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D10A94" w:rsidP="00521968">
      <w:pPr>
        <w:pStyle w:val="Heading1"/>
      </w:pPr>
      <w:bookmarkStart w:id="0" w:name="ChapterNumber"/>
      <w:bookmarkStart w:id="1" w:name="_Toc302126935"/>
      <w:bookmarkStart w:id="2" w:name="_Toc303002970"/>
      <w:bookmarkStart w:id="3" w:name="_Toc313452432"/>
      <w:bookmarkStart w:id="4" w:name="_Toc314211346"/>
      <w:bookmarkStart w:id="5" w:name="_Toc396142931"/>
      <w:bookmarkStart w:id="6" w:name="_Toc396143029"/>
      <w:bookmarkStart w:id="7" w:name="_Toc435724829"/>
      <w:r>
        <w:t>1</w:t>
      </w:r>
      <w:r w:rsidR="00484296">
        <w:t>7</w:t>
      </w:r>
      <w:bookmarkEnd w:id="0"/>
      <w:r w:rsidR="00D954EE">
        <w:tab/>
      </w:r>
      <w:bookmarkStart w:id="8" w:name="ChapterTitle"/>
      <w:r w:rsidR="00D954EE" w:rsidRPr="00521968">
        <w:t>Housin</w:t>
      </w:r>
      <w:bookmarkEnd w:id="1"/>
      <w:bookmarkEnd w:id="2"/>
      <w:bookmarkEnd w:id="3"/>
      <w:bookmarkEnd w:id="4"/>
      <w:bookmarkEnd w:id="8"/>
      <w:r w:rsidR="00E61FAC">
        <w:t>g</w:t>
      </w:r>
      <w:bookmarkEnd w:id="5"/>
      <w:bookmarkEnd w:id="6"/>
      <w:bookmarkEnd w:id="7"/>
    </w:p>
    <w:p w:rsidR="00635A69" w:rsidRPr="00635A69" w:rsidRDefault="00635A69" w:rsidP="00635A69">
      <w:pPr>
        <w:pStyle w:val="BodyText"/>
      </w:pPr>
    </w:p>
    <w:sdt>
      <w:sdtPr>
        <w:rPr>
          <w:rFonts w:ascii="Times New Roman" w:hAnsi="Times New Roman"/>
          <w:b w:val="0"/>
          <w:kern w:val="28"/>
          <w:sz w:val="52"/>
          <w:szCs w:val="20"/>
          <w:lang w:eastAsia="en-AU"/>
        </w:rPr>
        <w:id w:val="71549268"/>
        <w:docPartObj>
          <w:docPartGallery w:val="Table of Contents"/>
          <w:docPartUnique/>
        </w:docPartObj>
      </w:sdtPr>
      <w:sdtEndPr>
        <w:rPr>
          <w:kern w:val="0"/>
          <w:sz w:val="24"/>
        </w:rPr>
      </w:sdtEndPr>
      <w:sdtContent>
        <w:p w:rsidR="00635A69" w:rsidRPr="00635A69" w:rsidRDefault="00635A69">
          <w:pPr>
            <w:pStyle w:val="TOC1"/>
            <w:rPr>
              <w:rFonts w:asciiTheme="minorHAnsi" w:eastAsiaTheme="minorEastAsia" w:hAnsiTheme="minorHAnsi" w:cstheme="minorBidi"/>
              <w:b w:val="0"/>
              <w:noProof/>
              <w:sz w:val="22"/>
              <w:szCs w:val="22"/>
              <w:lang w:eastAsia="en-AU"/>
            </w:rPr>
          </w:pPr>
          <w:r w:rsidRPr="00635A69">
            <w:rPr>
              <w:b w:val="0"/>
              <w:noProof/>
            </w:rPr>
            <w:t xml:space="preserve"> CONTENTS</w:t>
          </w:r>
        </w:p>
        <w:p w:rsidR="00635A69" w:rsidRDefault="00635A69">
          <w:pPr>
            <w:pStyle w:val="TOC2"/>
            <w:tabs>
              <w:tab w:val="left" w:pos="1320"/>
            </w:tabs>
            <w:rPr>
              <w:rFonts w:asciiTheme="minorHAnsi" w:eastAsiaTheme="minorEastAsia" w:hAnsiTheme="minorHAnsi" w:cstheme="minorBidi"/>
              <w:noProof/>
              <w:sz w:val="22"/>
              <w:szCs w:val="22"/>
              <w:lang w:eastAsia="en-AU"/>
            </w:rPr>
          </w:pPr>
          <w:r>
            <w:rPr>
              <w:noProof/>
            </w:rPr>
            <w:t>17.1</w:t>
          </w:r>
          <w:r>
            <w:rPr>
              <w:rFonts w:asciiTheme="minorHAnsi" w:eastAsiaTheme="minorEastAsia" w:hAnsiTheme="minorHAnsi" w:cstheme="minorBidi"/>
              <w:noProof/>
              <w:sz w:val="22"/>
              <w:szCs w:val="22"/>
              <w:lang w:eastAsia="en-AU"/>
            </w:rPr>
            <w:tab/>
          </w:r>
          <w:r>
            <w:rPr>
              <w:noProof/>
            </w:rPr>
            <w:t>Profile of social housing assistance</w:t>
          </w:r>
          <w:r>
            <w:rPr>
              <w:noProof/>
            </w:rPr>
            <w:tab/>
            <w:t>17.</w:t>
          </w:r>
          <w:r w:rsidR="00EF0AA4">
            <w:rPr>
              <w:noProof/>
            </w:rPr>
            <w:t>2</w:t>
          </w:r>
        </w:p>
        <w:p w:rsidR="00635A69" w:rsidRDefault="00635A69">
          <w:pPr>
            <w:pStyle w:val="TOC2"/>
            <w:tabs>
              <w:tab w:val="left" w:pos="1320"/>
            </w:tabs>
            <w:rPr>
              <w:rFonts w:asciiTheme="minorHAnsi" w:eastAsiaTheme="minorEastAsia" w:hAnsiTheme="minorHAnsi" w:cstheme="minorBidi"/>
              <w:noProof/>
              <w:sz w:val="22"/>
              <w:szCs w:val="22"/>
              <w:lang w:eastAsia="en-AU"/>
            </w:rPr>
          </w:pPr>
          <w:r>
            <w:rPr>
              <w:noProof/>
            </w:rPr>
            <w:t>17.2</w:t>
          </w:r>
          <w:r>
            <w:rPr>
              <w:rFonts w:asciiTheme="minorHAnsi" w:eastAsiaTheme="minorEastAsia" w:hAnsiTheme="minorHAnsi" w:cstheme="minorBidi"/>
              <w:noProof/>
              <w:sz w:val="22"/>
              <w:szCs w:val="22"/>
              <w:lang w:eastAsia="en-AU"/>
            </w:rPr>
            <w:tab/>
          </w:r>
          <w:r>
            <w:rPr>
              <w:noProof/>
            </w:rPr>
            <w:t>Framework of performance indicators</w:t>
          </w:r>
          <w:r>
            <w:rPr>
              <w:noProof/>
            </w:rPr>
            <w:tab/>
            <w:t>17.</w:t>
          </w:r>
          <w:r w:rsidR="00EF0AA4">
            <w:rPr>
              <w:noProof/>
            </w:rPr>
            <w:t>10</w:t>
          </w:r>
        </w:p>
        <w:p w:rsidR="00635A69" w:rsidRDefault="00635A69">
          <w:pPr>
            <w:pStyle w:val="TOC2"/>
            <w:tabs>
              <w:tab w:val="left" w:pos="1320"/>
            </w:tabs>
            <w:rPr>
              <w:rFonts w:asciiTheme="minorHAnsi" w:eastAsiaTheme="minorEastAsia" w:hAnsiTheme="minorHAnsi" w:cstheme="minorBidi"/>
              <w:noProof/>
              <w:sz w:val="22"/>
              <w:szCs w:val="22"/>
              <w:lang w:eastAsia="en-AU"/>
            </w:rPr>
          </w:pPr>
          <w:r>
            <w:rPr>
              <w:noProof/>
            </w:rPr>
            <w:t>17.3</w:t>
          </w:r>
          <w:r>
            <w:rPr>
              <w:rFonts w:asciiTheme="minorHAnsi" w:eastAsiaTheme="minorEastAsia" w:hAnsiTheme="minorHAnsi" w:cstheme="minorBidi"/>
              <w:noProof/>
              <w:sz w:val="22"/>
              <w:szCs w:val="22"/>
              <w:lang w:eastAsia="en-AU"/>
            </w:rPr>
            <w:tab/>
          </w:r>
          <w:r>
            <w:rPr>
              <w:noProof/>
            </w:rPr>
            <w:t>Key performance indicator results</w:t>
          </w:r>
          <w:r>
            <w:rPr>
              <w:noProof/>
            </w:rPr>
            <w:tab/>
            <w:t>17.</w:t>
          </w:r>
          <w:r w:rsidR="00EF0AA4">
            <w:rPr>
              <w:noProof/>
            </w:rPr>
            <w:t>11</w:t>
          </w:r>
        </w:p>
        <w:p w:rsidR="00635A69" w:rsidRDefault="00635A69">
          <w:pPr>
            <w:pStyle w:val="TOC2"/>
            <w:tabs>
              <w:tab w:val="left" w:pos="1320"/>
            </w:tabs>
            <w:rPr>
              <w:rFonts w:asciiTheme="minorHAnsi" w:eastAsiaTheme="minorEastAsia" w:hAnsiTheme="minorHAnsi" w:cstheme="minorBidi"/>
              <w:noProof/>
              <w:sz w:val="22"/>
              <w:szCs w:val="22"/>
              <w:lang w:eastAsia="en-AU"/>
            </w:rPr>
          </w:pPr>
          <w:r>
            <w:rPr>
              <w:noProof/>
            </w:rPr>
            <w:t>17.4</w:t>
          </w:r>
          <w:r>
            <w:rPr>
              <w:rFonts w:asciiTheme="minorHAnsi" w:eastAsiaTheme="minorEastAsia" w:hAnsiTheme="minorHAnsi" w:cstheme="minorBidi"/>
              <w:noProof/>
              <w:sz w:val="22"/>
              <w:szCs w:val="22"/>
              <w:lang w:eastAsia="en-AU"/>
            </w:rPr>
            <w:tab/>
          </w:r>
          <w:r>
            <w:rPr>
              <w:noProof/>
            </w:rPr>
            <w:t>Future directions in performance reporting</w:t>
          </w:r>
          <w:r>
            <w:rPr>
              <w:noProof/>
            </w:rPr>
            <w:tab/>
            <w:t>17.</w:t>
          </w:r>
          <w:r w:rsidR="00EF0AA4">
            <w:rPr>
              <w:noProof/>
            </w:rPr>
            <w:t>38</w:t>
          </w:r>
        </w:p>
        <w:p w:rsidR="00635A69" w:rsidRDefault="00635A69">
          <w:pPr>
            <w:pStyle w:val="TOC2"/>
            <w:tabs>
              <w:tab w:val="left" w:pos="1320"/>
            </w:tabs>
            <w:rPr>
              <w:rFonts w:asciiTheme="minorHAnsi" w:eastAsiaTheme="minorEastAsia" w:hAnsiTheme="minorHAnsi" w:cstheme="minorBidi"/>
              <w:noProof/>
              <w:sz w:val="22"/>
              <w:szCs w:val="22"/>
              <w:lang w:eastAsia="en-AU"/>
            </w:rPr>
          </w:pPr>
          <w:r>
            <w:rPr>
              <w:noProof/>
            </w:rPr>
            <w:t>17.5</w:t>
          </w:r>
          <w:r>
            <w:rPr>
              <w:rFonts w:asciiTheme="minorHAnsi" w:eastAsiaTheme="minorEastAsia" w:hAnsiTheme="minorHAnsi" w:cstheme="minorBidi"/>
              <w:noProof/>
              <w:sz w:val="22"/>
              <w:szCs w:val="22"/>
              <w:lang w:eastAsia="en-AU"/>
            </w:rPr>
            <w:tab/>
          </w:r>
          <w:r>
            <w:rPr>
              <w:noProof/>
            </w:rPr>
            <w:t>Definitions of key terms</w:t>
          </w:r>
          <w:r>
            <w:rPr>
              <w:noProof/>
            </w:rPr>
            <w:tab/>
            <w:t>17.</w:t>
          </w:r>
          <w:r w:rsidR="00EF0AA4">
            <w:rPr>
              <w:noProof/>
            </w:rPr>
            <w:t>39</w:t>
          </w:r>
        </w:p>
        <w:p w:rsidR="00635A69" w:rsidRDefault="00635A69">
          <w:pPr>
            <w:pStyle w:val="TOC2"/>
            <w:tabs>
              <w:tab w:val="left" w:pos="1320"/>
            </w:tabs>
            <w:rPr>
              <w:rFonts w:asciiTheme="minorHAnsi" w:eastAsiaTheme="minorEastAsia" w:hAnsiTheme="minorHAnsi" w:cstheme="minorBidi"/>
              <w:noProof/>
              <w:sz w:val="22"/>
              <w:szCs w:val="22"/>
              <w:lang w:eastAsia="en-AU"/>
            </w:rPr>
          </w:pPr>
          <w:r>
            <w:rPr>
              <w:noProof/>
            </w:rPr>
            <w:t>17.6</w:t>
          </w:r>
          <w:r>
            <w:rPr>
              <w:rFonts w:asciiTheme="minorHAnsi" w:eastAsiaTheme="minorEastAsia" w:hAnsiTheme="minorHAnsi" w:cstheme="minorBidi"/>
              <w:noProof/>
              <w:sz w:val="22"/>
              <w:szCs w:val="22"/>
              <w:lang w:eastAsia="en-AU"/>
            </w:rPr>
            <w:tab/>
          </w:r>
          <w:r>
            <w:rPr>
              <w:noProof/>
            </w:rPr>
            <w:t>List of attachment tables</w:t>
          </w:r>
          <w:r>
            <w:rPr>
              <w:noProof/>
            </w:rPr>
            <w:tab/>
            <w:t>17.</w:t>
          </w:r>
          <w:r w:rsidR="00EF0AA4">
            <w:rPr>
              <w:noProof/>
            </w:rPr>
            <w:t>43</w:t>
          </w:r>
        </w:p>
        <w:p w:rsidR="00635A69" w:rsidRDefault="00635A69">
          <w:pPr>
            <w:pStyle w:val="TOC2"/>
            <w:tabs>
              <w:tab w:val="left" w:pos="1320"/>
            </w:tabs>
            <w:rPr>
              <w:rFonts w:asciiTheme="minorHAnsi" w:eastAsiaTheme="minorEastAsia" w:hAnsiTheme="minorHAnsi" w:cstheme="minorBidi"/>
              <w:noProof/>
              <w:sz w:val="22"/>
              <w:szCs w:val="22"/>
              <w:lang w:eastAsia="en-AU"/>
            </w:rPr>
          </w:pPr>
          <w:r>
            <w:rPr>
              <w:noProof/>
            </w:rPr>
            <w:t>17.7</w:t>
          </w:r>
          <w:r>
            <w:rPr>
              <w:rFonts w:asciiTheme="minorHAnsi" w:eastAsiaTheme="minorEastAsia" w:hAnsiTheme="minorHAnsi" w:cstheme="minorBidi"/>
              <w:noProof/>
              <w:sz w:val="22"/>
              <w:szCs w:val="22"/>
              <w:lang w:eastAsia="en-AU"/>
            </w:rPr>
            <w:tab/>
          </w:r>
          <w:r>
            <w:rPr>
              <w:noProof/>
            </w:rPr>
            <w:t>References</w:t>
          </w:r>
          <w:r>
            <w:rPr>
              <w:noProof/>
            </w:rPr>
            <w:tab/>
            <w:t>17.</w:t>
          </w:r>
          <w:r w:rsidR="00EF0AA4">
            <w:rPr>
              <w:noProof/>
            </w:rPr>
            <w:t>45</w:t>
          </w:r>
        </w:p>
        <w:p w:rsidR="00635A69" w:rsidRDefault="00EF682F">
          <w:pPr>
            <w:pStyle w:val="BoxSpaceAbove"/>
          </w:pPr>
        </w:p>
      </w:sdtContent>
    </w:sdt>
    <w:p w:rsidR="00524516" w:rsidRDefault="0052451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24516" w:rsidTr="004237A3">
        <w:tc>
          <w:tcPr>
            <w:tcW w:w="8771" w:type="dxa"/>
            <w:tcBorders>
              <w:top w:val="single" w:sz="6" w:space="0" w:color="78A22F"/>
              <w:left w:val="nil"/>
              <w:bottom w:val="nil"/>
              <w:right w:val="nil"/>
            </w:tcBorders>
            <w:shd w:val="clear" w:color="auto" w:fill="F2F2F2" w:themeFill="background1" w:themeFillShade="F2"/>
          </w:tcPr>
          <w:p w:rsidR="00524516" w:rsidRDefault="00524516" w:rsidP="00524516">
            <w:pPr>
              <w:pStyle w:val="BoxTitle"/>
            </w:pPr>
            <w:r>
              <w:t>Attachment tables</w:t>
            </w:r>
          </w:p>
        </w:tc>
      </w:tr>
      <w:tr w:rsidR="00524516" w:rsidTr="004237A3">
        <w:trPr>
          <w:cantSplit/>
        </w:trPr>
        <w:tc>
          <w:tcPr>
            <w:tcW w:w="8771" w:type="dxa"/>
            <w:tcBorders>
              <w:top w:val="nil"/>
              <w:left w:val="nil"/>
              <w:bottom w:val="nil"/>
              <w:right w:val="nil"/>
            </w:tcBorders>
            <w:shd w:val="clear" w:color="auto" w:fill="F2F2F2" w:themeFill="background1" w:themeFillShade="F2"/>
          </w:tcPr>
          <w:p w:rsidR="00524516" w:rsidRDefault="00524516" w:rsidP="000A5406">
            <w:pPr>
              <w:pStyle w:val="Box"/>
            </w:pPr>
            <w:r w:rsidRPr="00524516">
              <w:t>Attachment tables are identified in references throughout this chapter by a ‘</w:t>
            </w:r>
            <w:proofErr w:type="spellStart"/>
            <w:r w:rsidRPr="00524516">
              <w:t>17A</w:t>
            </w:r>
            <w:proofErr w:type="spellEnd"/>
            <w:r w:rsidRPr="00524516">
              <w:t>’ prefix (for example, table 17A.1). A full list of attachment tables is provided at the end of this chapter, and the att</w:t>
            </w:r>
            <w:r w:rsidR="005101E8">
              <w:t xml:space="preserve">achment tables are available </w:t>
            </w:r>
            <w:r w:rsidR="000A5406">
              <w:t xml:space="preserve">from the website </w:t>
            </w:r>
            <w:r w:rsidR="00FE3FD5">
              <w:t xml:space="preserve">at </w:t>
            </w:r>
            <w:proofErr w:type="spellStart"/>
            <w:r w:rsidR="00FE3FD5">
              <w:t>www.pc.gov.au</w:t>
            </w:r>
            <w:proofErr w:type="spellEnd"/>
            <w:r w:rsidR="00FE3FD5">
              <w:t>/</w:t>
            </w:r>
            <w:proofErr w:type="spellStart"/>
            <w:r w:rsidR="00FE3FD5">
              <w:t>rogs</w:t>
            </w:r>
            <w:proofErr w:type="spellEnd"/>
            <w:r w:rsidR="00FE3FD5">
              <w:t>/2016.</w:t>
            </w:r>
          </w:p>
        </w:tc>
      </w:tr>
      <w:tr w:rsidR="00524516" w:rsidTr="004237A3">
        <w:trPr>
          <w:cantSplit/>
        </w:trPr>
        <w:tc>
          <w:tcPr>
            <w:tcW w:w="8771" w:type="dxa"/>
            <w:tcBorders>
              <w:top w:val="nil"/>
              <w:left w:val="nil"/>
              <w:bottom w:val="single" w:sz="6" w:space="0" w:color="78A22F"/>
              <w:right w:val="nil"/>
            </w:tcBorders>
            <w:shd w:val="clear" w:color="auto" w:fill="F2F2F2" w:themeFill="background1" w:themeFillShade="F2"/>
          </w:tcPr>
          <w:p w:rsidR="00524516" w:rsidRDefault="00524516">
            <w:pPr>
              <w:pStyle w:val="Box"/>
              <w:spacing w:before="0" w:line="120" w:lineRule="exact"/>
            </w:pPr>
          </w:p>
        </w:tc>
      </w:tr>
      <w:tr w:rsidR="00524516" w:rsidRPr="000863A5" w:rsidTr="004237A3">
        <w:tc>
          <w:tcPr>
            <w:tcW w:w="8771" w:type="dxa"/>
            <w:tcBorders>
              <w:top w:val="single" w:sz="6" w:space="0" w:color="78A22F"/>
              <w:left w:val="nil"/>
              <w:bottom w:val="nil"/>
              <w:right w:val="nil"/>
            </w:tcBorders>
          </w:tcPr>
          <w:p w:rsidR="00524516" w:rsidRPr="00626D32" w:rsidRDefault="00524516" w:rsidP="004237A3">
            <w:pPr>
              <w:pStyle w:val="BoxSpaceBelow"/>
            </w:pPr>
          </w:p>
        </w:tc>
      </w:tr>
    </w:tbl>
    <w:p w:rsidR="00FE3FD5" w:rsidRDefault="009F2584" w:rsidP="00FE3FD5">
      <w:pPr>
        <w:pStyle w:val="BodyText"/>
      </w:pPr>
      <w:r>
        <w:t>This chapter presents data on</w:t>
      </w:r>
      <w:r w:rsidR="001B00D0" w:rsidRPr="00FD6DB5">
        <w:t xml:space="preserve"> the </w:t>
      </w:r>
      <w:r w:rsidR="001B00D0" w:rsidRPr="00FE3FD5">
        <w:t>performance</w:t>
      </w:r>
      <w:r w:rsidR="001B00D0" w:rsidRPr="00FD6DB5">
        <w:t xml:space="preserve"> of governments in providing social housing</w:t>
      </w:r>
      <w:r w:rsidR="00C92566">
        <w:t xml:space="preserve"> (box</w:t>
      </w:r>
      <w:r w:rsidR="007D1214">
        <w:t> </w:t>
      </w:r>
      <w:r w:rsidR="00C92566">
        <w:t>17.1 contains information on the forms of social housing)</w:t>
      </w:r>
      <w:r w:rsidR="00490A13">
        <w:t>.</w:t>
      </w:r>
      <w:r w:rsidR="00377E9F">
        <w:t xml:space="preserve"> </w:t>
      </w:r>
      <w:r w:rsidR="00FE3FD5" w:rsidRPr="000958E6">
        <w:t>Social housing is provided with funding through the National Affordable Housing Special Purpose Payment</w:t>
      </w:r>
      <w:r w:rsidR="00C05439">
        <w:t xml:space="preserve"> (NAH </w:t>
      </w:r>
      <w:proofErr w:type="spellStart"/>
      <w:r w:rsidR="00FE3FD5">
        <w:t>SPP</w:t>
      </w:r>
      <w:proofErr w:type="spellEnd"/>
      <w:r w:rsidR="00FE3FD5">
        <w:t>)</w:t>
      </w:r>
      <w:r w:rsidR="00FE3FD5" w:rsidRPr="000958E6">
        <w:t xml:space="preserve"> associated with the National Affordable Housing Agreement (NAHA).</w:t>
      </w:r>
      <w:r w:rsidR="00FE3FD5">
        <w:t xml:space="preserve"> The NAHA and the broader Australian housing and homelessness policy context are outlined in the Housing an</w:t>
      </w:r>
      <w:r w:rsidR="006E4075">
        <w:t xml:space="preserve">d </w:t>
      </w:r>
      <w:r w:rsidR="00A0161E">
        <w:t xml:space="preserve">homelessness services </w:t>
      </w:r>
      <w:r w:rsidR="006E4075">
        <w:t>sector overview</w:t>
      </w:r>
      <w:r w:rsidR="00A0161E">
        <w:t xml:space="preserve"> (sector overview G)</w:t>
      </w:r>
      <w:r w:rsidR="006E4075">
        <w:t>.</w:t>
      </w:r>
      <w:r w:rsidR="00FE3FD5" w:rsidRPr="000958E6">
        <w:t xml:space="preserve"> </w:t>
      </w:r>
    </w:p>
    <w:p w:rsidR="00351FFC" w:rsidRDefault="00351FFC" w:rsidP="00351FFC">
      <w:pPr>
        <w:pStyle w:val="BodyText"/>
        <w:rPr>
          <w:color w:val="000000" w:themeColor="text1"/>
        </w:rPr>
      </w:pPr>
      <w:r>
        <w:rPr>
          <w:color w:val="000000" w:themeColor="text1"/>
        </w:rPr>
        <w:t xml:space="preserve">Improvements to the reporting of housing </w:t>
      </w:r>
      <w:r w:rsidRPr="007D0295">
        <w:rPr>
          <w:color w:val="000000" w:themeColor="text1"/>
        </w:rPr>
        <w:t>in this edition include:</w:t>
      </w:r>
    </w:p>
    <w:p w:rsidR="00351FFC" w:rsidRDefault="00490A13" w:rsidP="00351FFC">
      <w:pPr>
        <w:pStyle w:val="ListBullet"/>
      </w:pPr>
      <w:r>
        <w:t xml:space="preserve">additional data </w:t>
      </w:r>
      <w:r w:rsidR="00351FFC">
        <w:t>for SOMIH for the outcome indicator ‘amenity/location’ from the 2014 National Social Housing Survey (</w:t>
      </w:r>
      <w:proofErr w:type="spellStart"/>
      <w:r w:rsidR="00351FFC">
        <w:t>NSHS</w:t>
      </w:r>
      <w:proofErr w:type="spellEnd"/>
      <w:r w:rsidR="00351FFC">
        <w:t>)</w:t>
      </w:r>
      <w:r>
        <w:t>, to support the headline figures published in the 2015 Report</w:t>
      </w:r>
    </w:p>
    <w:p w:rsidR="00351FFC" w:rsidRPr="007D0295" w:rsidRDefault="00351FFC" w:rsidP="00351FFC">
      <w:pPr>
        <w:pStyle w:val="ListBullet"/>
      </w:pPr>
      <w:r>
        <w:t xml:space="preserve">new data for </w:t>
      </w:r>
      <w:r w:rsidR="00FE3FD5">
        <w:t>output</w:t>
      </w:r>
      <w:r>
        <w:t xml:space="preserve"> indicator </w:t>
      </w:r>
      <w:r w:rsidR="00FE3FD5">
        <w:t xml:space="preserve">‘dwelling condition’ </w:t>
      </w:r>
      <w:r>
        <w:t>for I</w:t>
      </w:r>
      <w:r w:rsidR="00C92566">
        <w:t>ndigenous Community Housing</w:t>
      </w:r>
      <w:r>
        <w:t xml:space="preserve"> from the 2012</w:t>
      </w:r>
      <w:r>
        <w:softHyphen/>
      </w:r>
      <w:r>
        <w:noBreakHyphen/>
        <w:t>13 National Aboriginal and Torres Strait Islander Health Survey (</w:t>
      </w:r>
      <w:proofErr w:type="spellStart"/>
      <w:r>
        <w:t>NATSIHS</w:t>
      </w:r>
      <w:proofErr w:type="spellEnd"/>
      <w:r>
        <w:t>)</w:t>
      </w:r>
      <w:r w:rsidR="00490A13">
        <w:t>, published for the first time in this Report</w:t>
      </w:r>
      <w:r>
        <w:t>.</w:t>
      </w:r>
    </w:p>
    <w:p w:rsidR="00E178D6" w:rsidRDefault="00E178D6" w:rsidP="00E178D6">
      <w:pPr>
        <w:pStyle w:val="BodyText"/>
      </w:pPr>
      <w:r>
        <w:lastRenderedPageBreak/>
        <w:t xml:space="preserve">The focus of this chapter is social housing. A range of </w:t>
      </w:r>
      <w:r w:rsidRPr="0079320C">
        <w:t xml:space="preserve">government </w:t>
      </w:r>
      <w:r>
        <w:t xml:space="preserve">housing </w:t>
      </w:r>
      <w:r w:rsidRPr="0079320C">
        <w:t>assistance</w:t>
      </w:r>
      <w:r>
        <w:t xml:space="preserve"> is </w:t>
      </w:r>
      <w:r w:rsidRPr="0079320C">
        <w:t>not reported in this chapter</w:t>
      </w:r>
      <w:r>
        <w:t>, including</w:t>
      </w:r>
      <w:r w:rsidRPr="0079320C">
        <w:t>:</w:t>
      </w:r>
    </w:p>
    <w:p w:rsidR="00E178D6" w:rsidRDefault="00E178D6" w:rsidP="00E178D6">
      <w:pPr>
        <w:pStyle w:val="ListBullet"/>
      </w:pPr>
      <w:r>
        <w:t>community housing and other housing programs not provided under the NAHA, such as those provided by the Department of Veterans’ Affairs (</w:t>
      </w:r>
      <w:proofErr w:type="spellStart"/>
      <w:r>
        <w:t>DVA</w:t>
      </w:r>
      <w:proofErr w:type="spellEnd"/>
      <w:r>
        <w:t>)</w:t>
      </w:r>
    </w:p>
    <w:p w:rsidR="00E178D6" w:rsidRPr="0032135C" w:rsidRDefault="00E178D6" w:rsidP="00E178D6">
      <w:pPr>
        <w:pStyle w:val="ListBullet"/>
      </w:pPr>
      <w:r>
        <w:t>C</w:t>
      </w:r>
      <w:r w:rsidR="00C92566">
        <w:t xml:space="preserve">ommonwealth </w:t>
      </w:r>
      <w:r>
        <w:t>R</w:t>
      </w:r>
      <w:r w:rsidR="00C92566">
        <w:t xml:space="preserve">ent </w:t>
      </w:r>
      <w:r>
        <w:t>A</w:t>
      </w:r>
      <w:r w:rsidR="00C92566">
        <w:t>ssistance (CRA)</w:t>
      </w:r>
      <w:r>
        <w:t xml:space="preserve"> paid by the </w:t>
      </w:r>
      <w:proofErr w:type="spellStart"/>
      <w:r>
        <w:t>DVA</w:t>
      </w:r>
      <w:proofErr w:type="spellEnd"/>
      <w:r>
        <w:t xml:space="preserve">, or paid to </w:t>
      </w:r>
      <w:proofErr w:type="spellStart"/>
      <w:r>
        <w:t>Abstudy</w:t>
      </w:r>
      <w:proofErr w:type="spellEnd"/>
      <w:r>
        <w:t xml:space="preserve"> recipients on behalf of the Department of Social Services (DSS)</w:t>
      </w:r>
      <w:r w:rsidR="00C92566">
        <w:t xml:space="preserve"> (CRA data are published in sector overview G)</w:t>
      </w:r>
    </w:p>
    <w:p w:rsidR="00E178D6" w:rsidRDefault="00E178D6" w:rsidP="00E178D6">
      <w:pPr>
        <w:pStyle w:val="ListBullet"/>
      </w:pPr>
      <w:r>
        <w:t>private rent assistance funded by State and Territory governments</w:t>
      </w:r>
    </w:p>
    <w:p w:rsidR="00E178D6" w:rsidRPr="001E6561" w:rsidRDefault="00E178D6" w:rsidP="00E178D6">
      <w:pPr>
        <w:pStyle w:val="ListBullet"/>
        <w:rPr>
          <w:color w:val="000000" w:themeColor="text1"/>
        </w:rPr>
      </w:pPr>
      <w:r w:rsidRPr="001E6561">
        <w:rPr>
          <w:color w:val="000000" w:themeColor="text1"/>
        </w:rPr>
        <w:t>the National Rental Affordability Scheme (NRAS) and the Housing Affordability Fund (although some NRAS dwellings are included in the community housing data collection because they are owned and managed by the community housing sector)</w:t>
      </w:r>
    </w:p>
    <w:p w:rsidR="004024C8" w:rsidRPr="008F59A9" w:rsidRDefault="00E178D6" w:rsidP="008F59A9">
      <w:pPr>
        <w:pStyle w:val="ListBullet"/>
        <w:rPr>
          <w:color w:val="000000" w:themeColor="text1"/>
        </w:rPr>
      </w:pPr>
      <w:r w:rsidRPr="008F59A9">
        <w:rPr>
          <w:color w:val="000000" w:themeColor="text1"/>
        </w:rPr>
        <w:t xml:space="preserve">some Aboriginal and Torres Strait Islander specific housing and infrastructure assistance </w:t>
      </w:r>
    </w:p>
    <w:p w:rsidR="00E178D6" w:rsidRDefault="00E178D6" w:rsidP="00E178D6">
      <w:pPr>
        <w:pStyle w:val="ListBullet"/>
      </w:pPr>
      <w:r>
        <w:t>home purchase assistance, such as first home owner grants.</w:t>
      </w:r>
    </w:p>
    <w:p w:rsidR="00C92566" w:rsidRDefault="00C92566" w:rsidP="00C92566">
      <w:pPr>
        <w:pStyle w:val="BodyText"/>
      </w:pPr>
      <w:r w:rsidRPr="00AF3668">
        <w:t>All abbreviations used in the Report are available in a complete list in volume A: Approach to performance reporting.</w:t>
      </w:r>
    </w:p>
    <w:p w:rsidR="008C1B8A" w:rsidRDefault="00463387" w:rsidP="008C1B8A">
      <w:pPr>
        <w:pStyle w:val="Heading2"/>
      </w:pPr>
      <w:bookmarkStart w:id="9" w:name="_Toc314211347"/>
      <w:bookmarkStart w:id="10" w:name="_Toc396143030"/>
      <w:bookmarkStart w:id="11" w:name="_Toc435724830"/>
      <w:r>
        <w:t>17.</w:t>
      </w:r>
      <w:r w:rsidR="008C1B8A">
        <w:t>1</w:t>
      </w:r>
      <w:r w:rsidR="008C1B8A">
        <w:tab/>
        <w:t xml:space="preserve">Profile of </w:t>
      </w:r>
      <w:r w:rsidR="00CA54BD">
        <w:t xml:space="preserve">social </w:t>
      </w:r>
      <w:r w:rsidR="008C1B8A">
        <w:t>housing assistance</w:t>
      </w:r>
      <w:bookmarkEnd w:id="9"/>
      <w:bookmarkEnd w:id="10"/>
      <w:bookmarkEnd w:id="11"/>
    </w:p>
    <w:p w:rsidR="005760CA" w:rsidRDefault="008C1B8A" w:rsidP="008C1B8A">
      <w:pPr>
        <w:pStyle w:val="Heading3"/>
      </w:pPr>
      <w:r>
        <w:t>Service overview</w:t>
      </w:r>
    </w:p>
    <w:p w:rsidR="00490A13" w:rsidRDefault="00490A13" w:rsidP="00377E9F">
      <w:pPr>
        <w:pStyle w:val="BodyText"/>
      </w:pPr>
      <w:r w:rsidRPr="00FD6DB5">
        <w:t>Housing assistance is provided by governments because many Australian households face problems in acquiring or accessing</w:t>
      </w:r>
      <w:r>
        <w:t xml:space="preserve"> suitable private accommodation — either through renting from a private landlord or through owner occupation — </w:t>
      </w:r>
      <w:r w:rsidRPr="00FD6DB5">
        <w:t>for reasons including</w:t>
      </w:r>
      <w:r>
        <w:t>:</w:t>
      </w:r>
      <w:r w:rsidRPr="00FD6DB5">
        <w:t xml:space="preserve"> cost, availability, location and/or adequacy.</w:t>
      </w:r>
      <w:r w:rsidR="00C92566">
        <w:t xml:space="preserve"> In 2013</w:t>
      </w:r>
      <w:r w:rsidR="007D1214">
        <w:noBreakHyphen/>
      </w:r>
      <w:r w:rsidR="00C92566">
        <w:t xml:space="preserve">14, </w:t>
      </w:r>
      <w:r w:rsidR="00286A74" w:rsidRPr="005E340A">
        <w:t xml:space="preserve">around </w:t>
      </w:r>
      <w:proofErr w:type="spellStart"/>
      <w:r w:rsidR="00286A74" w:rsidRPr="005E340A">
        <w:t>two­thirds</w:t>
      </w:r>
      <w:proofErr w:type="spellEnd"/>
      <w:r w:rsidR="00286A74" w:rsidRPr="005E340A">
        <w:t xml:space="preserve"> of</w:t>
      </w:r>
      <w:r w:rsidR="00C92566" w:rsidRPr="005E340A">
        <w:t xml:space="preserve"> </w:t>
      </w:r>
      <w:r w:rsidR="00286A74" w:rsidRPr="005E340A">
        <w:t>Australian households (</w:t>
      </w:r>
      <w:r w:rsidR="00F21015" w:rsidRPr="005E340A">
        <w:t>67.2</w:t>
      </w:r>
      <w:r w:rsidR="00C92566" w:rsidRPr="005E340A">
        <w:t xml:space="preserve"> per cent</w:t>
      </w:r>
      <w:r w:rsidR="00286A74" w:rsidRPr="005E340A">
        <w:t>)</w:t>
      </w:r>
      <w:r w:rsidR="00C92566" w:rsidRPr="005E340A">
        <w:t xml:space="preserve"> owned or were purchasing their</w:t>
      </w:r>
      <w:r w:rsidR="00C92566" w:rsidRPr="00F21015">
        <w:t xml:space="preserve"> own home, </w:t>
      </w:r>
      <w:r w:rsidR="00F21015" w:rsidRPr="00F21015">
        <w:t>25.7</w:t>
      </w:r>
      <w:r w:rsidR="00C92566" w:rsidRPr="00F21015">
        <w:t xml:space="preserve"> per cent rented in the private sector, and </w:t>
      </w:r>
      <w:r w:rsidR="00F21015" w:rsidRPr="00F21015">
        <w:t>3.6</w:t>
      </w:r>
      <w:r w:rsidR="00C92566" w:rsidRPr="00F21015">
        <w:t xml:space="preserve"> per </w:t>
      </w:r>
      <w:r w:rsidR="00C92566" w:rsidRPr="000958E6">
        <w:t>cent rented through a state or territory housing authority (table </w:t>
      </w:r>
      <w:r w:rsidR="00C92566" w:rsidRPr="0084067C">
        <w:t>17A.59</w:t>
      </w:r>
      <w:r w:rsidR="00C92566" w:rsidRPr="00DA0168">
        <w:t>).</w:t>
      </w:r>
    </w:p>
    <w:p w:rsidR="00377E9F" w:rsidRDefault="0017117E" w:rsidP="00377E9F">
      <w:pPr>
        <w:pStyle w:val="BodyText"/>
      </w:pPr>
      <w:r>
        <w:t xml:space="preserve">Social housing is rental housing </w:t>
      </w:r>
      <w:r w:rsidR="002A5121">
        <w:t xml:space="preserve">provided by </w:t>
      </w:r>
      <w:r>
        <w:t>not</w:t>
      </w:r>
      <w:r w:rsidR="007D1214">
        <w:noBreakHyphen/>
      </w:r>
      <w:r>
        <w:t>for</w:t>
      </w:r>
      <w:r w:rsidR="007D1214">
        <w:noBreakHyphen/>
      </w:r>
      <w:r>
        <w:t>profit, non</w:t>
      </w:r>
      <w:r w:rsidR="007D1214">
        <w:noBreakHyphen/>
      </w:r>
      <w:r>
        <w:t>government or government organisations</w:t>
      </w:r>
      <w:r w:rsidR="002A5121">
        <w:t xml:space="preserve"> to assist people who are </w:t>
      </w:r>
      <w:r w:rsidR="005B241A">
        <w:t xml:space="preserve">unable to </w:t>
      </w:r>
      <w:r>
        <w:t xml:space="preserve">access suitable </w:t>
      </w:r>
      <w:r w:rsidR="005B241A">
        <w:t>accommodation in the private rental market.</w:t>
      </w:r>
      <w:r>
        <w:t xml:space="preserve"> The forms of social housing included in this repor</w:t>
      </w:r>
      <w:r w:rsidR="004679A4">
        <w:t xml:space="preserve">t are summarised </w:t>
      </w:r>
      <w:r w:rsidR="00E178D6">
        <w:t xml:space="preserve">in </w:t>
      </w:r>
      <w:r w:rsidR="00C92566">
        <w:t>box</w:t>
      </w:r>
      <w:r w:rsidR="007D1214">
        <w:t> </w:t>
      </w:r>
      <w:r w:rsidR="00C92566">
        <w:t>17.1</w:t>
      </w:r>
      <w:r>
        <w:t>.</w:t>
      </w:r>
    </w:p>
    <w:p w:rsidR="004D0537" w:rsidRDefault="004D053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D0537" w:rsidTr="0037665F">
        <w:tc>
          <w:tcPr>
            <w:tcW w:w="8771" w:type="dxa"/>
            <w:tcBorders>
              <w:top w:val="single" w:sz="6" w:space="0" w:color="78A22F"/>
              <w:left w:val="nil"/>
              <w:bottom w:val="nil"/>
              <w:right w:val="nil"/>
            </w:tcBorders>
            <w:shd w:val="clear" w:color="auto" w:fill="F2F2F2"/>
          </w:tcPr>
          <w:p w:rsidR="004D0537" w:rsidRDefault="004D0537">
            <w:pPr>
              <w:pStyle w:val="BoxTitle"/>
            </w:pPr>
            <w:r>
              <w:rPr>
                <w:b w:val="0"/>
              </w:rPr>
              <w:t>Box</w:t>
            </w:r>
            <w:r w:rsidR="00F412E4">
              <w:rPr>
                <w:b w:val="0"/>
              </w:rPr>
              <w:t xml:space="preserve"> </w:t>
            </w:r>
            <w:r w:rsidR="007C5169">
              <w:rPr>
                <w:b w:val="0"/>
              </w:rPr>
              <w:t>17.</w:t>
            </w:r>
            <w:r w:rsidR="00EF0AA4">
              <w:rPr>
                <w:b w:val="0"/>
                <w:noProof/>
              </w:rPr>
              <w:t>1</w:t>
            </w:r>
            <w:r>
              <w:tab/>
            </w:r>
            <w:r w:rsidRPr="00E43D24">
              <w:t>Forms of social housing</w:t>
            </w:r>
          </w:p>
        </w:tc>
      </w:tr>
      <w:tr w:rsidR="004D0537" w:rsidTr="0037665F">
        <w:trPr>
          <w:cantSplit/>
        </w:trPr>
        <w:tc>
          <w:tcPr>
            <w:tcW w:w="8771" w:type="dxa"/>
            <w:tcBorders>
              <w:top w:val="nil"/>
              <w:left w:val="nil"/>
              <w:bottom w:val="nil"/>
              <w:right w:val="nil"/>
            </w:tcBorders>
            <w:shd w:val="clear" w:color="auto" w:fill="F2F2F2"/>
          </w:tcPr>
          <w:p w:rsidR="004D0537" w:rsidRPr="00E43D24" w:rsidRDefault="004D0537" w:rsidP="004D0537">
            <w:pPr>
              <w:pStyle w:val="Box"/>
              <w:numPr>
                <w:ilvl w:val="0"/>
                <w:numId w:val="1"/>
              </w:numPr>
            </w:pPr>
            <w:r w:rsidRPr="00E43D24">
              <w:rPr>
                <w:i/>
              </w:rPr>
              <w:t>Public housing</w:t>
            </w:r>
            <w:r w:rsidRPr="00E43D24">
              <w:t>: dwellings owned (or leased) and managed by State and Territory housing authorities</w:t>
            </w:r>
            <w:r>
              <w:t>. It is generally accessed by people on low incomes and/or those with special needs, and aims to provide a choice of housing location, physical type and management arrangements.</w:t>
            </w:r>
          </w:p>
          <w:p w:rsidR="004D0537" w:rsidRDefault="004D0537" w:rsidP="004D0537">
            <w:pPr>
              <w:pStyle w:val="Box"/>
              <w:numPr>
                <w:ilvl w:val="0"/>
                <w:numId w:val="1"/>
              </w:numPr>
            </w:pPr>
            <w:r w:rsidRPr="00A0483A">
              <w:rPr>
                <w:i/>
              </w:rPr>
              <w:t>State owned and managed Indigenous housing (SOMIH)</w:t>
            </w:r>
            <w:r w:rsidRPr="00E43D24">
              <w:t>: dwellings owned and managed by State housing authorities that are allocated only to Aboriginal and To</w:t>
            </w:r>
            <w:r>
              <w:t>rres Strait Islander tenants and include dwellings managed by government Indigenous housing agencies.</w:t>
            </w:r>
          </w:p>
          <w:p w:rsidR="004D0537" w:rsidRPr="00982A64" w:rsidRDefault="004D0537" w:rsidP="004D0537">
            <w:pPr>
              <w:pStyle w:val="Box"/>
              <w:numPr>
                <w:ilvl w:val="0"/>
                <w:numId w:val="1"/>
              </w:numPr>
            </w:pPr>
            <w:r w:rsidRPr="00A0483A">
              <w:rPr>
                <w:i/>
              </w:rPr>
              <w:t>Community housing</w:t>
            </w:r>
            <w:r w:rsidRPr="00982A64">
              <w:t>: rental housing provided to low–to–moderate income and/or special needs households, managed by community</w:t>
            </w:r>
            <w:r w:rsidR="007D1214">
              <w:noBreakHyphen/>
            </w:r>
            <w:r w:rsidRPr="00982A64">
              <w:t>based organisations that lease properties from government or have received a capital or recurrent subsidy from government. Community housing models vary across jurisdictions</w:t>
            </w:r>
            <w:r>
              <w:t xml:space="preserve">, </w:t>
            </w:r>
            <w:r w:rsidRPr="00BF0418">
              <w:t>and the housing stock may be owned by a variety of groups, including local government</w:t>
            </w:r>
            <w:r w:rsidRPr="00982A64">
              <w:t>. Community housing organisations typically receive some form of government assistance, such as direct funding or the provision of land and property, but a number of community housing organisations are entirely self</w:t>
            </w:r>
            <w:r w:rsidR="007D1214">
              <w:noBreakHyphen/>
            </w:r>
            <w:r w:rsidRPr="00982A64">
              <w:t>funded.</w:t>
            </w:r>
          </w:p>
          <w:p w:rsidR="004D0537" w:rsidRDefault="004D0537" w:rsidP="004D0537">
            <w:pPr>
              <w:pStyle w:val="BoxListBullet"/>
            </w:pPr>
            <w:r w:rsidRPr="00207355">
              <w:rPr>
                <w:i/>
              </w:rPr>
              <w:t>Indigenous community housing (</w:t>
            </w:r>
            <w:proofErr w:type="spellStart"/>
            <w:r w:rsidRPr="00207355">
              <w:rPr>
                <w:i/>
              </w:rPr>
              <w:t>ICH</w:t>
            </w:r>
            <w:proofErr w:type="spellEnd"/>
            <w:r w:rsidRPr="00207355">
              <w:rPr>
                <w:i/>
              </w:rPr>
              <w:t xml:space="preserve">): </w:t>
            </w:r>
            <w:r w:rsidRPr="00207355">
              <w:t xml:space="preserve">dwellings owned or leased and managed by </w:t>
            </w:r>
            <w:proofErr w:type="spellStart"/>
            <w:r w:rsidRPr="00207355">
              <w:t>ICH</w:t>
            </w:r>
            <w:proofErr w:type="spellEnd"/>
            <w:r w:rsidRPr="00207355">
              <w:t xml:space="preserve"> organisations and community councils in major cities, regional and remote areas</w:t>
            </w:r>
            <w:r>
              <w:t xml:space="preserve">. </w:t>
            </w:r>
            <w:proofErr w:type="spellStart"/>
            <w:r>
              <w:t>ICH</w:t>
            </w:r>
            <w:proofErr w:type="spellEnd"/>
            <w:r>
              <w:t xml:space="preserve"> models </w:t>
            </w:r>
            <w:r w:rsidRPr="00207355">
              <w:t xml:space="preserve">vary across jurisdictions and can also include dwellings funded or registered by government. </w:t>
            </w:r>
            <w:proofErr w:type="spellStart"/>
            <w:r w:rsidRPr="00207355">
              <w:t>ICH</w:t>
            </w:r>
            <w:proofErr w:type="spellEnd"/>
            <w:r w:rsidRPr="00207355">
              <w:t xml:space="preserve"> organisations include community organisations such as resource agencies and land councils</w:t>
            </w:r>
            <w:r>
              <w:t>.</w:t>
            </w:r>
          </w:p>
          <w:p w:rsidR="004D0537" w:rsidRDefault="004D0537" w:rsidP="004D0537">
            <w:pPr>
              <w:pStyle w:val="Box"/>
            </w:pPr>
            <w:r w:rsidRPr="004F5372">
              <w:rPr>
                <w:i/>
              </w:rPr>
              <w:t>Crisis and transitional housing</w:t>
            </w:r>
            <w:r w:rsidRPr="00E43D24">
              <w:t xml:space="preserve"> is an additional form </w:t>
            </w:r>
            <w:r>
              <w:t>of social housing, but it is unable to be separately identified in this r</w:t>
            </w:r>
            <w:r w:rsidRPr="00E43D24">
              <w:t>eport. Crisis and transitional housing might be indirectly reported through the other forms of social housing described above.</w:t>
            </w:r>
          </w:p>
        </w:tc>
      </w:tr>
      <w:tr w:rsidR="004D0537" w:rsidTr="0037665F">
        <w:trPr>
          <w:cantSplit/>
        </w:trPr>
        <w:tc>
          <w:tcPr>
            <w:tcW w:w="8771" w:type="dxa"/>
            <w:tcBorders>
              <w:top w:val="nil"/>
              <w:left w:val="nil"/>
              <w:bottom w:val="single" w:sz="6" w:space="0" w:color="78A22F"/>
              <w:right w:val="nil"/>
            </w:tcBorders>
            <w:shd w:val="clear" w:color="auto" w:fill="F2F2F2"/>
          </w:tcPr>
          <w:p w:rsidR="004D0537" w:rsidRDefault="004D0537">
            <w:pPr>
              <w:pStyle w:val="Box"/>
              <w:spacing w:before="0" w:line="120" w:lineRule="exact"/>
            </w:pPr>
          </w:p>
        </w:tc>
      </w:tr>
      <w:tr w:rsidR="004D0537" w:rsidRPr="000863A5" w:rsidTr="0037665F">
        <w:tc>
          <w:tcPr>
            <w:tcW w:w="8771" w:type="dxa"/>
            <w:tcBorders>
              <w:top w:val="single" w:sz="6" w:space="0" w:color="78A22F"/>
              <w:left w:val="nil"/>
              <w:bottom w:val="nil"/>
              <w:right w:val="nil"/>
            </w:tcBorders>
          </w:tcPr>
          <w:p w:rsidR="004D0537" w:rsidRPr="00626D32" w:rsidRDefault="004D0537" w:rsidP="0037665F">
            <w:pPr>
              <w:pStyle w:val="BoxSpaceBelow"/>
            </w:pPr>
          </w:p>
        </w:tc>
      </w:tr>
    </w:tbl>
    <w:p w:rsidR="00514E83" w:rsidRDefault="00514E83" w:rsidP="00514E83">
      <w:pPr>
        <w:pStyle w:val="Heading3"/>
      </w:pPr>
      <w:r w:rsidRPr="00F32F6A">
        <w:t>Roles and responsibilities</w:t>
      </w:r>
    </w:p>
    <w:p w:rsidR="00514E83" w:rsidRPr="000958E6" w:rsidRDefault="00886087" w:rsidP="000958E6">
      <w:pPr>
        <w:pStyle w:val="BodyText"/>
      </w:pPr>
      <w:r w:rsidRPr="000958E6">
        <w:t xml:space="preserve">The Australian </w:t>
      </w:r>
      <w:r w:rsidR="003B6422" w:rsidRPr="000958E6">
        <w:t>G</w:t>
      </w:r>
      <w:r w:rsidRPr="000958E6">
        <w:t xml:space="preserve">overnment provides funding to assist with the achievement of housing and homelessness related outcomes for which states and territories have primary responsibility. </w:t>
      </w:r>
      <w:r w:rsidR="00514E83" w:rsidRPr="000958E6">
        <w:t>Each level of government has diffe</w:t>
      </w:r>
      <w:r w:rsidR="009C1D25">
        <w:t>rent roles and responsibilities.</w:t>
      </w:r>
    </w:p>
    <w:p w:rsidR="00514E83" w:rsidRPr="00E300C9" w:rsidRDefault="00514E83" w:rsidP="009C1D25">
      <w:pPr>
        <w:pStyle w:val="BodyText"/>
      </w:pPr>
      <w:r w:rsidRPr="00E300C9">
        <w:t xml:space="preserve">The </w:t>
      </w:r>
      <w:r w:rsidRPr="00A0483A">
        <w:t>Australian Government</w:t>
      </w:r>
      <w:r w:rsidRPr="00E300C9">
        <w:t xml:space="preserve"> influences the housing market through direct and indirect means, including </w:t>
      </w:r>
      <w:r w:rsidR="002B2391" w:rsidRPr="00E300C9">
        <w:t xml:space="preserve">providing </w:t>
      </w:r>
      <w:r w:rsidR="007F5B9B">
        <w:t>CRA</w:t>
      </w:r>
      <w:r w:rsidR="008D4B98">
        <w:t xml:space="preserve">, </w:t>
      </w:r>
      <w:r w:rsidR="002B2391" w:rsidRPr="00E300C9">
        <w:t xml:space="preserve">home purchase assistance, </w:t>
      </w:r>
      <w:r w:rsidR="00FD6FAD" w:rsidRPr="00E300C9">
        <w:t>financial sector regulations</w:t>
      </w:r>
      <w:r w:rsidR="002B2391" w:rsidRPr="00E300C9">
        <w:t xml:space="preserve"> and</w:t>
      </w:r>
      <w:r w:rsidR="00FD6FAD" w:rsidRPr="00E300C9">
        <w:t xml:space="preserve"> </w:t>
      </w:r>
      <w:r w:rsidRPr="00E300C9">
        <w:t>taxati</w:t>
      </w:r>
      <w:r w:rsidR="002B2391" w:rsidRPr="00E300C9">
        <w:t>on</w:t>
      </w:r>
      <w:r w:rsidR="008D4B98">
        <w:t xml:space="preserve"> policies</w:t>
      </w:r>
      <w:r w:rsidR="002A5121">
        <w:t>, and programs such as the 2008 National Rental Affordability Scheme and the 2009 Social Housing Initiative</w:t>
      </w:r>
      <w:r w:rsidR="0057714A">
        <w:t>.</w:t>
      </w:r>
    </w:p>
    <w:p w:rsidR="00514E83" w:rsidRDefault="00514E83" w:rsidP="009C1D25">
      <w:pPr>
        <w:pStyle w:val="BodyText"/>
      </w:pPr>
      <w:r w:rsidRPr="00A0483A">
        <w:t>State and Territory governments</w:t>
      </w:r>
      <w:r>
        <w:t xml:space="preserve"> </w:t>
      </w:r>
      <w:r w:rsidR="00563439">
        <w:t xml:space="preserve">administer and deliver </w:t>
      </w:r>
      <w:r>
        <w:t xml:space="preserve">housing </w:t>
      </w:r>
      <w:r w:rsidR="00563439">
        <w:t>services</w:t>
      </w:r>
      <w:r>
        <w:t>, such as public housing, community housing, SOMIH</w:t>
      </w:r>
      <w:r w:rsidR="00563439">
        <w:t xml:space="preserve"> and other Indigenous </w:t>
      </w:r>
      <w:r w:rsidR="001E65EE">
        <w:t>housing</w:t>
      </w:r>
      <w:r w:rsidR="0081047F">
        <w:t xml:space="preserve">. </w:t>
      </w:r>
      <w:r w:rsidR="003530F6">
        <w:t>They also</w:t>
      </w:r>
      <w:r w:rsidR="0081047F">
        <w:t xml:space="preserve"> </w:t>
      </w:r>
      <w:r w:rsidR="00563439">
        <w:t xml:space="preserve">provide financial support to renters </w:t>
      </w:r>
      <w:r w:rsidR="001E65EE">
        <w:t xml:space="preserve">through </w:t>
      </w:r>
      <w:r>
        <w:t xml:space="preserve">private rental assistance and </w:t>
      </w:r>
      <w:r w:rsidR="0081047F">
        <w:t xml:space="preserve">to buyers through </w:t>
      </w:r>
      <w:r>
        <w:t>home purchase assistance</w:t>
      </w:r>
      <w:r w:rsidR="0001078A">
        <w:t>. S</w:t>
      </w:r>
      <w:r>
        <w:t xml:space="preserve">ome jurisdictions </w:t>
      </w:r>
      <w:r w:rsidR="001B7A0C">
        <w:t xml:space="preserve">provide </w:t>
      </w:r>
      <w:r w:rsidR="006D397F">
        <w:t xml:space="preserve">home </w:t>
      </w:r>
      <w:r w:rsidR="00445A60">
        <w:t xml:space="preserve">finance </w:t>
      </w:r>
      <w:r w:rsidR="006D397F">
        <w:t>lending program</w:t>
      </w:r>
      <w:r w:rsidR="001B7A0C">
        <w:t>s</w:t>
      </w:r>
      <w:r>
        <w:t>. State and Territory governments are also responsible for</w:t>
      </w:r>
      <w:r w:rsidR="006D397F">
        <w:t xml:space="preserve"> land use and supply policy, urban planning </w:t>
      </w:r>
      <w:r w:rsidR="001B7A0C">
        <w:t xml:space="preserve">and development </w:t>
      </w:r>
      <w:r w:rsidR="006D397F">
        <w:t xml:space="preserve">policy, </w:t>
      </w:r>
      <w:r w:rsidR="001B7A0C">
        <w:t>housing</w:t>
      </w:r>
      <w:r w:rsidR="005F7E75">
        <w:t>–</w:t>
      </w:r>
      <w:r w:rsidR="001B7A0C">
        <w:t>rel</w:t>
      </w:r>
      <w:r w:rsidR="003530F6">
        <w:t>a</w:t>
      </w:r>
      <w:r w:rsidR="001B7A0C">
        <w:t>ted taxes and charges (such as l</w:t>
      </w:r>
      <w:r w:rsidR="009914FD">
        <w:t>and taxes</w:t>
      </w:r>
      <w:r w:rsidR="001B7A0C">
        <w:t xml:space="preserve"> and </w:t>
      </w:r>
      <w:r w:rsidR="009914FD">
        <w:t>stamp duties</w:t>
      </w:r>
      <w:r w:rsidR="001B7A0C">
        <w:t>)</w:t>
      </w:r>
      <w:r w:rsidR="00A85E87">
        <w:t xml:space="preserve"> and</w:t>
      </w:r>
      <w:r w:rsidR="009914FD">
        <w:t xml:space="preserve"> </w:t>
      </w:r>
      <w:r>
        <w:t>residential tenancy legislation</w:t>
      </w:r>
      <w:r w:rsidR="0081047F">
        <w:t xml:space="preserve"> and regulation</w:t>
      </w:r>
      <w:r w:rsidR="0057714A">
        <w:t>.</w:t>
      </w:r>
    </w:p>
    <w:p w:rsidR="002A5121" w:rsidRDefault="00514E83" w:rsidP="009C1D25">
      <w:pPr>
        <w:pStyle w:val="BodyText"/>
      </w:pPr>
      <w:r w:rsidRPr="00A0483A">
        <w:lastRenderedPageBreak/>
        <w:t>Local governments</w:t>
      </w:r>
      <w:r>
        <w:t xml:space="preserve"> </w:t>
      </w:r>
      <w:r w:rsidR="000F71AC">
        <w:t>ar</w:t>
      </w:r>
      <w:r w:rsidR="0088562B">
        <w:t>e</w:t>
      </w:r>
      <w:r w:rsidR="00241277">
        <w:t xml:space="preserve"> </w:t>
      </w:r>
      <w:r w:rsidR="000F71AC">
        <w:t xml:space="preserve">responsible for building approval, urban planning and development processes and </w:t>
      </w:r>
      <w:r w:rsidR="0094436A">
        <w:t xml:space="preserve">may be </w:t>
      </w:r>
      <w:r>
        <w:t>involved in providing community housing</w:t>
      </w:r>
      <w:r w:rsidR="009C1D25">
        <w:t>.</w:t>
      </w:r>
      <w:r w:rsidR="008D4B98">
        <w:t xml:space="preserve"> </w:t>
      </w:r>
    </w:p>
    <w:p w:rsidR="007E677D" w:rsidRPr="00681A55" w:rsidRDefault="00D6759F" w:rsidP="00501A18">
      <w:pPr>
        <w:pStyle w:val="Heading3"/>
      </w:pPr>
      <w:r>
        <w:t>Funding</w:t>
      </w:r>
    </w:p>
    <w:p w:rsidR="00652AD7" w:rsidRPr="00C21B75" w:rsidRDefault="00652AD7" w:rsidP="000958E6">
      <w:pPr>
        <w:pStyle w:val="BodyText"/>
        <w:rPr>
          <w:color w:val="000000" w:themeColor="text1"/>
        </w:rPr>
      </w:pPr>
      <w:r w:rsidRPr="00C21B75">
        <w:rPr>
          <w:color w:val="000000" w:themeColor="text1"/>
        </w:rPr>
        <w:t>State and Territory government net recurrent expenditure on social housing was $</w:t>
      </w:r>
      <w:r w:rsidR="00587A0C">
        <w:rPr>
          <w:color w:val="000000" w:themeColor="text1"/>
        </w:rPr>
        <w:t>3.5 </w:t>
      </w:r>
      <w:r w:rsidR="000D5006">
        <w:rPr>
          <w:color w:val="000000" w:themeColor="text1"/>
        </w:rPr>
        <w:t>billion</w:t>
      </w:r>
      <w:r w:rsidRPr="00C21B75">
        <w:rPr>
          <w:color w:val="000000" w:themeColor="text1"/>
        </w:rPr>
        <w:t xml:space="preserve"> in </w:t>
      </w:r>
      <w:r w:rsidR="009C1D25" w:rsidRPr="009C1D25">
        <w:rPr>
          <w:color w:val="000000" w:themeColor="text1"/>
        </w:rPr>
        <w:t>201</w:t>
      </w:r>
      <w:r w:rsidR="009C1D25">
        <w:rPr>
          <w:color w:val="000000" w:themeColor="text1"/>
        </w:rPr>
        <w:t>4­15</w:t>
      </w:r>
      <w:r w:rsidRPr="00C21B75">
        <w:rPr>
          <w:color w:val="000000" w:themeColor="text1"/>
        </w:rPr>
        <w:t xml:space="preserve">, </w:t>
      </w:r>
      <w:r w:rsidR="000D5006">
        <w:rPr>
          <w:color w:val="000000" w:themeColor="text1"/>
        </w:rPr>
        <w:t>similar to 2013</w:t>
      </w:r>
      <w:r w:rsidR="007D1214">
        <w:rPr>
          <w:color w:val="000000" w:themeColor="text1"/>
        </w:rPr>
        <w:noBreakHyphen/>
      </w:r>
      <w:r w:rsidR="000D5006">
        <w:rPr>
          <w:color w:val="000000" w:themeColor="text1"/>
        </w:rPr>
        <w:t xml:space="preserve">14 </w:t>
      </w:r>
      <w:r w:rsidR="00587A0C">
        <w:rPr>
          <w:color w:val="000000" w:themeColor="text1"/>
        </w:rPr>
        <w:t xml:space="preserve">in real terms </w:t>
      </w:r>
      <w:r w:rsidRPr="00C21B75">
        <w:rPr>
          <w:color w:val="000000" w:themeColor="text1"/>
        </w:rPr>
        <w:t>(table</w:t>
      </w:r>
      <w:r w:rsidR="00211C36" w:rsidRPr="00C21B75">
        <w:rPr>
          <w:color w:val="000000" w:themeColor="text1"/>
        </w:rPr>
        <w:t> </w:t>
      </w:r>
      <w:r w:rsidR="00463387" w:rsidRPr="00C21B75">
        <w:rPr>
          <w:color w:val="000000" w:themeColor="text1"/>
        </w:rPr>
        <w:t>17.</w:t>
      </w:r>
      <w:r w:rsidR="000D5006">
        <w:rPr>
          <w:color w:val="000000" w:themeColor="text1"/>
        </w:rPr>
        <w:t>1</w:t>
      </w:r>
      <w:r w:rsidRPr="00C21B75">
        <w:rPr>
          <w:color w:val="000000" w:themeColor="text1"/>
        </w:rPr>
        <w:t xml:space="preserve">). In </w:t>
      </w:r>
      <w:r w:rsidRPr="001240A7">
        <w:rPr>
          <w:color w:val="000000" w:themeColor="text1"/>
        </w:rPr>
        <w:t>201</w:t>
      </w:r>
      <w:r w:rsidR="001240A7" w:rsidRPr="001240A7">
        <w:rPr>
          <w:color w:val="000000" w:themeColor="text1"/>
        </w:rPr>
        <w:t>4</w:t>
      </w:r>
      <w:r w:rsidR="007D1214">
        <w:rPr>
          <w:color w:val="000000" w:themeColor="text1"/>
        </w:rPr>
        <w:noBreakHyphen/>
      </w:r>
      <w:r w:rsidR="001240A7" w:rsidRPr="001240A7">
        <w:rPr>
          <w:color w:val="000000" w:themeColor="text1"/>
        </w:rPr>
        <w:t>15</w:t>
      </w:r>
      <w:r w:rsidRPr="00C21B75">
        <w:rPr>
          <w:color w:val="000000" w:themeColor="text1"/>
        </w:rPr>
        <w:t>, this expenditure included $</w:t>
      </w:r>
      <w:r w:rsidR="001240A7" w:rsidRPr="001240A7">
        <w:rPr>
          <w:color w:val="000000" w:themeColor="text1"/>
        </w:rPr>
        <w:t>2.7</w:t>
      </w:r>
      <w:r w:rsidRPr="00C21B75">
        <w:rPr>
          <w:color w:val="000000" w:themeColor="text1"/>
        </w:rPr>
        <w:t xml:space="preserve"> billion for public housing and </w:t>
      </w:r>
      <w:r w:rsidRPr="00DC3010">
        <w:rPr>
          <w:color w:val="000000" w:themeColor="text1"/>
        </w:rPr>
        <w:t>$</w:t>
      </w:r>
      <w:r w:rsidR="001240A7" w:rsidRPr="001240A7">
        <w:rPr>
          <w:color w:val="000000" w:themeColor="text1"/>
        </w:rPr>
        <w:t>110.4</w:t>
      </w:r>
      <w:r w:rsidRPr="00DC3010">
        <w:rPr>
          <w:color w:val="000000" w:themeColor="text1"/>
        </w:rPr>
        <w:t xml:space="preserve"> million for </w:t>
      </w:r>
      <w:proofErr w:type="spellStart"/>
      <w:r w:rsidRPr="00DC3010">
        <w:rPr>
          <w:color w:val="000000" w:themeColor="text1"/>
        </w:rPr>
        <w:t>SOMIH</w:t>
      </w:r>
      <w:proofErr w:type="spellEnd"/>
      <w:r w:rsidRPr="00C21B75">
        <w:rPr>
          <w:color w:val="000000" w:themeColor="text1"/>
        </w:rPr>
        <w:t xml:space="preserve"> (table</w:t>
      </w:r>
      <w:r w:rsidR="007D1214">
        <w:rPr>
          <w:color w:val="000000" w:themeColor="text1"/>
        </w:rPr>
        <w:t> </w:t>
      </w:r>
      <w:proofErr w:type="spellStart"/>
      <w:r w:rsidR="00B80C21" w:rsidRPr="00C21B75">
        <w:rPr>
          <w:color w:val="000000" w:themeColor="text1"/>
        </w:rPr>
        <w:t>17A</w:t>
      </w:r>
      <w:r w:rsidRPr="00C21B75">
        <w:rPr>
          <w:color w:val="000000" w:themeColor="text1"/>
        </w:rPr>
        <w:t>.</w:t>
      </w:r>
      <w:r w:rsidR="002C21C4" w:rsidRPr="00C21B75">
        <w:rPr>
          <w:color w:val="000000" w:themeColor="text1"/>
        </w:rPr>
        <w:t>2</w:t>
      </w:r>
      <w:proofErr w:type="spellEnd"/>
      <w:r w:rsidRPr="00C21B75">
        <w:rPr>
          <w:color w:val="000000" w:themeColor="text1"/>
        </w:rPr>
        <w:t>).</w:t>
      </w:r>
      <w:r w:rsidR="009C0D03">
        <w:rPr>
          <w:color w:val="000000" w:themeColor="text1"/>
        </w:rPr>
        <w:t xml:space="preserve"> </w:t>
      </w:r>
    </w:p>
    <w:p w:rsidR="00652AD7" w:rsidRPr="000958E6" w:rsidRDefault="00652AD7" w:rsidP="000958E6">
      <w:pPr>
        <w:pStyle w:val="BodyText"/>
      </w:pPr>
      <w:r w:rsidRPr="000958E6">
        <w:t xml:space="preserve">The Australian Government </w:t>
      </w:r>
      <w:r w:rsidRPr="005E340A">
        <w:t>provided $</w:t>
      </w:r>
      <w:r w:rsidR="00B25F58" w:rsidRPr="005E340A">
        <w:t>1.9</w:t>
      </w:r>
      <w:r w:rsidR="00C615A4" w:rsidRPr="005E340A">
        <w:t xml:space="preserve"> </w:t>
      </w:r>
      <w:r w:rsidRPr="005E340A">
        <w:t>billion</w:t>
      </w:r>
      <w:r w:rsidRPr="000958E6">
        <w:t xml:space="preserve"> in </w:t>
      </w:r>
      <w:r w:rsidRPr="001240A7">
        <w:t>201</w:t>
      </w:r>
      <w:r w:rsidR="001240A7" w:rsidRPr="001240A7">
        <w:t>4</w:t>
      </w:r>
      <w:r w:rsidR="007D1214">
        <w:noBreakHyphen/>
      </w:r>
      <w:r w:rsidRPr="001240A7">
        <w:t>1</w:t>
      </w:r>
      <w:r w:rsidR="001240A7" w:rsidRPr="001240A7">
        <w:t>5</w:t>
      </w:r>
      <w:r w:rsidRPr="000958E6">
        <w:t xml:space="preserve"> to State and Territory governments for housing assistance through the NAH </w:t>
      </w:r>
      <w:proofErr w:type="spellStart"/>
      <w:r w:rsidRPr="000958E6">
        <w:t>SPP</w:t>
      </w:r>
      <w:proofErr w:type="spellEnd"/>
      <w:r w:rsidRPr="000958E6">
        <w:t xml:space="preserve"> and related National Partnership agreements</w:t>
      </w:r>
      <w:r w:rsidR="00972046" w:rsidRPr="000958E6">
        <w:t xml:space="preserve"> (table GA.1). </w:t>
      </w:r>
      <w:r w:rsidRPr="000958E6">
        <w:t xml:space="preserve">NAH </w:t>
      </w:r>
      <w:proofErr w:type="spellStart"/>
      <w:r w:rsidRPr="000958E6">
        <w:t>SPP</w:t>
      </w:r>
      <w:proofErr w:type="spellEnd"/>
      <w:r w:rsidRPr="000958E6">
        <w:t xml:space="preserve"> funding is outcome based and not tied to specific programs, and Australian Government funding is reflected in data for State and Territory government net recurrent expenditure.</w:t>
      </w:r>
    </w:p>
    <w:p w:rsidR="0031506D" w:rsidRPr="0031506D" w:rsidRDefault="0031506D" w:rsidP="0031506D">
      <w:pPr>
        <w:pStyle w:val="BodyText"/>
      </w:pPr>
      <w:r w:rsidRPr="0031506D">
        <w:t xml:space="preserve">State and Territory government capital expenditure for social housing was </w:t>
      </w:r>
      <w:r w:rsidR="000D5006">
        <w:t xml:space="preserve">more than </w:t>
      </w:r>
      <w:r w:rsidRPr="0031506D">
        <w:t>$</w:t>
      </w:r>
      <w:r w:rsidR="000D5006">
        <w:t>1</w:t>
      </w:r>
      <w:r w:rsidRPr="0031506D">
        <w:t xml:space="preserve"> billion in </w:t>
      </w:r>
      <w:r w:rsidR="001240A7" w:rsidRPr="001240A7">
        <w:t>2014</w:t>
      </w:r>
      <w:r w:rsidR="007D1214">
        <w:noBreakHyphen/>
      </w:r>
      <w:r w:rsidR="001240A7" w:rsidRPr="001240A7">
        <w:t>15</w:t>
      </w:r>
      <w:r w:rsidRPr="0031506D">
        <w:t xml:space="preserve">, which was </w:t>
      </w:r>
      <w:r w:rsidR="002751A4">
        <w:t xml:space="preserve">also </w:t>
      </w:r>
      <w:r w:rsidRPr="0031506D">
        <w:t xml:space="preserve">partly funded by the Australian Government </w:t>
      </w:r>
      <w:r w:rsidR="000D5006">
        <w:t xml:space="preserve">through the NAH </w:t>
      </w:r>
      <w:proofErr w:type="spellStart"/>
      <w:r w:rsidR="000D5006">
        <w:t>SPP</w:t>
      </w:r>
      <w:proofErr w:type="spellEnd"/>
      <w:r w:rsidR="000D5006">
        <w:t xml:space="preserve"> (table </w:t>
      </w:r>
      <w:proofErr w:type="spellStart"/>
      <w:r w:rsidR="000D5006">
        <w:t>17A.2</w:t>
      </w:r>
      <w:proofErr w:type="spellEnd"/>
      <w:r w:rsidRPr="0031506D">
        <w:t>).</w:t>
      </w:r>
    </w:p>
    <w:p w:rsidR="00F45E11" w:rsidRDefault="00A25FFE" w:rsidP="000958E6">
      <w:pPr>
        <w:pStyle w:val="BodyText"/>
      </w:pPr>
      <w:r w:rsidRPr="000958E6">
        <w:t>The A</w:t>
      </w:r>
      <w:r w:rsidR="00652AD7" w:rsidRPr="000958E6">
        <w:t xml:space="preserve">ustralian Government also provided </w:t>
      </w:r>
      <w:r w:rsidR="00277D73" w:rsidRPr="00B25EBD">
        <w:t>$</w:t>
      </w:r>
      <w:r w:rsidR="00B25EBD" w:rsidRPr="00B25EBD">
        <w:t>4</w:t>
      </w:r>
      <w:r w:rsidR="00D709D5" w:rsidRPr="00B25EBD">
        <w:t>.</w:t>
      </w:r>
      <w:r w:rsidR="00B25EBD" w:rsidRPr="00B25EBD">
        <w:t>2</w:t>
      </w:r>
      <w:r w:rsidR="00B609E9" w:rsidRPr="00B25EBD">
        <w:t xml:space="preserve"> billion </w:t>
      </w:r>
      <w:r w:rsidR="00277D73" w:rsidRPr="00B25EBD">
        <w:t>for CRA</w:t>
      </w:r>
      <w:r w:rsidR="0012332F" w:rsidRPr="00B25EBD">
        <w:t xml:space="preserve"> </w:t>
      </w:r>
      <w:r w:rsidR="00CC2BA0" w:rsidRPr="00B25EBD">
        <w:t>(table GA.1</w:t>
      </w:r>
      <w:r w:rsidR="00B25EBD" w:rsidRPr="00B25EBD">
        <w:t>3</w:t>
      </w:r>
      <w:r w:rsidR="00A2213E" w:rsidRPr="00B25EBD">
        <w:t>).</w:t>
      </w:r>
      <w:r w:rsidR="0057714A">
        <w:t xml:space="preserve"> Additional data ar</w:t>
      </w:r>
      <w:r w:rsidR="002751A4">
        <w:t>e available on CRA</w:t>
      </w:r>
      <w:r w:rsidR="0057714A">
        <w:t xml:space="preserve"> in the Housing and </w:t>
      </w:r>
      <w:r w:rsidR="00A0161E">
        <w:t xml:space="preserve">homelessness services </w:t>
      </w:r>
      <w:r w:rsidR="0057714A">
        <w:t xml:space="preserve">sector overview </w:t>
      </w:r>
      <w:r w:rsidR="0057714A" w:rsidRPr="005B2643">
        <w:t>(tables</w:t>
      </w:r>
      <w:r w:rsidR="00A0161E">
        <w:t> </w:t>
      </w:r>
      <w:r w:rsidR="0057714A" w:rsidRPr="005B2643">
        <w:t>GA</w:t>
      </w:r>
      <w:r w:rsidR="00A0161E">
        <w:t>.</w:t>
      </w:r>
      <w:r w:rsidR="0057714A" w:rsidRPr="005B2643">
        <w:t>1</w:t>
      </w:r>
      <w:r w:rsidR="00A0161E">
        <w:t>3–34</w:t>
      </w:r>
      <w:r w:rsidR="0057714A" w:rsidRPr="005B2643">
        <w:t>).</w:t>
      </w:r>
    </w:p>
    <w:p w:rsidR="004D0537" w:rsidRDefault="004D0537" w:rsidP="0037665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4D0537" w:rsidTr="0037665F">
        <w:tc>
          <w:tcPr>
            <w:tcW w:w="8771" w:type="dxa"/>
            <w:tcBorders>
              <w:top w:val="single" w:sz="6" w:space="0" w:color="78A22F"/>
              <w:left w:val="nil"/>
              <w:bottom w:val="nil"/>
              <w:right w:val="nil"/>
            </w:tcBorders>
            <w:shd w:val="clear" w:color="auto" w:fill="auto"/>
          </w:tcPr>
          <w:p w:rsidR="004D0537" w:rsidRPr="00784A05" w:rsidRDefault="004D0537" w:rsidP="004D0537">
            <w:pPr>
              <w:pStyle w:val="TableTitle"/>
            </w:pPr>
            <w:r>
              <w:rPr>
                <w:b w:val="0"/>
              </w:rPr>
              <w:t>Table 17.</w:t>
            </w:r>
            <w:r w:rsidR="00EF0AA4">
              <w:rPr>
                <w:b w:val="0"/>
                <w:noProof/>
              </w:rPr>
              <w:t>1</w:t>
            </w:r>
            <w:r>
              <w:tab/>
            </w:r>
            <w:r w:rsidRPr="00620779">
              <w:t>State and Territory government net recurrent expenditure on</w:t>
            </w:r>
            <w:r>
              <w:t xml:space="preserve"> social housing ($million) (2014–15</w:t>
            </w:r>
            <w:r w:rsidRPr="00620779">
              <w:t xml:space="preserve"> dollars)</w:t>
            </w:r>
            <w:r>
              <w:rPr>
                <w:rStyle w:val="NoteLabel"/>
                <w:b/>
              </w:rPr>
              <w:t>a</w:t>
            </w:r>
          </w:p>
        </w:tc>
      </w:tr>
      <w:tr w:rsidR="004D0537" w:rsidTr="0037665F">
        <w:trPr>
          <w:cantSplit/>
        </w:trPr>
        <w:tc>
          <w:tcPr>
            <w:tcW w:w="8771" w:type="dxa"/>
            <w:tcBorders>
              <w:top w:val="nil"/>
              <w:left w:val="nil"/>
              <w:bottom w:val="nil"/>
              <w:right w:val="nil"/>
            </w:tcBorders>
            <w:shd w:val="clear" w:color="auto" w:fill="auto"/>
          </w:tcPr>
          <w:tbl>
            <w:tblPr>
              <w:tblW w:w="0" w:type="auto"/>
              <w:tblCellMar>
                <w:top w:w="28" w:type="dxa"/>
                <w:left w:w="0" w:type="dxa"/>
                <w:right w:w="0" w:type="dxa"/>
              </w:tblCellMar>
              <w:tblLook w:val="0000" w:firstRow="0" w:lastRow="0" w:firstColumn="0" w:lastColumn="0" w:noHBand="0" w:noVBand="0"/>
            </w:tblPr>
            <w:tblGrid>
              <w:gridCol w:w="8483"/>
            </w:tblGrid>
            <w:tr w:rsidR="004D0537" w:rsidTr="004D0537">
              <w:trPr>
                <w:trHeight w:val="1262"/>
              </w:trPr>
              <w:tc>
                <w:tcPr>
                  <w:tcW w:w="0" w:type="auto"/>
                  <w:tcBorders>
                    <w:top w:val="single" w:sz="6" w:space="0" w:color="BFBFBF"/>
                  </w:tcBorders>
                  <w:shd w:val="clear" w:color="auto" w:fill="auto"/>
                  <w:tcMar>
                    <w:top w:w="28" w:type="dxa"/>
                  </w:tcMar>
                </w:tcPr>
                <w:tbl>
                  <w:tblPr>
                    <w:tblW w:w="8483" w:type="dxa"/>
                    <w:tblCellMar>
                      <w:top w:w="28" w:type="dxa"/>
                      <w:left w:w="0" w:type="dxa"/>
                      <w:right w:w="0" w:type="dxa"/>
                    </w:tblCellMar>
                    <w:tblLook w:val="0000" w:firstRow="0" w:lastRow="0" w:firstColumn="0" w:lastColumn="0" w:noHBand="0" w:noVBand="0"/>
                  </w:tblPr>
                  <w:tblGrid>
                    <w:gridCol w:w="849"/>
                    <w:gridCol w:w="849"/>
                    <w:gridCol w:w="849"/>
                    <w:gridCol w:w="848"/>
                    <w:gridCol w:w="848"/>
                    <w:gridCol w:w="848"/>
                    <w:gridCol w:w="848"/>
                    <w:gridCol w:w="848"/>
                    <w:gridCol w:w="848"/>
                    <w:gridCol w:w="848"/>
                  </w:tblGrid>
                  <w:tr w:rsidR="004D0537" w:rsidRPr="00E65149" w:rsidTr="008F59A9">
                    <w:tc>
                      <w:tcPr>
                        <w:tcW w:w="500" w:type="pct"/>
                        <w:tcBorders>
                          <w:bottom w:val="single" w:sz="6" w:space="0" w:color="BFBFBF"/>
                        </w:tcBorders>
                        <w:shd w:val="clear" w:color="auto" w:fill="auto"/>
                        <w:tcMar>
                          <w:top w:w="28" w:type="dxa"/>
                        </w:tcMar>
                      </w:tcPr>
                      <w:p w:rsidR="004D0537" w:rsidRPr="00D1336A" w:rsidRDefault="004D0537" w:rsidP="0037665F">
                        <w:pPr>
                          <w:pStyle w:val="TableColumnHeading"/>
                          <w:pBdr>
                            <w:left w:val="single" w:sz="4" w:space="1" w:color="auto"/>
                          </w:pBdr>
                          <w:jc w:val="left"/>
                        </w:pPr>
                      </w:p>
                    </w:tc>
                    <w:tc>
                      <w:tcPr>
                        <w:tcW w:w="500" w:type="pct"/>
                        <w:tcBorders>
                          <w:bottom w:val="single" w:sz="6" w:space="0" w:color="BFBFBF"/>
                        </w:tcBorders>
                      </w:tcPr>
                      <w:p w:rsidR="004D0537" w:rsidRPr="00904B30" w:rsidRDefault="004D0537" w:rsidP="0037665F">
                        <w:pPr>
                          <w:pStyle w:val="TableColumnHeading"/>
                          <w:pBdr>
                            <w:left w:val="single" w:sz="4" w:space="1" w:color="auto"/>
                          </w:pBdr>
                          <w:spacing w:before="140"/>
                          <w:ind w:left="0" w:right="28"/>
                          <w:rPr>
                            <w:b/>
                          </w:rPr>
                        </w:pPr>
                        <w:r w:rsidRPr="00932A5E">
                          <w:t>NSW</w:t>
                        </w:r>
                      </w:p>
                    </w:tc>
                    <w:tc>
                      <w:tcPr>
                        <w:tcW w:w="500" w:type="pct"/>
                        <w:tcBorders>
                          <w:bottom w:val="single" w:sz="6" w:space="0" w:color="BFBFBF"/>
                        </w:tcBorders>
                      </w:tcPr>
                      <w:p w:rsidR="004D0537" w:rsidRPr="00E65149" w:rsidRDefault="004D0537" w:rsidP="0037665F">
                        <w:pPr>
                          <w:pStyle w:val="TableColumnHeading"/>
                          <w:pBdr>
                            <w:left w:val="single" w:sz="4" w:space="1" w:color="auto"/>
                          </w:pBdr>
                          <w:spacing w:before="140"/>
                          <w:ind w:left="0" w:right="28"/>
                          <w:rPr>
                            <w:rStyle w:val="NoteLabel"/>
                            <w:i w:val="0"/>
                          </w:rPr>
                        </w:pPr>
                        <w:r w:rsidRPr="00E65149">
                          <w:t>Vic</w:t>
                        </w:r>
                      </w:p>
                    </w:tc>
                    <w:tc>
                      <w:tcPr>
                        <w:tcW w:w="500" w:type="pct"/>
                        <w:tcBorders>
                          <w:bottom w:val="single" w:sz="6" w:space="0" w:color="BFBFBF"/>
                        </w:tcBorders>
                      </w:tcPr>
                      <w:p w:rsidR="004D0537" w:rsidRPr="00E65149" w:rsidRDefault="004D0537" w:rsidP="0037665F">
                        <w:pPr>
                          <w:pStyle w:val="TableColumnHeading"/>
                          <w:pBdr>
                            <w:left w:val="single" w:sz="4" w:space="1" w:color="auto"/>
                          </w:pBdr>
                          <w:spacing w:before="140"/>
                          <w:ind w:left="0" w:right="28"/>
                        </w:pPr>
                        <w:r w:rsidRPr="00E65149">
                          <w:t>Qld</w:t>
                        </w:r>
                      </w:p>
                    </w:tc>
                    <w:tc>
                      <w:tcPr>
                        <w:tcW w:w="500" w:type="pct"/>
                        <w:tcBorders>
                          <w:bottom w:val="single" w:sz="6" w:space="0" w:color="BFBFBF"/>
                        </w:tcBorders>
                      </w:tcPr>
                      <w:p w:rsidR="004D0537" w:rsidRPr="00E65149" w:rsidRDefault="004D0537" w:rsidP="0037665F">
                        <w:pPr>
                          <w:pStyle w:val="TableColumnHeading"/>
                          <w:pBdr>
                            <w:left w:val="single" w:sz="4" w:space="1" w:color="auto"/>
                          </w:pBdr>
                          <w:spacing w:before="140"/>
                          <w:ind w:left="0" w:right="28"/>
                        </w:pPr>
                        <w:r w:rsidRPr="00E65149">
                          <w:t>WA</w:t>
                        </w:r>
                      </w:p>
                    </w:tc>
                    <w:tc>
                      <w:tcPr>
                        <w:tcW w:w="500" w:type="pct"/>
                        <w:tcBorders>
                          <w:bottom w:val="single" w:sz="6" w:space="0" w:color="BFBFBF"/>
                        </w:tcBorders>
                      </w:tcPr>
                      <w:p w:rsidR="004D0537" w:rsidRPr="00E65149" w:rsidRDefault="004D0537" w:rsidP="0037665F">
                        <w:pPr>
                          <w:pStyle w:val="TableColumnHeading"/>
                          <w:pBdr>
                            <w:left w:val="single" w:sz="4" w:space="1" w:color="auto"/>
                          </w:pBdr>
                          <w:spacing w:before="140"/>
                          <w:ind w:left="0" w:right="28"/>
                        </w:pPr>
                        <w:r w:rsidRPr="00E65149">
                          <w:t>SA</w:t>
                        </w:r>
                      </w:p>
                    </w:tc>
                    <w:tc>
                      <w:tcPr>
                        <w:tcW w:w="500" w:type="pct"/>
                        <w:tcBorders>
                          <w:bottom w:val="single" w:sz="6" w:space="0" w:color="BFBFBF"/>
                        </w:tcBorders>
                      </w:tcPr>
                      <w:p w:rsidR="004D0537" w:rsidRPr="00E65149" w:rsidRDefault="004D0537" w:rsidP="0037665F">
                        <w:pPr>
                          <w:pStyle w:val="TableColumnHeading"/>
                          <w:pBdr>
                            <w:left w:val="single" w:sz="4" w:space="1" w:color="auto"/>
                          </w:pBdr>
                          <w:spacing w:before="140"/>
                          <w:ind w:left="0" w:right="28"/>
                        </w:pPr>
                        <w:r w:rsidRPr="00E65149">
                          <w:t>Tas</w:t>
                        </w:r>
                      </w:p>
                    </w:tc>
                    <w:tc>
                      <w:tcPr>
                        <w:tcW w:w="500" w:type="pct"/>
                        <w:tcBorders>
                          <w:bottom w:val="single" w:sz="6" w:space="0" w:color="BFBFBF"/>
                        </w:tcBorders>
                      </w:tcPr>
                      <w:p w:rsidR="004D0537" w:rsidRPr="00E65149" w:rsidRDefault="004D0537" w:rsidP="0037665F">
                        <w:pPr>
                          <w:pStyle w:val="TableColumnHeading"/>
                          <w:pBdr>
                            <w:left w:val="single" w:sz="4" w:space="1" w:color="auto"/>
                          </w:pBdr>
                          <w:spacing w:before="140"/>
                          <w:ind w:left="0" w:right="28"/>
                        </w:pPr>
                        <w:r w:rsidRPr="00E65149">
                          <w:t>ACT</w:t>
                        </w:r>
                      </w:p>
                    </w:tc>
                    <w:tc>
                      <w:tcPr>
                        <w:tcW w:w="500" w:type="pct"/>
                        <w:tcBorders>
                          <w:bottom w:val="single" w:sz="6" w:space="0" w:color="BFBFBF"/>
                        </w:tcBorders>
                        <w:shd w:val="clear" w:color="auto" w:fill="auto"/>
                        <w:tcMar>
                          <w:top w:w="28" w:type="dxa"/>
                        </w:tcMar>
                      </w:tcPr>
                      <w:p w:rsidR="004D0537" w:rsidRPr="00E65149" w:rsidRDefault="004D0537" w:rsidP="0037665F">
                        <w:pPr>
                          <w:pStyle w:val="TableColumnHeading"/>
                          <w:pBdr>
                            <w:left w:val="single" w:sz="4" w:space="1" w:color="auto"/>
                          </w:pBdr>
                          <w:spacing w:before="140"/>
                          <w:ind w:left="0" w:right="28"/>
                        </w:pPr>
                        <w:r w:rsidRPr="00E65149">
                          <w:t>NT</w:t>
                        </w:r>
                      </w:p>
                    </w:tc>
                    <w:tc>
                      <w:tcPr>
                        <w:tcW w:w="500" w:type="pct"/>
                        <w:tcBorders>
                          <w:bottom w:val="single" w:sz="6" w:space="0" w:color="BFBFBF"/>
                        </w:tcBorders>
                        <w:shd w:val="clear" w:color="auto" w:fill="auto"/>
                        <w:tcMar>
                          <w:top w:w="28" w:type="dxa"/>
                        </w:tcMar>
                      </w:tcPr>
                      <w:p w:rsidR="004D0537" w:rsidRPr="00E65149" w:rsidRDefault="004D0537" w:rsidP="0037665F">
                        <w:pPr>
                          <w:pStyle w:val="TableColumnHeading"/>
                          <w:pBdr>
                            <w:left w:val="single" w:sz="4" w:space="1" w:color="auto"/>
                          </w:pBdr>
                          <w:spacing w:before="140"/>
                          <w:ind w:right="28"/>
                        </w:pPr>
                        <w:r w:rsidRPr="00E65149">
                          <w:t>Aust</w:t>
                        </w:r>
                      </w:p>
                    </w:tc>
                  </w:tr>
                  <w:tr w:rsidR="004D0537" w:rsidTr="004D0537">
                    <w:tc>
                      <w:tcPr>
                        <w:tcW w:w="500" w:type="pct"/>
                        <w:tcBorders>
                          <w:top w:val="single" w:sz="6" w:space="0" w:color="BFBFBF"/>
                        </w:tcBorders>
                        <w:vAlign w:val="bottom"/>
                      </w:tcPr>
                      <w:p w:rsidR="004D0537" w:rsidRPr="005B2643" w:rsidRDefault="004D0537" w:rsidP="0037665F">
                        <w:pPr>
                          <w:pStyle w:val="TableBodyText"/>
                        </w:pPr>
                        <w:r w:rsidRPr="005B2643">
                          <w:t>2014</w:t>
                        </w:r>
                        <w:r w:rsidR="007D1214">
                          <w:noBreakHyphen/>
                        </w:r>
                        <w:r w:rsidRPr="005B2643">
                          <w:t>15</w:t>
                        </w:r>
                      </w:p>
                    </w:tc>
                    <w:tc>
                      <w:tcPr>
                        <w:tcW w:w="500" w:type="pct"/>
                        <w:tcBorders>
                          <w:top w:val="single" w:sz="6" w:space="0" w:color="BFBFBF"/>
                        </w:tcBorders>
                      </w:tcPr>
                      <w:p w:rsidR="004D0537" w:rsidRPr="009C0F99" w:rsidRDefault="004D0537" w:rsidP="0037665F">
                        <w:pPr>
                          <w:pStyle w:val="TableBodyText"/>
                        </w:pPr>
                        <w:r w:rsidRPr="009C0F99">
                          <w:t xml:space="preserve">  879.0</w:t>
                        </w:r>
                      </w:p>
                    </w:tc>
                    <w:tc>
                      <w:tcPr>
                        <w:tcW w:w="500" w:type="pct"/>
                        <w:tcBorders>
                          <w:top w:val="single" w:sz="6" w:space="0" w:color="BFBFBF"/>
                        </w:tcBorders>
                      </w:tcPr>
                      <w:p w:rsidR="004D0537" w:rsidRPr="009C0F99" w:rsidRDefault="007D1214" w:rsidP="0037665F">
                        <w:pPr>
                          <w:pStyle w:val="TableBodyText"/>
                        </w:pPr>
                        <w:r>
                          <w:t xml:space="preserve"> </w:t>
                        </w:r>
                        <w:r w:rsidR="004D0537" w:rsidRPr="009C0F99">
                          <w:t>760.7</w:t>
                        </w:r>
                      </w:p>
                    </w:tc>
                    <w:tc>
                      <w:tcPr>
                        <w:tcW w:w="500" w:type="pct"/>
                        <w:tcBorders>
                          <w:top w:val="single" w:sz="6" w:space="0" w:color="BFBFBF"/>
                        </w:tcBorders>
                      </w:tcPr>
                      <w:p w:rsidR="004D0537" w:rsidRPr="009C0F99" w:rsidRDefault="007D1214" w:rsidP="0037665F">
                        <w:pPr>
                          <w:pStyle w:val="TableBodyText"/>
                        </w:pPr>
                        <w:r>
                          <w:t xml:space="preserve"> </w:t>
                        </w:r>
                        <w:r w:rsidR="004D0537" w:rsidRPr="009C0F99">
                          <w:t>536.9</w:t>
                        </w:r>
                      </w:p>
                    </w:tc>
                    <w:tc>
                      <w:tcPr>
                        <w:tcW w:w="500" w:type="pct"/>
                        <w:tcBorders>
                          <w:top w:val="single" w:sz="6" w:space="0" w:color="BFBFBF"/>
                        </w:tcBorders>
                      </w:tcPr>
                      <w:p w:rsidR="004D0537" w:rsidRPr="009C0F99" w:rsidRDefault="007D1214" w:rsidP="0037665F">
                        <w:pPr>
                          <w:pStyle w:val="TableBodyText"/>
                        </w:pPr>
                        <w:r>
                          <w:t xml:space="preserve"> </w:t>
                        </w:r>
                        <w:r w:rsidR="004D0537" w:rsidRPr="009C0F99">
                          <w:t>671.7</w:t>
                        </w:r>
                      </w:p>
                    </w:tc>
                    <w:tc>
                      <w:tcPr>
                        <w:tcW w:w="500" w:type="pct"/>
                        <w:tcBorders>
                          <w:top w:val="single" w:sz="6" w:space="0" w:color="BFBFBF"/>
                        </w:tcBorders>
                      </w:tcPr>
                      <w:p w:rsidR="004D0537" w:rsidRPr="009C0F99" w:rsidRDefault="007D1214" w:rsidP="0037665F">
                        <w:pPr>
                          <w:pStyle w:val="TableBodyText"/>
                        </w:pPr>
                        <w:r>
                          <w:t xml:space="preserve"> </w:t>
                        </w:r>
                        <w:r w:rsidR="004D0537" w:rsidRPr="009C0F99">
                          <w:t>404.2</w:t>
                        </w:r>
                      </w:p>
                    </w:tc>
                    <w:tc>
                      <w:tcPr>
                        <w:tcW w:w="500" w:type="pct"/>
                        <w:tcBorders>
                          <w:top w:val="single" w:sz="6" w:space="0" w:color="BFBFBF"/>
                        </w:tcBorders>
                      </w:tcPr>
                      <w:p w:rsidR="004D0537" w:rsidRPr="009C0F99" w:rsidRDefault="007D1214" w:rsidP="0037665F">
                        <w:pPr>
                          <w:pStyle w:val="TableBodyText"/>
                        </w:pPr>
                        <w:r>
                          <w:t xml:space="preserve"> </w:t>
                        </w:r>
                        <w:r w:rsidR="004D0537" w:rsidRPr="009C0F99">
                          <w:t>95.1</w:t>
                        </w:r>
                      </w:p>
                    </w:tc>
                    <w:tc>
                      <w:tcPr>
                        <w:tcW w:w="500" w:type="pct"/>
                        <w:tcBorders>
                          <w:top w:val="single" w:sz="6" w:space="0" w:color="BFBFBF"/>
                        </w:tcBorders>
                      </w:tcPr>
                      <w:p w:rsidR="004D0537" w:rsidRPr="009C0F99" w:rsidRDefault="007D1214" w:rsidP="0037665F">
                        <w:pPr>
                          <w:pStyle w:val="TableBodyText"/>
                        </w:pPr>
                        <w:r>
                          <w:t xml:space="preserve"> </w:t>
                        </w:r>
                        <w:r w:rsidR="004D0537" w:rsidRPr="009C0F99">
                          <w:t>111.7</w:t>
                        </w:r>
                      </w:p>
                    </w:tc>
                    <w:tc>
                      <w:tcPr>
                        <w:tcW w:w="500" w:type="pct"/>
                        <w:tcBorders>
                          <w:top w:val="single" w:sz="6" w:space="0" w:color="BFBFBF"/>
                        </w:tcBorders>
                      </w:tcPr>
                      <w:p w:rsidR="004D0537" w:rsidRPr="009C0F99" w:rsidRDefault="007D1214" w:rsidP="0037665F">
                        <w:pPr>
                          <w:pStyle w:val="TableBodyText"/>
                        </w:pPr>
                        <w:r>
                          <w:t xml:space="preserve"> </w:t>
                        </w:r>
                        <w:r w:rsidR="004D0537" w:rsidRPr="009C0F99">
                          <w:t>81.3</w:t>
                        </w:r>
                      </w:p>
                    </w:tc>
                    <w:tc>
                      <w:tcPr>
                        <w:tcW w:w="500" w:type="pct"/>
                        <w:tcBorders>
                          <w:top w:val="single" w:sz="6" w:space="0" w:color="BFBFBF"/>
                        </w:tcBorders>
                      </w:tcPr>
                      <w:p w:rsidR="004D0537" w:rsidRDefault="004D0537" w:rsidP="0037665F">
                        <w:pPr>
                          <w:pStyle w:val="TableBodyText"/>
                        </w:pPr>
                        <w:r w:rsidRPr="009C0F99">
                          <w:t xml:space="preserve"> 3 540.6</w:t>
                        </w:r>
                      </w:p>
                    </w:tc>
                  </w:tr>
                  <w:tr w:rsidR="004D0537" w:rsidTr="004D0537">
                    <w:tc>
                      <w:tcPr>
                        <w:tcW w:w="500" w:type="pct"/>
                        <w:vAlign w:val="bottom"/>
                      </w:tcPr>
                      <w:p w:rsidR="004D0537" w:rsidRPr="005B2643" w:rsidRDefault="004D0537" w:rsidP="0037665F">
                        <w:pPr>
                          <w:pStyle w:val="TableBodyText"/>
                        </w:pPr>
                        <w:r w:rsidRPr="005B2643">
                          <w:t>2013</w:t>
                        </w:r>
                        <w:r w:rsidR="007D1214">
                          <w:noBreakHyphen/>
                        </w:r>
                        <w:r w:rsidRPr="005B2643">
                          <w:t>14</w:t>
                        </w:r>
                      </w:p>
                    </w:tc>
                    <w:tc>
                      <w:tcPr>
                        <w:tcW w:w="500" w:type="pct"/>
                      </w:tcPr>
                      <w:p w:rsidR="004D0537" w:rsidRPr="00884417" w:rsidRDefault="007D1214" w:rsidP="0037665F">
                        <w:pPr>
                          <w:pStyle w:val="TableBodyText"/>
                        </w:pPr>
                        <w:r>
                          <w:t xml:space="preserve"> </w:t>
                        </w:r>
                        <w:r w:rsidR="004D0537" w:rsidRPr="00884417">
                          <w:t>906.9</w:t>
                        </w:r>
                      </w:p>
                    </w:tc>
                    <w:tc>
                      <w:tcPr>
                        <w:tcW w:w="500" w:type="pct"/>
                      </w:tcPr>
                      <w:p w:rsidR="004D0537" w:rsidRPr="00884417" w:rsidRDefault="007D1214" w:rsidP="0037665F">
                        <w:pPr>
                          <w:pStyle w:val="TableBodyText"/>
                        </w:pPr>
                        <w:r>
                          <w:t xml:space="preserve"> </w:t>
                        </w:r>
                        <w:r w:rsidR="004D0537" w:rsidRPr="00884417">
                          <w:t>686.7</w:t>
                        </w:r>
                      </w:p>
                    </w:tc>
                    <w:tc>
                      <w:tcPr>
                        <w:tcW w:w="500" w:type="pct"/>
                      </w:tcPr>
                      <w:p w:rsidR="004D0537" w:rsidRPr="00884417" w:rsidRDefault="007D1214" w:rsidP="0037665F">
                        <w:pPr>
                          <w:pStyle w:val="TableBodyText"/>
                        </w:pPr>
                        <w:r>
                          <w:t xml:space="preserve"> </w:t>
                        </w:r>
                        <w:r w:rsidR="004D0537" w:rsidRPr="00884417">
                          <w:t>496.7</w:t>
                        </w:r>
                      </w:p>
                    </w:tc>
                    <w:tc>
                      <w:tcPr>
                        <w:tcW w:w="500" w:type="pct"/>
                      </w:tcPr>
                      <w:p w:rsidR="004D0537" w:rsidRPr="00884417" w:rsidRDefault="007D1214" w:rsidP="0037665F">
                        <w:pPr>
                          <w:pStyle w:val="TableBodyText"/>
                        </w:pPr>
                        <w:r>
                          <w:t xml:space="preserve"> </w:t>
                        </w:r>
                        <w:r w:rsidR="004D0537" w:rsidRPr="00884417">
                          <w:t>726.4</w:t>
                        </w:r>
                      </w:p>
                    </w:tc>
                    <w:tc>
                      <w:tcPr>
                        <w:tcW w:w="500" w:type="pct"/>
                      </w:tcPr>
                      <w:p w:rsidR="004D0537" w:rsidRPr="00884417" w:rsidRDefault="007D1214" w:rsidP="0037665F">
                        <w:pPr>
                          <w:pStyle w:val="TableBodyText"/>
                        </w:pPr>
                        <w:r>
                          <w:t xml:space="preserve"> </w:t>
                        </w:r>
                        <w:r w:rsidR="004D0537" w:rsidRPr="00884417">
                          <w:t>408.3</w:t>
                        </w:r>
                      </w:p>
                    </w:tc>
                    <w:tc>
                      <w:tcPr>
                        <w:tcW w:w="500" w:type="pct"/>
                      </w:tcPr>
                      <w:p w:rsidR="004D0537" w:rsidRPr="00884417" w:rsidRDefault="007D1214" w:rsidP="0037665F">
                        <w:pPr>
                          <w:pStyle w:val="TableBodyText"/>
                        </w:pPr>
                        <w:r>
                          <w:t xml:space="preserve"> </w:t>
                        </w:r>
                        <w:r w:rsidR="004D0537" w:rsidRPr="00884417">
                          <w:t>115.6</w:t>
                        </w:r>
                      </w:p>
                    </w:tc>
                    <w:tc>
                      <w:tcPr>
                        <w:tcW w:w="500" w:type="pct"/>
                      </w:tcPr>
                      <w:p w:rsidR="004D0537" w:rsidRPr="00884417" w:rsidRDefault="007D1214" w:rsidP="0037665F">
                        <w:pPr>
                          <w:pStyle w:val="TableBodyText"/>
                        </w:pPr>
                        <w:r>
                          <w:t xml:space="preserve"> </w:t>
                        </w:r>
                        <w:r w:rsidR="004D0537" w:rsidRPr="00884417">
                          <w:t>111.5</w:t>
                        </w:r>
                      </w:p>
                    </w:tc>
                    <w:tc>
                      <w:tcPr>
                        <w:tcW w:w="500" w:type="pct"/>
                      </w:tcPr>
                      <w:p w:rsidR="004D0537" w:rsidRPr="00884417" w:rsidRDefault="007D1214" w:rsidP="0037665F">
                        <w:pPr>
                          <w:pStyle w:val="TableBodyText"/>
                        </w:pPr>
                        <w:r>
                          <w:t xml:space="preserve"> </w:t>
                        </w:r>
                        <w:r w:rsidR="004D0537" w:rsidRPr="00884417">
                          <w:t>81.8</w:t>
                        </w:r>
                      </w:p>
                    </w:tc>
                    <w:tc>
                      <w:tcPr>
                        <w:tcW w:w="500" w:type="pct"/>
                      </w:tcPr>
                      <w:p w:rsidR="004D0537" w:rsidRDefault="004D0537" w:rsidP="0037665F">
                        <w:pPr>
                          <w:pStyle w:val="TableBodyText"/>
                        </w:pPr>
                        <w:r w:rsidRPr="00884417">
                          <w:t xml:space="preserve"> 3 534.1</w:t>
                        </w:r>
                      </w:p>
                    </w:tc>
                  </w:tr>
                  <w:tr w:rsidR="004D0537" w:rsidTr="004D0537">
                    <w:tc>
                      <w:tcPr>
                        <w:tcW w:w="500" w:type="pct"/>
                        <w:shd w:val="clear" w:color="auto" w:fill="auto"/>
                        <w:vAlign w:val="bottom"/>
                      </w:tcPr>
                      <w:p w:rsidR="004D0537" w:rsidRPr="005B2643" w:rsidRDefault="004D0537" w:rsidP="0037665F">
                        <w:pPr>
                          <w:pStyle w:val="TableBodyText"/>
                        </w:pPr>
                        <w:r w:rsidRPr="005B2643">
                          <w:t>2012</w:t>
                        </w:r>
                        <w:r w:rsidR="007D1214">
                          <w:noBreakHyphen/>
                        </w:r>
                        <w:r w:rsidRPr="005B2643">
                          <w:t>13</w:t>
                        </w:r>
                      </w:p>
                    </w:tc>
                    <w:tc>
                      <w:tcPr>
                        <w:tcW w:w="500" w:type="pct"/>
                      </w:tcPr>
                      <w:p w:rsidR="004D0537" w:rsidRPr="00C549EF" w:rsidRDefault="007D1214" w:rsidP="0037665F">
                        <w:pPr>
                          <w:pStyle w:val="TableBodyText"/>
                        </w:pPr>
                        <w:r>
                          <w:t xml:space="preserve"> </w:t>
                        </w:r>
                        <w:r w:rsidR="004D0537" w:rsidRPr="00C549EF">
                          <w:t>879.7</w:t>
                        </w:r>
                      </w:p>
                    </w:tc>
                    <w:tc>
                      <w:tcPr>
                        <w:tcW w:w="500" w:type="pct"/>
                      </w:tcPr>
                      <w:p w:rsidR="004D0537" w:rsidRPr="00C549EF" w:rsidRDefault="007D1214" w:rsidP="0037665F">
                        <w:pPr>
                          <w:pStyle w:val="TableBodyText"/>
                        </w:pPr>
                        <w:r>
                          <w:t xml:space="preserve"> </w:t>
                        </w:r>
                        <w:r w:rsidR="004D0537" w:rsidRPr="00C549EF">
                          <w:t>672.7</w:t>
                        </w:r>
                      </w:p>
                    </w:tc>
                    <w:tc>
                      <w:tcPr>
                        <w:tcW w:w="500" w:type="pct"/>
                      </w:tcPr>
                      <w:p w:rsidR="004D0537" w:rsidRPr="00C549EF" w:rsidRDefault="007D1214" w:rsidP="0037665F">
                        <w:pPr>
                          <w:pStyle w:val="TableBodyText"/>
                        </w:pPr>
                        <w:r>
                          <w:t xml:space="preserve"> </w:t>
                        </w:r>
                        <w:r w:rsidR="004D0537" w:rsidRPr="00C549EF">
                          <w:t>551.1</w:t>
                        </w:r>
                      </w:p>
                    </w:tc>
                    <w:tc>
                      <w:tcPr>
                        <w:tcW w:w="500" w:type="pct"/>
                      </w:tcPr>
                      <w:p w:rsidR="004D0537" w:rsidRPr="00C549EF" w:rsidRDefault="007D1214" w:rsidP="0037665F">
                        <w:pPr>
                          <w:pStyle w:val="TableBodyText"/>
                        </w:pPr>
                        <w:r>
                          <w:t xml:space="preserve"> </w:t>
                        </w:r>
                        <w:r w:rsidR="004D0537" w:rsidRPr="00C549EF">
                          <w:t>780.6</w:t>
                        </w:r>
                      </w:p>
                    </w:tc>
                    <w:tc>
                      <w:tcPr>
                        <w:tcW w:w="500" w:type="pct"/>
                      </w:tcPr>
                      <w:p w:rsidR="004D0537" w:rsidRPr="00C549EF" w:rsidRDefault="007D1214" w:rsidP="0037665F">
                        <w:pPr>
                          <w:pStyle w:val="TableBodyText"/>
                        </w:pPr>
                        <w:r>
                          <w:t xml:space="preserve"> </w:t>
                        </w:r>
                        <w:r w:rsidR="004D0537" w:rsidRPr="00C549EF">
                          <w:t>451.4</w:t>
                        </w:r>
                      </w:p>
                    </w:tc>
                    <w:tc>
                      <w:tcPr>
                        <w:tcW w:w="500" w:type="pct"/>
                      </w:tcPr>
                      <w:p w:rsidR="004D0537" w:rsidRPr="00C549EF" w:rsidRDefault="007D1214" w:rsidP="0037665F">
                        <w:pPr>
                          <w:pStyle w:val="TableBodyText"/>
                        </w:pPr>
                        <w:r>
                          <w:t xml:space="preserve"> </w:t>
                        </w:r>
                        <w:r w:rsidR="004D0537" w:rsidRPr="00C549EF">
                          <w:t>109.7</w:t>
                        </w:r>
                      </w:p>
                    </w:tc>
                    <w:tc>
                      <w:tcPr>
                        <w:tcW w:w="500" w:type="pct"/>
                      </w:tcPr>
                      <w:p w:rsidR="004D0537" w:rsidRPr="00C549EF" w:rsidRDefault="007D1214" w:rsidP="0037665F">
                        <w:pPr>
                          <w:pStyle w:val="TableBodyText"/>
                        </w:pPr>
                        <w:r>
                          <w:t xml:space="preserve"> </w:t>
                        </w:r>
                        <w:r w:rsidR="004D0537" w:rsidRPr="00C549EF">
                          <w:t>113.2</w:t>
                        </w:r>
                      </w:p>
                    </w:tc>
                    <w:tc>
                      <w:tcPr>
                        <w:tcW w:w="500" w:type="pct"/>
                        <w:shd w:val="clear" w:color="auto" w:fill="auto"/>
                      </w:tcPr>
                      <w:p w:rsidR="004D0537" w:rsidRPr="00C549EF" w:rsidRDefault="007D1214" w:rsidP="0037665F">
                        <w:pPr>
                          <w:pStyle w:val="TableBodyText"/>
                        </w:pPr>
                        <w:r>
                          <w:t xml:space="preserve"> </w:t>
                        </w:r>
                        <w:r w:rsidR="004D0537" w:rsidRPr="00C549EF">
                          <w:t>78.5</w:t>
                        </w:r>
                      </w:p>
                    </w:tc>
                    <w:tc>
                      <w:tcPr>
                        <w:tcW w:w="500" w:type="pct"/>
                        <w:shd w:val="clear" w:color="auto" w:fill="auto"/>
                      </w:tcPr>
                      <w:p w:rsidR="004D0537" w:rsidRDefault="004D0537" w:rsidP="0037665F">
                        <w:pPr>
                          <w:pStyle w:val="TableBodyText"/>
                        </w:pPr>
                        <w:r w:rsidRPr="00C549EF">
                          <w:t xml:space="preserve"> 3 636.9</w:t>
                        </w:r>
                      </w:p>
                    </w:tc>
                  </w:tr>
                  <w:tr w:rsidR="004D0537" w:rsidTr="004D0537">
                    <w:tc>
                      <w:tcPr>
                        <w:tcW w:w="500" w:type="pct"/>
                        <w:shd w:val="clear" w:color="auto" w:fill="auto"/>
                        <w:vAlign w:val="bottom"/>
                      </w:tcPr>
                      <w:p w:rsidR="004D0537" w:rsidRPr="005B2643" w:rsidRDefault="004D0537" w:rsidP="0037665F">
                        <w:pPr>
                          <w:pStyle w:val="TableBodyText"/>
                        </w:pPr>
                        <w:r w:rsidRPr="005B2643">
                          <w:t>2011</w:t>
                        </w:r>
                        <w:r w:rsidR="007D1214">
                          <w:noBreakHyphen/>
                        </w:r>
                        <w:r w:rsidRPr="005B2643">
                          <w:t>12</w:t>
                        </w:r>
                      </w:p>
                    </w:tc>
                    <w:tc>
                      <w:tcPr>
                        <w:tcW w:w="500" w:type="pct"/>
                      </w:tcPr>
                      <w:p w:rsidR="004D0537" w:rsidRPr="006E272C" w:rsidRDefault="004D0537" w:rsidP="0037665F">
                        <w:pPr>
                          <w:pStyle w:val="TableBodyText"/>
                        </w:pPr>
                        <w:r w:rsidRPr="006E272C">
                          <w:t xml:space="preserve"> 1 012.2</w:t>
                        </w:r>
                      </w:p>
                    </w:tc>
                    <w:tc>
                      <w:tcPr>
                        <w:tcW w:w="500" w:type="pct"/>
                      </w:tcPr>
                      <w:p w:rsidR="004D0537" w:rsidRPr="006E272C" w:rsidRDefault="007D1214" w:rsidP="0037665F">
                        <w:pPr>
                          <w:pStyle w:val="TableBodyText"/>
                        </w:pPr>
                        <w:r>
                          <w:t xml:space="preserve"> </w:t>
                        </w:r>
                        <w:r w:rsidR="004D0537" w:rsidRPr="006E272C">
                          <w:t>750.4</w:t>
                        </w:r>
                      </w:p>
                    </w:tc>
                    <w:tc>
                      <w:tcPr>
                        <w:tcW w:w="500" w:type="pct"/>
                        <w:shd w:val="clear" w:color="auto" w:fill="auto"/>
                      </w:tcPr>
                      <w:p w:rsidR="004D0537" w:rsidRPr="006E272C" w:rsidRDefault="007D1214" w:rsidP="0037665F">
                        <w:pPr>
                          <w:pStyle w:val="TableBodyText"/>
                        </w:pPr>
                        <w:r>
                          <w:t xml:space="preserve"> </w:t>
                        </w:r>
                        <w:r w:rsidR="004D0537" w:rsidRPr="006E272C">
                          <w:t>561.0</w:t>
                        </w:r>
                      </w:p>
                    </w:tc>
                    <w:tc>
                      <w:tcPr>
                        <w:tcW w:w="500" w:type="pct"/>
                      </w:tcPr>
                      <w:p w:rsidR="004D0537" w:rsidRPr="006E272C" w:rsidRDefault="007D1214" w:rsidP="0037665F">
                        <w:pPr>
                          <w:pStyle w:val="TableBodyText"/>
                        </w:pPr>
                        <w:r>
                          <w:t xml:space="preserve"> </w:t>
                        </w:r>
                        <w:r w:rsidR="004D0537" w:rsidRPr="006E272C">
                          <w:t>742.9</w:t>
                        </w:r>
                      </w:p>
                    </w:tc>
                    <w:tc>
                      <w:tcPr>
                        <w:tcW w:w="500" w:type="pct"/>
                      </w:tcPr>
                      <w:p w:rsidR="004D0537" w:rsidRPr="006E272C" w:rsidRDefault="007D1214" w:rsidP="0037665F">
                        <w:pPr>
                          <w:pStyle w:val="TableBodyText"/>
                        </w:pPr>
                        <w:r>
                          <w:t xml:space="preserve"> </w:t>
                        </w:r>
                        <w:r w:rsidR="004D0537" w:rsidRPr="006E272C">
                          <w:t>380.2</w:t>
                        </w:r>
                      </w:p>
                    </w:tc>
                    <w:tc>
                      <w:tcPr>
                        <w:tcW w:w="500" w:type="pct"/>
                      </w:tcPr>
                      <w:p w:rsidR="004D0537" w:rsidRPr="006E272C" w:rsidRDefault="007D1214" w:rsidP="0037665F">
                        <w:pPr>
                          <w:pStyle w:val="TableBodyText"/>
                        </w:pPr>
                        <w:r>
                          <w:t xml:space="preserve"> </w:t>
                        </w:r>
                        <w:r w:rsidR="004D0537" w:rsidRPr="006E272C">
                          <w:t>111.7</w:t>
                        </w:r>
                      </w:p>
                    </w:tc>
                    <w:tc>
                      <w:tcPr>
                        <w:tcW w:w="500" w:type="pct"/>
                      </w:tcPr>
                      <w:p w:rsidR="004D0537" w:rsidRPr="006E272C" w:rsidRDefault="007D1214" w:rsidP="0037665F">
                        <w:pPr>
                          <w:pStyle w:val="TableBodyText"/>
                        </w:pPr>
                        <w:r>
                          <w:t xml:space="preserve"> </w:t>
                        </w:r>
                        <w:r w:rsidR="004D0537" w:rsidRPr="006E272C">
                          <w:t>108.3</w:t>
                        </w:r>
                      </w:p>
                    </w:tc>
                    <w:tc>
                      <w:tcPr>
                        <w:tcW w:w="500" w:type="pct"/>
                        <w:shd w:val="clear" w:color="auto" w:fill="auto"/>
                      </w:tcPr>
                      <w:p w:rsidR="004D0537" w:rsidRPr="006E272C" w:rsidRDefault="007D1214" w:rsidP="0037665F">
                        <w:pPr>
                          <w:pStyle w:val="TableBodyText"/>
                        </w:pPr>
                        <w:r>
                          <w:t xml:space="preserve"> </w:t>
                        </w:r>
                        <w:r w:rsidR="004D0537" w:rsidRPr="006E272C">
                          <w:t>170.1</w:t>
                        </w:r>
                      </w:p>
                    </w:tc>
                    <w:tc>
                      <w:tcPr>
                        <w:tcW w:w="500" w:type="pct"/>
                        <w:shd w:val="clear" w:color="auto" w:fill="auto"/>
                      </w:tcPr>
                      <w:p w:rsidR="004D0537" w:rsidRDefault="004D0537" w:rsidP="0037665F">
                        <w:pPr>
                          <w:pStyle w:val="TableBodyText"/>
                        </w:pPr>
                        <w:r w:rsidRPr="006E272C">
                          <w:t xml:space="preserve"> 3 836.9</w:t>
                        </w:r>
                      </w:p>
                    </w:tc>
                  </w:tr>
                  <w:tr w:rsidR="004D0537" w:rsidTr="004D0537">
                    <w:tc>
                      <w:tcPr>
                        <w:tcW w:w="500" w:type="pct"/>
                        <w:tcBorders>
                          <w:bottom w:val="single" w:sz="6" w:space="0" w:color="BFBFBF"/>
                        </w:tcBorders>
                        <w:shd w:val="clear" w:color="auto" w:fill="auto"/>
                      </w:tcPr>
                      <w:p w:rsidR="004D0537" w:rsidRPr="005B2643" w:rsidRDefault="004D0537" w:rsidP="0037665F">
                        <w:pPr>
                          <w:pStyle w:val="TableBodyText"/>
                        </w:pPr>
                        <w:r w:rsidRPr="005B2643">
                          <w:t>2010</w:t>
                        </w:r>
                        <w:r w:rsidR="007D1214">
                          <w:noBreakHyphen/>
                        </w:r>
                        <w:r w:rsidRPr="005B2643">
                          <w:t>11</w:t>
                        </w:r>
                      </w:p>
                    </w:tc>
                    <w:tc>
                      <w:tcPr>
                        <w:tcW w:w="500" w:type="pct"/>
                        <w:tcBorders>
                          <w:bottom w:val="single" w:sz="6" w:space="0" w:color="BFBFBF"/>
                        </w:tcBorders>
                      </w:tcPr>
                      <w:p w:rsidR="004D0537" w:rsidRPr="00974714" w:rsidRDefault="004D0537" w:rsidP="0037665F">
                        <w:pPr>
                          <w:pStyle w:val="TableBodyText"/>
                        </w:pPr>
                        <w:r w:rsidRPr="00974714">
                          <w:t xml:space="preserve"> 2 194.2</w:t>
                        </w:r>
                      </w:p>
                    </w:tc>
                    <w:tc>
                      <w:tcPr>
                        <w:tcW w:w="500" w:type="pct"/>
                        <w:tcBorders>
                          <w:bottom w:val="single" w:sz="6" w:space="0" w:color="BFBFBF"/>
                        </w:tcBorders>
                      </w:tcPr>
                      <w:p w:rsidR="004D0537" w:rsidRPr="00974714" w:rsidRDefault="007D1214" w:rsidP="0037665F">
                        <w:pPr>
                          <w:pStyle w:val="TableBodyText"/>
                        </w:pPr>
                        <w:r>
                          <w:t xml:space="preserve"> </w:t>
                        </w:r>
                        <w:r w:rsidR="004D0537" w:rsidRPr="00974714">
                          <w:t>848.0</w:t>
                        </w:r>
                      </w:p>
                    </w:tc>
                    <w:tc>
                      <w:tcPr>
                        <w:tcW w:w="500" w:type="pct"/>
                        <w:tcBorders>
                          <w:bottom w:val="single" w:sz="6" w:space="0" w:color="BFBFBF"/>
                        </w:tcBorders>
                        <w:shd w:val="clear" w:color="auto" w:fill="auto"/>
                      </w:tcPr>
                      <w:p w:rsidR="004D0537" w:rsidRPr="00974714" w:rsidRDefault="007D1214" w:rsidP="0037665F">
                        <w:pPr>
                          <w:pStyle w:val="TableBodyText"/>
                        </w:pPr>
                        <w:r>
                          <w:t xml:space="preserve"> </w:t>
                        </w:r>
                        <w:r w:rsidR="004D0537" w:rsidRPr="00974714">
                          <w:t>563.0</w:t>
                        </w:r>
                      </w:p>
                    </w:tc>
                    <w:tc>
                      <w:tcPr>
                        <w:tcW w:w="500" w:type="pct"/>
                        <w:tcBorders>
                          <w:bottom w:val="single" w:sz="6" w:space="0" w:color="BFBFBF"/>
                        </w:tcBorders>
                      </w:tcPr>
                      <w:p w:rsidR="004D0537" w:rsidRPr="00974714" w:rsidRDefault="007D1214" w:rsidP="0037665F">
                        <w:pPr>
                          <w:pStyle w:val="TableBodyText"/>
                        </w:pPr>
                        <w:r>
                          <w:t xml:space="preserve"> </w:t>
                        </w:r>
                        <w:r w:rsidR="004D0537" w:rsidRPr="00974714">
                          <w:t>602.7</w:t>
                        </w:r>
                      </w:p>
                    </w:tc>
                    <w:tc>
                      <w:tcPr>
                        <w:tcW w:w="500" w:type="pct"/>
                        <w:tcBorders>
                          <w:bottom w:val="single" w:sz="6" w:space="0" w:color="BFBFBF"/>
                        </w:tcBorders>
                      </w:tcPr>
                      <w:p w:rsidR="004D0537" w:rsidRPr="00974714" w:rsidRDefault="007D1214" w:rsidP="0037665F">
                        <w:pPr>
                          <w:pStyle w:val="TableBodyText"/>
                        </w:pPr>
                        <w:r>
                          <w:t xml:space="preserve"> </w:t>
                        </w:r>
                        <w:r w:rsidR="004D0537" w:rsidRPr="00974714">
                          <w:t>354.8</w:t>
                        </w:r>
                      </w:p>
                    </w:tc>
                    <w:tc>
                      <w:tcPr>
                        <w:tcW w:w="500" w:type="pct"/>
                        <w:tcBorders>
                          <w:bottom w:val="single" w:sz="6" w:space="0" w:color="BFBFBF"/>
                        </w:tcBorders>
                      </w:tcPr>
                      <w:p w:rsidR="004D0537" w:rsidRPr="00974714" w:rsidRDefault="007D1214" w:rsidP="0037665F">
                        <w:pPr>
                          <w:pStyle w:val="TableBodyText"/>
                        </w:pPr>
                        <w:r>
                          <w:t xml:space="preserve"> </w:t>
                        </w:r>
                        <w:r w:rsidR="004D0537" w:rsidRPr="00974714">
                          <w:t>119.6</w:t>
                        </w:r>
                      </w:p>
                    </w:tc>
                    <w:tc>
                      <w:tcPr>
                        <w:tcW w:w="500" w:type="pct"/>
                        <w:tcBorders>
                          <w:bottom w:val="single" w:sz="6" w:space="0" w:color="BFBFBF"/>
                        </w:tcBorders>
                      </w:tcPr>
                      <w:p w:rsidR="004D0537" w:rsidRPr="00974714" w:rsidRDefault="007D1214" w:rsidP="0037665F">
                        <w:pPr>
                          <w:pStyle w:val="TableBodyText"/>
                        </w:pPr>
                        <w:r>
                          <w:t xml:space="preserve"> </w:t>
                        </w:r>
                        <w:r w:rsidR="004D0537" w:rsidRPr="00974714">
                          <w:t>101.0</w:t>
                        </w:r>
                      </w:p>
                    </w:tc>
                    <w:tc>
                      <w:tcPr>
                        <w:tcW w:w="500" w:type="pct"/>
                        <w:tcBorders>
                          <w:bottom w:val="single" w:sz="6" w:space="0" w:color="BFBFBF"/>
                        </w:tcBorders>
                        <w:shd w:val="clear" w:color="auto" w:fill="auto"/>
                      </w:tcPr>
                      <w:p w:rsidR="004D0537" w:rsidRPr="00974714" w:rsidRDefault="007D1214" w:rsidP="0037665F">
                        <w:pPr>
                          <w:pStyle w:val="TableBodyText"/>
                        </w:pPr>
                        <w:r>
                          <w:t xml:space="preserve"> </w:t>
                        </w:r>
                        <w:r w:rsidR="004D0537" w:rsidRPr="00974714">
                          <w:t>308.7</w:t>
                        </w:r>
                      </w:p>
                    </w:tc>
                    <w:tc>
                      <w:tcPr>
                        <w:tcW w:w="500" w:type="pct"/>
                        <w:tcBorders>
                          <w:bottom w:val="single" w:sz="6" w:space="0" w:color="BFBFBF"/>
                        </w:tcBorders>
                        <w:shd w:val="clear" w:color="auto" w:fill="auto"/>
                      </w:tcPr>
                      <w:p w:rsidR="004D0537" w:rsidRDefault="004D0537" w:rsidP="0037665F">
                        <w:pPr>
                          <w:pStyle w:val="TableBodyText"/>
                        </w:pPr>
                        <w:r w:rsidRPr="00974714">
                          <w:t xml:space="preserve"> 5 091.9</w:t>
                        </w:r>
                      </w:p>
                    </w:tc>
                  </w:tr>
                </w:tbl>
                <w:p w:rsidR="004D0537" w:rsidRDefault="004D0537" w:rsidP="0037665F">
                  <w:pPr>
                    <w:pStyle w:val="TableColumnHeading"/>
                    <w:ind w:right="28"/>
                  </w:pPr>
                </w:p>
              </w:tc>
            </w:tr>
          </w:tbl>
          <w:p w:rsidR="004D0537" w:rsidRDefault="004D0537" w:rsidP="0037665F">
            <w:pPr>
              <w:pStyle w:val="Box"/>
            </w:pPr>
          </w:p>
        </w:tc>
      </w:tr>
      <w:tr w:rsidR="004D0537" w:rsidTr="0037665F">
        <w:trPr>
          <w:cantSplit/>
        </w:trPr>
        <w:tc>
          <w:tcPr>
            <w:tcW w:w="8771" w:type="dxa"/>
            <w:tcBorders>
              <w:top w:val="nil"/>
              <w:left w:val="nil"/>
              <w:bottom w:val="nil"/>
              <w:right w:val="nil"/>
            </w:tcBorders>
            <w:shd w:val="clear" w:color="auto" w:fill="auto"/>
          </w:tcPr>
          <w:p w:rsidR="004D0537" w:rsidRDefault="004D0537" w:rsidP="00A0161E">
            <w:pPr>
              <w:pStyle w:val="Note"/>
              <w:rPr>
                <w:i/>
              </w:rPr>
            </w:pPr>
            <w:r w:rsidRPr="008E77FE">
              <w:rPr>
                <w:rStyle w:val="NoteLabel"/>
              </w:rPr>
              <w:t>a</w:t>
            </w:r>
            <w:r>
              <w:rPr>
                <w:rStyle w:val="NoteLabel"/>
              </w:rPr>
              <w:t> </w:t>
            </w:r>
            <w:r>
              <w:t>See table</w:t>
            </w:r>
            <w:r w:rsidR="007D1214">
              <w:t> </w:t>
            </w:r>
            <w:proofErr w:type="spellStart"/>
            <w:r>
              <w:t>17A.2</w:t>
            </w:r>
            <w:proofErr w:type="spellEnd"/>
            <w:r>
              <w:t xml:space="preserve"> for detailed footnotes and caveats</w:t>
            </w:r>
            <w:r w:rsidR="00C54957">
              <w:t>.</w:t>
            </w:r>
          </w:p>
        </w:tc>
      </w:tr>
      <w:tr w:rsidR="004D0537" w:rsidTr="0037665F">
        <w:trPr>
          <w:cantSplit/>
        </w:trPr>
        <w:tc>
          <w:tcPr>
            <w:tcW w:w="8771" w:type="dxa"/>
            <w:tcBorders>
              <w:top w:val="nil"/>
              <w:left w:val="nil"/>
              <w:bottom w:val="nil"/>
              <w:right w:val="nil"/>
            </w:tcBorders>
            <w:shd w:val="clear" w:color="auto" w:fill="auto"/>
          </w:tcPr>
          <w:p w:rsidR="004D0537" w:rsidRDefault="00D725AC" w:rsidP="0037665F">
            <w:pPr>
              <w:pStyle w:val="Source"/>
            </w:pPr>
            <w:r>
              <w:rPr>
                <w:i/>
              </w:rPr>
              <w:t>Source</w:t>
            </w:r>
            <w:r w:rsidR="004D0537">
              <w:rPr>
                <w:i/>
              </w:rPr>
              <w:t xml:space="preserve">: </w:t>
            </w:r>
            <w:r w:rsidR="004D0537" w:rsidRPr="00620779">
              <w:t>State and Territory governments (unpublished); table</w:t>
            </w:r>
            <w:r w:rsidR="004D0537">
              <w:t>s</w:t>
            </w:r>
            <w:r w:rsidR="007D1214">
              <w:t> </w:t>
            </w:r>
            <w:proofErr w:type="spellStart"/>
            <w:r w:rsidR="004D0537" w:rsidRPr="00620779">
              <w:t>17A.2</w:t>
            </w:r>
            <w:proofErr w:type="spellEnd"/>
            <w:r w:rsidR="004D0537">
              <w:t xml:space="preserve"> and </w:t>
            </w:r>
            <w:proofErr w:type="spellStart"/>
            <w:r w:rsidR="004D0537">
              <w:t>17A.58</w:t>
            </w:r>
            <w:proofErr w:type="spellEnd"/>
            <w:r w:rsidR="004D0537">
              <w:t>.</w:t>
            </w:r>
          </w:p>
        </w:tc>
      </w:tr>
      <w:tr w:rsidR="004D0537" w:rsidTr="0037665F">
        <w:trPr>
          <w:cantSplit/>
        </w:trPr>
        <w:tc>
          <w:tcPr>
            <w:tcW w:w="8771" w:type="dxa"/>
            <w:tcBorders>
              <w:top w:val="nil"/>
              <w:left w:val="nil"/>
              <w:bottom w:val="single" w:sz="6" w:space="0" w:color="78A22F"/>
              <w:right w:val="nil"/>
            </w:tcBorders>
            <w:shd w:val="clear" w:color="auto" w:fill="auto"/>
          </w:tcPr>
          <w:p w:rsidR="004D0537" w:rsidRDefault="004D0537" w:rsidP="0037665F">
            <w:pPr>
              <w:pStyle w:val="Box"/>
              <w:spacing w:before="0" w:line="120" w:lineRule="exact"/>
            </w:pPr>
          </w:p>
        </w:tc>
      </w:tr>
      <w:tr w:rsidR="004D0537" w:rsidRPr="000863A5" w:rsidTr="0037665F">
        <w:tc>
          <w:tcPr>
            <w:tcW w:w="8771" w:type="dxa"/>
            <w:tcBorders>
              <w:top w:val="single" w:sz="6" w:space="0" w:color="78A22F"/>
              <w:left w:val="nil"/>
              <w:bottom w:val="nil"/>
              <w:right w:val="nil"/>
            </w:tcBorders>
          </w:tcPr>
          <w:p w:rsidR="004D0537" w:rsidRPr="00626D32" w:rsidRDefault="004D0537" w:rsidP="0037665F">
            <w:pPr>
              <w:pStyle w:val="BoxSpaceBelow"/>
            </w:pPr>
          </w:p>
        </w:tc>
      </w:tr>
    </w:tbl>
    <w:p w:rsidR="005937BC" w:rsidRDefault="005937BC" w:rsidP="008D4B98"/>
    <w:p w:rsidR="00587A0C" w:rsidRDefault="001D3C52" w:rsidP="00087119">
      <w:pPr>
        <w:pStyle w:val="Heading3"/>
      </w:pPr>
      <w:r>
        <w:t>Size and scope</w:t>
      </w:r>
    </w:p>
    <w:p w:rsidR="00C92566" w:rsidRDefault="00C92566" w:rsidP="00C92566">
      <w:pPr>
        <w:pStyle w:val="BodyText"/>
      </w:pPr>
      <w:r>
        <w:t>Details on the social housing data used in this Report are in box</w:t>
      </w:r>
      <w:r w:rsidR="007D1214">
        <w:t> </w:t>
      </w:r>
      <w:r>
        <w:t>17.</w:t>
      </w:r>
      <w:r w:rsidR="009C0D03">
        <w:t>2</w:t>
      </w:r>
      <w:r>
        <w:t>.</w:t>
      </w:r>
    </w:p>
    <w:p w:rsidR="008A249E" w:rsidRDefault="008A249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A249E" w:rsidTr="0037665F">
        <w:tc>
          <w:tcPr>
            <w:tcW w:w="8771" w:type="dxa"/>
            <w:tcBorders>
              <w:top w:val="single" w:sz="6" w:space="0" w:color="78A22F"/>
              <w:left w:val="nil"/>
              <w:bottom w:val="nil"/>
              <w:right w:val="nil"/>
            </w:tcBorders>
            <w:shd w:val="clear" w:color="auto" w:fill="F2F2F2"/>
          </w:tcPr>
          <w:p w:rsidR="008A249E" w:rsidRDefault="008A249E">
            <w:pPr>
              <w:pStyle w:val="BoxTitle"/>
            </w:pPr>
            <w:r>
              <w:rPr>
                <w:b w:val="0"/>
              </w:rPr>
              <w:t>Box 17.</w:t>
            </w:r>
            <w:r w:rsidR="00EF0AA4">
              <w:rPr>
                <w:b w:val="0"/>
                <w:noProof/>
              </w:rPr>
              <w:t>2</w:t>
            </w:r>
            <w:r>
              <w:tab/>
              <w:t>Social housing assistance data used for performance reporting</w:t>
            </w:r>
          </w:p>
        </w:tc>
      </w:tr>
      <w:tr w:rsidR="008A249E" w:rsidTr="0037665F">
        <w:trPr>
          <w:cantSplit/>
        </w:trPr>
        <w:tc>
          <w:tcPr>
            <w:tcW w:w="8771" w:type="dxa"/>
            <w:tcBorders>
              <w:top w:val="nil"/>
              <w:left w:val="nil"/>
              <w:bottom w:val="nil"/>
              <w:right w:val="nil"/>
            </w:tcBorders>
            <w:shd w:val="clear" w:color="auto" w:fill="F2F2F2"/>
          </w:tcPr>
          <w:p w:rsidR="008A249E" w:rsidRDefault="008A249E" w:rsidP="008A249E">
            <w:pPr>
              <w:pStyle w:val="Box"/>
            </w:pPr>
            <w:r>
              <w:t xml:space="preserve">The Australian Institute of Health and Welfare (AIHW) collects, collates and quality assures social housing data provided by states and territories for inclusion into the National Housing Assistance Data Repository, which is the primary data source used in this Report. </w:t>
            </w:r>
          </w:p>
          <w:p w:rsidR="008A249E" w:rsidRDefault="008A249E" w:rsidP="008A249E">
            <w:pPr>
              <w:pStyle w:val="Box"/>
            </w:pPr>
            <w:r w:rsidRPr="00B77248">
              <w:rPr>
                <w:i/>
              </w:rPr>
              <w:t>Public housing and SOMIH</w:t>
            </w:r>
            <w:r>
              <w:t xml:space="preserve"> — data are sourced from State and Territory government unit record datasets extracted from administrative databases, and the National Social Housing Survey (</w:t>
            </w:r>
            <w:proofErr w:type="spellStart"/>
            <w:r>
              <w:t>NSHS</w:t>
            </w:r>
            <w:proofErr w:type="spellEnd"/>
            <w:r>
              <w:t>). Victoria (from 2009</w:t>
            </w:r>
            <w:r w:rsidR="007D1214">
              <w:noBreakHyphen/>
            </w:r>
            <w:r>
              <w:t>10), WA (from 2010</w:t>
            </w:r>
            <w:r w:rsidR="007D1214">
              <w:noBreakHyphen/>
            </w:r>
            <w:r>
              <w:t>11), the ACT and the NT are not included in the SOMIH data collection.</w:t>
            </w:r>
          </w:p>
          <w:p w:rsidR="008A249E" w:rsidRDefault="008A249E" w:rsidP="008A249E">
            <w:pPr>
              <w:pStyle w:val="Box"/>
            </w:pPr>
            <w:r w:rsidRPr="00B77248">
              <w:rPr>
                <w:i/>
              </w:rPr>
              <w:t>Community housing</w:t>
            </w:r>
            <w:r w:rsidR="007D1214">
              <w:t xml:space="preserve"> </w:t>
            </w:r>
            <w:r>
              <w:t xml:space="preserve">— data are sourced from jurisdictions’ administrative data (provided by State and Territory governments), community housing provider surveys and the </w:t>
            </w:r>
            <w:proofErr w:type="spellStart"/>
            <w:r>
              <w:t>NSHS</w:t>
            </w:r>
            <w:proofErr w:type="spellEnd"/>
            <w:r>
              <w:t>. Queensland and the NT do not survey their community housing providers, and provide administrative data. Data are not directly comparable across jurisdictions or over time, due to varying response rates and changes to the definitions and counting rules used over time. Table</w:t>
            </w:r>
            <w:r w:rsidR="007D1214">
              <w:t> </w:t>
            </w:r>
            <w:r>
              <w:t>17A.64 and related data quality information (DQI) outline the survey response rates and associated information for each jurisdiction.</w:t>
            </w:r>
          </w:p>
          <w:p w:rsidR="008A249E" w:rsidRDefault="008A249E" w:rsidP="008A249E">
            <w:pPr>
              <w:pStyle w:val="Box"/>
            </w:pPr>
            <w:r w:rsidRPr="00087BD7">
              <w:rPr>
                <w:i/>
              </w:rPr>
              <w:t>Indigenous community housing</w:t>
            </w:r>
            <w:r>
              <w:t xml:space="preserve"> — data are a combination of administrative data and survey data collected from </w:t>
            </w:r>
            <w:proofErr w:type="spellStart"/>
            <w:r>
              <w:t>ICH</w:t>
            </w:r>
            <w:proofErr w:type="spellEnd"/>
            <w:r>
              <w:t xml:space="preserve"> organisations. Complete data for all jurisdictions are not available, and </w:t>
            </w:r>
            <w:proofErr w:type="spellStart"/>
            <w:r>
              <w:t>ICH</w:t>
            </w:r>
            <w:proofErr w:type="spellEnd"/>
            <w:r>
              <w:t xml:space="preserve"> data should be interpreted with caution. Details of all </w:t>
            </w:r>
            <w:proofErr w:type="spellStart"/>
            <w:r>
              <w:t>ICH</w:t>
            </w:r>
            <w:proofErr w:type="spellEnd"/>
            <w:r>
              <w:t xml:space="preserve"> dwellings are not known and </w:t>
            </w:r>
            <w:proofErr w:type="spellStart"/>
            <w:r>
              <w:t>ICH</w:t>
            </w:r>
            <w:proofErr w:type="spellEnd"/>
            <w:r>
              <w:t xml:space="preserve"> data reflect only those dwellings for which details are known. </w:t>
            </w:r>
            <w:proofErr w:type="spellStart"/>
            <w:r>
              <w:t>ICH</w:t>
            </w:r>
            <w:proofErr w:type="spellEnd"/>
            <w:r>
              <w:t xml:space="preserve"> data are not reported for a number of the social housing performance indicators due to issues with data quality and availability. </w:t>
            </w:r>
            <w:r w:rsidRPr="009C0D03">
              <w:t>Increasingly, community housing organisations are seeking funding through alternative, non–government means, such as leveraging and partnership arrangements.</w:t>
            </w:r>
          </w:p>
          <w:p w:rsidR="008A249E" w:rsidRDefault="008A249E" w:rsidP="008A249E">
            <w:pPr>
              <w:pStyle w:val="Box"/>
            </w:pPr>
            <w:r>
              <w:t>This report presents data for up to 10 years, reflecting housing assistance provided under the National Affordable Housing Agreement (NAHA), and from the former Commonwealth State Housing Agreement (</w:t>
            </w:r>
            <w:proofErr w:type="spellStart"/>
            <w:r>
              <w:t>CHSA</w:t>
            </w:r>
            <w:proofErr w:type="spellEnd"/>
            <w:r>
              <w:t>). Data from 2009</w:t>
            </w:r>
            <w:r w:rsidR="007D1214">
              <w:noBreakHyphen/>
            </w:r>
            <w:r>
              <w:t>10 onward relate to the NAHA, data for 2008</w:t>
            </w:r>
            <w:r w:rsidR="007D1214">
              <w:noBreakHyphen/>
            </w:r>
            <w:r>
              <w:t xml:space="preserve">09 relate to both the NAHA and </w:t>
            </w:r>
            <w:proofErr w:type="spellStart"/>
            <w:r>
              <w:t>CSHA</w:t>
            </w:r>
            <w:proofErr w:type="spellEnd"/>
            <w:r>
              <w:t>, and data for 2007</w:t>
            </w:r>
            <w:r w:rsidR="007D1214">
              <w:noBreakHyphen/>
            </w:r>
            <w:r>
              <w:t xml:space="preserve">08 and preceding years relate to the </w:t>
            </w:r>
            <w:proofErr w:type="spellStart"/>
            <w:r>
              <w:t>CSHA</w:t>
            </w:r>
            <w:proofErr w:type="spellEnd"/>
            <w:r>
              <w:t>.</w:t>
            </w:r>
          </w:p>
          <w:p w:rsidR="008A249E" w:rsidRDefault="008A249E" w:rsidP="008A249E">
            <w:pPr>
              <w:pStyle w:val="Box"/>
            </w:pPr>
            <w:r>
              <w:t>Further information is available in the DQI for this chapter.</w:t>
            </w:r>
          </w:p>
        </w:tc>
      </w:tr>
      <w:tr w:rsidR="008A249E" w:rsidTr="0037665F">
        <w:trPr>
          <w:cantSplit/>
        </w:trPr>
        <w:tc>
          <w:tcPr>
            <w:tcW w:w="8771" w:type="dxa"/>
            <w:tcBorders>
              <w:top w:val="nil"/>
              <w:left w:val="nil"/>
              <w:bottom w:val="single" w:sz="6" w:space="0" w:color="78A22F"/>
              <w:right w:val="nil"/>
            </w:tcBorders>
            <w:shd w:val="clear" w:color="auto" w:fill="F2F2F2"/>
          </w:tcPr>
          <w:p w:rsidR="008A249E" w:rsidRDefault="008A249E">
            <w:pPr>
              <w:pStyle w:val="Box"/>
              <w:spacing w:before="0" w:line="120" w:lineRule="exact"/>
            </w:pPr>
          </w:p>
        </w:tc>
      </w:tr>
      <w:tr w:rsidR="008A249E" w:rsidRPr="000863A5" w:rsidTr="0037665F">
        <w:tc>
          <w:tcPr>
            <w:tcW w:w="8771" w:type="dxa"/>
            <w:tcBorders>
              <w:top w:val="single" w:sz="6" w:space="0" w:color="78A22F"/>
              <w:left w:val="nil"/>
              <w:bottom w:val="nil"/>
              <w:right w:val="nil"/>
            </w:tcBorders>
          </w:tcPr>
          <w:p w:rsidR="008A249E" w:rsidRPr="00626D32" w:rsidRDefault="008A249E" w:rsidP="0037665F">
            <w:pPr>
              <w:pStyle w:val="BoxSpaceBelow"/>
            </w:pPr>
          </w:p>
        </w:tc>
      </w:tr>
    </w:tbl>
    <w:p w:rsidR="00D27298" w:rsidRDefault="00D27298" w:rsidP="00D27298">
      <w:pPr>
        <w:pStyle w:val="BodyText"/>
      </w:pPr>
      <w:r w:rsidRPr="00D27298">
        <w:t>As at 30</w:t>
      </w:r>
      <w:r w:rsidR="007D1214">
        <w:t> </w:t>
      </w:r>
      <w:r w:rsidRPr="00D27298">
        <w:t>June 2015,</w:t>
      </w:r>
      <w:r w:rsidR="007D1214">
        <w:t xml:space="preserve"> </w:t>
      </w:r>
      <w:r w:rsidRPr="00D27298">
        <w:t xml:space="preserve">there were a total of </w:t>
      </w:r>
      <w:r w:rsidR="00880A00" w:rsidRPr="005E340A">
        <w:t>393</w:t>
      </w:r>
      <w:r w:rsidR="00024406" w:rsidRPr="005E340A">
        <w:t xml:space="preserve"> </w:t>
      </w:r>
      <w:r w:rsidR="00880A00" w:rsidRPr="005E340A">
        <w:t>866</w:t>
      </w:r>
      <w:r w:rsidRPr="005E340A">
        <w:t xml:space="preserve"> households and 403 767 social housing dwellings (excluding </w:t>
      </w:r>
      <w:proofErr w:type="spellStart"/>
      <w:r w:rsidRPr="005E340A">
        <w:t>ICH</w:t>
      </w:r>
      <w:proofErr w:type="spellEnd"/>
      <w:r w:rsidRPr="005E340A">
        <w:t>) (tables</w:t>
      </w:r>
      <w:r w:rsidR="007D1214">
        <w:t> </w:t>
      </w:r>
      <w:proofErr w:type="spellStart"/>
      <w:r w:rsidRPr="005E340A">
        <w:t>17A.3</w:t>
      </w:r>
      <w:proofErr w:type="spellEnd"/>
      <w:r w:rsidR="007D1214">
        <w:noBreakHyphen/>
      </w:r>
      <w:r w:rsidRPr="005E340A">
        <w:t>4). While the number of public housing and SOMIH households have decreased over the last decade (346 354 in 2006 to 324 695 in 2015), there has been an increase in the number of households i</w:t>
      </w:r>
      <w:r w:rsidR="00B60500" w:rsidRPr="005E340A">
        <w:t>n community housing, from 28</w:t>
      </w:r>
      <w:r w:rsidR="007D1214">
        <w:t xml:space="preserve"> </w:t>
      </w:r>
      <w:r w:rsidR="00B60500" w:rsidRPr="005E340A">
        <w:t xml:space="preserve">684 </w:t>
      </w:r>
      <w:r w:rsidRPr="005E340A">
        <w:t>t</w:t>
      </w:r>
      <w:r w:rsidR="00B60500" w:rsidRPr="005E340A">
        <w:t>o 69 171</w:t>
      </w:r>
      <w:r w:rsidRPr="005E340A">
        <w:t xml:space="preserve"> (table</w:t>
      </w:r>
      <w:r w:rsidR="007D1214">
        <w:t> </w:t>
      </w:r>
      <w:proofErr w:type="spellStart"/>
      <w:r w:rsidRPr="005E340A">
        <w:t>17A.4</w:t>
      </w:r>
      <w:proofErr w:type="spellEnd"/>
      <w:r w:rsidRPr="005E340A">
        <w:t>).</w:t>
      </w:r>
    </w:p>
    <w:p w:rsidR="00AA55A1" w:rsidRDefault="00AA55A1" w:rsidP="00223C4D">
      <w:pPr>
        <w:pStyle w:val="Heading4"/>
      </w:pPr>
      <w:r>
        <w:t>Public housing</w:t>
      </w:r>
    </w:p>
    <w:p w:rsidR="00247E35" w:rsidRPr="009C0D03" w:rsidRDefault="00DF0714" w:rsidP="000958E6">
      <w:pPr>
        <w:pStyle w:val="BodyText"/>
      </w:pPr>
      <w:r w:rsidRPr="00933B6F">
        <w:rPr>
          <w:color w:val="000000" w:themeColor="text1"/>
        </w:rPr>
        <w:t>Nationally a</w:t>
      </w:r>
      <w:r w:rsidR="008E1DDD" w:rsidRPr="00933B6F">
        <w:rPr>
          <w:color w:val="000000" w:themeColor="text1"/>
        </w:rPr>
        <w:t>t 30</w:t>
      </w:r>
      <w:r w:rsidR="00511341" w:rsidRPr="00933B6F">
        <w:rPr>
          <w:color w:val="000000" w:themeColor="text1"/>
        </w:rPr>
        <w:t> </w:t>
      </w:r>
      <w:r w:rsidR="008E1DDD" w:rsidRPr="00933B6F">
        <w:rPr>
          <w:color w:val="000000" w:themeColor="text1"/>
        </w:rPr>
        <w:t>June</w:t>
      </w:r>
      <w:r w:rsidR="007D1214">
        <w:rPr>
          <w:color w:val="000000" w:themeColor="text1"/>
        </w:rPr>
        <w:t xml:space="preserve"> </w:t>
      </w:r>
      <w:r w:rsidR="008E1DDD" w:rsidRPr="00933B6F">
        <w:rPr>
          <w:color w:val="000000" w:themeColor="text1"/>
        </w:rPr>
        <w:t>201</w:t>
      </w:r>
      <w:r w:rsidR="006E6379">
        <w:rPr>
          <w:color w:val="000000" w:themeColor="text1"/>
        </w:rPr>
        <w:t>5</w:t>
      </w:r>
      <w:r w:rsidR="008E1DDD" w:rsidRPr="00933B6F">
        <w:rPr>
          <w:color w:val="000000" w:themeColor="text1"/>
        </w:rPr>
        <w:t>, there were</w:t>
      </w:r>
      <w:r w:rsidR="00990DCE" w:rsidRPr="00933B6F">
        <w:rPr>
          <w:color w:val="000000" w:themeColor="text1"/>
        </w:rPr>
        <w:t xml:space="preserve"> </w:t>
      </w:r>
      <w:r w:rsidR="00DF463B">
        <w:rPr>
          <w:color w:val="000000" w:themeColor="text1"/>
        </w:rPr>
        <w:t>314 963</w:t>
      </w:r>
      <w:r w:rsidR="0053763B" w:rsidRPr="00933B6F">
        <w:rPr>
          <w:color w:val="000000" w:themeColor="text1"/>
        </w:rPr>
        <w:t xml:space="preserve"> </w:t>
      </w:r>
      <w:r w:rsidR="008E1DDD" w:rsidRPr="00933B6F">
        <w:rPr>
          <w:color w:val="000000" w:themeColor="text1"/>
        </w:rPr>
        <w:t xml:space="preserve">households </w:t>
      </w:r>
      <w:r w:rsidR="00C7685B" w:rsidRPr="00933B6F">
        <w:rPr>
          <w:color w:val="000000" w:themeColor="text1"/>
        </w:rPr>
        <w:t xml:space="preserve">and </w:t>
      </w:r>
      <w:r w:rsidR="000D37AC">
        <w:rPr>
          <w:color w:val="000000" w:themeColor="text1"/>
        </w:rPr>
        <w:t>321 627</w:t>
      </w:r>
      <w:r w:rsidR="003B6B34" w:rsidRPr="00933B6F">
        <w:rPr>
          <w:color w:val="000000" w:themeColor="text1"/>
        </w:rPr>
        <w:t xml:space="preserve"> </w:t>
      </w:r>
      <w:r w:rsidR="00AA55A1" w:rsidRPr="00933B6F">
        <w:rPr>
          <w:color w:val="000000" w:themeColor="text1"/>
        </w:rPr>
        <w:t>public housing dwellings</w:t>
      </w:r>
      <w:r w:rsidRPr="00933B6F">
        <w:rPr>
          <w:color w:val="000000" w:themeColor="text1"/>
        </w:rPr>
        <w:t xml:space="preserve"> </w:t>
      </w:r>
      <w:r w:rsidR="00AA55A1" w:rsidRPr="00CF0432">
        <w:rPr>
          <w:color w:val="000000" w:themeColor="text1"/>
        </w:rPr>
        <w:t>(table</w:t>
      </w:r>
      <w:r w:rsidR="00C47312" w:rsidRPr="00CF0432">
        <w:rPr>
          <w:color w:val="000000" w:themeColor="text1"/>
        </w:rPr>
        <w:t>s </w:t>
      </w:r>
      <w:proofErr w:type="spellStart"/>
      <w:r w:rsidR="00B80C21" w:rsidRPr="00CF0432">
        <w:rPr>
          <w:color w:val="000000" w:themeColor="text1"/>
        </w:rPr>
        <w:t>17A</w:t>
      </w:r>
      <w:r w:rsidR="00C47312" w:rsidRPr="00CF0432">
        <w:rPr>
          <w:color w:val="000000" w:themeColor="text1"/>
        </w:rPr>
        <w:t>.3</w:t>
      </w:r>
      <w:proofErr w:type="spellEnd"/>
      <w:r w:rsidR="00C47312" w:rsidRPr="00CF0432">
        <w:rPr>
          <w:color w:val="000000" w:themeColor="text1"/>
        </w:rPr>
        <w:t xml:space="preserve"> and </w:t>
      </w:r>
      <w:proofErr w:type="spellStart"/>
      <w:r w:rsidR="00B80C21" w:rsidRPr="00CF0432">
        <w:rPr>
          <w:color w:val="000000" w:themeColor="text1"/>
        </w:rPr>
        <w:t>17A</w:t>
      </w:r>
      <w:r w:rsidR="00C47312" w:rsidRPr="00CF0432">
        <w:rPr>
          <w:color w:val="000000" w:themeColor="text1"/>
        </w:rPr>
        <w:t>.4</w:t>
      </w:r>
      <w:proofErr w:type="spellEnd"/>
      <w:r w:rsidR="008B0FA3" w:rsidRPr="00CF0432">
        <w:rPr>
          <w:color w:val="000000" w:themeColor="text1"/>
        </w:rPr>
        <w:t>).</w:t>
      </w:r>
      <w:r w:rsidR="00247E35">
        <w:rPr>
          <w:color w:val="000000" w:themeColor="text1"/>
        </w:rPr>
        <w:t xml:space="preserve"> </w:t>
      </w:r>
      <w:r w:rsidR="00247E35" w:rsidRPr="009C0D03">
        <w:t xml:space="preserve">(Approximately </w:t>
      </w:r>
      <w:r w:rsidR="006A758E">
        <w:t>5025</w:t>
      </w:r>
      <w:r w:rsidR="00247E35" w:rsidRPr="009C0D03">
        <w:t xml:space="preserve"> NT remote public h</w:t>
      </w:r>
      <w:r w:rsidR="009C0D03">
        <w:t>ousing dwellings, with about 22 </w:t>
      </w:r>
      <w:r w:rsidR="006A758E">
        <w:t>5</w:t>
      </w:r>
      <w:r w:rsidR="00247E35" w:rsidRPr="009C0D03">
        <w:t>00 occupants are not included in these</w:t>
      </w:r>
      <w:r w:rsidR="005C53C9" w:rsidRPr="009C0D03">
        <w:t xml:space="preserve"> </w:t>
      </w:r>
      <w:r w:rsidR="00247E35" w:rsidRPr="009C0D03">
        <w:t xml:space="preserve">figures. Further information is in </w:t>
      </w:r>
      <w:r w:rsidR="00587A0C" w:rsidRPr="009C0D03">
        <w:t>b</w:t>
      </w:r>
      <w:r w:rsidR="00247E35" w:rsidRPr="009C0D03">
        <w:t>ox</w:t>
      </w:r>
      <w:r w:rsidR="007D1214">
        <w:t> </w:t>
      </w:r>
      <w:r w:rsidR="00247E35" w:rsidRPr="009C0D03">
        <w:t>17.4).</w:t>
      </w:r>
    </w:p>
    <w:p w:rsidR="007021DE" w:rsidRPr="005E340A" w:rsidRDefault="00AA55A1" w:rsidP="000958E6">
      <w:pPr>
        <w:pStyle w:val="BodyText"/>
        <w:rPr>
          <w:color w:val="000000" w:themeColor="text1"/>
        </w:rPr>
      </w:pPr>
      <w:r w:rsidRPr="00CF0432">
        <w:lastRenderedPageBreak/>
        <w:t>Public housing rents are generally set at market levels</w:t>
      </w:r>
      <w:r w:rsidR="00461AAB" w:rsidRPr="00CF0432">
        <w:t xml:space="preserve">. To </w:t>
      </w:r>
      <w:r w:rsidR="00987AA8" w:rsidRPr="00CF0432">
        <w:t xml:space="preserve">provide affordable housing, </w:t>
      </w:r>
      <w:r w:rsidR="00461AAB" w:rsidRPr="00CF0432">
        <w:t xml:space="preserve">public housing </w:t>
      </w:r>
      <w:r w:rsidR="00987AA8" w:rsidRPr="00CF0432">
        <w:t xml:space="preserve">rents are </w:t>
      </w:r>
      <w:r w:rsidR="00987AA8" w:rsidRPr="005E340A">
        <w:t>subsidised</w:t>
      </w:r>
      <w:r w:rsidR="0051440A" w:rsidRPr="005E340A">
        <w:t xml:space="preserve"> (or rebated)</w:t>
      </w:r>
      <w:r w:rsidR="00987AA8" w:rsidRPr="005E340A">
        <w:t xml:space="preserve"> for eligible low income tenants so that they </w:t>
      </w:r>
      <w:r w:rsidR="004D0537" w:rsidRPr="005E340A">
        <w:t>generally pay no more than 25 per cent of their gross income on rent (table</w:t>
      </w:r>
      <w:r w:rsidR="007D1214">
        <w:t> </w:t>
      </w:r>
      <w:proofErr w:type="spellStart"/>
      <w:r w:rsidR="004D0537" w:rsidRPr="005E340A">
        <w:t>17A.62</w:t>
      </w:r>
      <w:proofErr w:type="spellEnd"/>
      <w:r w:rsidR="004D0537" w:rsidRPr="005E340A">
        <w:t xml:space="preserve">). </w:t>
      </w:r>
      <w:r w:rsidRPr="005E340A">
        <w:t xml:space="preserve">Information on the proportion </w:t>
      </w:r>
      <w:r w:rsidR="00745E52" w:rsidRPr="005E340A">
        <w:t>of income paid in rent by social</w:t>
      </w:r>
      <w:r w:rsidRPr="005E340A">
        <w:t xml:space="preserve"> housing tenants is in table</w:t>
      </w:r>
      <w:r w:rsidR="00461AAB" w:rsidRPr="005E340A">
        <w:t> </w:t>
      </w:r>
      <w:r w:rsidR="00B80C21" w:rsidRPr="005E340A">
        <w:t>17A</w:t>
      </w:r>
      <w:r w:rsidR="00BE477B" w:rsidRPr="005E340A">
        <w:t>.4</w:t>
      </w:r>
      <w:r w:rsidR="009737F9" w:rsidRPr="005E340A">
        <w:t>3</w:t>
      </w:r>
      <w:r w:rsidR="007021DE" w:rsidRPr="005E340A">
        <w:t>.</w:t>
      </w:r>
    </w:p>
    <w:p w:rsidR="00AA55A1" w:rsidRPr="005E340A" w:rsidRDefault="00AA55A1" w:rsidP="009463C2">
      <w:pPr>
        <w:pStyle w:val="Heading4"/>
      </w:pPr>
      <w:r w:rsidRPr="005E340A">
        <w:t>State owned and managed Indigenous housing</w:t>
      </w:r>
      <w:r w:rsidR="00286A74" w:rsidRPr="005E340A">
        <w:t xml:space="preserve"> (SOMIH)</w:t>
      </w:r>
    </w:p>
    <w:p w:rsidR="00591309" w:rsidRPr="00D66397" w:rsidRDefault="00D66397" w:rsidP="009463C2">
      <w:pPr>
        <w:pStyle w:val="BodyText"/>
        <w:rPr>
          <w:color w:val="000000" w:themeColor="text1"/>
        </w:rPr>
      </w:pPr>
      <w:r w:rsidRPr="005E340A">
        <w:t>In 2015</w:t>
      </w:r>
      <w:r w:rsidR="009C1BDB" w:rsidRPr="005E340A">
        <w:t>, SOMIH operated in NSW, Queensland, SA and Tasmania</w:t>
      </w:r>
      <w:r w:rsidR="009C1BDB">
        <w:t xml:space="preserve">. </w:t>
      </w:r>
      <w:r w:rsidR="00042C82" w:rsidRPr="00933B6F">
        <w:rPr>
          <w:color w:val="000000" w:themeColor="text1"/>
        </w:rPr>
        <w:t xml:space="preserve">Nationally at </w:t>
      </w:r>
      <w:r w:rsidR="00AF7F3A">
        <w:rPr>
          <w:color w:val="000000" w:themeColor="text1"/>
        </w:rPr>
        <w:t>30 June</w:t>
      </w:r>
      <w:r w:rsidR="007D1214">
        <w:rPr>
          <w:color w:val="000000" w:themeColor="text1"/>
        </w:rPr>
        <w:t xml:space="preserve"> </w:t>
      </w:r>
      <w:r w:rsidR="0045297E" w:rsidRPr="00D66397">
        <w:rPr>
          <w:color w:val="000000" w:themeColor="text1"/>
        </w:rPr>
        <w:t>201</w:t>
      </w:r>
      <w:r w:rsidR="006E6379" w:rsidRPr="00D66397">
        <w:rPr>
          <w:color w:val="000000" w:themeColor="text1"/>
        </w:rPr>
        <w:t>5</w:t>
      </w:r>
      <w:r w:rsidR="001817DA" w:rsidRPr="00933B6F">
        <w:rPr>
          <w:color w:val="000000" w:themeColor="text1"/>
        </w:rPr>
        <w:t xml:space="preserve">, </w:t>
      </w:r>
      <w:r w:rsidR="0045297E" w:rsidRPr="00933B6F">
        <w:rPr>
          <w:color w:val="000000" w:themeColor="text1"/>
        </w:rPr>
        <w:t>t</w:t>
      </w:r>
      <w:r w:rsidR="00AA55A1" w:rsidRPr="00933B6F">
        <w:rPr>
          <w:color w:val="000000" w:themeColor="text1"/>
        </w:rPr>
        <w:t>here were</w:t>
      </w:r>
      <w:r w:rsidR="00C1551D" w:rsidRPr="00933B6F">
        <w:rPr>
          <w:color w:val="000000" w:themeColor="text1"/>
        </w:rPr>
        <w:t xml:space="preserve"> </w:t>
      </w:r>
      <w:r>
        <w:rPr>
          <w:color w:val="000000" w:themeColor="text1"/>
        </w:rPr>
        <w:t>9732</w:t>
      </w:r>
      <w:r w:rsidR="00AF33B6" w:rsidRPr="00933B6F">
        <w:rPr>
          <w:color w:val="000000" w:themeColor="text1"/>
        </w:rPr>
        <w:t xml:space="preserve"> </w:t>
      </w:r>
      <w:r w:rsidR="00092D60" w:rsidRPr="00933B6F">
        <w:rPr>
          <w:color w:val="000000" w:themeColor="text1"/>
        </w:rPr>
        <w:t xml:space="preserve">households </w:t>
      </w:r>
      <w:r w:rsidR="0008249A" w:rsidRPr="00933B6F">
        <w:rPr>
          <w:color w:val="000000" w:themeColor="text1"/>
        </w:rPr>
        <w:t xml:space="preserve">and </w:t>
      </w:r>
      <w:r>
        <w:rPr>
          <w:color w:val="000000" w:themeColor="text1"/>
        </w:rPr>
        <w:t>10 035</w:t>
      </w:r>
      <w:r w:rsidR="00C1551D" w:rsidRPr="00933B6F">
        <w:rPr>
          <w:color w:val="000000" w:themeColor="text1"/>
        </w:rPr>
        <w:t xml:space="preserve"> </w:t>
      </w:r>
      <w:proofErr w:type="spellStart"/>
      <w:r w:rsidR="00C1551D" w:rsidRPr="00933B6F">
        <w:rPr>
          <w:color w:val="000000" w:themeColor="text1"/>
        </w:rPr>
        <w:t>S</w:t>
      </w:r>
      <w:r w:rsidR="00C26AB8" w:rsidRPr="00933B6F">
        <w:rPr>
          <w:color w:val="000000" w:themeColor="text1"/>
        </w:rPr>
        <w:t>OMIH</w:t>
      </w:r>
      <w:proofErr w:type="spellEnd"/>
      <w:r w:rsidR="00C26AB8" w:rsidRPr="00933B6F">
        <w:rPr>
          <w:color w:val="000000" w:themeColor="text1"/>
        </w:rPr>
        <w:t xml:space="preserve"> </w:t>
      </w:r>
      <w:r w:rsidR="00AA55A1" w:rsidRPr="00933B6F">
        <w:rPr>
          <w:color w:val="000000" w:themeColor="text1"/>
        </w:rPr>
        <w:t>dwellings</w:t>
      </w:r>
      <w:r w:rsidR="00042C82" w:rsidRPr="00933B6F">
        <w:rPr>
          <w:color w:val="000000" w:themeColor="text1"/>
        </w:rPr>
        <w:t xml:space="preserve"> </w:t>
      </w:r>
      <w:r w:rsidR="003D4285" w:rsidRPr="00D66397">
        <w:rPr>
          <w:color w:val="000000" w:themeColor="text1"/>
        </w:rPr>
        <w:t>(table</w:t>
      </w:r>
      <w:r w:rsidR="00AB77F2" w:rsidRPr="00D66397">
        <w:rPr>
          <w:color w:val="000000" w:themeColor="text1"/>
        </w:rPr>
        <w:t>s</w:t>
      </w:r>
      <w:r w:rsidR="007D1214">
        <w:rPr>
          <w:color w:val="000000" w:themeColor="text1"/>
        </w:rPr>
        <w:t> </w:t>
      </w:r>
      <w:proofErr w:type="spellStart"/>
      <w:r w:rsidR="00B80C21" w:rsidRPr="00D66397">
        <w:rPr>
          <w:color w:val="000000" w:themeColor="text1"/>
        </w:rPr>
        <w:t>17A</w:t>
      </w:r>
      <w:r w:rsidR="00AB77F2" w:rsidRPr="00D66397">
        <w:rPr>
          <w:color w:val="000000" w:themeColor="text1"/>
        </w:rPr>
        <w:t>.3</w:t>
      </w:r>
      <w:proofErr w:type="spellEnd"/>
      <w:r w:rsidR="00AB77F2" w:rsidRPr="00D66397">
        <w:rPr>
          <w:color w:val="000000" w:themeColor="text1"/>
        </w:rPr>
        <w:t xml:space="preserve"> and </w:t>
      </w:r>
      <w:proofErr w:type="spellStart"/>
      <w:r w:rsidR="00B80C21" w:rsidRPr="00D66397">
        <w:rPr>
          <w:color w:val="000000" w:themeColor="text1"/>
        </w:rPr>
        <w:t>17A</w:t>
      </w:r>
      <w:r w:rsidR="00AB77F2" w:rsidRPr="00D66397">
        <w:rPr>
          <w:color w:val="000000" w:themeColor="text1"/>
        </w:rPr>
        <w:t>.4</w:t>
      </w:r>
      <w:proofErr w:type="spellEnd"/>
      <w:r w:rsidR="003D4285" w:rsidRPr="00D66397">
        <w:rPr>
          <w:color w:val="000000" w:themeColor="text1"/>
        </w:rPr>
        <w:t>)</w:t>
      </w:r>
      <w:r w:rsidR="003D4285" w:rsidRPr="00AF33B6">
        <w:rPr>
          <w:color w:val="000000" w:themeColor="text1"/>
        </w:rPr>
        <w:t>.</w:t>
      </w:r>
      <w:r w:rsidR="00B35120" w:rsidRPr="00B35120">
        <w:t xml:space="preserve"> </w:t>
      </w:r>
      <w:r w:rsidR="00587A0C" w:rsidDel="009C0D03">
        <w:t xml:space="preserve">The SOMIH program is partly funded under the NAHA, but because this funding is not tied to specific programs, the amount attributed to SOMIH cannot be separately identified. </w:t>
      </w:r>
    </w:p>
    <w:p w:rsidR="00AA55A1" w:rsidRDefault="00AA55A1" w:rsidP="009463C2">
      <w:pPr>
        <w:pStyle w:val="Heading4"/>
      </w:pPr>
      <w:r>
        <w:t>Community housing</w:t>
      </w:r>
    </w:p>
    <w:p w:rsidR="004D0537" w:rsidRDefault="00024406" w:rsidP="00587A0C">
      <w:pPr>
        <w:pStyle w:val="BodyText"/>
      </w:pPr>
      <w:r w:rsidRPr="005E340A">
        <w:t>At 30</w:t>
      </w:r>
      <w:r w:rsidR="007D1214">
        <w:t> </w:t>
      </w:r>
      <w:r w:rsidRPr="005E340A">
        <w:t>June 2015, 69 171</w:t>
      </w:r>
      <w:r w:rsidR="004D0537" w:rsidRPr="005E340A">
        <w:t xml:space="preserve"> households were assisted with communit</w:t>
      </w:r>
      <w:r w:rsidR="00320FC4" w:rsidRPr="005E340A">
        <w:t xml:space="preserve">y housing, and there were </w:t>
      </w:r>
      <w:r w:rsidR="00B60500" w:rsidRPr="005E340A">
        <w:t>72 105</w:t>
      </w:r>
      <w:r w:rsidR="004D0537" w:rsidRPr="005E340A">
        <w:t xml:space="preserve"> community housing tenancy rental units in Australia, roughly double the number in 2006, reflecting</w:t>
      </w:r>
      <w:r w:rsidR="004D0537" w:rsidRPr="004D0537">
        <w:t xml:space="preserve"> the change in Australian housing policy during that time (tables</w:t>
      </w:r>
      <w:r w:rsidR="007D1214">
        <w:t> </w:t>
      </w:r>
      <w:proofErr w:type="spellStart"/>
      <w:r w:rsidR="004D0537" w:rsidRPr="004D0537">
        <w:t>17A.3</w:t>
      </w:r>
      <w:proofErr w:type="spellEnd"/>
      <w:r w:rsidR="004D0537" w:rsidRPr="004D0537">
        <w:t xml:space="preserve"> and </w:t>
      </w:r>
      <w:proofErr w:type="spellStart"/>
      <w:r w:rsidR="004D0537" w:rsidRPr="004D0537">
        <w:t>17A.4</w:t>
      </w:r>
      <w:proofErr w:type="spellEnd"/>
      <w:r w:rsidR="004D0537" w:rsidRPr="004D0537">
        <w:t xml:space="preserve">). </w:t>
      </w:r>
    </w:p>
    <w:p w:rsidR="00587A0C" w:rsidRDefault="00587A0C" w:rsidP="00587A0C">
      <w:pPr>
        <w:pStyle w:val="BodyText"/>
      </w:pPr>
      <w:r>
        <w:t xml:space="preserve">A major objective of community housing is to increase social capital by encouraging local communities to take a more active role in managing and providing affordable housing. Community housing programs may also establish links between housing and services managed at the community level, including services for people with disability, and home and community care. It is also intended to provide a choice of housing location, physical type and management arrangements. Some forms of community housing also allow tenants to participate in the management of their housing. Notwithstanding their common objectives, community housing programs vary within and across jurisdictions in their administration and </w:t>
      </w:r>
      <w:r w:rsidR="00286A74" w:rsidRPr="00CC1BBB">
        <w:t>the</w:t>
      </w:r>
      <w:r w:rsidR="00286A74">
        <w:t xml:space="preserve"> </w:t>
      </w:r>
      <w:r>
        <w:t>types of accommodation</w:t>
      </w:r>
      <w:r w:rsidR="00286A74">
        <w:t xml:space="preserve"> </w:t>
      </w:r>
      <w:r w:rsidR="00286A74" w:rsidRPr="00CC1BBB">
        <w:t>they provide</w:t>
      </w:r>
      <w:r>
        <w:t xml:space="preserve"> (box</w:t>
      </w:r>
      <w:r w:rsidR="007D1214">
        <w:t> </w:t>
      </w:r>
      <w:r>
        <w:t>17.3).</w:t>
      </w:r>
    </w:p>
    <w:p w:rsidR="00FA189C" w:rsidRDefault="00587A0C" w:rsidP="00587A0C">
      <w:pPr>
        <w:pStyle w:val="BodyText"/>
        <w:spacing w:before="120"/>
      </w:pPr>
      <w:r>
        <w:t xml:space="preserve">The role of community housing in the housing sector is expanding, driven primarily by changes in government policy that encourage the sector to play a larger role in the provision of affordable housing (Productivity Commission 2010). Community housing organisations are working in partnership with </w:t>
      </w:r>
      <w:r w:rsidRPr="00CC1BBB">
        <w:t>the</w:t>
      </w:r>
      <w:r>
        <w:t xml:space="preserve"> Australian, State and Territory governments, and the private sector, to increase the supply of affordable housing, and many </w:t>
      </w:r>
      <w:r w:rsidRPr="00821434">
        <w:t xml:space="preserve">of </w:t>
      </w:r>
      <w:r>
        <w:t xml:space="preserve">the new </w:t>
      </w:r>
      <w:r w:rsidRPr="00821434">
        <w:t xml:space="preserve">dwellings </w:t>
      </w:r>
      <w:r>
        <w:t xml:space="preserve">social housing initiatives are or will be owned or managed by community housing organisations. </w:t>
      </w:r>
    </w:p>
    <w:p w:rsidR="008A249E" w:rsidRDefault="008A249E" w:rsidP="00587A0C">
      <w:pPr>
        <w:pStyle w:val="BodyText"/>
        <w:spacing w:before="120"/>
      </w:pPr>
    </w:p>
    <w:p w:rsidR="008A249E" w:rsidRDefault="008A249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A249E" w:rsidTr="0037665F">
        <w:tc>
          <w:tcPr>
            <w:tcW w:w="8771" w:type="dxa"/>
            <w:tcBorders>
              <w:top w:val="single" w:sz="6" w:space="0" w:color="78A22F"/>
              <w:left w:val="nil"/>
              <w:bottom w:val="nil"/>
              <w:right w:val="nil"/>
            </w:tcBorders>
            <w:shd w:val="clear" w:color="auto" w:fill="F2F2F2"/>
          </w:tcPr>
          <w:p w:rsidR="008A249E" w:rsidRDefault="008A249E">
            <w:pPr>
              <w:pStyle w:val="BoxTitle"/>
            </w:pPr>
            <w:r>
              <w:rPr>
                <w:b w:val="0"/>
              </w:rPr>
              <w:t>Box 17.</w:t>
            </w:r>
            <w:r w:rsidR="00EF0AA4">
              <w:rPr>
                <w:b w:val="0"/>
                <w:noProof/>
              </w:rPr>
              <w:t>3</w:t>
            </w:r>
            <w:r>
              <w:tab/>
            </w:r>
            <w:r w:rsidRPr="00662C4C">
              <w:t>Models of community housing</w:t>
            </w:r>
          </w:p>
        </w:tc>
      </w:tr>
      <w:tr w:rsidR="008A249E" w:rsidTr="0037665F">
        <w:trPr>
          <w:cantSplit/>
        </w:trPr>
        <w:tc>
          <w:tcPr>
            <w:tcW w:w="8771" w:type="dxa"/>
            <w:tcBorders>
              <w:top w:val="nil"/>
              <w:left w:val="nil"/>
              <w:bottom w:val="nil"/>
              <w:right w:val="nil"/>
            </w:tcBorders>
            <w:shd w:val="clear" w:color="auto" w:fill="F2F2F2"/>
          </w:tcPr>
          <w:p w:rsidR="008A249E" w:rsidRPr="005E340A" w:rsidRDefault="008A249E" w:rsidP="008A249E">
            <w:pPr>
              <w:pStyle w:val="Box"/>
            </w:pPr>
            <w:r w:rsidRPr="00662C4C">
              <w:t>Community housing models vary across jurisdictions in scale, organisational structure and financing arrangements, and the extent to which community</w:t>
            </w:r>
            <w:r>
              <w:t xml:space="preserve"> organisations or </w:t>
            </w:r>
            <w:r w:rsidRPr="005E340A">
              <w:t>government have management responsibility and ownership of the housing stock. Table </w:t>
            </w:r>
            <w:proofErr w:type="spellStart"/>
            <w:r w:rsidRPr="005E340A">
              <w:t>17A.65</w:t>
            </w:r>
            <w:proofErr w:type="spellEnd"/>
            <w:r w:rsidRPr="005E340A">
              <w:t xml:space="preserve"> lists the in</w:t>
            </w:r>
            <w:r w:rsidR="007D1214">
              <w:noBreakHyphen/>
            </w:r>
            <w:r w:rsidRPr="005E340A">
              <w:t>scope community housing programs in each jurisdiction.</w:t>
            </w:r>
          </w:p>
          <w:p w:rsidR="008A249E" w:rsidRPr="00662C4C" w:rsidRDefault="008A249E" w:rsidP="008A249E">
            <w:pPr>
              <w:pStyle w:val="Box"/>
            </w:pPr>
            <w:r w:rsidRPr="005E340A">
              <w:t>Some models of community housing are:</w:t>
            </w:r>
          </w:p>
          <w:p w:rsidR="008A249E" w:rsidRPr="00662C4C" w:rsidRDefault="008A249E" w:rsidP="008A249E">
            <w:pPr>
              <w:pStyle w:val="Box"/>
              <w:numPr>
                <w:ilvl w:val="0"/>
                <w:numId w:val="15"/>
              </w:numPr>
            </w:pPr>
            <w:r w:rsidRPr="00662C4C">
              <w:rPr>
                <w:i/>
              </w:rPr>
              <w:t>housing cooperatives</w:t>
            </w:r>
            <w:r w:rsidRPr="00662C4C">
              <w:t>, providing tenancy management and maintenance of housing that is owned by government, a central finance company or an individual cooperative</w:t>
            </w:r>
          </w:p>
          <w:p w:rsidR="008A249E" w:rsidRPr="00662C4C" w:rsidRDefault="008A249E" w:rsidP="008A249E">
            <w:pPr>
              <w:pStyle w:val="Box"/>
              <w:numPr>
                <w:ilvl w:val="0"/>
                <w:numId w:val="15"/>
              </w:numPr>
            </w:pPr>
            <w:r w:rsidRPr="00662C4C">
              <w:rPr>
                <w:i/>
              </w:rPr>
              <w:t>local government housing associations</w:t>
            </w:r>
            <w:r w:rsidRPr="00662C4C">
              <w:t>, providing low cost housing within a particular municipality, are closely involved in policy, planning, funding and/or monitoring roles, and can directly manage the housing stock</w:t>
            </w:r>
          </w:p>
          <w:p w:rsidR="008A249E" w:rsidRPr="005E340A" w:rsidRDefault="008A249E" w:rsidP="008A249E">
            <w:pPr>
              <w:pStyle w:val="Box"/>
              <w:numPr>
                <w:ilvl w:val="0"/>
                <w:numId w:val="15"/>
              </w:numPr>
            </w:pPr>
            <w:r w:rsidRPr="005E340A">
              <w:rPr>
                <w:i/>
              </w:rPr>
              <w:t>regional or local housing associations</w:t>
            </w:r>
            <w:r w:rsidRPr="005E340A">
              <w:t>, providing property and tenancy management services, and support services to tenants</w:t>
            </w:r>
          </w:p>
          <w:p w:rsidR="008A249E" w:rsidRPr="005E340A" w:rsidRDefault="008A249E" w:rsidP="008A249E">
            <w:pPr>
              <w:pStyle w:val="Box"/>
              <w:numPr>
                <w:ilvl w:val="0"/>
                <w:numId w:val="15"/>
              </w:numPr>
            </w:pPr>
            <w:r w:rsidRPr="005E340A">
              <w:rPr>
                <w:i/>
              </w:rPr>
              <w:t>specialist</w:t>
            </w:r>
            <w:r w:rsidRPr="00662C4C">
              <w:rPr>
                <w:i/>
              </w:rPr>
              <w:t xml:space="preserve"> providers</w:t>
            </w:r>
            <w:r w:rsidRPr="00662C4C">
              <w:t xml:space="preserve"> are organisations with a specific purpose or function, such as tenancy management, housing development, or for specific target </w:t>
            </w:r>
            <w:r w:rsidRPr="005E340A">
              <w:t>groups (including people with disability)</w:t>
            </w:r>
          </w:p>
          <w:p w:rsidR="008A249E" w:rsidRPr="00662C4C" w:rsidRDefault="008A249E" w:rsidP="008A249E">
            <w:pPr>
              <w:pStyle w:val="Box"/>
              <w:numPr>
                <w:ilvl w:val="0"/>
                <w:numId w:val="15"/>
              </w:numPr>
            </w:pPr>
            <w:r w:rsidRPr="00662C4C">
              <w:rPr>
                <w:i/>
              </w:rPr>
              <w:t xml:space="preserve">broad service delivery </w:t>
            </w:r>
            <w:r w:rsidRPr="00662C4C">
              <w:t>are organisations that provide housing and other welfare services, such as aged care and disability services</w:t>
            </w:r>
          </w:p>
          <w:p w:rsidR="008A249E" w:rsidRPr="00662C4C" w:rsidRDefault="008A249E" w:rsidP="008A249E">
            <w:pPr>
              <w:pStyle w:val="Box"/>
              <w:numPr>
                <w:ilvl w:val="0"/>
                <w:numId w:val="15"/>
              </w:numPr>
            </w:pPr>
            <w:r w:rsidRPr="00662C4C">
              <w:rPr>
                <w:i/>
              </w:rPr>
              <w:t>vertically integrated providers of affordable housing</w:t>
            </w:r>
            <w:r w:rsidRPr="00662C4C">
              <w:t xml:space="preserve"> are involved in all stages of providing affordable housing, from construction to property and tenancy management</w:t>
            </w:r>
          </w:p>
          <w:p w:rsidR="008A249E" w:rsidRPr="00662C4C" w:rsidRDefault="008A249E" w:rsidP="008A249E">
            <w:pPr>
              <w:pStyle w:val="Box"/>
              <w:numPr>
                <w:ilvl w:val="0"/>
                <w:numId w:val="15"/>
              </w:numPr>
            </w:pPr>
            <w:r w:rsidRPr="00662C4C">
              <w:rPr>
                <w:i/>
              </w:rPr>
              <w:t>community ownership and/or management</w:t>
            </w:r>
            <w:r w:rsidRPr="00662C4C">
              <w:t>, where housing is owned and/or managed b</w:t>
            </w:r>
            <w:r>
              <w:t xml:space="preserve">y </w:t>
            </w:r>
            <w:r>
              <w:br/>
              <w:t>not–for–</w:t>
            </w:r>
            <w:r w:rsidRPr="00662C4C">
              <w:t>profit or community housing associations</w:t>
            </w:r>
          </w:p>
          <w:p w:rsidR="003252E4" w:rsidRDefault="008A249E" w:rsidP="008A249E">
            <w:pPr>
              <w:pStyle w:val="Box"/>
              <w:numPr>
                <w:ilvl w:val="0"/>
                <w:numId w:val="15"/>
              </w:numPr>
            </w:pPr>
            <w:r w:rsidRPr="00662C4C">
              <w:rPr>
                <w:i/>
              </w:rPr>
              <w:t>joint ventures and housing partnerships</w:t>
            </w:r>
            <w:r w:rsidRPr="00662C4C">
              <w:t>, where church and welfare entities, local government, private sector and other organisations provide resources in cooperation with State and Territory governments; or where groups of community housing providers form partnerships to maximise growth opportunities, share resources and/or manage risk</w:t>
            </w:r>
          </w:p>
          <w:p w:rsidR="008A249E" w:rsidRDefault="008A249E" w:rsidP="008A249E">
            <w:pPr>
              <w:pStyle w:val="Box"/>
              <w:numPr>
                <w:ilvl w:val="0"/>
                <w:numId w:val="15"/>
              </w:numPr>
            </w:pPr>
            <w:r w:rsidRPr="003252E4">
              <w:rPr>
                <w:i/>
              </w:rPr>
              <w:t>equity share rental housing</w:t>
            </w:r>
            <w:r w:rsidRPr="00662C4C">
              <w:t>, where housing cooperatives wholly own the housing stock and lease it to tenants (who are shareholders in the cooperative and, therefore, have the rights and responsibilities of cooperative management).</w:t>
            </w:r>
          </w:p>
        </w:tc>
      </w:tr>
      <w:tr w:rsidR="008A249E" w:rsidTr="0037665F">
        <w:trPr>
          <w:cantSplit/>
        </w:trPr>
        <w:tc>
          <w:tcPr>
            <w:tcW w:w="8771" w:type="dxa"/>
            <w:tcBorders>
              <w:top w:val="nil"/>
              <w:left w:val="nil"/>
              <w:bottom w:val="nil"/>
              <w:right w:val="nil"/>
            </w:tcBorders>
            <w:shd w:val="clear" w:color="auto" w:fill="F2F2F2"/>
          </w:tcPr>
          <w:p w:rsidR="008A249E" w:rsidRDefault="008A249E" w:rsidP="0037665F">
            <w:pPr>
              <w:pStyle w:val="BoxSource"/>
            </w:pPr>
            <w:r>
              <w:rPr>
                <w:i/>
              </w:rPr>
              <w:t>Source</w:t>
            </w:r>
            <w:r w:rsidRPr="00167F06">
              <w:t xml:space="preserve">: </w:t>
            </w:r>
            <w:r w:rsidRPr="00662C4C">
              <w:t>Australian, State and Territory governments (unpublished).</w:t>
            </w:r>
          </w:p>
        </w:tc>
      </w:tr>
      <w:tr w:rsidR="008A249E" w:rsidTr="0037665F">
        <w:trPr>
          <w:cantSplit/>
        </w:trPr>
        <w:tc>
          <w:tcPr>
            <w:tcW w:w="8771" w:type="dxa"/>
            <w:tcBorders>
              <w:top w:val="nil"/>
              <w:left w:val="nil"/>
              <w:bottom w:val="single" w:sz="6" w:space="0" w:color="78A22F"/>
              <w:right w:val="nil"/>
            </w:tcBorders>
            <w:shd w:val="clear" w:color="auto" w:fill="F2F2F2"/>
          </w:tcPr>
          <w:p w:rsidR="008A249E" w:rsidRDefault="008A249E">
            <w:pPr>
              <w:pStyle w:val="Box"/>
              <w:spacing w:before="0" w:line="120" w:lineRule="exact"/>
            </w:pPr>
          </w:p>
        </w:tc>
      </w:tr>
      <w:tr w:rsidR="008A249E" w:rsidRPr="000863A5" w:rsidTr="0037665F">
        <w:tc>
          <w:tcPr>
            <w:tcW w:w="8771" w:type="dxa"/>
            <w:tcBorders>
              <w:top w:val="single" w:sz="6" w:space="0" w:color="78A22F"/>
              <w:left w:val="nil"/>
              <w:bottom w:val="nil"/>
              <w:right w:val="nil"/>
            </w:tcBorders>
          </w:tcPr>
          <w:p w:rsidR="008A249E" w:rsidRPr="00626D32" w:rsidRDefault="008A249E" w:rsidP="0037665F">
            <w:pPr>
              <w:pStyle w:val="BoxSpaceBelow"/>
            </w:pPr>
          </w:p>
        </w:tc>
      </w:tr>
    </w:tbl>
    <w:p w:rsidR="00143193" w:rsidRDefault="00143193" w:rsidP="004F5372">
      <w:pPr>
        <w:pStyle w:val="Heading4"/>
      </w:pPr>
      <w:r>
        <w:t>Indigenous community housing</w:t>
      </w:r>
      <w:r w:rsidR="000A5406">
        <w:t xml:space="preserve"> (</w:t>
      </w:r>
      <w:proofErr w:type="spellStart"/>
      <w:r w:rsidR="000A5406">
        <w:t>ICH</w:t>
      </w:r>
      <w:proofErr w:type="spellEnd"/>
      <w:r w:rsidR="000A5406">
        <w:t>)</w:t>
      </w:r>
    </w:p>
    <w:p w:rsidR="00621E7E" w:rsidRPr="005E340A" w:rsidRDefault="00745D90" w:rsidP="00621E7E">
      <w:pPr>
        <w:pStyle w:val="BodyText"/>
      </w:pPr>
      <w:r>
        <w:t>A</w:t>
      </w:r>
      <w:r w:rsidR="00E7662B">
        <w:t>s at 30</w:t>
      </w:r>
      <w:r w:rsidR="007D1214">
        <w:t> </w:t>
      </w:r>
      <w:r w:rsidR="00E7662B">
        <w:t>June 2014 there were</w:t>
      </w:r>
      <w:r w:rsidR="00A1072E" w:rsidRPr="00A1072E">
        <w:t xml:space="preserve"> 12 775 households</w:t>
      </w:r>
      <w:r w:rsidR="00A1072E">
        <w:t xml:space="preserve"> </w:t>
      </w:r>
      <w:r w:rsidR="00A1072E" w:rsidRPr="005E340A">
        <w:t xml:space="preserve">in </w:t>
      </w:r>
      <w:r w:rsidR="008D4B9C" w:rsidRPr="005E340A">
        <w:t>17 529</w:t>
      </w:r>
      <w:r w:rsidR="00A1072E" w:rsidRPr="005E340A">
        <w:t xml:space="preserve"> permanent </w:t>
      </w:r>
      <w:proofErr w:type="spellStart"/>
      <w:r w:rsidR="00A1072E" w:rsidRPr="005E340A">
        <w:t>ICH</w:t>
      </w:r>
      <w:proofErr w:type="spellEnd"/>
      <w:r w:rsidR="00A1072E" w:rsidRPr="005E340A">
        <w:t xml:space="preserve"> dwellings</w:t>
      </w:r>
      <w:r w:rsidRPr="005E340A">
        <w:t xml:space="preserve"> (latest available data).</w:t>
      </w:r>
      <w:r w:rsidR="003D7311" w:rsidRPr="005E340A">
        <w:t xml:space="preserve"> Further d</w:t>
      </w:r>
      <w:r w:rsidR="00621E7E" w:rsidRPr="005E340A">
        <w:t>escriptive</w:t>
      </w:r>
      <w:r w:rsidR="00751BC3" w:rsidRPr="005E340A">
        <w:t xml:space="preserve"> information on </w:t>
      </w:r>
      <w:proofErr w:type="spellStart"/>
      <w:r w:rsidR="00751BC3" w:rsidRPr="005E340A">
        <w:t>ICH</w:t>
      </w:r>
      <w:proofErr w:type="spellEnd"/>
      <w:r w:rsidR="00751BC3" w:rsidRPr="005E340A">
        <w:t xml:space="preserve"> is</w:t>
      </w:r>
      <w:r w:rsidR="00621E7E" w:rsidRPr="005E340A">
        <w:t xml:space="preserve"> in table</w:t>
      </w:r>
      <w:r w:rsidR="007D1214">
        <w:t> </w:t>
      </w:r>
      <w:proofErr w:type="spellStart"/>
      <w:r w:rsidR="00621E7E" w:rsidRPr="005E340A">
        <w:t>17A.8</w:t>
      </w:r>
      <w:proofErr w:type="spellEnd"/>
      <w:r w:rsidR="00621E7E" w:rsidRPr="005E340A">
        <w:t>.</w:t>
      </w:r>
    </w:p>
    <w:p w:rsidR="00BD69C9" w:rsidRDefault="00E7662B" w:rsidP="00C97A52">
      <w:pPr>
        <w:pStyle w:val="BodyText"/>
      </w:pPr>
      <w:r w:rsidRPr="005E340A">
        <w:t>Indigenous community housing (</w:t>
      </w:r>
      <w:proofErr w:type="spellStart"/>
      <w:r w:rsidRPr="005E340A">
        <w:t>ICH</w:t>
      </w:r>
      <w:proofErr w:type="spellEnd"/>
      <w:r w:rsidRPr="005E340A">
        <w:t>) is housing funded by Australian, State and Territor</w:t>
      </w:r>
      <w:r w:rsidR="00C86B91" w:rsidRPr="005E340A">
        <w:t xml:space="preserve">y governments that is generally </w:t>
      </w:r>
      <w:r w:rsidRPr="005E340A">
        <w:t xml:space="preserve">managed by </w:t>
      </w:r>
      <w:proofErr w:type="spellStart"/>
      <w:r w:rsidRPr="005E340A">
        <w:t>ICH</w:t>
      </w:r>
      <w:proofErr w:type="spellEnd"/>
      <w:r w:rsidRPr="005E340A">
        <w:t xml:space="preserve"> organisations (although some </w:t>
      </w:r>
      <w:proofErr w:type="spellStart"/>
      <w:r w:rsidRPr="005E340A">
        <w:t>ICH</w:t>
      </w:r>
      <w:proofErr w:type="spellEnd"/>
      <w:r w:rsidRPr="005E340A">
        <w:t xml:space="preserve"> dwellings are managed by State and Territory housing authorities). </w:t>
      </w:r>
      <w:proofErr w:type="spellStart"/>
      <w:r w:rsidR="00621E7E" w:rsidRPr="005E340A">
        <w:t>ICH</w:t>
      </w:r>
      <w:proofErr w:type="spellEnd"/>
      <w:r w:rsidR="00621E7E" w:rsidRPr="005E340A">
        <w:t xml:space="preserve"> is</w:t>
      </w:r>
      <w:r w:rsidR="004D6AFF" w:rsidRPr="005E340A">
        <w:t xml:space="preserve"> funded through the NAH </w:t>
      </w:r>
      <w:proofErr w:type="spellStart"/>
      <w:r w:rsidR="002F0287" w:rsidRPr="005E340A">
        <w:t>SPP</w:t>
      </w:r>
      <w:proofErr w:type="spellEnd"/>
      <w:r w:rsidR="002F0287" w:rsidRPr="005E340A">
        <w:t xml:space="preserve"> </w:t>
      </w:r>
      <w:r w:rsidR="003C6643" w:rsidRPr="005E340A">
        <w:t>and the associated</w:t>
      </w:r>
      <w:r w:rsidR="00BD69C9" w:rsidRPr="005E340A">
        <w:t xml:space="preserve"> </w:t>
      </w:r>
      <w:r w:rsidR="004D6AFF" w:rsidRPr="005E340A">
        <w:t>National Partnership Agreement on Remote Indigenous Housing</w:t>
      </w:r>
      <w:r w:rsidR="0032023D" w:rsidRPr="005E340A">
        <w:t xml:space="preserve"> (</w:t>
      </w:r>
      <w:proofErr w:type="spellStart"/>
      <w:r w:rsidR="0032023D" w:rsidRPr="005E340A">
        <w:t>NPA</w:t>
      </w:r>
      <w:proofErr w:type="spellEnd"/>
      <w:r w:rsidR="00DF42D0" w:rsidRPr="005E340A">
        <w:t xml:space="preserve"> </w:t>
      </w:r>
      <w:proofErr w:type="spellStart"/>
      <w:r w:rsidR="0032023D" w:rsidRPr="005E340A">
        <w:t>RIH</w:t>
      </w:r>
      <w:proofErr w:type="spellEnd"/>
      <w:r w:rsidR="0032023D" w:rsidRPr="005E340A">
        <w:t>)</w:t>
      </w:r>
      <w:r w:rsidR="003C6643" w:rsidRPr="005E340A">
        <w:t xml:space="preserve"> until 30</w:t>
      </w:r>
      <w:r w:rsidR="007D1214">
        <w:t> </w:t>
      </w:r>
      <w:r w:rsidR="003C6643" w:rsidRPr="005E340A">
        <w:t>June 2018</w:t>
      </w:r>
      <w:r w:rsidR="00C86B91" w:rsidRPr="005E340A">
        <w:t xml:space="preserve"> </w:t>
      </w:r>
      <w:r w:rsidR="00745D90" w:rsidRPr="005E340A">
        <w:t xml:space="preserve">and </w:t>
      </w:r>
      <w:r w:rsidR="00205544" w:rsidRPr="005E340A">
        <w:t xml:space="preserve">is owned, managed and </w:t>
      </w:r>
      <w:r w:rsidR="004D6AFF" w:rsidRPr="005E340A">
        <w:t>delivered by S</w:t>
      </w:r>
      <w:r w:rsidR="00677711" w:rsidRPr="005E340A">
        <w:t xml:space="preserve">tate and Territory governments. </w:t>
      </w:r>
      <w:r w:rsidR="00284627" w:rsidRPr="005E340A">
        <w:t>S</w:t>
      </w:r>
      <w:r w:rsidR="00D04DF1" w:rsidRPr="005E340A">
        <w:t>tate and Territory governments assumed responsibility</w:t>
      </w:r>
      <w:r w:rsidR="00D04DF1">
        <w:t xml:space="preserve"> for </w:t>
      </w:r>
      <w:r w:rsidR="00D04DF1">
        <w:lastRenderedPageBreak/>
        <w:t xml:space="preserve">administering </w:t>
      </w:r>
      <w:proofErr w:type="spellStart"/>
      <w:r w:rsidR="00D04DF1">
        <w:t>ICH</w:t>
      </w:r>
      <w:proofErr w:type="spellEnd"/>
      <w:r w:rsidR="00D04DF1">
        <w:t xml:space="preserve"> in urban and regional areas</w:t>
      </w:r>
      <w:r w:rsidR="00550191">
        <w:t xml:space="preserve">, </w:t>
      </w:r>
      <w:r w:rsidR="004F5372">
        <w:t>however</w:t>
      </w:r>
      <w:r w:rsidR="00BD69C9">
        <w:t xml:space="preserve"> </w:t>
      </w:r>
      <w:r w:rsidR="00550191">
        <w:t xml:space="preserve">arrangements </w:t>
      </w:r>
      <w:r w:rsidR="00355798">
        <w:t xml:space="preserve">varied </w:t>
      </w:r>
      <w:r w:rsidR="00550191">
        <w:t>across jurisdictions.</w:t>
      </w:r>
      <w:r w:rsidR="00144C1F">
        <w:t xml:space="preserve"> </w:t>
      </w:r>
    </w:p>
    <w:p w:rsidR="001363B3" w:rsidRDefault="007D74BA" w:rsidP="00C97A52">
      <w:pPr>
        <w:pStyle w:val="BodyText"/>
        <w:rPr>
          <w:color w:val="000000"/>
        </w:rPr>
      </w:pPr>
      <w:r>
        <w:t xml:space="preserve">Some </w:t>
      </w:r>
      <w:proofErr w:type="spellStart"/>
      <w:r>
        <w:t>ICH</w:t>
      </w:r>
      <w:proofErr w:type="spellEnd"/>
      <w:r>
        <w:t xml:space="preserve"> dwellings were transferred to other social housing </w:t>
      </w:r>
      <w:r w:rsidRPr="00C80165">
        <w:rPr>
          <w:color w:val="000000"/>
        </w:rPr>
        <w:t>programs</w:t>
      </w:r>
      <w:r w:rsidR="000558C3">
        <w:rPr>
          <w:color w:val="000000"/>
        </w:rPr>
        <w:t xml:space="preserve">, with </w:t>
      </w:r>
      <w:r w:rsidR="00FD78D8">
        <w:rPr>
          <w:color w:val="000000"/>
        </w:rPr>
        <w:t>a major</w:t>
      </w:r>
      <w:r w:rsidR="00621E7E">
        <w:rPr>
          <w:color w:val="000000"/>
        </w:rPr>
        <w:t xml:space="preserve"> </w:t>
      </w:r>
      <w:r w:rsidR="000558C3">
        <w:rPr>
          <w:color w:val="000000"/>
        </w:rPr>
        <w:t xml:space="preserve">asset </w:t>
      </w:r>
      <w:r w:rsidR="00621E7E">
        <w:rPr>
          <w:color w:val="000000"/>
        </w:rPr>
        <w:t xml:space="preserve">transfer </w:t>
      </w:r>
      <w:r w:rsidR="003C6643">
        <w:rPr>
          <w:color w:val="000000"/>
        </w:rPr>
        <w:t xml:space="preserve">affecting </w:t>
      </w:r>
      <w:r w:rsidR="004F5372">
        <w:rPr>
          <w:color w:val="000000"/>
        </w:rPr>
        <w:t xml:space="preserve">social </w:t>
      </w:r>
      <w:r w:rsidR="003C6643">
        <w:rPr>
          <w:color w:val="000000"/>
        </w:rPr>
        <w:t>housing performance data for</w:t>
      </w:r>
      <w:r w:rsidR="00621E7E">
        <w:rPr>
          <w:color w:val="000000"/>
        </w:rPr>
        <w:t xml:space="preserve"> the Northern Territory</w:t>
      </w:r>
      <w:r w:rsidR="000558C3">
        <w:rPr>
          <w:color w:val="000000"/>
        </w:rPr>
        <w:t xml:space="preserve"> (box</w:t>
      </w:r>
      <w:r w:rsidR="007D1214">
        <w:rPr>
          <w:color w:val="000000"/>
        </w:rPr>
        <w:t> </w:t>
      </w:r>
      <w:r w:rsidR="000558C3">
        <w:rPr>
          <w:color w:val="000000"/>
        </w:rPr>
        <w:t>17.4)</w:t>
      </w:r>
      <w:r w:rsidR="00725040" w:rsidRPr="00C80165">
        <w:rPr>
          <w:color w:val="000000"/>
        </w:rPr>
        <w:t>.</w:t>
      </w:r>
      <w:r w:rsidR="00621E7E">
        <w:rPr>
          <w:color w:val="000000"/>
        </w:rPr>
        <w:t xml:space="preserve"> </w:t>
      </w:r>
    </w:p>
    <w:p w:rsidR="00621E7E" w:rsidRDefault="00621E7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21E7E" w:rsidTr="00C8575B">
        <w:tc>
          <w:tcPr>
            <w:tcW w:w="8771" w:type="dxa"/>
            <w:tcBorders>
              <w:top w:val="single" w:sz="6" w:space="0" w:color="78A22F"/>
              <w:left w:val="nil"/>
              <w:bottom w:val="nil"/>
              <w:right w:val="nil"/>
            </w:tcBorders>
            <w:shd w:val="clear" w:color="auto" w:fill="F2F2F2"/>
          </w:tcPr>
          <w:p w:rsidR="00621E7E" w:rsidRDefault="00621E7E" w:rsidP="000558C3">
            <w:pPr>
              <w:pStyle w:val="BoxTitle"/>
            </w:pPr>
            <w:r>
              <w:rPr>
                <w:b w:val="0"/>
              </w:rPr>
              <w:t xml:space="preserve">Box </w:t>
            </w:r>
            <w:r w:rsidR="007D1214">
              <w:rPr>
                <w:b w:val="0"/>
              </w:rPr>
              <w:t>17.</w:t>
            </w:r>
            <w:r w:rsidR="00EF0AA4">
              <w:rPr>
                <w:b w:val="0"/>
                <w:noProof/>
              </w:rPr>
              <w:t>4</w:t>
            </w:r>
            <w:r>
              <w:tab/>
            </w:r>
            <w:r w:rsidR="000558C3">
              <w:t xml:space="preserve">Asset transfer from </w:t>
            </w:r>
            <w:proofErr w:type="spellStart"/>
            <w:r w:rsidR="000558C3">
              <w:t>ICH</w:t>
            </w:r>
            <w:proofErr w:type="spellEnd"/>
            <w:r w:rsidR="000558C3">
              <w:t xml:space="preserve"> to remote public housing in the Northern Territory</w:t>
            </w:r>
          </w:p>
        </w:tc>
      </w:tr>
      <w:tr w:rsidR="00621E7E" w:rsidTr="00C8575B">
        <w:trPr>
          <w:cantSplit/>
        </w:trPr>
        <w:tc>
          <w:tcPr>
            <w:tcW w:w="8771" w:type="dxa"/>
            <w:tcBorders>
              <w:top w:val="nil"/>
              <w:left w:val="nil"/>
              <w:bottom w:val="nil"/>
              <w:right w:val="nil"/>
            </w:tcBorders>
            <w:shd w:val="clear" w:color="auto" w:fill="F2F2F2"/>
          </w:tcPr>
          <w:p w:rsidR="000558C3" w:rsidRPr="008F2728" w:rsidRDefault="00E7662B" w:rsidP="000558C3">
            <w:pPr>
              <w:pStyle w:val="Box"/>
            </w:pPr>
            <w:r>
              <w:t>Between 2008 and 20</w:t>
            </w:r>
            <w:r w:rsidR="000558C3" w:rsidRPr="008F2728">
              <w:t>10, a significant</w:t>
            </w:r>
            <w:r w:rsidR="00BD69C9" w:rsidRPr="008F2728">
              <w:t xml:space="preserve"> number of housing assets</w:t>
            </w:r>
            <w:r w:rsidR="00D67803" w:rsidRPr="008F2728">
              <w:t xml:space="preserve"> </w:t>
            </w:r>
            <w:r w:rsidR="00D67803" w:rsidRPr="008B19A4">
              <w:t xml:space="preserve">(approximately </w:t>
            </w:r>
            <w:r w:rsidR="008B19A4" w:rsidRPr="008B19A4">
              <w:t>5025</w:t>
            </w:r>
            <w:r w:rsidR="00D67803" w:rsidRPr="008B19A4">
              <w:t xml:space="preserve"> dwellings as at </w:t>
            </w:r>
            <w:r w:rsidR="008B19A4" w:rsidRPr="008B19A4">
              <w:t>30</w:t>
            </w:r>
            <w:r w:rsidR="007D1214">
              <w:t> </w:t>
            </w:r>
            <w:r w:rsidR="008B19A4" w:rsidRPr="008B19A4">
              <w:t>June 2015</w:t>
            </w:r>
            <w:r w:rsidR="00D67803" w:rsidRPr="008B19A4">
              <w:t xml:space="preserve">, with approximately </w:t>
            </w:r>
            <w:r w:rsidR="008B19A4" w:rsidRPr="008B19A4">
              <w:t>22</w:t>
            </w:r>
            <w:r w:rsidR="007D1214">
              <w:t> </w:t>
            </w:r>
            <w:r w:rsidR="008B19A4" w:rsidRPr="008B19A4">
              <w:t>5</w:t>
            </w:r>
            <w:r w:rsidR="00D67803" w:rsidRPr="008B19A4">
              <w:t>00 people</w:t>
            </w:r>
            <w:r w:rsidR="00D67803" w:rsidRPr="008F2728">
              <w:t xml:space="preserve"> residing in these dwellings)</w:t>
            </w:r>
            <w:r w:rsidR="00BD69C9" w:rsidRPr="008F2728">
              <w:t xml:space="preserve"> previously classified </w:t>
            </w:r>
            <w:r w:rsidR="00D67803" w:rsidRPr="008F2728">
              <w:t xml:space="preserve">as </w:t>
            </w:r>
            <w:proofErr w:type="spellStart"/>
            <w:r w:rsidR="00BD69C9" w:rsidRPr="008F2728">
              <w:t>ICH</w:t>
            </w:r>
            <w:proofErr w:type="spellEnd"/>
            <w:r w:rsidR="000558C3" w:rsidRPr="008F2728">
              <w:t xml:space="preserve">, were transferred to remote public housing in the NT. </w:t>
            </w:r>
            <w:r w:rsidR="00D67803" w:rsidRPr="008F2728">
              <w:t>These dwellings are excluded from</w:t>
            </w:r>
            <w:r w:rsidR="00BF767A" w:rsidRPr="008F2728">
              <w:t xml:space="preserve"> </w:t>
            </w:r>
            <w:r w:rsidR="00863C5C">
              <w:t>the</w:t>
            </w:r>
            <w:r w:rsidR="00D67803" w:rsidRPr="008F2728">
              <w:t xml:space="preserve"> </w:t>
            </w:r>
            <w:r w:rsidR="00863C5C">
              <w:t xml:space="preserve">administrative </w:t>
            </w:r>
            <w:r w:rsidR="00D67803" w:rsidRPr="008F2728">
              <w:t>data collections</w:t>
            </w:r>
            <w:r w:rsidR="00863C5C">
              <w:t xml:space="preserve"> used in this Report</w:t>
            </w:r>
            <w:r w:rsidR="00D67803" w:rsidRPr="008F2728">
              <w:t xml:space="preserve">. </w:t>
            </w:r>
          </w:p>
          <w:p w:rsidR="00621E7E" w:rsidRPr="008F2728" w:rsidRDefault="00E7662B" w:rsidP="00D22B23">
            <w:pPr>
              <w:pStyle w:val="Box"/>
            </w:pPr>
            <w:r>
              <w:t>The NT Government has</w:t>
            </w:r>
            <w:r w:rsidR="000558C3" w:rsidRPr="008F2728">
              <w:t xml:space="preserve"> committed to </w:t>
            </w:r>
            <w:r w:rsidR="008D2137" w:rsidRPr="008F2728">
              <w:t xml:space="preserve">assessing the impact of </w:t>
            </w:r>
            <w:r>
              <w:t>reporting on these dwellings and data are</w:t>
            </w:r>
            <w:r w:rsidR="000558C3" w:rsidRPr="008F2728">
              <w:t xml:space="preserve"> </w:t>
            </w:r>
            <w:r w:rsidR="00BF767A" w:rsidRPr="008F2728">
              <w:t xml:space="preserve">expected </w:t>
            </w:r>
            <w:r>
              <w:t>to be included in the 2017 Report</w:t>
            </w:r>
            <w:r w:rsidR="000558C3" w:rsidRPr="008F2728">
              <w:t>. S</w:t>
            </w:r>
            <w:r w:rsidR="00D67803" w:rsidRPr="008F2728">
              <w:t xml:space="preserve">hould these additional </w:t>
            </w:r>
            <w:r w:rsidR="00BF767A" w:rsidRPr="008F2728">
              <w:t>assets</w:t>
            </w:r>
            <w:r w:rsidR="000558C3" w:rsidRPr="008F2728">
              <w:t xml:space="preserve"> </w:t>
            </w:r>
            <w:r>
              <w:t>be reported, eight</w:t>
            </w:r>
            <w:r w:rsidR="00BD69C9" w:rsidRPr="008F2728">
              <w:t xml:space="preserve"> </w:t>
            </w:r>
            <w:r w:rsidR="00863C5C">
              <w:t>of the 11 performance</w:t>
            </w:r>
            <w:r w:rsidR="00D67803" w:rsidRPr="008F2728">
              <w:t xml:space="preserve"> </w:t>
            </w:r>
            <w:r w:rsidR="000558C3" w:rsidRPr="008F2728">
              <w:t>indicators</w:t>
            </w:r>
            <w:r w:rsidR="00863C5C">
              <w:t xml:space="preserve"> in this chapter </w:t>
            </w:r>
            <w:r w:rsidR="00BF767A" w:rsidRPr="008F2728">
              <w:t xml:space="preserve">(priority access to those in greatest need, </w:t>
            </w:r>
            <w:r w:rsidR="00D22B23" w:rsidRPr="008F2728">
              <w:t>special needs</w:t>
            </w:r>
            <w:r w:rsidR="00D22B23">
              <w:t>,</w:t>
            </w:r>
            <w:r w:rsidR="00D22B23" w:rsidRPr="008F2728">
              <w:t xml:space="preserve"> </w:t>
            </w:r>
            <w:r w:rsidR="00BF767A" w:rsidRPr="008F2728">
              <w:t>net recurrent cost per dwelling, occupancy rate, turnaround time, rent collection rate, affordability and match of dwelling to household size)</w:t>
            </w:r>
            <w:r w:rsidR="00863C5C">
              <w:t xml:space="preserve"> will be recalculated</w:t>
            </w:r>
            <w:r w:rsidR="00BD69C9" w:rsidRPr="008F2728">
              <w:t>,</w:t>
            </w:r>
            <w:r w:rsidR="000558C3" w:rsidRPr="008F2728">
              <w:t xml:space="preserve"> as the total number of dwellings is used as a denominator for c</w:t>
            </w:r>
            <w:r w:rsidR="00BD69C9" w:rsidRPr="008F2728">
              <w:t xml:space="preserve">alculating </w:t>
            </w:r>
            <w:r w:rsidR="00BF767A" w:rsidRPr="008F2728">
              <w:t xml:space="preserve">these </w:t>
            </w:r>
            <w:r w:rsidR="00BD69C9" w:rsidRPr="008F2728">
              <w:t>performance</w:t>
            </w:r>
            <w:r w:rsidR="000558C3" w:rsidRPr="008F2728">
              <w:t xml:space="preserve"> indicators</w:t>
            </w:r>
            <w:r w:rsidR="00BF767A" w:rsidRPr="008F2728">
              <w:t>.</w:t>
            </w:r>
            <w:r w:rsidR="003C6643" w:rsidRPr="008F2728">
              <w:t xml:space="preserve"> Detailed da</w:t>
            </w:r>
            <w:r w:rsidR="004F5372" w:rsidRPr="008F2728">
              <w:t xml:space="preserve">ta caveats are footnoted in </w:t>
            </w:r>
            <w:r w:rsidR="006B692D" w:rsidRPr="008F2728">
              <w:t xml:space="preserve">the </w:t>
            </w:r>
            <w:r w:rsidR="003C6643" w:rsidRPr="008F2728">
              <w:t>associated attachment tables</w:t>
            </w:r>
            <w:r w:rsidR="006B692D" w:rsidRPr="008F2728">
              <w:t xml:space="preserve"> for the indicator</w:t>
            </w:r>
            <w:r w:rsidR="00C8575B" w:rsidRPr="008F2728">
              <w:t>s</w:t>
            </w:r>
            <w:r w:rsidR="003C6643" w:rsidRPr="008F2728">
              <w:t>.</w:t>
            </w:r>
          </w:p>
        </w:tc>
      </w:tr>
      <w:tr w:rsidR="00621E7E" w:rsidTr="00C8575B">
        <w:trPr>
          <w:cantSplit/>
        </w:trPr>
        <w:tc>
          <w:tcPr>
            <w:tcW w:w="8771" w:type="dxa"/>
            <w:tcBorders>
              <w:top w:val="nil"/>
              <w:left w:val="nil"/>
              <w:bottom w:val="nil"/>
              <w:right w:val="nil"/>
            </w:tcBorders>
            <w:shd w:val="clear" w:color="auto" w:fill="F2F2F2"/>
          </w:tcPr>
          <w:p w:rsidR="00621E7E" w:rsidRPr="004D0537" w:rsidRDefault="00621E7E" w:rsidP="00863C5C">
            <w:pPr>
              <w:pStyle w:val="BoxSource"/>
            </w:pPr>
            <w:r w:rsidRPr="008F2728">
              <w:rPr>
                <w:i/>
              </w:rPr>
              <w:t>Source</w:t>
            </w:r>
            <w:r w:rsidRPr="008F2728">
              <w:t xml:space="preserve">: </w:t>
            </w:r>
            <w:r w:rsidR="008D2137" w:rsidRPr="008F2728">
              <w:t xml:space="preserve">NT Government (unpublished); </w:t>
            </w:r>
            <w:r w:rsidR="008D2137" w:rsidRPr="008B19A4">
              <w:t>NT Departme</w:t>
            </w:r>
            <w:r w:rsidR="00745D90">
              <w:t xml:space="preserve">nt of Housing Annual </w:t>
            </w:r>
            <w:r w:rsidR="00745D90" w:rsidRPr="005E340A">
              <w:t>Report 2014</w:t>
            </w:r>
            <w:r w:rsidR="007D1214">
              <w:noBreakHyphen/>
            </w:r>
            <w:r w:rsidR="00745D90" w:rsidRPr="005E340A">
              <w:t>15 (2015</w:t>
            </w:r>
            <w:r w:rsidRPr="005E340A">
              <w:t>).</w:t>
            </w:r>
          </w:p>
        </w:tc>
      </w:tr>
      <w:tr w:rsidR="00621E7E" w:rsidTr="00C8575B">
        <w:trPr>
          <w:cantSplit/>
        </w:trPr>
        <w:tc>
          <w:tcPr>
            <w:tcW w:w="8771" w:type="dxa"/>
            <w:tcBorders>
              <w:top w:val="nil"/>
              <w:left w:val="nil"/>
              <w:bottom w:val="single" w:sz="6" w:space="0" w:color="78A22F"/>
              <w:right w:val="nil"/>
            </w:tcBorders>
            <w:shd w:val="clear" w:color="auto" w:fill="F2F2F2"/>
          </w:tcPr>
          <w:p w:rsidR="00621E7E" w:rsidRDefault="00621E7E">
            <w:pPr>
              <w:pStyle w:val="Box"/>
              <w:spacing w:before="0" w:line="120" w:lineRule="exact"/>
            </w:pPr>
          </w:p>
        </w:tc>
      </w:tr>
      <w:tr w:rsidR="00621E7E" w:rsidRPr="000863A5" w:rsidTr="00C8575B">
        <w:tc>
          <w:tcPr>
            <w:tcW w:w="8771" w:type="dxa"/>
            <w:tcBorders>
              <w:top w:val="single" w:sz="6" w:space="0" w:color="78A22F"/>
              <w:left w:val="nil"/>
              <w:bottom w:val="nil"/>
              <w:right w:val="nil"/>
            </w:tcBorders>
          </w:tcPr>
          <w:p w:rsidR="00621E7E" w:rsidRPr="00626D32" w:rsidRDefault="00621E7E" w:rsidP="00C8575B">
            <w:pPr>
              <w:pStyle w:val="BoxSpaceBelow"/>
            </w:pPr>
          </w:p>
        </w:tc>
      </w:tr>
    </w:tbl>
    <w:p w:rsidR="00DB482D" w:rsidRPr="00A10F67" w:rsidRDefault="008E11E4" w:rsidP="007E7F5A">
      <w:pPr>
        <w:pStyle w:val="Heading3"/>
        <w:spacing w:before="480"/>
      </w:pPr>
      <w:r w:rsidRPr="00A10F67">
        <w:t>D</w:t>
      </w:r>
      <w:r w:rsidR="00DB482D" w:rsidRPr="00A10F67">
        <w:t xml:space="preserve">iversity of State and Territory </w:t>
      </w:r>
      <w:r w:rsidR="00F2314A" w:rsidRPr="00A10F67">
        <w:t>g</w:t>
      </w:r>
      <w:r w:rsidR="00981F3C" w:rsidRPr="00A10F67">
        <w:t>overnment social</w:t>
      </w:r>
      <w:r w:rsidR="00535739" w:rsidRPr="00A10F67">
        <w:t xml:space="preserve"> housing</w:t>
      </w:r>
    </w:p>
    <w:p w:rsidR="00DB482D" w:rsidRDefault="00DB482D" w:rsidP="00DB482D">
      <w:pPr>
        <w:pStyle w:val="BodyText"/>
      </w:pPr>
      <w:r>
        <w:t xml:space="preserve">State and Territory governments have similar broad objectives for providing </w:t>
      </w:r>
      <w:r w:rsidR="000C4D74">
        <w:t xml:space="preserve">social </w:t>
      </w:r>
      <w:r>
        <w:t>housing. Individual jurisdictions, however, emphasise different objectives depending on their historical precedents and ways of interacting with community sector providers. Jurisdictions also have different private housing market</w:t>
      </w:r>
      <w:r w:rsidR="002833BC">
        <w:t xml:space="preserve">s. </w:t>
      </w:r>
      <w:r>
        <w:t xml:space="preserve">These differences lead to a variety of policy responses and associated forms of assistance. It is important to </w:t>
      </w:r>
      <w:r w:rsidR="00162ABC">
        <w:t xml:space="preserve">consider the </w:t>
      </w:r>
      <w:r>
        <w:t xml:space="preserve">various </w:t>
      </w:r>
      <w:r w:rsidR="002F0287">
        <w:t xml:space="preserve">levels and types of </w:t>
      </w:r>
      <w:r>
        <w:t xml:space="preserve">assistance </w:t>
      </w:r>
      <w:r w:rsidR="00162ABC">
        <w:t xml:space="preserve">provided </w:t>
      </w:r>
      <w:r>
        <w:t xml:space="preserve">in each State and Territory, the differences in </w:t>
      </w:r>
      <w:r w:rsidR="002A0AF1">
        <w:t xml:space="preserve">urban, </w:t>
      </w:r>
      <w:r>
        <w:t>regional and remote area concentration</w:t>
      </w:r>
      <w:r w:rsidR="004F5372">
        <w:t>s</w:t>
      </w:r>
      <w:r>
        <w:t>, and the various eligibility criteria for the different assistance types</w:t>
      </w:r>
      <w:r w:rsidR="00FB23AC" w:rsidRPr="00FB23AC">
        <w:t xml:space="preserve"> </w:t>
      </w:r>
      <w:r w:rsidR="00FB23AC">
        <w:t xml:space="preserve">when analysing performance </w:t>
      </w:r>
      <w:r w:rsidR="00FB23AC" w:rsidRPr="00993D63">
        <w:t>information</w:t>
      </w:r>
      <w:r w:rsidRPr="00993D63">
        <w:t>.</w:t>
      </w:r>
      <w:r w:rsidR="00856264" w:rsidRPr="00993D63">
        <w:t xml:space="preserve"> </w:t>
      </w:r>
      <w:r w:rsidR="001779E0" w:rsidRPr="00993D63">
        <w:t xml:space="preserve">Some information on the </w:t>
      </w:r>
      <w:r w:rsidR="00856264" w:rsidRPr="00993D63">
        <w:t>context</w:t>
      </w:r>
      <w:r w:rsidR="001779E0" w:rsidRPr="00993D63">
        <w:t xml:space="preserve"> for </w:t>
      </w:r>
      <w:r w:rsidR="00E60630" w:rsidRPr="00993D63">
        <w:t>public housing</w:t>
      </w:r>
      <w:r w:rsidR="00AF33B6">
        <w:t xml:space="preserve">, </w:t>
      </w:r>
      <w:r w:rsidR="00E60630" w:rsidRPr="00993D63">
        <w:t xml:space="preserve">SOMIH </w:t>
      </w:r>
      <w:r w:rsidR="00AF33B6">
        <w:t xml:space="preserve">and community housing </w:t>
      </w:r>
      <w:r w:rsidR="00856264" w:rsidRPr="00993D63">
        <w:t xml:space="preserve">are </w:t>
      </w:r>
      <w:r w:rsidR="001779E0" w:rsidRPr="00993D63">
        <w:t xml:space="preserve">included at </w:t>
      </w:r>
      <w:r w:rsidR="00856264" w:rsidRPr="00993D63">
        <w:t>tables</w:t>
      </w:r>
      <w:r w:rsidR="007D1214">
        <w:t> </w:t>
      </w:r>
      <w:proofErr w:type="spellStart"/>
      <w:r w:rsidR="00B80C21" w:rsidRPr="00F40EAE">
        <w:t>17A</w:t>
      </w:r>
      <w:r w:rsidR="00856264" w:rsidRPr="00F40EAE">
        <w:t>.</w:t>
      </w:r>
      <w:r w:rsidR="00F40EAE" w:rsidRPr="00F40EAE">
        <w:t>62</w:t>
      </w:r>
      <w:proofErr w:type="spellEnd"/>
      <w:r w:rsidR="00446013" w:rsidRPr="00F40EAE">
        <w:t>–</w:t>
      </w:r>
      <w:r w:rsidR="00AF33B6" w:rsidRPr="00F40EAE">
        <w:t>6</w:t>
      </w:r>
      <w:r w:rsidR="00F40EAE" w:rsidRPr="00F40EAE">
        <w:t>4</w:t>
      </w:r>
      <w:r w:rsidR="00AF33B6" w:rsidRPr="00F40EAE">
        <w:t>.</w:t>
      </w:r>
      <w:r w:rsidR="0065490B">
        <w:t xml:space="preserve"> </w:t>
      </w:r>
    </w:p>
    <w:p w:rsidR="00856264" w:rsidRDefault="00875CA6" w:rsidP="002833BC">
      <w:pPr>
        <w:pStyle w:val="Heading4"/>
        <w:spacing w:before="360"/>
      </w:pPr>
      <w:r>
        <w:t>Urban, r</w:t>
      </w:r>
      <w:r w:rsidR="00856264">
        <w:t>egional and remote concentrations</w:t>
      </w:r>
    </w:p>
    <w:p w:rsidR="004052A1" w:rsidRDefault="00DB482D" w:rsidP="004052A1">
      <w:pPr>
        <w:pStyle w:val="BodyText"/>
        <w:spacing w:after="480"/>
      </w:pPr>
      <w:r>
        <w:t>The proportion</w:t>
      </w:r>
      <w:r w:rsidR="002E3E0D">
        <w:t xml:space="preserve"> of social housing</w:t>
      </w:r>
      <w:r w:rsidR="00EC0731">
        <w:t xml:space="preserve"> dwellings </w:t>
      </w:r>
      <w:r>
        <w:t xml:space="preserve">located in </w:t>
      </w:r>
      <w:r w:rsidR="00E5071D">
        <w:t>major citi</w:t>
      </w:r>
      <w:r w:rsidR="00C83032">
        <w:t>e</w:t>
      </w:r>
      <w:r w:rsidR="00E5071D">
        <w:t>s</w:t>
      </w:r>
      <w:r w:rsidR="00875CA6">
        <w:t xml:space="preserve">, </w:t>
      </w:r>
      <w:r>
        <w:t xml:space="preserve">regional and remote areas, </w:t>
      </w:r>
      <w:r w:rsidR="003B1A76">
        <w:t xml:space="preserve">for public housing, SOMIH and community housing, </w:t>
      </w:r>
      <w:r>
        <w:t>using the Australian Sta</w:t>
      </w:r>
      <w:r w:rsidR="00643FA5">
        <w:t xml:space="preserve">tistical Geography Standard </w:t>
      </w:r>
      <w:r>
        <w:t>remoteness area structure (</w:t>
      </w:r>
      <w:proofErr w:type="spellStart"/>
      <w:r>
        <w:t>ASG</w:t>
      </w:r>
      <w:r w:rsidR="00643FA5">
        <w:t>S</w:t>
      </w:r>
      <w:proofErr w:type="spellEnd"/>
      <w:r w:rsidR="00D5589F">
        <w:t> </w:t>
      </w:r>
      <w:r>
        <w:t xml:space="preserve">remoteness areas) </w:t>
      </w:r>
      <w:r w:rsidR="00C83032">
        <w:t>are included</w:t>
      </w:r>
      <w:r>
        <w:t xml:space="preserve"> in table</w:t>
      </w:r>
      <w:r w:rsidR="004052A1">
        <w:t>s</w:t>
      </w:r>
      <w:r w:rsidR="007570DB">
        <w:t> </w:t>
      </w:r>
      <w:proofErr w:type="spellStart"/>
      <w:r w:rsidR="004052A1" w:rsidRPr="00C257E9">
        <w:t>17A.5</w:t>
      </w:r>
      <w:proofErr w:type="spellEnd"/>
      <w:r w:rsidR="00C83032" w:rsidRPr="00F40EAE">
        <w:t>–</w:t>
      </w:r>
      <w:r w:rsidR="004052A1" w:rsidRPr="00C257E9">
        <w:t>7</w:t>
      </w:r>
      <w:r>
        <w:t>.</w:t>
      </w:r>
      <w:r w:rsidR="009B58D7">
        <w:t xml:space="preserve"> </w:t>
      </w:r>
      <w:r w:rsidR="00E5071D">
        <w:t>These proportions vary considerably across jurisdictions (table</w:t>
      </w:r>
      <w:r w:rsidR="007D1214">
        <w:t> </w:t>
      </w:r>
      <w:r w:rsidR="00E5071D">
        <w:t xml:space="preserve">17.2). </w:t>
      </w:r>
      <w:r w:rsidR="00B751B4">
        <w:t>Remoteness d</w:t>
      </w:r>
      <w:r w:rsidR="0056685C" w:rsidRPr="004563A4">
        <w:t>ata for Indigenous community hou</w:t>
      </w:r>
      <w:r w:rsidR="00211820">
        <w:t>sing may</w:t>
      </w:r>
      <w:r w:rsidR="004563A4" w:rsidRPr="004563A4">
        <w:t xml:space="preserve"> be included in future r</w:t>
      </w:r>
      <w:r w:rsidR="0056685C" w:rsidRPr="004563A4">
        <w:t>eports.</w:t>
      </w:r>
    </w:p>
    <w:p w:rsidR="00E5071D" w:rsidRDefault="00E5071D" w:rsidP="00C40B3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shd w:val="clear" w:color="auto" w:fill="FFFFFF" w:themeFill="background1"/>
        <w:tblCellMar>
          <w:left w:w="142" w:type="dxa"/>
          <w:right w:w="142" w:type="dxa"/>
        </w:tblCellMar>
        <w:tblLook w:val="0000" w:firstRow="0" w:lastRow="0" w:firstColumn="0" w:lastColumn="0" w:noHBand="0" w:noVBand="0"/>
      </w:tblPr>
      <w:tblGrid>
        <w:gridCol w:w="8771"/>
      </w:tblGrid>
      <w:tr w:rsidR="00E5071D" w:rsidTr="00B6576C">
        <w:tc>
          <w:tcPr>
            <w:tcW w:w="8771" w:type="dxa"/>
            <w:tcBorders>
              <w:top w:val="single" w:sz="6" w:space="0" w:color="78A22F"/>
              <w:left w:val="nil"/>
              <w:bottom w:val="nil"/>
              <w:right w:val="nil"/>
            </w:tcBorders>
            <w:shd w:val="clear" w:color="auto" w:fill="FFFFFF" w:themeFill="background1"/>
          </w:tcPr>
          <w:p w:rsidR="00E5071D" w:rsidRPr="00784A05" w:rsidRDefault="00E5071D" w:rsidP="006D4912">
            <w:pPr>
              <w:pStyle w:val="TableTitle"/>
            </w:pPr>
            <w:r>
              <w:rPr>
                <w:b w:val="0"/>
              </w:rPr>
              <w:t>Table 17.2</w:t>
            </w:r>
            <w:r>
              <w:tab/>
              <w:t>Social housing dwellings by remoteness area, at 30</w:t>
            </w:r>
            <w:r w:rsidR="007D1214">
              <w:t> </w:t>
            </w:r>
            <w:r>
              <w:t>June 2015 (per cent)</w:t>
            </w:r>
            <w:proofErr w:type="spellStart"/>
            <w:r w:rsidRPr="000920E3">
              <w:rPr>
                <w:rStyle w:val="NoteLabel"/>
                <w:b/>
              </w:rPr>
              <w:t>a</w:t>
            </w:r>
            <w:r w:rsidR="000920E3" w:rsidRPr="000920E3">
              <w:rPr>
                <w:rStyle w:val="NoteLabel"/>
                <w:b/>
              </w:rPr>
              <w:t>,b</w:t>
            </w:r>
            <w:proofErr w:type="spellEnd"/>
          </w:p>
        </w:tc>
      </w:tr>
      <w:tr w:rsidR="00E5071D" w:rsidTr="00B6576C">
        <w:trPr>
          <w:cantSplit/>
        </w:trPr>
        <w:tc>
          <w:tcPr>
            <w:tcW w:w="8771" w:type="dxa"/>
            <w:tcBorders>
              <w:top w:val="nil"/>
              <w:left w:val="nil"/>
              <w:bottom w:val="nil"/>
              <w:right w:val="nil"/>
            </w:tcBorders>
            <w:shd w:val="clear" w:color="auto" w:fill="FFFFFF" w:themeFill="background1"/>
          </w:tcPr>
          <w:tbl>
            <w:tblPr>
              <w:tblW w:w="5000" w:type="pct"/>
              <w:tblCellMar>
                <w:top w:w="28" w:type="dxa"/>
                <w:left w:w="0" w:type="dxa"/>
                <w:right w:w="0" w:type="dxa"/>
              </w:tblCellMar>
              <w:tblLook w:val="0000" w:firstRow="0" w:lastRow="0" w:firstColumn="0" w:lastColumn="0" w:noHBand="0" w:noVBand="0"/>
            </w:tblPr>
            <w:tblGrid>
              <w:gridCol w:w="1367"/>
              <w:gridCol w:w="1203"/>
              <w:gridCol w:w="720"/>
              <w:gridCol w:w="720"/>
              <w:gridCol w:w="721"/>
              <w:gridCol w:w="726"/>
              <w:gridCol w:w="777"/>
              <w:gridCol w:w="777"/>
              <w:gridCol w:w="777"/>
              <w:gridCol w:w="699"/>
            </w:tblGrid>
            <w:tr w:rsidR="008569CC" w:rsidTr="00B734A5">
              <w:tc>
                <w:tcPr>
                  <w:tcW w:w="805" w:type="pct"/>
                  <w:tcBorders>
                    <w:top w:val="single" w:sz="6" w:space="0" w:color="BFBFBF"/>
                    <w:bottom w:val="single" w:sz="6" w:space="0" w:color="BFBFBF"/>
                  </w:tcBorders>
                  <w:shd w:val="clear" w:color="auto" w:fill="auto"/>
                  <w:tcMar>
                    <w:top w:w="28" w:type="dxa"/>
                  </w:tcMar>
                </w:tcPr>
                <w:p w:rsidR="00E5071D" w:rsidRDefault="00E5071D" w:rsidP="00C40B3F">
                  <w:pPr>
                    <w:pStyle w:val="TableColumnHeading"/>
                    <w:jc w:val="left"/>
                  </w:pPr>
                </w:p>
              </w:tc>
              <w:tc>
                <w:tcPr>
                  <w:tcW w:w="708" w:type="pct"/>
                  <w:tcBorders>
                    <w:top w:val="single" w:sz="6" w:space="0" w:color="BFBFBF"/>
                    <w:bottom w:val="single" w:sz="6" w:space="0" w:color="BFBFBF"/>
                  </w:tcBorders>
                </w:tcPr>
                <w:p w:rsidR="00E5071D" w:rsidRDefault="00E5071D" w:rsidP="00C40B3F">
                  <w:pPr>
                    <w:pStyle w:val="TableColumnHeading"/>
                  </w:pPr>
                  <w:r>
                    <w:t>NSW</w:t>
                  </w:r>
                </w:p>
              </w:tc>
              <w:tc>
                <w:tcPr>
                  <w:tcW w:w="424" w:type="pct"/>
                  <w:tcBorders>
                    <w:top w:val="single" w:sz="6" w:space="0" w:color="BFBFBF"/>
                    <w:bottom w:val="single" w:sz="6" w:space="0" w:color="BFBFBF"/>
                  </w:tcBorders>
                </w:tcPr>
                <w:p w:rsidR="00E5071D" w:rsidRDefault="00E5071D" w:rsidP="00C40B3F">
                  <w:pPr>
                    <w:pStyle w:val="TableColumnHeading"/>
                  </w:pPr>
                  <w:r>
                    <w:t>Vic</w:t>
                  </w:r>
                </w:p>
              </w:tc>
              <w:tc>
                <w:tcPr>
                  <w:tcW w:w="424" w:type="pct"/>
                  <w:tcBorders>
                    <w:top w:val="single" w:sz="6" w:space="0" w:color="BFBFBF"/>
                    <w:bottom w:val="single" w:sz="6" w:space="0" w:color="BFBFBF"/>
                  </w:tcBorders>
                </w:tcPr>
                <w:p w:rsidR="00E5071D" w:rsidRDefault="00E5071D" w:rsidP="00C40B3F">
                  <w:pPr>
                    <w:pStyle w:val="TableColumnHeading"/>
                  </w:pPr>
                  <w:r>
                    <w:t>Qld</w:t>
                  </w:r>
                </w:p>
              </w:tc>
              <w:tc>
                <w:tcPr>
                  <w:tcW w:w="425" w:type="pct"/>
                  <w:tcBorders>
                    <w:top w:val="single" w:sz="6" w:space="0" w:color="BFBFBF"/>
                    <w:bottom w:val="single" w:sz="6" w:space="0" w:color="BFBFBF"/>
                  </w:tcBorders>
                </w:tcPr>
                <w:p w:rsidR="00E5071D" w:rsidRDefault="00E5071D" w:rsidP="00C40B3F">
                  <w:pPr>
                    <w:pStyle w:val="TableColumnHeading"/>
                  </w:pPr>
                  <w:r>
                    <w:t>WA</w:t>
                  </w:r>
                </w:p>
              </w:tc>
              <w:tc>
                <w:tcPr>
                  <w:tcW w:w="428" w:type="pct"/>
                  <w:tcBorders>
                    <w:top w:val="single" w:sz="6" w:space="0" w:color="BFBFBF"/>
                    <w:bottom w:val="single" w:sz="6" w:space="0" w:color="BFBFBF"/>
                  </w:tcBorders>
                </w:tcPr>
                <w:p w:rsidR="00E5071D" w:rsidRDefault="00E5071D" w:rsidP="00C40B3F">
                  <w:pPr>
                    <w:pStyle w:val="TableColumnHeading"/>
                  </w:pPr>
                  <w:r>
                    <w:t>SA</w:t>
                  </w:r>
                </w:p>
              </w:tc>
              <w:tc>
                <w:tcPr>
                  <w:tcW w:w="458" w:type="pct"/>
                  <w:tcBorders>
                    <w:top w:val="single" w:sz="6" w:space="0" w:color="BFBFBF"/>
                    <w:bottom w:val="single" w:sz="6" w:space="0" w:color="BFBFBF"/>
                  </w:tcBorders>
                </w:tcPr>
                <w:p w:rsidR="00E5071D" w:rsidRDefault="00E5071D" w:rsidP="00C40B3F">
                  <w:pPr>
                    <w:pStyle w:val="TableColumnHeading"/>
                  </w:pPr>
                  <w:r>
                    <w:t>Tas</w:t>
                  </w:r>
                </w:p>
              </w:tc>
              <w:tc>
                <w:tcPr>
                  <w:tcW w:w="458" w:type="pct"/>
                  <w:tcBorders>
                    <w:top w:val="single" w:sz="6" w:space="0" w:color="BFBFBF"/>
                    <w:bottom w:val="single" w:sz="6" w:space="0" w:color="BFBFBF"/>
                  </w:tcBorders>
                </w:tcPr>
                <w:p w:rsidR="00E5071D" w:rsidRDefault="00E5071D" w:rsidP="00C40B3F">
                  <w:pPr>
                    <w:pStyle w:val="TableColumnHeading"/>
                  </w:pPr>
                  <w:r>
                    <w:t>ACT</w:t>
                  </w:r>
                </w:p>
              </w:tc>
              <w:tc>
                <w:tcPr>
                  <w:tcW w:w="458" w:type="pct"/>
                  <w:tcBorders>
                    <w:top w:val="single" w:sz="6" w:space="0" w:color="BFBFBF"/>
                    <w:bottom w:val="single" w:sz="6" w:space="0" w:color="BFBFBF"/>
                  </w:tcBorders>
                  <w:shd w:val="clear" w:color="auto" w:fill="auto"/>
                  <w:tcMar>
                    <w:top w:w="28" w:type="dxa"/>
                  </w:tcMar>
                </w:tcPr>
                <w:p w:rsidR="00E5071D" w:rsidRDefault="00E5071D" w:rsidP="00C40B3F">
                  <w:pPr>
                    <w:pStyle w:val="TableColumnHeading"/>
                  </w:pPr>
                  <w:r>
                    <w:t>NT</w:t>
                  </w:r>
                </w:p>
              </w:tc>
              <w:tc>
                <w:tcPr>
                  <w:tcW w:w="413" w:type="pct"/>
                  <w:tcBorders>
                    <w:top w:val="single" w:sz="6" w:space="0" w:color="BFBFBF"/>
                    <w:bottom w:val="single" w:sz="6" w:space="0" w:color="BFBFBF"/>
                  </w:tcBorders>
                  <w:shd w:val="clear" w:color="auto" w:fill="auto"/>
                  <w:tcMar>
                    <w:top w:w="28" w:type="dxa"/>
                  </w:tcMar>
                </w:tcPr>
                <w:p w:rsidR="00E5071D" w:rsidRDefault="00E5071D" w:rsidP="00C40B3F">
                  <w:pPr>
                    <w:pStyle w:val="TableColumnHeading"/>
                    <w:ind w:right="28"/>
                  </w:pPr>
                  <w:r>
                    <w:t>Aust</w:t>
                  </w:r>
                </w:p>
              </w:tc>
            </w:tr>
            <w:tr w:rsidR="008569CC" w:rsidTr="00B734A5">
              <w:tc>
                <w:tcPr>
                  <w:tcW w:w="805" w:type="pct"/>
                  <w:tcBorders>
                    <w:top w:val="single" w:sz="6" w:space="0" w:color="BFBFBF"/>
                  </w:tcBorders>
                </w:tcPr>
                <w:p w:rsidR="00E5071D" w:rsidRDefault="00E5071D" w:rsidP="006D4912">
                  <w:pPr>
                    <w:pStyle w:val="TableColumnHeading"/>
                    <w:jc w:val="left"/>
                    <w:rPr>
                      <w:szCs w:val="24"/>
                    </w:rPr>
                  </w:pPr>
                  <w:r>
                    <w:t>Public housing</w:t>
                  </w:r>
                </w:p>
              </w:tc>
              <w:tc>
                <w:tcPr>
                  <w:tcW w:w="708" w:type="pct"/>
                  <w:tcBorders>
                    <w:top w:val="single" w:sz="6" w:space="0" w:color="BFBFBF"/>
                  </w:tcBorders>
                </w:tcPr>
                <w:p w:rsidR="00E5071D" w:rsidRDefault="00E5071D" w:rsidP="00C40B3F">
                  <w:pPr>
                    <w:pStyle w:val="TableUnitsRow"/>
                  </w:pPr>
                </w:p>
              </w:tc>
              <w:tc>
                <w:tcPr>
                  <w:tcW w:w="424" w:type="pct"/>
                  <w:tcBorders>
                    <w:top w:val="single" w:sz="6" w:space="0" w:color="BFBFBF"/>
                  </w:tcBorders>
                </w:tcPr>
                <w:p w:rsidR="00E5071D" w:rsidRDefault="00E5071D" w:rsidP="00C40B3F">
                  <w:pPr>
                    <w:pStyle w:val="TableUnitsRow"/>
                  </w:pPr>
                </w:p>
              </w:tc>
              <w:tc>
                <w:tcPr>
                  <w:tcW w:w="424" w:type="pct"/>
                  <w:tcBorders>
                    <w:top w:val="single" w:sz="6" w:space="0" w:color="BFBFBF"/>
                  </w:tcBorders>
                </w:tcPr>
                <w:p w:rsidR="00E5071D" w:rsidRDefault="00E5071D" w:rsidP="00C40B3F">
                  <w:pPr>
                    <w:pStyle w:val="TableUnitsRow"/>
                  </w:pPr>
                </w:p>
              </w:tc>
              <w:tc>
                <w:tcPr>
                  <w:tcW w:w="425" w:type="pct"/>
                  <w:tcBorders>
                    <w:top w:val="single" w:sz="6" w:space="0" w:color="BFBFBF"/>
                  </w:tcBorders>
                </w:tcPr>
                <w:p w:rsidR="00E5071D" w:rsidRDefault="00E5071D" w:rsidP="00C40B3F">
                  <w:pPr>
                    <w:pStyle w:val="TableUnitsRow"/>
                  </w:pPr>
                </w:p>
              </w:tc>
              <w:tc>
                <w:tcPr>
                  <w:tcW w:w="428" w:type="pct"/>
                  <w:tcBorders>
                    <w:top w:val="single" w:sz="6" w:space="0" w:color="BFBFBF"/>
                  </w:tcBorders>
                </w:tcPr>
                <w:p w:rsidR="00E5071D" w:rsidRDefault="00E5071D" w:rsidP="00C40B3F">
                  <w:pPr>
                    <w:pStyle w:val="TableUnitsRow"/>
                  </w:pPr>
                </w:p>
              </w:tc>
              <w:tc>
                <w:tcPr>
                  <w:tcW w:w="458" w:type="pct"/>
                  <w:tcBorders>
                    <w:top w:val="single" w:sz="6" w:space="0" w:color="BFBFBF"/>
                  </w:tcBorders>
                </w:tcPr>
                <w:p w:rsidR="00E5071D" w:rsidRDefault="00E5071D" w:rsidP="00C40B3F">
                  <w:pPr>
                    <w:pStyle w:val="TableUnitsRow"/>
                  </w:pPr>
                </w:p>
              </w:tc>
              <w:tc>
                <w:tcPr>
                  <w:tcW w:w="458" w:type="pct"/>
                  <w:tcBorders>
                    <w:top w:val="single" w:sz="6" w:space="0" w:color="BFBFBF"/>
                  </w:tcBorders>
                </w:tcPr>
                <w:p w:rsidR="00E5071D" w:rsidRDefault="00E5071D" w:rsidP="00C40B3F">
                  <w:pPr>
                    <w:pStyle w:val="TableUnitsRow"/>
                  </w:pPr>
                </w:p>
              </w:tc>
              <w:tc>
                <w:tcPr>
                  <w:tcW w:w="458" w:type="pct"/>
                  <w:tcBorders>
                    <w:top w:val="single" w:sz="6" w:space="0" w:color="BFBFBF"/>
                  </w:tcBorders>
                </w:tcPr>
                <w:p w:rsidR="00E5071D" w:rsidRDefault="00E5071D" w:rsidP="00C40B3F">
                  <w:pPr>
                    <w:pStyle w:val="TableUnitsRow"/>
                  </w:pPr>
                </w:p>
              </w:tc>
              <w:tc>
                <w:tcPr>
                  <w:tcW w:w="413" w:type="pct"/>
                  <w:tcBorders>
                    <w:top w:val="single" w:sz="6" w:space="0" w:color="BFBFBF"/>
                  </w:tcBorders>
                </w:tcPr>
                <w:p w:rsidR="00E5071D" w:rsidRDefault="00E5071D" w:rsidP="00C40B3F">
                  <w:pPr>
                    <w:pStyle w:val="TableUnitsRow"/>
                    <w:ind w:right="28"/>
                  </w:pPr>
                </w:p>
              </w:tc>
            </w:tr>
            <w:tr w:rsidR="001E09AA" w:rsidTr="00B734A5">
              <w:tc>
                <w:tcPr>
                  <w:tcW w:w="805" w:type="pct"/>
                </w:tcPr>
                <w:p w:rsidR="001E09AA" w:rsidRDefault="001E09AA" w:rsidP="008569CC">
                  <w:pPr>
                    <w:pStyle w:val="TableBodyText"/>
                    <w:jc w:val="left"/>
                  </w:pPr>
                  <w:r>
                    <w:t>Major cities</w:t>
                  </w:r>
                </w:p>
              </w:tc>
              <w:tc>
                <w:tcPr>
                  <w:tcW w:w="708" w:type="pct"/>
                  <w:vAlign w:val="bottom"/>
                </w:tcPr>
                <w:p w:rsidR="001E09AA" w:rsidRPr="00736F94" w:rsidRDefault="007D1214" w:rsidP="000920E3">
                  <w:pPr>
                    <w:pStyle w:val="TableBodyText"/>
                  </w:pPr>
                  <w:r>
                    <w:t xml:space="preserve"> </w:t>
                  </w:r>
                  <w:r w:rsidR="001E09AA" w:rsidRPr="00736F94">
                    <w:t>83.7</w:t>
                  </w:r>
                </w:p>
              </w:tc>
              <w:tc>
                <w:tcPr>
                  <w:tcW w:w="424" w:type="pct"/>
                  <w:vAlign w:val="bottom"/>
                </w:tcPr>
                <w:p w:rsidR="001E09AA" w:rsidRPr="00736F94" w:rsidRDefault="007D1214" w:rsidP="000920E3">
                  <w:pPr>
                    <w:pStyle w:val="TableBodyText"/>
                  </w:pPr>
                  <w:r>
                    <w:t xml:space="preserve"> </w:t>
                  </w:r>
                  <w:r w:rsidR="001E09AA" w:rsidRPr="00736F94">
                    <w:t>72.9</w:t>
                  </w:r>
                </w:p>
              </w:tc>
              <w:tc>
                <w:tcPr>
                  <w:tcW w:w="424" w:type="pct"/>
                  <w:vAlign w:val="bottom"/>
                </w:tcPr>
                <w:p w:rsidR="001E09AA" w:rsidRPr="00736F94" w:rsidRDefault="007D1214" w:rsidP="000920E3">
                  <w:pPr>
                    <w:pStyle w:val="TableBodyText"/>
                  </w:pPr>
                  <w:r>
                    <w:t xml:space="preserve"> </w:t>
                  </w:r>
                  <w:r w:rsidR="001E09AA" w:rsidRPr="00736F94">
                    <w:t>67.7</w:t>
                  </w:r>
                </w:p>
              </w:tc>
              <w:tc>
                <w:tcPr>
                  <w:tcW w:w="425" w:type="pct"/>
                  <w:vAlign w:val="bottom"/>
                </w:tcPr>
                <w:p w:rsidR="001E09AA" w:rsidRPr="00736F94" w:rsidRDefault="007D1214" w:rsidP="000920E3">
                  <w:pPr>
                    <w:pStyle w:val="TableBodyText"/>
                  </w:pPr>
                  <w:r>
                    <w:t xml:space="preserve"> </w:t>
                  </w:r>
                  <w:r w:rsidR="001E09AA" w:rsidRPr="00736F94">
                    <w:t>68.5</w:t>
                  </w:r>
                </w:p>
              </w:tc>
              <w:tc>
                <w:tcPr>
                  <w:tcW w:w="428" w:type="pct"/>
                  <w:vAlign w:val="bottom"/>
                </w:tcPr>
                <w:p w:rsidR="001E09AA" w:rsidRPr="00736F94" w:rsidRDefault="007D1214" w:rsidP="000920E3">
                  <w:pPr>
                    <w:pStyle w:val="TableBodyText"/>
                  </w:pPr>
                  <w:r>
                    <w:t xml:space="preserve"> </w:t>
                  </w:r>
                  <w:r w:rsidR="001E09AA" w:rsidRPr="00736F94">
                    <w:t>77.9</w:t>
                  </w:r>
                </w:p>
              </w:tc>
              <w:tc>
                <w:tcPr>
                  <w:tcW w:w="458" w:type="pct"/>
                  <w:vAlign w:val="bottom"/>
                </w:tcPr>
                <w:p w:rsidR="001E09AA" w:rsidRPr="00736F94" w:rsidRDefault="001E09AA" w:rsidP="000920E3">
                  <w:pPr>
                    <w:pStyle w:val="TableBodyText"/>
                  </w:pPr>
                  <w:r w:rsidRPr="00736F94">
                    <w:t>..</w:t>
                  </w:r>
                </w:p>
              </w:tc>
              <w:tc>
                <w:tcPr>
                  <w:tcW w:w="458" w:type="pct"/>
                  <w:vAlign w:val="bottom"/>
                </w:tcPr>
                <w:p w:rsidR="001E09AA" w:rsidRPr="00736F94" w:rsidRDefault="007D1214" w:rsidP="000920E3">
                  <w:pPr>
                    <w:pStyle w:val="TableBodyText"/>
                  </w:pPr>
                  <w:r>
                    <w:t xml:space="preserve"> </w:t>
                  </w:r>
                  <w:r w:rsidR="001E09AA" w:rsidRPr="00736F94">
                    <w:t>99.9</w:t>
                  </w:r>
                </w:p>
              </w:tc>
              <w:tc>
                <w:tcPr>
                  <w:tcW w:w="458" w:type="pct"/>
                  <w:vAlign w:val="bottom"/>
                </w:tcPr>
                <w:p w:rsidR="001E09AA" w:rsidRPr="00736F94" w:rsidRDefault="001E09AA" w:rsidP="000920E3">
                  <w:pPr>
                    <w:pStyle w:val="TableBodyText"/>
                  </w:pPr>
                  <w:r w:rsidRPr="00736F94">
                    <w:t>..</w:t>
                  </w:r>
                </w:p>
              </w:tc>
              <w:tc>
                <w:tcPr>
                  <w:tcW w:w="413" w:type="pct"/>
                  <w:vAlign w:val="bottom"/>
                </w:tcPr>
                <w:p w:rsidR="001E09AA" w:rsidRPr="00736F94" w:rsidRDefault="007D1214" w:rsidP="000920E3">
                  <w:pPr>
                    <w:pStyle w:val="TableBodyText"/>
                  </w:pPr>
                  <w:r>
                    <w:t xml:space="preserve"> </w:t>
                  </w:r>
                  <w:r w:rsidR="001E09AA" w:rsidRPr="00736F94">
                    <w:t>74.1</w:t>
                  </w:r>
                </w:p>
              </w:tc>
            </w:tr>
            <w:tr w:rsidR="008569CC" w:rsidTr="00B734A5">
              <w:tc>
                <w:tcPr>
                  <w:tcW w:w="805" w:type="pct"/>
                  <w:shd w:val="clear" w:color="auto" w:fill="auto"/>
                </w:tcPr>
                <w:p w:rsidR="008569CC" w:rsidRDefault="008569CC" w:rsidP="008569CC">
                  <w:pPr>
                    <w:pStyle w:val="TableBodyText"/>
                    <w:jc w:val="left"/>
                  </w:pPr>
                  <w:r>
                    <w:t>Inner regional</w:t>
                  </w:r>
                </w:p>
              </w:tc>
              <w:tc>
                <w:tcPr>
                  <w:tcW w:w="708" w:type="pct"/>
                  <w:vAlign w:val="bottom"/>
                </w:tcPr>
                <w:p w:rsidR="008569CC" w:rsidRPr="00736F94" w:rsidRDefault="007D1214" w:rsidP="000920E3">
                  <w:pPr>
                    <w:pStyle w:val="TableBodyText"/>
                  </w:pPr>
                  <w:r>
                    <w:t xml:space="preserve"> </w:t>
                  </w:r>
                  <w:r w:rsidR="008569CC" w:rsidRPr="00736F94">
                    <w:t>13.0</w:t>
                  </w:r>
                </w:p>
              </w:tc>
              <w:tc>
                <w:tcPr>
                  <w:tcW w:w="424" w:type="pct"/>
                  <w:vAlign w:val="bottom"/>
                </w:tcPr>
                <w:p w:rsidR="008569CC" w:rsidRPr="00736F94" w:rsidRDefault="007D1214" w:rsidP="000920E3">
                  <w:pPr>
                    <w:pStyle w:val="TableBodyText"/>
                  </w:pPr>
                  <w:r>
                    <w:t xml:space="preserve"> </w:t>
                  </w:r>
                  <w:r w:rsidR="008569CC" w:rsidRPr="00736F94">
                    <w:t>22.1</w:t>
                  </w:r>
                </w:p>
              </w:tc>
              <w:tc>
                <w:tcPr>
                  <w:tcW w:w="424" w:type="pct"/>
                  <w:vAlign w:val="bottom"/>
                </w:tcPr>
                <w:p w:rsidR="008569CC" w:rsidRPr="00736F94" w:rsidRDefault="007D1214" w:rsidP="000920E3">
                  <w:pPr>
                    <w:pStyle w:val="TableBodyText"/>
                  </w:pPr>
                  <w:r>
                    <w:t xml:space="preserve"> </w:t>
                  </w:r>
                  <w:r w:rsidR="008569CC" w:rsidRPr="00736F94">
                    <w:t>16.1</w:t>
                  </w:r>
                </w:p>
              </w:tc>
              <w:tc>
                <w:tcPr>
                  <w:tcW w:w="425" w:type="pct"/>
                  <w:vAlign w:val="bottom"/>
                </w:tcPr>
                <w:p w:rsidR="008569CC" w:rsidRPr="00736F94" w:rsidRDefault="007D1214" w:rsidP="000920E3">
                  <w:pPr>
                    <w:pStyle w:val="TableBodyText"/>
                  </w:pPr>
                  <w:r>
                    <w:t xml:space="preserve"> </w:t>
                  </w:r>
                  <w:r w:rsidR="008569CC" w:rsidRPr="00736F94">
                    <w:t>8.2</w:t>
                  </w:r>
                </w:p>
              </w:tc>
              <w:tc>
                <w:tcPr>
                  <w:tcW w:w="428" w:type="pct"/>
                  <w:vAlign w:val="bottom"/>
                </w:tcPr>
                <w:p w:rsidR="008569CC" w:rsidRPr="00736F94" w:rsidRDefault="007D1214" w:rsidP="000920E3">
                  <w:pPr>
                    <w:pStyle w:val="TableBodyText"/>
                  </w:pPr>
                  <w:r>
                    <w:t xml:space="preserve"> </w:t>
                  </w:r>
                  <w:r w:rsidR="008569CC" w:rsidRPr="00736F94">
                    <w:t>3.9</w:t>
                  </w:r>
                </w:p>
              </w:tc>
              <w:tc>
                <w:tcPr>
                  <w:tcW w:w="458" w:type="pct"/>
                  <w:vAlign w:val="bottom"/>
                </w:tcPr>
                <w:p w:rsidR="008569CC" w:rsidRPr="00736F94" w:rsidRDefault="007D1214" w:rsidP="000920E3">
                  <w:pPr>
                    <w:pStyle w:val="TableBodyText"/>
                  </w:pPr>
                  <w:r>
                    <w:t xml:space="preserve"> </w:t>
                  </w:r>
                  <w:r w:rsidR="008569CC" w:rsidRPr="00736F94">
                    <w:t>74.7</w:t>
                  </w:r>
                </w:p>
              </w:tc>
              <w:tc>
                <w:tcPr>
                  <w:tcW w:w="458" w:type="pct"/>
                  <w:vAlign w:val="bottom"/>
                </w:tcPr>
                <w:p w:rsidR="008569CC" w:rsidRPr="00736F94" w:rsidRDefault="007D1214" w:rsidP="000920E3">
                  <w:pPr>
                    <w:pStyle w:val="TableBodyText"/>
                  </w:pPr>
                  <w:r>
                    <w:t xml:space="preserve"> </w:t>
                  </w:r>
                  <w:r w:rsidR="008569CC" w:rsidRPr="00736F94">
                    <w:t>0.1</w:t>
                  </w:r>
                </w:p>
              </w:tc>
              <w:tc>
                <w:tcPr>
                  <w:tcW w:w="458" w:type="pct"/>
                  <w:shd w:val="clear" w:color="auto" w:fill="auto"/>
                  <w:vAlign w:val="bottom"/>
                </w:tcPr>
                <w:p w:rsidR="008569CC" w:rsidRPr="00736F94" w:rsidRDefault="008569CC" w:rsidP="000920E3">
                  <w:pPr>
                    <w:pStyle w:val="TableBodyText"/>
                  </w:pPr>
                  <w:r w:rsidRPr="00736F94">
                    <w:t>..</w:t>
                  </w:r>
                </w:p>
              </w:tc>
              <w:tc>
                <w:tcPr>
                  <w:tcW w:w="413" w:type="pct"/>
                  <w:shd w:val="clear" w:color="auto" w:fill="auto"/>
                  <w:vAlign w:val="bottom"/>
                </w:tcPr>
                <w:p w:rsidR="008569CC" w:rsidRPr="00736F94" w:rsidRDefault="007D1214" w:rsidP="000920E3">
                  <w:pPr>
                    <w:pStyle w:val="TableBodyText"/>
                  </w:pPr>
                  <w:r>
                    <w:t xml:space="preserve"> </w:t>
                  </w:r>
                  <w:r w:rsidR="008569CC" w:rsidRPr="00736F94">
                    <w:t>14.4</w:t>
                  </w:r>
                </w:p>
              </w:tc>
            </w:tr>
            <w:tr w:rsidR="008569CC" w:rsidTr="00B734A5">
              <w:tc>
                <w:tcPr>
                  <w:tcW w:w="805" w:type="pct"/>
                  <w:shd w:val="clear" w:color="auto" w:fill="auto"/>
                </w:tcPr>
                <w:p w:rsidR="008569CC" w:rsidRDefault="008569CC" w:rsidP="008569CC">
                  <w:pPr>
                    <w:pStyle w:val="TableBodyText"/>
                    <w:jc w:val="left"/>
                  </w:pPr>
                  <w:r>
                    <w:t>Outer regional</w:t>
                  </w:r>
                </w:p>
              </w:tc>
              <w:tc>
                <w:tcPr>
                  <w:tcW w:w="708" w:type="pct"/>
                  <w:vAlign w:val="bottom"/>
                </w:tcPr>
                <w:p w:rsidR="008569CC" w:rsidRPr="00736F94" w:rsidRDefault="007D1214" w:rsidP="000920E3">
                  <w:pPr>
                    <w:pStyle w:val="TableBodyText"/>
                  </w:pPr>
                  <w:r>
                    <w:t xml:space="preserve"> </w:t>
                  </w:r>
                  <w:r w:rsidR="008569CC" w:rsidRPr="00736F94">
                    <w:t>3.0</w:t>
                  </w:r>
                </w:p>
              </w:tc>
              <w:tc>
                <w:tcPr>
                  <w:tcW w:w="424" w:type="pct"/>
                  <w:vAlign w:val="bottom"/>
                </w:tcPr>
                <w:p w:rsidR="008569CC" w:rsidRPr="00736F94" w:rsidRDefault="007D1214" w:rsidP="000920E3">
                  <w:pPr>
                    <w:pStyle w:val="TableBodyText"/>
                  </w:pPr>
                  <w:r>
                    <w:t xml:space="preserve"> </w:t>
                  </w:r>
                  <w:r w:rsidR="008569CC" w:rsidRPr="00736F94">
                    <w:t>5.0</w:t>
                  </w:r>
                </w:p>
              </w:tc>
              <w:tc>
                <w:tcPr>
                  <w:tcW w:w="424" w:type="pct"/>
                  <w:vAlign w:val="bottom"/>
                </w:tcPr>
                <w:p w:rsidR="008569CC" w:rsidRPr="00736F94" w:rsidRDefault="007D1214" w:rsidP="000920E3">
                  <w:pPr>
                    <w:pStyle w:val="TableBodyText"/>
                  </w:pPr>
                  <w:r>
                    <w:t xml:space="preserve"> </w:t>
                  </w:r>
                  <w:r w:rsidR="008569CC" w:rsidRPr="00736F94">
                    <w:t>14.1</w:t>
                  </w:r>
                </w:p>
              </w:tc>
              <w:tc>
                <w:tcPr>
                  <w:tcW w:w="425" w:type="pct"/>
                  <w:vAlign w:val="bottom"/>
                </w:tcPr>
                <w:p w:rsidR="008569CC" w:rsidRPr="00736F94" w:rsidRDefault="007D1214" w:rsidP="000920E3">
                  <w:pPr>
                    <w:pStyle w:val="TableBodyText"/>
                  </w:pPr>
                  <w:r>
                    <w:t xml:space="preserve"> </w:t>
                  </w:r>
                  <w:r w:rsidR="008569CC" w:rsidRPr="00736F94">
                    <w:t>10.3</w:t>
                  </w:r>
                </w:p>
              </w:tc>
              <w:tc>
                <w:tcPr>
                  <w:tcW w:w="428" w:type="pct"/>
                  <w:vAlign w:val="bottom"/>
                </w:tcPr>
                <w:p w:rsidR="008569CC" w:rsidRPr="00736F94" w:rsidRDefault="007D1214" w:rsidP="000920E3">
                  <w:pPr>
                    <w:pStyle w:val="TableBodyText"/>
                  </w:pPr>
                  <w:r>
                    <w:t xml:space="preserve"> </w:t>
                  </w:r>
                  <w:r w:rsidR="008569CC" w:rsidRPr="00736F94">
                    <w:t>16.2</w:t>
                  </w:r>
                </w:p>
              </w:tc>
              <w:tc>
                <w:tcPr>
                  <w:tcW w:w="458" w:type="pct"/>
                  <w:vAlign w:val="bottom"/>
                </w:tcPr>
                <w:p w:rsidR="008569CC" w:rsidRPr="00736F94" w:rsidRDefault="007D1214" w:rsidP="000920E3">
                  <w:pPr>
                    <w:pStyle w:val="TableBodyText"/>
                  </w:pPr>
                  <w:r>
                    <w:t xml:space="preserve"> </w:t>
                  </w:r>
                  <w:r w:rsidR="008569CC" w:rsidRPr="00736F94">
                    <w:t>24.4</w:t>
                  </w:r>
                </w:p>
              </w:tc>
              <w:tc>
                <w:tcPr>
                  <w:tcW w:w="458" w:type="pct"/>
                  <w:vAlign w:val="bottom"/>
                </w:tcPr>
                <w:p w:rsidR="008569CC" w:rsidRPr="00736F94" w:rsidRDefault="008569CC" w:rsidP="000920E3">
                  <w:pPr>
                    <w:pStyle w:val="TableBodyText"/>
                  </w:pPr>
                  <w:r w:rsidRPr="00736F94">
                    <w:t>..</w:t>
                  </w:r>
                </w:p>
              </w:tc>
              <w:tc>
                <w:tcPr>
                  <w:tcW w:w="458" w:type="pct"/>
                  <w:shd w:val="clear" w:color="auto" w:fill="auto"/>
                  <w:vAlign w:val="bottom"/>
                </w:tcPr>
                <w:p w:rsidR="008569CC" w:rsidRPr="00736F94" w:rsidRDefault="007D1214" w:rsidP="000920E3">
                  <w:pPr>
                    <w:pStyle w:val="TableBodyText"/>
                  </w:pPr>
                  <w:r>
                    <w:t xml:space="preserve"> </w:t>
                  </w:r>
                  <w:r w:rsidR="008569CC" w:rsidRPr="00736F94">
                    <w:t>69.8</w:t>
                  </w:r>
                </w:p>
              </w:tc>
              <w:tc>
                <w:tcPr>
                  <w:tcW w:w="413" w:type="pct"/>
                  <w:shd w:val="clear" w:color="auto" w:fill="auto"/>
                  <w:vAlign w:val="bottom"/>
                </w:tcPr>
                <w:p w:rsidR="008569CC" w:rsidRPr="00736F94" w:rsidRDefault="007D1214" w:rsidP="000920E3">
                  <w:pPr>
                    <w:pStyle w:val="TableBodyText"/>
                  </w:pPr>
                  <w:r>
                    <w:t xml:space="preserve"> </w:t>
                  </w:r>
                  <w:r w:rsidR="008569CC" w:rsidRPr="00736F94">
                    <w:t>8.9</w:t>
                  </w:r>
                </w:p>
              </w:tc>
            </w:tr>
            <w:tr w:rsidR="008569CC" w:rsidTr="00B734A5">
              <w:tc>
                <w:tcPr>
                  <w:tcW w:w="805" w:type="pct"/>
                  <w:shd w:val="clear" w:color="auto" w:fill="auto"/>
                </w:tcPr>
                <w:p w:rsidR="008569CC" w:rsidRDefault="008569CC" w:rsidP="008569CC">
                  <w:pPr>
                    <w:pStyle w:val="TableBodyText"/>
                    <w:jc w:val="left"/>
                  </w:pPr>
                  <w:r>
                    <w:t>Remote</w:t>
                  </w:r>
                </w:p>
              </w:tc>
              <w:tc>
                <w:tcPr>
                  <w:tcW w:w="708" w:type="pct"/>
                  <w:vAlign w:val="bottom"/>
                </w:tcPr>
                <w:p w:rsidR="008569CC" w:rsidRPr="00736F94" w:rsidRDefault="007D1214" w:rsidP="000920E3">
                  <w:pPr>
                    <w:pStyle w:val="TableBodyText"/>
                  </w:pPr>
                  <w:r>
                    <w:t xml:space="preserve"> </w:t>
                  </w:r>
                  <w:r w:rsidR="008569CC" w:rsidRPr="00736F94">
                    <w:t>0.2</w:t>
                  </w:r>
                </w:p>
              </w:tc>
              <w:tc>
                <w:tcPr>
                  <w:tcW w:w="424" w:type="pct"/>
                  <w:vAlign w:val="bottom"/>
                </w:tcPr>
                <w:p w:rsidR="008569CC" w:rsidRPr="00736F94" w:rsidRDefault="00F30D29" w:rsidP="00F30D29">
                  <w:pPr>
                    <w:pStyle w:val="TableBodyText"/>
                  </w:pPr>
                  <w:r>
                    <w:t>_</w:t>
                  </w:r>
                  <w:r w:rsidR="007D1214">
                    <w:t xml:space="preserve"> </w:t>
                  </w:r>
                </w:p>
              </w:tc>
              <w:tc>
                <w:tcPr>
                  <w:tcW w:w="424" w:type="pct"/>
                  <w:vAlign w:val="bottom"/>
                </w:tcPr>
                <w:p w:rsidR="008569CC" w:rsidRPr="00736F94" w:rsidRDefault="007D1214" w:rsidP="000920E3">
                  <w:pPr>
                    <w:pStyle w:val="TableBodyText"/>
                  </w:pPr>
                  <w:r>
                    <w:t xml:space="preserve"> </w:t>
                  </w:r>
                  <w:r w:rsidR="008569CC" w:rsidRPr="00736F94">
                    <w:t>1.5</w:t>
                  </w:r>
                </w:p>
              </w:tc>
              <w:tc>
                <w:tcPr>
                  <w:tcW w:w="425" w:type="pct"/>
                  <w:vAlign w:val="bottom"/>
                </w:tcPr>
                <w:p w:rsidR="008569CC" w:rsidRPr="00736F94" w:rsidRDefault="007D1214" w:rsidP="000920E3">
                  <w:pPr>
                    <w:pStyle w:val="TableBodyText"/>
                  </w:pPr>
                  <w:r>
                    <w:t xml:space="preserve"> </w:t>
                  </w:r>
                  <w:r w:rsidR="008569CC" w:rsidRPr="00736F94">
                    <w:t>8.3</w:t>
                  </w:r>
                </w:p>
              </w:tc>
              <w:tc>
                <w:tcPr>
                  <w:tcW w:w="428" w:type="pct"/>
                  <w:vAlign w:val="bottom"/>
                </w:tcPr>
                <w:p w:rsidR="008569CC" w:rsidRPr="00736F94" w:rsidRDefault="007D1214" w:rsidP="000920E3">
                  <w:pPr>
                    <w:pStyle w:val="TableBodyText"/>
                  </w:pPr>
                  <w:r>
                    <w:t xml:space="preserve"> </w:t>
                  </w:r>
                  <w:r w:rsidR="008569CC" w:rsidRPr="00736F94">
                    <w:t>1.8</w:t>
                  </w:r>
                </w:p>
              </w:tc>
              <w:tc>
                <w:tcPr>
                  <w:tcW w:w="458" w:type="pct"/>
                  <w:vAlign w:val="bottom"/>
                </w:tcPr>
                <w:p w:rsidR="008569CC" w:rsidRPr="00736F94" w:rsidRDefault="007D1214" w:rsidP="000920E3">
                  <w:pPr>
                    <w:pStyle w:val="TableBodyText"/>
                  </w:pPr>
                  <w:r>
                    <w:t xml:space="preserve"> </w:t>
                  </w:r>
                  <w:r w:rsidR="008569CC" w:rsidRPr="00736F94">
                    <w:t>0.7</w:t>
                  </w:r>
                </w:p>
              </w:tc>
              <w:tc>
                <w:tcPr>
                  <w:tcW w:w="458" w:type="pct"/>
                  <w:vAlign w:val="bottom"/>
                </w:tcPr>
                <w:p w:rsidR="008569CC" w:rsidRPr="00736F94" w:rsidRDefault="008569CC" w:rsidP="000920E3">
                  <w:pPr>
                    <w:pStyle w:val="TableBodyText"/>
                  </w:pPr>
                  <w:r w:rsidRPr="00736F94">
                    <w:t>..</w:t>
                  </w:r>
                </w:p>
              </w:tc>
              <w:tc>
                <w:tcPr>
                  <w:tcW w:w="458" w:type="pct"/>
                  <w:shd w:val="clear" w:color="auto" w:fill="auto"/>
                  <w:vAlign w:val="bottom"/>
                </w:tcPr>
                <w:p w:rsidR="008569CC" w:rsidRPr="00736F94" w:rsidRDefault="007D1214" w:rsidP="000920E3">
                  <w:pPr>
                    <w:pStyle w:val="TableBodyText"/>
                  </w:pPr>
                  <w:r>
                    <w:t xml:space="preserve"> </w:t>
                  </w:r>
                  <w:r w:rsidR="008569CC" w:rsidRPr="00736F94">
                    <w:t>26.7</w:t>
                  </w:r>
                </w:p>
              </w:tc>
              <w:tc>
                <w:tcPr>
                  <w:tcW w:w="413" w:type="pct"/>
                  <w:shd w:val="clear" w:color="auto" w:fill="auto"/>
                  <w:vAlign w:val="bottom"/>
                </w:tcPr>
                <w:p w:rsidR="008569CC" w:rsidRPr="00736F94" w:rsidRDefault="007D1214" w:rsidP="000920E3">
                  <w:pPr>
                    <w:pStyle w:val="TableBodyText"/>
                  </w:pPr>
                  <w:r>
                    <w:t xml:space="preserve"> </w:t>
                  </w:r>
                  <w:r w:rsidR="008569CC" w:rsidRPr="00736F94">
                    <w:t>1.8</w:t>
                  </w:r>
                </w:p>
              </w:tc>
            </w:tr>
            <w:tr w:rsidR="008569CC" w:rsidTr="00B734A5">
              <w:tc>
                <w:tcPr>
                  <w:tcW w:w="805" w:type="pct"/>
                  <w:shd w:val="clear" w:color="auto" w:fill="auto"/>
                </w:tcPr>
                <w:p w:rsidR="008569CC" w:rsidRDefault="008569CC" w:rsidP="008569CC">
                  <w:pPr>
                    <w:pStyle w:val="TableBodyText"/>
                    <w:jc w:val="left"/>
                  </w:pPr>
                  <w:r>
                    <w:t>Very remote</w:t>
                  </w:r>
                </w:p>
              </w:tc>
              <w:tc>
                <w:tcPr>
                  <w:tcW w:w="708" w:type="pct"/>
                  <w:vAlign w:val="bottom"/>
                </w:tcPr>
                <w:p w:rsidR="008569CC" w:rsidRPr="00736F94" w:rsidRDefault="007D1214" w:rsidP="000920E3">
                  <w:pPr>
                    <w:pStyle w:val="TableBodyText"/>
                  </w:pPr>
                  <w:r>
                    <w:t xml:space="preserve"> </w:t>
                  </w:r>
                  <w:r w:rsidR="008569CC" w:rsidRPr="00736F94">
                    <w:t>0.1</w:t>
                  </w:r>
                </w:p>
              </w:tc>
              <w:tc>
                <w:tcPr>
                  <w:tcW w:w="424" w:type="pct"/>
                  <w:vAlign w:val="bottom"/>
                </w:tcPr>
                <w:p w:rsidR="008569CC" w:rsidRPr="00736F94" w:rsidRDefault="008569CC" w:rsidP="000920E3">
                  <w:pPr>
                    <w:pStyle w:val="TableBodyText"/>
                  </w:pPr>
                  <w:r w:rsidRPr="00736F94">
                    <w:t>..</w:t>
                  </w:r>
                </w:p>
              </w:tc>
              <w:tc>
                <w:tcPr>
                  <w:tcW w:w="424" w:type="pct"/>
                  <w:vAlign w:val="bottom"/>
                </w:tcPr>
                <w:p w:rsidR="008569CC" w:rsidRPr="00736F94" w:rsidRDefault="007D1214" w:rsidP="000920E3">
                  <w:pPr>
                    <w:pStyle w:val="TableBodyText"/>
                  </w:pPr>
                  <w:r>
                    <w:t xml:space="preserve"> </w:t>
                  </w:r>
                  <w:r w:rsidR="008569CC" w:rsidRPr="00736F94">
                    <w:t>0.7</w:t>
                  </w:r>
                </w:p>
              </w:tc>
              <w:tc>
                <w:tcPr>
                  <w:tcW w:w="425" w:type="pct"/>
                  <w:vAlign w:val="bottom"/>
                </w:tcPr>
                <w:p w:rsidR="008569CC" w:rsidRPr="00736F94" w:rsidRDefault="007D1214" w:rsidP="000920E3">
                  <w:pPr>
                    <w:pStyle w:val="TableBodyText"/>
                  </w:pPr>
                  <w:r>
                    <w:t xml:space="preserve"> </w:t>
                  </w:r>
                  <w:r w:rsidR="008569CC" w:rsidRPr="00736F94">
                    <w:t>4.7</w:t>
                  </w:r>
                </w:p>
              </w:tc>
              <w:tc>
                <w:tcPr>
                  <w:tcW w:w="428" w:type="pct"/>
                  <w:vAlign w:val="bottom"/>
                </w:tcPr>
                <w:p w:rsidR="008569CC" w:rsidRPr="00736F94" w:rsidRDefault="007D1214" w:rsidP="000920E3">
                  <w:pPr>
                    <w:pStyle w:val="TableBodyText"/>
                  </w:pPr>
                  <w:r>
                    <w:t xml:space="preserve"> </w:t>
                  </w:r>
                  <w:r w:rsidR="008569CC" w:rsidRPr="00736F94">
                    <w:t>0.2</w:t>
                  </w:r>
                </w:p>
              </w:tc>
              <w:tc>
                <w:tcPr>
                  <w:tcW w:w="458" w:type="pct"/>
                  <w:vAlign w:val="bottom"/>
                </w:tcPr>
                <w:p w:rsidR="008569CC" w:rsidRPr="00736F94" w:rsidRDefault="007D1214" w:rsidP="000920E3">
                  <w:pPr>
                    <w:pStyle w:val="TableBodyText"/>
                  </w:pPr>
                  <w:r>
                    <w:t xml:space="preserve"> </w:t>
                  </w:r>
                  <w:r w:rsidR="008569CC" w:rsidRPr="00736F94">
                    <w:t>0.2</w:t>
                  </w:r>
                </w:p>
              </w:tc>
              <w:tc>
                <w:tcPr>
                  <w:tcW w:w="458" w:type="pct"/>
                  <w:vAlign w:val="bottom"/>
                </w:tcPr>
                <w:p w:rsidR="008569CC" w:rsidRPr="00736F94" w:rsidRDefault="008569CC" w:rsidP="000920E3">
                  <w:pPr>
                    <w:pStyle w:val="TableBodyText"/>
                  </w:pPr>
                  <w:r w:rsidRPr="00736F94">
                    <w:t>..</w:t>
                  </w:r>
                </w:p>
              </w:tc>
              <w:tc>
                <w:tcPr>
                  <w:tcW w:w="458" w:type="pct"/>
                  <w:shd w:val="clear" w:color="auto" w:fill="auto"/>
                  <w:vAlign w:val="bottom"/>
                </w:tcPr>
                <w:p w:rsidR="008569CC" w:rsidRPr="00736F94" w:rsidRDefault="007D1214" w:rsidP="000920E3">
                  <w:pPr>
                    <w:pStyle w:val="TableBodyText"/>
                  </w:pPr>
                  <w:r>
                    <w:t xml:space="preserve"> </w:t>
                  </w:r>
                  <w:r w:rsidR="008569CC" w:rsidRPr="00736F94">
                    <w:t>3.5</w:t>
                  </w:r>
                </w:p>
              </w:tc>
              <w:tc>
                <w:tcPr>
                  <w:tcW w:w="413" w:type="pct"/>
                  <w:shd w:val="clear" w:color="auto" w:fill="auto"/>
                  <w:vAlign w:val="bottom"/>
                </w:tcPr>
                <w:p w:rsidR="008569CC" w:rsidRPr="00736F94" w:rsidRDefault="007D1214" w:rsidP="000920E3">
                  <w:pPr>
                    <w:pStyle w:val="TableBodyText"/>
                  </w:pPr>
                  <w:r>
                    <w:t xml:space="preserve"> </w:t>
                  </w:r>
                  <w:r w:rsidR="008569CC" w:rsidRPr="00736F94">
                    <w:t>0.7</w:t>
                  </w:r>
                </w:p>
              </w:tc>
            </w:tr>
            <w:tr w:rsidR="008569CC" w:rsidTr="00B734A5">
              <w:tc>
                <w:tcPr>
                  <w:tcW w:w="805" w:type="pct"/>
                  <w:shd w:val="clear" w:color="auto" w:fill="auto"/>
                </w:tcPr>
                <w:p w:rsidR="008569CC" w:rsidRPr="00DE5FF5" w:rsidRDefault="008569CC" w:rsidP="008569CC">
                  <w:pPr>
                    <w:pStyle w:val="TableBodyText"/>
                    <w:jc w:val="left"/>
                    <w:rPr>
                      <w:b/>
                    </w:rPr>
                  </w:pPr>
                  <w:r w:rsidRPr="00DE5FF5">
                    <w:rPr>
                      <w:b/>
                    </w:rPr>
                    <w:t>Total</w:t>
                  </w:r>
                </w:p>
              </w:tc>
              <w:tc>
                <w:tcPr>
                  <w:tcW w:w="708" w:type="pct"/>
                  <w:vAlign w:val="bottom"/>
                </w:tcPr>
                <w:p w:rsidR="008569CC" w:rsidRPr="00736F94" w:rsidRDefault="007D1214" w:rsidP="000920E3">
                  <w:pPr>
                    <w:pStyle w:val="TableBodyText"/>
                    <w:rPr>
                      <w:b/>
                    </w:rPr>
                  </w:pPr>
                  <w:r>
                    <w:rPr>
                      <w:b/>
                    </w:rPr>
                    <w:t xml:space="preserve"> </w:t>
                  </w:r>
                  <w:r w:rsidR="008569CC" w:rsidRPr="00736F94">
                    <w:rPr>
                      <w:b/>
                    </w:rPr>
                    <w:t>100.0</w:t>
                  </w:r>
                </w:p>
              </w:tc>
              <w:tc>
                <w:tcPr>
                  <w:tcW w:w="424" w:type="pct"/>
                  <w:vAlign w:val="bottom"/>
                </w:tcPr>
                <w:p w:rsidR="008569CC" w:rsidRPr="00736F94" w:rsidRDefault="007D1214" w:rsidP="000920E3">
                  <w:pPr>
                    <w:pStyle w:val="TableBodyText"/>
                    <w:rPr>
                      <w:b/>
                    </w:rPr>
                  </w:pPr>
                  <w:r>
                    <w:rPr>
                      <w:b/>
                    </w:rPr>
                    <w:t xml:space="preserve"> </w:t>
                  </w:r>
                  <w:r w:rsidR="008569CC" w:rsidRPr="00736F94">
                    <w:rPr>
                      <w:b/>
                    </w:rPr>
                    <w:t>100.0</w:t>
                  </w:r>
                </w:p>
              </w:tc>
              <w:tc>
                <w:tcPr>
                  <w:tcW w:w="424" w:type="pct"/>
                  <w:vAlign w:val="bottom"/>
                </w:tcPr>
                <w:p w:rsidR="008569CC" w:rsidRPr="00736F94" w:rsidRDefault="007D1214" w:rsidP="000920E3">
                  <w:pPr>
                    <w:pStyle w:val="TableBodyText"/>
                    <w:rPr>
                      <w:b/>
                    </w:rPr>
                  </w:pPr>
                  <w:r>
                    <w:rPr>
                      <w:b/>
                    </w:rPr>
                    <w:t xml:space="preserve"> </w:t>
                  </w:r>
                  <w:r w:rsidR="008569CC" w:rsidRPr="00736F94">
                    <w:rPr>
                      <w:b/>
                    </w:rPr>
                    <w:t>100.0</w:t>
                  </w:r>
                </w:p>
              </w:tc>
              <w:tc>
                <w:tcPr>
                  <w:tcW w:w="425" w:type="pct"/>
                  <w:vAlign w:val="bottom"/>
                </w:tcPr>
                <w:p w:rsidR="008569CC" w:rsidRPr="00736F94" w:rsidRDefault="007D1214" w:rsidP="000920E3">
                  <w:pPr>
                    <w:pStyle w:val="TableBodyText"/>
                    <w:rPr>
                      <w:b/>
                    </w:rPr>
                  </w:pPr>
                  <w:r>
                    <w:rPr>
                      <w:b/>
                    </w:rPr>
                    <w:t xml:space="preserve"> </w:t>
                  </w:r>
                  <w:r w:rsidR="008569CC" w:rsidRPr="00736F94">
                    <w:rPr>
                      <w:b/>
                    </w:rPr>
                    <w:t>100.0</w:t>
                  </w:r>
                </w:p>
              </w:tc>
              <w:tc>
                <w:tcPr>
                  <w:tcW w:w="428" w:type="pct"/>
                  <w:vAlign w:val="bottom"/>
                </w:tcPr>
                <w:p w:rsidR="008569CC" w:rsidRPr="00736F94" w:rsidRDefault="007D1214" w:rsidP="000920E3">
                  <w:pPr>
                    <w:pStyle w:val="TableBodyText"/>
                    <w:rPr>
                      <w:b/>
                    </w:rPr>
                  </w:pPr>
                  <w:r>
                    <w:rPr>
                      <w:b/>
                    </w:rPr>
                    <w:t xml:space="preserve"> </w:t>
                  </w:r>
                  <w:r w:rsidR="008569CC" w:rsidRPr="00736F94">
                    <w:rPr>
                      <w:b/>
                    </w:rPr>
                    <w:t>100.0</w:t>
                  </w:r>
                </w:p>
              </w:tc>
              <w:tc>
                <w:tcPr>
                  <w:tcW w:w="458" w:type="pct"/>
                  <w:vAlign w:val="bottom"/>
                </w:tcPr>
                <w:p w:rsidR="008569CC" w:rsidRPr="00736F94" w:rsidRDefault="007D1214" w:rsidP="000920E3">
                  <w:pPr>
                    <w:pStyle w:val="TableBodyText"/>
                    <w:rPr>
                      <w:b/>
                    </w:rPr>
                  </w:pPr>
                  <w:r>
                    <w:rPr>
                      <w:b/>
                    </w:rPr>
                    <w:t xml:space="preserve"> </w:t>
                  </w:r>
                  <w:r w:rsidR="008569CC" w:rsidRPr="00736F94">
                    <w:rPr>
                      <w:b/>
                    </w:rPr>
                    <w:t>100.0</w:t>
                  </w:r>
                </w:p>
              </w:tc>
              <w:tc>
                <w:tcPr>
                  <w:tcW w:w="458" w:type="pct"/>
                  <w:vAlign w:val="bottom"/>
                </w:tcPr>
                <w:p w:rsidR="008569CC" w:rsidRPr="00736F94" w:rsidRDefault="007D1214" w:rsidP="000920E3">
                  <w:pPr>
                    <w:pStyle w:val="TableBodyText"/>
                    <w:rPr>
                      <w:b/>
                    </w:rPr>
                  </w:pPr>
                  <w:r>
                    <w:rPr>
                      <w:b/>
                    </w:rPr>
                    <w:t xml:space="preserve"> </w:t>
                  </w:r>
                  <w:r w:rsidR="008569CC" w:rsidRPr="00736F94">
                    <w:rPr>
                      <w:b/>
                    </w:rPr>
                    <w:t>100.0</w:t>
                  </w:r>
                </w:p>
              </w:tc>
              <w:tc>
                <w:tcPr>
                  <w:tcW w:w="458" w:type="pct"/>
                  <w:shd w:val="clear" w:color="auto" w:fill="auto"/>
                  <w:vAlign w:val="bottom"/>
                </w:tcPr>
                <w:p w:rsidR="008569CC" w:rsidRPr="00736F94" w:rsidRDefault="007D1214" w:rsidP="000920E3">
                  <w:pPr>
                    <w:pStyle w:val="TableBodyText"/>
                    <w:rPr>
                      <w:b/>
                    </w:rPr>
                  </w:pPr>
                  <w:r>
                    <w:rPr>
                      <w:b/>
                    </w:rPr>
                    <w:t xml:space="preserve"> </w:t>
                  </w:r>
                  <w:r w:rsidR="008569CC" w:rsidRPr="00736F94">
                    <w:rPr>
                      <w:b/>
                    </w:rPr>
                    <w:t>100.0</w:t>
                  </w:r>
                </w:p>
              </w:tc>
              <w:tc>
                <w:tcPr>
                  <w:tcW w:w="413" w:type="pct"/>
                  <w:shd w:val="clear" w:color="auto" w:fill="auto"/>
                  <w:vAlign w:val="bottom"/>
                </w:tcPr>
                <w:p w:rsidR="008569CC" w:rsidRPr="00736F94" w:rsidRDefault="007D1214" w:rsidP="000920E3">
                  <w:pPr>
                    <w:pStyle w:val="TableBodyText"/>
                    <w:rPr>
                      <w:b/>
                    </w:rPr>
                  </w:pPr>
                  <w:r>
                    <w:rPr>
                      <w:b/>
                    </w:rPr>
                    <w:t xml:space="preserve"> </w:t>
                  </w:r>
                  <w:r w:rsidR="008569CC" w:rsidRPr="00736F94">
                    <w:rPr>
                      <w:b/>
                    </w:rPr>
                    <w:t>100.0</w:t>
                  </w:r>
                </w:p>
              </w:tc>
            </w:tr>
            <w:tr w:rsidR="008569CC" w:rsidTr="00B734A5">
              <w:tc>
                <w:tcPr>
                  <w:tcW w:w="805" w:type="pct"/>
                  <w:shd w:val="clear" w:color="auto" w:fill="auto"/>
                </w:tcPr>
                <w:p w:rsidR="00E5071D" w:rsidRDefault="00EC5DB3" w:rsidP="006D4912">
                  <w:pPr>
                    <w:pStyle w:val="TableColumnHeading"/>
                    <w:jc w:val="left"/>
                    <w:rPr>
                      <w:szCs w:val="24"/>
                    </w:rPr>
                  </w:pPr>
                  <w:r>
                    <w:t>SOMIH</w:t>
                  </w:r>
                </w:p>
              </w:tc>
              <w:tc>
                <w:tcPr>
                  <w:tcW w:w="708" w:type="pct"/>
                </w:tcPr>
                <w:p w:rsidR="00E5071D" w:rsidRPr="00736F94" w:rsidRDefault="00E5071D" w:rsidP="000920E3">
                  <w:pPr>
                    <w:pStyle w:val="TableBodyText"/>
                  </w:pPr>
                </w:p>
              </w:tc>
              <w:tc>
                <w:tcPr>
                  <w:tcW w:w="424" w:type="pct"/>
                </w:tcPr>
                <w:p w:rsidR="00E5071D" w:rsidRPr="00736F94" w:rsidRDefault="00E5071D" w:rsidP="000920E3">
                  <w:pPr>
                    <w:pStyle w:val="TableBodyText"/>
                  </w:pPr>
                </w:p>
              </w:tc>
              <w:tc>
                <w:tcPr>
                  <w:tcW w:w="424" w:type="pct"/>
                </w:tcPr>
                <w:p w:rsidR="00E5071D" w:rsidRPr="00736F94" w:rsidRDefault="00E5071D" w:rsidP="000920E3">
                  <w:pPr>
                    <w:pStyle w:val="TableBodyText"/>
                  </w:pPr>
                </w:p>
              </w:tc>
              <w:tc>
                <w:tcPr>
                  <w:tcW w:w="425" w:type="pct"/>
                </w:tcPr>
                <w:p w:rsidR="00E5071D" w:rsidRPr="00736F94" w:rsidRDefault="00E5071D" w:rsidP="000920E3">
                  <w:pPr>
                    <w:pStyle w:val="TableBodyText"/>
                  </w:pPr>
                </w:p>
              </w:tc>
              <w:tc>
                <w:tcPr>
                  <w:tcW w:w="428" w:type="pct"/>
                </w:tcPr>
                <w:p w:rsidR="00E5071D" w:rsidRPr="00736F94" w:rsidRDefault="00E5071D" w:rsidP="000920E3">
                  <w:pPr>
                    <w:pStyle w:val="TableBodyText"/>
                  </w:pPr>
                </w:p>
              </w:tc>
              <w:tc>
                <w:tcPr>
                  <w:tcW w:w="458" w:type="pct"/>
                </w:tcPr>
                <w:p w:rsidR="00E5071D" w:rsidRPr="00736F94" w:rsidRDefault="00E5071D" w:rsidP="000920E3">
                  <w:pPr>
                    <w:pStyle w:val="TableBodyText"/>
                  </w:pPr>
                </w:p>
              </w:tc>
              <w:tc>
                <w:tcPr>
                  <w:tcW w:w="458" w:type="pct"/>
                </w:tcPr>
                <w:p w:rsidR="00E5071D" w:rsidRPr="00736F94" w:rsidRDefault="00E5071D" w:rsidP="000920E3">
                  <w:pPr>
                    <w:pStyle w:val="TableBodyText"/>
                  </w:pPr>
                </w:p>
              </w:tc>
              <w:tc>
                <w:tcPr>
                  <w:tcW w:w="458" w:type="pct"/>
                  <w:shd w:val="clear" w:color="auto" w:fill="auto"/>
                </w:tcPr>
                <w:p w:rsidR="00E5071D" w:rsidRPr="00736F94" w:rsidRDefault="00E5071D" w:rsidP="000920E3">
                  <w:pPr>
                    <w:pStyle w:val="TableBodyText"/>
                  </w:pPr>
                </w:p>
              </w:tc>
              <w:tc>
                <w:tcPr>
                  <w:tcW w:w="413" w:type="pct"/>
                  <w:shd w:val="clear" w:color="auto" w:fill="auto"/>
                </w:tcPr>
                <w:p w:rsidR="00E5071D" w:rsidRPr="00736F94" w:rsidRDefault="00E5071D" w:rsidP="000920E3">
                  <w:pPr>
                    <w:pStyle w:val="TableBodyText"/>
                  </w:pPr>
                </w:p>
              </w:tc>
            </w:tr>
            <w:tr w:rsidR="00736F94" w:rsidTr="00B734A5">
              <w:tc>
                <w:tcPr>
                  <w:tcW w:w="805" w:type="pct"/>
                  <w:shd w:val="clear" w:color="auto" w:fill="auto"/>
                </w:tcPr>
                <w:p w:rsidR="00736F94" w:rsidRDefault="00736F94" w:rsidP="00C40B3F">
                  <w:pPr>
                    <w:pStyle w:val="TableBodyText"/>
                    <w:jc w:val="left"/>
                  </w:pPr>
                  <w:r>
                    <w:t>Major cities</w:t>
                  </w:r>
                </w:p>
              </w:tc>
              <w:tc>
                <w:tcPr>
                  <w:tcW w:w="708" w:type="pct"/>
                </w:tcPr>
                <w:p w:rsidR="00736F94" w:rsidRPr="00736F94" w:rsidRDefault="00736F94" w:rsidP="000920E3">
                  <w:pPr>
                    <w:pStyle w:val="TableBodyText"/>
                  </w:pPr>
                  <w:r w:rsidRPr="00736F94">
                    <w:tab/>
                    <w:t>44.9</w:t>
                  </w:r>
                </w:p>
              </w:tc>
              <w:tc>
                <w:tcPr>
                  <w:tcW w:w="424" w:type="pct"/>
                </w:tcPr>
                <w:p w:rsidR="00736F94" w:rsidRPr="00736F94" w:rsidRDefault="00736F94" w:rsidP="000920E3">
                  <w:pPr>
                    <w:pStyle w:val="TableBodyText"/>
                  </w:pPr>
                  <w:r w:rsidRPr="00736F94">
                    <w:t>..</w:t>
                  </w:r>
                </w:p>
              </w:tc>
              <w:tc>
                <w:tcPr>
                  <w:tcW w:w="424" w:type="pct"/>
                </w:tcPr>
                <w:p w:rsidR="00736F94" w:rsidRPr="00736F94" w:rsidRDefault="00736F94" w:rsidP="000920E3">
                  <w:pPr>
                    <w:pStyle w:val="TableBodyText"/>
                  </w:pPr>
                  <w:r w:rsidRPr="00736F94">
                    <w:t>13.4</w:t>
                  </w:r>
                </w:p>
              </w:tc>
              <w:tc>
                <w:tcPr>
                  <w:tcW w:w="425" w:type="pct"/>
                </w:tcPr>
                <w:p w:rsidR="00736F94" w:rsidRPr="00736F94" w:rsidRDefault="00736F94" w:rsidP="000920E3">
                  <w:pPr>
                    <w:pStyle w:val="TableBodyText"/>
                  </w:pPr>
                  <w:r w:rsidRPr="00736F94">
                    <w:t>..</w:t>
                  </w:r>
                </w:p>
              </w:tc>
              <w:tc>
                <w:tcPr>
                  <w:tcW w:w="428" w:type="pct"/>
                </w:tcPr>
                <w:p w:rsidR="00736F94" w:rsidRPr="00736F94" w:rsidRDefault="00736F94" w:rsidP="000920E3">
                  <w:pPr>
                    <w:pStyle w:val="TableBodyText"/>
                  </w:pPr>
                  <w:r w:rsidRPr="00736F94">
                    <w:t>61.8</w:t>
                  </w:r>
                </w:p>
              </w:tc>
              <w:tc>
                <w:tcPr>
                  <w:tcW w:w="458" w:type="pct"/>
                </w:tcPr>
                <w:p w:rsidR="00736F94" w:rsidRPr="000920E3" w:rsidRDefault="00736F94" w:rsidP="000920E3">
                  <w:pPr>
                    <w:pStyle w:val="TableBodyText"/>
                  </w:pPr>
                  <w:r w:rsidRPr="000920E3">
                    <w:t>..</w:t>
                  </w:r>
                </w:p>
              </w:tc>
              <w:tc>
                <w:tcPr>
                  <w:tcW w:w="458" w:type="pct"/>
                </w:tcPr>
                <w:p w:rsidR="00736F94" w:rsidRPr="00736F94" w:rsidRDefault="00736F94" w:rsidP="000920E3">
                  <w:pPr>
                    <w:pStyle w:val="TableBodyText"/>
                  </w:pPr>
                  <w:r w:rsidRPr="00736F94">
                    <w:t>..</w:t>
                  </w:r>
                </w:p>
              </w:tc>
              <w:tc>
                <w:tcPr>
                  <w:tcW w:w="458" w:type="pct"/>
                  <w:shd w:val="clear" w:color="auto" w:fill="auto"/>
                </w:tcPr>
                <w:p w:rsidR="00736F94" w:rsidRPr="00736F94" w:rsidRDefault="00736F94" w:rsidP="000920E3">
                  <w:pPr>
                    <w:pStyle w:val="TableBodyText"/>
                  </w:pPr>
                  <w:r w:rsidRPr="00736F94">
                    <w:t>..</w:t>
                  </w:r>
                </w:p>
              </w:tc>
              <w:tc>
                <w:tcPr>
                  <w:tcW w:w="413" w:type="pct"/>
                  <w:shd w:val="clear" w:color="auto" w:fill="auto"/>
                </w:tcPr>
                <w:p w:rsidR="00736F94" w:rsidRPr="00F56C08" w:rsidRDefault="00736F94" w:rsidP="000920E3">
                  <w:pPr>
                    <w:pStyle w:val="TableBodyText"/>
                  </w:pPr>
                  <w:r w:rsidRPr="00F56C08">
                    <w:t>36.4</w:t>
                  </w:r>
                </w:p>
              </w:tc>
            </w:tr>
            <w:tr w:rsidR="00736F94" w:rsidTr="00B734A5">
              <w:tc>
                <w:tcPr>
                  <w:tcW w:w="805" w:type="pct"/>
                  <w:shd w:val="clear" w:color="auto" w:fill="auto"/>
                </w:tcPr>
                <w:p w:rsidR="00736F94" w:rsidRDefault="00736F94" w:rsidP="00C40B3F">
                  <w:pPr>
                    <w:pStyle w:val="TableBodyText"/>
                    <w:jc w:val="left"/>
                  </w:pPr>
                  <w:r>
                    <w:t>Inner regional</w:t>
                  </w:r>
                </w:p>
              </w:tc>
              <w:tc>
                <w:tcPr>
                  <w:tcW w:w="708" w:type="pct"/>
                </w:tcPr>
                <w:p w:rsidR="00736F94" w:rsidRPr="00736F94" w:rsidRDefault="00736F94" w:rsidP="000920E3">
                  <w:pPr>
                    <w:pStyle w:val="TableBodyText"/>
                  </w:pPr>
                  <w:r w:rsidRPr="00736F94">
                    <w:t>31.5</w:t>
                  </w:r>
                </w:p>
              </w:tc>
              <w:tc>
                <w:tcPr>
                  <w:tcW w:w="424" w:type="pct"/>
                </w:tcPr>
                <w:p w:rsidR="00736F94" w:rsidRPr="00736F94" w:rsidRDefault="00736F94" w:rsidP="000920E3">
                  <w:pPr>
                    <w:pStyle w:val="TableBodyText"/>
                  </w:pPr>
                  <w:r>
                    <w:t>..</w:t>
                  </w:r>
                </w:p>
              </w:tc>
              <w:tc>
                <w:tcPr>
                  <w:tcW w:w="424" w:type="pct"/>
                </w:tcPr>
                <w:p w:rsidR="00736F94" w:rsidRPr="005E340A" w:rsidRDefault="00F56C08" w:rsidP="000920E3">
                  <w:pPr>
                    <w:pStyle w:val="TableBodyText"/>
                  </w:pPr>
                  <w:r w:rsidRPr="005E340A">
                    <w:t>18.5</w:t>
                  </w:r>
                </w:p>
              </w:tc>
              <w:tc>
                <w:tcPr>
                  <w:tcW w:w="425" w:type="pct"/>
                </w:tcPr>
                <w:p w:rsidR="00736F94" w:rsidRPr="005E340A" w:rsidRDefault="00736F94" w:rsidP="000920E3">
                  <w:pPr>
                    <w:pStyle w:val="TableBodyText"/>
                  </w:pPr>
                  <w:r w:rsidRPr="005E340A">
                    <w:t>..</w:t>
                  </w:r>
                </w:p>
              </w:tc>
              <w:tc>
                <w:tcPr>
                  <w:tcW w:w="428" w:type="pct"/>
                </w:tcPr>
                <w:p w:rsidR="00736F94" w:rsidRPr="005E340A" w:rsidRDefault="00F56C08" w:rsidP="000920E3">
                  <w:pPr>
                    <w:pStyle w:val="TableBodyText"/>
                  </w:pPr>
                  <w:r w:rsidRPr="005E340A">
                    <w:t>6.8</w:t>
                  </w:r>
                </w:p>
              </w:tc>
              <w:tc>
                <w:tcPr>
                  <w:tcW w:w="458" w:type="pct"/>
                </w:tcPr>
                <w:p w:rsidR="00736F94" w:rsidRPr="005E340A" w:rsidRDefault="00745D90" w:rsidP="000920E3">
                  <w:pPr>
                    <w:pStyle w:val="TableBodyText"/>
                  </w:pPr>
                  <w:r w:rsidRPr="005E340A">
                    <w:t>85.1</w:t>
                  </w:r>
                </w:p>
              </w:tc>
              <w:tc>
                <w:tcPr>
                  <w:tcW w:w="458" w:type="pct"/>
                </w:tcPr>
                <w:p w:rsidR="00736F94" w:rsidRPr="005E340A" w:rsidRDefault="00736F94" w:rsidP="000920E3">
                  <w:pPr>
                    <w:pStyle w:val="TableBodyText"/>
                  </w:pPr>
                  <w:r w:rsidRPr="005E340A">
                    <w:t>..</w:t>
                  </w:r>
                </w:p>
              </w:tc>
              <w:tc>
                <w:tcPr>
                  <w:tcW w:w="458" w:type="pct"/>
                  <w:shd w:val="clear" w:color="auto" w:fill="auto"/>
                </w:tcPr>
                <w:p w:rsidR="00736F94" w:rsidRPr="005E340A" w:rsidRDefault="00736F94" w:rsidP="000920E3">
                  <w:pPr>
                    <w:pStyle w:val="TableBodyText"/>
                  </w:pPr>
                  <w:r w:rsidRPr="005E340A">
                    <w:t>..</w:t>
                  </w:r>
                </w:p>
              </w:tc>
              <w:tc>
                <w:tcPr>
                  <w:tcW w:w="413" w:type="pct"/>
                  <w:shd w:val="clear" w:color="auto" w:fill="auto"/>
                </w:tcPr>
                <w:p w:rsidR="00736F94" w:rsidRPr="005E340A" w:rsidRDefault="00F56C08" w:rsidP="000920E3">
                  <w:pPr>
                    <w:pStyle w:val="TableBodyText"/>
                  </w:pPr>
                  <w:r w:rsidRPr="005E340A">
                    <w:t>23.9</w:t>
                  </w:r>
                </w:p>
              </w:tc>
            </w:tr>
            <w:tr w:rsidR="00736F94" w:rsidTr="00B734A5">
              <w:tc>
                <w:tcPr>
                  <w:tcW w:w="805" w:type="pct"/>
                  <w:shd w:val="clear" w:color="auto" w:fill="auto"/>
                </w:tcPr>
                <w:p w:rsidR="00736F94" w:rsidRDefault="00736F94" w:rsidP="00C40B3F">
                  <w:pPr>
                    <w:pStyle w:val="TableBodyText"/>
                    <w:jc w:val="left"/>
                  </w:pPr>
                  <w:r>
                    <w:t>Outer regional</w:t>
                  </w:r>
                </w:p>
              </w:tc>
              <w:tc>
                <w:tcPr>
                  <w:tcW w:w="708" w:type="pct"/>
                </w:tcPr>
                <w:p w:rsidR="00736F94" w:rsidRPr="00736F94" w:rsidRDefault="00736F94" w:rsidP="000920E3">
                  <w:pPr>
                    <w:pStyle w:val="TableBodyText"/>
                  </w:pPr>
                  <w:r w:rsidRPr="00736F94">
                    <w:t>17.3</w:t>
                  </w:r>
                </w:p>
              </w:tc>
              <w:tc>
                <w:tcPr>
                  <w:tcW w:w="424" w:type="pct"/>
                </w:tcPr>
                <w:p w:rsidR="00736F94" w:rsidRPr="00736F94" w:rsidRDefault="00736F94" w:rsidP="000920E3">
                  <w:pPr>
                    <w:pStyle w:val="TableBodyText"/>
                  </w:pPr>
                  <w:r>
                    <w:t>..</w:t>
                  </w:r>
                </w:p>
              </w:tc>
              <w:tc>
                <w:tcPr>
                  <w:tcW w:w="424" w:type="pct"/>
                </w:tcPr>
                <w:p w:rsidR="00736F94" w:rsidRPr="005E340A" w:rsidRDefault="00F56C08" w:rsidP="000920E3">
                  <w:pPr>
                    <w:pStyle w:val="TableBodyText"/>
                  </w:pPr>
                  <w:r w:rsidRPr="005E340A">
                    <w:t>40.4</w:t>
                  </w:r>
                </w:p>
              </w:tc>
              <w:tc>
                <w:tcPr>
                  <w:tcW w:w="425" w:type="pct"/>
                </w:tcPr>
                <w:p w:rsidR="00736F94" w:rsidRPr="005E340A" w:rsidRDefault="00736F94" w:rsidP="000920E3">
                  <w:pPr>
                    <w:pStyle w:val="TableBodyText"/>
                  </w:pPr>
                  <w:r w:rsidRPr="005E340A">
                    <w:t>..</w:t>
                  </w:r>
                </w:p>
              </w:tc>
              <w:tc>
                <w:tcPr>
                  <w:tcW w:w="428" w:type="pct"/>
                </w:tcPr>
                <w:p w:rsidR="00736F94" w:rsidRPr="005E340A" w:rsidRDefault="00F56C08" w:rsidP="000920E3">
                  <w:pPr>
                    <w:pStyle w:val="TableBodyText"/>
                  </w:pPr>
                  <w:r w:rsidRPr="005E340A">
                    <w:t>18.8</w:t>
                  </w:r>
                </w:p>
              </w:tc>
              <w:tc>
                <w:tcPr>
                  <w:tcW w:w="458" w:type="pct"/>
                </w:tcPr>
                <w:p w:rsidR="00736F94" w:rsidRPr="005E340A" w:rsidRDefault="00745D90" w:rsidP="000920E3">
                  <w:pPr>
                    <w:pStyle w:val="TableBodyText"/>
                  </w:pPr>
                  <w:r w:rsidRPr="005E340A">
                    <w:t>14.9</w:t>
                  </w:r>
                </w:p>
              </w:tc>
              <w:tc>
                <w:tcPr>
                  <w:tcW w:w="458" w:type="pct"/>
                </w:tcPr>
                <w:p w:rsidR="00736F94" w:rsidRPr="005E340A" w:rsidRDefault="00736F94" w:rsidP="000920E3">
                  <w:pPr>
                    <w:pStyle w:val="TableBodyText"/>
                  </w:pPr>
                  <w:r w:rsidRPr="005E340A">
                    <w:t>..</w:t>
                  </w:r>
                </w:p>
              </w:tc>
              <w:tc>
                <w:tcPr>
                  <w:tcW w:w="458" w:type="pct"/>
                  <w:shd w:val="clear" w:color="auto" w:fill="auto"/>
                </w:tcPr>
                <w:p w:rsidR="00736F94" w:rsidRPr="005E340A" w:rsidRDefault="00736F94" w:rsidP="000920E3">
                  <w:pPr>
                    <w:pStyle w:val="TableBodyText"/>
                  </w:pPr>
                  <w:r w:rsidRPr="005E340A">
                    <w:t>..</w:t>
                  </w:r>
                </w:p>
              </w:tc>
              <w:tc>
                <w:tcPr>
                  <w:tcW w:w="413" w:type="pct"/>
                  <w:shd w:val="clear" w:color="auto" w:fill="auto"/>
                </w:tcPr>
                <w:p w:rsidR="00736F94" w:rsidRPr="005E340A" w:rsidRDefault="00F56C08" w:rsidP="000920E3">
                  <w:pPr>
                    <w:pStyle w:val="TableBodyText"/>
                  </w:pPr>
                  <w:r w:rsidRPr="005E340A">
                    <w:t>25.2</w:t>
                  </w:r>
                </w:p>
              </w:tc>
            </w:tr>
            <w:tr w:rsidR="00736F94" w:rsidTr="00B734A5">
              <w:tc>
                <w:tcPr>
                  <w:tcW w:w="805" w:type="pct"/>
                  <w:shd w:val="clear" w:color="auto" w:fill="auto"/>
                </w:tcPr>
                <w:p w:rsidR="00736F94" w:rsidRDefault="00736F94" w:rsidP="00C40B3F">
                  <w:pPr>
                    <w:pStyle w:val="TableBodyText"/>
                    <w:jc w:val="left"/>
                  </w:pPr>
                  <w:r>
                    <w:t>Remote</w:t>
                  </w:r>
                </w:p>
              </w:tc>
              <w:tc>
                <w:tcPr>
                  <w:tcW w:w="708" w:type="pct"/>
                </w:tcPr>
                <w:p w:rsidR="00736F94" w:rsidRPr="00736F94" w:rsidRDefault="00736F94" w:rsidP="000920E3">
                  <w:pPr>
                    <w:pStyle w:val="TableBodyText"/>
                  </w:pPr>
                  <w:r w:rsidRPr="00736F94">
                    <w:t>4.5</w:t>
                  </w:r>
                </w:p>
              </w:tc>
              <w:tc>
                <w:tcPr>
                  <w:tcW w:w="424" w:type="pct"/>
                </w:tcPr>
                <w:p w:rsidR="00736F94" w:rsidRPr="00736F94" w:rsidRDefault="00736F94" w:rsidP="000920E3">
                  <w:pPr>
                    <w:pStyle w:val="TableBodyText"/>
                  </w:pPr>
                  <w:r>
                    <w:t>..</w:t>
                  </w:r>
                </w:p>
              </w:tc>
              <w:tc>
                <w:tcPr>
                  <w:tcW w:w="424" w:type="pct"/>
                </w:tcPr>
                <w:p w:rsidR="00736F94" w:rsidRPr="005E340A" w:rsidRDefault="00F56C08" w:rsidP="000920E3">
                  <w:pPr>
                    <w:pStyle w:val="TableBodyText"/>
                  </w:pPr>
                  <w:r w:rsidRPr="005E340A">
                    <w:t>9.0</w:t>
                  </w:r>
                </w:p>
              </w:tc>
              <w:tc>
                <w:tcPr>
                  <w:tcW w:w="425" w:type="pct"/>
                </w:tcPr>
                <w:p w:rsidR="00736F94" w:rsidRPr="005E340A" w:rsidRDefault="00736F94" w:rsidP="000920E3">
                  <w:pPr>
                    <w:pStyle w:val="TableBodyText"/>
                  </w:pPr>
                  <w:r w:rsidRPr="005E340A">
                    <w:t>..</w:t>
                  </w:r>
                </w:p>
              </w:tc>
              <w:tc>
                <w:tcPr>
                  <w:tcW w:w="428" w:type="pct"/>
                </w:tcPr>
                <w:p w:rsidR="00736F94" w:rsidRPr="005E340A" w:rsidRDefault="00F56C08" w:rsidP="000920E3">
                  <w:pPr>
                    <w:pStyle w:val="TableBodyText"/>
                  </w:pPr>
                  <w:r w:rsidRPr="005E340A">
                    <w:t>5.1</w:t>
                  </w:r>
                </w:p>
              </w:tc>
              <w:tc>
                <w:tcPr>
                  <w:tcW w:w="458" w:type="pct"/>
                </w:tcPr>
                <w:p w:rsidR="00736F94" w:rsidRPr="005E340A" w:rsidRDefault="00745D90" w:rsidP="000920E3">
                  <w:pPr>
                    <w:pStyle w:val="TableBodyText"/>
                  </w:pPr>
                  <w:r w:rsidRPr="005E340A">
                    <w:t>–</w:t>
                  </w:r>
                </w:p>
              </w:tc>
              <w:tc>
                <w:tcPr>
                  <w:tcW w:w="458" w:type="pct"/>
                </w:tcPr>
                <w:p w:rsidR="00736F94" w:rsidRPr="005E340A" w:rsidRDefault="00736F94" w:rsidP="000920E3">
                  <w:pPr>
                    <w:pStyle w:val="TableBodyText"/>
                  </w:pPr>
                  <w:r w:rsidRPr="005E340A">
                    <w:t>..</w:t>
                  </w:r>
                </w:p>
              </w:tc>
              <w:tc>
                <w:tcPr>
                  <w:tcW w:w="458" w:type="pct"/>
                  <w:shd w:val="clear" w:color="auto" w:fill="auto"/>
                </w:tcPr>
                <w:p w:rsidR="00736F94" w:rsidRPr="005E340A" w:rsidRDefault="00736F94" w:rsidP="000920E3">
                  <w:pPr>
                    <w:pStyle w:val="TableBodyText"/>
                  </w:pPr>
                  <w:r w:rsidRPr="005E340A">
                    <w:t>..</w:t>
                  </w:r>
                </w:p>
              </w:tc>
              <w:tc>
                <w:tcPr>
                  <w:tcW w:w="413" w:type="pct"/>
                  <w:shd w:val="clear" w:color="auto" w:fill="auto"/>
                </w:tcPr>
                <w:p w:rsidR="00736F94" w:rsidRPr="005E340A" w:rsidRDefault="00F56C08" w:rsidP="000920E3">
                  <w:pPr>
                    <w:pStyle w:val="TableBodyText"/>
                  </w:pPr>
                  <w:r w:rsidRPr="005E340A">
                    <w:t>6.0</w:t>
                  </w:r>
                </w:p>
              </w:tc>
            </w:tr>
            <w:tr w:rsidR="00736F94" w:rsidTr="00B734A5">
              <w:tc>
                <w:tcPr>
                  <w:tcW w:w="805" w:type="pct"/>
                  <w:shd w:val="clear" w:color="auto" w:fill="auto"/>
                </w:tcPr>
                <w:p w:rsidR="00736F94" w:rsidRDefault="00736F94" w:rsidP="00C40B3F">
                  <w:pPr>
                    <w:pStyle w:val="TableBodyText"/>
                    <w:jc w:val="left"/>
                  </w:pPr>
                  <w:r>
                    <w:t>Very remote</w:t>
                  </w:r>
                </w:p>
              </w:tc>
              <w:tc>
                <w:tcPr>
                  <w:tcW w:w="708" w:type="pct"/>
                </w:tcPr>
                <w:p w:rsidR="00736F94" w:rsidRPr="00736F94" w:rsidRDefault="00736F94" w:rsidP="000920E3">
                  <w:pPr>
                    <w:pStyle w:val="TableBodyText"/>
                  </w:pPr>
                  <w:r w:rsidRPr="00736F94">
                    <w:t>1.8</w:t>
                  </w:r>
                </w:p>
              </w:tc>
              <w:tc>
                <w:tcPr>
                  <w:tcW w:w="424" w:type="pct"/>
                </w:tcPr>
                <w:p w:rsidR="00736F94" w:rsidRPr="00736F94" w:rsidRDefault="00736F94" w:rsidP="000920E3">
                  <w:pPr>
                    <w:pStyle w:val="TableBodyText"/>
                  </w:pPr>
                  <w:r>
                    <w:t>..</w:t>
                  </w:r>
                </w:p>
              </w:tc>
              <w:tc>
                <w:tcPr>
                  <w:tcW w:w="424" w:type="pct"/>
                </w:tcPr>
                <w:p w:rsidR="00736F94" w:rsidRPr="005E340A" w:rsidRDefault="00F56C08" w:rsidP="000920E3">
                  <w:pPr>
                    <w:pStyle w:val="TableBodyText"/>
                  </w:pPr>
                  <w:r w:rsidRPr="005E340A">
                    <w:t>18.7</w:t>
                  </w:r>
                </w:p>
              </w:tc>
              <w:tc>
                <w:tcPr>
                  <w:tcW w:w="425" w:type="pct"/>
                </w:tcPr>
                <w:p w:rsidR="00736F94" w:rsidRPr="005E340A" w:rsidRDefault="00736F94" w:rsidP="000920E3">
                  <w:pPr>
                    <w:pStyle w:val="TableBodyText"/>
                  </w:pPr>
                  <w:r w:rsidRPr="005E340A">
                    <w:t>..</w:t>
                  </w:r>
                </w:p>
              </w:tc>
              <w:tc>
                <w:tcPr>
                  <w:tcW w:w="428" w:type="pct"/>
                </w:tcPr>
                <w:p w:rsidR="00736F94" w:rsidRPr="005E340A" w:rsidRDefault="00F56C08" w:rsidP="000920E3">
                  <w:pPr>
                    <w:pStyle w:val="TableBodyText"/>
                  </w:pPr>
                  <w:r w:rsidRPr="005E340A">
                    <w:t>7.5</w:t>
                  </w:r>
                </w:p>
              </w:tc>
              <w:tc>
                <w:tcPr>
                  <w:tcW w:w="458" w:type="pct"/>
                </w:tcPr>
                <w:p w:rsidR="00736F94" w:rsidRPr="005E340A" w:rsidRDefault="00745D90" w:rsidP="000920E3">
                  <w:pPr>
                    <w:pStyle w:val="TableBodyText"/>
                  </w:pPr>
                  <w:r w:rsidRPr="005E340A">
                    <w:t>–</w:t>
                  </w:r>
                </w:p>
              </w:tc>
              <w:tc>
                <w:tcPr>
                  <w:tcW w:w="458" w:type="pct"/>
                </w:tcPr>
                <w:p w:rsidR="00736F94" w:rsidRPr="005E340A" w:rsidRDefault="00736F94" w:rsidP="000920E3">
                  <w:pPr>
                    <w:pStyle w:val="TableBodyText"/>
                  </w:pPr>
                  <w:r w:rsidRPr="005E340A">
                    <w:t>..</w:t>
                  </w:r>
                </w:p>
              </w:tc>
              <w:tc>
                <w:tcPr>
                  <w:tcW w:w="458" w:type="pct"/>
                  <w:shd w:val="clear" w:color="auto" w:fill="auto"/>
                </w:tcPr>
                <w:p w:rsidR="00736F94" w:rsidRPr="005E340A" w:rsidRDefault="00736F94" w:rsidP="000920E3">
                  <w:pPr>
                    <w:pStyle w:val="TableBodyText"/>
                  </w:pPr>
                  <w:r w:rsidRPr="005E340A">
                    <w:t>..</w:t>
                  </w:r>
                </w:p>
              </w:tc>
              <w:tc>
                <w:tcPr>
                  <w:tcW w:w="413" w:type="pct"/>
                  <w:shd w:val="clear" w:color="auto" w:fill="auto"/>
                </w:tcPr>
                <w:p w:rsidR="00736F94" w:rsidRPr="005E340A" w:rsidRDefault="00F56C08" w:rsidP="000920E3">
                  <w:pPr>
                    <w:pStyle w:val="TableBodyText"/>
                  </w:pPr>
                  <w:r w:rsidRPr="005E340A">
                    <w:t>8.5</w:t>
                  </w:r>
                </w:p>
              </w:tc>
            </w:tr>
            <w:tr w:rsidR="00DE5FF5" w:rsidTr="00B734A5">
              <w:tc>
                <w:tcPr>
                  <w:tcW w:w="805" w:type="pct"/>
                  <w:shd w:val="clear" w:color="auto" w:fill="auto"/>
                </w:tcPr>
                <w:p w:rsidR="00DE5FF5" w:rsidRDefault="00DE5FF5" w:rsidP="00C40B3F">
                  <w:pPr>
                    <w:pStyle w:val="TableBodyText"/>
                    <w:jc w:val="left"/>
                  </w:pPr>
                  <w:r w:rsidRPr="00DE620E">
                    <w:rPr>
                      <w:b/>
                    </w:rPr>
                    <w:t>Total</w:t>
                  </w:r>
                </w:p>
              </w:tc>
              <w:tc>
                <w:tcPr>
                  <w:tcW w:w="708" w:type="pct"/>
                  <w:vAlign w:val="bottom"/>
                </w:tcPr>
                <w:p w:rsidR="00DE5FF5" w:rsidRPr="00736F94" w:rsidRDefault="007D1214" w:rsidP="000920E3">
                  <w:pPr>
                    <w:pStyle w:val="TableBodyText"/>
                    <w:rPr>
                      <w:b/>
                    </w:rPr>
                  </w:pPr>
                  <w:r>
                    <w:rPr>
                      <w:b/>
                    </w:rPr>
                    <w:t xml:space="preserve"> </w:t>
                  </w:r>
                  <w:r w:rsidR="00DE5FF5" w:rsidRPr="00736F94">
                    <w:rPr>
                      <w:b/>
                    </w:rPr>
                    <w:t>100.0</w:t>
                  </w:r>
                </w:p>
              </w:tc>
              <w:tc>
                <w:tcPr>
                  <w:tcW w:w="424" w:type="pct"/>
                  <w:vAlign w:val="bottom"/>
                </w:tcPr>
                <w:p w:rsidR="00DE5FF5" w:rsidRPr="00736F94" w:rsidRDefault="007D1214" w:rsidP="000920E3">
                  <w:pPr>
                    <w:pStyle w:val="TableBodyText"/>
                    <w:rPr>
                      <w:b/>
                    </w:rPr>
                  </w:pPr>
                  <w:r>
                    <w:rPr>
                      <w:b/>
                    </w:rPr>
                    <w:t xml:space="preserve"> </w:t>
                  </w:r>
                  <w:r w:rsidR="00DE5FF5" w:rsidRPr="00736F94">
                    <w:rPr>
                      <w:b/>
                    </w:rPr>
                    <w:t>100.0</w:t>
                  </w:r>
                </w:p>
              </w:tc>
              <w:tc>
                <w:tcPr>
                  <w:tcW w:w="424" w:type="pct"/>
                  <w:vAlign w:val="bottom"/>
                </w:tcPr>
                <w:p w:rsidR="00DE5FF5" w:rsidRPr="005E340A" w:rsidRDefault="007D1214" w:rsidP="000920E3">
                  <w:pPr>
                    <w:pStyle w:val="TableBodyText"/>
                    <w:rPr>
                      <w:b/>
                    </w:rPr>
                  </w:pPr>
                  <w:r>
                    <w:rPr>
                      <w:b/>
                    </w:rPr>
                    <w:t xml:space="preserve"> </w:t>
                  </w:r>
                  <w:r w:rsidR="00DE5FF5" w:rsidRPr="005E340A">
                    <w:rPr>
                      <w:b/>
                    </w:rPr>
                    <w:t>100.0</w:t>
                  </w:r>
                </w:p>
              </w:tc>
              <w:tc>
                <w:tcPr>
                  <w:tcW w:w="425" w:type="pct"/>
                  <w:vAlign w:val="bottom"/>
                </w:tcPr>
                <w:p w:rsidR="00DE5FF5" w:rsidRPr="005E340A" w:rsidRDefault="007D1214" w:rsidP="000920E3">
                  <w:pPr>
                    <w:pStyle w:val="TableBodyText"/>
                    <w:rPr>
                      <w:b/>
                    </w:rPr>
                  </w:pPr>
                  <w:r>
                    <w:rPr>
                      <w:b/>
                    </w:rPr>
                    <w:t xml:space="preserve"> </w:t>
                  </w:r>
                  <w:r w:rsidR="00DE5FF5" w:rsidRPr="005E340A">
                    <w:rPr>
                      <w:b/>
                    </w:rPr>
                    <w:t>100.0</w:t>
                  </w:r>
                </w:p>
              </w:tc>
              <w:tc>
                <w:tcPr>
                  <w:tcW w:w="428" w:type="pct"/>
                  <w:vAlign w:val="bottom"/>
                </w:tcPr>
                <w:p w:rsidR="00DE5FF5" w:rsidRPr="005E340A" w:rsidRDefault="007D1214" w:rsidP="000920E3">
                  <w:pPr>
                    <w:pStyle w:val="TableBodyText"/>
                    <w:rPr>
                      <w:b/>
                    </w:rPr>
                  </w:pPr>
                  <w:r>
                    <w:rPr>
                      <w:b/>
                    </w:rPr>
                    <w:t xml:space="preserve"> </w:t>
                  </w:r>
                  <w:r w:rsidR="00DE5FF5" w:rsidRPr="005E340A">
                    <w:rPr>
                      <w:b/>
                    </w:rPr>
                    <w:t>100.0</w:t>
                  </w:r>
                </w:p>
              </w:tc>
              <w:tc>
                <w:tcPr>
                  <w:tcW w:w="458" w:type="pct"/>
                  <w:vAlign w:val="bottom"/>
                </w:tcPr>
                <w:p w:rsidR="00DE5FF5" w:rsidRPr="005E340A" w:rsidRDefault="007D1214" w:rsidP="000920E3">
                  <w:pPr>
                    <w:pStyle w:val="TableBodyText"/>
                    <w:rPr>
                      <w:b/>
                    </w:rPr>
                  </w:pPr>
                  <w:r>
                    <w:rPr>
                      <w:b/>
                    </w:rPr>
                    <w:t xml:space="preserve"> </w:t>
                  </w:r>
                  <w:r w:rsidR="00DE5FF5" w:rsidRPr="005E340A">
                    <w:rPr>
                      <w:b/>
                    </w:rPr>
                    <w:t>100.0</w:t>
                  </w:r>
                </w:p>
              </w:tc>
              <w:tc>
                <w:tcPr>
                  <w:tcW w:w="458" w:type="pct"/>
                  <w:vAlign w:val="bottom"/>
                </w:tcPr>
                <w:p w:rsidR="00DE5FF5" w:rsidRPr="005E340A" w:rsidRDefault="007D1214" w:rsidP="000920E3">
                  <w:pPr>
                    <w:pStyle w:val="TableBodyText"/>
                    <w:rPr>
                      <w:b/>
                    </w:rPr>
                  </w:pPr>
                  <w:r>
                    <w:rPr>
                      <w:b/>
                    </w:rPr>
                    <w:t xml:space="preserve"> </w:t>
                  </w:r>
                  <w:r w:rsidR="00DE5FF5" w:rsidRPr="005E340A">
                    <w:rPr>
                      <w:b/>
                    </w:rPr>
                    <w:t>100.0</w:t>
                  </w:r>
                </w:p>
              </w:tc>
              <w:tc>
                <w:tcPr>
                  <w:tcW w:w="458" w:type="pct"/>
                  <w:shd w:val="clear" w:color="auto" w:fill="auto"/>
                  <w:vAlign w:val="bottom"/>
                </w:tcPr>
                <w:p w:rsidR="00DE5FF5" w:rsidRPr="005E340A" w:rsidRDefault="007D1214" w:rsidP="000920E3">
                  <w:pPr>
                    <w:pStyle w:val="TableBodyText"/>
                    <w:rPr>
                      <w:b/>
                    </w:rPr>
                  </w:pPr>
                  <w:r>
                    <w:rPr>
                      <w:b/>
                    </w:rPr>
                    <w:t xml:space="preserve"> </w:t>
                  </w:r>
                  <w:r w:rsidR="00DE5FF5" w:rsidRPr="005E340A">
                    <w:rPr>
                      <w:b/>
                    </w:rPr>
                    <w:t>100.0</w:t>
                  </w:r>
                </w:p>
              </w:tc>
              <w:tc>
                <w:tcPr>
                  <w:tcW w:w="413" w:type="pct"/>
                  <w:shd w:val="clear" w:color="auto" w:fill="auto"/>
                  <w:vAlign w:val="bottom"/>
                </w:tcPr>
                <w:p w:rsidR="00DE5FF5" w:rsidRPr="005E340A" w:rsidRDefault="007D1214" w:rsidP="000920E3">
                  <w:pPr>
                    <w:pStyle w:val="TableBodyText"/>
                    <w:rPr>
                      <w:b/>
                    </w:rPr>
                  </w:pPr>
                  <w:r>
                    <w:t xml:space="preserve"> </w:t>
                  </w:r>
                  <w:r w:rsidR="00DE5FF5" w:rsidRPr="005E340A">
                    <w:rPr>
                      <w:b/>
                    </w:rPr>
                    <w:t>100.0</w:t>
                  </w:r>
                </w:p>
              </w:tc>
            </w:tr>
            <w:tr w:rsidR="00DE5FF5" w:rsidTr="00B734A5">
              <w:tc>
                <w:tcPr>
                  <w:tcW w:w="1513" w:type="pct"/>
                  <w:gridSpan w:val="2"/>
                  <w:shd w:val="clear" w:color="auto" w:fill="auto"/>
                </w:tcPr>
                <w:p w:rsidR="00EC5DB3" w:rsidRPr="000920E3" w:rsidRDefault="00EC5DB3" w:rsidP="000920E3">
                  <w:pPr>
                    <w:pStyle w:val="TableBodyText"/>
                    <w:jc w:val="left"/>
                    <w:rPr>
                      <w:i/>
                    </w:rPr>
                  </w:pPr>
                  <w:r w:rsidRPr="000920E3">
                    <w:rPr>
                      <w:i/>
                    </w:rPr>
                    <w:t>Community housing</w:t>
                  </w:r>
                </w:p>
              </w:tc>
              <w:tc>
                <w:tcPr>
                  <w:tcW w:w="424" w:type="pct"/>
                </w:tcPr>
                <w:p w:rsidR="00EC5DB3" w:rsidRPr="000920E3" w:rsidRDefault="00EC5DB3" w:rsidP="000920E3">
                  <w:pPr>
                    <w:pStyle w:val="TableBodyText"/>
                  </w:pPr>
                </w:p>
              </w:tc>
              <w:tc>
                <w:tcPr>
                  <w:tcW w:w="424" w:type="pct"/>
                </w:tcPr>
                <w:p w:rsidR="00EC5DB3" w:rsidRPr="005E340A" w:rsidRDefault="00EC5DB3" w:rsidP="000920E3">
                  <w:pPr>
                    <w:pStyle w:val="TableBodyText"/>
                  </w:pPr>
                </w:p>
              </w:tc>
              <w:tc>
                <w:tcPr>
                  <w:tcW w:w="425" w:type="pct"/>
                </w:tcPr>
                <w:p w:rsidR="00EC5DB3" w:rsidRPr="005E340A" w:rsidRDefault="00EC5DB3" w:rsidP="000920E3">
                  <w:pPr>
                    <w:pStyle w:val="TableBodyText"/>
                  </w:pPr>
                </w:p>
              </w:tc>
              <w:tc>
                <w:tcPr>
                  <w:tcW w:w="428" w:type="pct"/>
                </w:tcPr>
                <w:p w:rsidR="00EC5DB3" w:rsidRPr="005E340A" w:rsidRDefault="00EC5DB3" w:rsidP="000920E3">
                  <w:pPr>
                    <w:pStyle w:val="TableBodyText"/>
                  </w:pPr>
                </w:p>
              </w:tc>
              <w:tc>
                <w:tcPr>
                  <w:tcW w:w="458" w:type="pct"/>
                </w:tcPr>
                <w:p w:rsidR="00EC5DB3" w:rsidRPr="005E340A" w:rsidRDefault="00EC5DB3" w:rsidP="000920E3">
                  <w:pPr>
                    <w:pStyle w:val="TableBodyText"/>
                  </w:pPr>
                </w:p>
              </w:tc>
              <w:tc>
                <w:tcPr>
                  <w:tcW w:w="458" w:type="pct"/>
                </w:tcPr>
                <w:p w:rsidR="00EC5DB3" w:rsidRPr="005E340A" w:rsidRDefault="00EC5DB3" w:rsidP="000920E3">
                  <w:pPr>
                    <w:pStyle w:val="TableBodyText"/>
                  </w:pPr>
                </w:p>
              </w:tc>
              <w:tc>
                <w:tcPr>
                  <w:tcW w:w="458" w:type="pct"/>
                  <w:shd w:val="clear" w:color="auto" w:fill="auto"/>
                </w:tcPr>
                <w:p w:rsidR="00EC5DB3" w:rsidRPr="005E340A" w:rsidRDefault="00EC5DB3" w:rsidP="000920E3">
                  <w:pPr>
                    <w:pStyle w:val="TableBodyText"/>
                  </w:pPr>
                </w:p>
              </w:tc>
              <w:tc>
                <w:tcPr>
                  <w:tcW w:w="413" w:type="pct"/>
                  <w:shd w:val="clear" w:color="auto" w:fill="auto"/>
                </w:tcPr>
                <w:p w:rsidR="00EC5DB3" w:rsidRPr="005E340A" w:rsidRDefault="00EC5DB3" w:rsidP="000920E3">
                  <w:pPr>
                    <w:pStyle w:val="TableBodyText"/>
                  </w:pPr>
                </w:p>
              </w:tc>
            </w:tr>
            <w:tr w:rsidR="00B734A5" w:rsidTr="00B734A5">
              <w:tc>
                <w:tcPr>
                  <w:tcW w:w="805" w:type="pct"/>
                  <w:shd w:val="clear" w:color="auto" w:fill="auto"/>
                </w:tcPr>
                <w:p w:rsidR="00B734A5" w:rsidRDefault="00B734A5" w:rsidP="00C40B3F">
                  <w:pPr>
                    <w:pStyle w:val="TableBodyText"/>
                    <w:jc w:val="left"/>
                  </w:pPr>
                  <w:r>
                    <w:t>Major cities</w:t>
                  </w:r>
                </w:p>
              </w:tc>
              <w:tc>
                <w:tcPr>
                  <w:tcW w:w="708" w:type="pct"/>
                </w:tcPr>
                <w:p w:rsidR="00B734A5" w:rsidRPr="00B734A5" w:rsidRDefault="00B734A5" w:rsidP="000920E3">
                  <w:pPr>
                    <w:pStyle w:val="TableBodyText"/>
                  </w:pPr>
                  <w:r w:rsidRPr="00B734A5">
                    <w:t>70.5</w:t>
                  </w:r>
                </w:p>
              </w:tc>
              <w:tc>
                <w:tcPr>
                  <w:tcW w:w="424" w:type="pct"/>
                </w:tcPr>
                <w:p w:rsidR="00B734A5" w:rsidRPr="00B734A5" w:rsidRDefault="00B734A5" w:rsidP="000920E3">
                  <w:pPr>
                    <w:pStyle w:val="TableBodyText"/>
                  </w:pPr>
                  <w:r w:rsidRPr="00B734A5">
                    <w:t>74.6</w:t>
                  </w:r>
                </w:p>
              </w:tc>
              <w:tc>
                <w:tcPr>
                  <w:tcW w:w="424" w:type="pct"/>
                </w:tcPr>
                <w:p w:rsidR="00B734A5" w:rsidRPr="005E340A" w:rsidRDefault="00B734A5" w:rsidP="000920E3">
                  <w:pPr>
                    <w:pStyle w:val="TableBodyText"/>
                  </w:pPr>
                  <w:r w:rsidRPr="005E340A">
                    <w:t>52.3</w:t>
                  </w:r>
                </w:p>
              </w:tc>
              <w:tc>
                <w:tcPr>
                  <w:tcW w:w="425" w:type="pct"/>
                </w:tcPr>
                <w:p w:rsidR="00B734A5" w:rsidRPr="005E340A" w:rsidRDefault="00565DA8" w:rsidP="000920E3">
                  <w:pPr>
                    <w:pStyle w:val="TableBodyText"/>
                  </w:pPr>
                  <w:r w:rsidRPr="005E340A">
                    <w:t>79.6</w:t>
                  </w:r>
                </w:p>
              </w:tc>
              <w:tc>
                <w:tcPr>
                  <w:tcW w:w="428" w:type="pct"/>
                </w:tcPr>
                <w:p w:rsidR="00B734A5" w:rsidRPr="005E340A" w:rsidRDefault="00B734A5" w:rsidP="000920E3">
                  <w:pPr>
                    <w:pStyle w:val="TableBodyText"/>
                  </w:pPr>
                  <w:r w:rsidRPr="005E340A">
                    <w:t>83.0</w:t>
                  </w:r>
                </w:p>
              </w:tc>
              <w:tc>
                <w:tcPr>
                  <w:tcW w:w="458" w:type="pct"/>
                </w:tcPr>
                <w:p w:rsidR="00B734A5" w:rsidRPr="005E340A" w:rsidRDefault="00B734A5" w:rsidP="000920E3">
                  <w:pPr>
                    <w:pStyle w:val="TableBodyText"/>
                  </w:pPr>
                  <w:r w:rsidRPr="005E340A">
                    <w:t>..</w:t>
                  </w:r>
                </w:p>
              </w:tc>
              <w:tc>
                <w:tcPr>
                  <w:tcW w:w="458" w:type="pct"/>
                </w:tcPr>
                <w:p w:rsidR="00B734A5" w:rsidRPr="005E340A" w:rsidRDefault="00B734A5" w:rsidP="000920E3">
                  <w:pPr>
                    <w:pStyle w:val="TableBodyText"/>
                  </w:pPr>
                  <w:r w:rsidRPr="005E340A">
                    <w:t>99.8</w:t>
                  </w:r>
                </w:p>
              </w:tc>
              <w:tc>
                <w:tcPr>
                  <w:tcW w:w="458" w:type="pct"/>
                  <w:shd w:val="clear" w:color="auto" w:fill="auto"/>
                </w:tcPr>
                <w:p w:rsidR="00B734A5" w:rsidRPr="005E340A" w:rsidRDefault="00B734A5" w:rsidP="000920E3">
                  <w:pPr>
                    <w:pStyle w:val="TableBodyText"/>
                  </w:pPr>
                  <w:r w:rsidRPr="005E340A">
                    <w:t>..</w:t>
                  </w:r>
                </w:p>
              </w:tc>
              <w:tc>
                <w:tcPr>
                  <w:tcW w:w="413" w:type="pct"/>
                  <w:shd w:val="clear" w:color="auto" w:fill="auto"/>
                </w:tcPr>
                <w:p w:rsidR="00B734A5" w:rsidRPr="005E340A" w:rsidRDefault="00030E5B" w:rsidP="000920E3">
                  <w:pPr>
                    <w:pStyle w:val="TableBodyText"/>
                  </w:pPr>
                  <w:r w:rsidRPr="005E340A">
                    <w:t>64.1</w:t>
                  </w:r>
                </w:p>
              </w:tc>
            </w:tr>
            <w:tr w:rsidR="00B734A5" w:rsidTr="00B734A5">
              <w:tc>
                <w:tcPr>
                  <w:tcW w:w="805" w:type="pct"/>
                  <w:shd w:val="clear" w:color="auto" w:fill="auto"/>
                </w:tcPr>
                <w:p w:rsidR="00B734A5" w:rsidRDefault="00B734A5" w:rsidP="00C40B3F">
                  <w:pPr>
                    <w:pStyle w:val="TableBodyText"/>
                    <w:jc w:val="left"/>
                  </w:pPr>
                  <w:r>
                    <w:t>Inner regional</w:t>
                  </w:r>
                </w:p>
              </w:tc>
              <w:tc>
                <w:tcPr>
                  <w:tcW w:w="708" w:type="pct"/>
                </w:tcPr>
                <w:p w:rsidR="00B734A5" w:rsidRPr="00B734A5" w:rsidRDefault="00B734A5" w:rsidP="000920E3">
                  <w:pPr>
                    <w:pStyle w:val="TableBodyText"/>
                  </w:pPr>
                  <w:r w:rsidRPr="00B734A5">
                    <w:t>23.1</w:t>
                  </w:r>
                </w:p>
              </w:tc>
              <w:tc>
                <w:tcPr>
                  <w:tcW w:w="424" w:type="pct"/>
                </w:tcPr>
                <w:p w:rsidR="00B734A5" w:rsidRPr="00B734A5" w:rsidRDefault="00B734A5" w:rsidP="000920E3">
                  <w:pPr>
                    <w:pStyle w:val="TableBodyText"/>
                  </w:pPr>
                  <w:r w:rsidRPr="00B734A5">
                    <w:t>22.2</w:t>
                  </w:r>
                </w:p>
              </w:tc>
              <w:tc>
                <w:tcPr>
                  <w:tcW w:w="424" w:type="pct"/>
                </w:tcPr>
                <w:p w:rsidR="00B734A5" w:rsidRPr="005E340A" w:rsidRDefault="00B734A5" w:rsidP="000920E3">
                  <w:pPr>
                    <w:pStyle w:val="TableBodyText"/>
                  </w:pPr>
                  <w:r w:rsidRPr="005E340A">
                    <w:t>21.7</w:t>
                  </w:r>
                </w:p>
              </w:tc>
              <w:tc>
                <w:tcPr>
                  <w:tcW w:w="425" w:type="pct"/>
                </w:tcPr>
                <w:p w:rsidR="00B734A5" w:rsidRPr="005E340A" w:rsidRDefault="00B734A5" w:rsidP="000920E3">
                  <w:pPr>
                    <w:pStyle w:val="TableBodyText"/>
                  </w:pPr>
                  <w:r w:rsidRPr="005E340A">
                    <w:t>9.6</w:t>
                  </w:r>
                </w:p>
              </w:tc>
              <w:tc>
                <w:tcPr>
                  <w:tcW w:w="428" w:type="pct"/>
                </w:tcPr>
                <w:p w:rsidR="00B734A5" w:rsidRPr="005E340A" w:rsidRDefault="00B734A5" w:rsidP="000920E3">
                  <w:pPr>
                    <w:pStyle w:val="TableBodyText"/>
                  </w:pPr>
                  <w:r w:rsidRPr="005E340A">
                    <w:t>6.6</w:t>
                  </w:r>
                </w:p>
              </w:tc>
              <w:tc>
                <w:tcPr>
                  <w:tcW w:w="458" w:type="pct"/>
                </w:tcPr>
                <w:p w:rsidR="00B734A5" w:rsidRPr="005E340A" w:rsidRDefault="00B734A5" w:rsidP="000920E3">
                  <w:pPr>
                    <w:pStyle w:val="TableBodyText"/>
                  </w:pPr>
                  <w:r w:rsidRPr="005E340A">
                    <w:t>73.2</w:t>
                  </w:r>
                </w:p>
              </w:tc>
              <w:tc>
                <w:tcPr>
                  <w:tcW w:w="458" w:type="pct"/>
                </w:tcPr>
                <w:p w:rsidR="00B734A5" w:rsidRPr="005E340A" w:rsidRDefault="00B734A5" w:rsidP="000920E3">
                  <w:pPr>
                    <w:pStyle w:val="TableBodyText"/>
                  </w:pPr>
                  <w:r w:rsidRPr="005E340A">
                    <w:t>0.2</w:t>
                  </w:r>
                </w:p>
              </w:tc>
              <w:tc>
                <w:tcPr>
                  <w:tcW w:w="458" w:type="pct"/>
                  <w:shd w:val="clear" w:color="auto" w:fill="auto"/>
                </w:tcPr>
                <w:p w:rsidR="00B734A5" w:rsidRPr="005E340A" w:rsidRDefault="00B734A5" w:rsidP="000920E3">
                  <w:pPr>
                    <w:pStyle w:val="TableBodyText"/>
                  </w:pPr>
                  <w:r w:rsidRPr="005E340A">
                    <w:t>..</w:t>
                  </w:r>
                </w:p>
              </w:tc>
              <w:tc>
                <w:tcPr>
                  <w:tcW w:w="413" w:type="pct"/>
                  <w:shd w:val="clear" w:color="auto" w:fill="auto"/>
                </w:tcPr>
                <w:p w:rsidR="00B734A5" w:rsidRPr="005E340A" w:rsidRDefault="00B734A5" w:rsidP="000920E3">
                  <w:pPr>
                    <w:pStyle w:val="TableBodyText"/>
                  </w:pPr>
                  <w:r w:rsidRPr="005E340A">
                    <w:t>24.1</w:t>
                  </w:r>
                </w:p>
              </w:tc>
            </w:tr>
            <w:tr w:rsidR="00B734A5" w:rsidTr="00B734A5">
              <w:tc>
                <w:tcPr>
                  <w:tcW w:w="805" w:type="pct"/>
                  <w:shd w:val="clear" w:color="auto" w:fill="auto"/>
                </w:tcPr>
                <w:p w:rsidR="00B734A5" w:rsidRDefault="00B734A5" w:rsidP="00C40B3F">
                  <w:pPr>
                    <w:pStyle w:val="TableBodyText"/>
                    <w:jc w:val="left"/>
                  </w:pPr>
                  <w:r>
                    <w:t>Outer regional</w:t>
                  </w:r>
                </w:p>
              </w:tc>
              <w:tc>
                <w:tcPr>
                  <w:tcW w:w="708" w:type="pct"/>
                  <w:vAlign w:val="bottom"/>
                </w:tcPr>
                <w:p w:rsidR="00B734A5" w:rsidRPr="00B734A5" w:rsidRDefault="00B734A5" w:rsidP="000920E3">
                  <w:pPr>
                    <w:pStyle w:val="TableBodyText"/>
                  </w:pPr>
                  <w:r w:rsidRPr="00B734A5">
                    <w:t>6.2</w:t>
                  </w:r>
                </w:p>
              </w:tc>
              <w:tc>
                <w:tcPr>
                  <w:tcW w:w="424" w:type="pct"/>
                  <w:vAlign w:val="bottom"/>
                </w:tcPr>
                <w:p w:rsidR="00B734A5" w:rsidRPr="00B734A5" w:rsidRDefault="00B734A5" w:rsidP="000920E3">
                  <w:pPr>
                    <w:pStyle w:val="TableBodyText"/>
                  </w:pPr>
                  <w:r w:rsidRPr="00B734A5">
                    <w:t>3.1</w:t>
                  </w:r>
                </w:p>
              </w:tc>
              <w:tc>
                <w:tcPr>
                  <w:tcW w:w="424" w:type="pct"/>
                  <w:vAlign w:val="bottom"/>
                </w:tcPr>
                <w:p w:rsidR="00B734A5" w:rsidRPr="005E340A" w:rsidRDefault="00B734A5" w:rsidP="000920E3">
                  <w:pPr>
                    <w:pStyle w:val="TableBodyText"/>
                  </w:pPr>
                  <w:r w:rsidRPr="005E340A">
                    <w:t>20.5</w:t>
                  </w:r>
                </w:p>
              </w:tc>
              <w:tc>
                <w:tcPr>
                  <w:tcW w:w="425" w:type="pct"/>
                  <w:vAlign w:val="bottom"/>
                </w:tcPr>
                <w:p w:rsidR="00B734A5" w:rsidRPr="005E340A" w:rsidRDefault="00B734A5" w:rsidP="000920E3">
                  <w:pPr>
                    <w:pStyle w:val="TableBodyText"/>
                  </w:pPr>
                  <w:r w:rsidRPr="005E340A">
                    <w:t>7.6</w:t>
                  </w:r>
                </w:p>
              </w:tc>
              <w:tc>
                <w:tcPr>
                  <w:tcW w:w="428" w:type="pct"/>
                  <w:vAlign w:val="bottom"/>
                </w:tcPr>
                <w:p w:rsidR="00B734A5" w:rsidRPr="005E340A" w:rsidRDefault="00B734A5" w:rsidP="000920E3">
                  <w:pPr>
                    <w:pStyle w:val="TableBodyText"/>
                  </w:pPr>
                  <w:r w:rsidRPr="005E340A">
                    <w:t>9.2</w:t>
                  </w:r>
                </w:p>
              </w:tc>
              <w:tc>
                <w:tcPr>
                  <w:tcW w:w="458" w:type="pct"/>
                  <w:vAlign w:val="bottom"/>
                </w:tcPr>
                <w:p w:rsidR="00B734A5" w:rsidRPr="005E340A" w:rsidRDefault="00B734A5" w:rsidP="000920E3">
                  <w:pPr>
                    <w:pStyle w:val="TableBodyText"/>
                  </w:pPr>
                  <w:r w:rsidRPr="005E340A">
                    <w:t>26.3</w:t>
                  </w:r>
                </w:p>
              </w:tc>
              <w:tc>
                <w:tcPr>
                  <w:tcW w:w="458" w:type="pct"/>
                  <w:vAlign w:val="bottom"/>
                </w:tcPr>
                <w:p w:rsidR="00B734A5" w:rsidRPr="005E340A" w:rsidRDefault="00B734A5" w:rsidP="000920E3">
                  <w:pPr>
                    <w:pStyle w:val="TableBodyText"/>
                  </w:pPr>
                  <w:r w:rsidRPr="005E340A">
                    <w:t>..</w:t>
                  </w:r>
                </w:p>
              </w:tc>
              <w:tc>
                <w:tcPr>
                  <w:tcW w:w="458" w:type="pct"/>
                  <w:shd w:val="clear" w:color="auto" w:fill="auto"/>
                  <w:vAlign w:val="bottom"/>
                </w:tcPr>
                <w:p w:rsidR="00B734A5" w:rsidRPr="005E340A" w:rsidRDefault="00B734A5" w:rsidP="000920E3">
                  <w:pPr>
                    <w:pStyle w:val="TableBodyText"/>
                  </w:pPr>
                  <w:r w:rsidRPr="005E340A">
                    <w:t>43.1</w:t>
                  </w:r>
                </w:p>
              </w:tc>
              <w:tc>
                <w:tcPr>
                  <w:tcW w:w="413" w:type="pct"/>
                  <w:shd w:val="clear" w:color="auto" w:fill="auto"/>
                  <w:vAlign w:val="bottom"/>
                </w:tcPr>
                <w:p w:rsidR="00B734A5" w:rsidRPr="005E340A" w:rsidRDefault="00B734A5" w:rsidP="000920E3">
                  <w:pPr>
                    <w:pStyle w:val="TableBodyText"/>
                  </w:pPr>
                  <w:r w:rsidRPr="005E340A">
                    <w:t>10.1</w:t>
                  </w:r>
                </w:p>
              </w:tc>
            </w:tr>
            <w:tr w:rsidR="00B734A5" w:rsidTr="00B734A5">
              <w:tc>
                <w:tcPr>
                  <w:tcW w:w="805" w:type="pct"/>
                  <w:shd w:val="clear" w:color="auto" w:fill="auto"/>
                </w:tcPr>
                <w:p w:rsidR="00B734A5" w:rsidRDefault="00B734A5" w:rsidP="00C40B3F">
                  <w:pPr>
                    <w:pStyle w:val="TableBodyText"/>
                    <w:jc w:val="left"/>
                  </w:pPr>
                  <w:r>
                    <w:t>Remote</w:t>
                  </w:r>
                </w:p>
              </w:tc>
              <w:tc>
                <w:tcPr>
                  <w:tcW w:w="708" w:type="pct"/>
                </w:tcPr>
                <w:p w:rsidR="00B734A5" w:rsidRPr="00B734A5" w:rsidRDefault="00B734A5" w:rsidP="000920E3">
                  <w:pPr>
                    <w:pStyle w:val="TableBodyText"/>
                  </w:pPr>
                  <w:r w:rsidRPr="00B734A5">
                    <w:t>0.2</w:t>
                  </w:r>
                </w:p>
              </w:tc>
              <w:tc>
                <w:tcPr>
                  <w:tcW w:w="424" w:type="pct"/>
                </w:tcPr>
                <w:p w:rsidR="00B734A5" w:rsidRPr="00B734A5" w:rsidRDefault="00B734A5" w:rsidP="000920E3">
                  <w:pPr>
                    <w:pStyle w:val="TableBodyText"/>
                  </w:pPr>
                  <w:r w:rsidRPr="00B734A5">
                    <w:t>0.1</w:t>
                  </w:r>
                </w:p>
              </w:tc>
              <w:tc>
                <w:tcPr>
                  <w:tcW w:w="424" w:type="pct"/>
                </w:tcPr>
                <w:p w:rsidR="00B734A5" w:rsidRPr="005E340A" w:rsidRDefault="00B734A5" w:rsidP="000920E3">
                  <w:pPr>
                    <w:pStyle w:val="TableBodyText"/>
                  </w:pPr>
                  <w:r w:rsidRPr="005E340A">
                    <w:t>2.2</w:t>
                  </w:r>
                </w:p>
              </w:tc>
              <w:tc>
                <w:tcPr>
                  <w:tcW w:w="425" w:type="pct"/>
                </w:tcPr>
                <w:p w:rsidR="00B734A5" w:rsidRPr="005E340A" w:rsidRDefault="00B734A5" w:rsidP="000920E3">
                  <w:pPr>
                    <w:pStyle w:val="TableBodyText"/>
                  </w:pPr>
                  <w:r w:rsidRPr="005E340A">
                    <w:t>2.5</w:t>
                  </w:r>
                </w:p>
              </w:tc>
              <w:tc>
                <w:tcPr>
                  <w:tcW w:w="428" w:type="pct"/>
                </w:tcPr>
                <w:p w:rsidR="00B734A5" w:rsidRPr="005E340A" w:rsidRDefault="00B734A5" w:rsidP="000920E3">
                  <w:pPr>
                    <w:pStyle w:val="TableBodyText"/>
                  </w:pPr>
                  <w:r w:rsidRPr="005E340A">
                    <w:t>1.1</w:t>
                  </w:r>
                </w:p>
              </w:tc>
              <w:tc>
                <w:tcPr>
                  <w:tcW w:w="458" w:type="pct"/>
                </w:tcPr>
                <w:p w:rsidR="00B734A5" w:rsidRPr="005E340A" w:rsidRDefault="00B734A5" w:rsidP="000920E3">
                  <w:pPr>
                    <w:pStyle w:val="TableBodyText"/>
                  </w:pPr>
                  <w:r w:rsidRPr="005E340A">
                    <w:t>0.4</w:t>
                  </w:r>
                </w:p>
              </w:tc>
              <w:tc>
                <w:tcPr>
                  <w:tcW w:w="458" w:type="pct"/>
                </w:tcPr>
                <w:p w:rsidR="00B734A5" w:rsidRPr="005E340A" w:rsidRDefault="00B734A5" w:rsidP="000920E3">
                  <w:pPr>
                    <w:pStyle w:val="TableBodyText"/>
                  </w:pPr>
                  <w:r w:rsidRPr="005E340A">
                    <w:t>..</w:t>
                  </w:r>
                </w:p>
              </w:tc>
              <w:tc>
                <w:tcPr>
                  <w:tcW w:w="458" w:type="pct"/>
                  <w:shd w:val="clear" w:color="auto" w:fill="auto"/>
                </w:tcPr>
                <w:p w:rsidR="00B734A5" w:rsidRPr="005E340A" w:rsidRDefault="00B734A5" w:rsidP="000920E3">
                  <w:pPr>
                    <w:pStyle w:val="TableBodyText"/>
                  </w:pPr>
                  <w:r w:rsidRPr="005E340A">
                    <w:t>43.7</w:t>
                  </w:r>
                </w:p>
              </w:tc>
              <w:tc>
                <w:tcPr>
                  <w:tcW w:w="413" w:type="pct"/>
                  <w:shd w:val="clear" w:color="auto" w:fill="auto"/>
                </w:tcPr>
                <w:p w:rsidR="00B734A5" w:rsidRPr="005E340A" w:rsidRDefault="00B734A5" w:rsidP="000920E3">
                  <w:pPr>
                    <w:pStyle w:val="TableBodyText"/>
                  </w:pPr>
                  <w:r w:rsidRPr="005E340A">
                    <w:t>1.0</w:t>
                  </w:r>
                </w:p>
              </w:tc>
            </w:tr>
            <w:tr w:rsidR="00B734A5" w:rsidTr="00B734A5">
              <w:tc>
                <w:tcPr>
                  <w:tcW w:w="805" w:type="pct"/>
                  <w:tcBorders>
                    <w:bottom w:val="single" w:sz="6" w:space="0" w:color="BFBFBF"/>
                  </w:tcBorders>
                  <w:shd w:val="clear" w:color="auto" w:fill="auto"/>
                </w:tcPr>
                <w:p w:rsidR="00B734A5" w:rsidRDefault="00B734A5" w:rsidP="00C40B3F">
                  <w:pPr>
                    <w:pStyle w:val="TableBodyText"/>
                    <w:jc w:val="left"/>
                  </w:pPr>
                  <w:r>
                    <w:t>Very remote</w:t>
                  </w:r>
                </w:p>
              </w:tc>
              <w:tc>
                <w:tcPr>
                  <w:tcW w:w="708" w:type="pct"/>
                  <w:tcBorders>
                    <w:bottom w:val="single" w:sz="6" w:space="0" w:color="BFBFBF"/>
                  </w:tcBorders>
                </w:tcPr>
                <w:p w:rsidR="00B734A5" w:rsidRPr="00B734A5" w:rsidRDefault="00B734A5" w:rsidP="000920E3">
                  <w:pPr>
                    <w:pStyle w:val="TableBodyText"/>
                  </w:pPr>
                  <w:r>
                    <w:t>_</w:t>
                  </w:r>
                </w:p>
              </w:tc>
              <w:tc>
                <w:tcPr>
                  <w:tcW w:w="424" w:type="pct"/>
                  <w:tcBorders>
                    <w:bottom w:val="single" w:sz="6" w:space="0" w:color="BFBFBF"/>
                  </w:tcBorders>
                </w:tcPr>
                <w:p w:rsidR="00B734A5" w:rsidRPr="00B734A5" w:rsidRDefault="00B734A5" w:rsidP="000920E3">
                  <w:pPr>
                    <w:pStyle w:val="TableBodyText"/>
                  </w:pPr>
                  <w:r w:rsidRPr="00B734A5">
                    <w:t>..</w:t>
                  </w:r>
                </w:p>
              </w:tc>
              <w:tc>
                <w:tcPr>
                  <w:tcW w:w="424" w:type="pct"/>
                  <w:tcBorders>
                    <w:bottom w:val="single" w:sz="6" w:space="0" w:color="BFBFBF"/>
                  </w:tcBorders>
                </w:tcPr>
                <w:p w:rsidR="00B734A5" w:rsidRPr="00B734A5" w:rsidRDefault="00B734A5" w:rsidP="000920E3">
                  <w:pPr>
                    <w:pStyle w:val="TableBodyText"/>
                  </w:pPr>
                  <w:r w:rsidRPr="00B734A5">
                    <w:t>3.3</w:t>
                  </w:r>
                </w:p>
              </w:tc>
              <w:tc>
                <w:tcPr>
                  <w:tcW w:w="425" w:type="pct"/>
                  <w:tcBorders>
                    <w:bottom w:val="single" w:sz="6" w:space="0" w:color="BFBFBF"/>
                  </w:tcBorders>
                </w:tcPr>
                <w:p w:rsidR="00B734A5" w:rsidRPr="00B734A5" w:rsidRDefault="00B734A5" w:rsidP="000920E3">
                  <w:pPr>
                    <w:pStyle w:val="TableBodyText"/>
                  </w:pPr>
                  <w:r w:rsidRPr="00B734A5">
                    <w:t>0.7</w:t>
                  </w:r>
                </w:p>
              </w:tc>
              <w:tc>
                <w:tcPr>
                  <w:tcW w:w="428" w:type="pct"/>
                  <w:tcBorders>
                    <w:bottom w:val="single" w:sz="6" w:space="0" w:color="BFBFBF"/>
                  </w:tcBorders>
                </w:tcPr>
                <w:p w:rsidR="00B734A5" w:rsidRPr="00B734A5" w:rsidRDefault="00B734A5" w:rsidP="000920E3">
                  <w:pPr>
                    <w:pStyle w:val="TableBodyText"/>
                  </w:pPr>
                  <w:r w:rsidRPr="00B734A5">
                    <w:t>0.1</w:t>
                  </w:r>
                </w:p>
              </w:tc>
              <w:tc>
                <w:tcPr>
                  <w:tcW w:w="458" w:type="pct"/>
                  <w:tcBorders>
                    <w:bottom w:val="single" w:sz="6" w:space="0" w:color="BFBFBF"/>
                  </w:tcBorders>
                </w:tcPr>
                <w:p w:rsidR="00B734A5" w:rsidRPr="00B734A5" w:rsidRDefault="00B734A5" w:rsidP="000920E3">
                  <w:pPr>
                    <w:pStyle w:val="TableBodyText"/>
                  </w:pPr>
                  <w:r w:rsidRPr="00B734A5">
                    <w:t>..</w:t>
                  </w:r>
                </w:p>
              </w:tc>
              <w:tc>
                <w:tcPr>
                  <w:tcW w:w="458" w:type="pct"/>
                  <w:tcBorders>
                    <w:bottom w:val="single" w:sz="6" w:space="0" w:color="BFBFBF"/>
                  </w:tcBorders>
                </w:tcPr>
                <w:p w:rsidR="00B734A5" w:rsidRPr="00B734A5" w:rsidRDefault="00B734A5" w:rsidP="000920E3">
                  <w:pPr>
                    <w:pStyle w:val="TableBodyText"/>
                  </w:pPr>
                  <w:r w:rsidRPr="00B734A5">
                    <w:t>..</w:t>
                  </w:r>
                </w:p>
              </w:tc>
              <w:tc>
                <w:tcPr>
                  <w:tcW w:w="458" w:type="pct"/>
                  <w:tcBorders>
                    <w:bottom w:val="single" w:sz="6" w:space="0" w:color="BFBFBF"/>
                  </w:tcBorders>
                  <w:shd w:val="clear" w:color="auto" w:fill="auto"/>
                </w:tcPr>
                <w:p w:rsidR="00B734A5" w:rsidRPr="00B734A5" w:rsidRDefault="00B734A5" w:rsidP="000920E3">
                  <w:pPr>
                    <w:pStyle w:val="TableBodyText"/>
                  </w:pPr>
                  <w:r w:rsidRPr="00B734A5">
                    <w:t>13.2</w:t>
                  </w:r>
                </w:p>
              </w:tc>
              <w:tc>
                <w:tcPr>
                  <w:tcW w:w="413" w:type="pct"/>
                  <w:tcBorders>
                    <w:bottom w:val="single" w:sz="6" w:space="0" w:color="BFBFBF"/>
                  </w:tcBorders>
                  <w:shd w:val="clear" w:color="auto" w:fill="auto"/>
                </w:tcPr>
                <w:p w:rsidR="00B734A5" w:rsidRPr="00B734A5" w:rsidRDefault="00B734A5" w:rsidP="000920E3">
                  <w:pPr>
                    <w:pStyle w:val="TableBodyText"/>
                  </w:pPr>
                  <w:r w:rsidRPr="00B734A5">
                    <w:t>0.7</w:t>
                  </w:r>
                </w:p>
              </w:tc>
            </w:tr>
            <w:tr w:rsidR="00DE5FF5" w:rsidTr="000920E3">
              <w:trPr>
                <w:trHeight w:val="271"/>
              </w:trPr>
              <w:tc>
                <w:tcPr>
                  <w:tcW w:w="805" w:type="pct"/>
                  <w:tcBorders>
                    <w:bottom w:val="single" w:sz="6" w:space="0" w:color="BFBFBF"/>
                  </w:tcBorders>
                  <w:shd w:val="clear" w:color="auto" w:fill="auto"/>
                </w:tcPr>
                <w:p w:rsidR="00DE5FF5" w:rsidRDefault="000920E3" w:rsidP="00C40B3F">
                  <w:pPr>
                    <w:pStyle w:val="TableBodyText"/>
                    <w:jc w:val="left"/>
                  </w:pPr>
                  <w:r>
                    <w:rPr>
                      <w:b/>
                    </w:rPr>
                    <w:t>Total</w:t>
                  </w:r>
                </w:p>
              </w:tc>
              <w:tc>
                <w:tcPr>
                  <w:tcW w:w="708" w:type="pct"/>
                  <w:tcBorders>
                    <w:bottom w:val="single" w:sz="6" w:space="0" w:color="BFBFBF"/>
                  </w:tcBorders>
                  <w:vAlign w:val="bottom"/>
                </w:tcPr>
                <w:p w:rsidR="00DE5FF5" w:rsidRPr="00DE5FF5" w:rsidRDefault="00DE5FF5" w:rsidP="000920E3">
                  <w:pPr>
                    <w:pStyle w:val="TableBodyText"/>
                    <w:rPr>
                      <w:b/>
                      <w:sz w:val="20"/>
                    </w:rPr>
                  </w:pPr>
                  <w:r w:rsidRPr="00DE5FF5">
                    <w:rPr>
                      <w:b/>
                      <w:sz w:val="20"/>
                    </w:rPr>
                    <w:t>100.0</w:t>
                  </w:r>
                </w:p>
              </w:tc>
              <w:tc>
                <w:tcPr>
                  <w:tcW w:w="424" w:type="pct"/>
                  <w:tcBorders>
                    <w:bottom w:val="single" w:sz="6" w:space="0" w:color="BFBFBF"/>
                  </w:tcBorders>
                  <w:vAlign w:val="bottom"/>
                </w:tcPr>
                <w:p w:rsidR="00DE5FF5" w:rsidRPr="00DE5FF5" w:rsidRDefault="00DE5FF5" w:rsidP="000920E3">
                  <w:pPr>
                    <w:pStyle w:val="TableBodyText"/>
                    <w:rPr>
                      <w:b/>
                      <w:sz w:val="20"/>
                    </w:rPr>
                  </w:pPr>
                  <w:r w:rsidRPr="00DE5FF5">
                    <w:rPr>
                      <w:b/>
                      <w:sz w:val="20"/>
                    </w:rPr>
                    <w:t>100.0</w:t>
                  </w:r>
                </w:p>
              </w:tc>
              <w:tc>
                <w:tcPr>
                  <w:tcW w:w="424" w:type="pct"/>
                  <w:tcBorders>
                    <w:bottom w:val="single" w:sz="6" w:space="0" w:color="BFBFBF"/>
                  </w:tcBorders>
                  <w:vAlign w:val="bottom"/>
                </w:tcPr>
                <w:p w:rsidR="00DE5FF5" w:rsidRPr="00DE5FF5" w:rsidRDefault="00DE5FF5" w:rsidP="000920E3">
                  <w:pPr>
                    <w:pStyle w:val="TableBodyText"/>
                    <w:rPr>
                      <w:b/>
                      <w:sz w:val="20"/>
                    </w:rPr>
                  </w:pPr>
                  <w:r w:rsidRPr="00DE5FF5">
                    <w:rPr>
                      <w:b/>
                      <w:sz w:val="20"/>
                    </w:rPr>
                    <w:t>100.0</w:t>
                  </w:r>
                </w:p>
              </w:tc>
              <w:tc>
                <w:tcPr>
                  <w:tcW w:w="425" w:type="pct"/>
                  <w:tcBorders>
                    <w:bottom w:val="single" w:sz="6" w:space="0" w:color="BFBFBF"/>
                  </w:tcBorders>
                  <w:vAlign w:val="bottom"/>
                </w:tcPr>
                <w:p w:rsidR="00DE5FF5" w:rsidRPr="00DE5FF5" w:rsidRDefault="00DE5FF5" w:rsidP="000920E3">
                  <w:pPr>
                    <w:pStyle w:val="TableBodyText"/>
                    <w:rPr>
                      <w:b/>
                      <w:sz w:val="20"/>
                    </w:rPr>
                  </w:pPr>
                  <w:r w:rsidRPr="00DE5FF5">
                    <w:rPr>
                      <w:b/>
                      <w:sz w:val="20"/>
                    </w:rPr>
                    <w:t>100.0</w:t>
                  </w:r>
                </w:p>
              </w:tc>
              <w:tc>
                <w:tcPr>
                  <w:tcW w:w="428" w:type="pct"/>
                  <w:tcBorders>
                    <w:bottom w:val="single" w:sz="6" w:space="0" w:color="BFBFBF"/>
                  </w:tcBorders>
                  <w:vAlign w:val="bottom"/>
                </w:tcPr>
                <w:p w:rsidR="00DE5FF5" w:rsidRPr="00DE5FF5" w:rsidRDefault="00DE5FF5" w:rsidP="000920E3">
                  <w:pPr>
                    <w:pStyle w:val="TableBodyText"/>
                    <w:rPr>
                      <w:b/>
                      <w:sz w:val="20"/>
                    </w:rPr>
                  </w:pPr>
                  <w:r w:rsidRPr="00DE5FF5">
                    <w:rPr>
                      <w:b/>
                      <w:sz w:val="20"/>
                    </w:rPr>
                    <w:t>100.0</w:t>
                  </w:r>
                </w:p>
              </w:tc>
              <w:tc>
                <w:tcPr>
                  <w:tcW w:w="458" w:type="pct"/>
                  <w:tcBorders>
                    <w:bottom w:val="single" w:sz="6" w:space="0" w:color="BFBFBF"/>
                  </w:tcBorders>
                  <w:vAlign w:val="bottom"/>
                </w:tcPr>
                <w:p w:rsidR="00DE5FF5" w:rsidRPr="00DE5FF5" w:rsidRDefault="00DE5FF5" w:rsidP="000920E3">
                  <w:pPr>
                    <w:pStyle w:val="TableBodyText"/>
                    <w:rPr>
                      <w:b/>
                      <w:sz w:val="20"/>
                    </w:rPr>
                  </w:pPr>
                  <w:r w:rsidRPr="00DE5FF5">
                    <w:rPr>
                      <w:b/>
                      <w:sz w:val="20"/>
                    </w:rPr>
                    <w:t>100.0</w:t>
                  </w:r>
                </w:p>
              </w:tc>
              <w:tc>
                <w:tcPr>
                  <w:tcW w:w="458" w:type="pct"/>
                  <w:tcBorders>
                    <w:bottom w:val="single" w:sz="6" w:space="0" w:color="BFBFBF"/>
                  </w:tcBorders>
                  <w:vAlign w:val="bottom"/>
                </w:tcPr>
                <w:p w:rsidR="00DE5FF5" w:rsidRPr="00DE5FF5" w:rsidRDefault="00DE5FF5" w:rsidP="000920E3">
                  <w:pPr>
                    <w:pStyle w:val="TableBodyText"/>
                    <w:rPr>
                      <w:b/>
                      <w:sz w:val="20"/>
                    </w:rPr>
                  </w:pPr>
                  <w:r w:rsidRPr="00DE5FF5">
                    <w:rPr>
                      <w:b/>
                      <w:sz w:val="20"/>
                    </w:rPr>
                    <w:t xml:space="preserve"> 100.0</w:t>
                  </w:r>
                </w:p>
              </w:tc>
              <w:tc>
                <w:tcPr>
                  <w:tcW w:w="458" w:type="pct"/>
                  <w:tcBorders>
                    <w:bottom w:val="single" w:sz="6" w:space="0" w:color="BFBFBF"/>
                  </w:tcBorders>
                  <w:shd w:val="clear" w:color="auto" w:fill="auto"/>
                  <w:vAlign w:val="bottom"/>
                </w:tcPr>
                <w:p w:rsidR="00DE5FF5" w:rsidRPr="00DE5FF5" w:rsidRDefault="00DE5FF5" w:rsidP="000920E3">
                  <w:pPr>
                    <w:pStyle w:val="TableBodyText"/>
                    <w:rPr>
                      <w:b/>
                      <w:sz w:val="20"/>
                    </w:rPr>
                  </w:pPr>
                  <w:r w:rsidRPr="00DE5FF5">
                    <w:rPr>
                      <w:b/>
                      <w:sz w:val="20"/>
                    </w:rPr>
                    <w:t>100.0</w:t>
                  </w:r>
                </w:p>
              </w:tc>
              <w:tc>
                <w:tcPr>
                  <w:tcW w:w="413" w:type="pct"/>
                  <w:tcBorders>
                    <w:bottom w:val="single" w:sz="6" w:space="0" w:color="BFBFBF"/>
                  </w:tcBorders>
                  <w:shd w:val="clear" w:color="auto" w:fill="auto"/>
                  <w:vAlign w:val="bottom"/>
                </w:tcPr>
                <w:p w:rsidR="00DE5FF5" w:rsidRPr="00DE5FF5" w:rsidRDefault="00DE5FF5" w:rsidP="000920E3">
                  <w:pPr>
                    <w:pStyle w:val="TableBodyText"/>
                    <w:rPr>
                      <w:b/>
                      <w:sz w:val="20"/>
                    </w:rPr>
                  </w:pPr>
                  <w:r w:rsidRPr="00DE5FF5">
                    <w:rPr>
                      <w:b/>
                      <w:sz w:val="20"/>
                    </w:rPr>
                    <w:t>100.0</w:t>
                  </w:r>
                </w:p>
              </w:tc>
            </w:tr>
          </w:tbl>
          <w:p w:rsidR="00E5071D" w:rsidRDefault="00E5071D" w:rsidP="00C40B3F">
            <w:pPr>
              <w:pStyle w:val="Box"/>
            </w:pPr>
          </w:p>
        </w:tc>
      </w:tr>
      <w:tr w:rsidR="00E5071D" w:rsidTr="00B6576C">
        <w:trPr>
          <w:cantSplit/>
        </w:trPr>
        <w:tc>
          <w:tcPr>
            <w:tcW w:w="8771" w:type="dxa"/>
            <w:tcBorders>
              <w:top w:val="nil"/>
              <w:left w:val="nil"/>
              <w:bottom w:val="nil"/>
              <w:right w:val="nil"/>
            </w:tcBorders>
            <w:shd w:val="clear" w:color="auto" w:fill="FFFFFF" w:themeFill="background1"/>
          </w:tcPr>
          <w:p w:rsidR="00E5071D" w:rsidRDefault="00E5071D" w:rsidP="00F30D29">
            <w:pPr>
              <w:pStyle w:val="TableBodyText"/>
              <w:keepNext w:val="0"/>
              <w:spacing w:before="80" w:after="0" w:line="220" w:lineRule="exact"/>
              <w:ind w:left="0" w:right="0"/>
              <w:jc w:val="both"/>
              <w:rPr>
                <w:i/>
              </w:rPr>
            </w:pPr>
            <w:r w:rsidRPr="008E77FE">
              <w:rPr>
                <w:rStyle w:val="NoteLabel"/>
              </w:rPr>
              <w:t>a</w:t>
            </w:r>
            <w:r>
              <w:t xml:space="preserve"> </w:t>
            </w:r>
            <w:r w:rsidR="00EC5DB3" w:rsidRPr="00EC5DB3">
              <w:t>See tables</w:t>
            </w:r>
            <w:r w:rsidR="007D1214">
              <w:t> </w:t>
            </w:r>
            <w:proofErr w:type="spellStart"/>
            <w:r w:rsidR="00EC5DB3" w:rsidRPr="00EC5DB3">
              <w:t>17A.</w:t>
            </w:r>
            <w:r w:rsidR="00EC5DB3">
              <w:t>5</w:t>
            </w:r>
            <w:proofErr w:type="spellEnd"/>
            <w:r w:rsidR="00EC5DB3" w:rsidRPr="00EC5DB3">
              <w:t>–</w:t>
            </w:r>
            <w:r w:rsidR="00EC5DB3">
              <w:t>7</w:t>
            </w:r>
            <w:r w:rsidR="00EC5DB3" w:rsidRPr="00EC5DB3">
              <w:t xml:space="preserve"> for detailed definitions, footnotes and caveats</w:t>
            </w:r>
            <w:r>
              <w:t>.</w:t>
            </w:r>
            <w:r w:rsidR="00F30D29">
              <w:t xml:space="preserve"> </w:t>
            </w:r>
            <w:r w:rsidR="00F30D29">
              <w:rPr>
                <w:rStyle w:val="NoteLabel"/>
              </w:rPr>
              <w:t>b</w:t>
            </w:r>
            <w:r w:rsidR="00F30D29">
              <w:t xml:space="preserve"> Due to rounding, the totals many not equal to the sum of the components. </w:t>
            </w:r>
            <w:r w:rsidR="00F30D29" w:rsidRPr="00B2770B">
              <w:rPr>
                <w:b/>
              </w:rPr>
              <w:t>na</w:t>
            </w:r>
            <w:r w:rsidR="00F30D29">
              <w:t xml:space="preserve"> Not available. .. Not applicable. – Nil or rounded to zero.</w:t>
            </w:r>
          </w:p>
        </w:tc>
      </w:tr>
      <w:tr w:rsidR="00E5071D" w:rsidTr="00B6576C">
        <w:trPr>
          <w:cantSplit/>
        </w:trPr>
        <w:tc>
          <w:tcPr>
            <w:tcW w:w="8771" w:type="dxa"/>
            <w:tcBorders>
              <w:top w:val="nil"/>
              <w:left w:val="nil"/>
              <w:bottom w:val="nil"/>
              <w:right w:val="nil"/>
            </w:tcBorders>
            <w:shd w:val="clear" w:color="auto" w:fill="FFFFFF" w:themeFill="background1"/>
          </w:tcPr>
          <w:p w:rsidR="00E5071D" w:rsidRDefault="00E5071D" w:rsidP="00EC5DB3">
            <w:pPr>
              <w:pStyle w:val="Source"/>
            </w:pPr>
            <w:r>
              <w:rPr>
                <w:i/>
              </w:rPr>
              <w:t>Source</w:t>
            </w:r>
            <w:r w:rsidRPr="00167F06">
              <w:t xml:space="preserve">: </w:t>
            </w:r>
            <w:r w:rsidR="00EC5DB3">
              <w:t>AIHW (unpublished) National Housing Assistance Data Repository; tables</w:t>
            </w:r>
            <w:r w:rsidR="007D1214">
              <w:t> </w:t>
            </w:r>
            <w:proofErr w:type="spellStart"/>
            <w:r w:rsidR="00EC5DB3">
              <w:t>17A.5</w:t>
            </w:r>
            <w:proofErr w:type="spellEnd"/>
            <w:r w:rsidR="00EC5DB3" w:rsidRPr="00EC5DB3">
              <w:t>–</w:t>
            </w:r>
            <w:r w:rsidR="00EC5DB3">
              <w:t>7</w:t>
            </w:r>
            <w:r>
              <w:t>.</w:t>
            </w:r>
          </w:p>
        </w:tc>
      </w:tr>
      <w:tr w:rsidR="00E5071D" w:rsidTr="00B6576C">
        <w:trPr>
          <w:cantSplit/>
        </w:trPr>
        <w:tc>
          <w:tcPr>
            <w:tcW w:w="8771" w:type="dxa"/>
            <w:tcBorders>
              <w:top w:val="nil"/>
              <w:left w:val="nil"/>
              <w:bottom w:val="single" w:sz="6" w:space="0" w:color="78A22F"/>
              <w:right w:val="nil"/>
            </w:tcBorders>
            <w:shd w:val="clear" w:color="auto" w:fill="FFFFFF" w:themeFill="background1"/>
          </w:tcPr>
          <w:p w:rsidR="00E5071D" w:rsidRDefault="00E5071D" w:rsidP="00C40B3F">
            <w:pPr>
              <w:pStyle w:val="Box"/>
              <w:spacing w:before="0" w:line="120" w:lineRule="exact"/>
            </w:pPr>
          </w:p>
        </w:tc>
      </w:tr>
      <w:tr w:rsidR="00E5071D" w:rsidRPr="000863A5" w:rsidTr="00B6576C">
        <w:tc>
          <w:tcPr>
            <w:tcW w:w="8771" w:type="dxa"/>
            <w:tcBorders>
              <w:top w:val="single" w:sz="6" w:space="0" w:color="78A22F"/>
              <w:left w:val="nil"/>
              <w:bottom w:val="nil"/>
              <w:right w:val="nil"/>
            </w:tcBorders>
            <w:shd w:val="clear" w:color="auto" w:fill="FFFFFF" w:themeFill="background1"/>
          </w:tcPr>
          <w:p w:rsidR="00E5071D" w:rsidRPr="00626D32" w:rsidRDefault="00E5071D" w:rsidP="00C40B3F">
            <w:pPr>
              <w:pStyle w:val="BoxSpaceBelow"/>
            </w:pPr>
          </w:p>
        </w:tc>
      </w:tr>
    </w:tbl>
    <w:p w:rsidR="006F3B3B" w:rsidRDefault="006F3B3B" w:rsidP="004052A1">
      <w:pPr>
        <w:pStyle w:val="Heading4"/>
        <w:spacing w:before="360"/>
      </w:pPr>
      <w:r>
        <w:t>Eligibility criteria</w:t>
      </w:r>
      <w:r w:rsidR="00DB20B7">
        <w:t xml:space="preserve"> for access to social housing</w:t>
      </w:r>
    </w:p>
    <w:p w:rsidR="0045744F" w:rsidRDefault="008359DF" w:rsidP="009463C2">
      <w:pPr>
        <w:pStyle w:val="BodyText"/>
      </w:pPr>
      <w:r w:rsidRPr="00521B5D">
        <w:t xml:space="preserve">Eligibility criteria for access to </w:t>
      </w:r>
      <w:r w:rsidR="00C94783">
        <w:t xml:space="preserve">social housing </w:t>
      </w:r>
      <w:r w:rsidR="00FB23AC">
        <w:t>varies</w:t>
      </w:r>
      <w:r w:rsidR="00C94783">
        <w:t xml:space="preserve"> </w:t>
      </w:r>
      <w:r w:rsidR="00515293">
        <w:t>across</w:t>
      </w:r>
      <w:r w:rsidR="00115080">
        <w:t xml:space="preserve"> the </w:t>
      </w:r>
      <w:r w:rsidR="00C94783">
        <w:t>forms of social ho</w:t>
      </w:r>
      <w:r w:rsidR="0045744F">
        <w:t>using and across jurisdictions</w:t>
      </w:r>
      <w:r w:rsidR="00705789">
        <w:t>.</w:t>
      </w:r>
    </w:p>
    <w:p w:rsidR="0045744F" w:rsidRDefault="0045744F" w:rsidP="0045744F">
      <w:pPr>
        <w:pStyle w:val="ListBullet"/>
      </w:pPr>
      <w:r>
        <w:t>P</w:t>
      </w:r>
      <w:r w:rsidR="002C2675">
        <w:t>ublic housing</w:t>
      </w:r>
      <w:r>
        <w:t xml:space="preserve"> —</w:t>
      </w:r>
      <w:r w:rsidR="002C2675">
        <w:t xml:space="preserve"> </w:t>
      </w:r>
      <w:r w:rsidR="000A2123">
        <w:t xml:space="preserve">in most cases, </w:t>
      </w:r>
      <w:r w:rsidR="008359DF" w:rsidRPr="00521B5D">
        <w:t xml:space="preserve">jurisdictions require that applicants </w:t>
      </w:r>
      <w:r w:rsidR="00E101C4">
        <w:t>are</w:t>
      </w:r>
      <w:r w:rsidR="00E101C4" w:rsidRPr="00521B5D">
        <w:t xml:space="preserve"> </w:t>
      </w:r>
      <w:r w:rsidR="008359DF" w:rsidRPr="00521B5D">
        <w:t xml:space="preserve">Australian citizens or permanent residents and </w:t>
      </w:r>
      <w:r w:rsidR="00E101C4">
        <w:t xml:space="preserve">do </w:t>
      </w:r>
      <w:r w:rsidR="008359DF" w:rsidRPr="00521B5D">
        <w:t>not own or part</w:t>
      </w:r>
      <w:r w:rsidR="000E4AD6">
        <w:t>ially</w:t>
      </w:r>
      <w:r w:rsidR="008359DF" w:rsidRPr="00521B5D">
        <w:t xml:space="preserve"> own residential property. All jurisdictions</w:t>
      </w:r>
      <w:r w:rsidR="00475BAB">
        <w:t xml:space="preserve">, except Victoria, </w:t>
      </w:r>
      <w:r w:rsidR="008359DF" w:rsidRPr="00521B5D">
        <w:t xml:space="preserve">require eligible applicants to </w:t>
      </w:r>
      <w:r w:rsidR="00211820">
        <w:t>reside</w:t>
      </w:r>
      <w:r w:rsidR="008359DF" w:rsidRPr="00521B5D">
        <w:t xml:space="preserve"> in the respective State or Territory. </w:t>
      </w:r>
      <w:r w:rsidR="006F3B3B" w:rsidRPr="00521B5D">
        <w:t>Most jurisdictions provide security of tenure after an initial probationary period</w:t>
      </w:r>
      <w:r w:rsidR="00856264">
        <w:t xml:space="preserve"> and m</w:t>
      </w:r>
      <w:r w:rsidR="006F3B3B" w:rsidRPr="00521B5D">
        <w:t>ost jurisdictions have periodic reviews of eligibility</w:t>
      </w:r>
      <w:r>
        <w:t xml:space="preserve"> </w:t>
      </w:r>
      <w:r w:rsidRPr="00521B5D">
        <w:t>(table </w:t>
      </w:r>
      <w:proofErr w:type="spellStart"/>
      <w:r>
        <w:t>17A</w:t>
      </w:r>
      <w:r w:rsidRPr="00521B5D">
        <w:t>.</w:t>
      </w:r>
      <w:r w:rsidR="00F40EAE">
        <w:t>62</w:t>
      </w:r>
      <w:proofErr w:type="spellEnd"/>
      <w:r w:rsidRPr="00521B5D">
        <w:t>)</w:t>
      </w:r>
      <w:r w:rsidR="00CF5118">
        <w:t>.</w:t>
      </w:r>
      <w:r>
        <w:t xml:space="preserve"> </w:t>
      </w:r>
    </w:p>
    <w:p w:rsidR="0045744F" w:rsidRDefault="006F3B3B" w:rsidP="0045744F">
      <w:pPr>
        <w:pStyle w:val="ListBullet"/>
      </w:pPr>
      <w:r w:rsidRPr="00521B5D">
        <w:t xml:space="preserve">SOMIH </w:t>
      </w:r>
      <w:r w:rsidR="0045744F">
        <w:t>—</w:t>
      </w:r>
      <w:r w:rsidR="00705789">
        <w:t xml:space="preserve"> </w:t>
      </w:r>
      <w:r w:rsidRPr="00521B5D">
        <w:t>are generally consistent with those for public housing</w:t>
      </w:r>
      <w:r w:rsidR="002F1054">
        <w:t xml:space="preserve"> </w:t>
      </w:r>
      <w:r w:rsidRPr="00521B5D">
        <w:t xml:space="preserve">once an applicant has been confirmed as </w:t>
      </w:r>
      <w:r w:rsidR="00E82838">
        <w:t>Aboriginal and Torres Strait Islander.</w:t>
      </w:r>
      <w:r>
        <w:t xml:space="preserve"> </w:t>
      </w:r>
      <w:r w:rsidRPr="00521B5D">
        <w:t xml:space="preserve">Terms of tenure </w:t>
      </w:r>
      <w:r w:rsidR="00EC0731">
        <w:t xml:space="preserve">for SOMIH </w:t>
      </w:r>
      <w:r w:rsidRPr="00521B5D">
        <w:t>are the same as</w:t>
      </w:r>
      <w:r w:rsidR="005C4ACA">
        <w:t xml:space="preserve"> those for public housing </w:t>
      </w:r>
      <w:r w:rsidR="007509CB">
        <w:t xml:space="preserve">in </w:t>
      </w:r>
      <w:r w:rsidR="00F23BDB">
        <w:t xml:space="preserve">most </w:t>
      </w:r>
      <w:r w:rsidRPr="00521B5D">
        <w:t>jurisdictions</w:t>
      </w:r>
      <w:r w:rsidR="00F40EAE">
        <w:t xml:space="preserve"> (table</w:t>
      </w:r>
      <w:r w:rsidR="007D1214">
        <w:t> </w:t>
      </w:r>
      <w:proofErr w:type="spellStart"/>
      <w:r w:rsidR="00F40EAE">
        <w:t>17A.63</w:t>
      </w:r>
      <w:proofErr w:type="spellEnd"/>
      <w:r w:rsidR="0045744F">
        <w:t>)</w:t>
      </w:r>
      <w:r w:rsidRPr="00F23BDB">
        <w:t>.</w:t>
      </w:r>
      <w:r w:rsidR="0045744F">
        <w:t xml:space="preserve"> </w:t>
      </w:r>
    </w:p>
    <w:p w:rsidR="006F3B3B" w:rsidRDefault="0045744F" w:rsidP="0045744F">
      <w:pPr>
        <w:pStyle w:val="ListBullet"/>
      </w:pPr>
      <w:r>
        <w:lastRenderedPageBreak/>
        <w:t>Community housing —</w:t>
      </w:r>
      <w:r w:rsidR="007D1214">
        <w:t xml:space="preserve"> </w:t>
      </w:r>
      <w:r w:rsidR="006F3B3B">
        <w:t>generally consistent with those for public housing in each jurisdictio</w:t>
      </w:r>
      <w:r w:rsidR="00856264">
        <w:t>n</w:t>
      </w:r>
      <w:r>
        <w:t xml:space="preserve"> </w:t>
      </w:r>
      <w:r w:rsidRPr="00F40EAE">
        <w:t>(table</w:t>
      </w:r>
      <w:r w:rsidR="007D1214">
        <w:t> </w:t>
      </w:r>
      <w:r w:rsidRPr="00F40EAE">
        <w:t>17A</w:t>
      </w:r>
      <w:r w:rsidR="00856264" w:rsidRPr="00F40EAE">
        <w:t>.</w:t>
      </w:r>
      <w:r w:rsidR="00F40EAE" w:rsidRPr="00F40EAE">
        <w:t>64</w:t>
      </w:r>
      <w:r w:rsidRPr="00F40EAE">
        <w:t>).</w:t>
      </w:r>
    </w:p>
    <w:p w:rsidR="006F3B3B" w:rsidRDefault="006F3B3B" w:rsidP="0023172E">
      <w:pPr>
        <w:pStyle w:val="Heading4"/>
        <w:spacing w:before="440"/>
      </w:pPr>
      <w:r>
        <w:t>Waiting lists</w:t>
      </w:r>
    </w:p>
    <w:p w:rsidR="004052A1" w:rsidRDefault="00856264" w:rsidP="00982CC2">
      <w:pPr>
        <w:pStyle w:val="BodyText"/>
      </w:pPr>
      <w:r w:rsidRPr="00521B5D">
        <w:t xml:space="preserve">All State and Territory governments prioritise access to </w:t>
      </w:r>
      <w:r>
        <w:t>social</w:t>
      </w:r>
      <w:r w:rsidRPr="00521B5D">
        <w:t xml:space="preserve"> housing by segmenting their waiting lists in some way</w:t>
      </w:r>
      <w:r w:rsidR="00EC0731">
        <w:t xml:space="preserve">. </w:t>
      </w:r>
      <w:r w:rsidRPr="00521B5D">
        <w:t>Segments are defined differently across jurisdictions, but generally reflect urgent need</w:t>
      </w:r>
      <w:r w:rsidR="0015152C">
        <w:t xml:space="preserve"> </w:t>
      </w:r>
      <w:r w:rsidR="00D93EC4">
        <w:t>to a</w:t>
      </w:r>
      <w:r w:rsidR="006C399C">
        <w:t xml:space="preserve">ddress </w:t>
      </w:r>
      <w:r w:rsidRPr="00521B5D">
        <w:t xml:space="preserve">homelessness and an inability to access appropriate private market accommodation. </w:t>
      </w:r>
    </w:p>
    <w:p w:rsidR="00982CC2" w:rsidRPr="00982CC2" w:rsidRDefault="00856264" w:rsidP="00982CC2">
      <w:pPr>
        <w:pStyle w:val="BodyText"/>
      </w:pPr>
      <w:r w:rsidRPr="00982CC2">
        <w:t xml:space="preserve">NSW, Queensland, </w:t>
      </w:r>
      <w:r w:rsidRPr="005E340A">
        <w:t>WA</w:t>
      </w:r>
      <w:r w:rsidR="00931FD5" w:rsidRPr="005E340A">
        <w:t>,</w:t>
      </w:r>
      <w:r w:rsidRPr="005E340A">
        <w:t xml:space="preserve"> </w:t>
      </w:r>
      <w:r w:rsidR="00E45392" w:rsidRPr="005E340A">
        <w:t xml:space="preserve">Tasmania, </w:t>
      </w:r>
      <w:r w:rsidR="00BD552F" w:rsidRPr="005E340A">
        <w:t xml:space="preserve">the </w:t>
      </w:r>
      <w:r w:rsidRPr="005E340A">
        <w:t xml:space="preserve">ACT </w:t>
      </w:r>
      <w:r w:rsidR="00931FD5" w:rsidRPr="005E340A">
        <w:t xml:space="preserve">and </w:t>
      </w:r>
      <w:r w:rsidR="00C5788D" w:rsidRPr="005E340A">
        <w:t xml:space="preserve">the </w:t>
      </w:r>
      <w:r w:rsidR="00931FD5" w:rsidRPr="005E340A">
        <w:t xml:space="preserve">NT </w:t>
      </w:r>
      <w:r w:rsidRPr="005E340A">
        <w:t>have adopted a</w:t>
      </w:r>
      <w:r w:rsidR="00726FA9" w:rsidRPr="005E340A">
        <w:t xml:space="preserve">n integrated </w:t>
      </w:r>
      <w:r w:rsidRPr="005E340A">
        <w:t>social housing waiting list</w:t>
      </w:r>
      <w:r w:rsidR="00F52417" w:rsidRPr="005E340A">
        <w:t xml:space="preserve"> and do not segment by</w:t>
      </w:r>
      <w:r w:rsidR="00F52417" w:rsidRPr="00982CC2">
        <w:t xml:space="preserve"> </w:t>
      </w:r>
      <w:r w:rsidR="00FF7FA6" w:rsidRPr="00982CC2">
        <w:t xml:space="preserve">public housing, </w:t>
      </w:r>
      <w:r w:rsidRPr="00982CC2">
        <w:t>SOMIH</w:t>
      </w:r>
      <w:r w:rsidR="00FF7FA6" w:rsidRPr="00982CC2">
        <w:t xml:space="preserve"> and community housing</w:t>
      </w:r>
      <w:r w:rsidRPr="00982CC2">
        <w:t xml:space="preserve">. </w:t>
      </w:r>
      <w:r w:rsidR="00726FA9" w:rsidRPr="00982CC2">
        <w:t>Progress towards adopting an integrated</w:t>
      </w:r>
      <w:r w:rsidR="00F52417" w:rsidRPr="00982CC2">
        <w:t xml:space="preserve"> waiting list varies for the </w:t>
      </w:r>
      <w:r w:rsidRPr="00982CC2">
        <w:t>remaining jurisdictions.</w:t>
      </w:r>
      <w:r w:rsidR="00751BC3">
        <w:t xml:space="preserve"> </w:t>
      </w:r>
      <w:r w:rsidR="0045744F">
        <w:t>W</w:t>
      </w:r>
      <w:r w:rsidR="00982CC2" w:rsidRPr="00982CC2">
        <w:t>aiting list data are reported separately for public housing, SOMIH and community housing</w:t>
      </w:r>
      <w:r w:rsidR="00294A0B">
        <w:t>.</w:t>
      </w:r>
      <w:r w:rsidR="00E45392">
        <w:t xml:space="preserve"> Further information on waiting lists are in tables</w:t>
      </w:r>
      <w:r w:rsidR="007D1214">
        <w:t> </w:t>
      </w:r>
      <w:proofErr w:type="spellStart"/>
      <w:r w:rsidR="00E45392">
        <w:t>17A.62</w:t>
      </w:r>
      <w:proofErr w:type="spellEnd"/>
      <w:r w:rsidR="00F306D1">
        <w:t>–</w:t>
      </w:r>
      <w:r w:rsidR="00E45392">
        <w:t>64.</w:t>
      </w:r>
    </w:p>
    <w:p w:rsidR="002E5C55" w:rsidRDefault="00395037" w:rsidP="00987469">
      <w:pPr>
        <w:pStyle w:val="Heading2"/>
        <w:numPr>
          <w:ilvl w:val="1"/>
          <w:numId w:val="19"/>
        </w:numPr>
        <w:ind w:left="0" w:firstLine="0"/>
      </w:pPr>
      <w:bookmarkStart w:id="12" w:name="_Toc314211348"/>
      <w:r>
        <w:t xml:space="preserve"> </w:t>
      </w:r>
      <w:r w:rsidR="009E0B6F">
        <w:tab/>
      </w:r>
      <w:bookmarkStart w:id="13" w:name="_Toc396143031"/>
      <w:bookmarkStart w:id="14" w:name="_Toc435724831"/>
      <w:r w:rsidR="002E5C55" w:rsidRPr="002E5C55">
        <w:t>Framework of performance indicators</w:t>
      </w:r>
      <w:bookmarkEnd w:id="12"/>
      <w:bookmarkEnd w:id="13"/>
      <w:bookmarkEnd w:id="14"/>
    </w:p>
    <w:p w:rsidR="001363B3" w:rsidRPr="00BD4666" w:rsidRDefault="00BF734F" w:rsidP="00BD4666">
      <w:pPr>
        <w:pStyle w:val="BodyText"/>
      </w:pPr>
      <w:r w:rsidRPr="00BD4666">
        <w:t xml:space="preserve">The </w:t>
      </w:r>
      <w:r w:rsidR="00EC5DB3">
        <w:t xml:space="preserve">framework of </w:t>
      </w:r>
      <w:r w:rsidRPr="00BD4666">
        <w:t>performance indicator</w:t>
      </w:r>
      <w:r w:rsidR="00EC5DB3">
        <w:t>s reflects</w:t>
      </w:r>
      <w:r w:rsidR="007C084E">
        <w:t xml:space="preserve"> the objective</w:t>
      </w:r>
      <w:r w:rsidRPr="00BD4666">
        <w:t xml:space="preserve"> of social housing</w:t>
      </w:r>
      <w:r w:rsidR="00274E55">
        <w:t xml:space="preserve"> delivered under the NAHA</w:t>
      </w:r>
      <w:r w:rsidR="004679A4">
        <w:t xml:space="preserve"> (box</w:t>
      </w:r>
      <w:r w:rsidR="007D1214">
        <w:t> </w:t>
      </w:r>
      <w:r w:rsidR="004679A4">
        <w:t>17.5</w:t>
      </w:r>
      <w:r w:rsidR="0045744F">
        <w:t xml:space="preserve">). </w:t>
      </w:r>
      <w:r w:rsidR="00F73FEE" w:rsidRPr="00BD4666">
        <w:t>Performance indicators reported in this chapter are aligned with housing performance indicators in the most recent version of the NAHA</w:t>
      </w:r>
      <w:r w:rsidR="00F73FEE">
        <w:t xml:space="preserve">, </w:t>
      </w:r>
      <w:r w:rsidR="00F73FEE" w:rsidRPr="00BD4666">
        <w:t>where relevant.</w:t>
      </w:r>
    </w:p>
    <w:p w:rsidR="00E00B00" w:rsidRDefault="00E00B00" w:rsidP="0023172E">
      <w:pPr>
        <w:pStyle w:val="BoxSpaceAbove"/>
        <w:spacing w:before="240"/>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E00B00" w:rsidTr="00263ABD">
        <w:tc>
          <w:tcPr>
            <w:tcW w:w="5000" w:type="pct"/>
            <w:tcBorders>
              <w:top w:val="single" w:sz="6" w:space="0" w:color="78A22F"/>
              <w:left w:val="nil"/>
              <w:bottom w:val="nil"/>
              <w:right w:val="nil"/>
            </w:tcBorders>
            <w:shd w:val="clear" w:color="auto" w:fill="F2F2F2" w:themeFill="background1" w:themeFillShade="F2"/>
          </w:tcPr>
          <w:p w:rsidR="00E00B00" w:rsidRDefault="001363B3" w:rsidP="00E00B00">
            <w:pPr>
              <w:pStyle w:val="BoxTitle"/>
            </w:pPr>
            <w:r>
              <w:rPr>
                <w:b w:val="0"/>
              </w:rPr>
              <w:t>Box 17.</w:t>
            </w:r>
            <w:r w:rsidR="00EF0AA4">
              <w:rPr>
                <w:b w:val="0"/>
                <w:noProof/>
              </w:rPr>
              <w:t>5</w:t>
            </w:r>
            <w:r w:rsidR="00E00B00">
              <w:tab/>
            </w:r>
            <w:r w:rsidR="00CD7D8C">
              <w:t xml:space="preserve">Objectives for </w:t>
            </w:r>
            <w:r w:rsidR="00E00B00" w:rsidRPr="00E00B00">
              <w:t>social housing</w:t>
            </w:r>
          </w:p>
        </w:tc>
      </w:tr>
      <w:tr w:rsidR="00E00B00" w:rsidTr="00263ABD">
        <w:trPr>
          <w:cantSplit/>
        </w:trPr>
        <w:tc>
          <w:tcPr>
            <w:tcW w:w="5000" w:type="pct"/>
            <w:tcBorders>
              <w:top w:val="nil"/>
              <w:left w:val="nil"/>
              <w:bottom w:val="nil"/>
              <w:right w:val="nil"/>
            </w:tcBorders>
            <w:shd w:val="clear" w:color="auto" w:fill="F2F2F2" w:themeFill="background1" w:themeFillShade="F2"/>
          </w:tcPr>
          <w:p w:rsidR="00E00B00" w:rsidRDefault="00E00B00" w:rsidP="00E00B00">
            <w:pPr>
              <w:pStyle w:val="Box"/>
            </w:pPr>
            <w:r w:rsidRPr="00E00B00">
              <w:t>Social housing aims to assist people unable to access alternative suitable housing options through the delivery of affordable, appropriate, flexible and diverse social housing. Some forms of social housing aim specifically to contribute to Aboriginal and Torres Strait Islander community wellbeing by improving housing outcomes</w:t>
            </w:r>
            <w:r w:rsidR="000D5AD9">
              <w:t xml:space="preserve">, especially for people living in </w:t>
            </w:r>
            <w:r w:rsidRPr="00E00B00">
              <w:t>remote communities.</w:t>
            </w:r>
          </w:p>
          <w:p w:rsidR="00E00B00" w:rsidRDefault="00AF3FA5" w:rsidP="00CD7D8C">
            <w:pPr>
              <w:pStyle w:val="Box"/>
            </w:pPr>
            <w:r w:rsidRPr="00AF3FA5">
              <w:t>The NAHA provide</w:t>
            </w:r>
            <w:r w:rsidR="008E3AFF">
              <w:t>s</w:t>
            </w:r>
            <w:r w:rsidRPr="00AF3FA5">
              <w:t xml:space="preserve"> the framework for</w:t>
            </w:r>
            <w:r w:rsidR="00FF53AD">
              <w:t xml:space="preserve"> the </w:t>
            </w:r>
            <w:r w:rsidR="00CD7D8C">
              <w:t>Australian Government, State and Territory governments, and local</w:t>
            </w:r>
            <w:r w:rsidR="00B77248">
              <w:t xml:space="preserve"> government to work together to improve housing outcomes so that</w:t>
            </w:r>
            <w:r w:rsidR="00286A74">
              <w:t xml:space="preserve"> ‘all Australians</w:t>
            </w:r>
            <w:r w:rsidR="00CD7D8C">
              <w:t xml:space="preserve"> have access to affordable, safe and sustainable housing that contributes to social and economic participation’.</w:t>
            </w:r>
          </w:p>
        </w:tc>
      </w:tr>
      <w:tr w:rsidR="00E00B00" w:rsidTr="00263ABD">
        <w:trPr>
          <w:cantSplit/>
        </w:trPr>
        <w:tc>
          <w:tcPr>
            <w:tcW w:w="5000" w:type="pct"/>
            <w:tcBorders>
              <w:top w:val="nil"/>
              <w:left w:val="nil"/>
              <w:bottom w:val="nil"/>
              <w:right w:val="nil"/>
            </w:tcBorders>
            <w:shd w:val="clear" w:color="auto" w:fill="F2F2F2" w:themeFill="background1" w:themeFillShade="F2"/>
          </w:tcPr>
          <w:p w:rsidR="00E00B00" w:rsidRDefault="00E00B00" w:rsidP="00A219F3">
            <w:pPr>
              <w:pStyle w:val="BoxSource"/>
            </w:pPr>
            <w:r>
              <w:rPr>
                <w:i/>
              </w:rPr>
              <w:t>Source:</w:t>
            </w:r>
            <w:r w:rsidR="001C58F6">
              <w:t xml:space="preserve"> </w:t>
            </w:r>
            <w:r w:rsidR="00CD7D8C">
              <w:t>COAG (2012</w:t>
            </w:r>
            <w:r w:rsidRPr="00E00B00">
              <w:t>).</w:t>
            </w:r>
          </w:p>
        </w:tc>
      </w:tr>
      <w:tr w:rsidR="00E00B00" w:rsidTr="00263ABD">
        <w:trPr>
          <w:cantSplit/>
        </w:trPr>
        <w:tc>
          <w:tcPr>
            <w:tcW w:w="5000" w:type="pct"/>
            <w:tcBorders>
              <w:top w:val="nil"/>
              <w:left w:val="nil"/>
              <w:bottom w:val="single" w:sz="6" w:space="0" w:color="78A22F"/>
              <w:right w:val="nil"/>
            </w:tcBorders>
            <w:shd w:val="clear" w:color="auto" w:fill="F2F2F2" w:themeFill="background1" w:themeFillShade="F2"/>
          </w:tcPr>
          <w:p w:rsidR="00E00B00" w:rsidRDefault="00E00B00">
            <w:pPr>
              <w:pStyle w:val="Box"/>
              <w:spacing w:before="0" w:line="120" w:lineRule="exact"/>
            </w:pPr>
          </w:p>
        </w:tc>
      </w:tr>
      <w:tr w:rsidR="00E00B00" w:rsidRPr="000863A5" w:rsidTr="00263ABD">
        <w:tc>
          <w:tcPr>
            <w:tcW w:w="5000" w:type="pct"/>
            <w:tcBorders>
              <w:top w:val="single" w:sz="6" w:space="0" w:color="78A22F"/>
              <w:left w:val="nil"/>
              <w:bottom w:val="nil"/>
              <w:right w:val="nil"/>
            </w:tcBorders>
          </w:tcPr>
          <w:p w:rsidR="00E00B00" w:rsidRPr="00626D32" w:rsidRDefault="00E00B00" w:rsidP="00334F07">
            <w:pPr>
              <w:pStyle w:val="BoxSpaceBelow"/>
            </w:pPr>
          </w:p>
        </w:tc>
      </w:tr>
    </w:tbl>
    <w:p w:rsidR="00E00B00" w:rsidRDefault="00274E55" w:rsidP="005B64EC">
      <w:pPr>
        <w:pStyle w:val="BodyText"/>
      </w:pPr>
      <w:r>
        <w:t xml:space="preserve">The </w:t>
      </w:r>
      <w:r w:rsidR="00554C1C">
        <w:t xml:space="preserve">performance indicator </w:t>
      </w:r>
      <w:r>
        <w:t xml:space="preserve">framework </w:t>
      </w:r>
      <w:r w:rsidR="00EC5DB3">
        <w:t>provides information on equity, efficiency and effectiveness, and distinguishes the outputs and outcomes of social housing (figure</w:t>
      </w:r>
      <w:r w:rsidR="007D1214">
        <w:t> </w:t>
      </w:r>
      <w:r w:rsidR="00EC5DB3">
        <w:t>17.1). The framework shows which</w:t>
      </w:r>
      <w:r>
        <w:t xml:space="preserve"> data are comparable in the 2016</w:t>
      </w:r>
      <w:r w:rsidR="00E82838">
        <w:t> </w:t>
      </w:r>
      <w:r w:rsidR="00BD4666" w:rsidRPr="00BD4666">
        <w:t>Repor</w:t>
      </w:r>
      <w:r>
        <w:t>t</w:t>
      </w:r>
      <w:r w:rsidR="00857A36">
        <w:t xml:space="preserve">. </w:t>
      </w:r>
      <w:r w:rsidR="00BD4666" w:rsidRPr="00BD4666">
        <w:t>Chapter 1 discusses d</w:t>
      </w:r>
      <w:r w:rsidR="00644455">
        <w:t xml:space="preserve">ata comparability </w:t>
      </w:r>
      <w:r w:rsidR="00054CE2">
        <w:t xml:space="preserve">and </w:t>
      </w:r>
      <w:r w:rsidR="00054CE2" w:rsidRPr="001C58F6">
        <w:t>data completeness</w:t>
      </w:r>
      <w:r w:rsidR="00054CE2">
        <w:t xml:space="preserve"> </w:t>
      </w:r>
      <w:r w:rsidR="00644455">
        <w:t>from a Report</w:t>
      </w:r>
      <w:r w:rsidR="007D1214">
        <w:noBreakHyphen/>
      </w:r>
      <w:r>
        <w:t>wide perspective (section 1.6).</w:t>
      </w:r>
      <w:r w:rsidR="00EC5DB3">
        <w:t xml:space="preserve"> </w:t>
      </w:r>
      <w:r>
        <w:t>In addition to section</w:t>
      </w:r>
      <w:r w:rsidR="007D1214">
        <w:t> </w:t>
      </w:r>
      <w:r>
        <w:t>17.1</w:t>
      </w:r>
      <w:r w:rsidR="00286A74">
        <w:t>,</w:t>
      </w:r>
      <w:r w:rsidRPr="00274E55">
        <w:t xml:space="preserve"> the Report’s Statistical context chapter contains data that may assist in interpreting the performance indicators presented in this chapter. These data cover a range of demographic and geographic characteristics (chapter</w:t>
      </w:r>
      <w:r w:rsidR="007D1214">
        <w:t> </w:t>
      </w:r>
      <w:r w:rsidRPr="00274E55">
        <w:t>2).</w:t>
      </w:r>
      <w:r w:rsidR="005B64EC">
        <w:t xml:space="preserve"> </w:t>
      </w: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00B00" w:rsidTr="00334F07">
        <w:tc>
          <w:tcPr>
            <w:tcW w:w="8771" w:type="dxa"/>
            <w:tcBorders>
              <w:top w:val="single" w:sz="6" w:space="0" w:color="78A22F"/>
              <w:left w:val="nil"/>
              <w:bottom w:val="nil"/>
              <w:right w:val="nil"/>
            </w:tcBorders>
            <w:shd w:val="clear" w:color="auto" w:fill="auto"/>
          </w:tcPr>
          <w:p w:rsidR="00E00B00" w:rsidRPr="00176D3F" w:rsidRDefault="00E00B00" w:rsidP="00E00B00">
            <w:pPr>
              <w:pStyle w:val="FigureTitle"/>
            </w:pPr>
            <w:r w:rsidRPr="00784A05">
              <w:rPr>
                <w:b w:val="0"/>
              </w:rPr>
              <w:lastRenderedPageBreak/>
              <w:t xml:space="preserve">Figure </w:t>
            </w:r>
            <w:r>
              <w:rPr>
                <w:b w:val="0"/>
              </w:rPr>
              <w:t>17.1</w:t>
            </w:r>
            <w:r>
              <w:tab/>
            </w:r>
            <w:r w:rsidRPr="00E00B00">
              <w:t>Social housing performance indicator framewor</w:t>
            </w:r>
            <w:r>
              <w:t>k</w:t>
            </w:r>
          </w:p>
        </w:tc>
      </w:tr>
      <w:tr w:rsidR="00E00B00" w:rsidTr="00334F07">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E00B00" w:rsidTr="00334F07">
              <w:tc>
                <w:tcPr>
                  <w:tcW w:w="5000" w:type="pct"/>
                  <w:tcBorders>
                    <w:top w:val="nil"/>
                    <w:bottom w:val="nil"/>
                  </w:tcBorders>
                </w:tcPr>
                <w:p w:rsidR="00E00B00" w:rsidRPr="00A20F78" w:rsidRDefault="00F73AEE" w:rsidP="00A20F78">
                  <w:pPr>
                    <w:pStyle w:val="Figure"/>
                  </w:pPr>
                  <w:r>
                    <w:rPr>
                      <w:noProof/>
                    </w:rPr>
                    <w:drawing>
                      <wp:inline distT="0" distB="0" distL="0" distR="0">
                        <wp:extent cx="5358703" cy="3581400"/>
                        <wp:effectExtent l="0" t="0" r="0" b="0"/>
                        <wp:docPr id="1" name="Picture 1" descr="Figure 17.1 Social housing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onitor\05 Current Report - WIP\2016 Report\3. 2016 Final RoGS\1. 2016 Ready for Admin processing\10_PIFs\PNG Final PIFS\Chapter 17_Housing.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58703" cy="3581400"/>
                                </a:xfrm>
                                <a:prstGeom prst="rect">
                                  <a:avLst/>
                                </a:prstGeom>
                                <a:noFill/>
                                <a:ln>
                                  <a:noFill/>
                                </a:ln>
                              </pic:spPr>
                            </pic:pic>
                          </a:graphicData>
                        </a:graphic>
                      </wp:inline>
                    </w:drawing>
                  </w:r>
                </w:p>
              </w:tc>
            </w:tr>
          </w:tbl>
          <w:p w:rsidR="00E00B00" w:rsidRDefault="00E00B00" w:rsidP="00334F07">
            <w:pPr>
              <w:pStyle w:val="Figure"/>
            </w:pPr>
          </w:p>
        </w:tc>
      </w:tr>
      <w:tr w:rsidR="00E00B00" w:rsidRPr="000863A5" w:rsidTr="00334F07">
        <w:tc>
          <w:tcPr>
            <w:tcW w:w="8771" w:type="dxa"/>
            <w:tcBorders>
              <w:top w:val="single" w:sz="6" w:space="0" w:color="78A22F"/>
              <w:left w:val="nil"/>
              <w:bottom w:val="nil"/>
              <w:right w:val="nil"/>
            </w:tcBorders>
          </w:tcPr>
          <w:p w:rsidR="00E00B00" w:rsidRPr="00626D32" w:rsidRDefault="00E00B00" w:rsidP="00334F07">
            <w:pPr>
              <w:pStyle w:val="BoxSpaceBelow"/>
            </w:pPr>
          </w:p>
        </w:tc>
      </w:tr>
    </w:tbl>
    <w:p w:rsidR="00092D60" w:rsidRDefault="00463387" w:rsidP="00092D60">
      <w:pPr>
        <w:pStyle w:val="Heading2"/>
      </w:pPr>
      <w:bookmarkStart w:id="15" w:name="_Toc314211349"/>
      <w:bookmarkStart w:id="16" w:name="_Toc396143032"/>
      <w:bookmarkStart w:id="17" w:name="_Toc435724832"/>
      <w:bookmarkStart w:id="18" w:name="_Toc210006653"/>
      <w:bookmarkStart w:id="19" w:name="_Toc210006655"/>
      <w:r>
        <w:t>17.</w:t>
      </w:r>
      <w:r w:rsidR="00092D60">
        <w:t>3</w:t>
      </w:r>
      <w:r w:rsidR="00092D60">
        <w:tab/>
        <w:t>Key performance indicator results</w:t>
      </w:r>
      <w:bookmarkEnd w:id="15"/>
      <w:bookmarkEnd w:id="16"/>
      <w:bookmarkEnd w:id="17"/>
    </w:p>
    <w:p w:rsidR="000A063D" w:rsidRDefault="00F73FEE" w:rsidP="000A063D">
      <w:pPr>
        <w:pStyle w:val="BodyText"/>
      </w:pPr>
      <w:r>
        <w:t>Different delivery contexts, locations and types of clients can affect the equity, effectiveness and efficiency of social housing services.</w:t>
      </w:r>
    </w:p>
    <w:p w:rsidR="0065490B" w:rsidRPr="003455FC" w:rsidRDefault="0065490B" w:rsidP="0065490B">
      <w:pPr>
        <w:pStyle w:val="BodyText"/>
        <w:rPr>
          <w:rFonts w:eastAsia="Calibri"/>
          <w:lang w:eastAsia="en-US"/>
        </w:rPr>
      </w:pPr>
      <w:r w:rsidRPr="000B1E0C">
        <w:rPr>
          <w:rFonts w:eastAsia="Calibri"/>
          <w:lang w:eastAsia="en-US"/>
        </w:rPr>
        <w:t xml:space="preserve">Data quality information (DQI) is </w:t>
      </w:r>
      <w:r>
        <w:rPr>
          <w:rFonts w:eastAsia="Calibri"/>
          <w:lang w:eastAsia="en-US"/>
        </w:rPr>
        <w:t>included</w:t>
      </w:r>
      <w:r w:rsidR="00286A74">
        <w:rPr>
          <w:rFonts w:eastAsia="Calibri"/>
          <w:lang w:eastAsia="en-US"/>
        </w:rPr>
        <w:t>,</w:t>
      </w:r>
      <w:r>
        <w:rPr>
          <w:rFonts w:eastAsia="Calibri"/>
          <w:lang w:eastAsia="en-US"/>
        </w:rPr>
        <w:t xml:space="preserve"> where available</w:t>
      </w:r>
      <w:r w:rsidR="00286A74">
        <w:rPr>
          <w:rFonts w:eastAsia="Calibri"/>
          <w:lang w:eastAsia="en-US"/>
        </w:rPr>
        <w:t>,</w:t>
      </w:r>
      <w:r>
        <w:rPr>
          <w:rFonts w:eastAsia="Calibri"/>
          <w:lang w:eastAsia="en-US"/>
        </w:rPr>
        <w:t xml:space="preserve"> for performance indicators in this Report. The </w:t>
      </w:r>
      <w:r w:rsidRPr="000B1E0C">
        <w:rPr>
          <w:rFonts w:eastAsia="Calibri"/>
          <w:lang w:eastAsia="en-US"/>
        </w:rPr>
        <w:t>purpose of DQI is to provide structured and consistent info</w:t>
      </w:r>
      <w:r w:rsidR="00286A74">
        <w:rPr>
          <w:rFonts w:eastAsia="Calibri"/>
          <w:lang w:eastAsia="en-US"/>
        </w:rPr>
        <w:t>rmation about the quality of</w:t>
      </w:r>
      <w:r w:rsidRPr="000B1E0C">
        <w:rPr>
          <w:rFonts w:eastAsia="Calibri"/>
          <w:lang w:eastAsia="en-US"/>
        </w:rPr>
        <w:t xml:space="preserve"> data used to report on performance indicators, in addition to material in the chapter or sector overview and attachment tables. All DQI for the </w:t>
      </w:r>
      <w:r>
        <w:rPr>
          <w:rFonts w:eastAsia="Calibri"/>
          <w:lang w:eastAsia="en-US"/>
        </w:rPr>
        <w:t>2016</w:t>
      </w:r>
      <w:r w:rsidRPr="000B1E0C">
        <w:rPr>
          <w:rFonts w:eastAsia="Calibri"/>
          <w:lang w:eastAsia="en-US"/>
        </w:rPr>
        <w:t> Report can be fou</w:t>
      </w:r>
      <w:r>
        <w:rPr>
          <w:rFonts w:eastAsia="Calibri"/>
          <w:lang w:eastAsia="en-US"/>
        </w:rPr>
        <w:t xml:space="preserve">nd at </w:t>
      </w:r>
      <w:proofErr w:type="spellStart"/>
      <w:r>
        <w:rPr>
          <w:rFonts w:eastAsia="Calibri"/>
          <w:lang w:eastAsia="en-US"/>
        </w:rPr>
        <w:t>www.pc.gov.au</w:t>
      </w:r>
      <w:proofErr w:type="spellEnd"/>
      <w:r>
        <w:rPr>
          <w:rFonts w:eastAsia="Calibri"/>
          <w:lang w:eastAsia="en-US"/>
        </w:rPr>
        <w:t>/</w:t>
      </w:r>
      <w:proofErr w:type="spellStart"/>
      <w:r w:rsidRPr="000B1E0C">
        <w:rPr>
          <w:rFonts w:eastAsia="Calibri"/>
          <w:lang w:eastAsia="en-US"/>
        </w:rPr>
        <w:t>rogs</w:t>
      </w:r>
      <w:proofErr w:type="spellEnd"/>
      <w:r w:rsidRPr="000B1E0C">
        <w:rPr>
          <w:rFonts w:eastAsia="Calibri"/>
          <w:lang w:eastAsia="en-US"/>
        </w:rPr>
        <w:t>/</w:t>
      </w:r>
      <w:r>
        <w:rPr>
          <w:rFonts w:eastAsia="Calibri"/>
          <w:lang w:eastAsia="en-US"/>
        </w:rPr>
        <w:t>2016</w:t>
      </w:r>
      <w:r w:rsidRPr="003455FC">
        <w:rPr>
          <w:rFonts w:eastAsia="Calibri"/>
          <w:lang w:eastAsia="en-US"/>
        </w:rPr>
        <w:t>.</w:t>
      </w:r>
    </w:p>
    <w:p w:rsidR="0065490B" w:rsidRPr="009E5CE0" w:rsidRDefault="0065490B" w:rsidP="0065490B">
      <w:pPr>
        <w:pStyle w:val="Heading3"/>
      </w:pPr>
      <w:r w:rsidRPr="00C4061D">
        <w:t>Outputs</w:t>
      </w:r>
    </w:p>
    <w:p w:rsidR="0065490B" w:rsidRPr="009E5CE0" w:rsidRDefault="0065490B" w:rsidP="0065490B">
      <w:pPr>
        <w:pStyle w:val="BodyText"/>
        <w:rPr>
          <w:color w:val="000000" w:themeColor="text1"/>
        </w:rPr>
      </w:pPr>
      <w:r w:rsidRPr="009E5CE0">
        <w:rPr>
          <w:color w:val="000000" w:themeColor="text1"/>
        </w:rPr>
        <w:t>Outputs are the services delivered (while outcomes are the impact of these services on the status of an individual or group) (see chapter</w:t>
      </w:r>
      <w:r w:rsidR="007D1214">
        <w:rPr>
          <w:color w:val="000000" w:themeColor="text1"/>
        </w:rPr>
        <w:t> </w:t>
      </w:r>
      <w:r w:rsidRPr="009E5CE0">
        <w:rPr>
          <w:color w:val="000000" w:themeColor="text1"/>
        </w:rPr>
        <w:t>1, section</w:t>
      </w:r>
      <w:r w:rsidR="007D1214">
        <w:rPr>
          <w:color w:val="000000" w:themeColor="text1"/>
        </w:rPr>
        <w:t> </w:t>
      </w:r>
      <w:r w:rsidRPr="009E5CE0">
        <w:rPr>
          <w:color w:val="000000" w:themeColor="text1"/>
        </w:rPr>
        <w:t>1.5).</w:t>
      </w:r>
      <w:r>
        <w:rPr>
          <w:color w:val="000000" w:themeColor="text1"/>
        </w:rPr>
        <w:t xml:space="preserve"> Output information is also critical for equitable, efficient and effective management of government services.</w:t>
      </w:r>
    </w:p>
    <w:p w:rsidR="00C0136B" w:rsidRPr="00E00B00" w:rsidRDefault="009640BD" w:rsidP="0065490B">
      <w:pPr>
        <w:pStyle w:val="Heading3"/>
      </w:pPr>
      <w:r>
        <w:lastRenderedPageBreak/>
        <w:t>Equity</w:t>
      </w:r>
    </w:p>
    <w:p w:rsidR="001477AD" w:rsidRPr="00F34CB2" w:rsidRDefault="00EC5DB3" w:rsidP="006B692D">
      <w:pPr>
        <w:pStyle w:val="Heading4"/>
      </w:pPr>
      <w:r>
        <w:t xml:space="preserve">Access — </w:t>
      </w:r>
      <w:r w:rsidR="001477AD" w:rsidRPr="00F34CB2">
        <w:t>Priority access to those in greatest need</w:t>
      </w:r>
    </w:p>
    <w:p w:rsidR="001477AD" w:rsidRDefault="001477AD" w:rsidP="00796AC0">
      <w:pPr>
        <w:pStyle w:val="BodyText"/>
        <w:spacing w:before="120"/>
      </w:pPr>
      <w:r>
        <w:t xml:space="preserve">‘Priority access to those in greatest need’ is an indicator of governments’ objective to provide appropriate, affordable and secure housing to assist people who are unable to access suitable housing. This indicator provides information on whether allocation processes ensure that those in greatest need have </w:t>
      </w:r>
      <w:r w:rsidR="004561D7">
        <w:t>priority</w:t>
      </w:r>
      <w:r>
        <w:t xml:space="preserve"> access to housing (box</w:t>
      </w:r>
      <w:r w:rsidR="007D1214">
        <w:t> </w:t>
      </w:r>
      <w:r w:rsidR="00463387">
        <w:t>17.</w:t>
      </w:r>
      <w:r w:rsidR="000931B6">
        <w:t>6</w:t>
      </w:r>
      <w:r>
        <w:t>).</w:t>
      </w:r>
    </w:p>
    <w:p w:rsidR="00956E84" w:rsidRDefault="00956E84" w:rsidP="001363B3">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956E84" w:rsidTr="00263ABD">
        <w:tc>
          <w:tcPr>
            <w:tcW w:w="5000" w:type="pct"/>
            <w:tcBorders>
              <w:top w:val="single" w:sz="6" w:space="0" w:color="78A22F"/>
              <w:left w:val="nil"/>
              <w:bottom w:val="nil"/>
              <w:right w:val="nil"/>
            </w:tcBorders>
            <w:shd w:val="clear" w:color="auto" w:fill="F2F2F2" w:themeFill="background1" w:themeFillShade="F2"/>
          </w:tcPr>
          <w:p w:rsidR="00956E84" w:rsidRDefault="001363B3" w:rsidP="00956E84">
            <w:pPr>
              <w:pStyle w:val="BoxTitle"/>
            </w:pPr>
            <w:r>
              <w:rPr>
                <w:b w:val="0"/>
              </w:rPr>
              <w:t>Box 17.</w:t>
            </w:r>
            <w:r w:rsidR="00EF0AA4">
              <w:rPr>
                <w:b w:val="0"/>
                <w:noProof/>
              </w:rPr>
              <w:t>6</w:t>
            </w:r>
            <w:r w:rsidR="00956E84">
              <w:tab/>
            </w:r>
            <w:r w:rsidR="00956E84" w:rsidRPr="00956E84">
              <w:t>Priority access to those in greatest need</w:t>
            </w:r>
          </w:p>
        </w:tc>
      </w:tr>
      <w:tr w:rsidR="00956E84" w:rsidTr="00263ABD">
        <w:trPr>
          <w:cantSplit/>
        </w:trPr>
        <w:tc>
          <w:tcPr>
            <w:tcW w:w="5000" w:type="pct"/>
            <w:tcBorders>
              <w:top w:val="nil"/>
              <w:left w:val="nil"/>
              <w:bottom w:val="nil"/>
              <w:right w:val="nil"/>
            </w:tcBorders>
            <w:shd w:val="clear" w:color="auto" w:fill="F2F2F2" w:themeFill="background1" w:themeFillShade="F2"/>
          </w:tcPr>
          <w:p w:rsidR="00956E84" w:rsidRPr="00956E84" w:rsidRDefault="00956E84" w:rsidP="00F73FEE">
            <w:pPr>
              <w:pStyle w:val="Box"/>
            </w:pPr>
            <w:r w:rsidRPr="00956E84">
              <w:t>‘Priority access to those in greatest need’ is defined</w:t>
            </w:r>
            <w:r w:rsidR="00F73FEE">
              <w:t xml:space="preserve"> by two measures</w:t>
            </w:r>
            <w:r w:rsidRPr="00956E84">
              <w:t>:</w:t>
            </w:r>
          </w:p>
          <w:p w:rsidR="00956E84" w:rsidRPr="00956E84" w:rsidRDefault="00956E84" w:rsidP="00956E84">
            <w:pPr>
              <w:pStyle w:val="Box"/>
              <w:numPr>
                <w:ilvl w:val="0"/>
                <w:numId w:val="1"/>
              </w:numPr>
            </w:pPr>
            <w:r w:rsidRPr="00956E84">
              <w:t xml:space="preserve">the proportion of new </w:t>
            </w:r>
            <w:r w:rsidR="00F73FEE">
              <w:t xml:space="preserve">housing </w:t>
            </w:r>
            <w:r w:rsidRPr="00956E84">
              <w:t>allocations that were to households in greatest need</w:t>
            </w:r>
          </w:p>
          <w:p w:rsidR="00956E84" w:rsidRPr="00956E84" w:rsidRDefault="00956E84" w:rsidP="00956E84">
            <w:pPr>
              <w:pStyle w:val="Box"/>
              <w:numPr>
                <w:ilvl w:val="0"/>
                <w:numId w:val="1"/>
              </w:numPr>
            </w:pPr>
            <w:r w:rsidRPr="00956E84">
              <w:t xml:space="preserve">the proportion of new </w:t>
            </w:r>
            <w:r w:rsidR="00F73FEE">
              <w:t xml:space="preserve">housing </w:t>
            </w:r>
            <w:r w:rsidRPr="00956E84">
              <w:t xml:space="preserve">allocations to households in greatest need that were waiting for periods of: less than three months; three months to less than six months; six months to less than one year; </w:t>
            </w:r>
            <w:r w:rsidRPr="00CB126E">
              <w:t>o</w:t>
            </w:r>
            <w:r w:rsidRPr="00956E84">
              <w:t>ne year to less than two years; two years or more. These percentages are not cumulative, because time to allocation for this measure reflects greatest need allocations as a percentage of all new allocations for the time period.</w:t>
            </w:r>
          </w:p>
          <w:p w:rsidR="00EC5DB3" w:rsidRDefault="00EC5DB3" w:rsidP="00956E84">
            <w:pPr>
              <w:pStyle w:val="Box"/>
            </w:pPr>
            <w:r w:rsidRPr="00956E84">
              <w:t xml:space="preserve">Greatest need households are defined as households that at the time of allocation are either homeless, in housing inappropriate to </w:t>
            </w:r>
            <w:r w:rsidRPr="005E340A">
              <w:t>their needs, in housing that is adversely affecting their health or placing their life</w:t>
            </w:r>
            <w:r w:rsidR="00286A74" w:rsidRPr="005E340A">
              <w:t xml:space="preserve"> and safety at risk, or that have</w:t>
            </w:r>
            <w:r w:rsidRPr="005E340A">
              <w:t xml:space="preserve"> very</w:t>
            </w:r>
            <w:r w:rsidRPr="00956E84">
              <w:t xml:space="preserve"> high rental housing costs.</w:t>
            </w:r>
          </w:p>
          <w:p w:rsidR="00956E84" w:rsidRPr="00956E84" w:rsidRDefault="00956E84" w:rsidP="00956E84">
            <w:pPr>
              <w:pStyle w:val="Box"/>
            </w:pPr>
            <w:r w:rsidRPr="00956E84">
              <w:t>High or increasing values for these measures, particularly for short timeframes, indicate a high degree of access for those households in greatest need.</w:t>
            </w:r>
          </w:p>
          <w:p w:rsidR="00956E84" w:rsidRPr="00956E84" w:rsidRDefault="00956E84" w:rsidP="00956E84">
            <w:pPr>
              <w:pStyle w:val="Box"/>
            </w:pPr>
            <w:r w:rsidRPr="00956E84">
              <w:t>Data for this indicator are reported for public housing, SOMIH and community housing. Differences in State and Territory housing assessment policies and community housing allocation policies can influence comparability for this indicator. Data reported are:</w:t>
            </w:r>
          </w:p>
          <w:p w:rsidR="00956E84" w:rsidRPr="00956E84" w:rsidRDefault="00956E84" w:rsidP="00956E84">
            <w:pPr>
              <w:pStyle w:val="Box"/>
              <w:numPr>
                <w:ilvl w:val="0"/>
                <w:numId w:val="1"/>
              </w:numPr>
            </w:pPr>
            <w:r w:rsidRPr="00956E84">
              <w:t>comparable (subject to caveats) within some jurisdictions over time but are not comparable across jurisdictions or over time for other jurisdictions (see caveats in attachment tables and DQI for specific jurisdictions)</w:t>
            </w:r>
          </w:p>
          <w:p w:rsidR="00956E84" w:rsidRPr="00956E84" w:rsidRDefault="00956E84" w:rsidP="00956E84">
            <w:pPr>
              <w:pStyle w:val="Box"/>
              <w:numPr>
                <w:ilvl w:val="0"/>
                <w:numId w:val="1"/>
              </w:numPr>
            </w:pPr>
            <w:r w:rsidRPr="00956E84">
              <w:t>are not comparable across public housing, SOMIH and community housing</w:t>
            </w:r>
          </w:p>
          <w:p w:rsidR="00956E84" w:rsidRPr="00956E84" w:rsidRDefault="00956E84" w:rsidP="00956E84">
            <w:pPr>
              <w:pStyle w:val="Box"/>
              <w:numPr>
                <w:ilvl w:val="0"/>
                <w:numId w:val="1"/>
              </w:numPr>
            </w:pPr>
            <w:r w:rsidRPr="00956E84">
              <w:t>complete for public housing for the current reporting period (subject to caveats). All required 201</w:t>
            </w:r>
            <w:r w:rsidR="00A35006">
              <w:t>4</w:t>
            </w:r>
            <w:r w:rsidR="007D1214">
              <w:noBreakHyphen/>
            </w:r>
            <w:r w:rsidR="00A35006">
              <w:t>15</w:t>
            </w:r>
            <w:r w:rsidRPr="00956E84">
              <w:t xml:space="preserve"> data are available for all jurisdictions providing the service</w:t>
            </w:r>
          </w:p>
          <w:p w:rsidR="00956E84" w:rsidRPr="00956E84" w:rsidRDefault="00CE1419" w:rsidP="00065ACD">
            <w:pPr>
              <w:pStyle w:val="Box"/>
              <w:numPr>
                <w:ilvl w:val="0"/>
                <w:numId w:val="1"/>
              </w:numPr>
            </w:pPr>
            <w:r w:rsidRPr="00065ACD">
              <w:t xml:space="preserve">incomplete for </w:t>
            </w:r>
            <w:r w:rsidR="00065ACD">
              <w:t>SOMIH f</w:t>
            </w:r>
            <w:r w:rsidR="00065ACD" w:rsidRPr="00065ACD">
              <w:t xml:space="preserve">or </w:t>
            </w:r>
            <w:r w:rsidRPr="00065ACD">
              <w:t xml:space="preserve">the current reporting period. </w:t>
            </w:r>
            <w:r w:rsidR="00E00B00" w:rsidRPr="00065ACD">
              <w:t xml:space="preserve">All required </w:t>
            </w:r>
            <w:r w:rsidR="00A35006">
              <w:t>2014</w:t>
            </w:r>
            <w:r w:rsidR="007D1214">
              <w:noBreakHyphen/>
            </w:r>
            <w:r w:rsidR="00A35006">
              <w:t>15</w:t>
            </w:r>
            <w:r w:rsidR="00BF3357" w:rsidRPr="00065ACD">
              <w:t xml:space="preserve"> </w:t>
            </w:r>
            <w:r w:rsidR="00E00B00" w:rsidRPr="00065ACD">
              <w:t xml:space="preserve">data </w:t>
            </w:r>
            <w:r w:rsidRPr="00065ACD">
              <w:t xml:space="preserve">are not available for </w:t>
            </w:r>
            <w:r w:rsidR="00DD0CE8">
              <w:t>Tasmania</w:t>
            </w:r>
          </w:p>
          <w:p w:rsidR="00956E84" w:rsidRPr="00AF1F34" w:rsidRDefault="00956E84" w:rsidP="00065ACD">
            <w:pPr>
              <w:pStyle w:val="BoxListBullet"/>
            </w:pPr>
            <w:r w:rsidRPr="00AF1F34">
              <w:t>incomplete for community housing</w:t>
            </w:r>
            <w:r w:rsidR="00065ACD" w:rsidRPr="00AF1F34">
              <w:t xml:space="preserve"> for the current reporting period. </w:t>
            </w:r>
            <w:r w:rsidRPr="00AF1F34">
              <w:t xml:space="preserve">All required </w:t>
            </w:r>
            <w:r w:rsidR="00A35006" w:rsidRPr="00AF1F34">
              <w:t>2014</w:t>
            </w:r>
            <w:r w:rsidR="007D1214">
              <w:noBreakHyphen/>
            </w:r>
            <w:r w:rsidR="00A35006" w:rsidRPr="00AF1F34">
              <w:t>15</w:t>
            </w:r>
            <w:r w:rsidR="000625A0" w:rsidRPr="00AF1F34">
              <w:t xml:space="preserve"> </w:t>
            </w:r>
            <w:r w:rsidR="00065ACD" w:rsidRPr="00AF1F34">
              <w:t xml:space="preserve">data are </w:t>
            </w:r>
            <w:r w:rsidRPr="00AF1F34">
              <w:t xml:space="preserve">not available for the </w:t>
            </w:r>
            <w:r w:rsidR="00F73FEE">
              <w:t>NT</w:t>
            </w:r>
            <w:r w:rsidRPr="00AF1F34">
              <w:t>.</w:t>
            </w:r>
          </w:p>
          <w:p w:rsidR="00956E84" w:rsidRDefault="00956E84" w:rsidP="00956E84">
            <w:pPr>
              <w:pStyle w:val="Box"/>
            </w:pPr>
            <w:r w:rsidRPr="00956E84">
              <w:t>Data quality information for this indicator</w:t>
            </w:r>
            <w:r w:rsidR="00884651">
              <w:t xml:space="preserve"> is at </w:t>
            </w:r>
            <w:proofErr w:type="spellStart"/>
            <w:r w:rsidR="00884651">
              <w:t>www.pc.gov.au</w:t>
            </w:r>
            <w:proofErr w:type="spellEnd"/>
            <w:r w:rsidR="00C00C85">
              <w:t>/</w:t>
            </w:r>
            <w:proofErr w:type="spellStart"/>
            <w:r w:rsidR="00C00C85">
              <w:t>rogs</w:t>
            </w:r>
            <w:proofErr w:type="spellEnd"/>
            <w:r w:rsidR="00C00C85">
              <w:t>/2016</w:t>
            </w:r>
            <w:r w:rsidRPr="00956E84">
              <w:t>.</w:t>
            </w:r>
          </w:p>
        </w:tc>
      </w:tr>
      <w:tr w:rsidR="00956E84" w:rsidTr="00263ABD">
        <w:trPr>
          <w:cantSplit/>
        </w:trPr>
        <w:tc>
          <w:tcPr>
            <w:tcW w:w="5000" w:type="pct"/>
            <w:tcBorders>
              <w:top w:val="nil"/>
              <w:left w:val="nil"/>
              <w:bottom w:val="single" w:sz="6" w:space="0" w:color="78A22F"/>
              <w:right w:val="nil"/>
            </w:tcBorders>
            <w:shd w:val="clear" w:color="auto" w:fill="F2F2F2" w:themeFill="background1" w:themeFillShade="F2"/>
          </w:tcPr>
          <w:p w:rsidR="00956E84" w:rsidRDefault="00956E84">
            <w:pPr>
              <w:pStyle w:val="Box"/>
              <w:spacing w:before="0" w:line="120" w:lineRule="exact"/>
            </w:pPr>
          </w:p>
        </w:tc>
      </w:tr>
      <w:tr w:rsidR="00956E84" w:rsidRPr="000863A5" w:rsidTr="00263ABD">
        <w:tc>
          <w:tcPr>
            <w:tcW w:w="5000" w:type="pct"/>
            <w:tcBorders>
              <w:top w:val="single" w:sz="6" w:space="0" w:color="78A22F"/>
              <w:left w:val="nil"/>
              <w:bottom w:val="nil"/>
              <w:right w:val="nil"/>
            </w:tcBorders>
          </w:tcPr>
          <w:p w:rsidR="00956E84" w:rsidRPr="00626D32" w:rsidRDefault="00956E84" w:rsidP="00334F07">
            <w:pPr>
              <w:pStyle w:val="BoxSpaceBelow"/>
            </w:pPr>
          </w:p>
        </w:tc>
      </w:tr>
    </w:tbl>
    <w:p w:rsidR="009174C8" w:rsidRDefault="009174C8" w:rsidP="009174C8">
      <w:pPr>
        <w:pStyle w:val="Heading5"/>
      </w:pPr>
      <w:r>
        <w:t>Proportion of new allocations that were to households in greatest need</w:t>
      </w:r>
    </w:p>
    <w:p w:rsidR="003E2295" w:rsidRDefault="00841836" w:rsidP="003D457A">
      <w:pPr>
        <w:pStyle w:val="BodyText"/>
        <w:spacing w:before="200"/>
        <w:rPr>
          <w:color w:val="000000" w:themeColor="text1"/>
        </w:rPr>
      </w:pPr>
      <w:r w:rsidRPr="0072137D">
        <w:rPr>
          <w:color w:val="000000" w:themeColor="text1"/>
        </w:rPr>
        <w:t>Nationally</w:t>
      </w:r>
      <w:r w:rsidR="00C97A52" w:rsidRPr="0072137D">
        <w:rPr>
          <w:color w:val="000000" w:themeColor="text1"/>
        </w:rPr>
        <w:t xml:space="preserve"> in </w:t>
      </w:r>
      <w:r w:rsidR="00C97A52" w:rsidRPr="009E06F0">
        <w:rPr>
          <w:color w:val="000000" w:themeColor="text1"/>
        </w:rPr>
        <w:t>201</w:t>
      </w:r>
      <w:r w:rsidR="009E06F0" w:rsidRPr="009E06F0">
        <w:rPr>
          <w:color w:val="000000" w:themeColor="text1"/>
        </w:rPr>
        <w:t>4</w:t>
      </w:r>
      <w:r w:rsidR="007D1214">
        <w:rPr>
          <w:color w:val="000000" w:themeColor="text1"/>
        </w:rPr>
        <w:noBreakHyphen/>
      </w:r>
      <w:r w:rsidR="00C97A52" w:rsidRPr="009E06F0">
        <w:rPr>
          <w:color w:val="000000" w:themeColor="text1"/>
        </w:rPr>
        <w:t>1</w:t>
      </w:r>
      <w:r w:rsidR="009E06F0" w:rsidRPr="009E06F0">
        <w:rPr>
          <w:color w:val="000000" w:themeColor="text1"/>
        </w:rPr>
        <w:t>5</w:t>
      </w:r>
      <w:r w:rsidR="00C97A52" w:rsidRPr="0072137D">
        <w:rPr>
          <w:color w:val="000000" w:themeColor="text1"/>
        </w:rPr>
        <w:t xml:space="preserve">, </w:t>
      </w:r>
      <w:r w:rsidR="009E06F0" w:rsidRPr="009E06F0">
        <w:rPr>
          <w:color w:val="000000" w:themeColor="text1"/>
        </w:rPr>
        <w:t>73.7</w:t>
      </w:r>
      <w:r w:rsidR="004740F2" w:rsidRPr="0072137D">
        <w:rPr>
          <w:color w:val="000000" w:themeColor="text1"/>
        </w:rPr>
        <w:t> </w:t>
      </w:r>
      <w:r w:rsidRPr="0072137D">
        <w:rPr>
          <w:color w:val="000000" w:themeColor="text1"/>
        </w:rPr>
        <w:t>per</w:t>
      </w:r>
      <w:r w:rsidR="004740F2" w:rsidRPr="0072137D">
        <w:rPr>
          <w:color w:val="000000" w:themeColor="text1"/>
        </w:rPr>
        <w:t> </w:t>
      </w:r>
      <w:r w:rsidRPr="0072137D">
        <w:rPr>
          <w:color w:val="000000" w:themeColor="text1"/>
        </w:rPr>
        <w:t>cent of new</w:t>
      </w:r>
      <w:r w:rsidR="00310447" w:rsidRPr="0072137D">
        <w:rPr>
          <w:color w:val="000000" w:themeColor="text1"/>
        </w:rPr>
        <w:t xml:space="preserve"> public housing</w:t>
      </w:r>
      <w:r w:rsidRPr="0072137D">
        <w:rPr>
          <w:color w:val="000000" w:themeColor="text1"/>
        </w:rPr>
        <w:t xml:space="preserve"> allocations, </w:t>
      </w:r>
      <w:r w:rsidR="009E06F0" w:rsidRPr="009E06F0">
        <w:rPr>
          <w:color w:val="000000" w:themeColor="text1"/>
        </w:rPr>
        <w:t>51.8</w:t>
      </w:r>
      <w:r w:rsidR="00973B10" w:rsidRPr="0072137D">
        <w:rPr>
          <w:color w:val="000000" w:themeColor="text1"/>
        </w:rPr>
        <w:t xml:space="preserve"> </w:t>
      </w:r>
      <w:r w:rsidRPr="0072137D">
        <w:rPr>
          <w:color w:val="000000" w:themeColor="text1"/>
        </w:rPr>
        <w:t>per cent</w:t>
      </w:r>
      <w:r w:rsidR="001F735C">
        <w:rPr>
          <w:color w:val="000000" w:themeColor="text1"/>
        </w:rPr>
        <w:t xml:space="preserve"> </w:t>
      </w:r>
      <w:r w:rsidRPr="0072137D">
        <w:rPr>
          <w:color w:val="000000" w:themeColor="text1"/>
        </w:rPr>
        <w:t xml:space="preserve">of </w:t>
      </w:r>
      <w:r w:rsidR="004D0537" w:rsidRPr="004D0537">
        <w:rPr>
          <w:color w:val="000000" w:themeColor="text1"/>
        </w:rPr>
        <w:t xml:space="preserve">new SOMIH allocations and 73.4 per cent of new community housing allocations were to </w:t>
      </w:r>
      <w:r w:rsidRPr="008F2728">
        <w:rPr>
          <w:color w:val="000000" w:themeColor="text1"/>
        </w:rPr>
        <w:lastRenderedPageBreak/>
        <w:t xml:space="preserve">those </w:t>
      </w:r>
      <w:r w:rsidR="00D34399" w:rsidRPr="008F2728">
        <w:rPr>
          <w:color w:val="000000" w:themeColor="text1"/>
        </w:rPr>
        <w:t xml:space="preserve">households </w:t>
      </w:r>
      <w:r w:rsidRPr="008F2728">
        <w:rPr>
          <w:color w:val="000000" w:themeColor="text1"/>
        </w:rPr>
        <w:t>in greatest need</w:t>
      </w:r>
      <w:r w:rsidR="00B40F51" w:rsidRPr="008F2728">
        <w:rPr>
          <w:color w:val="000000" w:themeColor="text1"/>
        </w:rPr>
        <w:t>.</w:t>
      </w:r>
      <w:r w:rsidR="003E2295" w:rsidRPr="003E2295">
        <w:rPr>
          <w:color w:val="000000" w:themeColor="text1"/>
        </w:rPr>
        <w:t xml:space="preserve"> </w:t>
      </w:r>
      <w:r w:rsidR="00F76C54">
        <w:rPr>
          <w:color w:val="000000" w:themeColor="text1"/>
        </w:rPr>
        <w:t>Proportions vary over time</w:t>
      </w:r>
      <w:r w:rsidR="00AF1F34">
        <w:rPr>
          <w:color w:val="000000" w:themeColor="text1"/>
        </w:rPr>
        <w:t xml:space="preserve"> and</w:t>
      </w:r>
      <w:r w:rsidR="00F76C54">
        <w:rPr>
          <w:color w:val="000000" w:themeColor="text1"/>
        </w:rPr>
        <w:t xml:space="preserve"> across jurisdictions </w:t>
      </w:r>
      <w:r w:rsidR="00F76C54" w:rsidRPr="008F2728">
        <w:rPr>
          <w:color w:val="000000" w:themeColor="text1"/>
        </w:rPr>
        <w:t>(figure 17.2)</w:t>
      </w:r>
      <w:r w:rsidR="00F76C54">
        <w:rPr>
          <w:color w:val="000000" w:themeColor="text1"/>
        </w:rPr>
        <w:t>.</w:t>
      </w:r>
    </w:p>
    <w:p w:rsidR="00956E84" w:rsidRDefault="00956E84" w:rsidP="009174C8">
      <w:pPr>
        <w:pStyle w:val="BodyText"/>
        <w:spacing w:before="200"/>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956E84" w:rsidTr="00B6576C">
        <w:tc>
          <w:tcPr>
            <w:tcW w:w="5000" w:type="pct"/>
            <w:tcBorders>
              <w:top w:val="single" w:sz="6" w:space="0" w:color="78A22F"/>
              <w:left w:val="nil"/>
              <w:bottom w:val="nil"/>
              <w:right w:val="nil"/>
            </w:tcBorders>
            <w:shd w:val="clear" w:color="auto" w:fill="auto"/>
          </w:tcPr>
          <w:p w:rsidR="00956E84" w:rsidRPr="00176D3F" w:rsidRDefault="00956E84" w:rsidP="00770D96">
            <w:pPr>
              <w:pStyle w:val="FigureTitle"/>
            </w:pPr>
            <w:r w:rsidRPr="00FD1E41">
              <w:rPr>
                <w:b w:val="0"/>
              </w:rPr>
              <w:t xml:space="preserve">Figure </w:t>
            </w:r>
            <w:r w:rsidR="0023151F" w:rsidRPr="00FD1E41">
              <w:rPr>
                <w:b w:val="0"/>
              </w:rPr>
              <w:t>17.2</w:t>
            </w:r>
            <w:r>
              <w:tab/>
            </w:r>
            <w:r w:rsidRPr="00956E84">
              <w:t>New allocations to those in greatest need</w:t>
            </w:r>
            <w:r w:rsidRPr="00956E84">
              <w:rPr>
                <w:rStyle w:val="NoteLabel"/>
                <w:b/>
              </w:rPr>
              <w:t>a</w:t>
            </w:r>
          </w:p>
        </w:tc>
      </w:tr>
      <w:tr w:rsidR="00956E84" w:rsidTr="00B6576C">
        <w:tc>
          <w:tcPr>
            <w:tcW w:w="5000" w:type="pct"/>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504"/>
            </w:tblGrid>
            <w:tr w:rsidR="00956E84" w:rsidTr="00B92118">
              <w:tc>
                <w:tcPr>
                  <w:tcW w:w="5000" w:type="pct"/>
                  <w:tcBorders>
                    <w:top w:val="nil"/>
                    <w:bottom w:val="nil"/>
                  </w:tcBorders>
                </w:tcPr>
                <w:p w:rsidR="00AC089E" w:rsidRPr="00195BD1" w:rsidRDefault="00E87C8E" w:rsidP="0076579D">
                  <w:pPr>
                    <w:pStyle w:val="Figure"/>
                    <w:spacing w:after="60"/>
                    <w:rPr>
                      <w:rStyle w:val="NoteLabel"/>
                    </w:rPr>
                  </w:pPr>
                  <w:r w:rsidRPr="00E87C8E">
                    <w:rPr>
                      <w:rFonts w:ascii="Arial" w:hAnsi="Arial" w:cs="Arial"/>
                      <w:b/>
                      <w:sz w:val="20"/>
                    </w:rPr>
                    <w:t xml:space="preserve">Public </w:t>
                  </w:r>
                  <w:r w:rsidR="00AC089E">
                    <w:rPr>
                      <w:rFonts w:ascii="Arial" w:hAnsi="Arial" w:cs="Arial"/>
                      <w:b/>
                      <w:sz w:val="20"/>
                    </w:rPr>
                    <w:t>housing</w:t>
                  </w:r>
                </w:p>
                <w:p w:rsidR="00D233BE" w:rsidRDefault="00333E05" w:rsidP="0076579D">
                  <w:pPr>
                    <w:pStyle w:val="Figure"/>
                    <w:spacing w:after="60"/>
                    <w:rPr>
                      <w:rStyle w:val="NoteLabel"/>
                    </w:rPr>
                  </w:pPr>
                  <w:r>
                    <w:rPr>
                      <w:rFonts w:ascii="Arial" w:hAnsi="Arial" w:cs="Arial"/>
                      <w:b/>
                      <w:noProof/>
                      <w:sz w:val="20"/>
                    </w:rPr>
                    <w:drawing>
                      <wp:inline distT="0" distB="0" distL="0" distR="0">
                        <wp:extent cx="5391150" cy="1809750"/>
                        <wp:effectExtent l="0" t="0" r="0" b="0"/>
                        <wp:docPr id="6" name="Picture 6" descr="Figure 17.2 New allocations to those in greatest need&#10;&#10;Public housing&#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91150" cy="1809750"/>
                                </a:xfrm>
                                <a:prstGeom prst="rect">
                                  <a:avLst/>
                                </a:prstGeom>
                                <a:noFill/>
                                <a:ln>
                                  <a:noFill/>
                                </a:ln>
                              </pic:spPr>
                            </pic:pic>
                          </a:graphicData>
                        </a:graphic>
                      </wp:inline>
                    </w:drawing>
                  </w:r>
                  <w:r w:rsidR="0047327D" w:rsidRPr="0047327D">
                    <w:rPr>
                      <w:rFonts w:ascii="Arial" w:hAnsi="Arial" w:cs="Arial"/>
                      <w:b/>
                      <w:sz w:val="20"/>
                    </w:rPr>
                    <w:t>SOMIH</w:t>
                  </w:r>
                  <w:r w:rsidR="001F735C" w:rsidRPr="001F735C">
                    <w:rPr>
                      <w:rStyle w:val="NoteLabel"/>
                    </w:rPr>
                    <w:t>b</w:t>
                  </w:r>
                </w:p>
                <w:p w:rsidR="0076579D" w:rsidRPr="00F30D29" w:rsidRDefault="00333E05" w:rsidP="00AC089E">
                  <w:pPr>
                    <w:pStyle w:val="Figure"/>
                    <w:spacing w:after="60"/>
                  </w:pPr>
                  <w:r>
                    <w:rPr>
                      <w:rFonts w:ascii="Arial" w:hAnsi="Arial" w:cs="Arial"/>
                      <w:b/>
                      <w:noProof/>
                      <w:sz w:val="20"/>
                    </w:rPr>
                    <w:drawing>
                      <wp:inline distT="0" distB="0" distL="0" distR="0">
                        <wp:extent cx="5391150" cy="1809750"/>
                        <wp:effectExtent l="0" t="0" r="0" b="0"/>
                        <wp:docPr id="7" name="Picture 7" descr="Figure 17.2 New allocations to those in greatest need&#10;&#10;SOMIH&#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91150" cy="1809750"/>
                                </a:xfrm>
                                <a:prstGeom prst="rect">
                                  <a:avLst/>
                                </a:prstGeom>
                                <a:noFill/>
                                <a:ln>
                                  <a:noFill/>
                                </a:ln>
                              </pic:spPr>
                            </pic:pic>
                          </a:graphicData>
                        </a:graphic>
                      </wp:inline>
                    </w:drawing>
                  </w:r>
                  <w:r w:rsidR="0076579D" w:rsidRPr="00F7685E">
                    <w:rPr>
                      <w:rFonts w:ascii="Arial" w:hAnsi="Arial" w:cs="Arial"/>
                      <w:b/>
                      <w:sz w:val="20"/>
                    </w:rPr>
                    <w:t xml:space="preserve">Community </w:t>
                  </w:r>
                  <w:r w:rsidR="00195BD1" w:rsidRPr="00F7685E">
                    <w:rPr>
                      <w:rFonts w:ascii="Arial" w:hAnsi="Arial" w:cs="Arial"/>
                      <w:b/>
                      <w:sz w:val="20"/>
                    </w:rPr>
                    <w:t>housing</w:t>
                  </w:r>
                  <w:r w:rsidR="00F30D29" w:rsidRPr="00F7685E">
                    <w:rPr>
                      <w:rStyle w:val="NoteLabel"/>
                      <w:rFonts w:cs="Arial"/>
                      <w:sz w:val="20"/>
                    </w:rPr>
                    <w:t>c</w:t>
                  </w:r>
                  <w:r w:rsidR="007D1214">
                    <w:t xml:space="preserve"> </w:t>
                  </w:r>
                </w:p>
                <w:p w:rsidR="001E26BC" w:rsidRPr="0076579D" w:rsidRDefault="00333E05" w:rsidP="00AC089E">
                  <w:pPr>
                    <w:pStyle w:val="Figure"/>
                    <w:spacing w:after="60"/>
                    <w:rPr>
                      <w:rStyle w:val="NoteLabel"/>
                    </w:rPr>
                  </w:pPr>
                  <w:r>
                    <w:rPr>
                      <w:rFonts w:ascii="Arial" w:hAnsi="Arial"/>
                      <w:b/>
                      <w:noProof/>
                      <w:position w:val="6"/>
                      <w:sz w:val="18"/>
                    </w:rPr>
                    <w:drawing>
                      <wp:inline distT="0" distB="0" distL="0" distR="0">
                        <wp:extent cx="5391150" cy="1790700"/>
                        <wp:effectExtent l="0" t="0" r="0" b="0"/>
                        <wp:docPr id="8" name="Picture 8" descr="Figure 17.2 New allocations to those in greatest need&#10;&#10;Community housing&#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91150" cy="1790700"/>
                                </a:xfrm>
                                <a:prstGeom prst="rect">
                                  <a:avLst/>
                                </a:prstGeom>
                                <a:noFill/>
                                <a:ln>
                                  <a:noFill/>
                                </a:ln>
                              </pic:spPr>
                            </pic:pic>
                          </a:graphicData>
                        </a:graphic>
                      </wp:inline>
                    </w:drawing>
                  </w:r>
                </w:p>
                <w:p w:rsidR="0076579D" w:rsidRPr="0047327D" w:rsidRDefault="00333E05" w:rsidP="00AC089E">
                  <w:pPr>
                    <w:pStyle w:val="Figure"/>
                    <w:spacing w:before="60" w:after="60"/>
                    <w:rPr>
                      <w:rStyle w:val="NoteLabel"/>
                    </w:rPr>
                  </w:pPr>
                  <w:r>
                    <w:rPr>
                      <w:rFonts w:ascii="Arial" w:hAnsi="Arial"/>
                      <w:b/>
                      <w:noProof/>
                      <w:position w:val="6"/>
                      <w:sz w:val="18"/>
                    </w:rPr>
                    <w:drawing>
                      <wp:inline distT="0" distB="0" distL="0" distR="0">
                        <wp:extent cx="5362575" cy="314325"/>
                        <wp:effectExtent l="0" t="0" r="9525" b="9525"/>
                        <wp:docPr id="9" name="Picture 9" descr="Legend to Figure 17.2 New allocations to those in greatest need&#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62575" cy="314325"/>
                                </a:xfrm>
                                <a:prstGeom prst="rect">
                                  <a:avLst/>
                                </a:prstGeom>
                                <a:noFill/>
                                <a:ln>
                                  <a:noFill/>
                                </a:ln>
                              </pic:spPr>
                            </pic:pic>
                          </a:graphicData>
                        </a:graphic>
                      </wp:inline>
                    </w:drawing>
                  </w:r>
                </w:p>
              </w:tc>
            </w:tr>
          </w:tbl>
          <w:p w:rsidR="00956E84" w:rsidRDefault="00956E84" w:rsidP="00334F07">
            <w:pPr>
              <w:pStyle w:val="Figure"/>
            </w:pPr>
          </w:p>
        </w:tc>
      </w:tr>
      <w:tr w:rsidR="00956E84" w:rsidRPr="00176D3F" w:rsidTr="00B6576C">
        <w:tc>
          <w:tcPr>
            <w:tcW w:w="5000" w:type="pct"/>
            <w:tcBorders>
              <w:top w:val="nil"/>
              <w:left w:val="nil"/>
              <w:bottom w:val="nil"/>
              <w:right w:val="nil"/>
            </w:tcBorders>
            <w:shd w:val="clear" w:color="auto" w:fill="auto"/>
          </w:tcPr>
          <w:p w:rsidR="00956E84" w:rsidRPr="00176D3F" w:rsidRDefault="00956E84" w:rsidP="00F30D29">
            <w:pPr>
              <w:pStyle w:val="Note"/>
            </w:pPr>
            <w:r>
              <w:rPr>
                <w:rStyle w:val="NoteLabel"/>
              </w:rPr>
              <w:t>a</w:t>
            </w:r>
            <w:r>
              <w:t xml:space="preserve"> </w:t>
            </w:r>
            <w:r w:rsidR="009E06F0">
              <w:t>See box</w:t>
            </w:r>
            <w:r w:rsidR="007D1214">
              <w:t> </w:t>
            </w:r>
            <w:r w:rsidR="009E06F0">
              <w:t>17.6 and tables</w:t>
            </w:r>
            <w:r w:rsidR="007D1214">
              <w:t> </w:t>
            </w:r>
            <w:proofErr w:type="spellStart"/>
            <w:r w:rsidR="009E06F0">
              <w:t>17A.9</w:t>
            </w:r>
            <w:proofErr w:type="spellEnd"/>
            <w:r w:rsidR="009E06F0">
              <w:t>–11</w:t>
            </w:r>
            <w:r w:rsidR="00B5457F">
              <w:t xml:space="preserve"> for detailed </w:t>
            </w:r>
            <w:r w:rsidR="00AC0EFD">
              <w:t xml:space="preserve">definitions, footnotes and </w:t>
            </w:r>
            <w:r w:rsidR="00B5457F">
              <w:t xml:space="preserve">caveats. </w:t>
            </w:r>
            <w:r w:rsidR="001F735C" w:rsidRPr="001F735C">
              <w:rPr>
                <w:rStyle w:val="NoteLabel"/>
              </w:rPr>
              <w:t>b</w:t>
            </w:r>
            <w:r w:rsidR="001F735C">
              <w:rPr>
                <w:rStyle w:val="NoteLabel"/>
              </w:rPr>
              <w:t xml:space="preserve"> </w:t>
            </w:r>
            <w:r w:rsidR="001F735C" w:rsidRPr="001F735C">
              <w:t>Data</w:t>
            </w:r>
            <w:r w:rsidR="001F735C">
              <w:t xml:space="preserve"> are not available for Tasmania.</w:t>
            </w:r>
            <w:r w:rsidR="00F30D29">
              <w:t xml:space="preserve"> </w:t>
            </w:r>
            <w:r w:rsidR="00F30D29">
              <w:rPr>
                <w:rStyle w:val="NoteLabel"/>
              </w:rPr>
              <w:t xml:space="preserve">c </w:t>
            </w:r>
            <w:r w:rsidR="00F30D29">
              <w:t>Data are not available for the Northern Territory.</w:t>
            </w:r>
          </w:p>
        </w:tc>
      </w:tr>
      <w:tr w:rsidR="00956E84" w:rsidRPr="00176D3F" w:rsidTr="00B6576C">
        <w:tc>
          <w:tcPr>
            <w:tcW w:w="5000" w:type="pct"/>
            <w:tcBorders>
              <w:top w:val="nil"/>
              <w:left w:val="nil"/>
              <w:bottom w:val="nil"/>
              <w:right w:val="nil"/>
            </w:tcBorders>
            <w:shd w:val="clear" w:color="auto" w:fill="auto"/>
          </w:tcPr>
          <w:p w:rsidR="00956E84" w:rsidRPr="00176D3F" w:rsidRDefault="00D941FB" w:rsidP="00B5457F">
            <w:pPr>
              <w:pStyle w:val="Source"/>
            </w:pPr>
            <w:r>
              <w:rPr>
                <w:i/>
              </w:rPr>
              <w:t>Sou</w:t>
            </w:r>
            <w:r w:rsidR="00956E84" w:rsidRPr="00784A05">
              <w:rPr>
                <w:i/>
              </w:rPr>
              <w:t>rce</w:t>
            </w:r>
            <w:r w:rsidR="00956E84" w:rsidRPr="00176D3F">
              <w:t xml:space="preserve">: </w:t>
            </w:r>
            <w:r w:rsidR="00346293" w:rsidRPr="00346293">
              <w:t xml:space="preserve">AIHW (unpublished) </w:t>
            </w:r>
            <w:r w:rsidR="00334274" w:rsidRPr="008E1D76">
              <w:t>National Housing Assistance Data Repository</w:t>
            </w:r>
            <w:r w:rsidR="001F735C">
              <w:t>; tables</w:t>
            </w:r>
            <w:r w:rsidR="007D1214">
              <w:t> </w:t>
            </w:r>
            <w:proofErr w:type="spellStart"/>
            <w:r w:rsidR="001F735C">
              <w:t>17A.9</w:t>
            </w:r>
            <w:proofErr w:type="spellEnd"/>
            <w:r w:rsidR="001F735C">
              <w:t>–11.</w:t>
            </w:r>
          </w:p>
        </w:tc>
      </w:tr>
      <w:tr w:rsidR="00956E84" w:rsidTr="00B6576C">
        <w:tc>
          <w:tcPr>
            <w:tcW w:w="5000" w:type="pct"/>
            <w:tcBorders>
              <w:top w:val="nil"/>
              <w:left w:val="nil"/>
              <w:bottom w:val="single" w:sz="6" w:space="0" w:color="78A22F"/>
              <w:right w:val="nil"/>
            </w:tcBorders>
            <w:shd w:val="clear" w:color="auto" w:fill="auto"/>
          </w:tcPr>
          <w:p w:rsidR="00956E84" w:rsidRDefault="00956E84" w:rsidP="00334F07">
            <w:pPr>
              <w:pStyle w:val="Figurespace"/>
            </w:pPr>
          </w:p>
        </w:tc>
      </w:tr>
      <w:tr w:rsidR="00956E84" w:rsidRPr="000863A5" w:rsidTr="00B6576C">
        <w:tc>
          <w:tcPr>
            <w:tcW w:w="5000" w:type="pct"/>
            <w:tcBorders>
              <w:top w:val="single" w:sz="6" w:space="0" w:color="78A22F"/>
              <w:left w:val="nil"/>
              <w:bottom w:val="nil"/>
              <w:right w:val="nil"/>
            </w:tcBorders>
            <w:shd w:val="clear" w:color="auto" w:fill="auto"/>
          </w:tcPr>
          <w:p w:rsidR="00956E84" w:rsidRPr="00626D32" w:rsidRDefault="00956E84" w:rsidP="00334F07">
            <w:pPr>
              <w:pStyle w:val="BoxSpaceBelow"/>
            </w:pPr>
          </w:p>
        </w:tc>
      </w:tr>
    </w:tbl>
    <w:p w:rsidR="009174C8" w:rsidRDefault="009174C8" w:rsidP="009174C8">
      <w:pPr>
        <w:pStyle w:val="Heading5"/>
      </w:pPr>
      <w:r>
        <w:lastRenderedPageBreak/>
        <w:t>P</w:t>
      </w:r>
      <w:r w:rsidRPr="00956E84">
        <w:t>roportion of new allocations to households in greatest need</w:t>
      </w:r>
      <w:r>
        <w:t xml:space="preserve"> within particular timeframes</w:t>
      </w:r>
    </w:p>
    <w:p w:rsidR="00952220" w:rsidRDefault="00DC7412" w:rsidP="00952220">
      <w:pPr>
        <w:pStyle w:val="BodyText"/>
      </w:pPr>
      <w:r>
        <w:rPr>
          <w:color w:val="000000" w:themeColor="text1"/>
        </w:rPr>
        <w:t>Nationally</w:t>
      </w:r>
      <w:r w:rsidR="00F76C54">
        <w:rPr>
          <w:color w:val="000000" w:themeColor="text1"/>
        </w:rPr>
        <w:t xml:space="preserve"> in 2014</w:t>
      </w:r>
      <w:r w:rsidR="007D1214">
        <w:rPr>
          <w:color w:val="000000" w:themeColor="text1"/>
        </w:rPr>
        <w:noBreakHyphen/>
      </w:r>
      <w:r w:rsidR="00F76C54">
        <w:rPr>
          <w:color w:val="000000" w:themeColor="text1"/>
        </w:rPr>
        <w:t>15</w:t>
      </w:r>
      <w:r w:rsidR="00D23C4B">
        <w:rPr>
          <w:color w:val="000000" w:themeColor="text1"/>
        </w:rPr>
        <w:t xml:space="preserve">, </w:t>
      </w:r>
      <w:r w:rsidR="001F735C">
        <w:rPr>
          <w:color w:val="000000" w:themeColor="text1"/>
        </w:rPr>
        <w:t>of all households allocated public housing within three months</w:t>
      </w:r>
      <w:r w:rsidR="00F76C54">
        <w:rPr>
          <w:color w:val="000000" w:themeColor="text1"/>
        </w:rPr>
        <w:t>,</w:t>
      </w:r>
      <w:r w:rsidR="001F735C">
        <w:rPr>
          <w:color w:val="000000" w:themeColor="text1"/>
        </w:rPr>
        <w:t xml:space="preserve"> </w:t>
      </w:r>
      <w:r w:rsidR="005C79CA">
        <w:rPr>
          <w:color w:val="000000" w:themeColor="text1"/>
        </w:rPr>
        <w:t>85.1 per cent</w:t>
      </w:r>
      <w:r>
        <w:rPr>
          <w:color w:val="000000" w:themeColor="text1"/>
        </w:rPr>
        <w:t xml:space="preserve"> </w:t>
      </w:r>
      <w:r w:rsidR="001F735C">
        <w:rPr>
          <w:color w:val="000000" w:themeColor="text1"/>
        </w:rPr>
        <w:t xml:space="preserve">were </w:t>
      </w:r>
      <w:r w:rsidR="00A949D5">
        <w:rPr>
          <w:color w:val="000000" w:themeColor="text1"/>
        </w:rPr>
        <w:t>households in greatest need</w:t>
      </w:r>
      <w:r w:rsidR="00F30D29">
        <w:rPr>
          <w:color w:val="000000" w:themeColor="text1"/>
        </w:rPr>
        <w:t>. F</w:t>
      </w:r>
      <w:r w:rsidR="00F76C54">
        <w:rPr>
          <w:color w:val="000000" w:themeColor="text1"/>
        </w:rPr>
        <w:t xml:space="preserve">or </w:t>
      </w:r>
      <w:r w:rsidR="00A949D5">
        <w:rPr>
          <w:color w:val="000000" w:themeColor="text1"/>
        </w:rPr>
        <w:t xml:space="preserve">households allocated SOMIH within three months 63.4 per cent were households in greatest need </w:t>
      </w:r>
      <w:r w:rsidR="001851FB" w:rsidRPr="003A341A">
        <w:t>(table</w:t>
      </w:r>
      <w:r w:rsidR="00440C6A">
        <w:t> </w:t>
      </w:r>
      <w:r w:rsidR="00463387">
        <w:t>17.</w:t>
      </w:r>
      <w:r w:rsidR="00F76C54">
        <w:t>3</w:t>
      </w:r>
      <w:r w:rsidR="001851FB">
        <w:t>).</w:t>
      </w:r>
      <w:r>
        <w:t xml:space="preserve"> </w:t>
      </w:r>
    </w:p>
    <w:p w:rsidR="00952220" w:rsidRPr="00952220" w:rsidRDefault="00952220" w:rsidP="00AF1F34">
      <w:pPr>
        <w:pStyle w:val="BodyText"/>
        <w:keepNext/>
        <w:rPr>
          <w:color w:val="000000" w:themeColor="text1"/>
        </w:rPr>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952220" w:rsidTr="00490A13">
        <w:tc>
          <w:tcPr>
            <w:tcW w:w="8771" w:type="dxa"/>
            <w:tcBorders>
              <w:top w:val="single" w:sz="6" w:space="0" w:color="78A22F"/>
              <w:left w:val="nil"/>
              <w:bottom w:val="nil"/>
              <w:right w:val="nil"/>
            </w:tcBorders>
            <w:shd w:val="clear" w:color="auto" w:fill="auto"/>
          </w:tcPr>
          <w:p w:rsidR="00952220" w:rsidRPr="00784A05" w:rsidRDefault="00952220" w:rsidP="00CB5252">
            <w:pPr>
              <w:pStyle w:val="TableTitle"/>
            </w:pPr>
            <w:r>
              <w:rPr>
                <w:b w:val="0"/>
              </w:rPr>
              <w:t xml:space="preserve">Table </w:t>
            </w:r>
            <w:r w:rsidR="00CB5252">
              <w:rPr>
                <w:b w:val="0"/>
              </w:rPr>
              <w:t>1</w:t>
            </w:r>
            <w:r>
              <w:rPr>
                <w:b w:val="0"/>
              </w:rPr>
              <w:t>7.</w:t>
            </w:r>
            <w:r w:rsidR="00F76C54">
              <w:rPr>
                <w:b w:val="0"/>
              </w:rPr>
              <w:t>3</w:t>
            </w:r>
            <w:r>
              <w:tab/>
              <w:t>Proportion of new allocations</w:t>
            </w:r>
            <w:r w:rsidR="00770D96">
              <w:t xml:space="preserve"> to households in greatest need</w:t>
            </w:r>
            <w:r>
              <w:t xml:space="preserve">, within particular timeframes, </w:t>
            </w:r>
            <w:r w:rsidRPr="00733F11">
              <w:t>2014</w:t>
            </w:r>
            <w:r w:rsidR="007D1214">
              <w:noBreakHyphen/>
            </w:r>
            <w:r w:rsidRPr="00733F11">
              <w:t>15</w:t>
            </w:r>
            <w:r w:rsidR="00770D96">
              <w:t xml:space="preserve"> (per cent)</w:t>
            </w:r>
            <w:r w:rsidRPr="00903B4C">
              <w:rPr>
                <w:rStyle w:val="NoteLabel"/>
                <w:b/>
              </w:rPr>
              <w:t>a</w:t>
            </w:r>
          </w:p>
        </w:tc>
      </w:tr>
      <w:tr w:rsidR="00952220" w:rsidTr="00490A13">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245"/>
              <w:gridCol w:w="710"/>
              <w:gridCol w:w="708"/>
              <w:gridCol w:w="708"/>
              <w:gridCol w:w="710"/>
              <w:gridCol w:w="708"/>
              <w:gridCol w:w="710"/>
              <w:gridCol w:w="708"/>
              <w:gridCol w:w="710"/>
              <w:gridCol w:w="570"/>
            </w:tblGrid>
            <w:tr w:rsidR="00952220" w:rsidTr="00490A13">
              <w:tc>
                <w:tcPr>
                  <w:tcW w:w="1323" w:type="pct"/>
                  <w:tcBorders>
                    <w:top w:val="single" w:sz="6" w:space="0" w:color="BFBFBF"/>
                    <w:bottom w:val="single" w:sz="6" w:space="0" w:color="BFBFBF"/>
                  </w:tcBorders>
                  <w:shd w:val="clear" w:color="auto" w:fill="auto"/>
                  <w:tcMar>
                    <w:top w:w="28" w:type="dxa"/>
                  </w:tcMar>
                </w:tcPr>
                <w:p w:rsidR="00952220" w:rsidRDefault="00952220" w:rsidP="00490A13">
                  <w:pPr>
                    <w:pStyle w:val="TableColumnHeading"/>
                    <w:ind w:right="28"/>
                  </w:pPr>
                </w:p>
              </w:tc>
              <w:tc>
                <w:tcPr>
                  <w:tcW w:w="418" w:type="pct"/>
                  <w:tcBorders>
                    <w:top w:val="single" w:sz="6" w:space="0" w:color="BFBFBF"/>
                    <w:bottom w:val="single" w:sz="6" w:space="0" w:color="BFBFBF"/>
                  </w:tcBorders>
                  <w:shd w:val="clear" w:color="auto" w:fill="auto"/>
                </w:tcPr>
                <w:p w:rsidR="00952220" w:rsidRDefault="00952220" w:rsidP="00490A13">
                  <w:pPr>
                    <w:pStyle w:val="TableColumnHeading"/>
                    <w:ind w:right="28"/>
                  </w:pPr>
                  <w:r>
                    <w:t>NSW</w:t>
                  </w:r>
                </w:p>
              </w:tc>
              <w:tc>
                <w:tcPr>
                  <w:tcW w:w="417" w:type="pct"/>
                  <w:tcBorders>
                    <w:top w:val="single" w:sz="6" w:space="0" w:color="BFBFBF"/>
                    <w:bottom w:val="single" w:sz="6" w:space="0" w:color="BFBFBF"/>
                  </w:tcBorders>
                  <w:shd w:val="clear" w:color="auto" w:fill="auto"/>
                </w:tcPr>
                <w:p w:rsidR="00952220" w:rsidRDefault="00952220" w:rsidP="00490A13">
                  <w:pPr>
                    <w:pStyle w:val="TableColumnHeading"/>
                    <w:ind w:right="28"/>
                  </w:pPr>
                  <w:r>
                    <w:t>Vic</w:t>
                  </w:r>
                </w:p>
              </w:tc>
              <w:tc>
                <w:tcPr>
                  <w:tcW w:w="417" w:type="pct"/>
                  <w:tcBorders>
                    <w:top w:val="single" w:sz="6" w:space="0" w:color="BFBFBF"/>
                    <w:bottom w:val="single" w:sz="6" w:space="0" w:color="BFBFBF"/>
                  </w:tcBorders>
                  <w:shd w:val="clear" w:color="auto" w:fill="auto"/>
                </w:tcPr>
                <w:p w:rsidR="00952220" w:rsidRDefault="00952220" w:rsidP="00490A13">
                  <w:pPr>
                    <w:pStyle w:val="TableColumnHeading"/>
                    <w:ind w:right="28"/>
                  </w:pPr>
                  <w:r>
                    <w:t>Qld</w:t>
                  </w:r>
                </w:p>
              </w:tc>
              <w:tc>
                <w:tcPr>
                  <w:tcW w:w="418" w:type="pct"/>
                  <w:tcBorders>
                    <w:top w:val="single" w:sz="6" w:space="0" w:color="BFBFBF"/>
                    <w:bottom w:val="single" w:sz="6" w:space="0" w:color="BFBFBF"/>
                  </w:tcBorders>
                  <w:shd w:val="clear" w:color="auto" w:fill="auto"/>
                </w:tcPr>
                <w:p w:rsidR="00952220" w:rsidRDefault="00952220" w:rsidP="00490A13">
                  <w:pPr>
                    <w:pStyle w:val="TableColumnHeading"/>
                    <w:ind w:right="28"/>
                  </w:pPr>
                  <w:r>
                    <w:t>WA</w:t>
                  </w:r>
                </w:p>
              </w:tc>
              <w:tc>
                <w:tcPr>
                  <w:tcW w:w="417" w:type="pct"/>
                  <w:tcBorders>
                    <w:top w:val="single" w:sz="6" w:space="0" w:color="BFBFBF"/>
                    <w:bottom w:val="single" w:sz="6" w:space="0" w:color="BFBFBF"/>
                  </w:tcBorders>
                  <w:shd w:val="clear" w:color="auto" w:fill="auto"/>
                </w:tcPr>
                <w:p w:rsidR="00952220" w:rsidRDefault="00952220" w:rsidP="00490A13">
                  <w:pPr>
                    <w:pStyle w:val="TableColumnHeading"/>
                    <w:ind w:right="28"/>
                  </w:pPr>
                  <w:r>
                    <w:t>SA</w:t>
                  </w:r>
                </w:p>
              </w:tc>
              <w:tc>
                <w:tcPr>
                  <w:tcW w:w="418" w:type="pct"/>
                  <w:tcBorders>
                    <w:top w:val="single" w:sz="6" w:space="0" w:color="BFBFBF"/>
                    <w:bottom w:val="single" w:sz="6" w:space="0" w:color="BFBFBF"/>
                  </w:tcBorders>
                  <w:shd w:val="clear" w:color="auto" w:fill="auto"/>
                </w:tcPr>
                <w:p w:rsidR="00952220" w:rsidRDefault="00952220" w:rsidP="00490A13">
                  <w:pPr>
                    <w:pStyle w:val="TableColumnHeading"/>
                    <w:ind w:right="28"/>
                  </w:pPr>
                  <w:r>
                    <w:t>Tas</w:t>
                  </w:r>
                </w:p>
              </w:tc>
              <w:tc>
                <w:tcPr>
                  <w:tcW w:w="417" w:type="pct"/>
                  <w:tcBorders>
                    <w:top w:val="single" w:sz="6" w:space="0" w:color="BFBFBF"/>
                    <w:bottom w:val="single" w:sz="6" w:space="0" w:color="BFBFBF"/>
                  </w:tcBorders>
                  <w:shd w:val="clear" w:color="auto" w:fill="auto"/>
                </w:tcPr>
                <w:p w:rsidR="00952220" w:rsidRDefault="00952220" w:rsidP="00490A13">
                  <w:pPr>
                    <w:pStyle w:val="TableColumnHeading"/>
                    <w:ind w:right="28"/>
                  </w:pPr>
                  <w:r>
                    <w:t>ACT</w:t>
                  </w:r>
                </w:p>
              </w:tc>
              <w:tc>
                <w:tcPr>
                  <w:tcW w:w="418" w:type="pct"/>
                  <w:tcBorders>
                    <w:top w:val="single" w:sz="6" w:space="0" w:color="BFBFBF"/>
                    <w:bottom w:val="single" w:sz="6" w:space="0" w:color="BFBFBF"/>
                  </w:tcBorders>
                  <w:shd w:val="clear" w:color="auto" w:fill="auto"/>
                </w:tcPr>
                <w:p w:rsidR="00952220" w:rsidRDefault="00952220" w:rsidP="00490A13">
                  <w:pPr>
                    <w:pStyle w:val="TableColumnHeading"/>
                    <w:ind w:right="28"/>
                  </w:pPr>
                  <w:r>
                    <w:t>NT</w:t>
                  </w:r>
                </w:p>
              </w:tc>
              <w:tc>
                <w:tcPr>
                  <w:tcW w:w="336" w:type="pct"/>
                  <w:tcBorders>
                    <w:top w:val="single" w:sz="6" w:space="0" w:color="BFBFBF"/>
                    <w:bottom w:val="single" w:sz="6" w:space="0" w:color="BFBFBF"/>
                  </w:tcBorders>
                  <w:shd w:val="clear" w:color="auto" w:fill="auto"/>
                </w:tcPr>
                <w:p w:rsidR="00952220" w:rsidRDefault="00952220" w:rsidP="00490A13">
                  <w:pPr>
                    <w:pStyle w:val="TableColumnHeading"/>
                    <w:ind w:right="28"/>
                  </w:pPr>
                  <w:r>
                    <w:t>Aust</w:t>
                  </w:r>
                </w:p>
              </w:tc>
            </w:tr>
            <w:tr w:rsidR="00952220" w:rsidTr="00490A13">
              <w:tc>
                <w:tcPr>
                  <w:tcW w:w="1323" w:type="pct"/>
                  <w:tcBorders>
                    <w:top w:val="single" w:sz="6" w:space="0" w:color="BFBFBF"/>
                  </w:tcBorders>
                </w:tcPr>
                <w:p w:rsidR="00952220" w:rsidRPr="006C0D79" w:rsidRDefault="00952220" w:rsidP="00490A13">
                  <w:pPr>
                    <w:pStyle w:val="TableUnitsRow"/>
                    <w:spacing w:before="80"/>
                    <w:ind w:right="28"/>
                    <w:jc w:val="left"/>
                    <w:rPr>
                      <w:i/>
                      <w:szCs w:val="18"/>
                    </w:rPr>
                  </w:pPr>
                  <w:r w:rsidRPr="006C0D79">
                    <w:rPr>
                      <w:rFonts w:cs="Arial"/>
                      <w:i/>
                      <w:color w:val="000000"/>
                      <w:szCs w:val="18"/>
                    </w:rPr>
                    <w:t>Public housing</w:t>
                  </w:r>
                </w:p>
              </w:tc>
              <w:tc>
                <w:tcPr>
                  <w:tcW w:w="418" w:type="pct"/>
                  <w:tcBorders>
                    <w:top w:val="single" w:sz="6" w:space="0" w:color="BFBFBF"/>
                  </w:tcBorders>
                  <w:vAlign w:val="bottom"/>
                </w:tcPr>
                <w:p w:rsidR="00952220" w:rsidRPr="006C0D79" w:rsidRDefault="00952220" w:rsidP="00490A13">
                  <w:pPr>
                    <w:spacing w:before="80" w:after="40" w:line="200" w:lineRule="atLeast"/>
                    <w:ind w:right="28"/>
                    <w:jc w:val="right"/>
                    <w:rPr>
                      <w:rFonts w:asciiTheme="minorHAnsi" w:hAnsiTheme="minorHAnsi" w:cstheme="minorHAnsi"/>
                      <w:sz w:val="18"/>
                      <w:szCs w:val="18"/>
                    </w:rPr>
                  </w:pPr>
                </w:p>
              </w:tc>
              <w:tc>
                <w:tcPr>
                  <w:tcW w:w="417" w:type="pct"/>
                  <w:tcBorders>
                    <w:top w:val="single" w:sz="6" w:space="0" w:color="BFBFBF"/>
                  </w:tcBorders>
                  <w:vAlign w:val="bottom"/>
                </w:tcPr>
                <w:p w:rsidR="00952220" w:rsidRPr="006C0D79" w:rsidRDefault="00952220" w:rsidP="00490A13">
                  <w:pPr>
                    <w:spacing w:before="80" w:after="40" w:line="200" w:lineRule="atLeast"/>
                    <w:ind w:right="28"/>
                    <w:jc w:val="right"/>
                    <w:rPr>
                      <w:rFonts w:asciiTheme="minorHAnsi" w:hAnsiTheme="minorHAnsi" w:cstheme="minorHAnsi"/>
                      <w:sz w:val="18"/>
                      <w:szCs w:val="18"/>
                    </w:rPr>
                  </w:pPr>
                </w:p>
              </w:tc>
              <w:tc>
                <w:tcPr>
                  <w:tcW w:w="417" w:type="pct"/>
                  <w:tcBorders>
                    <w:top w:val="single" w:sz="6" w:space="0" w:color="BFBFBF"/>
                  </w:tcBorders>
                  <w:vAlign w:val="bottom"/>
                </w:tcPr>
                <w:p w:rsidR="00952220" w:rsidRPr="006C0D79" w:rsidRDefault="00952220" w:rsidP="00490A13">
                  <w:pPr>
                    <w:spacing w:before="80" w:after="40" w:line="200" w:lineRule="atLeast"/>
                    <w:ind w:right="28"/>
                    <w:jc w:val="right"/>
                    <w:rPr>
                      <w:rFonts w:asciiTheme="minorHAnsi" w:hAnsiTheme="minorHAnsi" w:cstheme="minorHAnsi"/>
                      <w:sz w:val="18"/>
                      <w:szCs w:val="18"/>
                    </w:rPr>
                  </w:pPr>
                </w:p>
              </w:tc>
              <w:tc>
                <w:tcPr>
                  <w:tcW w:w="418" w:type="pct"/>
                  <w:tcBorders>
                    <w:top w:val="single" w:sz="6" w:space="0" w:color="BFBFBF"/>
                  </w:tcBorders>
                  <w:vAlign w:val="bottom"/>
                </w:tcPr>
                <w:p w:rsidR="00952220" w:rsidRPr="006C0D79" w:rsidRDefault="00952220" w:rsidP="00490A13">
                  <w:pPr>
                    <w:spacing w:before="80" w:after="40" w:line="200" w:lineRule="atLeast"/>
                    <w:ind w:right="28"/>
                    <w:jc w:val="right"/>
                    <w:rPr>
                      <w:rFonts w:asciiTheme="minorHAnsi" w:hAnsiTheme="minorHAnsi" w:cstheme="minorHAnsi"/>
                      <w:sz w:val="18"/>
                      <w:szCs w:val="18"/>
                    </w:rPr>
                  </w:pPr>
                </w:p>
              </w:tc>
              <w:tc>
                <w:tcPr>
                  <w:tcW w:w="417" w:type="pct"/>
                  <w:tcBorders>
                    <w:top w:val="single" w:sz="6" w:space="0" w:color="BFBFBF"/>
                  </w:tcBorders>
                  <w:vAlign w:val="bottom"/>
                </w:tcPr>
                <w:p w:rsidR="00952220" w:rsidRPr="006C0D79" w:rsidRDefault="00952220" w:rsidP="00490A13">
                  <w:pPr>
                    <w:spacing w:before="80" w:after="40" w:line="200" w:lineRule="atLeast"/>
                    <w:ind w:right="28"/>
                    <w:jc w:val="right"/>
                    <w:rPr>
                      <w:rFonts w:asciiTheme="minorHAnsi" w:hAnsiTheme="minorHAnsi" w:cstheme="minorHAnsi"/>
                      <w:sz w:val="18"/>
                      <w:szCs w:val="18"/>
                    </w:rPr>
                  </w:pPr>
                </w:p>
              </w:tc>
              <w:tc>
                <w:tcPr>
                  <w:tcW w:w="418" w:type="pct"/>
                  <w:tcBorders>
                    <w:top w:val="single" w:sz="6" w:space="0" w:color="BFBFBF"/>
                  </w:tcBorders>
                  <w:vAlign w:val="bottom"/>
                </w:tcPr>
                <w:p w:rsidR="00952220" w:rsidRPr="006C0D79" w:rsidRDefault="00952220" w:rsidP="00490A13">
                  <w:pPr>
                    <w:spacing w:before="80" w:after="40" w:line="200" w:lineRule="atLeast"/>
                    <w:ind w:right="28"/>
                    <w:jc w:val="right"/>
                    <w:rPr>
                      <w:rFonts w:asciiTheme="minorHAnsi" w:hAnsiTheme="minorHAnsi" w:cstheme="minorHAnsi"/>
                      <w:sz w:val="18"/>
                      <w:szCs w:val="18"/>
                    </w:rPr>
                  </w:pPr>
                </w:p>
              </w:tc>
              <w:tc>
                <w:tcPr>
                  <w:tcW w:w="417" w:type="pct"/>
                  <w:tcBorders>
                    <w:top w:val="single" w:sz="6" w:space="0" w:color="BFBFBF"/>
                  </w:tcBorders>
                  <w:vAlign w:val="bottom"/>
                </w:tcPr>
                <w:p w:rsidR="00952220" w:rsidRPr="006C0D79" w:rsidRDefault="00952220" w:rsidP="00490A13">
                  <w:pPr>
                    <w:spacing w:before="80" w:after="40" w:line="200" w:lineRule="atLeast"/>
                    <w:ind w:right="28"/>
                    <w:jc w:val="right"/>
                    <w:rPr>
                      <w:rFonts w:asciiTheme="minorHAnsi" w:hAnsiTheme="minorHAnsi" w:cstheme="minorHAnsi"/>
                      <w:sz w:val="18"/>
                      <w:szCs w:val="18"/>
                    </w:rPr>
                  </w:pPr>
                </w:p>
              </w:tc>
              <w:tc>
                <w:tcPr>
                  <w:tcW w:w="418" w:type="pct"/>
                  <w:tcBorders>
                    <w:top w:val="single" w:sz="6" w:space="0" w:color="BFBFBF"/>
                  </w:tcBorders>
                  <w:vAlign w:val="bottom"/>
                </w:tcPr>
                <w:p w:rsidR="00952220" w:rsidRPr="006C0D79" w:rsidRDefault="00952220" w:rsidP="00490A13">
                  <w:pPr>
                    <w:spacing w:before="80" w:after="40" w:line="200" w:lineRule="atLeast"/>
                    <w:ind w:right="28"/>
                    <w:jc w:val="right"/>
                    <w:rPr>
                      <w:rFonts w:asciiTheme="minorHAnsi" w:hAnsiTheme="minorHAnsi" w:cstheme="minorHAnsi"/>
                      <w:sz w:val="18"/>
                      <w:szCs w:val="18"/>
                    </w:rPr>
                  </w:pPr>
                </w:p>
              </w:tc>
              <w:tc>
                <w:tcPr>
                  <w:tcW w:w="336" w:type="pct"/>
                  <w:tcBorders>
                    <w:top w:val="single" w:sz="6" w:space="0" w:color="BFBFBF"/>
                  </w:tcBorders>
                  <w:vAlign w:val="bottom"/>
                </w:tcPr>
                <w:p w:rsidR="00952220" w:rsidRPr="006C0D79" w:rsidRDefault="00952220" w:rsidP="00490A13">
                  <w:pPr>
                    <w:spacing w:before="80" w:after="40" w:line="200" w:lineRule="atLeast"/>
                    <w:ind w:right="28"/>
                    <w:jc w:val="right"/>
                    <w:rPr>
                      <w:rFonts w:asciiTheme="minorHAnsi" w:hAnsiTheme="minorHAnsi" w:cstheme="minorHAnsi"/>
                      <w:sz w:val="18"/>
                      <w:szCs w:val="18"/>
                    </w:rPr>
                  </w:pPr>
                </w:p>
              </w:tc>
            </w:tr>
            <w:tr w:rsidR="00952220" w:rsidTr="00490A13">
              <w:tc>
                <w:tcPr>
                  <w:tcW w:w="1323" w:type="pct"/>
                  <w:vAlign w:val="center"/>
                </w:tcPr>
                <w:p w:rsidR="00952220" w:rsidRPr="006C0D79" w:rsidRDefault="00952220" w:rsidP="00490A13">
                  <w:pPr>
                    <w:pStyle w:val="TableBodyText"/>
                    <w:jc w:val="left"/>
                    <w:rPr>
                      <w:rFonts w:cs="Arial"/>
                      <w:szCs w:val="18"/>
                    </w:rPr>
                  </w:pPr>
                  <w:r w:rsidRPr="006C0D79">
                    <w:rPr>
                      <w:rFonts w:cs="Arial"/>
                      <w:szCs w:val="18"/>
                    </w:rPr>
                    <w:t>Under 3 months</w:t>
                  </w:r>
                </w:p>
              </w:tc>
              <w:tc>
                <w:tcPr>
                  <w:tcW w:w="418" w:type="pct"/>
                </w:tcPr>
                <w:p w:rsidR="00952220" w:rsidRPr="004516B9" w:rsidRDefault="007D1214" w:rsidP="00490A13">
                  <w:pPr>
                    <w:pStyle w:val="TableBodyText"/>
                    <w:ind w:right="28"/>
                  </w:pPr>
                  <w:r>
                    <w:t xml:space="preserve"> </w:t>
                  </w:r>
                  <w:r w:rsidR="00952220" w:rsidRPr="004516B9">
                    <w:t>70.9</w:t>
                  </w:r>
                </w:p>
              </w:tc>
              <w:tc>
                <w:tcPr>
                  <w:tcW w:w="417" w:type="pct"/>
                </w:tcPr>
                <w:p w:rsidR="00952220" w:rsidRPr="004516B9" w:rsidRDefault="007D1214" w:rsidP="00490A13">
                  <w:pPr>
                    <w:pStyle w:val="TableBodyText"/>
                    <w:ind w:left="1441" w:right="28" w:hanging="1435"/>
                  </w:pPr>
                  <w:r>
                    <w:t xml:space="preserve"> </w:t>
                  </w:r>
                  <w:r w:rsidR="00952220" w:rsidRPr="004516B9">
                    <w:t>86.3</w:t>
                  </w:r>
                </w:p>
              </w:tc>
              <w:tc>
                <w:tcPr>
                  <w:tcW w:w="417" w:type="pct"/>
                </w:tcPr>
                <w:p w:rsidR="00952220" w:rsidRPr="004516B9" w:rsidRDefault="007D1214" w:rsidP="00490A13">
                  <w:pPr>
                    <w:pStyle w:val="TableBodyText"/>
                    <w:ind w:left="1441" w:right="28" w:hanging="1435"/>
                  </w:pPr>
                  <w:r>
                    <w:t xml:space="preserve"> </w:t>
                  </w:r>
                  <w:r w:rsidR="00952220" w:rsidRPr="004516B9">
                    <w:t>96.6</w:t>
                  </w:r>
                </w:p>
              </w:tc>
              <w:tc>
                <w:tcPr>
                  <w:tcW w:w="418" w:type="pct"/>
                </w:tcPr>
                <w:p w:rsidR="00952220" w:rsidRPr="004516B9" w:rsidRDefault="007D1214" w:rsidP="00490A13">
                  <w:pPr>
                    <w:pStyle w:val="TableBodyText"/>
                    <w:ind w:left="1441" w:right="28" w:hanging="1435"/>
                  </w:pPr>
                  <w:r>
                    <w:t xml:space="preserve"> </w:t>
                  </w:r>
                  <w:r w:rsidR="00952220" w:rsidRPr="004516B9">
                    <w:t>63.2</w:t>
                  </w:r>
                </w:p>
              </w:tc>
              <w:tc>
                <w:tcPr>
                  <w:tcW w:w="417" w:type="pct"/>
                </w:tcPr>
                <w:p w:rsidR="00952220" w:rsidRPr="004516B9" w:rsidRDefault="007D1214" w:rsidP="00490A13">
                  <w:pPr>
                    <w:pStyle w:val="TableBodyText"/>
                    <w:ind w:left="1441" w:right="28" w:hanging="1435"/>
                  </w:pPr>
                  <w:r>
                    <w:t xml:space="preserve"> </w:t>
                  </w:r>
                  <w:r w:rsidR="00952220" w:rsidRPr="004516B9">
                    <w:t>87.0</w:t>
                  </w:r>
                </w:p>
              </w:tc>
              <w:tc>
                <w:tcPr>
                  <w:tcW w:w="418" w:type="pct"/>
                </w:tcPr>
                <w:p w:rsidR="00952220" w:rsidRPr="004516B9" w:rsidRDefault="007D1214" w:rsidP="00490A13">
                  <w:pPr>
                    <w:pStyle w:val="TableBodyText"/>
                    <w:ind w:left="1441" w:right="28" w:hanging="1435"/>
                  </w:pPr>
                  <w:r>
                    <w:t xml:space="preserve"> </w:t>
                  </w:r>
                  <w:r w:rsidR="00952220" w:rsidRPr="004516B9">
                    <w:t>80.1</w:t>
                  </w:r>
                </w:p>
              </w:tc>
              <w:tc>
                <w:tcPr>
                  <w:tcW w:w="417" w:type="pct"/>
                </w:tcPr>
                <w:p w:rsidR="00952220" w:rsidRPr="004516B9" w:rsidRDefault="007D1214" w:rsidP="00490A13">
                  <w:pPr>
                    <w:pStyle w:val="TableBodyText"/>
                    <w:ind w:left="1441" w:right="28" w:hanging="1435"/>
                  </w:pPr>
                  <w:r>
                    <w:t xml:space="preserve"> </w:t>
                  </w:r>
                  <w:r w:rsidR="00952220" w:rsidRPr="004516B9">
                    <w:t>98.4</w:t>
                  </w:r>
                </w:p>
              </w:tc>
              <w:tc>
                <w:tcPr>
                  <w:tcW w:w="418" w:type="pct"/>
                </w:tcPr>
                <w:p w:rsidR="00952220" w:rsidRPr="004516B9" w:rsidRDefault="007D1214" w:rsidP="00490A13">
                  <w:pPr>
                    <w:pStyle w:val="TableBodyText"/>
                    <w:ind w:left="1441" w:right="28" w:hanging="1435"/>
                  </w:pPr>
                  <w:r>
                    <w:t xml:space="preserve"> </w:t>
                  </w:r>
                  <w:r w:rsidR="00952220" w:rsidRPr="004516B9">
                    <w:t>45.5</w:t>
                  </w:r>
                </w:p>
              </w:tc>
              <w:tc>
                <w:tcPr>
                  <w:tcW w:w="336" w:type="pct"/>
                </w:tcPr>
                <w:p w:rsidR="00952220" w:rsidRPr="004516B9" w:rsidRDefault="00952220" w:rsidP="00490A13">
                  <w:pPr>
                    <w:pStyle w:val="TableBodyText"/>
                    <w:ind w:left="1441" w:right="28" w:hanging="1435"/>
                  </w:pPr>
                  <w:r w:rsidRPr="004516B9">
                    <w:t>85.1</w:t>
                  </w:r>
                </w:p>
              </w:tc>
            </w:tr>
            <w:tr w:rsidR="00952220" w:rsidTr="00490A13">
              <w:tc>
                <w:tcPr>
                  <w:tcW w:w="1323" w:type="pct"/>
                  <w:vAlign w:val="center"/>
                </w:tcPr>
                <w:p w:rsidR="00952220" w:rsidRPr="006C0D79" w:rsidRDefault="00952220" w:rsidP="00490A13">
                  <w:pPr>
                    <w:pStyle w:val="TableBodyText"/>
                    <w:jc w:val="left"/>
                    <w:rPr>
                      <w:rFonts w:cs="Arial"/>
                      <w:szCs w:val="18"/>
                    </w:rPr>
                  </w:pPr>
                  <w:r w:rsidRPr="006C0D79">
                    <w:rPr>
                      <w:rFonts w:cs="Arial"/>
                      <w:szCs w:val="18"/>
                    </w:rPr>
                    <w:t>3 &lt; 6 months</w:t>
                  </w:r>
                </w:p>
              </w:tc>
              <w:tc>
                <w:tcPr>
                  <w:tcW w:w="418" w:type="pct"/>
                </w:tcPr>
                <w:p w:rsidR="00952220" w:rsidRPr="004516B9" w:rsidRDefault="007D1214" w:rsidP="00490A13">
                  <w:pPr>
                    <w:pStyle w:val="TableBodyText"/>
                    <w:ind w:left="1441" w:right="28" w:hanging="1435"/>
                  </w:pPr>
                  <w:r>
                    <w:t xml:space="preserve"> </w:t>
                  </w:r>
                  <w:r w:rsidR="00952220" w:rsidRPr="004516B9">
                    <w:t>67.7</w:t>
                  </w:r>
                </w:p>
              </w:tc>
              <w:tc>
                <w:tcPr>
                  <w:tcW w:w="417" w:type="pct"/>
                </w:tcPr>
                <w:p w:rsidR="00952220" w:rsidRPr="004516B9" w:rsidRDefault="007D1214" w:rsidP="00490A13">
                  <w:pPr>
                    <w:pStyle w:val="TableBodyText"/>
                    <w:ind w:left="1441" w:right="28" w:hanging="1435"/>
                  </w:pPr>
                  <w:r>
                    <w:t xml:space="preserve"> </w:t>
                  </w:r>
                  <w:r w:rsidR="00952220" w:rsidRPr="004516B9">
                    <w:t>83.8</w:t>
                  </w:r>
                </w:p>
              </w:tc>
              <w:tc>
                <w:tcPr>
                  <w:tcW w:w="417" w:type="pct"/>
                </w:tcPr>
                <w:p w:rsidR="00952220" w:rsidRPr="004516B9" w:rsidRDefault="007D1214" w:rsidP="00490A13">
                  <w:pPr>
                    <w:pStyle w:val="TableBodyText"/>
                    <w:ind w:left="1441" w:right="28" w:hanging="1435"/>
                  </w:pPr>
                  <w:r>
                    <w:t xml:space="preserve"> </w:t>
                  </w:r>
                  <w:r w:rsidR="00952220" w:rsidRPr="004516B9">
                    <w:t>95.8</w:t>
                  </w:r>
                </w:p>
              </w:tc>
              <w:tc>
                <w:tcPr>
                  <w:tcW w:w="418" w:type="pct"/>
                </w:tcPr>
                <w:p w:rsidR="00952220" w:rsidRPr="004516B9" w:rsidRDefault="007D1214" w:rsidP="00490A13">
                  <w:pPr>
                    <w:pStyle w:val="TableBodyText"/>
                    <w:ind w:left="1441" w:right="28" w:hanging="1435"/>
                  </w:pPr>
                  <w:r>
                    <w:t xml:space="preserve"> </w:t>
                  </w:r>
                  <w:r w:rsidR="00952220" w:rsidRPr="004516B9">
                    <w:t>75.0</w:t>
                  </w:r>
                </w:p>
              </w:tc>
              <w:tc>
                <w:tcPr>
                  <w:tcW w:w="417" w:type="pct"/>
                </w:tcPr>
                <w:p w:rsidR="00952220" w:rsidRPr="004516B9" w:rsidRDefault="007D1214" w:rsidP="00490A13">
                  <w:pPr>
                    <w:pStyle w:val="TableBodyText"/>
                    <w:ind w:left="1441" w:right="28" w:hanging="1435"/>
                  </w:pPr>
                  <w:r>
                    <w:t xml:space="preserve"> </w:t>
                  </w:r>
                  <w:r w:rsidR="00952220" w:rsidRPr="004516B9">
                    <w:t>89.3</w:t>
                  </w:r>
                </w:p>
              </w:tc>
              <w:tc>
                <w:tcPr>
                  <w:tcW w:w="418" w:type="pct"/>
                </w:tcPr>
                <w:p w:rsidR="00952220" w:rsidRPr="004516B9" w:rsidRDefault="007D1214" w:rsidP="00490A13">
                  <w:pPr>
                    <w:pStyle w:val="TableBodyText"/>
                    <w:ind w:left="1441" w:right="28" w:hanging="1435"/>
                  </w:pPr>
                  <w:r>
                    <w:t xml:space="preserve"> </w:t>
                  </w:r>
                  <w:r w:rsidR="00952220" w:rsidRPr="004516B9">
                    <w:t>79.1</w:t>
                  </w:r>
                </w:p>
              </w:tc>
              <w:tc>
                <w:tcPr>
                  <w:tcW w:w="417" w:type="pct"/>
                </w:tcPr>
                <w:p w:rsidR="00952220" w:rsidRPr="004516B9" w:rsidRDefault="007D1214" w:rsidP="00490A13">
                  <w:pPr>
                    <w:pStyle w:val="TableBodyText"/>
                    <w:ind w:left="1441" w:right="28" w:hanging="1435"/>
                  </w:pPr>
                  <w:r>
                    <w:t xml:space="preserve"> </w:t>
                  </w:r>
                  <w:r w:rsidR="00952220" w:rsidRPr="004516B9">
                    <w:t>92.4</w:t>
                  </w:r>
                </w:p>
              </w:tc>
              <w:tc>
                <w:tcPr>
                  <w:tcW w:w="418" w:type="pct"/>
                </w:tcPr>
                <w:p w:rsidR="00952220" w:rsidRPr="004516B9" w:rsidRDefault="007D1214" w:rsidP="00490A13">
                  <w:pPr>
                    <w:pStyle w:val="TableBodyText"/>
                    <w:ind w:left="1441" w:right="28" w:hanging="1435"/>
                  </w:pPr>
                  <w:r>
                    <w:t xml:space="preserve"> </w:t>
                  </w:r>
                  <w:r w:rsidR="00952220" w:rsidRPr="004516B9">
                    <w:t>75.0</w:t>
                  </w:r>
                </w:p>
              </w:tc>
              <w:tc>
                <w:tcPr>
                  <w:tcW w:w="336" w:type="pct"/>
                </w:tcPr>
                <w:p w:rsidR="00952220" w:rsidRPr="004516B9" w:rsidRDefault="007D1214" w:rsidP="00490A13">
                  <w:pPr>
                    <w:pStyle w:val="TableBodyText"/>
                    <w:ind w:left="1441" w:right="28" w:hanging="1435"/>
                  </w:pPr>
                  <w:r>
                    <w:t xml:space="preserve"> </w:t>
                  </w:r>
                  <w:r w:rsidR="00952220" w:rsidRPr="004516B9">
                    <w:t>83.3</w:t>
                  </w:r>
                </w:p>
              </w:tc>
            </w:tr>
            <w:tr w:rsidR="00952220" w:rsidTr="00490A13">
              <w:tc>
                <w:tcPr>
                  <w:tcW w:w="1323" w:type="pct"/>
                  <w:vAlign w:val="center"/>
                </w:tcPr>
                <w:p w:rsidR="00952220" w:rsidRPr="006C0D79" w:rsidRDefault="00952220" w:rsidP="00490A13">
                  <w:pPr>
                    <w:pStyle w:val="TableBodyText"/>
                    <w:jc w:val="left"/>
                    <w:rPr>
                      <w:rFonts w:cs="Arial"/>
                      <w:szCs w:val="18"/>
                    </w:rPr>
                  </w:pPr>
                  <w:r w:rsidRPr="006C0D79">
                    <w:rPr>
                      <w:rFonts w:cs="Arial"/>
                      <w:szCs w:val="18"/>
                    </w:rPr>
                    <w:t>6 months to &lt; 1 year</w:t>
                  </w:r>
                </w:p>
              </w:tc>
              <w:tc>
                <w:tcPr>
                  <w:tcW w:w="418" w:type="pct"/>
                </w:tcPr>
                <w:p w:rsidR="00952220" w:rsidRPr="004516B9" w:rsidRDefault="007D1214" w:rsidP="00490A13">
                  <w:pPr>
                    <w:pStyle w:val="TableBodyText"/>
                    <w:ind w:left="1441" w:right="28" w:hanging="1435"/>
                  </w:pPr>
                  <w:r>
                    <w:t xml:space="preserve"> </w:t>
                  </w:r>
                  <w:r w:rsidR="00952220" w:rsidRPr="004516B9">
                    <w:t>60.8</w:t>
                  </w:r>
                </w:p>
              </w:tc>
              <w:tc>
                <w:tcPr>
                  <w:tcW w:w="417" w:type="pct"/>
                </w:tcPr>
                <w:p w:rsidR="00952220" w:rsidRPr="004516B9" w:rsidRDefault="007D1214" w:rsidP="00490A13">
                  <w:pPr>
                    <w:pStyle w:val="TableBodyText"/>
                    <w:ind w:left="1441" w:right="28" w:hanging="1435"/>
                  </w:pPr>
                  <w:r>
                    <w:t xml:space="preserve"> </w:t>
                  </w:r>
                  <w:r w:rsidR="00952220" w:rsidRPr="004516B9">
                    <w:t>81.0</w:t>
                  </w:r>
                </w:p>
              </w:tc>
              <w:tc>
                <w:tcPr>
                  <w:tcW w:w="417" w:type="pct"/>
                </w:tcPr>
                <w:p w:rsidR="00952220" w:rsidRPr="004516B9" w:rsidRDefault="007D1214" w:rsidP="00490A13">
                  <w:pPr>
                    <w:pStyle w:val="TableBodyText"/>
                    <w:ind w:left="1441" w:right="28" w:hanging="1435"/>
                  </w:pPr>
                  <w:r>
                    <w:t xml:space="preserve"> </w:t>
                  </w:r>
                  <w:r w:rsidR="00952220" w:rsidRPr="004516B9">
                    <w:t>96.0</w:t>
                  </w:r>
                </w:p>
              </w:tc>
              <w:tc>
                <w:tcPr>
                  <w:tcW w:w="418" w:type="pct"/>
                </w:tcPr>
                <w:p w:rsidR="00952220" w:rsidRPr="004516B9" w:rsidRDefault="007D1214" w:rsidP="00490A13">
                  <w:pPr>
                    <w:pStyle w:val="TableBodyText"/>
                    <w:ind w:left="1441" w:right="28" w:hanging="1435"/>
                  </w:pPr>
                  <w:r>
                    <w:t xml:space="preserve"> </w:t>
                  </w:r>
                  <w:r w:rsidR="00952220" w:rsidRPr="004516B9">
                    <w:t>83.3</w:t>
                  </w:r>
                </w:p>
              </w:tc>
              <w:tc>
                <w:tcPr>
                  <w:tcW w:w="417" w:type="pct"/>
                </w:tcPr>
                <w:p w:rsidR="00952220" w:rsidRPr="004516B9" w:rsidRDefault="007D1214" w:rsidP="00490A13">
                  <w:pPr>
                    <w:pStyle w:val="TableBodyText"/>
                    <w:ind w:left="1441" w:right="28" w:hanging="1435"/>
                  </w:pPr>
                  <w:r>
                    <w:t xml:space="preserve"> </w:t>
                  </w:r>
                  <w:r w:rsidR="00952220" w:rsidRPr="004516B9">
                    <w:t>88.9</w:t>
                  </w:r>
                </w:p>
              </w:tc>
              <w:tc>
                <w:tcPr>
                  <w:tcW w:w="418" w:type="pct"/>
                </w:tcPr>
                <w:p w:rsidR="00952220" w:rsidRPr="004516B9" w:rsidRDefault="007D1214" w:rsidP="00490A13">
                  <w:pPr>
                    <w:pStyle w:val="TableBodyText"/>
                    <w:ind w:left="1441" w:right="28" w:hanging="1435"/>
                  </w:pPr>
                  <w:r>
                    <w:t xml:space="preserve"> </w:t>
                  </w:r>
                  <w:r w:rsidR="00952220" w:rsidRPr="004516B9">
                    <w:t>84.2</w:t>
                  </w:r>
                </w:p>
              </w:tc>
              <w:tc>
                <w:tcPr>
                  <w:tcW w:w="417" w:type="pct"/>
                </w:tcPr>
                <w:p w:rsidR="00952220" w:rsidRPr="004516B9" w:rsidRDefault="007D1214" w:rsidP="00490A13">
                  <w:pPr>
                    <w:pStyle w:val="TableBodyText"/>
                    <w:ind w:left="1441" w:right="28" w:hanging="1435"/>
                  </w:pPr>
                  <w:r>
                    <w:t xml:space="preserve"> </w:t>
                  </w:r>
                  <w:r w:rsidR="00952220" w:rsidRPr="004516B9">
                    <w:t>96.2</w:t>
                  </w:r>
                </w:p>
              </w:tc>
              <w:tc>
                <w:tcPr>
                  <w:tcW w:w="418" w:type="pct"/>
                </w:tcPr>
                <w:p w:rsidR="00952220" w:rsidRPr="004516B9" w:rsidRDefault="007D1214" w:rsidP="00490A13">
                  <w:pPr>
                    <w:pStyle w:val="TableBodyText"/>
                    <w:ind w:left="1441" w:right="28" w:hanging="1435"/>
                  </w:pPr>
                  <w:r>
                    <w:t xml:space="preserve"> </w:t>
                  </w:r>
                  <w:r w:rsidR="00952220" w:rsidRPr="004516B9">
                    <w:t>68.4</w:t>
                  </w:r>
                </w:p>
              </w:tc>
              <w:tc>
                <w:tcPr>
                  <w:tcW w:w="336" w:type="pct"/>
                </w:tcPr>
                <w:p w:rsidR="00952220" w:rsidRPr="004516B9" w:rsidRDefault="007D1214" w:rsidP="00490A13">
                  <w:pPr>
                    <w:pStyle w:val="TableBodyText"/>
                    <w:ind w:left="1441" w:right="28" w:hanging="1435"/>
                  </w:pPr>
                  <w:r>
                    <w:t xml:space="preserve"> </w:t>
                  </w:r>
                  <w:r w:rsidR="00952220" w:rsidRPr="004516B9">
                    <w:t>80.6</w:t>
                  </w:r>
                </w:p>
              </w:tc>
            </w:tr>
            <w:tr w:rsidR="00952220" w:rsidTr="00490A13">
              <w:tc>
                <w:tcPr>
                  <w:tcW w:w="1323" w:type="pct"/>
                  <w:vAlign w:val="center"/>
                </w:tcPr>
                <w:p w:rsidR="00952220" w:rsidRPr="006C0D79" w:rsidRDefault="00952220" w:rsidP="00490A13">
                  <w:pPr>
                    <w:pStyle w:val="TableBodyText"/>
                    <w:jc w:val="left"/>
                    <w:rPr>
                      <w:rFonts w:cs="Arial"/>
                      <w:szCs w:val="18"/>
                    </w:rPr>
                  </w:pPr>
                  <w:r w:rsidRPr="006C0D79">
                    <w:rPr>
                      <w:rFonts w:cs="Arial"/>
                      <w:szCs w:val="18"/>
                    </w:rPr>
                    <w:t>1 &lt; 2 years</w:t>
                  </w:r>
                </w:p>
              </w:tc>
              <w:tc>
                <w:tcPr>
                  <w:tcW w:w="418" w:type="pct"/>
                </w:tcPr>
                <w:p w:rsidR="00952220" w:rsidRPr="004516B9" w:rsidRDefault="007D1214" w:rsidP="00490A13">
                  <w:pPr>
                    <w:pStyle w:val="TableBodyText"/>
                    <w:ind w:left="1441" w:right="28" w:hanging="1435"/>
                  </w:pPr>
                  <w:r>
                    <w:t xml:space="preserve"> </w:t>
                  </w:r>
                  <w:r w:rsidR="00952220" w:rsidRPr="004516B9">
                    <w:t>32.1</w:t>
                  </w:r>
                </w:p>
              </w:tc>
              <w:tc>
                <w:tcPr>
                  <w:tcW w:w="417" w:type="pct"/>
                </w:tcPr>
                <w:p w:rsidR="00952220" w:rsidRPr="004516B9" w:rsidRDefault="007D1214" w:rsidP="00490A13">
                  <w:pPr>
                    <w:pStyle w:val="TableBodyText"/>
                    <w:ind w:left="1441" w:right="28" w:hanging="1435"/>
                  </w:pPr>
                  <w:r>
                    <w:t xml:space="preserve"> </w:t>
                  </w:r>
                  <w:r w:rsidR="00952220" w:rsidRPr="004516B9">
                    <w:t>88.7</w:t>
                  </w:r>
                </w:p>
              </w:tc>
              <w:tc>
                <w:tcPr>
                  <w:tcW w:w="417" w:type="pct"/>
                </w:tcPr>
                <w:p w:rsidR="00952220" w:rsidRPr="004516B9" w:rsidRDefault="007D1214" w:rsidP="00490A13">
                  <w:pPr>
                    <w:pStyle w:val="TableBodyText"/>
                    <w:ind w:left="1441" w:right="28" w:hanging="1435"/>
                  </w:pPr>
                  <w:r>
                    <w:t xml:space="preserve"> </w:t>
                  </w:r>
                  <w:r w:rsidR="00952220" w:rsidRPr="004516B9">
                    <w:t>94.6</w:t>
                  </w:r>
                </w:p>
              </w:tc>
              <w:tc>
                <w:tcPr>
                  <w:tcW w:w="418" w:type="pct"/>
                </w:tcPr>
                <w:p w:rsidR="00952220" w:rsidRPr="004516B9" w:rsidRDefault="007D1214" w:rsidP="00490A13">
                  <w:pPr>
                    <w:pStyle w:val="TableBodyText"/>
                    <w:ind w:left="1441" w:right="28" w:hanging="1435"/>
                  </w:pPr>
                  <w:r>
                    <w:t xml:space="preserve"> </w:t>
                  </w:r>
                  <w:r w:rsidR="00952220" w:rsidRPr="004516B9">
                    <w:t>69.1</w:t>
                  </w:r>
                </w:p>
              </w:tc>
              <w:tc>
                <w:tcPr>
                  <w:tcW w:w="417" w:type="pct"/>
                </w:tcPr>
                <w:p w:rsidR="00952220" w:rsidRPr="004516B9" w:rsidRDefault="007D1214" w:rsidP="00490A13">
                  <w:pPr>
                    <w:pStyle w:val="TableBodyText"/>
                    <w:ind w:left="1441" w:right="28" w:hanging="1435"/>
                  </w:pPr>
                  <w:r>
                    <w:t xml:space="preserve"> </w:t>
                  </w:r>
                  <w:r w:rsidR="00952220" w:rsidRPr="004516B9">
                    <w:t>87.4</w:t>
                  </w:r>
                </w:p>
              </w:tc>
              <w:tc>
                <w:tcPr>
                  <w:tcW w:w="418" w:type="pct"/>
                </w:tcPr>
                <w:p w:rsidR="00952220" w:rsidRPr="004516B9" w:rsidRDefault="007D1214" w:rsidP="00490A13">
                  <w:pPr>
                    <w:pStyle w:val="TableBodyText"/>
                    <w:ind w:left="1441" w:right="28" w:hanging="1435"/>
                  </w:pPr>
                  <w:r>
                    <w:t xml:space="preserve"> </w:t>
                  </w:r>
                  <w:r w:rsidR="00952220" w:rsidRPr="004516B9">
                    <w:t>79.5</w:t>
                  </w:r>
                </w:p>
              </w:tc>
              <w:tc>
                <w:tcPr>
                  <w:tcW w:w="417" w:type="pct"/>
                </w:tcPr>
                <w:p w:rsidR="00952220" w:rsidRPr="004516B9" w:rsidRDefault="007D1214" w:rsidP="00490A13">
                  <w:pPr>
                    <w:pStyle w:val="TableBodyText"/>
                    <w:ind w:left="1441" w:right="28" w:hanging="1435"/>
                  </w:pPr>
                  <w:r>
                    <w:t xml:space="preserve"> </w:t>
                  </w:r>
                  <w:r w:rsidR="00952220" w:rsidRPr="004516B9">
                    <w:t>92.9</w:t>
                  </w:r>
                </w:p>
              </w:tc>
              <w:tc>
                <w:tcPr>
                  <w:tcW w:w="418" w:type="pct"/>
                </w:tcPr>
                <w:p w:rsidR="00952220" w:rsidRPr="004516B9" w:rsidRDefault="007D1214" w:rsidP="00490A13">
                  <w:pPr>
                    <w:pStyle w:val="TableBodyText"/>
                    <w:ind w:left="1441" w:right="28" w:hanging="1435"/>
                  </w:pPr>
                  <w:r>
                    <w:t xml:space="preserve"> </w:t>
                  </w:r>
                  <w:r w:rsidR="00952220" w:rsidRPr="004516B9">
                    <w:t>74.7</w:t>
                  </w:r>
                </w:p>
              </w:tc>
              <w:tc>
                <w:tcPr>
                  <w:tcW w:w="336" w:type="pct"/>
                </w:tcPr>
                <w:p w:rsidR="00952220" w:rsidRPr="004516B9" w:rsidRDefault="007D1214" w:rsidP="00490A13">
                  <w:pPr>
                    <w:pStyle w:val="TableBodyText"/>
                    <w:ind w:left="1441" w:right="28" w:hanging="1435"/>
                  </w:pPr>
                  <w:r>
                    <w:t xml:space="preserve"> </w:t>
                  </w:r>
                  <w:r w:rsidR="00952220" w:rsidRPr="004516B9">
                    <w:t>70.3</w:t>
                  </w:r>
                </w:p>
              </w:tc>
            </w:tr>
            <w:tr w:rsidR="00952220" w:rsidTr="00490A13">
              <w:tc>
                <w:tcPr>
                  <w:tcW w:w="1323" w:type="pct"/>
                  <w:vAlign w:val="center"/>
                </w:tcPr>
                <w:p w:rsidR="00952220" w:rsidRPr="006C0D79" w:rsidRDefault="00952220" w:rsidP="00490A13">
                  <w:pPr>
                    <w:pStyle w:val="TableBodyText"/>
                    <w:jc w:val="left"/>
                    <w:rPr>
                      <w:rFonts w:cs="Arial"/>
                      <w:szCs w:val="18"/>
                    </w:rPr>
                  </w:pPr>
                  <w:r w:rsidRPr="006C0D79">
                    <w:rPr>
                      <w:rFonts w:cs="Arial"/>
                      <w:szCs w:val="18"/>
                    </w:rPr>
                    <w:t xml:space="preserve">2+ years </w:t>
                  </w:r>
                </w:p>
              </w:tc>
              <w:tc>
                <w:tcPr>
                  <w:tcW w:w="418" w:type="pct"/>
                </w:tcPr>
                <w:p w:rsidR="00952220" w:rsidRPr="004516B9" w:rsidRDefault="007D1214" w:rsidP="00490A13">
                  <w:pPr>
                    <w:pStyle w:val="TableBodyText"/>
                    <w:ind w:left="1441" w:right="28" w:hanging="1435"/>
                  </w:pPr>
                  <w:r>
                    <w:t xml:space="preserve"> </w:t>
                  </w:r>
                  <w:r w:rsidR="00952220" w:rsidRPr="004516B9">
                    <w:t>29.2</w:t>
                  </w:r>
                </w:p>
              </w:tc>
              <w:tc>
                <w:tcPr>
                  <w:tcW w:w="417" w:type="pct"/>
                </w:tcPr>
                <w:p w:rsidR="00952220" w:rsidRPr="004516B9" w:rsidRDefault="007D1214" w:rsidP="00490A13">
                  <w:pPr>
                    <w:pStyle w:val="TableBodyText"/>
                    <w:ind w:left="1441" w:right="28" w:hanging="1435"/>
                  </w:pPr>
                  <w:r>
                    <w:t xml:space="preserve"> </w:t>
                  </w:r>
                  <w:r w:rsidR="00952220" w:rsidRPr="004516B9">
                    <w:t>67.6</w:t>
                  </w:r>
                </w:p>
              </w:tc>
              <w:tc>
                <w:tcPr>
                  <w:tcW w:w="417" w:type="pct"/>
                </w:tcPr>
                <w:p w:rsidR="00952220" w:rsidRPr="004516B9" w:rsidRDefault="007D1214" w:rsidP="00490A13">
                  <w:pPr>
                    <w:pStyle w:val="TableBodyText"/>
                    <w:ind w:left="1441" w:right="28" w:hanging="1435"/>
                  </w:pPr>
                  <w:r>
                    <w:t xml:space="preserve"> </w:t>
                  </w:r>
                  <w:r w:rsidR="00952220" w:rsidRPr="004516B9">
                    <w:t>93.9</w:t>
                  </w:r>
                </w:p>
              </w:tc>
              <w:tc>
                <w:tcPr>
                  <w:tcW w:w="418" w:type="pct"/>
                </w:tcPr>
                <w:p w:rsidR="00952220" w:rsidRPr="004516B9" w:rsidRDefault="007D1214" w:rsidP="00490A13">
                  <w:pPr>
                    <w:pStyle w:val="TableBodyText"/>
                    <w:ind w:left="1441" w:right="28" w:hanging="1435"/>
                  </w:pPr>
                  <w:r>
                    <w:t xml:space="preserve"> </w:t>
                  </w:r>
                  <w:r w:rsidR="00952220" w:rsidRPr="004516B9">
                    <w:t>75.6</w:t>
                  </w:r>
                </w:p>
              </w:tc>
              <w:tc>
                <w:tcPr>
                  <w:tcW w:w="417" w:type="pct"/>
                </w:tcPr>
                <w:p w:rsidR="00952220" w:rsidRPr="004516B9" w:rsidRDefault="007D1214" w:rsidP="00490A13">
                  <w:pPr>
                    <w:pStyle w:val="TableBodyText"/>
                    <w:ind w:left="1441" w:right="28" w:hanging="1435"/>
                  </w:pPr>
                  <w:r>
                    <w:t xml:space="preserve"> </w:t>
                  </w:r>
                  <w:r w:rsidR="00952220" w:rsidRPr="004516B9">
                    <w:t>53.7</w:t>
                  </w:r>
                </w:p>
              </w:tc>
              <w:tc>
                <w:tcPr>
                  <w:tcW w:w="418" w:type="pct"/>
                </w:tcPr>
                <w:p w:rsidR="00952220" w:rsidRPr="004516B9" w:rsidRDefault="007D1214" w:rsidP="00490A13">
                  <w:pPr>
                    <w:pStyle w:val="TableBodyText"/>
                    <w:ind w:left="1441" w:right="28" w:hanging="1435"/>
                  </w:pPr>
                  <w:r>
                    <w:t xml:space="preserve"> </w:t>
                  </w:r>
                  <w:r w:rsidR="00952220" w:rsidRPr="004516B9">
                    <w:t>80.0</w:t>
                  </w:r>
                </w:p>
              </w:tc>
              <w:tc>
                <w:tcPr>
                  <w:tcW w:w="417" w:type="pct"/>
                </w:tcPr>
                <w:p w:rsidR="00952220" w:rsidRPr="004516B9" w:rsidRDefault="007D1214" w:rsidP="00490A13">
                  <w:pPr>
                    <w:pStyle w:val="TableBodyText"/>
                    <w:ind w:left="1441" w:right="28" w:hanging="1435"/>
                  </w:pPr>
                  <w:r>
                    <w:t xml:space="preserve"> </w:t>
                  </w:r>
                  <w:r w:rsidR="00952220" w:rsidRPr="004516B9">
                    <w:t>96.6</w:t>
                  </w:r>
                </w:p>
              </w:tc>
              <w:tc>
                <w:tcPr>
                  <w:tcW w:w="418" w:type="pct"/>
                </w:tcPr>
                <w:p w:rsidR="00952220" w:rsidRPr="004516B9" w:rsidRDefault="007D1214" w:rsidP="00490A13">
                  <w:pPr>
                    <w:pStyle w:val="TableBodyText"/>
                    <w:ind w:left="1441" w:right="28" w:hanging="1435"/>
                  </w:pPr>
                  <w:r>
                    <w:t xml:space="preserve"> </w:t>
                  </w:r>
                  <w:r w:rsidR="00952220" w:rsidRPr="004516B9">
                    <w:t>53.4</w:t>
                  </w:r>
                </w:p>
              </w:tc>
              <w:tc>
                <w:tcPr>
                  <w:tcW w:w="336" w:type="pct"/>
                </w:tcPr>
                <w:p w:rsidR="00952220" w:rsidRPr="004516B9" w:rsidRDefault="007D1214" w:rsidP="00490A13">
                  <w:pPr>
                    <w:pStyle w:val="TableBodyText"/>
                    <w:ind w:left="1441" w:right="28" w:hanging="1435"/>
                  </w:pPr>
                  <w:r>
                    <w:t xml:space="preserve"> </w:t>
                  </w:r>
                  <w:r w:rsidR="00952220" w:rsidRPr="004516B9">
                    <w:t>56.3</w:t>
                  </w:r>
                </w:p>
              </w:tc>
            </w:tr>
            <w:tr w:rsidR="00952220" w:rsidTr="00490A13">
              <w:tc>
                <w:tcPr>
                  <w:tcW w:w="1323" w:type="pct"/>
                  <w:vAlign w:val="bottom"/>
                </w:tcPr>
                <w:p w:rsidR="00952220" w:rsidRPr="006C0D79" w:rsidRDefault="00952220" w:rsidP="00490A13">
                  <w:pPr>
                    <w:pStyle w:val="TableBodyText"/>
                    <w:pBdr>
                      <w:left w:val="single" w:sz="24" w:space="12" w:color="C0C0C0"/>
                    </w:pBdr>
                    <w:jc w:val="left"/>
                    <w:rPr>
                      <w:rFonts w:cs="Arial"/>
                      <w:b/>
                      <w:szCs w:val="18"/>
                    </w:rPr>
                  </w:pPr>
                  <w:r w:rsidRPr="006C0D79">
                    <w:rPr>
                      <w:rFonts w:cs="Arial"/>
                      <w:b/>
                      <w:szCs w:val="18"/>
                    </w:rPr>
                    <w:t>Overall</w:t>
                  </w:r>
                </w:p>
              </w:tc>
              <w:tc>
                <w:tcPr>
                  <w:tcW w:w="418" w:type="pct"/>
                </w:tcPr>
                <w:p w:rsidR="00952220" w:rsidRPr="001F735C" w:rsidRDefault="007D1214" w:rsidP="00490A13">
                  <w:pPr>
                    <w:pStyle w:val="TableBodyText"/>
                    <w:ind w:left="1441" w:right="28" w:hanging="1435"/>
                    <w:rPr>
                      <w:b/>
                    </w:rPr>
                  </w:pPr>
                  <w:r>
                    <w:rPr>
                      <w:b/>
                    </w:rPr>
                    <w:t xml:space="preserve"> </w:t>
                  </w:r>
                  <w:r w:rsidR="00952220" w:rsidRPr="001F735C">
                    <w:rPr>
                      <w:b/>
                    </w:rPr>
                    <w:t>48.0</w:t>
                  </w:r>
                </w:p>
              </w:tc>
              <w:tc>
                <w:tcPr>
                  <w:tcW w:w="417" w:type="pct"/>
                </w:tcPr>
                <w:p w:rsidR="00952220" w:rsidRPr="001F735C" w:rsidRDefault="007D1214" w:rsidP="00490A13">
                  <w:pPr>
                    <w:pStyle w:val="TableBodyText"/>
                    <w:ind w:left="1441" w:right="28" w:hanging="1435"/>
                    <w:rPr>
                      <w:b/>
                    </w:rPr>
                  </w:pPr>
                  <w:r>
                    <w:rPr>
                      <w:b/>
                    </w:rPr>
                    <w:t xml:space="preserve"> </w:t>
                  </w:r>
                  <w:r w:rsidR="00952220" w:rsidRPr="001F735C">
                    <w:rPr>
                      <w:b/>
                    </w:rPr>
                    <w:t>82.1</w:t>
                  </w:r>
                </w:p>
              </w:tc>
              <w:tc>
                <w:tcPr>
                  <w:tcW w:w="417" w:type="pct"/>
                </w:tcPr>
                <w:p w:rsidR="00952220" w:rsidRPr="001F735C" w:rsidRDefault="007D1214" w:rsidP="00490A13">
                  <w:pPr>
                    <w:pStyle w:val="TableBodyText"/>
                    <w:ind w:left="1441" w:right="28" w:hanging="1435"/>
                    <w:rPr>
                      <w:b/>
                    </w:rPr>
                  </w:pPr>
                  <w:r>
                    <w:rPr>
                      <w:b/>
                    </w:rPr>
                    <w:t xml:space="preserve"> </w:t>
                  </w:r>
                  <w:r w:rsidR="00952220" w:rsidRPr="001F735C">
                    <w:rPr>
                      <w:b/>
                    </w:rPr>
                    <w:t>95.9</w:t>
                  </w:r>
                </w:p>
              </w:tc>
              <w:tc>
                <w:tcPr>
                  <w:tcW w:w="418" w:type="pct"/>
                </w:tcPr>
                <w:p w:rsidR="00952220" w:rsidRPr="001F735C" w:rsidRDefault="007D1214" w:rsidP="00490A13">
                  <w:pPr>
                    <w:pStyle w:val="TableBodyText"/>
                    <w:ind w:left="1441" w:right="28" w:hanging="1435"/>
                    <w:rPr>
                      <w:b/>
                    </w:rPr>
                  </w:pPr>
                  <w:r>
                    <w:rPr>
                      <w:b/>
                    </w:rPr>
                    <w:t xml:space="preserve"> </w:t>
                  </w:r>
                  <w:r w:rsidR="00952220" w:rsidRPr="001F735C">
                    <w:rPr>
                      <w:b/>
                    </w:rPr>
                    <w:t>74.9</w:t>
                  </w:r>
                </w:p>
              </w:tc>
              <w:tc>
                <w:tcPr>
                  <w:tcW w:w="417" w:type="pct"/>
                </w:tcPr>
                <w:p w:rsidR="00952220" w:rsidRPr="001F735C" w:rsidRDefault="007D1214" w:rsidP="00490A13">
                  <w:pPr>
                    <w:pStyle w:val="TableBodyText"/>
                    <w:ind w:left="1441" w:right="28" w:hanging="1435"/>
                    <w:rPr>
                      <w:b/>
                    </w:rPr>
                  </w:pPr>
                  <w:r>
                    <w:rPr>
                      <w:b/>
                    </w:rPr>
                    <w:t xml:space="preserve"> </w:t>
                  </w:r>
                  <w:r w:rsidR="00952220" w:rsidRPr="001F735C">
                    <w:rPr>
                      <w:b/>
                    </w:rPr>
                    <w:t>82.4</w:t>
                  </w:r>
                </w:p>
              </w:tc>
              <w:tc>
                <w:tcPr>
                  <w:tcW w:w="418" w:type="pct"/>
                </w:tcPr>
                <w:p w:rsidR="00952220" w:rsidRPr="001F735C" w:rsidRDefault="007D1214" w:rsidP="00490A13">
                  <w:pPr>
                    <w:pStyle w:val="TableBodyText"/>
                    <w:ind w:left="1441" w:right="28" w:hanging="1435"/>
                    <w:rPr>
                      <w:b/>
                    </w:rPr>
                  </w:pPr>
                  <w:r>
                    <w:rPr>
                      <w:b/>
                    </w:rPr>
                    <w:t xml:space="preserve"> </w:t>
                  </w:r>
                  <w:r w:rsidR="00952220" w:rsidRPr="001F735C">
                    <w:rPr>
                      <w:b/>
                    </w:rPr>
                    <w:t>80.5</w:t>
                  </w:r>
                </w:p>
              </w:tc>
              <w:tc>
                <w:tcPr>
                  <w:tcW w:w="417" w:type="pct"/>
                </w:tcPr>
                <w:p w:rsidR="00952220" w:rsidRPr="001F735C" w:rsidRDefault="007D1214" w:rsidP="00490A13">
                  <w:pPr>
                    <w:pStyle w:val="TableBodyText"/>
                    <w:ind w:left="1441" w:right="28" w:hanging="1435"/>
                    <w:rPr>
                      <w:b/>
                    </w:rPr>
                  </w:pPr>
                  <w:r>
                    <w:rPr>
                      <w:b/>
                    </w:rPr>
                    <w:t xml:space="preserve"> </w:t>
                  </w:r>
                  <w:r w:rsidR="00952220" w:rsidRPr="001F735C">
                    <w:rPr>
                      <w:b/>
                    </w:rPr>
                    <w:t>96.7</w:t>
                  </w:r>
                </w:p>
              </w:tc>
              <w:tc>
                <w:tcPr>
                  <w:tcW w:w="418" w:type="pct"/>
                </w:tcPr>
                <w:p w:rsidR="00952220" w:rsidRPr="001F735C" w:rsidRDefault="007D1214" w:rsidP="00490A13">
                  <w:pPr>
                    <w:pStyle w:val="TableBodyText"/>
                    <w:ind w:left="1441" w:right="28" w:hanging="1435"/>
                    <w:rPr>
                      <w:b/>
                    </w:rPr>
                  </w:pPr>
                  <w:r>
                    <w:rPr>
                      <w:b/>
                    </w:rPr>
                    <w:t xml:space="preserve"> </w:t>
                  </w:r>
                  <w:r w:rsidR="00952220" w:rsidRPr="001F735C">
                    <w:rPr>
                      <w:b/>
                    </w:rPr>
                    <w:t>61.6</w:t>
                  </w:r>
                </w:p>
              </w:tc>
              <w:tc>
                <w:tcPr>
                  <w:tcW w:w="336" w:type="pct"/>
                </w:tcPr>
                <w:p w:rsidR="00952220" w:rsidRPr="001F735C" w:rsidRDefault="007D1214" w:rsidP="00490A13">
                  <w:pPr>
                    <w:pStyle w:val="TableBodyText"/>
                    <w:ind w:left="1441" w:right="28" w:hanging="1435"/>
                    <w:rPr>
                      <w:b/>
                    </w:rPr>
                  </w:pPr>
                  <w:r>
                    <w:rPr>
                      <w:b/>
                    </w:rPr>
                    <w:t xml:space="preserve"> </w:t>
                  </w:r>
                  <w:r w:rsidR="00952220" w:rsidRPr="001F735C">
                    <w:rPr>
                      <w:b/>
                    </w:rPr>
                    <w:t>73.7</w:t>
                  </w:r>
                </w:p>
              </w:tc>
            </w:tr>
            <w:tr w:rsidR="00952220" w:rsidTr="00490A13">
              <w:tc>
                <w:tcPr>
                  <w:tcW w:w="1323" w:type="pct"/>
                </w:tcPr>
                <w:p w:rsidR="00952220" w:rsidRPr="006C0D79" w:rsidRDefault="00952220" w:rsidP="00490A13">
                  <w:pPr>
                    <w:pStyle w:val="TableBodyText"/>
                    <w:spacing w:before="120"/>
                    <w:ind w:right="28"/>
                    <w:jc w:val="left"/>
                    <w:rPr>
                      <w:i/>
                      <w:szCs w:val="18"/>
                    </w:rPr>
                  </w:pPr>
                  <w:r w:rsidRPr="006C0D79">
                    <w:rPr>
                      <w:rFonts w:cs="Arial"/>
                      <w:i/>
                      <w:szCs w:val="18"/>
                    </w:rPr>
                    <w:t>SOMIH</w:t>
                  </w:r>
                </w:p>
              </w:tc>
              <w:tc>
                <w:tcPr>
                  <w:tcW w:w="418" w:type="pct"/>
                </w:tcPr>
                <w:p w:rsidR="00952220" w:rsidRDefault="00952220" w:rsidP="00490A13">
                  <w:pPr>
                    <w:pStyle w:val="TableBodyText"/>
                    <w:ind w:right="28"/>
                  </w:pPr>
                </w:p>
              </w:tc>
              <w:tc>
                <w:tcPr>
                  <w:tcW w:w="417" w:type="pct"/>
                </w:tcPr>
                <w:p w:rsidR="00952220" w:rsidRDefault="00952220" w:rsidP="00490A13">
                  <w:pPr>
                    <w:pStyle w:val="TableBodyText"/>
                    <w:ind w:right="28"/>
                  </w:pPr>
                </w:p>
              </w:tc>
              <w:tc>
                <w:tcPr>
                  <w:tcW w:w="417" w:type="pct"/>
                </w:tcPr>
                <w:p w:rsidR="00952220" w:rsidRDefault="00952220" w:rsidP="00490A13">
                  <w:pPr>
                    <w:pStyle w:val="TableBodyText"/>
                    <w:ind w:right="28"/>
                  </w:pPr>
                </w:p>
              </w:tc>
              <w:tc>
                <w:tcPr>
                  <w:tcW w:w="418" w:type="pct"/>
                </w:tcPr>
                <w:p w:rsidR="00952220" w:rsidRDefault="00952220" w:rsidP="00490A13">
                  <w:pPr>
                    <w:pStyle w:val="TableBodyText"/>
                    <w:ind w:right="28"/>
                  </w:pPr>
                </w:p>
              </w:tc>
              <w:tc>
                <w:tcPr>
                  <w:tcW w:w="417" w:type="pct"/>
                </w:tcPr>
                <w:p w:rsidR="00952220" w:rsidRDefault="00952220" w:rsidP="00490A13">
                  <w:pPr>
                    <w:pStyle w:val="TableBodyText"/>
                    <w:ind w:right="28"/>
                  </w:pPr>
                </w:p>
              </w:tc>
              <w:tc>
                <w:tcPr>
                  <w:tcW w:w="418" w:type="pct"/>
                </w:tcPr>
                <w:p w:rsidR="00952220" w:rsidRDefault="00952220" w:rsidP="00490A13">
                  <w:pPr>
                    <w:pStyle w:val="TableBodyText"/>
                    <w:ind w:right="28"/>
                  </w:pPr>
                </w:p>
              </w:tc>
              <w:tc>
                <w:tcPr>
                  <w:tcW w:w="417" w:type="pct"/>
                </w:tcPr>
                <w:p w:rsidR="00952220" w:rsidRDefault="00952220" w:rsidP="00490A13">
                  <w:pPr>
                    <w:pStyle w:val="TableBodyText"/>
                    <w:ind w:right="28"/>
                  </w:pPr>
                </w:p>
              </w:tc>
              <w:tc>
                <w:tcPr>
                  <w:tcW w:w="418" w:type="pct"/>
                </w:tcPr>
                <w:p w:rsidR="00952220" w:rsidRDefault="00952220" w:rsidP="00490A13">
                  <w:pPr>
                    <w:pStyle w:val="TableBodyText"/>
                    <w:ind w:right="28"/>
                  </w:pPr>
                </w:p>
              </w:tc>
              <w:tc>
                <w:tcPr>
                  <w:tcW w:w="336" w:type="pct"/>
                  <w:vAlign w:val="bottom"/>
                </w:tcPr>
                <w:p w:rsidR="00952220" w:rsidRDefault="00952220" w:rsidP="00490A13">
                  <w:pPr>
                    <w:rPr>
                      <w:rFonts w:ascii="Arial" w:hAnsi="Arial" w:cs="Arial"/>
                      <w:sz w:val="20"/>
                      <w:szCs w:val="20"/>
                    </w:rPr>
                  </w:pPr>
                </w:p>
              </w:tc>
            </w:tr>
            <w:tr w:rsidR="00952220" w:rsidTr="00490A13">
              <w:tc>
                <w:tcPr>
                  <w:tcW w:w="1323" w:type="pct"/>
                  <w:vAlign w:val="center"/>
                </w:tcPr>
                <w:p w:rsidR="00952220" w:rsidRPr="006C0D79" w:rsidRDefault="00952220" w:rsidP="00490A13">
                  <w:pPr>
                    <w:pStyle w:val="TableBodyText"/>
                    <w:jc w:val="left"/>
                    <w:rPr>
                      <w:rFonts w:asciiTheme="majorHAnsi" w:hAnsiTheme="majorHAnsi" w:cstheme="majorHAnsi"/>
                      <w:color w:val="000000"/>
                      <w:szCs w:val="18"/>
                    </w:rPr>
                  </w:pPr>
                  <w:r w:rsidRPr="006C0D79">
                    <w:rPr>
                      <w:rFonts w:asciiTheme="majorHAnsi" w:hAnsiTheme="majorHAnsi" w:cstheme="majorHAnsi"/>
                      <w:color w:val="000000"/>
                      <w:szCs w:val="18"/>
                    </w:rPr>
                    <w:t>Under 3 months</w:t>
                  </w:r>
                </w:p>
              </w:tc>
              <w:tc>
                <w:tcPr>
                  <w:tcW w:w="418" w:type="pct"/>
                </w:tcPr>
                <w:p w:rsidR="00952220" w:rsidRPr="006A4D79" w:rsidRDefault="007D1214" w:rsidP="00490A13">
                  <w:pPr>
                    <w:pStyle w:val="TableBodyText"/>
                    <w:ind w:left="1441" w:right="28" w:hanging="1435"/>
                  </w:pPr>
                  <w:r>
                    <w:t xml:space="preserve"> </w:t>
                  </w:r>
                  <w:r w:rsidR="00952220" w:rsidRPr="006A4D79">
                    <w:t>19.4</w:t>
                  </w:r>
                </w:p>
              </w:tc>
              <w:tc>
                <w:tcPr>
                  <w:tcW w:w="417" w:type="pct"/>
                  <w:vAlign w:val="center"/>
                </w:tcPr>
                <w:p w:rsidR="00952220" w:rsidRPr="006C0D79" w:rsidRDefault="00952220" w:rsidP="00490A13">
                  <w:pPr>
                    <w:pStyle w:val="TableBodyText"/>
                    <w:ind w:left="1441" w:right="28" w:hanging="1435"/>
                    <w:rPr>
                      <w:rFonts w:asciiTheme="majorHAnsi" w:hAnsiTheme="majorHAnsi" w:cstheme="majorHAnsi"/>
                      <w:color w:val="000000" w:themeColor="text1"/>
                      <w:szCs w:val="18"/>
                    </w:rPr>
                  </w:pPr>
                  <w:r w:rsidRPr="006C0D79">
                    <w:rPr>
                      <w:rFonts w:asciiTheme="majorHAnsi" w:hAnsiTheme="majorHAnsi" w:cstheme="majorHAnsi"/>
                      <w:color w:val="000000" w:themeColor="text1"/>
                      <w:szCs w:val="18"/>
                    </w:rPr>
                    <w:t>..</w:t>
                  </w:r>
                </w:p>
              </w:tc>
              <w:tc>
                <w:tcPr>
                  <w:tcW w:w="417" w:type="pct"/>
                </w:tcPr>
                <w:p w:rsidR="00952220" w:rsidRPr="00B17983" w:rsidRDefault="007D1214" w:rsidP="00490A13">
                  <w:pPr>
                    <w:pStyle w:val="TableBodyText"/>
                    <w:ind w:left="1441" w:right="28" w:hanging="1435"/>
                  </w:pPr>
                  <w:r>
                    <w:t xml:space="preserve"> </w:t>
                  </w:r>
                  <w:r w:rsidR="00952220" w:rsidRPr="00B17983">
                    <w:t>99.1</w:t>
                  </w:r>
                </w:p>
              </w:tc>
              <w:tc>
                <w:tcPr>
                  <w:tcW w:w="418" w:type="pct"/>
                  <w:vAlign w:val="center"/>
                </w:tcPr>
                <w:p w:rsidR="00952220" w:rsidRPr="006C0D79" w:rsidRDefault="00952220" w:rsidP="00490A13">
                  <w:pPr>
                    <w:pStyle w:val="TableBodyText"/>
                    <w:ind w:left="1441" w:right="28" w:hanging="1435"/>
                    <w:rPr>
                      <w:rFonts w:asciiTheme="majorHAnsi" w:hAnsiTheme="majorHAnsi" w:cstheme="majorHAnsi"/>
                      <w:color w:val="000000" w:themeColor="text1"/>
                      <w:szCs w:val="18"/>
                    </w:rPr>
                  </w:pPr>
                  <w:r w:rsidRPr="006C0D79">
                    <w:rPr>
                      <w:rFonts w:asciiTheme="majorHAnsi" w:hAnsiTheme="majorHAnsi" w:cstheme="majorHAnsi"/>
                      <w:color w:val="000000" w:themeColor="text1"/>
                      <w:szCs w:val="18"/>
                    </w:rPr>
                    <w:t>..</w:t>
                  </w:r>
                </w:p>
              </w:tc>
              <w:tc>
                <w:tcPr>
                  <w:tcW w:w="417" w:type="pct"/>
                </w:tcPr>
                <w:p w:rsidR="00952220" w:rsidRPr="00FF58F4" w:rsidRDefault="007D1214" w:rsidP="00490A13">
                  <w:pPr>
                    <w:pStyle w:val="TableBodyText"/>
                    <w:ind w:left="1441" w:right="28" w:hanging="1435"/>
                  </w:pPr>
                  <w:r>
                    <w:t xml:space="preserve"> </w:t>
                  </w:r>
                  <w:r w:rsidR="00952220" w:rsidRPr="00FF58F4">
                    <w:t>88.5</w:t>
                  </w:r>
                </w:p>
              </w:tc>
              <w:tc>
                <w:tcPr>
                  <w:tcW w:w="418" w:type="pct"/>
                  <w:vAlign w:val="center"/>
                </w:tcPr>
                <w:p w:rsidR="00952220" w:rsidRPr="006C0D79" w:rsidRDefault="00952220" w:rsidP="00490A13">
                  <w:pPr>
                    <w:pStyle w:val="TableBodyText"/>
                    <w:ind w:left="1441" w:right="28" w:hanging="1435"/>
                    <w:rPr>
                      <w:rFonts w:asciiTheme="majorHAnsi" w:hAnsiTheme="majorHAnsi" w:cstheme="majorHAnsi"/>
                      <w:szCs w:val="18"/>
                    </w:rPr>
                  </w:pPr>
                  <w:r w:rsidRPr="006C0D79">
                    <w:rPr>
                      <w:rFonts w:asciiTheme="majorHAnsi" w:hAnsiTheme="majorHAnsi" w:cstheme="majorHAnsi"/>
                      <w:szCs w:val="18"/>
                    </w:rPr>
                    <w:t>na</w:t>
                  </w:r>
                </w:p>
              </w:tc>
              <w:tc>
                <w:tcPr>
                  <w:tcW w:w="417" w:type="pct"/>
                  <w:vAlign w:val="center"/>
                </w:tcPr>
                <w:p w:rsidR="00952220" w:rsidRPr="006C0D79" w:rsidRDefault="00952220" w:rsidP="00490A13">
                  <w:pPr>
                    <w:pStyle w:val="TableBodyText"/>
                    <w:ind w:left="1441" w:right="28" w:hanging="1435"/>
                    <w:rPr>
                      <w:rFonts w:asciiTheme="majorHAnsi" w:hAnsiTheme="majorHAnsi" w:cstheme="majorHAnsi"/>
                      <w:color w:val="000000" w:themeColor="text1"/>
                      <w:szCs w:val="18"/>
                    </w:rPr>
                  </w:pPr>
                  <w:r w:rsidRPr="006C0D79">
                    <w:rPr>
                      <w:rFonts w:asciiTheme="majorHAnsi" w:hAnsiTheme="majorHAnsi" w:cstheme="majorHAnsi"/>
                      <w:color w:val="000000" w:themeColor="text1"/>
                      <w:szCs w:val="18"/>
                    </w:rPr>
                    <w:t>..</w:t>
                  </w:r>
                </w:p>
              </w:tc>
              <w:tc>
                <w:tcPr>
                  <w:tcW w:w="418" w:type="pct"/>
                  <w:vAlign w:val="center"/>
                </w:tcPr>
                <w:p w:rsidR="00952220" w:rsidRPr="006C0D79" w:rsidRDefault="00952220" w:rsidP="00490A13">
                  <w:pPr>
                    <w:pStyle w:val="TableBodyText"/>
                    <w:ind w:left="1441" w:right="28" w:hanging="1435"/>
                    <w:rPr>
                      <w:rFonts w:asciiTheme="majorHAnsi" w:hAnsiTheme="majorHAnsi" w:cstheme="majorHAnsi"/>
                      <w:color w:val="000000" w:themeColor="text1"/>
                      <w:szCs w:val="18"/>
                    </w:rPr>
                  </w:pPr>
                  <w:r w:rsidRPr="006C0D79">
                    <w:rPr>
                      <w:rFonts w:asciiTheme="majorHAnsi" w:hAnsiTheme="majorHAnsi" w:cstheme="majorHAnsi"/>
                      <w:color w:val="000000" w:themeColor="text1"/>
                      <w:szCs w:val="18"/>
                    </w:rPr>
                    <w:t>..</w:t>
                  </w:r>
                </w:p>
              </w:tc>
              <w:tc>
                <w:tcPr>
                  <w:tcW w:w="336" w:type="pct"/>
                </w:tcPr>
                <w:p w:rsidR="00952220" w:rsidRPr="001434EE" w:rsidRDefault="007D1214" w:rsidP="00490A13">
                  <w:pPr>
                    <w:pStyle w:val="TableBodyText"/>
                    <w:ind w:left="1441" w:right="28" w:hanging="1435"/>
                  </w:pPr>
                  <w:r>
                    <w:t xml:space="preserve"> </w:t>
                  </w:r>
                  <w:r w:rsidR="00952220" w:rsidRPr="001434EE">
                    <w:t>63.4</w:t>
                  </w:r>
                </w:p>
              </w:tc>
            </w:tr>
            <w:tr w:rsidR="00952220" w:rsidTr="00490A13">
              <w:tc>
                <w:tcPr>
                  <w:tcW w:w="1323" w:type="pct"/>
                  <w:vAlign w:val="center"/>
                </w:tcPr>
                <w:p w:rsidR="00952220" w:rsidRPr="006C0D79" w:rsidRDefault="00952220" w:rsidP="00490A13">
                  <w:pPr>
                    <w:pStyle w:val="TableBodyText"/>
                    <w:jc w:val="left"/>
                    <w:rPr>
                      <w:rFonts w:asciiTheme="majorHAnsi" w:hAnsiTheme="majorHAnsi" w:cstheme="majorHAnsi"/>
                      <w:color w:val="000000"/>
                      <w:szCs w:val="18"/>
                    </w:rPr>
                  </w:pPr>
                  <w:r w:rsidRPr="006C0D79">
                    <w:rPr>
                      <w:rFonts w:asciiTheme="majorHAnsi" w:hAnsiTheme="majorHAnsi" w:cstheme="majorHAnsi"/>
                      <w:color w:val="000000"/>
                      <w:szCs w:val="18"/>
                    </w:rPr>
                    <w:t>3 &lt; 6 months</w:t>
                  </w:r>
                </w:p>
              </w:tc>
              <w:tc>
                <w:tcPr>
                  <w:tcW w:w="418" w:type="pct"/>
                </w:tcPr>
                <w:p w:rsidR="00952220" w:rsidRPr="006A4D79" w:rsidRDefault="007D1214" w:rsidP="00490A13">
                  <w:pPr>
                    <w:pStyle w:val="TableBodyText"/>
                    <w:ind w:left="1441" w:right="28" w:hanging="1435"/>
                  </w:pPr>
                  <w:r>
                    <w:t xml:space="preserve"> </w:t>
                  </w:r>
                  <w:r w:rsidR="00952220" w:rsidRPr="006A4D79">
                    <w:t>19.5</w:t>
                  </w:r>
                </w:p>
              </w:tc>
              <w:tc>
                <w:tcPr>
                  <w:tcW w:w="417" w:type="pct"/>
                  <w:vAlign w:val="center"/>
                </w:tcPr>
                <w:p w:rsidR="00952220" w:rsidRPr="006C0D79" w:rsidRDefault="00952220" w:rsidP="00490A13">
                  <w:pPr>
                    <w:pStyle w:val="TableBodyText"/>
                    <w:ind w:left="1441" w:right="28" w:hanging="1435"/>
                    <w:rPr>
                      <w:rFonts w:asciiTheme="majorHAnsi" w:hAnsiTheme="majorHAnsi" w:cstheme="majorHAnsi"/>
                      <w:color w:val="000000" w:themeColor="text1"/>
                      <w:szCs w:val="18"/>
                    </w:rPr>
                  </w:pPr>
                  <w:r w:rsidRPr="006C0D79">
                    <w:rPr>
                      <w:rFonts w:asciiTheme="majorHAnsi" w:hAnsiTheme="majorHAnsi" w:cstheme="majorHAnsi"/>
                      <w:color w:val="000000" w:themeColor="text1"/>
                      <w:szCs w:val="18"/>
                    </w:rPr>
                    <w:t>..</w:t>
                  </w:r>
                </w:p>
              </w:tc>
              <w:tc>
                <w:tcPr>
                  <w:tcW w:w="417" w:type="pct"/>
                </w:tcPr>
                <w:p w:rsidR="00952220" w:rsidRPr="00B17983" w:rsidRDefault="007D1214" w:rsidP="00490A13">
                  <w:pPr>
                    <w:pStyle w:val="TableBodyText"/>
                    <w:ind w:left="1441" w:right="28" w:hanging="1435"/>
                  </w:pPr>
                  <w:r>
                    <w:t xml:space="preserve"> </w:t>
                  </w:r>
                  <w:r w:rsidR="00952220" w:rsidRPr="00B17983">
                    <w:t>94.2</w:t>
                  </w:r>
                </w:p>
              </w:tc>
              <w:tc>
                <w:tcPr>
                  <w:tcW w:w="418" w:type="pct"/>
                  <w:vAlign w:val="center"/>
                </w:tcPr>
                <w:p w:rsidR="00952220" w:rsidRPr="006C0D79" w:rsidRDefault="00952220" w:rsidP="00490A13">
                  <w:pPr>
                    <w:pStyle w:val="TableBodyText"/>
                    <w:ind w:left="1441" w:right="28" w:hanging="1435"/>
                    <w:rPr>
                      <w:rFonts w:asciiTheme="majorHAnsi" w:hAnsiTheme="majorHAnsi" w:cstheme="majorHAnsi"/>
                      <w:color w:val="000000" w:themeColor="text1"/>
                      <w:szCs w:val="18"/>
                    </w:rPr>
                  </w:pPr>
                  <w:r w:rsidRPr="006C0D79">
                    <w:rPr>
                      <w:rFonts w:asciiTheme="majorHAnsi" w:hAnsiTheme="majorHAnsi" w:cstheme="majorHAnsi"/>
                      <w:color w:val="000000" w:themeColor="text1"/>
                      <w:szCs w:val="18"/>
                    </w:rPr>
                    <w:t>..</w:t>
                  </w:r>
                </w:p>
              </w:tc>
              <w:tc>
                <w:tcPr>
                  <w:tcW w:w="417" w:type="pct"/>
                </w:tcPr>
                <w:p w:rsidR="00952220" w:rsidRPr="00FF58F4" w:rsidRDefault="007D1214" w:rsidP="00490A13">
                  <w:pPr>
                    <w:pStyle w:val="TableBodyText"/>
                    <w:ind w:left="1441" w:right="28" w:hanging="1435"/>
                  </w:pPr>
                  <w:r>
                    <w:t xml:space="preserve"> </w:t>
                  </w:r>
                  <w:r w:rsidR="00952220" w:rsidRPr="00FF58F4">
                    <w:t>100.0</w:t>
                  </w:r>
                </w:p>
              </w:tc>
              <w:tc>
                <w:tcPr>
                  <w:tcW w:w="418" w:type="pct"/>
                  <w:vAlign w:val="center"/>
                </w:tcPr>
                <w:p w:rsidR="00952220" w:rsidRPr="006C0D79" w:rsidRDefault="00952220" w:rsidP="00490A13">
                  <w:pPr>
                    <w:pStyle w:val="TableBodyText"/>
                    <w:ind w:left="1441" w:right="28" w:hanging="1435"/>
                    <w:rPr>
                      <w:rFonts w:asciiTheme="majorHAnsi" w:hAnsiTheme="majorHAnsi" w:cstheme="majorHAnsi"/>
                      <w:szCs w:val="18"/>
                    </w:rPr>
                  </w:pPr>
                  <w:r w:rsidRPr="006C0D79">
                    <w:rPr>
                      <w:rFonts w:asciiTheme="majorHAnsi" w:hAnsiTheme="majorHAnsi" w:cstheme="majorHAnsi"/>
                      <w:szCs w:val="18"/>
                    </w:rPr>
                    <w:t>na</w:t>
                  </w:r>
                </w:p>
              </w:tc>
              <w:tc>
                <w:tcPr>
                  <w:tcW w:w="417" w:type="pct"/>
                  <w:vAlign w:val="center"/>
                </w:tcPr>
                <w:p w:rsidR="00952220" w:rsidRPr="006C0D79" w:rsidRDefault="00952220" w:rsidP="00490A13">
                  <w:pPr>
                    <w:pStyle w:val="TableBodyText"/>
                    <w:ind w:left="1441" w:right="28" w:hanging="1435"/>
                    <w:rPr>
                      <w:rFonts w:asciiTheme="majorHAnsi" w:hAnsiTheme="majorHAnsi" w:cstheme="majorHAnsi"/>
                      <w:color w:val="000000" w:themeColor="text1"/>
                      <w:szCs w:val="18"/>
                    </w:rPr>
                  </w:pPr>
                  <w:r w:rsidRPr="006C0D79">
                    <w:rPr>
                      <w:rFonts w:asciiTheme="majorHAnsi" w:hAnsiTheme="majorHAnsi" w:cstheme="majorHAnsi"/>
                      <w:color w:val="000000" w:themeColor="text1"/>
                      <w:szCs w:val="18"/>
                    </w:rPr>
                    <w:t>..</w:t>
                  </w:r>
                </w:p>
              </w:tc>
              <w:tc>
                <w:tcPr>
                  <w:tcW w:w="418" w:type="pct"/>
                  <w:vAlign w:val="center"/>
                </w:tcPr>
                <w:p w:rsidR="00952220" w:rsidRPr="006C0D79" w:rsidRDefault="00952220" w:rsidP="00490A13">
                  <w:pPr>
                    <w:pStyle w:val="TableBodyText"/>
                    <w:ind w:left="1441" w:right="28" w:hanging="1435"/>
                    <w:rPr>
                      <w:rFonts w:asciiTheme="majorHAnsi" w:hAnsiTheme="majorHAnsi" w:cstheme="majorHAnsi"/>
                      <w:color w:val="000000" w:themeColor="text1"/>
                      <w:szCs w:val="18"/>
                    </w:rPr>
                  </w:pPr>
                  <w:r w:rsidRPr="006C0D79">
                    <w:rPr>
                      <w:rFonts w:asciiTheme="majorHAnsi" w:hAnsiTheme="majorHAnsi" w:cstheme="majorHAnsi"/>
                      <w:color w:val="000000" w:themeColor="text1"/>
                      <w:szCs w:val="18"/>
                    </w:rPr>
                    <w:t>..</w:t>
                  </w:r>
                </w:p>
              </w:tc>
              <w:tc>
                <w:tcPr>
                  <w:tcW w:w="336" w:type="pct"/>
                </w:tcPr>
                <w:p w:rsidR="00952220" w:rsidRPr="001434EE" w:rsidRDefault="007D1214" w:rsidP="00490A13">
                  <w:pPr>
                    <w:pStyle w:val="TableBodyText"/>
                    <w:ind w:left="1441" w:right="28" w:hanging="1435"/>
                  </w:pPr>
                  <w:r>
                    <w:t xml:space="preserve"> </w:t>
                  </w:r>
                  <w:r w:rsidR="00952220" w:rsidRPr="001434EE">
                    <w:t>61.7</w:t>
                  </w:r>
                </w:p>
              </w:tc>
            </w:tr>
            <w:tr w:rsidR="00952220" w:rsidTr="00490A13">
              <w:tc>
                <w:tcPr>
                  <w:tcW w:w="1323" w:type="pct"/>
                  <w:vAlign w:val="center"/>
                </w:tcPr>
                <w:p w:rsidR="00952220" w:rsidRPr="006C0D79" w:rsidRDefault="00952220" w:rsidP="00490A13">
                  <w:pPr>
                    <w:pStyle w:val="TableBodyText"/>
                    <w:jc w:val="left"/>
                    <w:rPr>
                      <w:rFonts w:asciiTheme="majorHAnsi" w:hAnsiTheme="majorHAnsi" w:cstheme="majorHAnsi"/>
                      <w:color w:val="000000"/>
                      <w:szCs w:val="18"/>
                    </w:rPr>
                  </w:pPr>
                  <w:r w:rsidRPr="006C0D79">
                    <w:rPr>
                      <w:rFonts w:asciiTheme="majorHAnsi" w:hAnsiTheme="majorHAnsi" w:cstheme="majorHAnsi"/>
                      <w:color w:val="000000"/>
                      <w:szCs w:val="18"/>
                    </w:rPr>
                    <w:t>6 months to &lt; 1 year</w:t>
                  </w:r>
                </w:p>
              </w:tc>
              <w:tc>
                <w:tcPr>
                  <w:tcW w:w="418" w:type="pct"/>
                </w:tcPr>
                <w:p w:rsidR="00952220" w:rsidRPr="006A4D79" w:rsidRDefault="007D1214" w:rsidP="00490A13">
                  <w:pPr>
                    <w:pStyle w:val="TableBodyText"/>
                    <w:ind w:left="1441" w:right="28" w:hanging="1435"/>
                  </w:pPr>
                  <w:r>
                    <w:t xml:space="preserve"> </w:t>
                  </w:r>
                  <w:r w:rsidR="00952220" w:rsidRPr="006A4D79">
                    <w:t>16.4</w:t>
                  </w:r>
                </w:p>
              </w:tc>
              <w:tc>
                <w:tcPr>
                  <w:tcW w:w="417" w:type="pct"/>
                  <w:vAlign w:val="center"/>
                </w:tcPr>
                <w:p w:rsidR="00952220" w:rsidRPr="006C0D79" w:rsidRDefault="00952220" w:rsidP="00490A13">
                  <w:pPr>
                    <w:pStyle w:val="TableBodyText"/>
                    <w:ind w:left="1441" w:right="28" w:hanging="1435"/>
                    <w:rPr>
                      <w:rFonts w:asciiTheme="majorHAnsi" w:hAnsiTheme="majorHAnsi" w:cstheme="majorHAnsi"/>
                      <w:color w:val="000000" w:themeColor="text1"/>
                      <w:szCs w:val="18"/>
                    </w:rPr>
                  </w:pPr>
                  <w:r w:rsidRPr="006C0D79">
                    <w:rPr>
                      <w:rFonts w:asciiTheme="majorHAnsi" w:hAnsiTheme="majorHAnsi" w:cstheme="majorHAnsi"/>
                      <w:color w:val="000000" w:themeColor="text1"/>
                      <w:szCs w:val="18"/>
                    </w:rPr>
                    <w:t>..</w:t>
                  </w:r>
                </w:p>
              </w:tc>
              <w:tc>
                <w:tcPr>
                  <w:tcW w:w="417" w:type="pct"/>
                </w:tcPr>
                <w:p w:rsidR="00952220" w:rsidRPr="00B17983" w:rsidRDefault="007D1214" w:rsidP="00490A13">
                  <w:pPr>
                    <w:pStyle w:val="TableBodyText"/>
                    <w:ind w:left="1441" w:right="28" w:hanging="1435"/>
                  </w:pPr>
                  <w:r>
                    <w:t xml:space="preserve"> </w:t>
                  </w:r>
                  <w:r w:rsidR="00952220" w:rsidRPr="00B17983">
                    <w:t>100.0</w:t>
                  </w:r>
                </w:p>
              </w:tc>
              <w:tc>
                <w:tcPr>
                  <w:tcW w:w="418" w:type="pct"/>
                  <w:vAlign w:val="center"/>
                </w:tcPr>
                <w:p w:rsidR="00952220" w:rsidRPr="006C0D79" w:rsidRDefault="00952220" w:rsidP="00490A13">
                  <w:pPr>
                    <w:pStyle w:val="TableBodyText"/>
                    <w:ind w:left="1441" w:right="28" w:hanging="1435"/>
                    <w:rPr>
                      <w:rFonts w:asciiTheme="majorHAnsi" w:hAnsiTheme="majorHAnsi" w:cstheme="majorHAnsi"/>
                      <w:color w:val="000000" w:themeColor="text1"/>
                      <w:szCs w:val="18"/>
                    </w:rPr>
                  </w:pPr>
                  <w:r w:rsidRPr="006C0D79">
                    <w:rPr>
                      <w:rFonts w:asciiTheme="majorHAnsi" w:hAnsiTheme="majorHAnsi" w:cstheme="majorHAnsi"/>
                      <w:color w:val="000000" w:themeColor="text1"/>
                      <w:szCs w:val="18"/>
                    </w:rPr>
                    <w:t>..</w:t>
                  </w:r>
                </w:p>
              </w:tc>
              <w:tc>
                <w:tcPr>
                  <w:tcW w:w="417" w:type="pct"/>
                </w:tcPr>
                <w:p w:rsidR="00952220" w:rsidRPr="00FF58F4" w:rsidRDefault="007D1214" w:rsidP="00490A13">
                  <w:pPr>
                    <w:pStyle w:val="TableBodyText"/>
                    <w:ind w:left="1441" w:right="28" w:hanging="1435"/>
                  </w:pPr>
                  <w:r>
                    <w:t xml:space="preserve"> </w:t>
                  </w:r>
                  <w:r w:rsidR="00952220" w:rsidRPr="00FF58F4">
                    <w:t>100.0</w:t>
                  </w:r>
                </w:p>
              </w:tc>
              <w:tc>
                <w:tcPr>
                  <w:tcW w:w="418" w:type="pct"/>
                  <w:vAlign w:val="center"/>
                </w:tcPr>
                <w:p w:rsidR="00952220" w:rsidRPr="006C0D79" w:rsidRDefault="00952220" w:rsidP="00490A13">
                  <w:pPr>
                    <w:pStyle w:val="TableBodyText"/>
                    <w:ind w:left="1441" w:right="28" w:hanging="1435"/>
                    <w:rPr>
                      <w:rFonts w:asciiTheme="majorHAnsi" w:hAnsiTheme="majorHAnsi" w:cstheme="majorHAnsi"/>
                      <w:szCs w:val="18"/>
                    </w:rPr>
                  </w:pPr>
                  <w:r w:rsidRPr="006C0D79">
                    <w:rPr>
                      <w:rFonts w:asciiTheme="majorHAnsi" w:hAnsiTheme="majorHAnsi" w:cstheme="majorHAnsi"/>
                      <w:szCs w:val="18"/>
                    </w:rPr>
                    <w:t>na</w:t>
                  </w:r>
                </w:p>
              </w:tc>
              <w:tc>
                <w:tcPr>
                  <w:tcW w:w="417" w:type="pct"/>
                  <w:vAlign w:val="center"/>
                </w:tcPr>
                <w:p w:rsidR="00952220" w:rsidRPr="006C0D79" w:rsidRDefault="00952220" w:rsidP="00490A13">
                  <w:pPr>
                    <w:pStyle w:val="TableBodyText"/>
                    <w:ind w:left="1441" w:right="28" w:hanging="1435"/>
                    <w:rPr>
                      <w:rFonts w:asciiTheme="majorHAnsi" w:hAnsiTheme="majorHAnsi" w:cstheme="majorHAnsi"/>
                      <w:color w:val="000000" w:themeColor="text1"/>
                      <w:szCs w:val="18"/>
                    </w:rPr>
                  </w:pPr>
                  <w:r w:rsidRPr="006C0D79">
                    <w:rPr>
                      <w:rFonts w:asciiTheme="majorHAnsi" w:hAnsiTheme="majorHAnsi" w:cstheme="majorHAnsi"/>
                      <w:color w:val="000000" w:themeColor="text1"/>
                      <w:szCs w:val="18"/>
                    </w:rPr>
                    <w:t>..</w:t>
                  </w:r>
                </w:p>
              </w:tc>
              <w:tc>
                <w:tcPr>
                  <w:tcW w:w="418" w:type="pct"/>
                  <w:vAlign w:val="center"/>
                </w:tcPr>
                <w:p w:rsidR="00952220" w:rsidRPr="006C0D79" w:rsidRDefault="00952220" w:rsidP="00490A13">
                  <w:pPr>
                    <w:pStyle w:val="TableBodyText"/>
                    <w:ind w:left="1441" w:right="28" w:hanging="1435"/>
                    <w:rPr>
                      <w:rFonts w:asciiTheme="majorHAnsi" w:hAnsiTheme="majorHAnsi" w:cstheme="majorHAnsi"/>
                      <w:color w:val="000000" w:themeColor="text1"/>
                      <w:szCs w:val="18"/>
                    </w:rPr>
                  </w:pPr>
                  <w:r w:rsidRPr="006C0D79">
                    <w:rPr>
                      <w:rFonts w:asciiTheme="majorHAnsi" w:hAnsiTheme="majorHAnsi" w:cstheme="majorHAnsi"/>
                      <w:color w:val="000000" w:themeColor="text1"/>
                      <w:szCs w:val="18"/>
                    </w:rPr>
                    <w:t>..</w:t>
                  </w:r>
                </w:p>
              </w:tc>
              <w:tc>
                <w:tcPr>
                  <w:tcW w:w="336" w:type="pct"/>
                </w:tcPr>
                <w:p w:rsidR="00952220" w:rsidRPr="001434EE" w:rsidRDefault="007D1214" w:rsidP="00490A13">
                  <w:pPr>
                    <w:pStyle w:val="TableBodyText"/>
                    <w:ind w:left="1441" w:right="28" w:hanging="1435"/>
                  </w:pPr>
                  <w:r>
                    <w:t xml:space="preserve"> </w:t>
                  </w:r>
                  <w:r w:rsidR="00952220" w:rsidRPr="001434EE">
                    <w:t>54.4</w:t>
                  </w:r>
                </w:p>
              </w:tc>
            </w:tr>
            <w:tr w:rsidR="00952220" w:rsidTr="00490A13">
              <w:tc>
                <w:tcPr>
                  <w:tcW w:w="1323" w:type="pct"/>
                  <w:vAlign w:val="center"/>
                </w:tcPr>
                <w:p w:rsidR="00952220" w:rsidRPr="006C0D79" w:rsidRDefault="00952220" w:rsidP="00490A13">
                  <w:pPr>
                    <w:pStyle w:val="TableBodyText"/>
                    <w:jc w:val="left"/>
                    <w:rPr>
                      <w:rFonts w:asciiTheme="majorHAnsi" w:hAnsiTheme="majorHAnsi" w:cstheme="majorHAnsi"/>
                      <w:color w:val="000000"/>
                      <w:szCs w:val="18"/>
                    </w:rPr>
                  </w:pPr>
                  <w:r w:rsidRPr="006C0D79">
                    <w:rPr>
                      <w:rFonts w:asciiTheme="majorHAnsi" w:hAnsiTheme="majorHAnsi" w:cstheme="majorHAnsi"/>
                      <w:color w:val="000000"/>
                      <w:szCs w:val="18"/>
                    </w:rPr>
                    <w:t>1 &lt; 2 years</w:t>
                  </w:r>
                </w:p>
              </w:tc>
              <w:tc>
                <w:tcPr>
                  <w:tcW w:w="418" w:type="pct"/>
                </w:tcPr>
                <w:p w:rsidR="00952220" w:rsidRPr="006A4D79" w:rsidRDefault="007D1214" w:rsidP="00490A13">
                  <w:pPr>
                    <w:pStyle w:val="TableBodyText"/>
                    <w:ind w:left="1441" w:right="28" w:hanging="1435"/>
                  </w:pPr>
                  <w:r>
                    <w:t xml:space="preserve"> </w:t>
                  </w:r>
                  <w:r w:rsidR="00952220" w:rsidRPr="006A4D79">
                    <w:t>1.2</w:t>
                  </w:r>
                </w:p>
              </w:tc>
              <w:tc>
                <w:tcPr>
                  <w:tcW w:w="417" w:type="pct"/>
                  <w:vAlign w:val="center"/>
                </w:tcPr>
                <w:p w:rsidR="00952220" w:rsidRPr="006C0D79" w:rsidRDefault="00952220" w:rsidP="00490A13">
                  <w:pPr>
                    <w:pStyle w:val="TableBodyText"/>
                    <w:ind w:left="1441" w:right="28" w:hanging="1435"/>
                    <w:rPr>
                      <w:rFonts w:asciiTheme="majorHAnsi" w:hAnsiTheme="majorHAnsi" w:cstheme="majorHAnsi"/>
                      <w:color w:val="000000" w:themeColor="text1"/>
                      <w:szCs w:val="18"/>
                    </w:rPr>
                  </w:pPr>
                  <w:r w:rsidRPr="006C0D79">
                    <w:rPr>
                      <w:rFonts w:asciiTheme="majorHAnsi" w:hAnsiTheme="majorHAnsi" w:cstheme="majorHAnsi"/>
                      <w:color w:val="000000" w:themeColor="text1"/>
                      <w:szCs w:val="18"/>
                    </w:rPr>
                    <w:t>..</w:t>
                  </w:r>
                </w:p>
              </w:tc>
              <w:tc>
                <w:tcPr>
                  <w:tcW w:w="417" w:type="pct"/>
                </w:tcPr>
                <w:p w:rsidR="00952220" w:rsidRPr="00B17983" w:rsidRDefault="007D1214" w:rsidP="00490A13">
                  <w:pPr>
                    <w:pStyle w:val="TableBodyText"/>
                    <w:ind w:left="1441" w:right="28" w:hanging="1435"/>
                  </w:pPr>
                  <w:r>
                    <w:t xml:space="preserve"> </w:t>
                  </w:r>
                  <w:r w:rsidR="00952220" w:rsidRPr="00B17983">
                    <w:t>94.6</w:t>
                  </w:r>
                </w:p>
              </w:tc>
              <w:tc>
                <w:tcPr>
                  <w:tcW w:w="418" w:type="pct"/>
                  <w:vAlign w:val="center"/>
                </w:tcPr>
                <w:p w:rsidR="00952220" w:rsidRPr="006C0D79" w:rsidRDefault="00952220" w:rsidP="00490A13">
                  <w:pPr>
                    <w:pStyle w:val="TableBodyText"/>
                    <w:ind w:left="1441" w:right="28" w:hanging="1435"/>
                    <w:rPr>
                      <w:rFonts w:asciiTheme="majorHAnsi" w:hAnsiTheme="majorHAnsi" w:cstheme="majorHAnsi"/>
                      <w:color w:val="000000" w:themeColor="text1"/>
                      <w:szCs w:val="18"/>
                    </w:rPr>
                  </w:pPr>
                  <w:r w:rsidRPr="006C0D79">
                    <w:rPr>
                      <w:rFonts w:asciiTheme="majorHAnsi" w:hAnsiTheme="majorHAnsi" w:cstheme="majorHAnsi"/>
                      <w:color w:val="000000" w:themeColor="text1"/>
                      <w:szCs w:val="18"/>
                    </w:rPr>
                    <w:t>..</w:t>
                  </w:r>
                </w:p>
              </w:tc>
              <w:tc>
                <w:tcPr>
                  <w:tcW w:w="417" w:type="pct"/>
                </w:tcPr>
                <w:p w:rsidR="00952220" w:rsidRPr="00FF58F4" w:rsidRDefault="007D1214" w:rsidP="00490A13">
                  <w:pPr>
                    <w:pStyle w:val="TableBodyText"/>
                    <w:ind w:left="1441" w:right="28" w:hanging="1435"/>
                  </w:pPr>
                  <w:r>
                    <w:t xml:space="preserve"> </w:t>
                  </w:r>
                  <w:r w:rsidR="00952220" w:rsidRPr="00FF58F4">
                    <w:t>100.0</w:t>
                  </w:r>
                </w:p>
              </w:tc>
              <w:tc>
                <w:tcPr>
                  <w:tcW w:w="418" w:type="pct"/>
                  <w:vAlign w:val="center"/>
                </w:tcPr>
                <w:p w:rsidR="00952220" w:rsidRPr="006C0D79" w:rsidRDefault="00952220" w:rsidP="00490A13">
                  <w:pPr>
                    <w:pStyle w:val="TableBodyText"/>
                    <w:ind w:left="1441" w:right="28" w:hanging="1435"/>
                    <w:rPr>
                      <w:rFonts w:asciiTheme="majorHAnsi" w:hAnsiTheme="majorHAnsi" w:cstheme="majorHAnsi"/>
                      <w:szCs w:val="18"/>
                    </w:rPr>
                  </w:pPr>
                  <w:r w:rsidRPr="006C0D79">
                    <w:rPr>
                      <w:rFonts w:asciiTheme="majorHAnsi" w:hAnsiTheme="majorHAnsi" w:cstheme="majorHAnsi"/>
                      <w:szCs w:val="18"/>
                    </w:rPr>
                    <w:t>na</w:t>
                  </w:r>
                </w:p>
              </w:tc>
              <w:tc>
                <w:tcPr>
                  <w:tcW w:w="417" w:type="pct"/>
                  <w:vAlign w:val="center"/>
                </w:tcPr>
                <w:p w:rsidR="00952220" w:rsidRPr="006C0D79" w:rsidRDefault="00952220" w:rsidP="00490A13">
                  <w:pPr>
                    <w:pStyle w:val="TableBodyText"/>
                    <w:ind w:left="1441" w:right="28" w:hanging="1435"/>
                    <w:rPr>
                      <w:rFonts w:asciiTheme="majorHAnsi" w:hAnsiTheme="majorHAnsi" w:cstheme="majorHAnsi"/>
                      <w:color w:val="000000" w:themeColor="text1"/>
                      <w:szCs w:val="18"/>
                    </w:rPr>
                  </w:pPr>
                  <w:r w:rsidRPr="006C0D79">
                    <w:rPr>
                      <w:rFonts w:asciiTheme="majorHAnsi" w:hAnsiTheme="majorHAnsi" w:cstheme="majorHAnsi"/>
                      <w:color w:val="000000" w:themeColor="text1"/>
                      <w:szCs w:val="18"/>
                    </w:rPr>
                    <w:t>..</w:t>
                  </w:r>
                </w:p>
              </w:tc>
              <w:tc>
                <w:tcPr>
                  <w:tcW w:w="418" w:type="pct"/>
                  <w:vAlign w:val="center"/>
                </w:tcPr>
                <w:p w:rsidR="00952220" w:rsidRPr="006C0D79" w:rsidRDefault="00952220" w:rsidP="00490A13">
                  <w:pPr>
                    <w:pStyle w:val="TableBodyText"/>
                    <w:ind w:left="1441" w:right="28" w:hanging="1435"/>
                    <w:rPr>
                      <w:rFonts w:asciiTheme="majorHAnsi" w:hAnsiTheme="majorHAnsi" w:cstheme="majorHAnsi"/>
                      <w:color w:val="000000" w:themeColor="text1"/>
                      <w:szCs w:val="18"/>
                    </w:rPr>
                  </w:pPr>
                  <w:r w:rsidRPr="006C0D79">
                    <w:rPr>
                      <w:rFonts w:asciiTheme="majorHAnsi" w:hAnsiTheme="majorHAnsi" w:cstheme="majorHAnsi"/>
                      <w:color w:val="000000" w:themeColor="text1"/>
                      <w:szCs w:val="18"/>
                    </w:rPr>
                    <w:t>..</w:t>
                  </w:r>
                </w:p>
              </w:tc>
              <w:tc>
                <w:tcPr>
                  <w:tcW w:w="336" w:type="pct"/>
                </w:tcPr>
                <w:p w:rsidR="00952220" w:rsidRPr="001434EE" w:rsidRDefault="007D1214" w:rsidP="00490A13">
                  <w:pPr>
                    <w:pStyle w:val="TableBodyText"/>
                    <w:ind w:left="1441" w:right="28" w:hanging="1435"/>
                  </w:pPr>
                  <w:r>
                    <w:t xml:space="preserve"> </w:t>
                  </w:r>
                  <w:r w:rsidR="00952220" w:rsidRPr="001434EE">
                    <w:t>37.2</w:t>
                  </w:r>
                </w:p>
              </w:tc>
            </w:tr>
            <w:tr w:rsidR="00952220" w:rsidTr="00490A13">
              <w:tc>
                <w:tcPr>
                  <w:tcW w:w="1323" w:type="pct"/>
                  <w:vAlign w:val="center"/>
                </w:tcPr>
                <w:p w:rsidR="00952220" w:rsidRPr="006C0D79" w:rsidRDefault="00952220" w:rsidP="00490A13">
                  <w:pPr>
                    <w:pStyle w:val="TableBodyText"/>
                    <w:jc w:val="left"/>
                    <w:rPr>
                      <w:rFonts w:asciiTheme="majorHAnsi" w:hAnsiTheme="majorHAnsi" w:cstheme="majorHAnsi"/>
                      <w:color w:val="000000"/>
                      <w:szCs w:val="18"/>
                    </w:rPr>
                  </w:pPr>
                  <w:r w:rsidRPr="006C0D79">
                    <w:rPr>
                      <w:rFonts w:asciiTheme="majorHAnsi" w:hAnsiTheme="majorHAnsi" w:cstheme="majorHAnsi"/>
                      <w:color w:val="000000"/>
                      <w:szCs w:val="18"/>
                    </w:rPr>
                    <w:t xml:space="preserve">2+ years </w:t>
                  </w:r>
                </w:p>
              </w:tc>
              <w:tc>
                <w:tcPr>
                  <w:tcW w:w="418" w:type="pct"/>
                </w:tcPr>
                <w:p w:rsidR="00952220" w:rsidRPr="006A4D79" w:rsidRDefault="007D1214" w:rsidP="00490A13">
                  <w:pPr>
                    <w:pStyle w:val="TableBodyText"/>
                    <w:ind w:left="1441" w:right="28" w:hanging="1435"/>
                  </w:pPr>
                  <w:r>
                    <w:t xml:space="preserve"> </w:t>
                  </w:r>
                  <w:r w:rsidR="00952220" w:rsidRPr="006A4D79">
                    <w:t>10.1</w:t>
                  </w:r>
                </w:p>
              </w:tc>
              <w:tc>
                <w:tcPr>
                  <w:tcW w:w="417" w:type="pct"/>
                  <w:vAlign w:val="center"/>
                </w:tcPr>
                <w:p w:rsidR="00952220" w:rsidRPr="006C0D79" w:rsidRDefault="00952220" w:rsidP="00490A13">
                  <w:pPr>
                    <w:pStyle w:val="TableBodyText"/>
                    <w:ind w:left="1441" w:right="28" w:hanging="1435"/>
                    <w:rPr>
                      <w:rFonts w:asciiTheme="majorHAnsi" w:hAnsiTheme="majorHAnsi" w:cstheme="majorHAnsi"/>
                      <w:color w:val="000000" w:themeColor="text1"/>
                      <w:szCs w:val="18"/>
                    </w:rPr>
                  </w:pPr>
                  <w:r w:rsidRPr="006C0D79">
                    <w:rPr>
                      <w:rFonts w:asciiTheme="majorHAnsi" w:hAnsiTheme="majorHAnsi" w:cstheme="majorHAnsi"/>
                      <w:color w:val="000000" w:themeColor="text1"/>
                      <w:szCs w:val="18"/>
                    </w:rPr>
                    <w:t>..</w:t>
                  </w:r>
                </w:p>
              </w:tc>
              <w:tc>
                <w:tcPr>
                  <w:tcW w:w="417" w:type="pct"/>
                </w:tcPr>
                <w:p w:rsidR="00952220" w:rsidRPr="00B17983" w:rsidRDefault="007D1214" w:rsidP="00490A13">
                  <w:pPr>
                    <w:pStyle w:val="TableBodyText"/>
                    <w:ind w:left="1441" w:right="28" w:hanging="1435"/>
                  </w:pPr>
                  <w:r>
                    <w:t xml:space="preserve"> </w:t>
                  </w:r>
                  <w:r w:rsidR="00952220" w:rsidRPr="00B17983">
                    <w:t>82.4</w:t>
                  </w:r>
                </w:p>
              </w:tc>
              <w:tc>
                <w:tcPr>
                  <w:tcW w:w="418" w:type="pct"/>
                  <w:vAlign w:val="center"/>
                </w:tcPr>
                <w:p w:rsidR="00952220" w:rsidRPr="006C0D79" w:rsidRDefault="00952220" w:rsidP="00490A13">
                  <w:pPr>
                    <w:pStyle w:val="TableBodyText"/>
                    <w:ind w:left="1441" w:right="28" w:hanging="1435"/>
                    <w:rPr>
                      <w:rFonts w:asciiTheme="majorHAnsi" w:hAnsiTheme="majorHAnsi" w:cstheme="majorHAnsi"/>
                      <w:color w:val="000000" w:themeColor="text1"/>
                      <w:szCs w:val="18"/>
                    </w:rPr>
                  </w:pPr>
                  <w:r w:rsidRPr="006C0D79">
                    <w:rPr>
                      <w:rFonts w:asciiTheme="majorHAnsi" w:hAnsiTheme="majorHAnsi" w:cstheme="majorHAnsi"/>
                      <w:color w:val="000000" w:themeColor="text1"/>
                      <w:szCs w:val="18"/>
                    </w:rPr>
                    <w:t>..</w:t>
                  </w:r>
                </w:p>
              </w:tc>
              <w:tc>
                <w:tcPr>
                  <w:tcW w:w="417" w:type="pct"/>
                </w:tcPr>
                <w:p w:rsidR="00952220" w:rsidRPr="00FF58F4" w:rsidRDefault="007D1214" w:rsidP="00490A13">
                  <w:pPr>
                    <w:pStyle w:val="TableBodyText"/>
                    <w:ind w:left="1441" w:right="28" w:hanging="1435"/>
                  </w:pPr>
                  <w:r>
                    <w:t xml:space="preserve"> </w:t>
                  </w:r>
                  <w:r w:rsidR="00952220" w:rsidRPr="00FF58F4">
                    <w:t>81.8</w:t>
                  </w:r>
                </w:p>
              </w:tc>
              <w:tc>
                <w:tcPr>
                  <w:tcW w:w="418" w:type="pct"/>
                  <w:vAlign w:val="center"/>
                </w:tcPr>
                <w:p w:rsidR="00952220" w:rsidRPr="006C0D79" w:rsidRDefault="00952220" w:rsidP="00490A13">
                  <w:pPr>
                    <w:pStyle w:val="TableBodyText"/>
                    <w:ind w:left="1441" w:right="28" w:hanging="1435"/>
                    <w:rPr>
                      <w:rFonts w:asciiTheme="majorHAnsi" w:hAnsiTheme="majorHAnsi" w:cstheme="majorHAnsi"/>
                      <w:szCs w:val="18"/>
                    </w:rPr>
                  </w:pPr>
                  <w:r w:rsidRPr="006C0D79">
                    <w:rPr>
                      <w:rFonts w:asciiTheme="majorHAnsi" w:hAnsiTheme="majorHAnsi" w:cstheme="majorHAnsi"/>
                      <w:szCs w:val="18"/>
                    </w:rPr>
                    <w:t>na</w:t>
                  </w:r>
                </w:p>
              </w:tc>
              <w:tc>
                <w:tcPr>
                  <w:tcW w:w="417" w:type="pct"/>
                  <w:vAlign w:val="center"/>
                </w:tcPr>
                <w:p w:rsidR="00952220" w:rsidRPr="006C0D79" w:rsidRDefault="00952220" w:rsidP="00490A13">
                  <w:pPr>
                    <w:pStyle w:val="TableBodyText"/>
                    <w:ind w:left="1441" w:right="28" w:hanging="1435"/>
                    <w:rPr>
                      <w:rFonts w:asciiTheme="majorHAnsi" w:hAnsiTheme="majorHAnsi" w:cstheme="majorHAnsi"/>
                      <w:color w:val="000000" w:themeColor="text1"/>
                      <w:szCs w:val="18"/>
                    </w:rPr>
                  </w:pPr>
                  <w:r w:rsidRPr="006C0D79">
                    <w:rPr>
                      <w:rFonts w:asciiTheme="majorHAnsi" w:hAnsiTheme="majorHAnsi" w:cstheme="majorHAnsi"/>
                      <w:color w:val="000000" w:themeColor="text1"/>
                      <w:szCs w:val="18"/>
                    </w:rPr>
                    <w:t>..</w:t>
                  </w:r>
                </w:p>
              </w:tc>
              <w:tc>
                <w:tcPr>
                  <w:tcW w:w="418" w:type="pct"/>
                  <w:vAlign w:val="center"/>
                </w:tcPr>
                <w:p w:rsidR="00952220" w:rsidRPr="006C0D79" w:rsidRDefault="00952220" w:rsidP="00490A13">
                  <w:pPr>
                    <w:pStyle w:val="TableBodyText"/>
                    <w:ind w:left="1441" w:right="28" w:hanging="1435"/>
                    <w:rPr>
                      <w:rFonts w:asciiTheme="majorHAnsi" w:hAnsiTheme="majorHAnsi" w:cstheme="majorHAnsi"/>
                      <w:color w:val="000000" w:themeColor="text1"/>
                      <w:szCs w:val="18"/>
                    </w:rPr>
                  </w:pPr>
                  <w:r w:rsidRPr="006C0D79">
                    <w:rPr>
                      <w:rFonts w:asciiTheme="majorHAnsi" w:hAnsiTheme="majorHAnsi" w:cstheme="majorHAnsi"/>
                      <w:color w:val="000000" w:themeColor="text1"/>
                      <w:szCs w:val="18"/>
                    </w:rPr>
                    <w:t>..</w:t>
                  </w:r>
                </w:p>
              </w:tc>
              <w:tc>
                <w:tcPr>
                  <w:tcW w:w="336" w:type="pct"/>
                </w:tcPr>
                <w:p w:rsidR="00952220" w:rsidRPr="001434EE" w:rsidRDefault="007D1214" w:rsidP="00490A13">
                  <w:pPr>
                    <w:pStyle w:val="TableBodyText"/>
                    <w:ind w:left="1441" w:right="28" w:hanging="1435"/>
                  </w:pPr>
                  <w:r>
                    <w:t xml:space="preserve"> </w:t>
                  </w:r>
                  <w:r w:rsidR="00952220" w:rsidRPr="001434EE">
                    <w:t>25.4</w:t>
                  </w:r>
                </w:p>
              </w:tc>
            </w:tr>
            <w:tr w:rsidR="00952220" w:rsidTr="00490A13">
              <w:tc>
                <w:tcPr>
                  <w:tcW w:w="1323" w:type="pct"/>
                  <w:tcBorders>
                    <w:bottom w:val="single" w:sz="4" w:space="0" w:color="BFBFBF" w:themeColor="background2"/>
                  </w:tcBorders>
                  <w:vAlign w:val="bottom"/>
                </w:tcPr>
                <w:p w:rsidR="00952220" w:rsidRPr="006C0D79" w:rsidRDefault="00952220" w:rsidP="00490A13">
                  <w:pPr>
                    <w:pStyle w:val="TableBodyText"/>
                    <w:pBdr>
                      <w:left w:val="single" w:sz="24" w:space="12" w:color="C0C0C0"/>
                    </w:pBdr>
                    <w:jc w:val="left"/>
                    <w:rPr>
                      <w:rFonts w:asciiTheme="majorHAnsi" w:hAnsiTheme="majorHAnsi" w:cstheme="majorHAnsi"/>
                      <w:b/>
                      <w:color w:val="000000"/>
                      <w:szCs w:val="18"/>
                    </w:rPr>
                  </w:pPr>
                  <w:r w:rsidRPr="006C0D79">
                    <w:rPr>
                      <w:rFonts w:asciiTheme="majorHAnsi" w:hAnsiTheme="majorHAnsi" w:cstheme="majorHAnsi"/>
                      <w:b/>
                      <w:color w:val="000000"/>
                      <w:szCs w:val="18"/>
                    </w:rPr>
                    <w:t>Overall</w:t>
                  </w:r>
                </w:p>
              </w:tc>
              <w:tc>
                <w:tcPr>
                  <w:tcW w:w="418" w:type="pct"/>
                  <w:tcBorders>
                    <w:bottom w:val="single" w:sz="4" w:space="0" w:color="BFBFBF" w:themeColor="background2"/>
                  </w:tcBorders>
                </w:tcPr>
                <w:p w:rsidR="00952220" w:rsidRPr="001F735C" w:rsidRDefault="007D1214" w:rsidP="00490A13">
                  <w:pPr>
                    <w:pStyle w:val="TableBodyText"/>
                    <w:ind w:left="1441" w:right="28" w:hanging="1435"/>
                    <w:rPr>
                      <w:b/>
                    </w:rPr>
                  </w:pPr>
                  <w:r>
                    <w:rPr>
                      <w:b/>
                    </w:rPr>
                    <w:t xml:space="preserve"> </w:t>
                  </w:r>
                  <w:r w:rsidR="00952220" w:rsidRPr="001F735C">
                    <w:rPr>
                      <w:b/>
                    </w:rPr>
                    <w:t>12.9</w:t>
                  </w:r>
                </w:p>
              </w:tc>
              <w:tc>
                <w:tcPr>
                  <w:tcW w:w="417" w:type="pct"/>
                  <w:tcBorders>
                    <w:bottom w:val="single" w:sz="4" w:space="0" w:color="BFBFBF" w:themeColor="background2"/>
                  </w:tcBorders>
                  <w:vAlign w:val="center"/>
                </w:tcPr>
                <w:p w:rsidR="00952220" w:rsidRPr="001F735C" w:rsidRDefault="00952220" w:rsidP="00490A13">
                  <w:pPr>
                    <w:pStyle w:val="TableBodyText"/>
                    <w:ind w:left="1441" w:right="28" w:hanging="1435"/>
                    <w:rPr>
                      <w:rFonts w:asciiTheme="majorHAnsi" w:hAnsiTheme="majorHAnsi" w:cstheme="majorHAnsi"/>
                      <w:b/>
                      <w:bCs/>
                      <w:color w:val="000000" w:themeColor="text1"/>
                      <w:szCs w:val="18"/>
                    </w:rPr>
                  </w:pPr>
                  <w:r w:rsidRPr="001F735C">
                    <w:rPr>
                      <w:rFonts w:asciiTheme="majorHAnsi" w:hAnsiTheme="majorHAnsi" w:cstheme="majorHAnsi"/>
                      <w:b/>
                      <w:bCs/>
                      <w:color w:val="000000" w:themeColor="text1"/>
                      <w:szCs w:val="18"/>
                    </w:rPr>
                    <w:t>..</w:t>
                  </w:r>
                </w:p>
              </w:tc>
              <w:tc>
                <w:tcPr>
                  <w:tcW w:w="417" w:type="pct"/>
                  <w:tcBorders>
                    <w:bottom w:val="single" w:sz="4" w:space="0" w:color="BFBFBF" w:themeColor="background2"/>
                  </w:tcBorders>
                </w:tcPr>
                <w:p w:rsidR="00952220" w:rsidRPr="001F735C" w:rsidRDefault="007D1214" w:rsidP="00490A13">
                  <w:pPr>
                    <w:pStyle w:val="TableBodyText"/>
                    <w:ind w:left="1441" w:right="28" w:hanging="1435"/>
                    <w:rPr>
                      <w:b/>
                    </w:rPr>
                  </w:pPr>
                  <w:r>
                    <w:rPr>
                      <w:b/>
                    </w:rPr>
                    <w:t xml:space="preserve"> </w:t>
                  </w:r>
                  <w:r w:rsidR="00952220" w:rsidRPr="001F735C">
                    <w:rPr>
                      <w:b/>
                    </w:rPr>
                    <w:t>96.5</w:t>
                  </w:r>
                </w:p>
              </w:tc>
              <w:tc>
                <w:tcPr>
                  <w:tcW w:w="418" w:type="pct"/>
                  <w:tcBorders>
                    <w:bottom w:val="single" w:sz="4" w:space="0" w:color="BFBFBF" w:themeColor="background2"/>
                  </w:tcBorders>
                  <w:vAlign w:val="center"/>
                </w:tcPr>
                <w:p w:rsidR="00952220" w:rsidRPr="001F735C" w:rsidRDefault="00952220" w:rsidP="00490A13">
                  <w:pPr>
                    <w:pStyle w:val="TableBodyText"/>
                    <w:ind w:left="1441" w:right="28" w:hanging="1435"/>
                    <w:rPr>
                      <w:rFonts w:asciiTheme="majorHAnsi" w:hAnsiTheme="majorHAnsi" w:cstheme="majorHAnsi"/>
                      <w:b/>
                      <w:bCs/>
                      <w:color w:val="000000" w:themeColor="text1"/>
                      <w:szCs w:val="18"/>
                    </w:rPr>
                  </w:pPr>
                  <w:r w:rsidRPr="001F735C">
                    <w:rPr>
                      <w:rFonts w:asciiTheme="majorHAnsi" w:hAnsiTheme="majorHAnsi" w:cstheme="majorHAnsi"/>
                      <w:b/>
                      <w:bCs/>
                      <w:color w:val="000000" w:themeColor="text1"/>
                      <w:szCs w:val="18"/>
                    </w:rPr>
                    <w:t>..</w:t>
                  </w:r>
                </w:p>
              </w:tc>
              <w:tc>
                <w:tcPr>
                  <w:tcW w:w="417" w:type="pct"/>
                  <w:tcBorders>
                    <w:bottom w:val="single" w:sz="4" w:space="0" w:color="BFBFBF" w:themeColor="background2"/>
                  </w:tcBorders>
                </w:tcPr>
                <w:p w:rsidR="00952220" w:rsidRPr="001F735C" w:rsidRDefault="007D1214" w:rsidP="00490A13">
                  <w:pPr>
                    <w:pStyle w:val="TableBodyText"/>
                    <w:ind w:left="1441" w:right="28" w:hanging="1435"/>
                    <w:rPr>
                      <w:b/>
                    </w:rPr>
                  </w:pPr>
                  <w:r>
                    <w:rPr>
                      <w:b/>
                    </w:rPr>
                    <w:t xml:space="preserve"> </w:t>
                  </w:r>
                  <w:r w:rsidR="00952220" w:rsidRPr="001F735C">
                    <w:rPr>
                      <w:b/>
                    </w:rPr>
                    <w:t>91.1</w:t>
                  </w:r>
                </w:p>
              </w:tc>
              <w:tc>
                <w:tcPr>
                  <w:tcW w:w="418" w:type="pct"/>
                  <w:tcBorders>
                    <w:bottom w:val="single" w:sz="4" w:space="0" w:color="BFBFBF" w:themeColor="background2"/>
                  </w:tcBorders>
                  <w:vAlign w:val="center"/>
                </w:tcPr>
                <w:p w:rsidR="00952220" w:rsidRPr="001F735C" w:rsidRDefault="00952220" w:rsidP="00490A13">
                  <w:pPr>
                    <w:pStyle w:val="TableBodyText"/>
                    <w:ind w:left="1441" w:right="28" w:hanging="1435"/>
                    <w:rPr>
                      <w:rFonts w:asciiTheme="majorHAnsi" w:hAnsiTheme="majorHAnsi" w:cstheme="majorHAnsi"/>
                      <w:b/>
                      <w:bCs/>
                      <w:szCs w:val="18"/>
                    </w:rPr>
                  </w:pPr>
                  <w:r w:rsidRPr="001F735C">
                    <w:rPr>
                      <w:rFonts w:asciiTheme="majorHAnsi" w:hAnsiTheme="majorHAnsi" w:cstheme="majorHAnsi"/>
                      <w:b/>
                      <w:bCs/>
                      <w:szCs w:val="18"/>
                    </w:rPr>
                    <w:t>na</w:t>
                  </w:r>
                </w:p>
              </w:tc>
              <w:tc>
                <w:tcPr>
                  <w:tcW w:w="417" w:type="pct"/>
                  <w:tcBorders>
                    <w:bottom w:val="single" w:sz="4" w:space="0" w:color="BFBFBF" w:themeColor="background2"/>
                  </w:tcBorders>
                  <w:vAlign w:val="center"/>
                </w:tcPr>
                <w:p w:rsidR="00952220" w:rsidRPr="001F735C" w:rsidRDefault="00952220" w:rsidP="00490A13">
                  <w:pPr>
                    <w:pStyle w:val="TableBodyText"/>
                    <w:ind w:left="1441" w:right="28" w:hanging="1435"/>
                    <w:rPr>
                      <w:rFonts w:asciiTheme="majorHAnsi" w:hAnsiTheme="majorHAnsi" w:cstheme="majorHAnsi"/>
                      <w:b/>
                      <w:bCs/>
                      <w:color w:val="000000" w:themeColor="text1"/>
                      <w:szCs w:val="18"/>
                    </w:rPr>
                  </w:pPr>
                  <w:r w:rsidRPr="001F735C">
                    <w:rPr>
                      <w:rFonts w:asciiTheme="majorHAnsi" w:hAnsiTheme="majorHAnsi" w:cstheme="majorHAnsi"/>
                      <w:b/>
                      <w:bCs/>
                      <w:color w:val="000000" w:themeColor="text1"/>
                      <w:szCs w:val="18"/>
                    </w:rPr>
                    <w:t>..</w:t>
                  </w:r>
                </w:p>
              </w:tc>
              <w:tc>
                <w:tcPr>
                  <w:tcW w:w="418" w:type="pct"/>
                  <w:tcBorders>
                    <w:bottom w:val="single" w:sz="4" w:space="0" w:color="BFBFBF" w:themeColor="background2"/>
                  </w:tcBorders>
                  <w:vAlign w:val="center"/>
                </w:tcPr>
                <w:p w:rsidR="00952220" w:rsidRPr="001F735C" w:rsidRDefault="00952220" w:rsidP="00490A13">
                  <w:pPr>
                    <w:pStyle w:val="TableBodyText"/>
                    <w:ind w:left="1441" w:right="28" w:hanging="1435"/>
                    <w:rPr>
                      <w:rFonts w:asciiTheme="majorHAnsi" w:hAnsiTheme="majorHAnsi" w:cstheme="majorHAnsi"/>
                      <w:b/>
                      <w:bCs/>
                      <w:color w:val="000000" w:themeColor="text1"/>
                      <w:szCs w:val="18"/>
                    </w:rPr>
                  </w:pPr>
                  <w:r w:rsidRPr="001F735C">
                    <w:rPr>
                      <w:rFonts w:asciiTheme="majorHAnsi" w:hAnsiTheme="majorHAnsi" w:cstheme="majorHAnsi"/>
                      <w:b/>
                      <w:bCs/>
                      <w:color w:val="000000" w:themeColor="text1"/>
                      <w:szCs w:val="18"/>
                    </w:rPr>
                    <w:t>..</w:t>
                  </w:r>
                </w:p>
              </w:tc>
              <w:tc>
                <w:tcPr>
                  <w:tcW w:w="336" w:type="pct"/>
                  <w:tcBorders>
                    <w:bottom w:val="single" w:sz="4" w:space="0" w:color="BFBFBF" w:themeColor="background2"/>
                  </w:tcBorders>
                </w:tcPr>
                <w:p w:rsidR="00952220" w:rsidRPr="001F735C" w:rsidRDefault="007D1214" w:rsidP="00490A13">
                  <w:pPr>
                    <w:pStyle w:val="TableBodyText"/>
                    <w:ind w:left="1441" w:right="28" w:hanging="1435"/>
                    <w:rPr>
                      <w:b/>
                    </w:rPr>
                  </w:pPr>
                  <w:r>
                    <w:rPr>
                      <w:b/>
                    </w:rPr>
                    <w:t xml:space="preserve"> </w:t>
                  </w:r>
                  <w:r w:rsidR="00952220" w:rsidRPr="001F735C">
                    <w:rPr>
                      <w:b/>
                    </w:rPr>
                    <w:t>51.8</w:t>
                  </w:r>
                </w:p>
              </w:tc>
            </w:tr>
          </w:tbl>
          <w:p w:rsidR="00952220" w:rsidRDefault="00952220" w:rsidP="00490A13">
            <w:pPr>
              <w:pStyle w:val="Box"/>
            </w:pPr>
          </w:p>
        </w:tc>
      </w:tr>
      <w:tr w:rsidR="00952220" w:rsidTr="00490A13">
        <w:trPr>
          <w:cantSplit/>
        </w:trPr>
        <w:tc>
          <w:tcPr>
            <w:tcW w:w="8771" w:type="dxa"/>
            <w:tcBorders>
              <w:top w:val="nil"/>
              <w:left w:val="nil"/>
              <w:bottom w:val="nil"/>
              <w:right w:val="nil"/>
            </w:tcBorders>
            <w:shd w:val="clear" w:color="auto" w:fill="auto"/>
          </w:tcPr>
          <w:p w:rsidR="00952220" w:rsidRDefault="00952220" w:rsidP="00490A13">
            <w:pPr>
              <w:pStyle w:val="Note"/>
              <w:jc w:val="left"/>
              <w:rPr>
                <w:i/>
              </w:rPr>
            </w:pPr>
            <w:r w:rsidRPr="008E77FE">
              <w:rPr>
                <w:rStyle w:val="NoteLabel"/>
              </w:rPr>
              <w:t>a</w:t>
            </w:r>
            <w:r>
              <w:t xml:space="preserve"> See box</w:t>
            </w:r>
            <w:r w:rsidR="007D1214">
              <w:t> </w:t>
            </w:r>
            <w:r>
              <w:t>17.6 and tables </w:t>
            </w:r>
            <w:proofErr w:type="spellStart"/>
            <w:r>
              <w:t>17A.9</w:t>
            </w:r>
            <w:proofErr w:type="spellEnd"/>
            <w:r>
              <w:t>–10 for detailed definitions, footnotes and caveats.</w:t>
            </w:r>
            <w:r w:rsidRPr="00524CC4">
              <w:t xml:space="preserve"> </w:t>
            </w:r>
            <w:r w:rsidRPr="00524CC4">
              <w:rPr>
                <w:b/>
              </w:rPr>
              <w:t>na</w:t>
            </w:r>
            <w:r w:rsidRPr="00524CC4">
              <w:t xml:space="preserve"> Not available. </w:t>
            </w:r>
            <w:r w:rsidRPr="00524CC4">
              <w:br/>
              <w:t>.. Not applicable</w:t>
            </w:r>
            <w:r>
              <w:t>.</w:t>
            </w:r>
          </w:p>
        </w:tc>
      </w:tr>
      <w:tr w:rsidR="00952220" w:rsidTr="00490A13">
        <w:trPr>
          <w:cantSplit/>
        </w:trPr>
        <w:tc>
          <w:tcPr>
            <w:tcW w:w="8771" w:type="dxa"/>
            <w:tcBorders>
              <w:top w:val="nil"/>
              <w:left w:val="nil"/>
              <w:bottom w:val="nil"/>
              <w:right w:val="nil"/>
            </w:tcBorders>
            <w:shd w:val="clear" w:color="auto" w:fill="auto"/>
          </w:tcPr>
          <w:p w:rsidR="00952220" w:rsidRDefault="00952220" w:rsidP="00490A13">
            <w:pPr>
              <w:pStyle w:val="Source"/>
            </w:pPr>
            <w:r>
              <w:rPr>
                <w:i/>
              </w:rPr>
              <w:t>Source</w:t>
            </w:r>
            <w:r w:rsidRPr="00167F06">
              <w:t xml:space="preserve">: </w:t>
            </w:r>
            <w:r w:rsidRPr="00524CC4">
              <w:t>AIHW (unpublished)</w:t>
            </w:r>
            <w:r>
              <w:rPr>
                <w:rFonts w:ascii="Times New Roman" w:hAnsi="Times New Roman"/>
                <w:sz w:val="24"/>
                <w:szCs w:val="24"/>
              </w:rPr>
              <w:t xml:space="preserve"> </w:t>
            </w:r>
            <w:r w:rsidRPr="00AF1F34">
              <w:t>National Housing Assistance Data Repository</w:t>
            </w:r>
            <w:r>
              <w:t>; tables</w:t>
            </w:r>
            <w:r w:rsidR="007D1214">
              <w:t> </w:t>
            </w:r>
            <w:proofErr w:type="spellStart"/>
            <w:r>
              <w:t>17A.9</w:t>
            </w:r>
            <w:proofErr w:type="spellEnd"/>
            <w:r w:rsidR="007D1214">
              <w:noBreakHyphen/>
            </w:r>
            <w:r>
              <w:t>10.</w:t>
            </w:r>
          </w:p>
        </w:tc>
      </w:tr>
      <w:tr w:rsidR="00952220" w:rsidTr="00490A13">
        <w:trPr>
          <w:cantSplit/>
        </w:trPr>
        <w:tc>
          <w:tcPr>
            <w:tcW w:w="8771" w:type="dxa"/>
            <w:tcBorders>
              <w:top w:val="nil"/>
              <w:left w:val="nil"/>
              <w:bottom w:val="single" w:sz="6" w:space="0" w:color="78A22F"/>
              <w:right w:val="nil"/>
            </w:tcBorders>
            <w:shd w:val="clear" w:color="auto" w:fill="auto"/>
          </w:tcPr>
          <w:p w:rsidR="00952220" w:rsidRDefault="00952220" w:rsidP="00490A13">
            <w:pPr>
              <w:pStyle w:val="Box"/>
              <w:spacing w:before="0" w:line="120" w:lineRule="exact"/>
            </w:pPr>
          </w:p>
        </w:tc>
      </w:tr>
      <w:tr w:rsidR="00952220" w:rsidRPr="000863A5" w:rsidTr="00490A13">
        <w:tc>
          <w:tcPr>
            <w:tcW w:w="8771" w:type="dxa"/>
            <w:tcBorders>
              <w:top w:val="single" w:sz="6" w:space="0" w:color="78A22F"/>
              <w:left w:val="nil"/>
              <w:bottom w:val="nil"/>
              <w:right w:val="nil"/>
            </w:tcBorders>
          </w:tcPr>
          <w:p w:rsidR="00952220" w:rsidRPr="00626D32" w:rsidRDefault="00952220" w:rsidP="00490A13">
            <w:pPr>
              <w:pStyle w:val="BoxSpaceBelow"/>
            </w:pPr>
          </w:p>
        </w:tc>
      </w:tr>
    </w:tbl>
    <w:p w:rsidR="00D23C4B" w:rsidRDefault="00D23C4B" w:rsidP="00616646">
      <w:pPr>
        <w:pStyle w:val="BodyText"/>
      </w:pPr>
      <w:r>
        <w:t>Households that are in greatest need are more likely to have members with special needs</w:t>
      </w:r>
      <w:r w:rsidR="00A949D5">
        <w:t>,</w:t>
      </w:r>
      <w:r w:rsidR="007D1214">
        <w:t xml:space="preserve"> </w:t>
      </w:r>
      <w:r w:rsidR="00A949D5">
        <w:t>and t</w:t>
      </w:r>
      <w:r>
        <w:t xml:space="preserve">here may be overlap between </w:t>
      </w:r>
      <w:r w:rsidR="009174C8">
        <w:t>special needs and greatest need</w:t>
      </w:r>
      <w:r>
        <w:t xml:space="preserve"> groups </w:t>
      </w:r>
      <w:r w:rsidR="00D578CD">
        <w:t>as these categories</w:t>
      </w:r>
      <w:r>
        <w:t xml:space="preserve"> are not mutually exclusive</w:t>
      </w:r>
      <w:r w:rsidR="00A949D5">
        <w:t xml:space="preserve"> (AIHW 2015)</w:t>
      </w:r>
      <w:r>
        <w:t>.</w:t>
      </w:r>
      <w:r w:rsidR="007D1214">
        <w:t xml:space="preserve"> </w:t>
      </w:r>
    </w:p>
    <w:p w:rsidR="00F76C54" w:rsidRDefault="00F76C54" w:rsidP="00AF1F34">
      <w:pPr>
        <w:pStyle w:val="Heading4"/>
      </w:pPr>
      <w:r>
        <w:t xml:space="preserve">Access — Special needs </w:t>
      </w:r>
    </w:p>
    <w:p w:rsidR="00616646" w:rsidRDefault="00616646" w:rsidP="00616646">
      <w:pPr>
        <w:pStyle w:val="BodyText"/>
      </w:pPr>
      <w:r>
        <w:t xml:space="preserve">Access of ‘special needs’ groups to social housing </w:t>
      </w:r>
      <w:r w:rsidRPr="00A34FFE">
        <w:t>is an indicator of governments’ objective to provide appropriate, affordable and secure housing assistance to people who are unable to a</w:t>
      </w:r>
      <w:r w:rsidR="007F2F30">
        <w:t>ccess suitable housing (box 17.7</w:t>
      </w:r>
      <w:r w:rsidRPr="00A34FFE">
        <w:t>).</w:t>
      </w:r>
    </w:p>
    <w:p w:rsidR="00616646" w:rsidRDefault="00616646" w:rsidP="00616646">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616646" w:rsidTr="00751BC3">
        <w:tc>
          <w:tcPr>
            <w:tcW w:w="5000" w:type="pct"/>
            <w:tcBorders>
              <w:top w:val="single" w:sz="6" w:space="0" w:color="78A22F"/>
              <w:left w:val="nil"/>
              <w:bottom w:val="nil"/>
              <w:right w:val="nil"/>
            </w:tcBorders>
            <w:shd w:val="clear" w:color="auto" w:fill="F2F2F2" w:themeFill="background1" w:themeFillShade="F2"/>
          </w:tcPr>
          <w:p w:rsidR="00616646" w:rsidRDefault="001363B3" w:rsidP="00BF121A">
            <w:pPr>
              <w:pStyle w:val="BoxTitle"/>
            </w:pPr>
            <w:r>
              <w:rPr>
                <w:b w:val="0"/>
              </w:rPr>
              <w:t>Box 17.</w:t>
            </w:r>
            <w:r w:rsidR="00EF0AA4">
              <w:rPr>
                <w:b w:val="0"/>
                <w:noProof/>
              </w:rPr>
              <w:t>7</w:t>
            </w:r>
            <w:r w:rsidR="00BF121A">
              <w:tab/>
              <w:t>S</w:t>
            </w:r>
            <w:r w:rsidR="00616646">
              <w:t xml:space="preserve">pecial needs </w:t>
            </w:r>
          </w:p>
        </w:tc>
      </w:tr>
      <w:tr w:rsidR="00616646" w:rsidTr="00751BC3">
        <w:trPr>
          <w:cantSplit/>
        </w:trPr>
        <w:tc>
          <w:tcPr>
            <w:tcW w:w="5000" w:type="pct"/>
            <w:tcBorders>
              <w:top w:val="nil"/>
              <w:left w:val="nil"/>
              <w:bottom w:val="nil"/>
              <w:right w:val="nil"/>
            </w:tcBorders>
            <w:shd w:val="clear" w:color="auto" w:fill="F2F2F2" w:themeFill="background1" w:themeFillShade="F2"/>
          </w:tcPr>
          <w:p w:rsidR="00616646" w:rsidRPr="00E00B00" w:rsidRDefault="00F76C54" w:rsidP="00AF1F34">
            <w:pPr>
              <w:pStyle w:val="Box"/>
            </w:pPr>
            <w:r>
              <w:t>‘</w:t>
            </w:r>
            <w:r w:rsidR="00BF121A">
              <w:t>S</w:t>
            </w:r>
            <w:r w:rsidR="00616646" w:rsidRPr="00A34FFE">
              <w:t>pecial needs</w:t>
            </w:r>
            <w:r>
              <w:t>’</w:t>
            </w:r>
            <w:r w:rsidR="00616646">
              <w:t xml:space="preserve"> </w:t>
            </w:r>
            <w:r w:rsidR="00616646" w:rsidRPr="00A34FFE">
              <w:t xml:space="preserve">is defined as the proportion of new tenancies allocated to households with special </w:t>
            </w:r>
            <w:r w:rsidR="00616646" w:rsidRPr="005E340A">
              <w:t>needs</w:t>
            </w:r>
            <w:r w:rsidR="00EF7082" w:rsidRPr="005E340A">
              <w:t xml:space="preserve"> (see section</w:t>
            </w:r>
            <w:r w:rsidR="007D1214">
              <w:t> </w:t>
            </w:r>
            <w:r w:rsidR="00EF7082" w:rsidRPr="005E340A">
              <w:t>17.5 for definition of special needs households)</w:t>
            </w:r>
            <w:r w:rsidR="00616646" w:rsidRPr="005E340A">
              <w:t>. The</w:t>
            </w:r>
            <w:r w:rsidR="00616646" w:rsidRPr="00A34FFE">
              <w:t xml:space="preserve"> proportion of new tenancies with special needs is reported as a proxy for measuring all households with special needs</w:t>
            </w:r>
            <w:r w:rsidR="00616646" w:rsidRPr="00E00B00">
              <w:t>.</w:t>
            </w:r>
            <w:r>
              <w:t xml:space="preserve"> </w:t>
            </w:r>
          </w:p>
          <w:p w:rsidR="00616646" w:rsidRPr="00E00B00" w:rsidRDefault="00616646" w:rsidP="00751BC3">
            <w:pPr>
              <w:pStyle w:val="Box"/>
            </w:pPr>
            <w:r w:rsidRPr="00E00B00">
              <w:t>A high or increasing proportion indicates a high degree of access by these special needs households.</w:t>
            </w:r>
          </w:p>
          <w:p w:rsidR="00616646" w:rsidRPr="00E00B00" w:rsidRDefault="00616646" w:rsidP="00751BC3">
            <w:pPr>
              <w:pStyle w:val="Box"/>
            </w:pPr>
            <w:r w:rsidRPr="00E00B00">
              <w:t>Data for this indicator are reported for public housing, SOMIH and community housing.</w:t>
            </w:r>
          </w:p>
          <w:p w:rsidR="00616646" w:rsidRPr="00E00B00" w:rsidRDefault="00616646" w:rsidP="00751BC3">
            <w:pPr>
              <w:pStyle w:val="Box"/>
            </w:pPr>
            <w:r w:rsidRPr="00E00B00">
              <w:t xml:space="preserve">Data reported </w:t>
            </w:r>
            <w:r w:rsidR="00F76C54">
              <w:t xml:space="preserve">for this indicator </w:t>
            </w:r>
            <w:r w:rsidRPr="00E00B00">
              <w:t>are:</w:t>
            </w:r>
          </w:p>
          <w:p w:rsidR="00616646" w:rsidRPr="00CE1419" w:rsidRDefault="00616646" w:rsidP="00751BC3">
            <w:pPr>
              <w:pStyle w:val="BoxListBullet"/>
            </w:pPr>
            <w:r w:rsidRPr="00CE1419">
              <w:t>comparable (subject to caveats) within some jurisdictions over time but are not comparable across jurisdictions or over time for other jurisdictions (see caveats in attachment tables and DQI for specific jurisdictions)</w:t>
            </w:r>
          </w:p>
          <w:p w:rsidR="00616646" w:rsidRPr="00CE1419" w:rsidRDefault="00616646" w:rsidP="00751BC3">
            <w:pPr>
              <w:pStyle w:val="BoxListBullet"/>
            </w:pPr>
            <w:r w:rsidRPr="00CE1419">
              <w:t>are not comparable across public housing, SOMIH and community housing</w:t>
            </w:r>
          </w:p>
          <w:p w:rsidR="00616646" w:rsidRPr="00CE1419" w:rsidRDefault="00616646" w:rsidP="00751BC3">
            <w:pPr>
              <w:pStyle w:val="BoxListBullet"/>
            </w:pPr>
            <w:r w:rsidRPr="00CE1419">
              <w:t>complete for public housing and SOMIH for the current reporting period (subjec</w:t>
            </w:r>
            <w:r w:rsidR="00D578CD">
              <w:t>t to caveats). All required 2014</w:t>
            </w:r>
            <w:r w:rsidR="007D1214">
              <w:noBreakHyphen/>
            </w:r>
            <w:r w:rsidR="00D578CD">
              <w:t>15</w:t>
            </w:r>
            <w:r w:rsidRPr="00CE1419">
              <w:t xml:space="preserve"> data are available for all jurisdictions providing the service</w:t>
            </w:r>
          </w:p>
          <w:p w:rsidR="00616646" w:rsidRPr="00AF1F34" w:rsidRDefault="00616646" w:rsidP="00751BC3">
            <w:pPr>
              <w:pStyle w:val="BoxListBullet"/>
            </w:pPr>
            <w:r w:rsidRPr="00AF1F34">
              <w:t>incomplete for community housing for the current rep</w:t>
            </w:r>
            <w:r w:rsidR="00D578CD" w:rsidRPr="00AF1F34">
              <w:t>orting period. All required 2014</w:t>
            </w:r>
            <w:r w:rsidR="007D1214">
              <w:noBreakHyphen/>
            </w:r>
            <w:r w:rsidR="00D578CD" w:rsidRPr="00AF1F34">
              <w:t>15</w:t>
            </w:r>
            <w:r w:rsidRPr="00AF1F34">
              <w:t xml:space="preserve"> data are not available for the </w:t>
            </w:r>
            <w:r w:rsidR="00F76C54">
              <w:t>NT</w:t>
            </w:r>
            <w:r w:rsidRPr="00AF1F34">
              <w:t>.</w:t>
            </w:r>
          </w:p>
          <w:p w:rsidR="00616646" w:rsidRDefault="00616646" w:rsidP="00751BC3">
            <w:pPr>
              <w:pStyle w:val="Box"/>
            </w:pPr>
            <w:r w:rsidRPr="00E00B00">
              <w:t xml:space="preserve">Data quality information for this indicator </w:t>
            </w:r>
            <w:r>
              <w:t xml:space="preserve">is at </w:t>
            </w:r>
            <w:proofErr w:type="spellStart"/>
            <w:r>
              <w:t>www.pc.gov.au</w:t>
            </w:r>
            <w:proofErr w:type="spellEnd"/>
            <w:r>
              <w:t>/</w:t>
            </w:r>
            <w:proofErr w:type="spellStart"/>
            <w:r>
              <w:t>rogs</w:t>
            </w:r>
            <w:proofErr w:type="spellEnd"/>
            <w:r>
              <w:t>/2016</w:t>
            </w:r>
            <w:r w:rsidRPr="00E00B00">
              <w:t>.</w:t>
            </w:r>
          </w:p>
        </w:tc>
      </w:tr>
      <w:tr w:rsidR="00616646" w:rsidTr="00751BC3">
        <w:trPr>
          <w:cantSplit/>
        </w:trPr>
        <w:tc>
          <w:tcPr>
            <w:tcW w:w="5000" w:type="pct"/>
            <w:tcBorders>
              <w:top w:val="nil"/>
              <w:left w:val="nil"/>
              <w:bottom w:val="single" w:sz="6" w:space="0" w:color="78A22F"/>
              <w:right w:val="nil"/>
            </w:tcBorders>
            <w:shd w:val="clear" w:color="auto" w:fill="F2F2F2" w:themeFill="background1" w:themeFillShade="F2"/>
          </w:tcPr>
          <w:p w:rsidR="00616646" w:rsidRDefault="00616646" w:rsidP="00751BC3">
            <w:pPr>
              <w:pStyle w:val="Box"/>
              <w:spacing w:before="0" w:line="120" w:lineRule="exact"/>
            </w:pPr>
          </w:p>
        </w:tc>
      </w:tr>
    </w:tbl>
    <w:p w:rsidR="00616646" w:rsidRDefault="00616646" w:rsidP="00616646">
      <w:pPr>
        <w:pStyle w:val="BodyText"/>
      </w:pPr>
      <w:r>
        <w:t xml:space="preserve">The proportions of new housing tenancies that were allocated to households with special needs varies across the forms of social housing, across jurisdictions and over time. </w:t>
      </w:r>
    </w:p>
    <w:p w:rsidR="00616646" w:rsidRDefault="00616646" w:rsidP="00616646">
      <w:pPr>
        <w:pStyle w:val="BodyText"/>
      </w:pPr>
      <w:r>
        <w:t xml:space="preserve">Nationally in </w:t>
      </w:r>
      <w:r w:rsidR="00D578CD" w:rsidRPr="00D578CD">
        <w:t>2014</w:t>
      </w:r>
      <w:r w:rsidR="007D1214">
        <w:noBreakHyphen/>
      </w:r>
      <w:r w:rsidR="00D578CD" w:rsidRPr="00D578CD">
        <w:t>15</w:t>
      </w:r>
      <w:r w:rsidRPr="00D578CD">
        <w:t>:</w:t>
      </w:r>
    </w:p>
    <w:p w:rsidR="00616646" w:rsidRPr="00D578CD" w:rsidRDefault="00D578CD" w:rsidP="00616646">
      <w:pPr>
        <w:pStyle w:val="ListBullet"/>
        <w:rPr>
          <w:color w:val="000000" w:themeColor="text1"/>
        </w:rPr>
      </w:pPr>
      <w:r w:rsidRPr="00D578CD">
        <w:rPr>
          <w:color w:val="000000" w:themeColor="text1"/>
        </w:rPr>
        <w:t>63.7</w:t>
      </w:r>
      <w:r w:rsidR="00616646" w:rsidRPr="00D578CD">
        <w:rPr>
          <w:color w:val="000000" w:themeColor="text1"/>
        </w:rPr>
        <w:t xml:space="preserve"> per cent of new public housing tenancies were allocated to households with special ne</w:t>
      </w:r>
      <w:r w:rsidR="00772841">
        <w:rPr>
          <w:color w:val="000000" w:themeColor="text1"/>
        </w:rPr>
        <w:t xml:space="preserve">eds, </w:t>
      </w:r>
      <w:r w:rsidR="00F76C54">
        <w:rPr>
          <w:color w:val="000000" w:themeColor="text1"/>
        </w:rPr>
        <w:t xml:space="preserve">a </w:t>
      </w:r>
      <w:r w:rsidR="00772841">
        <w:rPr>
          <w:color w:val="000000" w:themeColor="text1"/>
        </w:rPr>
        <w:t>decreas</w:t>
      </w:r>
      <w:r w:rsidR="00F76C54">
        <w:rPr>
          <w:color w:val="000000" w:themeColor="text1"/>
        </w:rPr>
        <w:t>e</w:t>
      </w:r>
      <w:r>
        <w:rPr>
          <w:color w:val="000000" w:themeColor="text1"/>
        </w:rPr>
        <w:t xml:space="preserve"> from 66</w:t>
      </w:r>
      <w:r w:rsidR="00772841">
        <w:rPr>
          <w:color w:val="000000" w:themeColor="text1"/>
        </w:rPr>
        <w:t>.9</w:t>
      </w:r>
      <w:r w:rsidR="00616646" w:rsidRPr="00D578CD">
        <w:rPr>
          <w:color w:val="000000" w:themeColor="text1"/>
        </w:rPr>
        <w:t xml:space="preserve"> per cent </w:t>
      </w:r>
      <w:r w:rsidR="00772841">
        <w:rPr>
          <w:color w:val="000000" w:themeColor="text1"/>
        </w:rPr>
        <w:t>in 2010</w:t>
      </w:r>
      <w:r w:rsidR="007D1214">
        <w:rPr>
          <w:color w:val="000000" w:themeColor="text1"/>
        </w:rPr>
        <w:noBreakHyphen/>
      </w:r>
      <w:r w:rsidR="00772841">
        <w:rPr>
          <w:color w:val="000000" w:themeColor="text1"/>
        </w:rPr>
        <w:t>11</w:t>
      </w:r>
    </w:p>
    <w:p w:rsidR="00E66CBB" w:rsidRDefault="00D578CD" w:rsidP="00E66CBB">
      <w:pPr>
        <w:pStyle w:val="ListBullet"/>
        <w:rPr>
          <w:color w:val="000000" w:themeColor="text1"/>
        </w:rPr>
      </w:pPr>
      <w:r w:rsidRPr="00D578CD">
        <w:rPr>
          <w:color w:val="000000" w:themeColor="text1"/>
        </w:rPr>
        <w:t>53.8</w:t>
      </w:r>
      <w:r w:rsidR="00616646" w:rsidRPr="000A4E9D">
        <w:rPr>
          <w:color w:val="000000" w:themeColor="text1"/>
        </w:rPr>
        <w:t xml:space="preserve"> per cent of new tenancies for SOMIH were allocated to households with s</w:t>
      </w:r>
      <w:r>
        <w:rPr>
          <w:color w:val="000000" w:themeColor="text1"/>
        </w:rPr>
        <w:t xml:space="preserve">pecial needs, </w:t>
      </w:r>
      <w:r w:rsidR="00F76C54">
        <w:rPr>
          <w:color w:val="000000" w:themeColor="text1"/>
        </w:rPr>
        <w:t xml:space="preserve">a </w:t>
      </w:r>
      <w:r w:rsidR="00772841">
        <w:rPr>
          <w:color w:val="000000" w:themeColor="text1"/>
        </w:rPr>
        <w:t>decreas</w:t>
      </w:r>
      <w:r w:rsidR="00F76C54">
        <w:rPr>
          <w:color w:val="000000" w:themeColor="text1"/>
        </w:rPr>
        <w:t>e</w:t>
      </w:r>
      <w:r w:rsidR="00772841">
        <w:rPr>
          <w:color w:val="000000" w:themeColor="text1"/>
        </w:rPr>
        <w:t xml:space="preserve"> </w:t>
      </w:r>
      <w:r>
        <w:rPr>
          <w:color w:val="000000" w:themeColor="text1"/>
        </w:rPr>
        <w:t>from 56.4</w:t>
      </w:r>
      <w:r w:rsidR="00772841">
        <w:rPr>
          <w:color w:val="000000" w:themeColor="text1"/>
        </w:rPr>
        <w:t xml:space="preserve"> per cent in 2010</w:t>
      </w:r>
      <w:r w:rsidR="007D1214">
        <w:rPr>
          <w:color w:val="000000" w:themeColor="text1"/>
        </w:rPr>
        <w:noBreakHyphen/>
      </w:r>
      <w:r w:rsidR="00772841">
        <w:rPr>
          <w:color w:val="000000" w:themeColor="text1"/>
        </w:rPr>
        <w:t>11</w:t>
      </w:r>
    </w:p>
    <w:p w:rsidR="004D0537" w:rsidRPr="004D0537" w:rsidRDefault="004D0537" w:rsidP="004D0537">
      <w:pPr>
        <w:pStyle w:val="ListBullet"/>
      </w:pPr>
      <w:r w:rsidRPr="004D0537">
        <w:t xml:space="preserve">55.5 per cent of new </w:t>
      </w:r>
      <w:r w:rsidRPr="005E340A">
        <w:t>community housing tenancies were allocated to households with special needs, a decrease from 56.1 per cent in 2010</w:t>
      </w:r>
      <w:r w:rsidR="007D1214">
        <w:noBreakHyphen/>
      </w:r>
      <w:r w:rsidRPr="005E340A">
        <w:t>11</w:t>
      </w:r>
      <w:r w:rsidRPr="004D0537">
        <w:t xml:space="preserve"> (figure</w:t>
      </w:r>
      <w:r w:rsidR="007D1214">
        <w:t> </w:t>
      </w:r>
      <w:r w:rsidRPr="004D0537">
        <w:t>17.3).</w:t>
      </w:r>
    </w:p>
    <w:p w:rsidR="00616646" w:rsidRDefault="00616646" w:rsidP="00616646">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shd w:val="clear" w:color="auto" w:fill="FFFFFF" w:themeFill="background1"/>
        <w:tblCellMar>
          <w:left w:w="142" w:type="dxa"/>
          <w:right w:w="142" w:type="dxa"/>
        </w:tblCellMar>
        <w:tblLook w:val="0000" w:firstRow="0" w:lastRow="0" w:firstColumn="0" w:lastColumn="0" w:noHBand="0" w:noVBand="0"/>
      </w:tblPr>
      <w:tblGrid>
        <w:gridCol w:w="8931"/>
      </w:tblGrid>
      <w:tr w:rsidR="00616646" w:rsidTr="00B6576C">
        <w:tc>
          <w:tcPr>
            <w:tcW w:w="5000" w:type="pct"/>
            <w:tcBorders>
              <w:top w:val="single" w:sz="6" w:space="0" w:color="78A22F"/>
              <w:left w:val="nil"/>
              <w:bottom w:val="nil"/>
              <w:right w:val="nil"/>
            </w:tcBorders>
            <w:shd w:val="clear" w:color="auto" w:fill="FFFFFF" w:themeFill="background1"/>
          </w:tcPr>
          <w:p w:rsidR="00616646" w:rsidRPr="00176D3F" w:rsidRDefault="00616646" w:rsidP="00751BC3">
            <w:pPr>
              <w:pStyle w:val="FigureTitle"/>
            </w:pPr>
            <w:r w:rsidRPr="00FD1E41">
              <w:rPr>
                <w:b w:val="0"/>
              </w:rPr>
              <w:t xml:space="preserve">Figure </w:t>
            </w:r>
            <w:r w:rsidR="0023151F" w:rsidRPr="00FD1E41">
              <w:rPr>
                <w:b w:val="0"/>
              </w:rPr>
              <w:t>17.3</w:t>
            </w:r>
            <w:r>
              <w:rPr>
                <w:b w:val="0"/>
              </w:rPr>
              <w:t xml:space="preserve"> </w:t>
            </w:r>
            <w:r>
              <w:tab/>
            </w:r>
            <w:r w:rsidRPr="00E00B00">
              <w:t>New tenancies allocated to households with special needs</w:t>
            </w:r>
            <w:r w:rsidRPr="00E00B00">
              <w:rPr>
                <w:rStyle w:val="NoteLabel"/>
                <w:b/>
              </w:rPr>
              <w:t>a</w:t>
            </w:r>
            <w:r w:rsidRPr="00E00B00">
              <w:t xml:space="preserve"> </w:t>
            </w:r>
          </w:p>
        </w:tc>
      </w:tr>
      <w:tr w:rsidR="00616646" w:rsidTr="00B6576C">
        <w:tc>
          <w:tcPr>
            <w:tcW w:w="5000" w:type="pct"/>
            <w:tcBorders>
              <w:top w:val="nil"/>
              <w:left w:val="nil"/>
              <w:bottom w:val="nil"/>
              <w:right w:val="nil"/>
            </w:tcBorders>
            <w:shd w:val="clear" w:color="auto" w:fill="FFFFFF" w:themeFill="background1"/>
            <w:tcMar>
              <w:top w:w="28" w:type="dxa"/>
              <w:bottom w:w="28" w:type="dxa"/>
            </w:tcMar>
          </w:tcPr>
          <w:tbl>
            <w:tblPr>
              <w:tblW w:w="0" w:type="auto"/>
              <w:tblBorders>
                <w:top w:val="single" w:sz="6" w:space="0" w:color="F2F2F2" w:themeColor="accent4"/>
                <w:bottom w:val="single" w:sz="6" w:space="0" w:color="F2F2F2" w:themeColor="accent4"/>
              </w:tblBorders>
              <w:tblCellMar>
                <w:top w:w="28" w:type="dxa"/>
              </w:tblCellMar>
              <w:tblLook w:val="0000" w:firstRow="0" w:lastRow="0" w:firstColumn="0" w:lastColumn="0" w:noHBand="0" w:noVBand="0"/>
            </w:tblPr>
            <w:tblGrid>
              <w:gridCol w:w="8647"/>
            </w:tblGrid>
            <w:tr w:rsidR="00616646" w:rsidTr="00F30D29">
              <w:trPr>
                <w:trHeight w:val="10940"/>
              </w:trPr>
              <w:tc>
                <w:tcPr>
                  <w:tcW w:w="8562" w:type="dxa"/>
                  <w:tcBorders>
                    <w:top w:val="nil"/>
                    <w:bottom w:val="nil"/>
                  </w:tcBorders>
                </w:tcPr>
                <w:p w:rsidR="00616646" w:rsidRPr="00DD2735" w:rsidRDefault="00616646" w:rsidP="004E53A3">
                  <w:pPr>
                    <w:pStyle w:val="Figure"/>
                    <w:spacing w:after="60"/>
                    <w:rPr>
                      <w:rStyle w:val="NoteLabel"/>
                    </w:rPr>
                  </w:pPr>
                  <w:r w:rsidRPr="00962A05">
                    <w:rPr>
                      <w:rFonts w:ascii="Arial" w:hAnsi="Arial" w:cs="Arial"/>
                      <w:b/>
                      <w:sz w:val="20"/>
                    </w:rPr>
                    <w:t>Public housing</w:t>
                  </w:r>
                  <w:r w:rsidR="004E53A3">
                    <w:rPr>
                      <w:rFonts w:ascii="Arial" w:hAnsi="Arial" w:cs="Arial"/>
                      <w:b/>
                      <w:sz w:val="20"/>
                    </w:rPr>
                    <w:br/>
                  </w:r>
                  <w:r w:rsidR="00333E05">
                    <w:rPr>
                      <w:rFonts w:ascii="Arial" w:hAnsi="Arial" w:cs="Arial"/>
                      <w:b/>
                      <w:noProof/>
                      <w:sz w:val="20"/>
                    </w:rPr>
                    <w:drawing>
                      <wp:inline distT="0" distB="0" distL="0" distR="0">
                        <wp:extent cx="5362575" cy="1809750"/>
                        <wp:effectExtent l="0" t="0" r="9525" b="0"/>
                        <wp:docPr id="10" name="Picture 10" descr="Figure 17.3 New tenancies allocated to households with special needs&#10;&#10;Public housing&#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62575" cy="1809750"/>
                                </a:xfrm>
                                <a:prstGeom prst="rect">
                                  <a:avLst/>
                                </a:prstGeom>
                                <a:noFill/>
                                <a:ln>
                                  <a:noFill/>
                                </a:ln>
                              </pic:spPr>
                            </pic:pic>
                          </a:graphicData>
                        </a:graphic>
                      </wp:inline>
                    </w:drawing>
                  </w:r>
                  <w:r w:rsidR="004E53A3">
                    <w:rPr>
                      <w:rFonts w:ascii="Arial" w:hAnsi="Arial" w:cs="Arial"/>
                      <w:b/>
                      <w:noProof/>
                      <w:sz w:val="20"/>
                    </w:rPr>
                    <w:br/>
                  </w:r>
                  <w:r>
                    <w:rPr>
                      <w:rFonts w:ascii="Arial" w:hAnsi="Arial" w:cs="Arial"/>
                      <w:b/>
                      <w:sz w:val="20"/>
                    </w:rPr>
                    <w:t>SOMIH</w:t>
                  </w:r>
                  <w:r w:rsidR="004E53A3">
                    <w:rPr>
                      <w:rFonts w:ascii="Arial" w:hAnsi="Arial" w:cs="Arial"/>
                      <w:b/>
                      <w:sz w:val="20"/>
                    </w:rPr>
                    <w:br/>
                  </w:r>
                  <w:r w:rsidR="00333E05">
                    <w:rPr>
                      <w:rFonts w:ascii="Arial" w:hAnsi="Arial" w:cs="Arial"/>
                      <w:b/>
                      <w:noProof/>
                      <w:sz w:val="20"/>
                    </w:rPr>
                    <w:drawing>
                      <wp:inline distT="0" distB="0" distL="0" distR="0">
                        <wp:extent cx="5362575" cy="1809750"/>
                        <wp:effectExtent l="0" t="0" r="9525" b="0"/>
                        <wp:docPr id="11" name="Picture 11" descr="Figure 17.3 New tenancies allocated to households with special needs&#10;&#10;SOMIH&#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62575" cy="1809750"/>
                                </a:xfrm>
                                <a:prstGeom prst="rect">
                                  <a:avLst/>
                                </a:prstGeom>
                                <a:noFill/>
                                <a:ln>
                                  <a:noFill/>
                                </a:ln>
                              </pic:spPr>
                            </pic:pic>
                          </a:graphicData>
                        </a:graphic>
                      </wp:inline>
                    </w:drawing>
                  </w:r>
                  <w:r w:rsidR="004E53A3" w:rsidRPr="00F30D29">
                    <w:br/>
                  </w:r>
                  <w:r w:rsidR="007E29B0" w:rsidRPr="00F30D29">
                    <w:rPr>
                      <w:b/>
                    </w:rPr>
                    <w:t xml:space="preserve"> </w:t>
                  </w:r>
                  <w:r w:rsidRPr="00F7685E">
                    <w:rPr>
                      <w:rFonts w:ascii="Arial" w:hAnsi="Arial" w:cs="Arial"/>
                      <w:b/>
                      <w:sz w:val="20"/>
                    </w:rPr>
                    <w:t>Community housing</w:t>
                  </w:r>
                  <w:r w:rsidR="00F30D29" w:rsidRPr="00F30D29">
                    <w:rPr>
                      <w:rStyle w:val="NoteLabel"/>
                    </w:rPr>
                    <w:t>b</w:t>
                  </w:r>
                  <w:r w:rsidR="004E53A3">
                    <w:rPr>
                      <w:rStyle w:val="DraftingNote"/>
                    </w:rPr>
                    <w:br/>
                  </w:r>
                  <w:r w:rsidR="00333E05">
                    <w:rPr>
                      <w:rFonts w:ascii="Arial" w:hAnsi="Arial"/>
                      <w:b/>
                      <w:noProof/>
                      <w:position w:val="6"/>
                      <w:sz w:val="18"/>
                    </w:rPr>
                    <w:drawing>
                      <wp:inline distT="0" distB="0" distL="0" distR="0">
                        <wp:extent cx="5362575" cy="1790700"/>
                        <wp:effectExtent l="0" t="0" r="9525" b="0"/>
                        <wp:docPr id="12" name="Picture 12" descr="Figure 17.3 New tenancies allocated to households with special needs&#10;&#10;Community housing&#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62575" cy="1790700"/>
                                </a:xfrm>
                                <a:prstGeom prst="rect">
                                  <a:avLst/>
                                </a:prstGeom>
                                <a:noFill/>
                                <a:ln>
                                  <a:noFill/>
                                </a:ln>
                              </pic:spPr>
                            </pic:pic>
                          </a:graphicData>
                        </a:graphic>
                      </wp:inline>
                    </w:drawing>
                  </w:r>
                  <w:r w:rsidR="004E53A3">
                    <w:rPr>
                      <w:rStyle w:val="NoteLabel"/>
                    </w:rPr>
                    <w:br/>
                  </w:r>
                  <w:r w:rsidR="00333E05">
                    <w:rPr>
                      <w:rFonts w:ascii="Arial" w:hAnsi="Arial"/>
                      <w:b/>
                      <w:noProof/>
                      <w:position w:val="6"/>
                      <w:sz w:val="18"/>
                    </w:rPr>
                    <w:drawing>
                      <wp:inline distT="0" distB="0" distL="0" distR="0">
                        <wp:extent cx="5362575" cy="314325"/>
                        <wp:effectExtent l="0" t="0" r="9525" b="9525"/>
                        <wp:docPr id="13" name="Picture 13" descr="Legend to Figure 17.3 New tenancies allocated to households with special need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62575" cy="314325"/>
                                </a:xfrm>
                                <a:prstGeom prst="rect">
                                  <a:avLst/>
                                </a:prstGeom>
                                <a:noFill/>
                                <a:ln>
                                  <a:noFill/>
                                </a:ln>
                              </pic:spPr>
                            </pic:pic>
                          </a:graphicData>
                        </a:graphic>
                      </wp:inline>
                    </w:drawing>
                  </w:r>
                </w:p>
              </w:tc>
            </w:tr>
          </w:tbl>
          <w:p w:rsidR="00616646" w:rsidRDefault="00616646" w:rsidP="00751BC3">
            <w:pPr>
              <w:pStyle w:val="Figure"/>
            </w:pPr>
          </w:p>
        </w:tc>
      </w:tr>
      <w:tr w:rsidR="00616646" w:rsidRPr="00176D3F" w:rsidTr="00B6576C">
        <w:tc>
          <w:tcPr>
            <w:tcW w:w="5000" w:type="pct"/>
            <w:tcBorders>
              <w:top w:val="nil"/>
              <w:left w:val="nil"/>
              <w:bottom w:val="nil"/>
              <w:right w:val="nil"/>
            </w:tcBorders>
            <w:shd w:val="clear" w:color="auto" w:fill="FFFFFF" w:themeFill="background1"/>
          </w:tcPr>
          <w:p w:rsidR="00616646" w:rsidRPr="00176D3F" w:rsidRDefault="00616646" w:rsidP="00F306D1">
            <w:pPr>
              <w:pStyle w:val="Note"/>
            </w:pPr>
            <w:r>
              <w:rPr>
                <w:rStyle w:val="NoteLabel"/>
              </w:rPr>
              <w:t>a</w:t>
            </w:r>
            <w:r>
              <w:t xml:space="preserve"> </w:t>
            </w:r>
            <w:r w:rsidR="007F2F30">
              <w:t>See box</w:t>
            </w:r>
            <w:r w:rsidR="007D1214">
              <w:t> </w:t>
            </w:r>
            <w:r w:rsidR="007F2F30">
              <w:t>17.7</w:t>
            </w:r>
            <w:r w:rsidR="004E0A44">
              <w:t xml:space="preserve"> and </w:t>
            </w:r>
            <w:r w:rsidR="007E29B0">
              <w:t>tables</w:t>
            </w:r>
            <w:r w:rsidR="007D1214">
              <w:t> </w:t>
            </w:r>
            <w:proofErr w:type="spellStart"/>
            <w:r w:rsidR="007E29B0">
              <w:t>17A.12</w:t>
            </w:r>
            <w:proofErr w:type="spellEnd"/>
            <w:r w:rsidR="007E29B0">
              <w:t>–14</w:t>
            </w:r>
            <w:r w:rsidR="004E0A44">
              <w:t xml:space="preserve"> </w:t>
            </w:r>
            <w:r w:rsidR="00AC0EFD">
              <w:t>for detailed definitions, footnotes and caveats.</w:t>
            </w:r>
            <w:r w:rsidR="00F30D29">
              <w:t xml:space="preserve"> </w:t>
            </w:r>
            <w:r w:rsidR="00F30D29" w:rsidRPr="001F735C">
              <w:rPr>
                <w:rStyle w:val="NoteLabel"/>
              </w:rPr>
              <w:t>b</w:t>
            </w:r>
            <w:r w:rsidR="00F30D29">
              <w:rPr>
                <w:rStyle w:val="NoteLabel"/>
              </w:rPr>
              <w:t xml:space="preserve"> </w:t>
            </w:r>
            <w:r w:rsidR="00F30D29" w:rsidRPr="00F30D29">
              <w:t xml:space="preserve">Data are not available for the </w:t>
            </w:r>
            <w:r w:rsidR="00F306D1">
              <w:t>NT</w:t>
            </w:r>
            <w:r w:rsidR="00F30D29" w:rsidRPr="00F30D29">
              <w:t>.</w:t>
            </w:r>
          </w:p>
        </w:tc>
      </w:tr>
      <w:tr w:rsidR="00616646" w:rsidRPr="00176D3F" w:rsidTr="00B6576C">
        <w:tc>
          <w:tcPr>
            <w:tcW w:w="5000" w:type="pct"/>
            <w:tcBorders>
              <w:top w:val="nil"/>
              <w:left w:val="nil"/>
              <w:bottom w:val="nil"/>
              <w:right w:val="nil"/>
            </w:tcBorders>
            <w:shd w:val="clear" w:color="auto" w:fill="FFFFFF" w:themeFill="background1"/>
          </w:tcPr>
          <w:p w:rsidR="00616646" w:rsidRPr="00176D3F" w:rsidRDefault="00616646" w:rsidP="00751BC3">
            <w:pPr>
              <w:pStyle w:val="Source"/>
            </w:pPr>
            <w:r>
              <w:rPr>
                <w:i/>
              </w:rPr>
              <w:t>Source</w:t>
            </w:r>
            <w:r w:rsidRPr="00176D3F">
              <w:t xml:space="preserve">: </w:t>
            </w:r>
            <w:r w:rsidRPr="00E00B00">
              <w:t>AIHW (unpublished</w:t>
            </w:r>
            <w:r>
              <w:t xml:space="preserve">) </w:t>
            </w:r>
            <w:r w:rsidRPr="008E1D76">
              <w:t>National Housing Assistance Data Repository</w:t>
            </w:r>
            <w:r w:rsidR="00BB38DF">
              <w:rPr>
                <w:i/>
              </w:rPr>
              <w:t xml:space="preserve">; </w:t>
            </w:r>
            <w:r w:rsidR="00BB38DF" w:rsidRPr="00BB38DF">
              <w:t>tables</w:t>
            </w:r>
            <w:r w:rsidR="007D1214">
              <w:rPr>
                <w:i/>
              </w:rPr>
              <w:t> </w:t>
            </w:r>
            <w:proofErr w:type="spellStart"/>
            <w:r w:rsidR="00BB38DF">
              <w:t>17A.12</w:t>
            </w:r>
            <w:proofErr w:type="spellEnd"/>
            <w:r w:rsidR="00BB38DF">
              <w:t>–14</w:t>
            </w:r>
            <w:r w:rsidRPr="00E00B00">
              <w:t>.</w:t>
            </w:r>
          </w:p>
        </w:tc>
      </w:tr>
      <w:tr w:rsidR="00616646" w:rsidTr="00B6576C">
        <w:tc>
          <w:tcPr>
            <w:tcW w:w="5000" w:type="pct"/>
            <w:tcBorders>
              <w:top w:val="nil"/>
              <w:left w:val="nil"/>
              <w:bottom w:val="single" w:sz="6" w:space="0" w:color="78A22F"/>
              <w:right w:val="nil"/>
            </w:tcBorders>
            <w:shd w:val="clear" w:color="auto" w:fill="FFFFFF" w:themeFill="background1"/>
          </w:tcPr>
          <w:p w:rsidR="00616646" w:rsidRDefault="00616646" w:rsidP="00751BC3">
            <w:pPr>
              <w:pStyle w:val="Figurespace"/>
            </w:pPr>
          </w:p>
        </w:tc>
      </w:tr>
      <w:tr w:rsidR="00616646" w:rsidRPr="000863A5" w:rsidTr="00B6576C">
        <w:tc>
          <w:tcPr>
            <w:tcW w:w="5000" w:type="pct"/>
            <w:tcBorders>
              <w:top w:val="single" w:sz="6" w:space="0" w:color="78A22F"/>
              <w:left w:val="nil"/>
              <w:bottom w:val="nil"/>
              <w:right w:val="nil"/>
            </w:tcBorders>
            <w:shd w:val="clear" w:color="auto" w:fill="FFFFFF" w:themeFill="background1"/>
          </w:tcPr>
          <w:p w:rsidR="00616646" w:rsidRPr="00626D32" w:rsidRDefault="00616646" w:rsidP="00751BC3">
            <w:pPr>
              <w:pStyle w:val="BoxSpaceBelow"/>
            </w:pPr>
          </w:p>
        </w:tc>
      </w:tr>
    </w:tbl>
    <w:p w:rsidR="009A5130" w:rsidRPr="003770C0" w:rsidRDefault="00457EC9" w:rsidP="00457EC9">
      <w:pPr>
        <w:pStyle w:val="Heading3"/>
      </w:pPr>
      <w:r>
        <w:lastRenderedPageBreak/>
        <w:t>Effectiveness</w:t>
      </w:r>
    </w:p>
    <w:p w:rsidR="009A5130" w:rsidRPr="003770C0" w:rsidRDefault="00F76C54" w:rsidP="006B692D">
      <w:pPr>
        <w:pStyle w:val="Heading4"/>
      </w:pPr>
      <w:r>
        <w:t xml:space="preserve">Quality — </w:t>
      </w:r>
      <w:r w:rsidR="009A5130" w:rsidRPr="003770C0">
        <w:t>Dwelling condition</w:t>
      </w:r>
    </w:p>
    <w:p w:rsidR="008023AD" w:rsidRDefault="009A5130" w:rsidP="00B7770E">
      <w:pPr>
        <w:pStyle w:val="BodyText"/>
        <w:spacing w:after="240"/>
      </w:pPr>
      <w:r>
        <w:t>‘Dwelling condition’ is an indicator of gover</w:t>
      </w:r>
      <w:r w:rsidR="0090458C">
        <w:t xml:space="preserve">nments’ objective to provide </w:t>
      </w:r>
      <w:r>
        <w:t xml:space="preserve">housing </w:t>
      </w:r>
      <w:r w:rsidR="0090458C">
        <w:t xml:space="preserve">of acceptable quality </w:t>
      </w:r>
      <w:r>
        <w:t>(box</w:t>
      </w:r>
      <w:r w:rsidR="007D1214">
        <w:t> </w:t>
      </w:r>
      <w:r w:rsidR="00463387">
        <w:t>17.</w:t>
      </w:r>
      <w:r w:rsidR="00451C44">
        <w:t>8</w:t>
      </w:r>
      <w:r w:rsidR="00B7770E">
        <w:t>).</w:t>
      </w:r>
      <w:r w:rsidR="007D441B">
        <w:t xml:space="preserve"> </w:t>
      </w:r>
    </w:p>
    <w:p w:rsidR="008023AD" w:rsidRDefault="008023AD" w:rsidP="00E648CF">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8023AD" w:rsidTr="00604F8C">
        <w:tc>
          <w:tcPr>
            <w:tcW w:w="5000" w:type="pct"/>
            <w:tcBorders>
              <w:top w:val="single" w:sz="6" w:space="0" w:color="78A22F"/>
              <w:left w:val="nil"/>
              <w:bottom w:val="nil"/>
              <w:right w:val="nil"/>
            </w:tcBorders>
            <w:shd w:val="clear" w:color="auto" w:fill="F2F2F2" w:themeFill="background1" w:themeFillShade="F2"/>
          </w:tcPr>
          <w:p w:rsidR="008023AD" w:rsidRDefault="00E648CF" w:rsidP="008023AD">
            <w:pPr>
              <w:pStyle w:val="BoxTitle"/>
            </w:pPr>
            <w:r>
              <w:rPr>
                <w:b w:val="0"/>
              </w:rPr>
              <w:t>Box 17.</w:t>
            </w:r>
            <w:r w:rsidR="00EF0AA4">
              <w:rPr>
                <w:b w:val="0"/>
                <w:noProof/>
              </w:rPr>
              <w:t>8</w:t>
            </w:r>
            <w:r w:rsidR="008023AD">
              <w:tab/>
            </w:r>
            <w:r w:rsidR="008023AD" w:rsidRPr="008023AD">
              <w:t>Dwelling condition</w:t>
            </w:r>
          </w:p>
        </w:tc>
      </w:tr>
      <w:tr w:rsidR="008023AD" w:rsidTr="00604F8C">
        <w:trPr>
          <w:cantSplit/>
        </w:trPr>
        <w:tc>
          <w:tcPr>
            <w:tcW w:w="5000" w:type="pct"/>
            <w:tcBorders>
              <w:top w:val="nil"/>
              <w:left w:val="nil"/>
              <w:bottom w:val="nil"/>
              <w:right w:val="nil"/>
            </w:tcBorders>
            <w:shd w:val="clear" w:color="auto" w:fill="F2F2F2" w:themeFill="background1" w:themeFillShade="F2"/>
          </w:tcPr>
          <w:p w:rsidR="008023AD" w:rsidRPr="00B704A4" w:rsidRDefault="008023AD" w:rsidP="008023AD">
            <w:pPr>
              <w:pStyle w:val="Box"/>
            </w:pPr>
            <w:r w:rsidRPr="00B704A4">
              <w:t>‘Dwelling condition’ is defined as the proportion of households living in dwellings of an acceptable standard</w:t>
            </w:r>
            <w:r w:rsidR="009F2F68" w:rsidRPr="00B704A4">
              <w:t xml:space="preserve">. </w:t>
            </w:r>
            <w:r w:rsidRPr="00B704A4">
              <w:t>A dwelling is assessed as being of an acceptable standard if it has at least four working facilities (for washing people, for washing clothes/bedding, for storing/preparing food, and sewerage) and not more than two major structural problems.</w:t>
            </w:r>
          </w:p>
          <w:p w:rsidR="008023AD" w:rsidRPr="00B704A4" w:rsidRDefault="008023AD" w:rsidP="008023AD">
            <w:pPr>
              <w:pStyle w:val="Box"/>
            </w:pPr>
            <w:r w:rsidRPr="00B704A4">
              <w:t>A high proportion for this indicator suggests higher or increasing housing quality.</w:t>
            </w:r>
          </w:p>
          <w:p w:rsidR="00F76C54" w:rsidRDefault="008023AD" w:rsidP="008023AD">
            <w:pPr>
              <w:pStyle w:val="Box"/>
            </w:pPr>
            <w:r w:rsidRPr="00B704A4">
              <w:t>Data for this indicator are reported for public housing, SOMIH</w:t>
            </w:r>
            <w:r w:rsidR="00021A17">
              <w:t xml:space="preserve">, </w:t>
            </w:r>
            <w:r w:rsidRPr="00B704A4">
              <w:t>community housing</w:t>
            </w:r>
            <w:r w:rsidR="00021A17">
              <w:t xml:space="preserve"> and </w:t>
            </w:r>
            <w:proofErr w:type="spellStart"/>
            <w:r w:rsidR="00786253">
              <w:t>ICH</w:t>
            </w:r>
            <w:proofErr w:type="spellEnd"/>
            <w:r w:rsidR="001C58F6" w:rsidRPr="00B704A4">
              <w:t xml:space="preserve">. </w:t>
            </w:r>
            <w:r w:rsidR="007257A1" w:rsidRPr="007257A1">
              <w:t>Data for this measure include 95 per cent confidence intervals (in the form of error bars in figures).</w:t>
            </w:r>
          </w:p>
          <w:p w:rsidR="008023AD" w:rsidRPr="00B704A4" w:rsidRDefault="00BB38DF" w:rsidP="008023AD">
            <w:pPr>
              <w:pStyle w:val="Box"/>
            </w:pPr>
            <w:r>
              <w:t>Data reported</w:t>
            </w:r>
            <w:r w:rsidR="00F76C54">
              <w:t xml:space="preserve"> for this indicator</w:t>
            </w:r>
            <w:r w:rsidR="00786253">
              <w:t xml:space="preserve"> are</w:t>
            </w:r>
            <w:r w:rsidR="008023AD" w:rsidRPr="00B704A4">
              <w:t>:</w:t>
            </w:r>
          </w:p>
          <w:p w:rsidR="008023AD" w:rsidRPr="00B704A4" w:rsidRDefault="008023AD" w:rsidP="001F13B6">
            <w:pPr>
              <w:pStyle w:val="BoxListBullet"/>
            </w:pPr>
            <w:r w:rsidRPr="00B704A4">
              <w:t>for public housing, SOMIH and community housing</w:t>
            </w:r>
            <w:r w:rsidR="00BB38DF">
              <w:t xml:space="preserve"> from the </w:t>
            </w:r>
            <w:proofErr w:type="spellStart"/>
            <w:r w:rsidR="00BB38DF">
              <w:t>NSHS</w:t>
            </w:r>
            <w:proofErr w:type="spellEnd"/>
            <w:r w:rsidRPr="00B704A4">
              <w:t xml:space="preserve">, comparable (subject to caveats) across jurisdictions for the </w:t>
            </w:r>
            <w:r w:rsidR="00F577C4" w:rsidRPr="00B704A4">
              <w:t xml:space="preserve">most </w:t>
            </w:r>
            <w:r w:rsidRPr="00B704A4">
              <w:t>current reporting period</w:t>
            </w:r>
          </w:p>
          <w:p w:rsidR="008023AD" w:rsidRPr="005E340A" w:rsidRDefault="008023AD" w:rsidP="001F13B6">
            <w:pPr>
              <w:pStyle w:val="BoxListBullet"/>
            </w:pPr>
            <w:r w:rsidRPr="00B704A4">
              <w:t>complete for public housing</w:t>
            </w:r>
            <w:r w:rsidR="00693A63" w:rsidRPr="00B704A4">
              <w:t xml:space="preserve"> and </w:t>
            </w:r>
            <w:r w:rsidRPr="00B704A4">
              <w:t>SOMIH</w:t>
            </w:r>
            <w:r w:rsidR="001C58F6" w:rsidRPr="00B704A4">
              <w:t xml:space="preserve"> f</w:t>
            </w:r>
            <w:r w:rsidRPr="00B704A4">
              <w:t xml:space="preserve">or the most current reporting period (subject to caveats). All </w:t>
            </w:r>
            <w:r w:rsidRPr="005E340A">
              <w:t>required 201</w:t>
            </w:r>
            <w:r w:rsidR="007D441B" w:rsidRPr="005E340A">
              <w:t>4</w:t>
            </w:r>
            <w:r w:rsidRPr="005E340A">
              <w:t xml:space="preserve"> (public housing and SOMIH) data are available for all jurisdictions providing the service</w:t>
            </w:r>
          </w:p>
          <w:p w:rsidR="008023AD" w:rsidRPr="005E340A" w:rsidRDefault="008023AD" w:rsidP="001F13B6">
            <w:pPr>
              <w:pStyle w:val="BoxListBullet"/>
            </w:pPr>
            <w:r w:rsidRPr="005E340A">
              <w:t>incomplete for community housing</w:t>
            </w:r>
            <w:r w:rsidR="0016221A" w:rsidRPr="005E340A">
              <w:t xml:space="preserve"> for the current reporting period. </w:t>
            </w:r>
            <w:r w:rsidRPr="005E340A">
              <w:t xml:space="preserve">All required </w:t>
            </w:r>
            <w:r w:rsidR="00A468D4" w:rsidRPr="005E340A">
              <w:t xml:space="preserve">2014 </w:t>
            </w:r>
            <w:r w:rsidR="0016221A" w:rsidRPr="005E340A">
              <w:t xml:space="preserve">data are </w:t>
            </w:r>
            <w:r w:rsidRPr="005E340A">
              <w:t xml:space="preserve">not available for the </w:t>
            </w:r>
            <w:r w:rsidR="0016221A" w:rsidRPr="005E340A">
              <w:t>N</w:t>
            </w:r>
            <w:r w:rsidR="005F73B1" w:rsidRPr="005E340A">
              <w:t>T</w:t>
            </w:r>
          </w:p>
          <w:p w:rsidR="00693A63" w:rsidRPr="00021A17" w:rsidRDefault="00021A17" w:rsidP="001F13B6">
            <w:pPr>
              <w:pStyle w:val="BoxListBullet"/>
            </w:pPr>
            <w:r w:rsidRPr="005E340A">
              <w:t xml:space="preserve">complete </w:t>
            </w:r>
            <w:r w:rsidR="00B5457F" w:rsidRPr="005E340A">
              <w:t xml:space="preserve">and comparable </w:t>
            </w:r>
            <w:r w:rsidR="00693A63" w:rsidRPr="005E340A">
              <w:t xml:space="preserve">for </w:t>
            </w:r>
            <w:proofErr w:type="spellStart"/>
            <w:r w:rsidR="00956F08" w:rsidRPr="005E340A">
              <w:t>ICH</w:t>
            </w:r>
            <w:proofErr w:type="spellEnd"/>
            <w:r w:rsidR="00956F08" w:rsidRPr="005E340A">
              <w:t xml:space="preserve"> </w:t>
            </w:r>
            <w:r w:rsidR="00693A63" w:rsidRPr="005E340A">
              <w:t>for th</w:t>
            </w:r>
            <w:r w:rsidRPr="005E340A">
              <w:t>e most current reporting period</w:t>
            </w:r>
            <w:r w:rsidR="00BB38DF" w:rsidRPr="005E340A">
              <w:t xml:space="preserve"> (2012</w:t>
            </w:r>
            <w:r w:rsidR="007D1214">
              <w:noBreakHyphen/>
            </w:r>
            <w:r w:rsidR="00BB38DF" w:rsidRPr="005E340A">
              <w:t>13). T</w:t>
            </w:r>
            <w:r w:rsidRPr="005E340A">
              <w:t>hese data</w:t>
            </w:r>
            <w:r w:rsidR="001F13B6" w:rsidRPr="005E340A">
              <w:t xml:space="preserve"> </w:t>
            </w:r>
            <w:r w:rsidRPr="005E340A">
              <w:t xml:space="preserve">are sourced </w:t>
            </w:r>
            <w:r w:rsidR="006F0982" w:rsidRPr="005E340A">
              <w:t>from the</w:t>
            </w:r>
            <w:r w:rsidRPr="005E340A">
              <w:t xml:space="preserve"> ABS 2012</w:t>
            </w:r>
            <w:r w:rsidR="007D1214">
              <w:noBreakHyphen/>
            </w:r>
            <w:r w:rsidRPr="005E340A">
              <w:t>13</w:t>
            </w:r>
            <w:r w:rsidR="006F0982" w:rsidRPr="005E340A">
              <w:t xml:space="preserve"> National Aboriginal </w:t>
            </w:r>
            <w:r w:rsidRPr="005E340A">
              <w:t>and Torres Strait Islander Health Survey</w:t>
            </w:r>
            <w:r w:rsidR="00B7770E" w:rsidRPr="005E340A">
              <w:t xml:space="preserve"> </w:t>
            </w:r>
            <w:r w:rsidR="0090458C" w:rsidRPr="005E340A">
              <w:t xml:space="preserve">component of the Australian Aboriginal and Torres Strait Islander </w:t>
            </w:r>
            <w:r w:rsidR="00DF4407" w:rsidRPr="005E340A">
              <w:t xml:space="preserve">Health </w:t>
            </w:r>
            <w:r w:rsidR="0090458C" w:rsidRPr="005E340A">
              <w:t xml:space="preserve">Survey </w:t>
            </w:r>
            <w:r w:rsidR="00B7770E" w:rsidRPr="005E340A">
              <w:t>(</w:t>
            </w:r>
            <w:proofErr w:type="spellStart"/>
            <w:r w:rsidR="00B7770E" w:rsidRPr="005E340A">
              <w:t>AATSIHS</w:t>
            </w:r>
            <w:proofErr w:type="spellEnd"/>
            <w:r w:rsidR="00B7770E" w:rsidRPr="005E340A">
              <w:t>)</w:t>
            </w:r>
            <w:r w:rsidR="00F05D73" w:rsidRPr="005E340A">
              <w:t>,</w:t>
            </w:r>
            <w:r w:rsidR="00BB38DF" w:rsidRPr="005E340A">
              <w:t xml:space="preserve"> and are not comparable with</w:t>
            </w:r>
            <w:r w:rsidR="00B5457F" w:rsidRPr="005E340A">
              <w:t xml:space="preserve"> </w:t>
            </w:r>
            <w:r w:rsidR="00786253" w:rsidRPr="005E340A">
              <w:t>data for</w:t>
            </w:r>
            <w:r w:rsidR="00786253">
              <w:t xml:space="preserve"> </w:t>
            </w:r>
            <w:r w:rsidR="00B5457F">
              <w:t>other social housing types</w:t>
            </w:r>
            <w:r w:rsidRPr="00021A17">
              <w:t>.</w:t>
            </w:r>
          </w:p>
          <w:p w:rsidR="008023AD" w:rsidRPr="00B704A4" w:rsidRDefault="008023AD" w:rsidP="008023AD">
            <w:pPr>
              <w:pStyle w:val="Box"/>
            </w:pPr>
            <w:r w:rsidRPr="00B704A4">
              <w:t xml:space="preserve">Data quality information for this indicator </w:t>
            </w:r>
            <w:r w:rsidR="00884651" w:rsidRPr="00B704A4">
              <w:t xml:space="preserve">is at </w:t>
            </w:r>
            <w:proofErr w:type="spellStart"/>
            <w:r w:rsidR="00884651" w:rsidRPr="00B704A4">
              <w:t>www.pc.gov.au</w:t>
            </w:r>
            <w:proofErr w:type="spellEnd"/>
            <w:r w:rsidR="00884651" w:rsidRPr="00B704A4">
              <w:t>/</w:t>
            </w:r>
            <w:proofErr w:type="spellStart"/>
            <w:r w:rsidR="00457EC9">
              <w:t>rogs</w:t>
            </w:r>
            <w:proofErr w:type="spellEnd"/>
            <w:r w:rsidR="00457EC9">
              <w:t>/2016</w:t>
            </w:r>
            <w:r w:rsidR="00A468D4" w:rsidRPr="00B704A4">
              <w:t>.</w:t>
            </w:r>
          </w:p>
        </w:tc>
      </w:tr>
      <w:tr w:rsidR="008023AD" w:rsidTr="00604F8C">
        <w:trPr>
          <w:cantSplit/>
        </w:trPr>
        <w:tc>
          <w:tcPr>
            <w:tcW w:w="5000" w:type="pct"/>
            <w:tcBorders>
              <w:top w:val="nil"/>
              <w:left w:val="nil"/>
              <w:bottom w:val="single" w:sz="6" w:space="0" w:color="78A22F"/>
              <w:right w:val="nil"/>
            </w:tcBorders>
            <w:shd w:val="clear" w:color="auto" w:fill="F2F2F2" w:themeFill="background1" w:themeFillShade="F2"/>
          </w:tcPr>
          <w:p w:rsidR="008023AD" w:rsidRDefault="008023AD">
            <w:pPr>
              <w:pStyle w:val="Box"/>
              <w:spacing w:before="0" w:line="120" w:lineRule="exact"/>
            </w:pPr>
          </w:p>
        </w:tc>
      </w:tr>
      <w:tr w:rsidR="008023AD" w:rsidRPr="000863A5" w:rsidTr="00604F8C">
        <w:tc>
          <w:tcPr>
            <w:tcW w:w="5000" w:type="pct"/>
            <w:tcBorders>
              <w:top w:val="single" w:sz="6" w:space="0" w:color="78A22F"/>
              <w:left w:val="nil"/>
              <w:bottom w:val="nil"/>
              <w:right w:val="nil"/>
            </w:tcBorders>
          </w:tcPr>
          <w:p w:rsidR="008023AD" w:rsidRPr="00626D32" w:rsidRDefault="008023AD" w:rsidP="00334F07">
            <w:pPr>
              <w:pStyle w:val="BoxSpaceBelow"/>
            </w:pPr>
          </w:p>
        </w:tc>
      </w:tr>
    </w:tbl>
    <w:p w:rsidR="00F05D73" w:rsidRPr="002017DE" w:rsidRDefault="00786253" w:rsidP="00084844">
      <w:pPr>
        <w:pStyle w:val="BodyText"/>
        <w:rPr>
          <w:color w:val="000000" w:themeColor="text1"/>
        </w:rPr>
      </w:pPr>
      <w:r>
        <w:rPr>
          <w:color w:val="000000" w:themeColor="text1"/>
        </w:rPr>
        <w:t>Nationally i</w:t>
      </w:r>
      <w:r w:rsidR="007F59D7">
        <w:rPr>
          <w:color w:val="000000" w:themeColor="text1"/>
        </w:rPr>
        <w:t>n 201</w:t>
      </w:r>
      <w:r w:rsidR="00E24C71">
        <w:rPr>
          <w:color w:val="000000" w:themeColor="text1"/>
        </w:rPr>
        <w:t>4</w:t>
      </w:r>
      <w:r w:rsidR="007F59D7">
        <w:rPr>
          <w:color w:val="000000" w:themeColor="text1"/>
        </w:rPr>
        <w:t xml:space="preserve">, the </w:t>
      </w:r>
      <w:r w:rsidR="00F05D73">
        <w:rPr>
          <w:color w:val="000000" w:themeColor="text1"/>
        </w:rPr>
        <w:t>majority of social housing respondents lived in dwellings of an acceptable standard</w:t>
      </w:r>
      <w:r w:rsidR="003E067B">
        <w:rPr>
          <w:color w:val="000000" w:themeColor="text1"/>
        </w:rPr>
        <w:t>, however Indigenous households were less likely to report living in dwellings that met the standard</w:t>
      </w:r>
      <w:r w:rsidR="00F05D73">
        <w:rPr>
          <w:color w:val="000000" w:themeColor="text1"/>
        </w:rPr>
        <w:t>:</w:t>
      </w:r>
    </w:p>
    <w:p w:rsidR="00881899" w:rsidRDefault="007F59D7" w:rsidP="00754817">
      <w:pPr>
        <w:pStyle w:val="ListBullet"/>
        <w:rPr>
          <w:color w:val="000000" w:themeColor="text1"/>
        </w:rPr>
      </w:pPr>
      <w:r w:rsidRPr="00881899">
        <w:rPr>
          <w:color w:val="000000" w:themeColor="text1"/>
        </w:rPr>
        <w:t xml:space="preserve">for public housing, </w:t>
      </w:r>
      <w:r w:rsidR="008752CE" w:rsidRPr="00881899">
        <w:rPr>
          <w:color w:val="000000" w:themeColor="text1"/>
        </w:rPr>
        <w:t>81.0</w:t>
      </w:r>
      <w:r w:rsidR="00754817" w:rsidRPr="00881899">
        <w:rPr>
          <w:color w:val="000000" w:themeColor="text1"/>
        </w:rPr>
        <w:t xml:space="preserve"> per cent of </w:t>
      </w:r>
      <w:r w:rsidR="00E27CAA" w:rsidRPr="00881899">
        <w:rPr>
          <w:color w:val="000000" w:themeColor="text1"/>
        </w:rPr>
        <w:t xml:space="preserve">all </w:t>
      </w:r>
      <w:r w:rsidR="00A14845" w:rsidRPr="00881899">
        <w:rPr>
          <w:color w:val="000000" w:themeColor="text1"/>
        </w:rPr>
        <w:t xml:space="preserve">dwellings </w:t>
      </w:r>
      <w:r w:rsidR="003E067B">
        <w:rPr>
          <w:color w:val="000000" w:themeColor="text1"/>
        </w:rPr>
        <w:t xml:space="preserve">and </w:t>
      </w:r>
      <w:r w:rsidR="008752CE" w:rsidRPr="00881899">
        <w:rPr>
          <w:color w:val="000000" w:themeColor="text1"/>
        </w:rPr>
        <w:t>65.9</w:t>
      </w:r>
      <w:r w:rsidR="00754817" w:rsidRPr="00881899">
        <w:rPr>
          <w:color w:val="000000" w:themeColor="text1"/>
        </w:rPr>
        <w:t xml:space="preserve"> per cent of </w:t>
      </w:r>
      <w:r w:rsidR="0008455A" w:rsidRPr="00881899">
        <w:rPr>
          <w:color w:val="000000" w:themeColor="text1"/>
        </w:rPr>
        <w:t>Aboriginal and Torres Strait Islander</w:t>
      </w:r>
      <w:r w:rsidR="00754817" w:rsidRPr="00881899">
        <w:rPr>
          <w:color w:val="000000" w:themeColor="text1"/>
        </w:rPr>
        <w:t xml:space="preserve"> </w:t>
      </w:r>
      <w:r w:rsidR="00A14845" w:rsidRPr="00881899">
        <w:rPr>
          <w:color w:val="000000" w:themeColor="text1"/>
        </w:rPr>
        <w:t xml:space="preserve">dwellings </w:t>
      </w:r>
      <w:r w:rsidR="00881899">
        <w:rPr>
          <w:color w:val="000000" w:themeColor="text1"/>
        </w:rPr>
        <w:t>w</w:t>
      </w:r>
      <w:r w:rsidR="00786253">
        <w:rPr>
          <w:color w:val="000000" w:themeColor="text1"/>
        </w:rPr>
        <w:t>ere</w:t>
      </w:r>
      <w:r w:rsidR="00881899">
        <w:rPr>
          <w:color w:val="000000" w:themeColor="text1"/>
        </w:rPr>
        <w:t xml:space="preserve"> reported to be of an acceptable standard</w:t>
      </w:r>
    </w:p>
    <w:p w:rsidR="00881899" w:rsidRDefault="00754817" w:rsidP="00754817">
      <w:pPr>
        <w:pStyle w:val="ListBullet"/>
        <w:rPr>
          <w:color w:val="000000" w:themeColor="text1"/>
        </w:rPr>
      </w:pPr>
      <w:r w:rsidRPr="00881899">
        <w:rPr>
          <w:color w:val="000000" w:themeColor="text1"/>
        </w:rPr>
        <w:t>for SOMIH</w:t>
      </w:r>
      <w:r w:rsidR="007F59D7" w:rsidRPr="00881899">
        <w:rPr>
          <w:color w:val="000000" w:themeColor="text1"/>
        </w:rPr>
        <w:t xml:space="preserve">, </w:t>
      </w:r>
      <w:r w:rsidR="008752CE" w:rsidRPr="00881899">
        <w:rPr>
          <w:color w:val="000000" w:themeColor="text1"/>
        </w:rPr>
        <w:t>70.1</w:t>
      </w:r>
      <w:r w:rsidR="009D002A" w:rsidRPr="00881899">
        <w:rPr>
          <w:b/>
          <w:color w:val="000000" w:themeColor="text1"/>
        </w:rPr>
        <w:t xml:space="preserve"> </w:t>
      </w:r>
      <w:r w:rsidRPr="00881899">
        <w:rPr>
          <w:color w:val="000000" w:themeColor="text1"/>
        </w:rPr>
        <w:t xml:space="preserve">per cent of </w:t>
      </w:r>
      <w:r w:rsidR="00E27CAA" w:rsidRPr="00881899">
        <w:rPr>
          <w:color w:val="000000" w:themeColor="text1"/>
        </w:rPr>
        <w:t xml:space="preserve">all </w:t>
      </w:r>
      <w:r w:rsidR="00A14845" w:rsidRPr="00881899">
        <w:rPr>
          <w:color w:val="000000" w:themeColor="text1"/>
        </w:rPr>
        <w:t xml:space="preserve">dwellings </w:t>
      </w:r>
      <w:r w:rsidR="00881899">
        <w:rPr>
          <w:color w:val="000000" w:themeColor="text1"/>
        </w:rPr>
        <w:t>w</w:t>
      </w:r>
      <w:r w:rsidR="00786253">
        <w:rPr>
          <w:color w:val="000000" w:themeColor="text1"/>
        </w:rPr>
        <w:t>ere</w:t>
      </w:r>
      <w:r w:rsidR="00881899">
        <w:rPr>
          <w:color w:val="000000" w:themeColor="text1"/>
        </w:rPr>
        <w:t xml:space="preserve"> reported to be of an acceptable standard</w:t>
      </w:r>
      <w:r w:rsidR="00881899" w:rsidRPr="00881899">
        <w:rPr>
          <w:color w:val="000000" w:themeColor="text1"/>
        </w:rPr>
        <w:t xml:space="preserve"> </w:t>
      </w:r>
    </w:p>
    <w:p w:rsidR="00754817" w:rsidRPr="00881899" w:rsidRDefault="00754817" w:rsidP="00754817">
      <w:pPr>
        <w:pStyle w:val="ListBullet"/>
        <w:rPr>
          <w:color w:val="000000" w:themeColor="text1"/>
        </w:rPr>
      </w:pPr>
      <w:r w:rsidRPr="00881899">
        <w:rPr>
          <w:color w:val="000000" w:themeColor="text1"/>
        </w:rPr>
        <w:t>for community housing</w:t>
      </w:r>
      <w:r w:rsidR="007F59D7" w:rsidRPr="00881899">
        <w:rPr>
          <w:color w:val="000000" w:themeColor="text1"/>
        </w:rPr>
        <w:t xml:space="preserve">, </w:t>
      </w:r>
      <w:r w:rsidR="00906A60" w:rsidRPr="00881899">
        <w:rPr>
          <w:color w:val="000000" w:themeColor="text1"/>
        </w:rPr>
        <w:t>8</w:t>
      </w:r>
      <w:r w:rsidR="008752CE" w:rsidRPr="00881899">
        <w:rPr>
          <w:color w:val="000000" w:themeColor="text1"/>
        </w:rPr>
        <w:t>9.3</w:t>
      </w:r>
      <w:r w:rsidR="00906A60" w:rsidRPr="00881899">
        <w:rPr>
          <w:color w:val="000000" w:themeColor="text1"/>
        </w:rPr>
        <w:t xml:space="preserve"> per cent of </w:t>
      </w:r>
      <w:r w:rsidR="00E27CAA" w:rsidRPr="00881899">
        <w:rPr>
          <w:color w:val="000000" w:themeColor="text1"/>
        </w:rPr>
        <w:t xml:space="preserve">all </w:t>
      </w:r>
      <w:r w:rsidR="00A14845" w:rsidRPr="00881899">
        <w:rPr>
          <w:color w:val="000000" w:themeColor="text1"/>
        </w:rPr>
        <w:t xml:space="preserve">dwellings </w:t>
      </w:r>
      <w:r w:rsidR="00906A60" w:rsidRPr="00881899">
        <w:rPr>
          <w:color w:val="000000" w:themeColor="text1"/>
        </w:rPr>
        <w:t xml:space="preserve">and </w:t>
      </w:r>
      <w:r w:rsidR="008752CE" w:rsidRPr="00881899">
        <w:rPr>
          <w:color w:val="000000" w:themeColor="text1"/>
        </w:rPr>
        <w:t>83.0</w:t>
      </w:r>
      <w:r w:rsidR="009D002A" w:rsidRPr="00881899">
        <w:rPr>
          <w:color w:val="000000" w:themeColor="text1"/>
        </w:rPr>
        <w:t xml:space="preserve"> </w:t>
      </w:r>
      <w:r w:rsidRPr="00881899">
        <w:rPr>
          <w:color w:val="000000" w:themeColor="text1"/>
        </w:rPr>
        <w:t xml:space="preserve">per cent of </w:t>
      </w:r>
      <w:r w:rsidR="0008455A" w:rsidRPr="00881899">
        <w:rPr>
          <w:color w:val="000000" w:themeColor="text1"/>
        </w:rPr>
        <w:t>Aboriginal and Torres Strait Islander</w:t>
      </w:r>
      <w:r w:rsidR="00906A60" w:rsidRPr="00881899">
        <w:rPr>
          <w:color w:val="000000" w:themeColor="text1"/>
        </w:rPr>
        <w:t xml:space="preserve"> </w:t>
      </w:r>
      <w:r w:rsidR="00A14845" w:rsidRPr="00881899">
        <w:rPr>
          <w:color w:val="000000" w:themeColor="text1"/>
        </w:rPr>
        <w:t xml:space="preserve">dwellings </w:t>
      </w:r>
      <w:r w:rsidR="00881899">
        <w:rPr>
          <w:color w:val="000000" w:themeColor="text1"/>
        </w:rPr>
        <w:t>w</w:t>
      </w:r>
      <w:r w:rsidR="00786253">
        <w:rPr>
          <w:color w:val="000000" w:themeColor="text1"/>
        </w:rPr>
        <w:t>ere</w:t>
      </w:r>
      <w:r w:rsidR="00881899">
        <w:rPr>
          <w:color w:val="000000" w:themeColor="text1"/>
        </w:rPr>
        <w:t xml:space="preserve"> reported to be of an acceptable standard</w:t>
      </w:r>
      <w:r w:rsidR="00881899" w:rsidRPr="00881899">
        <w:rPr>
          <w:color w:val="000000" w:themeColor="text1"/>
        </w:rPr>
        <w:t xml:space="preserve"> </w:t>
      </w:r>
      <w:r w:rsidR="00725DE6" w:rsidRPr="00881899">
        <w:rPr>
          <w:color w:val="000000" w:themeColor="text1"/>
        </w:rPr>
        <w:t>(</w:t>
      </w:r>
      <w:r w:rsidR="000B7E98">
        <w:rPr>
          <w:color w:val="000000" w:themeColor="text1"/>
        </w:rPr>
        <w:t>figure</w:t>
      </w:r>
      <w:r w:rsidR="007D1214">
        <w:rPr>
          <w:color w:val="000000" w:themeColor="text1"/>
        </w:rPr>
        <w:t> </w:t>
      </w:r>
      <w:r w:rsidR="000B7E98">
        <w:rPr>
          <w:color w:val="000000" w:themeColor="text1"/>
        </w:rPr>
        <w:t>17.4</w:t>
      </w:r>
      <w:r w:rsidR="00D47994" w:rsidRPr="00881899">
        <w:rPr>
          <w:color w:val="000000" w:themeColor="text1"/>
        </w:rPr>
        <w:t>).</w:t>
      </w:r>
    </w:p>
    <w:p w:rsidR="0029231D" w:rsidRDefault="0029231D" w:rsidP="0029231D">
      <w:pPr>
        <w:pStyle w:val="BodyText"/>
      </w:pPr>
      <w:r>
        <w:lastRenderedPageBreak/>
        <w:t>H</w:t>
      </w:r>
      <w:r w:rsidRPr="009C455A">
        <w:t xml:space="preserve">ouseholds with a member with disability </w:t>
      </w:r>
      <w:r>
        <w:t>were also less likely to report living in dwellings of an acceptable standard (75.0 per cent in public housing, 64.1 per cent in SOMIH, and 85.1 per cent in community housing) (</w:t>
      </w:r>
      <w:proofErr w:type="spellStart"/>
      <w:r w:rsidRPr="009C455A">
        <w:t>17A.15</w:t>
      </w:r>
      <w:proofErr w:type="spellEnd"/>
      <w:r w:rsidRPr="009C455A">
        <w:t>–17</w:t>
      </w:r>
      <w:r>
        <w:t xml:space="preserve">). </w:t>
      </w:r>
    </w:p>
    <w:p w:rsidR="00F57CCE" w:rsidRDefault="00F05D73" w:rsidP="008300C4">
      <w:pPr>
        <w:pStyle w:val="BodyText"/>
        <w:rPr>
          <w:color w:val="000000" w:themeColor="text1"/>
        </w:rPr>
      </w:pPr>
      <w:r>
        <w:rPr>
          <w:color w:val="000000" w:themeColor="text1"/>
        </w:rPr>
        <w:t>Nationally in 2012</w:t>
      </w:r>
      <w:r w:rsidR="007D1214">
        <w:rPr>
          <w:color w:val="000000" w:themeColor="text1"/>
        </w:rPr>
        <w:noBreakHyphen/>
      </w:r>
      <w:r>
        <w:rPr>
          <w:color w:val="000000" w:themeColor="text1"/>
        </w:rPr>
        <w:t>13, f</w:t>
      </w:r>
      <w:r w:rsidR="00E8441F">
        <w:rPr>
          <w:color w:val="000000" w:themeColor="text1"/>
        </w:rPr>
        <w:t>or Indigenous community h</w:t>
      </w:r>
      <w:r w:rsidR="00886C8B">
        <w:rPr>
          <w:color w:val="000000" w:themeColor="text1"/>
        </w:rPr>
        <w:t>ousing</w:t>
      </w:r>
      <w:r w:rsidR="00E8441F">
        <w:rPr>
          <w:color w:val="000000" w:themeColor="text1"/>
        </w:rPr>
        <w:t xml:space="preserve"> tenants</w:t>
      </w:r>
      <w:r>
        <w:rPr>
          <w:color w:val="000000" w:themeColor="text1"/>
        </w:rPr>
        <w:t>, 69.2</w:t>
      </w:r>
      <w:r w:rsidR="00B7770E">
        <w:rPr>
          <w:color w:val="000000" w:themeColor="text1"/>
        </w:rPr>
        <w:t xml:space="preserve"> per cent of all dwellings </w:t>
      </w:r>
      <w:r w:rsidR="0090458C">
        <w:rPr>
          <w:color w:val="000000" w:themeColor="text1"/>
        </w:rPr>
        <w:t>were</w:t>
      </w:r>
      <w:r w:rsidR="00881899">
        <w:rPr>
          <w:color w:val="000000" w:themeColor="text1"/>
        </w:rPr>
        <w:t xml:space="preserve"> reported to be of an acceptable standard</w:t>
      </w:r>
      <w:r w:rsidR="00B7770E">
        <w:rPr>
          <w:color w:val="000000" w:themeColor="text1"/>
        </w:rPr>
        <w:t xml:space="preserve"> </w:t>
      </w:r>
      <w:r w:rsidR="00451C44">
        <w:rPr>
          <w:color w:val="000000" w:themeColor="text1"/>
        </w:rPr>
        <w:t>(</w:t>
      </w:r>
      <w:proofErr w:type="spellStart"/>
      <w:r w:rsidR="00451C44">
        <w:rPr>
          <w:color w:val="000000" w:themeColor="text1"/>
        </w:rPr>
        <w:t>17A.18</w:t>
      </w:r>
      <w:proofErr w:type="spellEnd"/>
      <w:r w:rsidR="00B7770E" w:rsidRPr="00F05D73">
        <w:rPr>
          <w:color w:val="000000" w:themeColor="text1"/>
        </w:rPr>
        <w:t>).</w:t>
      </w:r>
      <w:r w:rsidR="007D1214">
        <w:rPr>
          <w:color w:val="000000" w:themeColor="text1"/>
        </w:rPr>
        <w:t xml:space="preserve"> </w:t>
      </w:r>
      <w:r w:rsidR="0029231D">
        <w:rPr>
          <w:color w:val="000000" w:themeColor="text1"/>
        </w:rPr>
        <w:t>These data are unable to be disaggregated by</w:t>
      </w:r>
      <w:r w:rsidR="00BB38DF">
        <w:rPr>
          <w:color w:val="000000" w:themeColor="text1"/>
        </w:rPr>
        <w:t xml:space="preserve"> households with a member with</w:t>
      </w:r>
      <w:r w:rsidR="0029231D">
        <w:rPr>
          <w:color w:val="000000" w:themeColor="text1"/>
        </w:rPr>
        <w:t xml:space="preserve"> disability. </w:t>
      </w:r>
    </w:p>
    <w:p w:rsidR="00905FD8" w:rsidRDefault="00E53080" w:rsidP="00F05D73">
      <w:pPr>
        <w:pStyle w:val="BodyText"/>
        <w:rPr>
          <w:color w:val="000000" w:themeColor="text1"/>
        </w:rPr>
      </w:pPr>
      <w:r>
        <w:rPr>
          <w:color w:val="000000" w:themeColor="text1"/>
        </w:rPr>
        <w:t xml:space="preserve">Confidence intervals at 95 per cent and relative standard errors </w:t>
      </w:r>
      <w:r w:rsidR="00B9211E">
        <w:rPr>
          <w:color w:val="000000" w:themeColor="text1"/>
        </w:rPr>
        <w:t>f</w:t>
      </w:r>
      <w:r w:rsidR="00B9211E" w:rsidRPr="00B9211E">
        <w:rPr>
          <w:color w:val="000000" w:themeColor="text1"/>
        </w:rPr>
        <w:t>or these data are in attachment table</w:t>
      </w:r>
      <w:r w:rsidR="00B9211E">
        <w:rPr>
          <w:color w:val="000000" w:themeColor="text1"/>
        </w:rPr>
        <w:t>s</w:t>
      </w:r>
      <w:r w:rsidR="007D1214">
        <w:rPr>
          <w:color w:val="000000" w:themeColor="text1"/>
        </w:rPr>
        <w:t> </w:t>
      </w:r>
      <w:proofErr w:type="spellStart"/>
      <w:r w:rsidR="005F73B1">
        <w:rPr>
          <w:color w:val="000000" w:themeColor="text1"/>
        </w:rPr>
        <w:t>17</w:t>
      </w:r>
      <w:r w:rsidR="00451C44">
        <w:rPr>
          <w:color w:val="000000" w:themeColor="text1"/>
        </w:rPr>
        <w:t>A.15</w:t>
      </w:r>
      <w:proofErr w:type="spellEnd"/>
      <w:r w:rsidR="00451C44">
        <w:rPr>
          <w:color w:val="000000" w:themeColor="text1"/>
        </w:rPr>
        <w:t>–18</w:t>
      </w:r>
      <w:r w:rsidR="00FF53AD">
        <w:rPr>
          <w:color w:val="000000" w:themeColor="text1"/>
        </w:rPr>
        <w:t>.</w:t>
      </w:r>
    </w:p>
    <w:p w:rsidR="00BB6F71" w:rsidRDefault="00BB6F71" w:rsidP="00BB6F71">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BB6F71" w:rsidTr="006A2597">
        <w:tc>
          <w:tcPr>
            <w:tcW w:w="5000" w:type="pct"/>
            <w:tcBorders>
              <w:top w:val="single" w:sz="6" w:space="0" w:color="78A22F"/>
              <w:left w:val="nil"/>
              <w:bottom w:val="nil"/>
              <w:right w:val="nil"/>
            </w:tcBorders>
            <w:shd w:val="clear" w:color="auto" w:fill="auto"/>
          </w:tcPr>
          <w:p w:rsidR="00BB6F71" w:rsidRPr="00176D3F" w:rsidRDefault="00BB6F71" w:rsidP="00BB6F71">
            <w:pPr>
              <w:pStyle w:val="FigureTitle"/>
            </w:pPr>
            <w:r w:rsidRPr="00784A05">
              <w:rPr>
                <w:b w:val="0"/>
              </w:rPr>
              <w:t>Figure</w:t>
            </w:r>
            <w:r w:rsidR="000B7E98">
              <w:rPr>
                <w:b w:val="0"/>
              </w:rPr>
              <w:t xml:space="preserve"> 17.4</w:t>
            </w:r>
            <w:r>
              <w:tab/>
              <w:t>Dwellings of an accep</w:t>
            </w:r>
            <w:r w:rsidR="00F22238">
              <w:t>table standard</w:t>
            </w:r>
            <w:r w:rsidR="002157D9">
              <w:t xml:space="preserve"> (a</w:t>
            </w:r>
            <w:r w:rsidR="00B11C80">
              <w:t xml:space="preserve">t least four working facilities </w:t>
            </w:r>
            <w:r w:rsidR="002157D9">
              <w:t>and not more than two major structural problems)</w:t>
            </w:r>
            <w:proofErr w:type="spellStart"/>
            <w:r w:rsidRPr="007D438E">
              <w:rPr>
                <w:rStyle w:val="NoteLabel"/>
                <w:b/>
              </w:rPr>
              <w:t>a</w:t>
            </w:r>
            <w:r w:rsidR="00D82241">
              <w:rPr>
                <w:rStyle w:val="NoteLabel"/>
                <w:b/>
              </w:rPr>
              <w:t>,b</w:t>
            </w:r>
            <w:proofErr w:type="spellEnd"/>
          </w:p>
        </w:tc>
      </w:tr>
      <w:tr w:rsidR="006A2597" w:rsidTr="006A2597">
        <w:tblPrEx>
          <w:tblCellMar>
            <w:left w:w="108" w:type="dxa"/>
            <w:right w:w="108" w:type="dxa"/>
          </w:tblCellMar>
        </w:tblPrEx>
        <w:trPr>
          <w:trHeight w:val="6633"/>
        </w:trPr>
        <w:tc>
          <w:tcPr>
            <w:tcW w:w="5000" w:type="pct"/>
            <w:tcBorders>
              <w:top w:val="nil"/>
              <w:left w:val="nil"/>
              <w:bottom w:val="nil"/>
              <w:right w:val="nil"/>
            </w:tcBorders>
            <w:shd w:val="clear" w:color="auto" w:fill="auto"/>
          </w:tcPr>
          <w:p w:rsidR="006A2597" w:rsidRPr="005D5C61" w:rsidRDefault="00333E05" w:rsidP="006A2597">
            <w:pPr>
              <w:pStyle w:val="Figure"/>
              <w:rPr>
                <w:rFonts w:ascii="Arial" w:hAnsi="Arial" w:cs="Arial"/>
                <w:b/>
                <w:sz w:val="20"/>
              </w:rPr>
            </w:pPr>
            <w:r>
              <w:rPr>
                <w:noProof/>
              </w:rPr>
              <w:drawing>
                <wp:inline distT="0" distB="0" distL="0" distR="0">
                  <wp:extent cx="2838450" cy="1962150"/>
                  <wp:effectExtent l="0" t="0" r="0" b="0"/>
                  <wp:docPr id="14" name="Picture 14" descr="Figure 17.4 Dwellings of an acceptable standard (at least four working facilities and not more than two major structural problems)&#10;&#10;Public housing,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38450" cy="1962150"/>
                          </a:xfrm>
                          <a:prstGeom prst="rect">
                            <a:avLst/>
                          </a:prstGeom>
                          <a:noFill/>
                          <a:ln>
                            <a:noFill/>
                          </a:ln>
                        </pic:spPr>
                      </pic:pic>
                    </a:graphicData>
                  </a:graphic>
                </wp:inline>
              </w:drawing>
            </w:r>
            <w:r>
              <w:rPr>
                <w:noProof/>
              </w:rPr>
              <w:drawing>
                <wp:inline distT="0" distB="0" distL="0" distR="0">
                  <wp:extent cx="2524125" cy="1962150"/>
                  <wp:effectExtent l="0" t="0" r="9525" b="0"/>
                  <wp:docPr id="15" name="Picture 15" descr="Figure 17.4 Dwellings of an acceptable standard (at least four working facilities and not more than two major structural problems)&#10;&#10;SOMIH,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24125" cy="1962150"/>
                          </a:xfrm>
                          <a:prstGeom prst="rect">
                            <a:avLst/>
                          </a:prstGeom>
                          <a:noFill/>
                          <a:ln>
                            <a:noFill/>
                          </a:ln>
                        </pic:spPr>
                      </pic:pic>
                    </a:graphicData>
                  </a:graphic>
                </wp:inline>
              </w:drawing>
            </w:r>
            <w:r>
              <w:rPr>
                <w:rFonts w:ascii="Arial" w:hAnsi="Arial" w:cs="Arial"/>
                <w:b/>
                <w:noProof/>
                <w:sz w:val="20"/>
              </w:rPr>
              <w:drawing>
                <wp:inline distT="0" distB="0" distL="0" distR="0">
                  <wp:extent cx="2838450" cy="1962150"/>
                  <wp:effectExtent l="0" t="0" r="0" b="0"/>
                  <wp:docPr id="16" name="Picture 16" descr="Figure 17.4 Dwellings of an acceptable standard (at least four working facilities and not more than two major structural problems)&#10;&#10;Community housing,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38450" cy="1962150"/>
                          </a:xfrm>
                          <a:prstGeom prst="rect">
                            <a:avLst/>
                          </a:prstGeom>
                          <a:noFill/>
                          <a:ln>
                            <a:noFill/>
                          </a:ln>
                        </pic:spPr>
                      </pic:pic>
                    </a:graphicData>
                  </a:graphic>
                </wp:inline>
              </w:drawing>
            </w:r>
            <w:r>
              <w:rPr>
                <w:rFonts w:ascii="Arial" w:hAnsi="Arial" w:cs="Arial"/>
                <w:b/>
                <w:noProof/>
                <w:sz w:val="20"/>
              </w:rPr>
              <w:drawing>
                <wp:inline distT="0" distB="0" distL="0" distR="0">
                  <wp:extent cx="2524125" cy="1962150"/>
                  <wp:effectExtent l="0" t="0" r="9525" b="0"/>
                  <wp:docPr id="17" name="Picture 17" descr="Figure 17.4 Dwellings of an acceptable standard (at least four working facilities and not more than two major structural problems)&#10;&#10;Indigneous community housing, 2012-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524125" cy="1962150"/>
                          </a:xfrm>
                          <a:prstGeom prst="rect">
                            <a:avLst/>
                          </a:prstGeom>
                          <a:noFill/>
                          <a:ln>
                            <a:noFill/>
                          </a:ln>
                        </pic:spPr>
                      </pic:pic>
                    </a:graphicData>
                  </a:graphic>
                </wp:inline>
              </w:drawing>
            </w:r>
          </w:p>
        </w:tc>
      </w:tr>
      <w:tr w:rsidR="00BB6F71" w:rsidRPr="00176D3F" w:rsidTr="006A2597">
        <w:tc>
          <w:tcPr>
            <w:tcW w:w="5000" w:type="pct"/>
            <w:tcBorders>
              <w:top w:val="nil"/>
              <w:left w:val="nil"/>
              <w:bottom w:val="nil"/>
              <w:right w:val="nil"/>
            </w:tcBorders>
            <w:shd w:val="clear" w:color="auto" w:fill="auto"/>
          </w:tcPr>
          <w:p w:rsidR="00BB6F71" w:rsidRPr="00176D3F" w:rsidRDefault="00BB6F71" w:rsidP="00D82241">
            <w:pPr>
              <w:pStyle w:val="Note"/>
            </w:pPr>
            <w:r>
              <w:rPr>
                <w:rStyle w:val="NoteLabel"/>
              </w:rPr>
              <w:t>a</w:t>
            </w:r>
            <w:r>
              <w:t xml:space="preserve"> </w:t>
            </w:r>
            <w:r w:rsidR="002157D9">
              <w:t>See box</w:t>
            </w:r>
            <w:r w:rsidR="007D1214">
              <w:t> </w:t>
            </w:r>
            <w:r w:rsidR="002157D9">
              <w:t>17.8 and tables</w:t>
            </w:r>
            <w:r w:rsidR="007D1214">
              <w:t> </w:t>
            </w:r>
            <w:proofErr w:type="spellStart"/>
            <w:r w:rsidR="002157D9">
              <w:t>17A.15</w:t>
            </w:r>
            <w:proofErr w:type="spellEnd"/>
            <w:r w:rsidR="002157D9">
              <w:t>–18 for detailed definitions, footnotes and caveats.</w:t>
            </w:r>
            <w:r w:rsidR="00D82241">
              <w:t xml:space="preserve"> </w:t>
            </w:r>
            <w:r w:rsidR="00D82241" w:rsidRPr="00D0217C">
              <w:rPr>
                <w:rStyle w:val="NoteLabel"/>
              </w:rPr>
              <w:t xml:space="preserve">b </w:t>
            </w:r>
            <w:r w:rsidR="00D82241">
              <w:t xml:space="preserve">There were no </w:t>
            </w:r>
            <w:proofErr w:type="spellStart"/>
            <w:r w:rsidR="00D82241">
              <w:t>ICH</w:t>
            </w:r>
            <w:proofErr w:type="spellEnd"/>
            <w:r w:rsidR="00D82241">
              <w:t xml:space="preserve"> respondents in the survey sample for the ACT and community housing data were not available for the NT.  </w:t>
            </w:r>
          </w:p>
        </w:tc>
      </w:tr>
      <w:tr w:rsidR="00BB6F71" w:rsidRPr="00176D3F" w:rsidTr="006A2597">
        <w:tc>
          <w:tcPr>
            <w:tcW w:w="5000" w:type="pct"/>
            <w:tcBorders>
              <w:top w:val="nil"/>
              <w:left w:val="nil"/>
              <w:bottom w:val="nil"/>
              <w:right w:val="nil"/>
            </w:tcBorders>
            <w:shd w:val="clear" w:color="auto" w:fill="auto"/>
          </w:tcPr>
          <w:p w:rsidR="00BB6F71" w:rsidRPr="00176D3F" w:rsidRDefault="00BB6F71" w:rsidP="000D110C">
            <w:pPr>
              <w:pStyle w:val="Source"/>
            </w:pPr>
            <w:r>
              <w:rPr>
                <w:i/>
              </w:rPr>
              <w:t>S</w:t>
            </w:r>
            <w:r w:rsidRPr="00784A05">
              <w:rPr>
                <w:i/>
              </w:rPr>
              <w:t>ource</w:t>
            </w:r>
            <w:r w:rsidRPr="00176D3F">
              <w:t xml:space="preserve">: </w:t>
            </w:r>
            <w:r w:rsidR="000D110C">
              <w:t xml:space="preserve">ABS (unpublished) </w:t>
            </w:r>
            <w:r w:rsidR="000D110C" w:rsidRPr="008E1D76">
              <w:t>National Aboriginal and Torres Strait Islander Health Survey</w:t>
            </w:r>
            <w:r w:rsidR="000D110C" w:rsidRPr="00F306D1">
              <w:t xml:space="preserve"> 2012</w:t>
            </w:r>
            <w:r w:rsidR="007D1214">
              <w:noBreakHyphen/>
            </w:r>
            <w:r w:rsidR="000D110C" w:rsidRPr="00F306D1">
              <w:t xml:space="preserve">13, </w:t>
            </w:r>
            <w:r w:rsidRPr="00F306D1">
              <w:t xml:space="preserve">AIHW (unpublished) </w:t>
            </w:r>
            <w:r w:rsidRPr="008E1D76">
              <w:t>Na</w:t>
            </w:r>
            <w:r w:rsidR="008D350D" w:rsidRPr="008E1D76">
              <w:t>tional Social Housing Survey</w:t>
            </w:r>
            <w:r w:rsidR="008D350D">
              <w:t xml:space="preserve"> 2014; tables </w:t>
            </w:r>
            <w:proofErr w:type="spellStart"/>
            <w:r w:rsidR="008D350D">
              <w:t>17A.15</w:t>
            </w:r>
            <w:proofErr w:type="spellEnd"/>
            <w:r w:rsidR="00F306D1">
              <w:t>–</w:t>
            </w:r>
            <w:r w:rsidR="008D350D">
              <w:t>18.</w:t>
            </w:r>
          </w:p>
        </w:tc>
      </w:tr>
      <w:tr w:rsidR="00BB6F71" w:rsidTr="006A2597">
        <w:tc>
          <w:tcPr>
            <w:tcW w:w="5000" w:type="pct"/>
            <w:tcBorders>
              <w:top w:val="nil"/>
              <w:left w:val="nil"/>
              <w:bottom w:val="single" w:sz="6" w:space="0" w:color="78A22F"/>
              <w:right w:val="nil"/>
            </w:tcBorders>
            <w:shd w:val="clear" w:color="auto" w:fill="auto"/>
          </w:tcPr>
          <w:p w:rsidR="00BB6F71" w:rsidRDefault="00BB6F71" w:rsidP="001668C7">
            <w:pPr>
              <w:pStyle w:val="Figurespace"/>
            </w:pPr>
          </w:p>
        </w:tc>
      </w:tr>
      <w:tr w:rsidR="00BB6F71" w:rsidRPr="000863A5" w:rsidTr="006A2597">
        <w:tc>
          <w:tcPr>
            <w:tcW w:w="5000" w:type="pct"/>
            <w:tcBorders>
              <w:top w:val="single" w:sz="6" w:space="0" w:color="78A22F"/>
              <w:left w:val="nil"/>
              <w:bottom w:val="nil"/>
              <w:right w:val="nil"/>
            </w:tcBorders>
          </w:tcPr>
          <w:p w:rsidR="00BB6F71" w:rsidRPr="00626D32" w:rsidRDefault="00BB6F71" w:rsidP="001668C7">
            <w:pPr>
              <w:pStyle w:val="BoxSpaceBelow"/>
            </w:pPr>
          </w:p>
        </w:tc>
      </w:tr>
    </w:tbl>
    <w:p w:rsidR="00EF495B" w:rsidRPr="00457EC9" w:rsidRDefault="00EF495B" w:rsidP="00457EC9">
      <w:pPr>
        <w:pStyle w:val="Heading3"/>
      </w:pPr>
      <w:r w:rsidRPr="00457EC9">
        <w:lastRenderedPageBreak/>
        <w:t>Efficiency</w:t>
      </w:r>
    </w:p>
    <w:p w:rsidR="00EF495B" w:rsidRPr="0041427D" w:rsidRDefault="00EF495B" w:rsidP="006B692D">
      <w:pPr>
        <w:pStyle w:val="Heading4"/>
      </w:pPr>
      <w:r w:rsidRPr="0041427D">
        <w:t>Net recurrent cost per dwelling</w:t>
      </w:r>
    </w:p>
    <w:p w:rsidR="00565F24" w:rsidRDefault="00EF495B" w:rsidP="00EF495B">
      <w:pPr>
        <w:pStyle w:val="BodyText"/>
      </w:pPr>
      <w:r>
        <w:t>‘Net recurrent cost per dwelling’ is an indicator of governments’ objective to undertake efficient and cost effective management</w:t>
      </w:r>
      <w:r w:rsidR="00340BB1">
        <w:t xml:space="preserve"> of social housing </w:t>
      </w:r>
      <w:r>
        <w:t>(box</w:t>
      </w:r>
      <w:r w:rsidR="007D1214">
        <w:t> </w:t>
      </w:r>
      <w:r w:rsidR="00463387">
        <w:t>17.</w:t>
      </w:r>
      <w:r w:rsidR="00451C44">
        <w:t>9</w:t>
      </w:r>
      <w:r>
        <w:t>).</w:t>
      </w:r>
    </w:p>
    <w:p w:rsidR="00716EE3" w:rsidRDefault="00716EE3">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716EE3" w:rsidTr="00604F8C">
        <w:tc>
          <w:tcPr>
            <w:tcW w:w="5000" w:type="pct"/>
            <w:tcBorders>
              <w:top w:val="single" w:sz="6" w:space="0" w:color="78A22F"/>
              <w:left w:val="nil"/>
              <w:bottom w:val="nil"/>
              <w:right w:val="nil"/>
            </w:tcBorders>
            <w:shd w:val="clear" w:color="auto" w:fill="F2F2F2" w:themeFill="background1" w:themeFillShade="F2"/>
          </w:tcPr>
          <w:p w:rsidR="00716EE3" w:rsidRDefault="00E648CF" w:rsidP="00716EE3">
            <w:pPr>
              <w:pStyle w:val="BoxTitle"/>
            </w:pPr>
            <w:r>
              <w:rPr>
                <w:b w:val="0"/>
              </w:rPr>
              <w:t>Box 17.</w:t>
            </w:r>
            <w:r w:rsidR="00EF0AA4">
              <w:rPr>
                <w:b w:val="0"/>
                <w:noProof/>
              </w:rPr>
              <w:t>9</w:t>
            </w:r>
            <w:r w:rsidR="00716EE3">
              <w:tab/>
            </w:r>
            <w:r w:rsidR="00716EE3" w:rsidRPr="00716EE3">
              <w:t>Net recurrent cost per dwelling</w:t>
            </w:r>
          </w:p>
        </w:tc>
      </w:tr>
      <w:tr w:rsidR="00716EE3" w:rsidTr="00604F8C">
        <w:trPr>
          <w:cantSplit/>
        </w:trPr>
        <w:tc>
          <w:tcPr>
            <w:tcW w:w="5000" w:type="pct"/>
            <w:tcBorders>
              <w:top w:val="nil"/>
              <w:left w:val="nil"/>
              <w:bottom w:val="nil"/>
              <w:right w:val="nil"/>
            </w:tcBorders>
            <w:shd w:val="clear" w:color="auto" w:fill="F2F2F2" w:themeFill="background1" w:themeFillShade="F2"/>
          </w:tcPr>
          <w:p w:rsidR="00903B4C" w:rsidRPr="00903B4C" w:rsidRDefault="00903B4C" w:rsidP="00903B4C">
            <w:pPr>
              <w:pStyle w:val="Box"/>
            </w:pPr>
            <w:r w:rsidRPr="00903B4C">
              <w:t xml:space="preserve">‘Net recurrent cost per dwelling’ is defined as the cost of providing assistance per dwelling — </w:t>
            </w:r>
            <w:r w:rsidRPr="00903B4C">
              <w:rPr>
                <w:lang w:val="en-US"/>
              </w:rPr>
              <w:t>total recurrent expenses (including administration and operational costs), divided by the total number of dwellings.</w:t>
            </w:r>
          </w:p>
          <w:p w:rsidR="00903B4C" w:rsidRPr="00903B4C" w:rsidRDefault="00903B4C" w:rsidP="00903B4C">
            <w:pPr>
              <w:pStyle w:val="Box"/>
            </w:pPr>
            <w:r w:rsidRPr="00903B4C">
              <w:t xml:space="preserve">Measures are reported for public housing, SOMIH, community housing and </w:t>
            </w:r>
            <w:proofErr w:type="spellStart"/>
            <w:r w:rsidR="00D82241">
              <w:t>ICH</w:t>
            </w:r>
            <w:proofErr w:type="spellEnd"/>
            <w:r w:rsidRPr="00903B4C">
              <w:t xml:space="preserve">. Net recurrent cost per dwelling for public housing is reported, both including and excluding the user cost of capital. Reporting for SOMIH, community housing and </w:t>
            </w:r>
            <w:proofErr w:type="spellStart"/>
            <w:r w:rsidR="00D82241">
              <w:t>ICH</w:t>
            </w:r>
            <w:proofErr w:type="spellEnd"/>
            <w:r w:rsidRPr="00903B4C">
              <w:t xml:space="preserve"> excludes the user cost of capital</w:t>
            </w:r>
            <w:r w:rsidR="00F1759B">
              <w:t xml:space="preserve"> as this information was not available</w:t>
            </w:r>
            <w:r w:rsidRPr="00903B4C">
              <w:t>.</w:t>
            </w:r>
            <w:r w:rsidR="001D04D7">
              <w:t xml:space="preserve"> </w:t>
            </w:r>
          </w:p>
          <w:p w:rsidR="00903B4C" w:rsidRPr="00903B4C" w:rsidRDefault="00903B4C" w:rsidP="00903B4C">
            <w:pPr>
              <w:pStyle w:val="Box"/>
            </w:pPr>
            <w:r w:rsidRPr="00903B4C">
              <w:t xml:space="preserve">The total number of dwellings for </w:t>
            </w:r>
            <w:proofErr w:type="spellStart"/>
            <w:r w:rsidR="00D82241">
              <w:t>ICH</w:t>
            </w:r>
            <w:proofErr w:type="spellEnd"/>
            <w:r w:rsidRPr="00903B4C">
              <w:t xml:space="preserve"> is the number of permanent dwellings.</w:t>
            </w:r>
          </w:p>
          <w:p w:rsidR="00903B4C" w:rsidRPr="00903B4C" w:rsidRDefault="00903B4C" w:rsidP="00903B4C">
            <w:pPr>
              <w:pStyle w:val="Box"/>
            </w:pPr>
            <w:r w:rsidRPr="00903B4C">
              <w:t>Holding other factors equal, a low or decreasing net recurrent cost per dwelling suggests an improvement in efficiency. It may also reflect fewer tenant support programs.</w:t>
            </w:r>
          </w:p>
          <w:p w:rsidR="00903B4C" w:rsidRPr="00903B4C" w:rsidRDefault="00903B4C" w:rsidP="00903B4C">
            <w:pPr>
              <w:pStyle w:val="Box"/>
            </w:pPr>
            <w:r w:rsidRPr="00903B4C">
              <w:t>Cost per dwelling measures do not provide any information on the quality of service provided (for example, the standard of dwellings</w:t>
            </w:r>
            <w:r w:rsidR="00D244B5">
              <w:t>). D</w:t>
            </w:r>
            <w:r w:rsidR="001D04D7">
              <w:t>welling condition is reported under ‘effectiveness’.</w:t>
            </w:r>
          </w:p>
          <w:p w:rsidR="00903B4C" w:rsidRPr="00903B4C" w:rsidRDefault="00903B4C" w:rsidP="00903B4C">
            <w:pPr>
              <w:pStyle w:val="Box"/>
            </w:pPr>
            <w:r w:rsidRPr="00903B4C">
              <w:t>Data reported</w:t>
            </w:r>
            <w:r w:rsidR="00D82241">
              <w:t xml:space="preserve"> for this indicator</w:t>
            </w:r>
            <w:r w:rsidRPr="00903B4C">
              <w:t xml:space="preserve"> are:</w:t>
            </w:r>
          </w:p>
          <w:p w:rsidR="00903B4C" w:rsidRPr="00903B4C" w:rsidRDefault="00903B4C" w:rsidP="00903B4C">
            <w:pPr>
              <w:pStyle w:val="Box"/>
              <w:numPr>
                <w:ilvl w:val="0"/>
                <w:numId w:val="1"/>
              </w:numPr>
            </w:pPr>
            <w:r w:rsidRPr="00903B4C">
              <w:t>comparable (subject to caveats) within some jurisdictions over time but are not comparable across jurisdictions or over time for other jurisdictions (see caveats in attachment tables and DQI for specific jurisdictions)</w:t>
            </w:r>
          </w:p>
          <w:p w:rsidR="00903B4C" w:rsidRPr="00903B4C" w:rsidRDefault="00903B4C" w:rsidP="00903B4C">
            <w:pPr>
              <w:pStyle w:val="Box"/>
              <w:numPr>
                <w:ilvl w:val="0"/>
                <w:numId w:val="1"/>
              </w:numPr>
            </w:pPr>
            <w:r w:rsidRPr="00903B4C">
              <w:t xml:space="preserve">not comparable across public housing, SOMIH, community housing and </w:t>
            </w:r>
            <w:proofErr w:type="spellStart"/>
            <w:r w:rsidRPr="00903B4C">
              <w:t>ICH</w:t>
            </w:r>
            <w:proofErr w:type="spellEnd"/>
          </w:p>
          <w:p w:rsidR="00903B4C" w:rsidRDefault="00903B4C" w:rsidP="00903B4C">
            <w:pPr>
              <w:pStyle w:val="Box"/>
              <w:numPr>
                <w:ilvl w:val="0"/>
                <w:numId w:val="1"/>
              </w:numPr>
            </w:pPr>
            <w:r w:rsidRPr="00903B4C">
              <w:t>complete for public housing</w:t>
            </w:r>
            <w:r w:rsidR="004E0008">
              <w:t xml:space="preserve"> and </w:t>
            </w:r>
            <w:r w:rsidRPr="00903B4C">
              <w:t>SOMIH for the current reporting period (subject to caveats). All required 201</w:t>
            </w:r>
            <w:r w:rsidR="000C5568">
              <w:t>4</w:t>
            </w:r>
            <w:r w:rsidR="007D1214">
              <w:noBreakHyphen/>
            </w:r>
            <w:r w:rsidRPr="00903B4C">
              <w:t>1</w:t>
            </w:r>
            <w:r w:rsidR="000C5568">
              <w:t>5</w:t>
            </w:r>
            <w:r w:rsidRPr="00903B4C">
              <w:t xml:space="preserve"> </w:t>
            </w:r>
            <w:r w:rsidR="0037761D">
              <w:t xml:space="preserve">data </w:t>
            </w:r>
            <w:r w:rsidRPr="00903B4C">
              <w:t>are available for all jurisdictions providing the service</w:t>
            </w:r>
          </w:p>
          <w:p w:rsidR="0037761D" w:rsidRPr="00D0217C" w:rsidRDefault="004E0008" w:rsidP="0037761D">
            <w:pPr>
              <w:pStyle w:val="Box"/>
              <w:numPr>
                <w:ilvl w:val="0"/>
                <w:numId w:val="1"/>
              </w:numPr>
            </w:pPr>
            <w:r w:rsidRPr="00D0217C">
              <w:t xml:space="preserve">incomplete for community housing for the current reporting period. All required </w:t>
            </w:r>
            <w:r w:rsidR="00C00C85" w:rsidRPr="00D0217C">
              <w:t>2013­14</w:t>
            </w:r>
            <w:r w:rsidRPr="00D0217C">
              <w:t xml:space="preserve"> data are not available for the </w:t>
            </w:r>
            <w:r w:rsidR="00D82241">
              <w:t>NT</w:t>
            </w:r>
          </w:p>
          <w:p w:rsidR="00903B4C" w:rsidRPr="0037761D" w:rsidRDefault="00903B4C" w:rsidP="0037761D">
            <w:pPr>
              <w:pStyle w:val="Box"/>
              <w:numPr>
                <w:ilvl w:val="0"/>
                <w:numId w:val="1"/>
              </w:numPr>
            </w:pPr>
            <w:r w:rsidRPr="0037761D">
              <w:t xml:space="preserve">incomplete for </w:t>
            </w:r>
            <w:proofErr w:type="spellStart"/>
            <w:r w:rsidR="00D82241">
              <w:t>ICH</w:t>
            </w:r>
            <w:proofErr w:type="spellEnd"/>
            <w:r w:rsidRPr="0037761D">
              <w:t xml:space="preserve"> for the current reporting period. All required data were not available for </w:t>
            </w:r>
            <w:r w:rsidR="005F02B3" w:rsidRPr="0037761D">
              <w:t>SA and the NT.</w:t>
            </w:r>
          </w:p>
          <w:p w:rsidR="00716EE3" w:rsidRDefault="00903B4C" w:rsidP="00903B4C">
            <w:pPr>
              <w:pStyle w:val="Box"/>
            </w:pPr>
            <w:r w:rsidRPr="00903B4C">
              <w:t>Data quality information for this indicator</w:t>
            </w:r>
            <w:r w:rsidR="00884651">
              <w:t xml:space="preserve"> is at </w:t>
            </w:r>
            <w:proofErr w:type="spellStart"/>
            <w:r w:rsidR="00884651">
              <w:t>www.pc.gov.au</w:t>
            </w:r>
            <w:proofErr w:type="spellEnd"/>
            <w:r w:rsidR="000C5568">
              <w:t>/</w:t>
            </w:r>
            <w:proofErr w:type="spellStart"/>
            <w:r w:rsidR="000C5568">
              <w:t>rogs</w:t>
            </w:r>
            <w:proofErr w:type="spellEnd"/>
            <w:r w:rsidR="000C5568">
              <w:t>/2016</w:t>
            </w:r>
            <w:r w:rsidRPr="00903B4C">
              <w:t>.</w:t>
            </w:r>
          </w:p>
        </w:tc>
      </w:tr>
      <w:tr w:rsidR="00716EE3" w:rsidTr="00604F8C">
        <w:trPr>
          <w:cantSplit/>
        </w:trPr>
        <w:tc>
          <w:tcPr>
            <w:tcW w:w="5000" w:type="pct"/>
            <w:tcBorders>
              <w:top w:val="nil"/>
              <w:left w:val="nil"/>
              <w:bottom w:val="single" w:sz="6" w:space="0" w:color="78A22F"/>
              <w:right w:val="nil"/>
            </w:tcBorders>
            <w:shd w:val="clear" w:color="auto" w:fill="F2F2F2" w:themeFill="background1" w:themeFillShade="F2"/>
          </w:tcPr>
          <w:p w:rsidR="00716EE3" w:rsidRDefault="00716EE3">
            <w:pPr>
              <w:pStyle w:val="Box"/>
              <w:spacing w:before="0" w:line="120" w:lineRule="exact"/>
            </w:pPr>
          </w:p>
        </w:tc>
      </w:tr>
      <w:tr w:rsidR="00716EE3" w:rsidRPr="000863A5" w:rsidTr="00604F8C">
        <w:tc>
          <w:tcPr>
            <w:tcW w:w="5000" w:type="pct"/>
            <w:tcBorders>
              <w:top w:val="single" w:sz="6" w:space="0" w:color="78A22F"/>
              <w:left w:val="nil"/>
              <w:bottom w:val="nil"/>
              <w:right w:val="nil"/>
            </w:tcBorders>
          </w:tcPr>
          <w:p w:rsidR="00716EE3" w:rsidRPr="00626D32" w:rsidRDefault="00716EE3" w:rsidP="00334F07">
            <w:pPr>
              <w:pStyle w:val="BoxSpaceBelow"/>
            </w:pPr>
          </w:p>
        </w:tc>
      </w:tr>
    </w:tbl>
    <w:p w:rsidR="00EE1520" w:rsidRPr="007616B4" w:rsidRDefault="00EE1520" w:rsidP="00EE1520">
      <w:pPr>
        <w:pStyle w:val="BodyText"/>
      </w:pPr>
      <w:r w:rsidRPr="002E0483">
        <w:rPr>
          <w:color w:val="000000" w:themeColor="text1"/>
        </w:rPr>
        <w:t xml:space="preserve">The </w:t>
      </w:r>
      <w:r w:rsidRPr="007616B4">
        <w:t>cost</w:t>
      </w:r>
      <w:r w:rsidR="0090458C">
        <w:t>s</w:t>
      </w:r>
      <w:r w:rsidRPr="007616B4">
        <w:t xml:space="preserve"> incurred by jurisdictions in providing </w:t>
      </w:r>
      <w:r w:rsidR="007616B4" w:rsidRPr="007616B4">
        <w:t xml:space="preserve">social </w:t>
      </w:r>
      <w:r w:rsidRPr="007616B4">
        <w:t>housing include:</w:t>
      </w:r>
    </w:p>
    <w:p w:rsidR="00EE1520" w:rsidRPr="007616B4" w:rsidRDefault="00EE1520" w:rsidP="00EE1520">
      <w:pPr>
        <w:pStyle w:val="ListBullet"/>
      </w:pPr>
      <w:r w:rsidRPr="007616B4">
        <w:t>administration costs (the cost of the administration offices of the property manager and tenancy manager)</w:t>
      </w:r>
    </w:p>
    <w:p w:rsidR="00EE1520" w:rsidRPr="007616B4" w:rsidRDefault="00EE1520" w:rsidP="00EE1520">
      <w:pPr>
        <w:pStyle w:val="ListBullet"/>
      </w:pPr>
      <w:r w:rsidRPr="007616B4">
        <w:t>operating costs (the costs of maintaining the operation of the dwelling, including repairs and maintenance, rates, disposals, market rent paid and interest expenses)</w:t>
      </w:r>
      <w:r w:rsidR="00D91D93">
        <w:t xml:space="preserve"> </w:t>
      </w:r>
    </w:p>
    <w:p w:rsidR="00EE1520" w:rsidRPr="007616B4" w:rsidRDefault="00EE1520" w:rsidP="00EE1520">
      <w:pPr>
        <w:pStyle w:val="ListBullet"/>
      </w:pPr>
      <w:r w:rsidRPr="007616B4">
        <w:t>depreciation costs</w:t>
      </w:r>
    </w:p>
    <w:p w:rsidR="0037761D" w:rsidRDefault="00EE1520" w:rsidP="0037761D">
      <w:pPr>
        <w:pStyle w:val="ListBullet"/>
      </w:pPr>
      <w:r w:rsidRPr="007616B4">
        <w:lastRenderedPageBreak/>
        <w:t xml:space="preserve">the </w:t>
      </w:r>
      <w:r w:rsidR="007E6C6C">
        <w:t xml:space="preserve">user </w:t>
      </w:r>
      <w:r w:rsidRPr="007616B4">
        <w:t xml:space="preserve">cost of capital (the cost of the funds tied up in the capital used to provide </w:t>
      </w:r>
      <w:r w:rsidR="007616B4">
        <w:t>social housing</w:t>
      </w:r>
      <w:r w:rsidR="00231D5D" w:rsidRPr="007616B4">
        <w:t>)</w:t>
      </w:r>
      <w:r w:rsidRPr="007616B4">
        <w:t>.</w:t>
      </w:r>
      <w:r w:rsidR="002F4164">
        <w:t xml:space="preserve"> </w:t>
      </w:r>
      <w:r w:rsidR="0037761D">
        <w:t>For this report, information on the user cost of capital was only available for public housing.</w:t>
      </w:r>
      <w:r w:rsidR="0037761D" w:rsidRPr="001E7815">
        <w:t xml:space="preserve"> </w:t>
      </w:r>
    </w:p>
    <w:p w:rsidR="0037761D" w:rsidRDefault="0037761D" w:rsidP="0037761D">
      <w:pPr>
        <w:pStyle w:val="BodyText"/>
      </w:pPr>
      <w:r w:rsidRPr="00ED5C9A">
        <w:t>Care needs to be taken in interpreting the cost of delivering public housing. Cost data for some jurisdictions are either more complete than for other jurisdictions or colle</w:t>
      </w:r>
      <w:r>
        <w:t>cted on a more consistent basis. A</w:t>
      </w:r>
      <w:r w:rsidRPr="00ED5C9A">
        <w:t xml:space="preserve">dministration costs and operating costs, for example, may not capture all </w:t>
      </w:r>
      <w:r>
        <w:t>costs incurred by government, and</w:t>
      </w:r>
      <w:r w:rsidRPr="00ED5C9A">
        <w:t xml:space="preserve"> could</w:t>
      </w:r>
      <w:r>
        <w:t xml:space="preserve"> therefore</w:t>
      </w:r>
      <w:r w:rsidRPr="00ED5C9A">
        <w:t xml:space="preserve"> understate the total cost of public housing. In addition, some jurisdictions </w:t>
      </w:r>
      <w:r>
        <w:t xml:space="preserve">are unable to separate </w:t>
      </w:r>
      <w:r w:rsidRPr="00ED5C9A">
        <w:t>costs for public housing from those for other housing</w:t>
      </w:r>
      <w:r>
        <w:t xml:space="preserve"> and homelessness</w:t>
      </w:r>
      <w:r w:rsidRPr="00ED5C9A">
        <w:t xml:space="preserve"> assistance activities. There may also be double counting of some expenditure items in the cost calculations for some jurisdictions. The user cost of capital, for example, is intended to capture all the costs of funding assets used to produce the services, but reported operating costs (apart from interest payments, which have been adjusted for) may already include some of these costs.</w:t>
      </w:r>
    </w:p>
    <w:p w:rsidR="0037761D" w:rsidRPr="007616B4" w:rsidRDefault="0037761D" w:rsidP="0037761D">
      <w:pPr>
        <w:pStyle w:val="BodyText"/>
      </w:pPr>
      <w:r w:rsidRPr="007616B4">
        <w:t xml:space="preserve">Due to a high level of capital expenditure in housing, cost per dwelling is predominantly driven by the </w:t>
      </w:r>
      <w:r>
        <w:t xml:space="preserve">user </w:t>
      </w:r>
      <w:r w:rsidRPr="007616B4">
        <w:t xml:space="preserve">cost of capital. There are different </w:t>
      </w:r>
      <w:r>
        <w:t xml:space="preserve">user </w:t>
      </w:r>
      <w:r w:rsidRPr="007616B4">
        <w:t xml:space="preserve">cost of capital and service delivery models across jurisdictions, and </w:t>
      </w:r>
      <w:r>
        <w:t xml:space="preserve">user cost of capital </w:t>
      </w:r>
      <w:r w:rsidRPr="007616B4">
        <w:t>data reported should be interpreted with caution. Information on the treatment of assets by housing agencies for each jurisdiction is presented in table </w:t>
      </w:r>
      <w:proofErr w:type="spellStart"/>
      <w:r>
        <w:t>17A</w:t>
      </w:r>
      <w:r w:rsidRPr="007616B4">
        <w:t>.</w:t>
      </w:r>
      <w:r>
        <w:t>66</w:t>
      </w:r>
      <w:proofErr w:type="spellEnd"/>
      <w:r w:rsidRPr="007616B4">
        <w:t>.</w:t>
      </w:r>
    </w:p>
    <w:p w:rsidR="0037761D" w:rsidRDefault="0037761D" w:rsidP="0037761D">
      <w:pPr>
        <w:pStyle w:val="BodyText"/>
      </w:pPr>
      <w:r w:rsidRPr="00ED5C9A">
        <w:t>Payroll tax is excluded from total recurrent cost for public housing</w:t>
      </w:r>
      <w:r>
        <w:t xml:space="preserve"> to improve comparability across jurisdictions</w:t>
      </w:r>
      <w:r w:rsidRPr="00ED5C9A">
        <w:t>. (Chapter</w:t>
      </w:r>
      <w:r w:rsidR="007D1214">
        <w:t> </w:t>
      </w:r>
      <w:r>
        <w:t>1</w:t>
      </w:r>
      <w:r w:rsidRPr="00ED5C9A">
        <w:t xml:space="preserve"> elaborates on the reasons for excluding payroll tax from the cost calculations.)</w:t>
      </w:r>
    </w:p>
    <w:p w:rsidR="00903B4C" w:rsidRPr="00D27298" w:rsidRDefault="00877E2A" w:rsidP="00D27298">
      <w:pPr>
        <w:pStyle w:val="BodyText"/>
      </w:pPr>
      <w:r w:rsidRPr="00F7685E">
        <w:t>Nationally</w:t>
      </w:r>
      <w:r w:rsidR="00D33F44" w:rsidRPr="00F7685E">
        <w:t xml:space="preserve"> in 20</w:t>
      </w:r>
      <w:r w:rsidR="00D244B5" w:rsidRPr="00F7685E">
        <w:t>14</w:t>
      </w:r>
      <w:r w:rsidR="007D1214">
        <w:noBreakHyphen/>
      </w:r>
      <w:r w:rsidR="00D33F44" w:rsidRPr="00F7685E">
        <w:t>1</w:t>
      </w:r>
      <w:r w:rsidR="00D244B5" w:rsidRPr="00F7685E">
        <w:t>5</w:t>
      </w:r>
      <w:r w:rsidRPr="00F7685E">
        <w:t xml:space="preserve">, net recurrent cost per dwelling </w:t>
      </w:r>
      <w:r w:rsidR="00F1759B" w:rsidRPr="00F7685E">
        <w:t>(</w:t>
      </w:r>
      <w:r w:rsidRPr="00F7685E">
        <w:t xml:space="preserve">excluding the </w:t>
      </w:r>
      <w:r w:rsidR="007E6C6C" w:rsidRPr="00F7685E">
        <w:t xml:space="preserve">user </w:t>
      </w:r>
      <w:r w:rsidRPr="00F7685E">
        <w:t xml:space="preserve">cost of capital) </w:t>
      </w:r>
      <w:r w:rsidR="005A3BC7" w:rsidRPr="00F7685E">
        <w:t xml:space="preserve">for public housing </w:t>
      </w:r>
      <w:r w:rsidRPr="00F7685E">
        <w:t xml:space="preserve">was </w:t>
      </w:r>
      <w:r w:rsidR="005E4CA5" w:rsidRPr="00F7685E">
        <w:t>$</w:t>
      </w:r>
      <w:r w:rsidR="000F494E" w:rsidRPr="00F7685E">
        <w:t>8</w:t>
      </w:r>
      <w:r w:rsidR="007E4601" w:rsidRPr="00F7685E">
        <w:t>486</w:t>
      </w:r>
      <w:r w:rsidR="000F494E" w:rsidRPr="00F7685E">
        <w:t xml:space="preserve"> </w:t>
      </w:r>
      <w:r w:rsidR="00D33F44" w:rsidRPr="00F7685E">
        <w:t xml:space="preserve">and the </w:t>
      </w:r>
      <w:r w:rsidRPr="00F7685E">
        <w:t xml:space="preserve">cost per dwelling including </w:t>
      </w:r>
      <w:r w:rsidR="0037761D" w:rsidRPr="00F7685E">
        <w:t xml:space="preserve">the user cost of capital </w:t>
      </w:r>
      <w:r w:rsidRPr="00F7685E">
        <w:t>was $</w:t>
      </w:r>
      <w:r w:rsidR="00DF463B" w:rsidRPr="00F7685E">
        <w:t>33 7</w:t>
      </w:r>
      <w:r w:rsidR="0048140D" w:rsidRPr="00F7685E">
        <w:t>9</w:t>
      </w:r>
      <w:r w:rsidR="00D244B5" w:rsidRPr="00F7685E">
        <w:t>4</w:t>
      </w:r>
      <w:r w:rsidR="0041427D" w:rsidRPr="00F7685E">
        <w:t xml:space="preserve">. </w:t>
      </w:r>
      <w:r w:rsidR="00DF463B" w:rsidRPr="00F7685E">
        <w:t>The</w:t>
      </w:r>
      <w:r w:rsidR="00F1759B" w:rsidRPr="00F7685E">
        <w:t xml:space="preserve"> c</w:t>
      </w:r>
      <w:r w:rsidR="00DF463B" w:rsidRPr="00F7685E">
        <w:t>ost</w:t>
      </w:r>
      <w:r w:rsidR="00F1759B" w:rsidRPr="00F7685E">
        <w:t xml:space="preserve"> per dwelling, including user cost of capital,</w:t>
      </w:r>
      <w:r w:rsidR="00DF463B" w:rsidRPr="00F7685E">
        <w:t xml:space="preserve"> ha</w:t>
      </w:r>
      <w:r w:rsidR="00F1759B" w:rsidRPr="00F7685E">
        <w:t>s</w:t>
      </w:r>
      <w:r w:rsidR="00DF463B" w:rsidRPr="00F7685E">
        <w:t xml:space="preserve"> increased</w:t>
      </w:r>
      <w:r w:rsidR="007E4601" w:rsidRPr="00F7685E">
        <w:t xml:space="preserve"> by </w:t>
      </w:r>
      <w:r w:rsidR="0041427D" w:rsidRPr="00F7685E">
        <w:t>$3325</w:t>
      </w:r>
      <w:r w:rsidR="009530B9" w:rsidRPr="00F7685E">
        <w:t xml:space="preserve"> (in real terms)</w:t>
      </w:r>
      <w:r w:rsidR="0048140D" w:rsidRPr="00F7685E">
        <w:t xml:space="preserve"> since 2010­11</w:t>
      </w:r>
      <w:r w:rsidR="0041427D" w:rsidRPr="00F7685E">
        <w:t xml:space="preserve"> (figure</w:t>
      </w:r>
      <w:r w:rsidR="007D1214">
        <w:t> </w:t>
      </w:r>
      <w:r w:rsidR="0041427D" w:rsidRPr="00F7685E">
        <w:t>17.5)</w:t>
      </w:r>
      <w:r w:rsidR="0048140D" w:rsidRPr="00F7685E">
        <w:t xml:space="preserve">. </w:t>
      </w:r>
      <w:r w:rsidR="00EF23FC" w:rsidRPr="00F7685E">
        <w:t>More detailed information on public housing expenditure</w:t>
      </w:r>
      <w:r w:rsidR="00F7685E">
        <w:t xml:space="preserve"> from </w:t>
      </w:r>
      <w:r w:rsidR="00F7685E" w:rsidRPr="00F7685E">
        <w:t>2005</w:t>
      </w:r>
      <w:r w:rsidR="007D1214">
        <w:noBreakHyphen/>
      </w:r>
      <w:r w:rsidR="00F7685E" w:rsidRPr="00F7685E">
        <w:t>06</w:t>
      </w:r>
      <w:r w:rsidR="007D1214">
        <w:t xml:space="preserve"> </w:t>
      </w:r>
      <w:r w:rsidR="00EF23FC" w:rsidRPr="00F7685E">
        <w:t>is reported in nominal terms in table</w:t>
      </w:r>
      <w:r w:rsidR="007D1214">
        <w:t> </w:t>
      </w:r>
      <w:proofErr w:type="spellStart"/>
      <w:r w:rsidR="00B80C21" w:rsidRPr="00F7685E">
        <w:t>17A</w:t>
      </w:r>
      <w:r w:rsidR="00EF23FC" w:rsidRPr="00F7685E">
        <w:t>.1</w:t>
      </w:r>
      <w:r w:rsidR="000A22C2" w:rsidRPr="00F7685E">
        <w:t>9</w:t>
      </w:r>
      <w:proofErr w:type="spellEnd"/>
      <w:r w:rsidR="00EF23FC" w:rsidRPr="00F7685E">
        <w:t xml:space="preserve"> </w:t>
      </w:r>
      <w:r w:rsidR="008B221C" w:rsidRPr="00F7685E">
        <w:t>and in real terms in table </w:t>
      </w:r>
      <w:proofErr w:type="spellStart"/>
      <w:r w:rsidR="00B80C21" w:rsidRPr="00F7685E">
        <w:t>17A</w:t>
      </w:r>
      <w:r w:rsidR="008B221C" w:rsidRPr="00F7685E">
        <w:t>.</w:t>
      </w:r>
      <w:r w:rsidR="000A22C2" w:rsidRPr="00F7685E">
        <w:t>20</w:t>
      </w:r>
      <w:proofErr w:type="spellEnd"/>
      <w:r w:rsidR="00F7685E">
        <w:t>.</w:t>
      </w:r>
    </w:p>
    <w:p w:rsidR="00B61E76" w:rsidRPr="00892C22" w:rsidRDefault="00B61E76" w:rsidP="00892C2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shd w:val="clear" w:color="auto" w:fill="FFFFFF" w:themeFill="background1"/>
        <w:tblLayout w:type="fixed"/>
        <w:tblCellMar>
          <w:left w:w="142" w:type="dxa"/>
          <w:right w:w="142" w:type="dxa"/>
        </w:tblCellMar>
        <w:tblLook w:val="0000" w:firstRow="0" w:lastRow="0" w:firstColumn="0" w:lastColumn="0" w:noHBand="0" w:noVBand="0"/>
      </w:tblPr>
      <w:tblGrid>
        <w:gridCol w:w="8771"/>
      </w:tblGrid>
      <w:tr w:rsidR="00B61E76" w:rsidTr="00B6576C">
        <w:tc>
          <w:tcPr>
            <w:tcW w:w="8771" w:type="dxa"/>
            <w:tcBorders>
              <w:top w:val="single" w:sz="6" w:space="0" w:color="78A22F"/>
              <w:left w:val="nil"/>
              <w:bottom w:val="nil"/>
              <w:right w:val="nil"/>
            </w:tcBorders>
            <w:shd w:val="clear" w:color="auto" w:fill="FFFFFF" w:themeFill="background1"/>
          </w:tcPr>
          <w:p w:rsidR="00B61E76" w:rsidRPr="00176D3F" w:rsidRDefault="00B61E76" w:rsidP="00EF6988">
            <w:pPr>
              <w:pStyle w:val="FigureTitle"/>
            </w:pPr>
            <w:r w:rsidRPr="00784A05">
              <w:rPr>
                <w:b w:val="0"/>
              </w:rPr>
              <w:t xml:space="preserve">Figure </w:t>
            </w:r>
            <w:r w:rsidR="00677E3E">
              <w:rPr>
                <w:b w:val="0"/>
                <w:noProof/>
              </w:rPr>
              <w:t>1</w:t>
            </w:r>
            <w:r>
              <w:rPr>
                <w:b w:val="0"/>
              </w:rPr>
              <w:t>7</w:t>
            </w:r>
            <w:r w:rsidRPr="001E7815">
              <w:rPr>
                <w:b w:val="0"/>
              </w:rPr>
              <w:t>.</w:t>
            </w:r>
            <w:r w:rsidR="000B7E98">
              <w:rPr>
                <w:b w:val="0"/>
              </w:rPr>
              <w:t>5</w:t>
            </w:r>
            <w:r w:rsidRPr="00EF2240">
              <w:tab/>
              <w:t xml:space="preserve">Net recurrent cost per dwelling – public housing </w:t>
            </w:r>
            <w:r w:rsidRPr="00EF2240">
              <w:br/>
              <w:t>(</w:t>
            </w:r>
            <w:r w:rsidR="00856ECB" w:rsidRPr="00EF2240">
              <w:t>2014</w:t>
            </w:r>
            <w:r w:rsidR="007D1214">
              <w:noBreakHyphen/>
            </w:r>
            <w:r w:rsidR="00856ECB" w:rsidRPr="00EF2240">
              <w:t>15</w:t>
            </w:r>
            <w:r w:rsidRPr="00EF2240">
              <w:t xml:space="preserve"> dollars)</w:t>
            </w:r>
            <w:r w:rsidR="00F7685E" w:rsidRPr="00E00B00">
              <w:rPr>
                <w:rStyle w:val="NoteLabel"/>
                <w:b/>
              </w:rPr>
              <w:t xml:space="preserve"> </w:t>
            </w:r>
            <w:r w:rsidR="00F7685E">
              <w:rPr>
                <w:rStyle w:val="NoteLabel"/>
                <w:b/>
              </w:rPr>
              <w:t>a</w:t>
            </w:r>
          </w:p>
        </w:tc>
      </w:tr>
      <w:tr w:rsidR="00B61E76" w:rsidTr="00B6576C">
        <w:tc>
          <w:tcPr>
            <w:tcW w:w="8771" w:type="dxa"/>
            <w:tcBorders>
              <w:top w:val="nil"/>
              <w:left w:val="nil"/>
              <w:bottom w:val="nil"/>
              <w:right w:val="nil"/>
            </w:tcBorders>
            <w:shd w:val="clear" w:color="auto" w:fill="FFFFFF" w:themeFill="background1"/>
            <w:tcMar>
              <w:top w:w="28" w:type="dxa"/>
              <w:bottom w:w="28" w:type="dxa"/>
            </w:tcMar>
          </w:tcPr>
          <w:p w:rsidR="002B02BB" w:rsidRDefault="002B02BB" w:rsidP="002B02BB">
            <w:pPr>
              <w:pStyle w:val="Figure"/>
              <w:rPr>
                <w:rFonts w:ascii="Arial" w:hAnsi="Arial" w:cs="Arial"/>
                <w:b/>
                <w:sz w:val="20"/>
              </w:rPr>
            </w:pPr>
            <w:r w:rsidRPr="002B02BB">
              <w:rPr>
                <w:rFonts w:ascii="Arial" w:hAnsi="Arial" w:cs="Arial"/>
                <w:b/>
                <w:sz w:val="20"/>
              </w:rPr>
              <w:t>Excluding th</w:t>
            </w:r>
            <w:r>
              <w:rPr>
                <w:rFonts w:ascii="Arial" w:hAnsi="Arial" w:cs="Arial"/>
                <w:b/>
                <w:sz w:val="20"/>
              </w:rPr>
              <w:t>e cost of capital</w:t>
            </w:r>
            <w:r w:rsidR="00333E05">
              <w:rPr>
                <w:rFonts w:ascii="Arial" w:hAnsi="Arial" w:cs="Arial"/>
                <w:b/>
                <w:noProof/>
                <w:sz w:val="20"/>
              </w:rPr>
              <w:drawing>
                <wp:inline distT="0" distB="0" distL="0" distR="0">
                  <wp:extent cx="5391150" cy="2428875"/>
                  <wp:effectExtent l="0" t="0" r="0" b="9525"/>
                  <wp:docPr id="18" name="Picture 18" descr="Figure 17.5 Net recurrent cost per dwelling – public housing &#10;(2014-15 dollars)&#10;&#10;Excluding the cost of capital&#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91150" cy="2428875"/>
                          </a:xfrm>
                          <a:prstGeom prst="rect">
                            <a:avLst/>
                          </a:prstGeom>
                          <a:noFill/>
                          <a:ln>
                            <a:noFill/>
                          </a:ln>
                        </pic:spPr>
                      </pic:pic>
                    </a:graphicData>
                  </a:graphic>
                </wp:inline>
              </w:drawing>
            </w:r>
            <w:r w:rsidR="003540F1">
              <w:rPr>
                <w:rFonts w:ascii="Arial" w:hAnsi="Arial" w:cs="Arial"/>
                <w:b/>
                <w:sz w:val="20"/>
              </w:rPr>
              <w:t>Including the cost of capital</w:t>
            </w:r>
          </w:p>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B61E76" w:rsidTr="008B68D3">
              <w:trPr>
                <w:jc w:val="center"/>
              </w:trPr>
              <w:tc>
                <w:tcPr>
                  <w:tcW w:w="5000" w:type="pct"/>
                  <w:tcBorders>
                    <w:top w:val="nil"/>
                    <w:bottom w:val="nil"/>
                  </w:tcBorders>
                </w:tcPr>
                <w:p w:rsidR="00B61E76" w:rsidRDefault="00333E05" w:rsidP="008B68D3">
                  <w:pPr>
                    <w:pStyle w:val="Figure"/>
                    <w:spacing w:before="60" w:after="60"/>
                  </w:pPr>
                  <w:r>
                    <w:rPr>
                      <w:noProof/>
                    </w:rPr>
                    <w:drawing>
                      <wp:inline distT="0" distB="0" distL="0" distR="0">
                        <wp:extent cx="5391150" cy="2676525"/>
                        <wp:effectExtent l="0" t="0" r="0" b="9525"/>
                        <wp:docPr id="19" name="Picture 19" descr="Figure 17.5 Net recurrent cost per dwelling – public housing &#10;(2014-15 dollars)&#10;&#10;Including the cost of capital&#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91150" cy="2676525"/>
                                </a:xfrm>
                                <a:prstGeom prst="rect">
                                  <a:avLst/>
                                </a:prstGeom>
                                <a:noFill/>
                                <a:ln>
                                  <a:noFill/>
                                </a:ln>
                              </pic:spPr>
                            </pic:pic>
                          </a:graphicData>
                        </a:graphic>
                      </wp:inline>
                    </w:drawing>
                  </w:r>
                </w:p>
              </w:tc>
            </w:tr>
          </w:tbl>
          <w:p w:rsidR="00B61E76" w:rsidRDefault="00B61E76" w:rsidP="008B68D3">
            <w:pPr>
              <w:pStyle w:val="Figure"/>
            </w:pPr>
          </w:p>
        </w:tc>
      </w:tr>
      <w:tr w:rsidR="00B61E76" w:rsidRPr="00176D3F" w:rsidTr="00B6576C">
        <w:tc>
          <w:tcPr>
            <w:tcW w:w="8771" w:type="dxa"/>
            <w:tcBorders>
              <w:top w:val="nil"/>
              <w:left w:val="nil"/>
              <w:bottom w:val="nil"/>
              <w:right w:val="nil"/>
            </w:tcBorders>
            <w:shd w:val="clear" w:color="auto" w:fill="FFFFFF" w:themeFill="background1"/>
          </w:tcPr>
          <w:p w:rsidR="00B61E76" w:rsidRPr="00176D3F" w:rsidRDefault="004E6030" w:rsidP="00146DC9">
            <w:pPr>
              <w:pStyle w:val="Note"/>
            </w:pPr>
            <w:r>
              <w:rPr>
                <w:rStyle w:val="NoteLabel"/>
              </w:rPr>
              <w:t>a</w:t>
            </w:r>
            <w:r>
              <w:t xml:space="preserve"> </w:t>
            </w:r>
            <w:r w:rsidR="00146DC9">
              <w:t>See box</w:t>
            </w:r>
            <w:r w:rsidR="007D1214">
              <w:t> </w:t>
            </w:r>
            <w:r w:rsidR="00146DC9">
              <w:t>17.</w:t>
            </w:r>
            <w:r w:rsidR="00451C44">
              <w:t>9</w:t>
            </w:r>
            <w:r w:rsidR="0045632D">
              <w:t xml:space="preserve"> and tables</w:t>
            </w:r>
            <w:r w:rsidR="007D1214">
              <w:t> </w:t>
            </w:r>
            <w:proofErr w:type="spellStart"/>
            <w:r w:rsidR="0045632D">
              <w:t>17A.20</w:t>
            </w:r>
            <w:proofErr w:type="spellEnd"/>
            <w:r w:rsidR="0045632D">
              <w:t xml:space="preserve"> and </w:t>
            </w:r>
            <w:proofErr w:type="spellStart"/>
            <w:r w:rsidR="0045632D">
              <w:t>17A.58</w:t>
            </w:r>
            <w:proofErr w:type="spellEnd"/>
            <w:r w:rsidR="00146DC9">
              <w:t xml:space="preserve"> </w:t>
            </w:r>
            <w:r w:rsidR="00AC0EFD">
              <w:t>for detailed definitions, footnotes and caveats.</w:t>
            </w:r>
          </w:p>
        </w:tc>
      </w:tr>
      <w:tr w:rsidR="00B61E76" w:rsidRPr="00176D3F" w:rsidTr="00B6576C">
        <w:tc>
          <w:tcPr>
            <w:tcW w:w="8771" w:type="dxa"/>
            <w:tcBorders>
              <w:top w:val="nil"/>
              <w:left w:val="nil"/>
              <w:bottom w:val="nil"/>
              <w:right w:val="nil"/>
            </w:tcBorders>
            <w:shd w:val="clear" w:color="auto" w:fill="FFFFFF" w:themeFill="background1"/>
          </w:tcPr>
          <w:p w:rsidR="00B61E76" w:rsidRPr="00176D3F" w:rsidRDefault="004E6030" w:rsidP="0045632D">
            <w:pPr>
              <w:pStyle w:val="Source"/>
            </w:pPr>
            <w:r>
              <w:rPr>
                <w:i/>
              </w:rPr>
              <w:t>S</w:t>
            </w:r>
            <w:r w:rsidRPr="00784A05">
              <w:rPr>
                <w:i/>
              </w:rPr>
              <w:t>ource</w:t>
            </w:r>
            <w:r w:rsidRPr="00176D3F">
              <w:t xml:space="preserve">: </w:t>
            </w:r>
            <w:r w:rsidRPr="00903B4C">
              <w:t>State and Terri</w:t>
            </w:r>
            <w:r w:rsidR="0031452F">
              <w:t>tory governments (unpublished); tables</w:t>
            </w:r>
            <w:r w:rsidR="007D1214">
              <w:t> </w:t>
            </w:r>
            <w:proofErr w:type="spellStart"/>
            <w:r w:rsidR="0031452F">
              <w:t>17A.20</w:t>
            </w:r>
            <w:proofErr w:type="spellEnd"/>
            <w:r w:rsidR="0031452F">
              <w:t xml:space="preserve"> and </w:t>
            </w:r>
            <w:proofErr w:type="spellStart"/>
            <w:r w:rsidR="0031452F">
              <w:t>17A.58</w:t>
            </w:r>
            <w:proofErr w:type="spellEnd"/>
            <w:r w:rsidR="0031452F">
              <w:t>.</w:t>
            </w:r>
          </w:p>
        </w:tc>
      </w:tr>
      <w:tr w:rsidR="00B61E76" w:rsidTr="00B6576C">
        <w:tc>
          <w:tcPr>
            <w:tcW w:w="8771" w:type="dxa"/>
            <w:tcBorders>
              <w:top w:val="nil"/>
              <w:left w:val="nil"/>
              <w:bottom w:val="single" w:sz="6" w:space="0" w:color="78A22F"/>
              <w:right w:val="nil"/>
            </w:tcBorders>
            <w:shd w:val="clear" w:color="auto" w:fill="FFFFFF" w:themeFill="background1"/>
          </w:tcPr>
          <w:p w:rsidR="00B61E76" w:rsidRDefault="00B61E76" w:rsidP="008B68D3">
            <w:pPr>
              <w:pStyle w:val="Figurespace"/>
            </w:pPr>
          </w:p>
        </w:tc>
      </w:tr>
      <w:tr w:rsidR="00B61E76" w:rsidRPr="000863A5" w:rsidTr="00B6576C">
        <w:tc>
          <w:tcPr>
            <w:tcW w:w="8771" w:type="dxa"/>
            <w:tcBorders>
              <w:top w:val="single" w:sz="6" w:space="0" w:color="78A22F"/>
              <w:left w:val="nil"/>
              <w:bottom w:val="nil"/>
              <w:right w:val="nil"/>
            </w:tcBorders>
            <w:shd w:val="clear" w:color="auto" w:fill="FFFFFF" w:themeFill="background1"/>
          </w:tcPr>
          <w:p w:rsidR="00B61E76" w:rsidRPr="00626D32" w:rsidRDefault="00B61E76" w:rsidP="008B68D3">
            <w:pPr>
              <w:pStyle w:val="BoxSpaceBelow"/>
            </w:pPr>
          </w:p>
        </w:tc>
      </w:tr>
    </w:tbl>
    <w:p w:rsidR="00246ECA" w:rsidRPr="00887F6C" w:rsidRDefault="00F01AAF" w:rsidP="00887F6C">
      <w:pPr>
        <w:pStyle w:val="BodyText"/>
      </w:pPr>
      <w:r w:rsidRPr="00887F6C">
        <w:t xml:space="preserve">Nationally, the net recurrent cost of providing assistance (excluding the cost of capital) per dwelling for SOMIH </w:t>
      </w:r>
      <w:r w:rsidRPr="00705266">
        <w:t>was</w:t>
      </w:r>
      <w:r w:rsidRPr="006C7C20">
        <w:t xml:space="preserve"> </w:t>
      </w:r>
      <w:r w:rsidR="00AA3A73" w:rsidRPr="006C7C20">
        <w:t>$</w:t>
      </w:r>
      <w:r w:rsidR="006C7C20" w:rsidRPr="006C7C20">
        <w:t>10 999</w:t>
      </w:r>
      <w:r w:rsidR="00BE1FDA" w:rsidRPr="006C7C20">
        <w:t xml:space="preserve"> </w:t>
      </w:r>
      <w:r w:rsidRPr="00887F6C">
        <w:t xml:space="preserve">in </w:t>
      </w:r>
      <w:r w:rsidRPr="00D244B5">
        <w:t>20</w:t>
      </w:r>
      <w:r w:rsidR="00D244B5" w:rsidRPr="00D244B5">
        <w:t>14</w:t>
      </w:r>
      <w:r w:rsidR="007D1214">
        <w:noBreakHyphen/>
      </w:r>
      <w:r w:rsidR="00D244B5" w:rsidRPr="00D244B5">
        <w:t>15</w:t>
      </w:r>
      <w:r w:rsidR="006C7C20">
        <w:t>,</w:t>
      </w:r>
      <w:r w:rsidRPr="00887F6C">
        <w:t xml:space="preserve"> </w:t>
      </w:r>
      <w:r w:rsidR="006C7C20" w:rsidRPr="006C7C20">
        <w:t>similar to previous years</w:t>
      </w:r>
      <w:r w:rsidR="006C7C20">
        <w:t xml:space="preserve"> </w:t>
      </w:r>
      <w:r w:rsidR="006C7C20" w:rsidRPr="006C7C20">
        <w:t>(figure</w:t>
      </w:r>
      <w:r w:rsidR="007D1214">
        <w:t> </w:t>
      </w:r>
      <w:r w:rsidR="006C7C20" w:rsidRPr="006C7C20">
        <w:t>17.6)</w:t>
      </w:r>
      <w:r w:rsidRPr="006C7C20">
        <w:t xml:space="preserve">. </w:t>
      </w:r>
      <w:r w:rsidR="007E6C6C" w:rsidRPr="00887F6C">
        <w:t>Table </w:t>
      </w:r>
      <w:proofErr w:type="spellStart"/>
      <w:r w:rsidR="00B80C21" w:rsidRPr="00887F6C">
        <w:t>17A</w:t>
      </w:r>
      <w:r w:rsidR="008B221C" w:rsidRPr="00887F6C">
        <w:t>.2</w:t>
      </w:r>
      <w:r w:rsidR="00D244B5">
        <w:t>1</w:t>
      </w:r>
      <w:proofErr w:type="spellEnd"/>
      <w:r w:rsidR="002E0F0F" w:rsidRPr="00887F6C">
        <w:t xml:space="preserve"> </w:t>
      </w:r>
      <w:r w:rsidR="0045632D">
        <w:t xml:space="preserve">also </w:t>
      </w:r>
      <w:r w:rsidR="002E0F0F" w:rsidRPr="00887F6C">
        <w:t xml:space="preserve">contains </w:t>
      </w:r>
      <w:r w:rsidR="0045632D">
        <w:t xml:space="preserve">historical </w:t>
      </w:r>
      <w:r w:rsidR="002E0F0F" w:rsidRPr="00887F6C">
        <w:t xml:space="preserve">data </w:t>
      </w:r>
      <w:r w:rsidR="00C32C11">
        <w:t xml:space="preserve">back to </w:t>
      </w:r>
      <w:r w:rsidR="002E0F0F" w:rsidRPr="00887F6C">
        <w:t>200</w:t>
      </w:r>
      <w:r w:rsidR="00023CD6">
        <w:t>5</w:t>
      </w:r>
      <w:r w:rsidR="007D1214">
        <w:noBreakHyphen/>
      </w:r>
      <w:r w:rsidR="00023CD6">
        <w:t>06</w:t>
      </w:r>
      <w:r w:rsidR="00E547C3" w:rsidRPr="00887F6C">
        <w:t>.</w:t>
      </w:r>
      <w:r w:rsidR="00BE1FDA" w:rsidRPr="00887F6C">
        <w:t xml:space="preserve"> Capital cost data for SOMIH are not available for this Report.</w:t>
      </w:r>
    </w:p>
    <w:p w:rsidR="006A1CE2" w:rsidRDefault="00F01AAF" w:rsidP="006A1CE2">
      <w:pPr>
        <w:pStyle w:val="BodyText"/>
      </w:pPr>
      <w:r w:rsidRPr="00887F6C">
        <w:t>As with other indicators, it is not appropriate to co</w:t>
      </w:r>
      <w:r w:rsidR="007275D3" w:rsidRPr="00887F6C">
        <w:t xml:space="preserve">mpare the net recurrent cost </w:t>
      </w:r>
      <w:r w:rsidRPr="00887F6C">
        <w:t>per dwelling for</w:t>
      </w:r>
      <w:r w:rsidR="00667795" w:rsidRPr="00887F6C">
        <w:t xml:space="preserve"> public housing with </w:t>
      </w:r>
      <w:r w:rsidR="00504096" w:rsidRPr="00887F6C">
        <w:t xml:space="preserve">that for </w:t>
      </w:r>
      <w:r w:rsidRPr="00887F6C">
        <w:t>SOMIH, because</w:t>
      </w:r>
      <w:r w:rsidR="008475DF" w:rsidRPr="00887F6C">
        <w:t>:</w:t>
      </w:r>
      <w:r w:rsidRPr="00887F6C">
        <w:t xml:space="preserve"> </w:t>
      </w:r>
    </w:p>
    <w:p w:rsidR="006A1CE2" w:rsidRPr="00AF7C87" w:rsidRDefault="006A1CE2" w:rsidP="006A1CE2">
      <w:pPr>
        <w:pStyle w:val="Heading5"/>
        <w:spacing w:before="0" w:line="240" w:lineRule="auto"/>
        <w:rPr>
          <w:rFonts w:ascii="Calibri" w:hAnsi="Calibri"/>
          <w:i w:val="0"/>
          <w:sz w:val="16"/>
          <w:szCs w:val="16"/>
        </w:rPr>
      </w:pPr>
      <w:r w:rsidRPr="00AF7C87">
        <w:rPr>
          <w:rFonts w:ascii="Calibri" w:hAnsi="Calibri"/>
          <w:i w:val="0"/>
          <w:sz w:val="16"/>
          <w:szCs w:val="16"/>
        </w:rPr>
        <w:lastRenderedPageBreak/>
        <w:t xml:space="preserve">This page has changed since </w:t>
      </w:r>
      <w:r>
        <w:rPr>
          <w:rFonts w:ascii="Calibri" w:hAnsi="Calibri"/>
          <w:i w:val="0"/>
          <w:sz w:val="16"/>
          <w:szCs w:val="16"/>
        </w:rPr>
        <w:t xml:space="preserve">an earlier version of </w:t>
      </w:r>
      <w:r w:rsidRPr="00AF7C87">
        <w:rPr>
          <w:rFonts w:ascii="Calibri" w:hAnsi="Calibri"/>
          <w:i w:val="0"/>
          <w:sz w:val="16"/>
          <w:szCs w:val="16"/>
        </w:rPr>
        <w:t>the Report.</w:t>
      </w:r>
      <w:r w:rsidR="00226F73">
        <w:rPr>
          <w:rFonts w:ascii="Calibri" w:hAnsi="Calibri"/>
          <w:i w:val="0"/>
          <w:sz w:val="16"/>
          <w:szCs w:val="16"/>
        </w:rPr>
        <w:t xml:space="preserve"> </w:t>
      </w:r>
      <w:r w:rsidR="00226F73">
        <w:rPr>
          <w:rFonts w:ascii="Calibri" w:hAnsi="Calibri"/>
          <w:i w:val="0"/>
          <w:sz w:val="16"/>
          <w:szCs w:val="16"/>
        </w:rPr>
        <w:br/>
        <w:t>S</w:t>
      </w:r>
      <w:r w:rsidRPr="00AF7C87">
        <w:rPr>
          <w:rFonts w:ascii="Calibri" w:hAnsi="Calibri"/>
          <w:i w:val="0"/>
          <w:sz w:val="16"/>
          <w:szCs w:val="16"/>
        </w:rPr>
        <w:t>ee errata at www.pc.gov.au/research/recurring/report-on</w:t>
      </w:r>
      <w:r>
        <w:rPr>
          <w:rFonts w:ascii="Calibri" w:hAnsi="Calibri"/>
          <w:i w:val="0"/>
          <w:sz w:val="16"/>
          <w:szCs w:val="16"/>
        </w:rPr>
        <w:noBreakHyphen/>
      </w:r>
      <w:r w:rsidRPr="00AF7C87">
        <w:rPr>
          <w:rFonts w:ascii="Calibri" w:hAnsi="Calibri"/>
          <w:i w:val="0"/>
          <w:sz w:val="16"/>
          <w:szCs w:val="16"/>
        </w:rPr>
        <w:t>government-services/201</w:t>
      </w:r>
      <w:r>
        <w:rPr>
          <w:rFonts w:ascii="Calibri" w:hAnsi="Calibri"/>
          <w:i w:val="0"/>
          <w:sz w:val="16"/>
          <w:szCs w:val="16"/>
        </w:rPr>
        <w:t>6</w:t>
      </w:r>
      <w:r w:rsidRPr="00AF7C87">
        <w:rPr>
          <w:rFonts w:ascii="Calibri" w:hAnsi="Calibri"/>
          <w:i w:val="0"/>
          <w:sz w:val="16"/>
          <w:szCs w:val="16"/>
        </w:rPr>
        <w:t>/housing-and-homelessness</w:t>
      </w:r>
      <w:r>
        <w:rPr>
          <w:rFonts w:ascii="Calibri" w:hAnsi="Calibri"/>
          <w:i w:val="0"/>
          <w:sz w:val="16"/>
          <w:szCs w:val="16"/>
        </w:rPr>
        <w:t>#errata.</w:t>
      </w:r>
    </w:p>
    <w:p w:rsidR="008475DF" w:rsidRPr="004E6030" w:rsidRDefault="00F01AAF" w:rsidP="004E6030">
      <w:pPr>
        <w:pStyle w:val="ListBullet"/>
      </w:pPr>
      <w:r w:rsidRPr="004E6030">
        <w:t>SOMIH dwellings are slightly more concentrated in regional and remote areas, where the cost of providing housing assistance is potentially greater</w:t>
      </w:r>
    </w:p>
    <w:p w:rsidR="008475DF" w:rsidRPr="004E6030" w:rsidRDefault="008475DF" w:rsidP="004E6030">
      <w:pPr>
        <w:pStyle w:val="ListBullet"/>
      </w:pPr>
      <w:r w:rsidRPr="004E6030">
        <w:t>t</w:t>
      </w:r>
      <w:r w:rsidR="00F01AAF" w:rsidRPr="004E6030">
        <w:t>he need to construct culturally appropriate housing (possibly requiring different amenities) can affect the cost per dwelling</w:t>
      </w:r>
      <w:r w:rsidR="00814104" w:rsidRPr="004E6030">
        <w:t xml:space="preserve"> for SOMIH</w:t>
      </w:r>
    </w:p>
    <w:p w:rsidR="00F01AAF" w:rsidRPr="004E6030" w:rsidRDefault="00F01AAF" w:rsidP="004E6030">
      <w:pPr>
        <w:pStyle w:val="ListBullet"/>
      </w:pPr>
      <w:r w:rsidRPr="004E6030">
        <w:t xml:space="preserve">different cost structures can apply to the programs. </w:t>
      </w:r>
      <w:r w:rsidR="008475DF" w:rsidRPr="004E6030">
        <w:t>For example, c</w:t>
      </w:r>
      <w:r w:rsidRPr="004E6030">
        <w:t>onstruction of dwellings under SOMIH</w:t>
      </w:r>
      <w:r w:rsidR="008475DF" w:rsidRPr="004E6030">
        <w:t xml:space="preserve"> </w:t>
      </w:r>
      <w:r w:rsidRPr="004E6030">
        <w:t xml:space="preserve">can involve a skills development element to allow for training of </w:t>
      </w:r>
      <w:r w:rsidR="0008455A" w:rsidRPr="004E6030">
        <w:t>Aboriginal and Torres Strait Islander</w:t>
      </w:r>
      <w:r w:rsidR="00CD6782" w:rsidRPr="004E6030">
        <w:t xml:space="preserve"> apprentices in regional areas</w:t>
      </w:r>
    </w:p>
    <w:p w:rsidR="00CD6782" w:rsidRPr="004E6030" w:rsidRDefault="002A5743" w:rsidP="004E6030">
      <w:pPr>
        <w:pStyle w:val="ListBullet"/>
      </w:pPr>
      <w:r w:rsidRPr="004E6030">
        <w:t>i</w:t>
      </w:r>
      <w:r w:rsidR="00CD6782" w:rsidRPr="004E6030">
        <w:t>n jurisdictions where SOMIH is managed separately from public housing, there is greater scope for economies of scale in administration costs with public housing, which is a much larger program.</w:t>
      </w:r>
    </w:p>
    <w:p w:rsidR="00903B4C" w:rsidRDefault="00903B4C" w:rsidP="00334F07">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903B4C" w:rsidTr="00604F8C">
        <w:tc>
          <w:tcPr>
            <w:tcW w:w="5000" w:type="pct"/>
            <w:tcBorders>
              <w:top w:val="single" w:sz="6" w:space="0" w:color="78A22F"/>
              <w:left w:val="nil"/>
              <w:bottom w:val="nil"/>
              <w:right w:val="nil"/>
            </w:tcBorders>
            <w:shd w:val="clear" w:color="auto" w:fill="auto"/>
          </w:tcPr>
          <w:p w:rsidR="00903B4C" w:rsidRPr="00176D3F" w:rsidRDefault="00903B4C" w:rsidP="00FE1DE7">
            <w:pPr>
              <w:pStyle w:val="FigureTitle"/>
            </w:pPr>
            <w:r w:rsidRPr="002061F6">
              <w:rPr>
                <w:b w:val="0"/>
              </w:rPr>
              <w:t>Figure 17.</w:t>
            </w:r>
            <w:r w:rsidR="000B7E98" w:rsidRPr="002061F6">
              <w:rPr>
                <w:b w:val="0"/>
              </w:rPr>
              <w:t>6</w:t>
            </w:r>
            <w:r>
              <w:tab/>
            </w:r>
            <w:r w:rsidRPr="005E340A">
              <w:t>Net recurrent cost per dwelling — SOMIH (201</w:t>
            </w:r>
            <w:r w:rsidR="00D244B5" w:rsidRPr="005E340A">
              <w:t>4</w:t>
            </w:r>
            <w:r w:rsidR="007D1214">
              <w:noBreakHyphen/>
            </w:r>
            <w:r w:rsidRPr="005E340A">
              <w:t>1</w:t>
            </w:r>
            <w:r w:rsidR="00D244B5" w:rsidRPr="005E340A">
              <w:t>5</w:t>
            </w:r>
            <w:r w:rsidRPr="005E340A">
              <w:t> dollars)</w:t>
            </w:r>
            <w:r w:rsidR="000C4A43" w:rsidRPr="005E340A">
              <w:rPr>
                <w:rStyle w:val="NoteLabel"/>
                <w:b/>
              </w:rPr>
              <w:t>a</w:t>
            </w:r>
          </w:p>
        </w:tc>
      </w:tr>
      <w:tr w:rsidR="00903B4C" w:rsidTr="00604F8C">
        <w:tc>
          <w:tcPr>
            <w:tcW w:w="5000" w:type="pct"/>
            <w:tcBorders>
              <w:top w:val="nil"/>
              <w:left w:val="nil"/>
              <w:bottom w:val="nil"/>
              <w:right w:val="nil"/>
            </w:tcBorders>
            <w:shd w:val="clear" w:color="auto" w:fill="auto"/>
            <w:tcMar>
              <w:top w:w="28" w:type="dxa"/>
              <w:bottom w:w="28" w:type="dxa"/>
            </w:tcMar>
          </w:tcPr>
          <w:p w:rsidR="00903B4C" w:rsidRDefault="00D049CE" w:rsidP="00334F07">
            <w:pPr>
              <w:pStyle w:val="Figure"/>
            </w:pPr>
            <w:r>
              <w:rPr>
                <w:noProof/>
              </w:rPr>
              <w:drawing>
                <wp:inline distT="0" distB="0" distL="0" distR="0" wp14:anchorId="4222318A" wp14:editId="34D34D08">
                  <wp:extent cx="5365115" cy="2700655"/>
                  <wp:effectExtent l="0" t="0" r="6985" b="4445"/>
                  <wp:docPr id="2" name="Picture 2" descr="Figure 17.6 Net recurrent cost per dwelling — SOMIH (2014-15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65115" cy="2700655"/>
                          </a:xfrm>
                          <a:prstGeom prst="rect">
                            <a:avLst/>
                          </a:prstGeom>
                          <a:noFill/>
                        </pic:spPr>
                      </pic:pic>
                    </a:graphicData>
                  </a:graphic>
                </wp:inline>
              </w:drawing>
            </w:r>
          </w:p>
        </w:tc>
      </w:tr>
      <w:tr w:rsidR="00903B4C" w:rsidRPr="00176D3F" w:rsidTr="00604F8C">
        <w:tc>
          <w:tcPr>
            <w:tcW w:w="5000" w:type="pct"/>
            <w:tcBorders>
              <w:top w:val="nil"/>
              <w:left w:val="nil"/>
              <w:bottom w:val="nil"/>
              <w:right w:val="nil"/>
            </w:tcBorders>
            <w:shd w:val="clear" w:color="auto" w:fill="auto"/>
          </w:tcPr>
          <w:p w:rsidR="00903B4C" w:rsidRPr="00176D3F" w:rsidRDefault="00903B4C" w:rsidP="00EF3BAA">
            <w:pPr>
              <w:pStyle w:val="Note"/>
            </w:pPr>
            <w:r>
              <w:rPr>
                <w:rStyle w:val="NoteLabel"/>
              </w:rPr>
              <w:t>a</w:t>
            </w:r>
            <w:r>
              <w:t xml:space="preserve"> </w:t>
            </w:r>
            <w:r w:rsidR="000C4A43">
              <w:t xml:space="preserve">See </w:t>
            </w:r>
            <w:r w:rsidR="007D1214">
              <w:t>b</w:t>
            </w:r>
            <w:r w:rsidR="000C4A43">
              <w:t>ox</w:t>
            </w:r>
            <w:r w:rsidR="007D1214">
              <w:t> </w:t>
            </w:r>
            <w:r w:rsidR="000C4A43">
              <w:t>17.</w:t>
            </w:r>
            <w:r w:rsidR="00EF3BAA">
              <w:t>9</w:t>
            </w:r>
            <w:r w:rsidR="000C4A43">
              <w:t xml:space="preserve"> and </w:t>
            </w:r>
            <w:r w:rsidR="000C4A43" w:rsidRPr="0045632D">
              <w:t>tables</w:t>
            </w:r>
            <w:r w:rsidR="007D1214">
              <w:t> </w:t>
            </w:r>
            <w:proofErr w:type="spellStart"/>
            <w:r w:rsidR="00D244B5" w:rsidRPr="0045632D">
              <w:t>17A.21</w:t>
            </w:r>
            <w:proofErr w:type="spellEnd"/>
            <w:r w:rsidR="000C4A43" w:rsidRPr="0045632D">
              <w:t xml:space="preserve"> and </w:t>
            </w:r>
            <w:proofErr w:type="spellStart"/>
            <w:r w:rsidR="00D244B5" w:rsidRPr="0045632D">
              <w:t>17A.58</w:t>
            </w:r>
            <w:proofErr w:type="spellEnd"/>
            <w:r w:rsidR="000C4A43" w:rsidRPr="0045632D">
              <w:t xml:space="preserve"> </w:t>
            </w:r>
            <w:r w:rsidR="00AC0EFD">
              <w:t>for detailed definitions, footnotes and caveats</w:t>
            </w:r>
            <w:r w:rsidR="000C4A43" w:rsidRPr="0045632D">
              <w:t>.</w:t>
            </w:r>
          </w:p>
        </w:tc>
      </w:tr>
      <w:tr w:rsidR="00903B4C" w:rsidRPr="00176D3F" w:rsidTr="00604F8C">
        <w:tc>
          <w:tcPr>
            <w:tcW w:w="5000" w:type="pct"/>
            <w:tcBorders>
              <w:top w:val="nil"/>
              <w:left w:val="nil"/>
              <w:bottom w:val="nil"/>
              <w:right w:val="nil"/>
            </w:tcBorders>
            <w:shd w:val="clear" w:color="auto" w:fill="auto"/>
          </w:tcPr>
          <w:p w:rsidR="00903B4C" w:rsidRPr="00176D3F" w:rsidRDefault="00903B4C" w:rsidP="00D244B5">
            <w:pPr>
              <w:pStyle w:val="Source"/>
            </w:pPr>
            <w:r>
              <w:rPr>
                <w:i/>
              </w:rPr>
              <w:t>S</w:t>
            </w:r>
            <w:r w:rsidRPr="00784A05">
              <w:rPr>
                <w:i/>
              </w:rPr>
              <w:t>ource</w:t>
            </w:r>
            <w:r w:rsidRPr="00176D3F">
              <w:t xml:space="preserve">: </w:t>
            </w:r>
            <w:r w:rsidRPr="00903B4C">
              <w:t>State and Territ</w:t>
            </w:r>
            <w:r w:rsidR="00D244B5">
              <w:t>ory governments (</w:t>
            </w:r>
            <w:r w:rsidR="00D244B5" w:rsidRPr="0045632D">
              <w:t>unpublished)</w:t>
            </w:r>
            <w:r w:rsidR="00023CD6">
              <w:t>; tables</w:t>
            </w:r>
            <w:r w:rsidR="007D1214">
              <w:t> </w:t>
            </w:r>
            <w:proofErr w:type="spellStart"/>
            <w:r w:rsidR="00023CD6">
              <w:t>17.A.21</w:t>
            </w:r>
            <w:proofErr w:type="spellEnd"/>
            <w:r w:rsidR="00023CD6">
              <w:t xml:space="preserve"> and </w:t>
            </w:r>
            <w:proofErr w:type="spellStart"/>
            <w:r w:rsidR="00023CD6">
              <w:t>17A.58</w:t>
            </w:r>
            <w:proofErr w:type="spellEnd"/>
            <w:r w:rsidRPr="0045632D">
              <w:t>.</w:t>
            </w:r>
          </w:p>
        </w:tc>
      </w:tr>
      <w:tr w:rsidR="00903B4C" w:rsidTr="00604F8C">
        <w:tc>
          <w:tcPr>
            <w:tcW w:w="5000" w:type="pct"/>
            <w:tcBorders>
              <w:top w:val="nil"/>
              <w:left w:val="nil"/>
              <w:bottom w:val="single" w:sz="6" w:space="0" w:color="78A22F"/>
              <w:right w:val="nil"/>
            </w:tcBorders>
            <w:shd w:val="clear" w:color="auto" w:fill="auto"/>
          </w:tcPr>
          <w:p w:rsidR="00903B4C" w:rsidRDefault="00903B4C" w:rsidP="00334F07">
            <w:pPr>
              <w:pStyle w:val="Figurespace"/>
            </w:pPr>
          </w:p>
        </w:tc>
      </w:tr>
      <w:tr w:rsidR="00903B4C" w:rsidRPr="000863A5" w:rsidTr="00604F8C">
        <w:tc>
          <w:tcPr>
            <w:tcW w:w="5000" w:type="pct"/>
            <w:tcBorders>
              <w:top w:val="single" w:sz="6" w:space="0" w:color="78A22F"/>
              <w:left w:val="nil"/>
              <w:bottom w:val="nil"/>
              <w:right w:val="nil"/>
            </w:tcBorders>
          </w:tcPr>
          <w:p w:rsidR="00903B4C" w:rsidRPr="00626D32" w:rsidRDefault="00903B4C" w:rsidP="00334F07">
            <w:pPr>
              <w:pStyle w:val="BoxSpaceBelow"/>
            </w:pPr>
          </w:p>
        </w:tc>
      </w:tr>
    </w:tbl>
    <w:p w:rsidR="0058586C" w:rsidRDefault="007D739D" w:rsidP="001652C4">
      <w:pPr>
        <w:pStyle w:val="BodyText"/>
      </w:pPr>
      <w:r w:rsidRPr="007D739D">
        <w:t>Data on net recurrent cost per dwelling for community housing are reported with a one year lag to allow community housing providers an extra year to collate financial data. Nationally, the net recurrent cost per community housing tenancy for the 2013</w:t>
      </w:r>
      <w:r>
        <w:noBreakHyphen/>
      </w:r>
      <w:r w:rsidRPr="007D739D">
        <w:t xml:space="preserve">14 financial year was $9264 (figure 17.7). Table </w:t>
      </w:r>
      <w:proofErr w:type="spellStart"/>
      <w:r w:rsidRPr="007D739D">
        <w:t>17A.22</w:t>
      </w:r>
      <w:proofErr w:type="spellEnd"/>
      <w:r w:rsidRPr="007D739D">
        <w:t xml:space="preserve"> also contains historical data back to 2005</w:t>
      </w:r>
      <w:r>
        <w:noBreakHyphen/>
      </w:r>
      <w:r w:rsidRPr="007D739D">
        <w:t>06. Capital cost data for community housing are not available for reporting.</w:t>
      </w:r>
    </w:p>
    <w:p w:rsidR="006A1CE2" w:rsidRPr="00AF7C87" w:rsidRDefault="006A1CE2" w:rsidP="006A1CE2">
      <w:pPr>
        <w:pStyle w:val="Heading5"/>
        <w:spacing w:before="0" w:line="240" w:lineRule="auto"/>
        <w:rPr>
          <w:rFonts w:ascii="Calibri" w:hAnsi="Calibri"/>
          <w:i w:val="0"/>
          <w:sz w:val="16"/>
          <w:szCs w:val="16"/>
        </w:rPr>
      </w:pPr>
      <w:r w:rsidRPr="00AF7C87">
        <w:rPr>
          <w:rFonts w:ascii="Calibri" w:hAnsi="Calibri"/>
          <w:i w:val="0"/>
          <w:sz w:val="16"/>
          <w:szCs w:val="16"/>
        </w:rPr>
        <w:lastRenderedPageBreak/>
        <w:t xml:space="preserve">This page has changed since </w:t>
      </w:r>
      <w:r>
        <w:rPr>
          <w:rFonts w:ascii="Calibri" w:hAnsi="Calibri"/>
          <w:i w:val="0"/>
          <w:sz w:val="16"/>
          <w:szCs w:val="16"/>
        </w:rPr>
        <w:t xml:space="preserve">an earlier version of </w:t>
      </w:r>
      <w:r w:rsidRPr="00AF7C87">
        <w:rPr>
          <w:rFonts w:ascii="Calibri" w:hAnsi="Calibri"/>
          <w:i w:val="0"/>
          <w:sz w:val="16"/>
          <w:szCs w:val="16"/>
        </w:rPr>
        <w:t xml:space="preserve">the Report. </w:t>
      </w:r>
      <w:r w:rsidR="00226F73">
        <w:rPr>
          <w:rFonts w:ascii="Calibri" w:hAnsi="Calibri"/>
          <w:i w:val="0"/>
          <w:sz w:val="16"/>
          <w:szCs w:val="16"/>
        </w:rPr>
        <w:br/>
      </w:r>
      <w:r w:rsidRPr="00AF7C87">
        <w:rPr>
          <w:rFonts w:ascii="Calibri" w:hAnsi="Calibri"/>
          <w:i w:val="0"/>
          <w:sz w:val="16"/>
          <w:szCs w:val="16"/>
        </w:rPr>
        <w:t>See errata at www.pc.gov.au/research/recurring/report-on</w:t>
      </w:r>
      <w:r>
        <w:rPr>
          <w:rFonts w:ascii="Calibri" w:hAnsi="Calibri"/>
          <w:i w:val="0"/>
          <w:sz w:val="16"/>
          <w:szCs w:val="16"/>
        </w:rPr>
        <w:noBreakHyphen/>
      </w:r>
      <w:r w:rsidRPr="00AF7C87">
        <w:rPr>
          <w:rFonts w:ascii="Calibri" w:hAnsi="Calibri"/>
          <w:i w:val="0"/>
          <w:sz w:val="16"/>
          <w:szCs w:val="16"/>
        </w:rPr>
        <w:t>government-services/201</w:t>
      </w:r>
      <w:r>
        <w:rPr>
          <w:rFonts w:ascii="Calibri" w:hAnsi="Calibri"/>
          <w:i w:val="0"/>
          <w:sz w:val="16"/>
          <w:szCs w:val="16"/>
        </w:rPr>
        <w:t>6</w:t>
      </w:r>
      <w:r w:rsidRPr="00AF7C87">
        <w:rPr>
          <w:rFonts w:ascii="Calibri" w:hAnsi="Calibri"/>
          <w:i w:val="0"/>
          <w:sz w:val="16"/>
          <w:szCs w:val="16"/>
        </w:rPr>
        <w:t>/housing-and-homelessness</w:t>
      </w:r>
      <w:r>
        <w:rPr>
          <w:rFonts w:ascii="Calibri" w:hAnsi="Calibri"/>
          <w:i w:val="0"/>
          <w:sz w:val="16"/>
          <w:szCs w:val="16"/>
        </w:rPr>
        <w:t>#errata.</w:t>
      </w:r>
    </w:p>
    <w:p w:rsidR="00903B4C" w:rsidRDefault="00903B4C" w:rsidP="00334F07">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shd w:val="clear" w:color="auto" w:fill="FFFFFF" w:themeFill="background1"/>
        <w:tblCellMar>
          <w:left w:w="142" w:type="dxa"/>
          <w:right w:w="142" w:type="dxa"/>
        </w:tblCellMar>
        <w:tblLook w:val="0000" w:firstRow="0" w:lastRow="0" w:firstColumn="0" w:lastColumn="0" w:noHBand="0" w:noVBand="0"/>
      </w:tblPr>
      <w:tblGrid>
        <w:gridCol w:w="8788"/>
      </w:tblGrid>
      <w:tr w:rsidR="00903B4C" w:rsidTr="00B6576C">
        <w:tc>
          <w:tcPr>
            <w:tcW w:w="5000" w:type="pct"/>
            <w:tcBorders>
              <w:top w:val="single" w:sz="6" w:space="0" w:color="78A22F"/>
              <w:left w:val="nil"/>
              <w:bottom w:val="nil"/>
              <w:right w:val="nil"/>
            </w:tcBorders>
            <w:shd w:val="clear" w:color="auto" w:fill="FFFFFF" w:themeFill="background1"/>
          </w:tcPr>
          <w:p w:rsidR="00903B4C" w:rsidRPr="00176D3F" w:rsidRDefault="00903B4C" w:rsidP="007D739D">
            <w:pPr>
              <w:pStyle w:val="FigureTitle"/>
            </w:pPr>
            <w:r w:rsidRPr="00FD1E41">
              <w:rPr>
                <w:b w:val="0"/>
              </w:rPr>
              <w:t>Figure 17.</w:t>
            </w:r>
            <w:r w:rsidR="000B7E98" w:rsidRPr="00FD1E41">
              <w:rPr>
                <w:b w:val="0"/>
              </w:rPr>
              <w:t>7</w:t>
            </w:r>
            <w:r>
              <w:tab/>
            </w:r>
            <w:r w:rsidRPr="00915CFA">
              <w:t xml:space="preserve">Net recurrent cost </w:t>
            </w:r>
            <w:r w:rsidR="00C80C1C" w:rsidRPr="00915CFA">
              <w:t>per tenancy — community housing</w:t>
            </w:r>
            <w:r w:rsidR="00875B08" w:rsidRPr="00915CFA">
              <w:t xml:space="preserve"> </w:t>
            </w:r>
            <w:r w:rsidR="00875B08" w:rsidRPr="00915CFA">
              <w:br/>
            </w:r>
            <w:r w:rsidRPr="00915CFA">
              <w:t>(201</w:t>
            </w:r>
            <w:r w:rsidR="007D739D">
              <w:t>3</w:t>
            </w:r>
            <w:r w:rsidR="007D1214">
              <w:noBreakHyphen/>
            </w:r>
            <w:r w:rsidR="00023CD6" w:rsidRPr="00915CFA">
              <w:t>1</w:t>
            </w:r>
            <w:r w:rsidR="007D739D">
              <w:t>4</w:t>
            </w:r>
            <w:r w:rsidR="00C80C1C" w:rsidRPr="00915CFA">
              <w:t xml:space="preserve"> </w:t>
            </w:r>
            <w:r w:rsidRPr="00915CFA">
              <w:t>dollars)</w:t>
            </w:r>
            <w:r w:rsidRPr="00A11155">
              <w:rPr>
                <w:rStyle w:val="NoteLabel"/>
                <w:b/>
              </w:rPr>
              <w:t>a</w:t>
            </w:r>
            <w:r w:rsidR="00F306D1">
              <w:rPr>
                <w:rStyle w:val="NoteLabel"/>
                <w:b/>
              </w:rPr>
              <w:t>, b</w:t>
            </w:r>
            <w:r w:rsidR="007A6E64">
              <w:rPr>
                <w:rStyle w:val="NoteLabel"/>
                <w:b/>
              </w:rPr>
              <w:t>, c</w:t>
            </w:r>
          </w:p>
        </w:tc>
      </w:tr>
      <w:tr w:rsidR="00903B4C" w:rsidTr="00B6576C">
        <w:tc>
          <w:tcPr>
            <w:tcW w:w="5000" w:type="pct"/>
            <w:tcBorders>
              <w:top w:val="nil"/>
              <w:left w:val="nil"/>
              <w:bottom w:val="nil"/>
              <w:right w:val="nil"/>
            </w:tcBorders>
            <w:shd w:val="clear" w:color="auto" w:fill="FFFFFF" w:themeFill="background1"/>
            <w:tcMar>
              <w:top w:w="28" w:type="dxa"/>
              <w:bottom w:w="28" w:type="dxa"/>
            </w:tcMar>
          </w:tcPr>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504"/>
            </w:tblGrid>
            <w:tr w:rsidR="00903B4C" w:rsidRPr="0045632D" w:rsidTr="00B92118">
              <w:tc>
                <w:tcPr>
                  <w:tcW w:w="5000" w:type="pct"/>
                  <w:tcBorders>
                    <w:top w:val="nil"/>
                    <w:bottom w:val="nil"/>
                  </w:tcBorders>
                </w:tcPr>
                <w:p w:rsidR="00F1759B" w:rsidRPr="0045632D" w:rsidRDefault="007D739D" w:rsidP="00875B08">
                  <w:pPr>
                    <w:pStyle w:val="Figure"/>
                    <w:rPr>
                      <w:highlight w:val="yellow"/>
                    </w:rPr>
                  </w:pPr>
                  <w:r>
                    <w:rPr>
                      <w:noProof/>
                    </w:rPr>
                    <w:drawing>
                      <wp:inline distT="0" distB="0" distL="0" distR="0">
                        <wp:extent cx="5391150" cy="2686050"/>
                        <wp:effectExtent l="0" t="0" r="0" b="0"/>
                        <wp:docPr id="3" name="Picture 3" descr="Figure 17.7 Net recurrent cost per tenancy — community housing &#10;(2014-15 dollar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903B4C" w:rsidRPr="0045632D" w:rsidRDefault="00903B4C" w:rsidP="00334F07">
            <w:pPr>
              <w:pStyle w:val="Figure"/>
              <w:rPr>
                <w:highlight w:val="yellow"/>
              </w:rPr>
            </w:pPr>
          </w:p>
        </w:tc>
      </w:tr>
      <w:tr w:rsidR="00903B4C" w:rsidRPr="00176D3F" w:rsidTr="00B6576C">
        <w:tc>
          <w:tcPr>
            <w:tcW w:w="5000" w:type="pct"/>
            <w:tcBorders>
              <w:top w:val="nil"/>
              <w:left w:val="nil"/>
              <w:bottom w:val="nil"/>
              <w:right w:val="nil"/>
            </w:tcBorders>
            <w:shd w:val="clear" w:color="auto" w:fill="FFFFFF" w:themeFill="background1"/>
          </w:tcPr>
          <w:p w:rsidR="00903B4C" w:rsidRPr="0045632D" w:rsidRDefault="00903B4C" w:rsidP="007D739D">
            <w:pPr>
              <w:pStyle w:val="Note"/>
              <w:rPr>
                <w:highlight w:val="yellow"/>
              </w:rPr>
            </w:pPr>
            <w:r w:rsidRPr="0045632D">
              <w:rPr>
                <w:rStyle w:val="NoteLabel"/>
              </w:rPr>
              <w:t>a</w:t>
            </w:r>
            <w:r w:rsidR="00F36BC4" w:rsidRPr="0045632D">
              <w:t> </w:t>
            </w:r>
            <w:r w:rsidR="00451C44">
              <w:t>See box</w:t>
            </w:r>
            <w:r w:rsidR="007D1214">
              <w:t> </w:t>
            </w:r>
            <w:r w:rsidR="00451C44">
              <w:t>17.9</w:t>
            </w:r>
            <w:r w:rsidR="00B97B8C" w:rsidRPr="0045632D">
              <w:t xml:space="preserve"> and tables</w:t>
            </w:r>
            <w:r w:rsidR="007D1214">
              <w:t> </w:t>
            </w:r>
            <w:proofErr w:type="spellStart"/>
            <w:r w:rsidR="00B97B8C" w:rsidRPr="0045632D">
              <w:t>17A.22</w:t>
            </w:r>
            <w:proofErr w:type="spellEnd"/>
            <w:r w:rsidR="00B97B8C" w:rsidRPr="0045632D">
              <w:t xml:space="preserve"> and </w:t>
            </w:r>
            <w:proofErr w:type="spellStart"/>
            <w:r w:rsidR="00B97B8C" w:rsidRPr="0045632D">
              <w:t>17A.58</w:t>
            </w:r>
            <w:proofErr w:type="spellEnd"/>
            <w:r w:rsidR="00B97B8C" w:rsidRPr="0045632D">
              <w:t xml:space="preserve"> </w:t>
            </w:r>
            <w:r w:rsidR="00AC0EFD">
              <w:t>for detailed definitions, footnotes and caveats.</w:t>
            </w:r>
            <w:r w:rsidR="00B3374B">
              <w:t xml:space="preserve"> </w:t>
            </w:r>
            <w:r w:rsidR="00B3374B">
              <w:rPr>
                <w:rStyle w:val="NoteLabel"/>
              </w:rPr>
              <w:t xml:space="preserve">b </w:t>
            </w:r>
            <w:r w:rsidR="00B3374B" w:rsidRPr="00B3374B">
              <w:t>Data for</w:t>
            </w:r>
            <w:r w:rsidR="00F306D1">
              <w:t xml:space="preserve"> the</w:t>
            </w:r>
            <w:r w:rsidR="00B3374B" w:rsidRPr="00B3374B">
              <w:t xml:space="preserve"> NT not available.</w:t>
            </w:r>
            <w:r w:rsidR="00915CFA">
              <w:t xml:space="preserve"> </w:t>
            </w:r>
            <w:r w:rsidR="00915CFA">
              <w:rPr>
                <w:rStyle w:val="NoteLabel"/>
              </w:rPr>
              <w:t xml:space="preserve">c </w:t>
            </w:r>
            <w:r w:rsidR="00915CFA">
              <w:t>201</w:t>
            </w:r>
            <w:r w:rsidR="007D739D">
              <w:t>3</w:t>
            </w:r>
            <w:r w:rsidR="007D1214">
              <w:noBreakHyphen/>
            </w:r>
            <w:r w:rsidR="00915CFA">
              <w:t>1</w:t>
            </w:r>
            <w:r w:rsidR="007D739D">
              <w:t>4</w:t>
            </w:r>
            <w:r w:rsidR="00915CFA">
              <w:t xml:space="preserve"> data for Tasmania</w:t>
            </w:r>
            <w:r w:rsidR="00915CFA" w:rsidRPr="00B3374B">
              <w:t xml:space="preserve"> not available.</w:t>
            </w:r>
          </w:p>
        </w:tc>
      </w:tr>
      <w:tr w:rsidR="00903B4C" w:rsidRPr="00176D3F" w:rsidTr="00B6576C">
        <w:tc>
          <w:tcPr>
            <w:tcW w:w="5000" w:type="pct"/>
            <w:tcBorders>
              <w:top w:val="nil"/>
              <w:left w:val="nil"/>
              <w:bottom w:val="nil"/>
              <w:right w:val="nil"/>
            </w:tcBorders>
            <w:shd w:val="clear" w:color="auto" w:fill="FFFFFF" w:themeFill="background1"/>
          </w:tcPr>
          <w:p w:rsidR="00B3374B" w:rsidRPr="00B3374B" w:rsidRDefault="00903B4C" w:rsidP="00B3374B">
            <w:pPr>
              <w:pStyle w:val="Source"/>
            </w:pPr>
            <w:r>
              <w:rPr>
                <w:i/>
              </w:rPr>
              <w:t>S</w:t>
            </w:r>
            <w:r w:rsidRPr="00784A05">
              <w:rPr>
                <w:i/>
              </w:rPr>
              <w:t>ource</w:t>
            </w:r>
            <w:r w:rsidRPr="00176D3F">
              <w:t xml:space="preserve">: </w:t>
            </w:r>
            <w:r w:rsidR="00B3374B">
              <w:t>AIHW (unpublished) National Housing Assistance Data Repository; tables</w:t>
            </w:r>
            <w:r w:rsidR="007D1214">
              <w:t> </w:t>
            </w:r>
            <w:proofErr w:type="spellStart"/>
            <w:r w:rsidR="00B3374B">
              <w:t>17A.22</w:t>
            </w:r>
            <w:proofErr w:type="spellEnd"/>
            <w:r w:rsidR="00B3374B">
              <w:t xml:space="preserve"> and </w:t>
            </w:r>
            <w:proofErr w:type="spellStart"/>
            <w:r w:rsidR="00B3374B">
              <w:t>17A.58</w:t>
            </w:r>
            <w:proofErr w:type="spellEnd"/>
            <w:r w:rsidR="00B3374B">
              <w:t>.</w:t>
            </w:r>
          </w:p>
        </w:tc>
      </w:tr>
      <w:tr w:rsidR="00903B4C" w:rsidTr="00B6576C">
        <w:tc>
          <w:tcPr>
            <w:tcW w:w="5000" w:type="pct"/>
            <w:tcBorders>
              <w:top w:val="nil"/>
              <w:left w:val="nil"/>
              <w:bottom w:val="single" w:sz="6" w:space="0" w:color="78A22F"/>
              <w:right w:val="nil"/>
            </w:tcBorders>
            <w:shd w:val="clear" w:color="auto" w:fill="FFFFFF" w:themeFill="background1"/>
          </w:tcPr>
          <w:p w:rsidR="00903B4C" w:rsidRDefault="00903B4C" w:rsidP="00334F07">
            <w:pPr>
              <w:pStyle w:val="Figurespace"/>
            </w:pPr>
          </w:p>
        </w:tc>
      </w:tr>
      <w:tr w:rsidR="00903B4C" w:rsidRPr="000863A5" w:rsidTr="00B6576C">
        <w:tc>
          <w:tcPr>
            <w:tcW w:w="5000" w:type="pct"/>
            <w:tcBorders>
              <w:top w:val="single" w:sz="6" w:space="0" w:color="78A22F"/>
              <w:left w:val="nil"/>
              <w:bottom w:val="nil"/>
              <w:right w:val="nil"/>
            </w:tcBorders>
            <w:shd w:val="clear" w:color="auto" w:fill="FFFFFF" w:themeFill="background1"/>
          </w:tcPr>
          <w:p w:rsidR="00903B4C" w:rsidRPr="00626D32" w:rsidRDefault="00903B4C" w:rsidP="00334F07">
            <w:pPr>
              <w:pStyle w:val="BoxSpaceBelow"/>
            </w:pPr>
          </w:p>
        </w:tc>
      </w:tr>
    </w:tbl>
    <w:p w:rsidR="001135D2" w:rsidRDefault="0058586C" w:rsidP="00DB7801">
      <w:pPr>
        <w:pStyle w:val="BodyText"/>
      </w:pPr>
      <w:r w:rsidRPr="00CC4C1A">
        <w:t xml:space="preserve">Data on net recurrent cost per dwelling for </w:t>
      </w:r>
      <w:proofErr w:type="spellStart"/>
      <w:r>
        <w:t>ICH</w:t>
      </w:r>
      <w:proofErr w:type="spellEnd"/>
      <w:r w:rsidRPr="00CC4C1A">
        <w:t xml:space="preserve"> are reported with a one year lag to allow </w:t>
      </w:r>
      <w:r>
        <w:t xml:space="preserve">Indigenous </w:t>
      </w:r>
      <w:r w:rsidRPr="00CC4C1A">
        <w:t>community housing providers an extra year to collate financial data</w:t>
      </w:r>
      <w:r>
        <w:t xml:space="preserve">. </w:t>
      </w:r>
      <w:r w:rsidR="00DE2220">
        <w:t xml:space="preserve">In </w:t>
      </w:r>
      <w:r w:rsidR="00DE2220" w:rsidRPr="00C0661F">
        <w:t>201</w:t>
      </w:r>
      <w:r w:rsidR="00C0661F" w:rsidRPr="00C0661F">
        <w:t>3</w:t>
      </w:r>
      <w:r w:rsidR="007D1214">
        <w:noBreakHyphen/>
      </w:r>
      <w:r w:rsidR="00C0661F">
        <w:t>14</w:t>
      </w:r>
      <w:r w:rsidR="00DB7801" w:rsidRPr="00DB7801">
        <w:t xml:space="preserve">, the net current costs per </w:t>
      </w:r>
      <w:proofErr w:type="spellStart"/>
      <w:r w:rsidR="00F1759B">
        <w:t>ICH</w:t>
      </w:r>
      <w:proofErr w:type="spellEnd"/>
      <w:r w:rsidR="00DB7801" w:rsidRPr="00DB7801">
        <w:t xml:space="preserve"> dwelling</w:t>
      </w:r>
      <w:r w:rsidR="00A92DA9">
        <w:t xml:space="preserve">, </w:t>
      </w:r>
      <w:r w:rsidR="00DB7801" w:rsidRPr="00DB7801">
        <w:t>for jurisdictions</w:t>
      </w:r>
      <w:r w:rsidR="00A92DA9">
        <w:t xml:space="preserve"> </w:t>
      </w:r>
      <w:r w:rsidR="00DB7801">
        <w:t xml:space="preserve">where the data were </w:t>
      </w:r>
      <w:r w:rsidR="00DB7801" w:rsidRPr="00DB7801">
        <w:t>available</w:t>
      </w:r>
      <w:r w:rsidR="00DB7801">
        <w:t xml:space="preserve">, </w:t>
      </w:r>
      <w:r w:rsidR="00DB7801" w:rsidRPr="00DF6667">
        <w:rPr>
          <w:color w:val="000000" w:themeColor="text1"/>
        </w:rPr>
        <w:t xml:space="preserve">was </w:t>
      </w:r>
      <w:r w:rsidR="00C0661F" w:rsidRPr="00C0661F">
        <w:rPr>
          <w:color w:val="000000" w:themeColor="text1"/>
        </w:rPr>
        <w:t>$</w:t>
      </w:r>
      <w:r w:rsidR="00C0661F">
        <w:rPr>
          <w:color w:val="000000" w:themeColor="text1"/>
        </w:rPr>
        <w:t>8615</w:t>
      </w:r>
      <w:r w:rsidR="00DB7801" w:rsidRPr="00DF6667">
        <w:rPr>
          <w:color w:val="000000" w:themeColor="text1"/>
        </w:rPr>
        <w:t xml:space="preserve"> (table</w:t>
      </w:r>
      <w:r w:rsidR="007D1214">
        <w:rPr>
          <w:color w:val="000000" w:themeColor="text1"/>
        </w:rPr>
        <w:t> </w:t>
      </w:r>
      <w:r w:rsidR="00DD1057">
        <w:t>17.4</w:t>
      </w:r>
      <w:r w:rsidR="00DB7801" w:rsidRPr="00DB7801">
        <w:t>)</w:t>
      </w:r>
      <w:r w:rsidR="006E5DED" w:rsidRPr="00DB7801">
        <w:t>.</w:t>
      </w:r>
      <w:r>
        <w:t xml:space="preserve"> </w:t>
      </w:r>
    </w:p>
    <w:p w:rsidR="00952220" w:rsidRDefault="00952220" w:rsidP="00952220">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shd w:val="clear" w:color="auto" w:fill="FFFFFF" w:themeFill="background1"/>
        <w:tblCellMar>
          <w:left w:w="142" w:type="dxa"/>
          <w:right w:w="142" w:type="dxa"/>
        </w:tblCellMar>
        <w:tblLook w:val="0000" w:firstRow="0" w:lastRow="0" w:firstColumn="0" w:lastColumn="0" w:noHBand="0" w:noVBand="0"/>
      </w:tblPr>
      <w:tblGrid>
        <w:gridCol w:w="8771"/>
      </w:tblGrid>
      <w:tr w:rsidR="00952220" w:rsidTr="00E62304">
        <w:tc>
          <w:tcPr>
            <w:tcW w:w="8771" w:type="dxa"/>
            <w:tcBorders>
              <w:top w:val="single" w:sz="6" w:space="0" w:color="78A22F"/>
              <w:left w:val="nil"/>
              <w:bottom w:val="nil"/>
              <w:right w:val="nil"/>
            </w:tcBorders>
            <w:shd w:val="clear" w:color="auto" w:fill="FFFFFF" w:themeFill="background1"/>
          </w:tcPr>
          <w:p w:rsidR="00952220" w:rsidRDefault="00952220" w:rsidP="00490A13">
            <w:pPr>
              <w:pStyle w:val="TableTitle"/>
            </w:pPr>
            <w:r>
              <w:rPr>
                <w:b w:val="0"/>
              </w:rPr>
              <w:t>Table</w:t>
            </w:r>
            <w:r w:rsidR="00CB5252">
              <w:rPr>
                <w:b w:val="0"/>
              </w:rPr>
              <w:t xml:space="preserve"> 17.4</w:t>
            </w:r>
            <w:r>
              <w:tab/>
              <w:t>Net recurrent cost per dwelling (excluding the cost of capital)</w:t>
            </w:r>
          </w:p>
          <w:p w:rsidR="00952220" w:rsidRPr="007D4072" w:rsidRDefault="00F1759B" w:rsidP="00952220">
            <w:pPr>
              <w:pStyle w:val="Subtitle"/>
              <w:numPr>
                <w:ilvl w:val="0"/>
                <w:numId w:val="34"/>
              </w:numPr>
              <w:rPr>
                <w:b/>
              </w:rPr>
            </w:pPr>
            <w:proofErr w:type="spellStart"/>
            <w:r>
              <w:rPr>
                <w:b/>
                <w:sz w:val="24"/>
              </w:rPr>
              <w:t>ICH</w:t>
            </w:r>
            <w:proofErr w:type="spellEnd"/>
            <w:r w:rsidR="00952220" w:rsidRPr="007D4072">
              <w:rPr>
                <w:b/>
                <w:sz w:val="24"/>
              </w:rPr>
              <w:t xml:space="preserve"> (2013</w:t>
            </w:r>
            <w:r w:rsidR="00952220" w:rsidRPr="007D4072">
              <w:rPr>
                <w:b/>
                <w:sz w:val="24"/>
              </w:rPr>
              <w:noBreakHyphen/>
              <w:t>14 dollars)</w:t>
            </w:r>
            <w:r w:rsidR="00952220" w:rsidRPr="007D4072">
              <w:rPr>
                <w:rStyle w:val="NoteLabel"/>
              </w:rPr>
              <w:t>a</w:t>
            </w:r>
          </w:p>
        </w:tc>
      </w:tr>
      <w:tr w:rsidR="00952220" w:rsidTr="00E62304">
        <w:trPr>
          <w:cantSplit/>
        </w:trPr>
        <w:tc>
          <w:tcPr>
            <w:tcW w:w="8771" w:type="dxa"/>
            <w:tcBorders>
              <w:top w:val="nil"/>
              <w:left w:val="nil"/>
              <w:bottom w:val="nil"/>
              <w:right w:val="nil"/>
            </w:tcBorders>
            <w:shd w:val="clear" w:color="auto" w:fill="FFFFFF" w:themeFill="background1"/>
          </w:tcPr>
          <w:tbl>
            <w:tblPr>
              <w:tblW w:w="5000" w:type="pct"/>
              <w:tblCellMar>
                <w:top w:w="28" w:type="dxa"/>
                <w:left w:w="0" w:type="dxa"/>
                <w:right w:w="0" w:type="dxa"/>
              </w:tblCellMar>
              <w:tblLook w:val="0000" w:firstRow="0" w:lastRow="0" w:firstColumn="0" w:lastColumn="0" w:noHBand="0" w:noVBand="0"/>
            </w:tblPr>
            <w:tblGrid>
              <w:gridCol w:w="858"/>
              <w:gridCol w:w="857"/>
              <w:gridCol w:w="854"/>
              <w:gridCol w:w="855"/>
              <w:gridCol w:w="854"/>
              <w:gridCol w:w="855"/>
              <w:gridCol w:w="854"/>
              <w:gridCol w:w="855"/>
              <w:gridCol w:w="854"/>
              <w:gridCol w:w="791"/>
            </w:tblGrid>
            <w:tr w:rsidR="006B60EB" w:rsidTr="00E62304">
              <w:tc>
                <w:tcPr>
                  <w:tcW w:w="505" w:type="pct"/>
                  <w:tcBorders>
                    <w:top w:val="single" w:sz="6" w:space="0" w:color="BFBFBF"/>
                    <w:bottom w:val="single" w:sz="6" w:space="0" w:color="BFBFBF"/>
                  </w:tcBorders>
                  <w:shd w:val="clear" w:color="auto" w:fill="auto"/>
                  <w:tcMar>
                    <w:top w:w="28" w:type="dxa"/>
                  </w:tcMar>
                </w:tcPr>
                <w:p w:rsidR="006B60EB" w:rsidRDefault="006B60EB" w:rsidP="00490A13">
                  <w:pPr>
                    <w:pStyle w:val="TableColumnHeading"/>
                    <w:ind w:right="28"/>
                    <w:jc w:val="left"/>
                  </w:pPr>
                </w:p>
              </w:tc>
              <w:tc>
                <w:tcPr>
                  <w:tcW w:w="505" w:type="pct"/>
                  <w:tcBorders>
                    <w:top w:val="single" w:sz="6" w:space="0" w:color="BFBFBF"/>
                    <w:bottom w:val="single" w:sz="6" w:space="0" w:color="BFBFBF"/>
                  </w:tcBorders>
                  <w:shd w:val="clear" w:color="auto" w:fill="auto"/>
                </w:tcPr>
                <w:p w:rsidR="006B60EB" w:rsidRDefault="006B60EB" w:rsidP="00490A13">
                  <w:pPr>
                    <w:pStyle w:val="TableColumnHeading"/>
                    <w:ind w:right="28"/>
                  </w:pPr>
                  <w:r>
                    <w:t>NSW</w:t>
                  </w:r>
                </w:p>
              </w:tc>
              <w:tc>
                <w:tcPr>
                  <w:tcW w:w="503" w:type="pct"/>
                  <w:tcBorders>
                    <w:top w:val="single" w:sz="6" w:space="0" w:color="BFBFBF"/>
                    <w:bottom w:val="single" w:sz="6" w:space="0" w:color="BFBFBF"/>
                  </w:tcBorders>
                  <w:shd w:val="clear" w:color="auto" w:fill="auto"/>
                </w:tcPr>
                <w:p w:rsidR="006B60EB" w:rsidRDefault="006B60EB" w:rsidP="00490A13">
                  <w:pPr>
                    <w:pStyle w:val="TableColumnHeading"/>
                    <w:ind w:right="28"/>
                  </w:pPr>
                  <w:r>
                    <w:t>Vic</w:t>
                  </w:r>
                </w:p>
              </w:tc>
              <w:tc>
                <w:tcPr>
                  <w:tcW w:w="504" w:type="pct"/>
                  <w:tcBorders>
                    <w:top w:val="single" w:sz="6" w:space="0" w:color="BFBFBF"/>
                    <w:bottom w:val="single" w:sz="6" w:space="0" w:color="BFBFBF"/>
                  </w:tcBorders>
                  <w:shd w:val="clear" w:color="auto" w:fill="auto"/>
                </w:tcPr>
                <w:p w:rsidR="006B60EB" w:rsidRDefault="006B60EB" w:rsidP="00490A13">
                  <w:pPr>
                    <w:pStyle w:val="TableColumnHeading"/>
                    <w:ind w:right="28"/>
                  </w:pPr>
                  <w:r>
                    <w:t>Qld</w:t>
                  </w:r>
                </w:p>
              </w:tc>
              <w:tc>
                <w:tcPr>
                  <w:tcW w:w="503" w:type="pct"/>
                  <w:tcBorders>
                    <w:top w:val="single" w:sz="6" w:space="0" w:color="BFBFBF"/>
                    <w:bottom w:val="single" w:sz="6" w:space="0" w:color="BFBFBF"/>
                  </w:tcBorders>
                  <w:shd w:val="clear" w:color="auto" w:fill="auto"/>
                </w:tcPr>
                <w:p w:rsidR="006B60EB" w:rsidRDefault="006B60EB" w:rsidP="00490A13">
                  <w:pPr>
                    <w:pStyle w:val="TableColumnHeading"/>
                    <w:ind w:right="28"/>
                  </w:pPr>
                  <w:r>
                    <w:t>WA</w:t>
                  </w:r>
                </w:p>
              </w:tc>
              <w:tc>
                <w:tcPr>
                  <w:tcW w:w="504" w:type="pct"/>
                  <w:tcBorders>
                    <w:top w:val="single" w:sz="6" w:space="0" w:color="BFBFBF"/>
                    <w:bottom w:val="single" w:sz="6" w:space="0" w:color="BFBFBF"/>
                  </w:tcBorders>
                  <w:shd w:val="clear" w:color="auto" w:fill="auto"/>
                </w:tcPr>
                <w:p w:rsidR="006B60EB" w:rsidRDefault="006B60EB" w:rsidP="00490A13">
                  <w:pPr>
                    <w:pStyle w:val="TableColumnHeading"/>
                    <w:ind w:right="28"/>
                  </w:pPr>
                  <w:r>
                    <w:t>SA</w:t>
                  </w:r>
                </w:p>
              </w:tc>
              <w:tc>
                <w:tcPr>
                  <w:tcW w:w="503" w:type="pct"/>
                  <w:tcBorders>
                    <w:top w:val="single" w:sz="6" w:space="0" w:color="BFBFBF"/>
                    <w:bottom w:val="single" w:sz="6" w:space="0" w:color="BFBFBF"/>
                  </w:tcBorders>
                  <w:shd w:val="clear" w:color="auto" w:fill="auto"/>
                </w:tcPr>
                <w:p w:rsidR="006B60EB" w:rsidRDefault="006B60EB" w:rsidP="00490A13">
                  <w:pPr>
                    <w:pStyle w:val="TableColumnHeading"/>
                    <w:ind w:right="28"/>
                  </w:pPr>
                  <w:r>
                    <w:t>Tas</w:t>
                  </w:r>
                </w:p>
              </w:tc>
              <w:tc>
                <w:tcPr>
                  <w:tcW w:w="504" w:type="pct"/>
                  <w:tcBorders>
                    <w:top w:val="single" w:sz="6" w:space="0" w:color="BFBFBF"/>
                    <w:bottom w:val="single" w:sz="6" w:space="0" w:color="BFBFBF"/>
                  </w:tcBorders>
                  <w:shd w:val="clear" w:color="auto" w:fill="auto"/>
                </w:tcPr>
                <w:p w:rsidR="006B60EB" w:rsidRDefault="006B60EB" w:rsidP="00490A13">
                  <w:pPr>
                    <w:pStyle w:val="TableColumnHeading"/>
                    <w:ind w:right="28"/>
                  </w:pPr>
                  <w:r>
                    <w:t>ACT</w:t>
                  </w:r>
                </w:p>
              </w:tc>
              <w:tc>
                <w:tcPr>
                  <w:tcW w:w="503" w:type="pct"/>
                  <w:tcBorders>
                    <w:top w:val="single" w:sz="6" w:space="0" w:color="BFBFBF"/>
                    <w:bottom w:val="single" w:sz="6" w:space="0" w:color="BFBFBF"/>
                  </w:tcBorders>
                  <w:shd w:val="clear" w:color="auto" w:fill="auto"/>
                </w:tcPr>
                <w:p w:rsidR="006B60EB" w:rsidRPr="00E62304" w:rsidRDefault="006B60EB" w:rsidP="00490A13">
                  <w:pPr>
                    <w:pStyle w:val="TableColumnHeading"/>
                    <w:ind w:right="28"/>
                  </w:pPr>
                  <w:r w:rsidRPr="00E62304">
                    <w:t>NT</w:t>
                  </w:r>
                </w:p>
              </w:tc>
              <w:tc>
                <w:tcPr>
                  <w:tcW w:w="466" w:type="pct"/>
                  <w:tcBorders>
                    <w:top w:val="single" w:sz="6" w:space="0" w:color="BFBFBF"/>
                    <w:bottom w:val="single" w:sz="6" w:space="0" w:color="BFBFBF"/>
                  </w:tcBorders>
                  <w:shd w:val="clear" w:color="auto" w:fill="auto"/>
                </w:tcPr>
                <w:p w:rsidR="006B60EB" w:rsidRPr="00E62304" w:rsidRDefault="006B60EB" w:rsidP="00490A13">
                  <w:pPr>
                    <w:pStyle w:val="TableColumnHeading"/>
                    <w:ind w:right="28"/>
                    <w:rPr>
                      <w:color w:val="FF0000"/>
                    </w:rPr>
                  </w:pPr>
                  <w:r w:rsidRPr="00E62304">
                    <w:t>Aust</w:t>
                  </w:r>
                </w:p>
              </w:tc>
            </w:tr>
            <w:tr w:rsidR="006B60EB" w:rsidTr="00E62304">
              <w:tc>
                <w:tcPr>
                  <w:tcW w:w="505" w:type="pct"/>
                  <w:tcBorders>
                    <w:top w:val="single" w:sz="6" w:space="0" w:color="BFBFBF"/>
                  </w:tcBorders>
                  <w:shd w:val="clear" w:color="auto" w:fill="auto"/>
                </w:tcPr>
                <w:p w:rsidR="006B60EB" w:rsidRDefault="006B60EB" w:rsidP="00490A13">
                  <w:pPr>
                    <w:pStyle w:val="TableUnitsRow"/>
                    <w:ind w:right="28"/>
                    <w:jc w:val="left"/>
                  </w:pPr>
                  <w:r>
                    <w:t>2013</w:t>
                  </w:r>
                  <w:r w:rsidR="007D1214">
                    <w:noBreakHyphen/>
                  </w:r>
                  <w:r>
                    <w:t>14</w:t>
                  </w:r>
                </w:p>
              </w:tc>
              <w:tc>
                <w:tcPr>
                  <w:tcW w:w="505" w:type="pct"/>
                  <w:tcBorders>
                    <w:top w:val="single" w:sz="6" w:space="0" w:color="BFBFBF"/>
                  </w:tcBorders>
                  <w:shd w:val="clear" w:color="auto" w:fill="auto"/>
                </w:tcPr>
                <w:p w:rsidR="006B60EB" w:rsidRDefault="006B60EB" w:rsidP="00490A13">
                  <w:pPr>
                    <w:pStyle w:val="TableUnitsRow"/>
                    <w:ind w:right="28"/>
                  </w:pPr>
                  <w:r>
                    <w:t>4 052</w:t>
                  </w:r>
                </w:p>
              </w:tc>
              <w:tc>
                <w:tcPr>
                  <w:tcW w:w="503" w:type="pct"/>
                  <w:tcBorders>
                    <w:top w:val="single" w:sz="6" w:space="0" w:color="BFBFBF"/>
                  </w:tcBorders>
                  <w:shd w:val="clear" w:color="auto" w:fill="auto"/>
                </w:tcPr>
                <w:p w:rsidR="006B60EB" w:rsidRDefault="006B60EB" w:rsidP="00490A13">
                  <w:pPr>
                    <w:pStyle w:val="TableUnitsRow"/>
                    <w:ind w:right="28"/>
                  </w:pPr>
                  <w:r>
                    <w:t>7 792</w:t>
                  </w:r>
                </w:p>
              </w:tc>
              <w:tc>
                <w:tcPr>
                  <w:tcW w:w="504" w:type="pct"/>
                  <w:tcBorders>
                    <w:top w:val="single" w:sz="6" w:space="0" w:color="BFBFBF"/>
                  </w:tcBorders>
                  <w:shd w:val="clear" w:color="auto" w:fill="auto"/>
                </w:tcPr>
                <w:p w:rsidR="006B60EB" w:rsidRDefault="006B60EB" w:rsidP="00490A13">
                  <w:pPr>
                    <w:pStyle w:val="TableUnitsRow"/>
                    <w:ind w:right="28"/>
                  </w:pPr>
                  <w:r>
                    <w:t>9 544</w:t>
                  </w:r>
                </w:p>
              </w:tc>
              <w:tc>
                <w:tcPr>
                  <w:tcW w:w="503" w:type="pct"/>
                  <w:tcBorders>
                    <w:top w:val="single" w:sz="6" w:space="0" w:color="BFBFBF"/>
                  </w:tcBorders>
                  <w:shd w:val="clear" w:color="auto" w:fill="auto"/>
                </w:tcPr>
                <w:p w:rsidR="006B60EB" w:rsidRDefault="006B60EB" w:rsidP="00490A13">
                  <w:pPr>
                    <w:pStyle w:val="TableUnitsRow"/>
                    <w:ind w:right="28"/>
                  </w:pPr>
                  <w:r>
                    <w:t>10 353</w:t>
                  </w:r>
                </w:p>
              </w:tc>
              <w:tc>
                <w:tcPr>
                  <w:tcW w:w="504" w:type="pct"/>
                  <w:tcBorders>
                    <w:top w:val="single" w:sz="6" w:space="0" w:color="BFBFBF"/>
                  </w:tcBorders>
                  <w:shd w:val="clear" w:color="auto" w:fill="auto"/>
                </w:tcPr>
                <w:p w:rsidR="006B60EB" w:rsidRDefault="006B60EB" w:rsidP="00490A13">
                  <w:pPr>
                    <w:pStyle w:val="TableUnitsRow"/>
                    <w:ind w:right="28"/>
                  </w:pPr>
                  <w:r>
                    <w:t>na</w:t>
                  </w:r>
                </w:p>
              </w:tc>
              <w:tc>
                <w:tcPr>
                  <w:tcW w:w="503" w:type="pct"/>
                  <w:tcBorders>
                    <w:top w:val="single" w:sz="6" w:space="0" w:color="BFBFBF"/>
                  </w:tcBorders>
                  <w:shd w:val="clear" w:color="auto" w:fill="auto"/>
                </w:tcPr>
                <w:p w:rsidR="006B60EB" w:rsidRDefault="006B60EB" w:rsidP="00490A13">
                  <w:pPr>
                    <w:pStyle w:val="TableUnitsRow"/>
                    <w:ind w:right="28"/>
                  </w:pPr>
                  <w:r>
                    <w:t>3 792</w:t>
                  </w:r>
                </w:p>
              </w:tc>
              <w:tc>
                <w:tcPr>
                  <w:tcW w:w="504" w:type="pct"/>
                  <w:tcBorders>
                    <w:top w:val="single" w:sz="6" w:space="0" w:color="BFBFBF"/>
                  </w:tcBorders>
                  <w:shd w:val="clear" w:color="auto" w:fill="auto"/>
                </w:tcPr>
                <w:p w:rsidR="006B60EB" w:rsidRDefault="006B60EB" w:rsidP="00490A13">
                  <w:pPr>
                    <w:pStyle w:val="TableUnitsRow"/>
                    <w:ind w:right="28"/>
                  </w:pPr>
                  <w:r>
                    <w:t>..</w:t>
                  </w:r>
                </w:p>
              </w:tc>
              <w:tc>
                <w:tcPr>
                  <w:tcW w:w="503" w:type="pct"/>
                  <w:tcBorders>
                    <w:top w:val="single" w:sz="6" w:space="0" w:color="BFBFBF"/>
                  </w:tcBorders>
                  <w:shd w:val="clear" w:color="auto" w:fill="auto"/>
                </w:tcPr>
                <w:p w:rsidR="006B60EB" w:rsidRDefault="006B60EB" w:rsidP="00490A13">
                  <w:pPr>
                    <w:pStyle w:val="TableUnitsRow"/>
                    <w:ind w:right="28"/>
                  </w:pPr>
                  <w:r>
                    <w:t>na</w:t>
                  </w:r>
                </w:p>
              </w:tc>
              <w:tc>
                <w:tcPr>
                  <w:tcW w:w="466" w:type="pct"/>
                  <w:tcBorders>
                    <w:top w:val="single" w:sz="6" w:space="0" w:color="BFBFBF"/>
                  </w:tcBorders>
                  <w:shd w:val="clear" w:color="auto" w:fill="auto"/>
                </w:tcPr>
                <w:p w:rsidR="006B60EB" w:rsidRDefault="006B60EB" w:rsidP="00490A13">
                  <w:pPr>
                    <w:pStyle w:val="TableUnitsRow"/>
                    <w:ind w:right="28"/>
                  </w:pPr>
                  <w:r>
                    <w:t>8 615</w:t>
                  </w:r>
                </w:p>
              </w:tc>
            </w:tr>
            <w:tr w:rsidR="006B60EB" w:rsidTr="00E62304">
              <w:tc>
                <w:tcPr>
                  <w:tcW w:w="505" w:type="pct"/>
                  <w:shd w:val="clear" w:color="auto" w:fill="auto"/>
                </w:tcPr>
                <w:p w:rsidR="006B60EB" w:rsidRDefault="006B60EB" w:rsidP="00490A13">
                  <w:pPr>
                    <w:pStyle w:val="TableBodyText"/>
                    <w:ind w:right="28"/>
                    <w:jc w:val="left"/>
                  </w:pPr>
                  <w:r>
                    <w:t>2012</w:t>
                  </w:r>
                  <w:r w:rsidR="007D1214">
                    <w:noBreakHyphen/>
                  </w:r>
                  <w:r>
                    <w:t>13</w:t>
                  </w:r>
                </w:p>
              </w:tc>
              <w:tc>
                <w:tcPr>
                  <w:tcW w:w="505" w:type="pct"/>
                  <w:shd w:val="clear" w:color="auto" w:fill="auto"/>
                </w:tcPr>
                <w:p w:rsidR="006B60EB" w:rsidRDefault="006B60EB" w:rsidP="00490A13">
                  <w:pPr>
                    <w:pStyle w:val="TableBodyText"/>
                    <w:ind w:right="28"/>
                  </w:pPr>
                  <w:r>
                    <w:t>7 963</w:t>
                  </w:r>
                </w:p>
              </w:tc>
              <w:tc>
                <w:tcPr>
                  <w:tcW w:w="503" w:type="pct"/>
                  <w:shd w:val="clear" w:color="auto" w:fill="auto"/>
                </w:tcPr>
                <w:p w:rsidR="006B60EB" w:rsidRDefault="006B60EB" w:rsidP="00490A13">
                  <w:pPr>
                    <w:pStyle w:val="TableBodyText"/>
                    <w:ind w:right="28"/>
                  </w:pPr>
                  <w:r>
                    <w:t>7 791</w:t>
                  </w:r>
                </w:p>
              </w:tc>
              <w:tc>
                <w:tcPr>
                  <w:tcW w:w="504" w:type="pct"/>
                  <w:shd w:val="clear" w:color="auto" w:fill="auto"/>
                </w:tcPr>
                <w:p w:rsidR="006B60EB" w:rsidRDefault="006B60EB" w:rsidP="00490A13">
                  <w:pPr>
                    <w:pStyle w:val="TableBodyText"/>
                    <w:ind w:right="28"/>
                  </w:pPr>
                  <w:r>
                    <w:t>6 293</w:t>
                  </w:r>
                </w:p>
              </w:tc>
              <w:tc>
                <w:tcPr>
                  <w:tcW w:w="503" w:type="pct"/>
                  <w:shd w:val="clear" w:color="auto" w:fill="auto"/>
                </w:tcPr>
                <w:p w:rsidR="006B60EB" w:rsidRDefault="006B60EB" w:rsidP="00490A13">
                  <w:pPr>
                    <w:pStyle w:val="TableBodyText"/>
                    <w:ind w:right="28"/>
                  </w:pPr>
                  <w:r>
                    <w:t>10 602</w:t>
                  </w:r>
                </w:p>
              </w:tc>
              <w:tc>
                <w:tcPr>
                  <w:tcW w:w="504" w:type="pct"/>
                  <w:shd w:val="clear" w:color="auto" w:fill="auto"/>
                </w:tcPr>
                <w:p w:rsidR="006B60EB" w:rsidRDefault="006B60EB" w:rsidP="00490A13">
                  <w:pPr>
                    <w:pStyle w:val="TableBodyText"/>
                    <w:ind w:right="28"/>
                  </w:pPr>
                  <w:r>
                    <w:t>na</w:t>
                  </w:r>
                </w:p>
              </w:tc>
              <w:tc>
                <w:tcPr>
                  <w:tcW w:w="503" w:type="pct"/>
                  <w:shd w:val="clear" w:color="auto" w:fill="auto"/>
                </w:tcPr>
                <w:p w:rsidR="006B60EB" w:rsidRDefault="006B60EB" w:rsidP="00490A13">
                  <w:pPr>
                    <w:pStyle w:val="TableBodyText"/>
                    <w:ind w:right="28"/>
                  </w:pPr>
                  <w:r>
                    <w:t>10 025</w:t>
                  </w:r>
                </w:p>
              </w:tc>
              <w:tc>
                <w:tcPr>
                  <w:tcW w:w="504" w:type="pct"/>
                  <w:shd w:val="clear" w:color="auto" w:fill="auto"/>
                </w:tcPr>
                <w:p w:rsidR="006B60EB" w:rsidRDefault="006B60EB" w:rsidP="00490A13">
                  <w:pPr>
                    <w:pStyle w:val="TableBodyText"/>
                    <w:ind w:right="28"/>
                  </w:pPr>
                  <w:r>
                    <w:t>...</w:t>
                  </w:r>
                </w:p>
              </w:tc>
              <w:tc>
                <w:tcPr>
                  <w:tcW w:w="503" w:type="pct"/>
                  <w:shd w:val="clear" w:color="auto" w:fill="auto"/>
                </w:tcPr>
                <w:p w:rsidR="006B60EB" w:rsidRDefault="006B60EB" w:rsidP="00490A13">
                  <w:pPr>
                    <w:pStyle w:val="TableBodyText"/>
                    <w:ind w:right="28"/>
                  </w:pPr>
                  <w:r>
                    <w:t>na</w:t>
                  </w:r>
                </w:p>
              </w:tc>
              <w:tc>
                <w:tcPr>
                  <w:tcW w:w="466" w:type="pct"/>
                  <w:shd w:val="clear" w:color="auto" w:fill="auto"/>
                </w:tcPr>
                <w:p w:rsidR="006B60EB" w:rsidRDefault="006B60EB" w:rsidP="00490A13">
                  <w:pPr>
                    <w:pStyle w:val="TableBodyText"/>
                    <w:ind w:right="28"/>
                  </w:pPr>
                  <w:r>
                    <w:t>7 852</w:t>
                  </w:r>
                </w:p>
              </w:tc>
            </w:tr>
            <w:tr w:rsidR="006B60EB" w:rsidTr="006B60EB">
              <w:tc>
                <w:tcPr>
                  <w:tcW w:w="505" w:type="pct"/>
                  <w:shd w:val="clear" w:color="auto" w:fill="auto"/>
                </w:tcPr>
                <w:p w:rsidR="006B60EB" w:rsidRDefault="006B60EB" w:rsidP="00490A13">
                  <w:pPr>
                    <w:pStyle w:val="TableBodyText"/>
                    <w:ind w:right="28"/>
                    <w:jc w:val="left"/>
                  </w:pPr>
                  <w:r>
                    <w:t>2011</w:t>
                  </w:r>
                  <w:r w:rsidR="007D1214">
                    <w:noBreakHyphen/>
                  </w:r>
                  <w:r>
                    <w:t>12</w:t>
                  </w:r>
                </w:p>
              </w:tc>
              <w:tc>
                <w:tcPr>
                  <w:tcW w:w="505" w:type="pct"/>
                  <w:shd w:val="clear" w:color="auto" w:fill="auto"/>
                </w:tcPr>
                <w:p w:rsidR="006B60EB" w:rsidRDefault="006B60EB" w:rsidP="00490A13">
                  <w:pPr>
                    <w:pStyle w:val="TableBodyText"/>
                    <w:ind w:right="28"/>
                  </w:pPr>
                  <w:r>
                    <w:t>10 118</w:t>
                  </w:r>
                </w:p>
              </w:tc>
              <w:tc>
                <w:tcPr>
                  <w:tcW w:w="503" w:type="pct"/>
                  <w:shd w:val="clear" w:color="auto" w:fill="auto"/>
                </w:tcPr>
                <w:p w:rsidR="006B60EB" w:rsidRDefault="006B60EB" w:rsidP="00490A13">
                  <w:pPr>
                    <w:pStyle w:val="TableBodyText"/>
                    <w:ind w:right="28"/>
                  </w:pPr>
                  <w:r>
                    <w:t>6 596</w:t>
                  </w:r>
                </w:p>
              </w:tc>
              <w:tc>
                <w:tcPr>
                  <w:tcW w:w="504" w:type="pct"/>
                  <w:shd w:val="clear" w:color="auto" w:fill="auto"/>
                </w:tcPr>
                <w:p w:rsidR="006B60EB" w:rsidRDefault="006B60EB" w:rsidP="00490A13">
                  <w:pPr>
                    <w:pStyle w:val="TableBodyText"/>
                    <w:ind w:right="28"/>
                  </w:pPr>
                  <w:r>
                    <w:t>6 544</w:t>
                  </w:r>
                </w:p>
              </w:tc>
              <w:tc>
                <w:tcPr>
                  <w:tcW w:w="503" w:type="pct"/>
                  <w:shd w:val="clear" w:color="auto" w:fill="auto"/>
                </w:tcPr>
                <w:p w:rsidR="006B60EB" w:rsidRDefault="006B60EB" w:rsidP="00490A13">
                  <w:pPr>
                    <w:pStyle w:val="TableBodyText"/>
                    <w:ind w:right="28"/>
                  </w:pPr>
                  <w:r>
                    <w:t>9 625</w:t>
                  </w:r>
                </w:p>
              </w:tc>
              <w:tc>
                <w:tcPr>
                  <w:tcW w:w="504" w:type="pct"/>
                  <w:shd w:val="clear" w:color="auto" w:fill="auto"/>
                </w:tcPr>
                <w:p w:rsidR="006B60EB" w:rsidRDefault="006B60EB" w:rsidP="00490A13">
                  <w:pPr>
                    <w:pStyle w:val="TableBodyText"/>
                    <w:ind w:right="28"/>
                  </w:pPr>
                  <w:r>
                    <w:t>na</w:t>
                  </w:r>
                </w:p>
              </w:tc>
              <w:tc>
                <w:tcPr>
                  <w:tcW w:w="503" w:type="pct"/>
                  <w:shd w:val="clear" w:color="auto" w:fill="auto"/>
                </w:tcPr>
                <w:p w:rsidR="006B60EB" w:rsidRDefault="006B60EB" w:rsidP="00490A13">
                  <w:pPr>
                    <w:pStyle w:val="TableBodyText"/>
                    <w:ind w:right="28"/>
                  </w:pPr>
                  <w:r>
                    <w:t>9 515</w:t>
                  </w:r>
                </w:p>
              </w:tc>
              <w:tc>
                <w:tcPr>
                  <w:tcW w:w="504" w:type="pct"/>
                  <w:shd w:val="clear" w:color="auto" w:fill="auto"/>
                </w:tcPr>
                <w:p w:rsidR="006B60EB" w:rsidRDefault="006B60EB" w:rsidP="00490A13">
                  <w:pPr>
                    <w:pStyle w:val="TableBodyText"/>
                    <w:ind w:right="28"/>
                  </w:pPr>
                  <w:r>
                    <w:t>na</w:t>
                  </w:r>
                </w:p>
              </w:tc>
              <w:tc>
                <w:tcPr>
                  <w:tcW w:w="503" w:type="pct"/>
                  <w:shd w:val="clear" w:color="auto" w:fill="auto"/>
                </w:tcPr>
                <w:p w:rsidR="006B60EB" w:rsidRDefault="006B60EB" w:rsidP="00490A13">
                  <w:pPr>
                    <w:pStyle w:val="TableBodyText"/>
                    <w:ind w:right="28"/>
                  </w:pPr>
                  <w:r>
                    <w:t>na</w:t>
                  </w:r>
                </w:p>
              </w:tc>
              <w:tc>
                <w:tcPr>
                  <w:tcW w:w="466" w:type="pct"/>
                  <w:shd w:val="clear" w:color="auto" w:fill="auto"/>
                </w:tcPr>
                <w:p w:rsidR="006B60EB" w:rsidRDefault="006B60EB" w:rsidP="00490A13">
                  <w:pPr>
                    <w:pStyle w:val="TableBodyText"/>
                    <w:ind w:right="28"/>
                  </w:pPr>
                  <w:r>
                    <w:t>8 182</w:t>
                  </w:r>
                </w:p>
              </w:tc>
            </w:tr>
            <w:tr w:rsidR="006B60EB" w:rsidTr="006B60EB">
              <w:tc>
                <w:tcPr>
                  <w:tcW w:w="505" w:type="pct"/>
                  <w:shd w:val="clear" w:color="auto" w:fill="auto"/>
                </w:tcPr>
                <w:p w:rsidR="006B60EB" w:rsidRDefault="006B60EB" w:rsidP="00490A13">
                  <w:pPr>
                    <w:pStyle w:val="TableBodyText"/>
                    <w:ind w:right="28"/>
                    <w:jc w:val="left"/>
                  </w:pPr>
                  <w:r>
                    <w:t>2010</w:t>
                  </w:r>
                  <w:r w:rsidR="007D1214">
                    <w:noBreakHyphen/>
                  </w:r>
                  <w:r>
                    <w:t>11</w:t>
                  </w:r>
                </w:p>
              </w:tc>
              <w:tc>
                <w:tcPr>
                  <w:tcW w:w="505" w:type="pct"/>
                  <w:shd w:val="clear" w:color="auto" w:fill="auto"/>
                </w:tcPr>
                <w:p w:rsidR="006B60EB" w:rsidRDefault="006B60EB" w:rsidP="00490A13">
                  <w:pPr>
                    <w:pStyle w:val="TableBodyText"/>
                    <w:ind w:right="28"/>
                  </w:pPr>
                  <w:r>
                    <w:t>11 111</w:t>
                  </w:r>
                </w:p>
              </w:tc>
              <w:tc>
                <w:tcPr>
                  <w:tcW w:w="503" w:type="pct"/>
                  <w:shd w:val="clear" w:color="auto" w:fill="auto"/>
                </w:tcPr>
                <w:p w:rsidR="006B60EB" w:rsidRDefault="006B60EB" w:rsidP="00490A13">
                  <w:pPr>
                    <w:pStyle w:val="TableBodyText"/>
                    <w:ind w:right="28"/>
                  </w:pPr>
                  <w:r>
                    <w:t>5 059</w:t>
                  </w:r>
                </w:p>
              </w:tc>
              <w:tc>
                <w:tcPr>
                  <w:tcW w:w="504" w:type="pct"/>
                  <w:shd w:val="clear" w:color="auto" w:fill="auto"/>
                </w:tcPr>
                <w:p w:rsidR="006B60EB" w:rsidRDefault="006B60EB" w:rsidP="00490A13">
                  <w:pPr>
                    <w:pStyle w:val="TableBodyText"/>
                    <w:ind w:right="28"/>
                  </w:pPr>
                  <w:r>
                    <w:t>5 775</w:t>
                  </w:r>
                </w:p>
              </w:tc>
              <w:tc>
                <w:tcPr>
                  <w:tcW w:w="503" w:type="pct"/>
                  <w:shd w:val="clear" w:color="auto" w:fill="auto"/>
                </w:tcPr>
                <w:p w:rsidR="006B60EB" w:rsidRDefault="006B60EB" w:rsidP="00490A13">
                  <w:pPr>
                    <w:pStyle w:val="TableBodyText"/>
                    <w:ind w:right="28"/>
                  </w:pPr>
                  <w:r>
                    <w:t>9 450</w:t>
                  </w:r>
                </w:p>
              </w:tc>
              <w:tc>
                <w:tcPr>
                  <w:tcW w:w="504" w:type="pct"/>
                  <w:shd w:val="clear" w:color="auto" w:fill="auto"/>
                </w:tcPr>
                <w:p w:rsidR="006B60EB" w:rsidRDefault="006B60EB" w:rsidP="00490A13">
                  <w:pPr>
                    <w:pStyle w:val="TableBodyText"/>
                    <w:ind w:right="28"/>
                  </w:pPr>
                  <w:r>
                    <w:t>na</w:t>
                  </w:r>
                </w:p>
              </w:tc>
              <w:tc>
                <w:tcPr>
                  <w:tcW w:w="503" w:type="pct"/>
                  <w:shd w:val="clear" w:color="auto" w:fill="auto"/>
                </w:tcPr>
                <w:p w:rsidR="006B60EB" w:rsidRDefault="006B60EB" w:rsidP="00490A13">
                  <w:pPr>
                    <w:pStyle w:val="TableBodyText"/>
                    <w:ind w:right="28"/>
                  </w:pPr>
                  <w:r>
                    <w:t>5 172</w:t>
                  </w:r>
                </w:p>
              </w:tc>
              <w:tc>
                <w:tcPr>
                  <w:tcW w:w="504" w:type="pct"/>
                  <w:shd w:val="clear" w:color="auto" w:fill="auto"/>
                </w:tcPr>
                <w:p w:rsidR="006B60EB" w:rsidRDefault="006B60EB" w:rsidP="00490A13">
                  <w:pPr>
                    <w:pStyle w:val="TableBodyText"/>
                    <w:ind w:right="28"/>
                  </w:pPr>
                  <w:r>
                    <w:t>na</w:t>
                  </w:r>
                </w:p>
              </w:tc>
              <w:tc>
                <w:tcPr>
                  <w:tcW w:w="503" w:type="pct"/>
                  <w:shd w:val="clear" w:color="auto" w:fill="auto"/>
                </w:tcPr>
                <w:p w:rsidR="006B60EB" w:rsidRDefault="006B60EB" w:rsidP="00490A13">
                  <w:pPr>
                    <w:pStyle w:val="TableBodyText"/>
                    <w:ind w:right="28"/>
                  </w:pPr>
                  <w:r>
                    <w:t>na</w:t>
                  </w:r>
                </w:p>
              </w:tc>
              <w:tc>
                <w:tcPr>
                  <w:tcW w:w="466" w:type="pct"/>
                  <w:shd w:val="clear" w:color="auto" w:fill="auto"/>
                </w:tcPr>
                <w:p w:rsidR="006B60EB" w:rsidRDefault="006B60EB" w:rsidP="00490A13">
                  <w:pPr>
                    <w:pStyle w:val="TableBodyText"/>
                    <w:ind w:right="28"/>
                  </w:pPr>
                  <w:r>
                    <w:t>7 640</w:t>
                  </w:r>
                </w:p>
              </w:tc>
            </w:tr>
            <w:tr w:rsidR="006B60EB" w:rsidTr="00E62304">
              <w:tc>
                <w:tcPr>
                  <w:tcW w:w="505" w:type="pct"/>
                  <w:tcBorders>
                    <w:bottom w:val="single" w:sz="6" w:space="0" w:color="BFBFBF"/>
                  </w:tcBorders>
                  <w:shd w:val="clear" w:color="auto" w:fill="auto"/>
                </w:tcPr>
                <w:p w:rsidR="006B60EB" w:rsidRDefault="006B60EB" w:rsidP="00490A13">
                  <w:pPr>
                    <w:pStyle w:val="TableBodyText"/>
                    <w:ind w:right="28"/>
                    <w:jc w:val="left"/>
                  </w:pPr>
                  <w:r>
                    <w:t>2009</w:t>
                  </w:r>
                  <w:r w:rsidR="007D1214">
                    <w:noBreakHyphen/>
                  </w:r>
                  <w:r>
                    <w:t>10</w:t>
                  </w:r>
                </w:p>
              </w:tc>
              <w:tc>
                <w:tcPr>
                  <w:tcW w:w="505" w:type="pct"/>
                  <w:tcBorders>
                    <w:bottom w:val="single" w:sz="6" w:space="0" w:color="BFBFBF"/>
                  </w:tcBorders>
                  <w:shd w:val="clear" w:color="auto" w:fill="auto"/>
                </w:tcPr>
                <w:p w:rsidR="006B60EB" w:rsidRDefault="006B60EB" w:rsidP="00490A13">
                  <w:pPr>
                    <w:pStyle w:val="TableBodyText"/>
                    <w:ind w:right="28"/>
                  </w:pPr>
                  <w:r>
                    <w:t>15 598</w:t>
                  </w:r>
                </w:p>
              </w:tc>
              <w:tc>
                <w:tcPr>
                  <w:tcW w:w="503" w:type="pct"/>
                  <w:tcBorders>
                    <w:bottom w:val="single" w:sz="6" w:space="0" w:color="BFBFBF"/>
                  </w:tcBorders>
                  <w:shd w:val="clear" w:color="auto" w:fill="auto"/>
                </w:tcPr>
                <w:p w:rsidR="006B60EB" w:rsidRDefault="006B60EB" w:rsidP="00490A13">
                  <w:pPr>
                    <w:pStyle w:val="TableBodyText"/>
                    <w:ind w:right="28"/>
                  </w:pPr>
                  <w:r>
                    <w:t>9 858</w:t>
                  </w:r>
                </w:p>
              </w:tc>
              <w:tc>
                <w:tcPr>
                  <w:tcW w:w="504" w:type="pct"/>
                  <w:tcBorders>
                    <w:bottom w:val="single" w:sz="6" w:space="0" w:color="BFBFBF"/>
                  </w:tcBorders>
                  <w:shd w:val="clear" w:color="auto" w:fill="auto"/>
                </w:tcPr>
                <w:p w:rsidR="006B60EB" w:rsidRDefault="006B60EB" w:rsidP="00490A13">
                  <w:pPr>
                    <w:pStyle w:val="TableBodyText"/>
                    <w:ind w:right="28"/>
                  </w:pPr>
                  <w:r>
                    <w:t>4 911</w:t>
                  </w:r>
                </w:p>
              </w:tc>
              <w:tc>
                <w:tcPr>
                  <w:tcW w:w="503" w:type="pct"/>
                  <w:tcBorders>
                    <w:bottom w:val="single" w:sz="6" w:space="0" w:color="BFBFBF"/>
                  </w:tcBorders>
                  <w:shd w:val="clear" w:color="auto" w:fill="auto"/>
                </w:tcPr>
                <w:p w:rsidR="006B60EB" w:rsidRDefault="006B60EB" w:rsidP="00490A13">
                  <w:pPr>
                    <w:pStyle w:val="TableBodyText"/>
                    <w:ind w:right="28"/>
                  </w:pPr>
                  <w:r>
                    <w:t>7 456</w:t>
                  </w:r>
                </w:p>
              </w:tc>
              <w:tc>
                <w:tcPr>
                  <w:tcW w:w="504" w:type="pct"/>
                  <w:tcBorders>
                    <w:bottom w:val="single" w:sz="6" w:space="0" w:color="BFBFBF"/>
                  </w:tcBorders>
                  <w:shd w:val="clear" w:color="auto" w:fill="auto"/>
                </w:tcPr>
                <w:p w:rsidR="006B60EB" w:rsidRPr="005E340A" w:rsidRDefault="00903A91" w:rsidP="006B60EB">
                  <w:pPr>
                    <w:pStyle w:val="TableBodyText"/>
                    <w:ind w:right="28"/>
                  </w:pPr>
                  <w:r w:rsidRPr="005E340A">
                    <w:t>4 303</w:t>
                  </w:r>
                </w:p>
              </w:tc>
              <w:tc>
                <w:tcPr>
                  <w:tcW w:w="503" w:type="pct"/>
                  <w:tcBorders>
                    <w:bottom w:val="single" w:sz="6" w:space="0" w:color="BFBFBF"/>
                  </w:tcBorders>
                  <w:shd w:val="clear" w:color="auto" w:fill="auto"/>
                </w:tcPr>
                <w:p w:rsidR="006B60EB" w:rsidRPr="005E340A" w:rsidRDefault="006B60EB" w:rsidP="00490A13">
                  <w:pPr>
                    <w:pStyle w:val="TableBodyText"/>
                    <w:ind w:right="28"/>
                  </w:pPr>
                  <w:r w:rsidRPr="005E340A">
                    <w:t>11 855</w:t>
                  </w:r>
                </w:p>
              </w:tc>
              <w:tc>
                <w:tcPr>
                  <w:tcW w:w="504" w:type="pct"/>
                  <w:tcBorders>
                    <w:bottom w:val="single" w:sz="6" w:space="0" w:color="BFBFBF"/>
                  </w:tcBorders>
                  <w:shd w:val="clear" w:color="auto" w:fill="auto"/>
                </w:tcPr>
                <w:p w:rsidR="006B60EB" w:rsidRDefault="006B60EB" w:rsidP="00490A13">
                  <w:pPr>
                    <w:pStyle w:val="TableBodyText"/>
                    <w:ind w:right="28"/>
                  </w:pPr>
                  <w:r>
                    <w:t>na</w:t>
                  </w:r>
                </w:p>
              </w:tc>
              <w:tc>
                <w:tcPr>
                  <w:tcW w:w="503" w:type="pct"/>
                  <w:tcBorders>
                    <w:bottom w:val="single" w:sz="6" w:space="0" w:color="BFBFBF"/>
                  </w:tcBorders>
                  <w:shd w:val="clear" w:color="auto" w:fill="auto"/>
                </w:tcPr>
                <w:p w:rsidR="006B60EB" w:rsidRDefault="006B60EB" w:rsidP="00490A13">
                  <w:pPr>
                    <w:pStyle w:val="TableBodyText"/>
                    <w:ind w:right="28"/>
                  </w:pPr>
                  <w:r>
                    <w:t>na</w:t>
                  </w:r>
                </w:p>
              </w:tc>
              <w:tc>
                <w:tcPr>
                  <w:tcW w:w="466" w:type="pct"/>
                  <w:tcBorders>
                    <w:bottom w:val="single" w:sz="6" w:space="0" w:color="BFBFBF"/>
                  </w:tcBorders>
                  <w:shd w:val="clear" w:color="auto" w:fill="auto"/>
                </w:tcPr>
                <w:p w:rsidR="006B60EB" w:rsidRDefault="006B60EB" w:rsidP="00490A13">
                  <w:pPr>
                    <w:pStyle w:val="TableBodyText"/>
                    <w:ind w:right="28"/>
                  </w:pPr>
                  <w:r>
                    <w:t>8 214</w:t>
                  </w:r>
                </w:p>
              </w:tc>
            </w:tr>
          </w:tbl>
          <w:p w:rsidR="00952220" w:rsidRDefault="00952220" w:rsidP="00490A13">
            <w:pPr>
              <w:pStyle w:val="Box"/>
            </w:pPr>
          </w:p>
        </w:tc>
      </w:tr>
      <w:tr w:rsidR="00952220" w:rsidTr="00E62304">
        <w:trPr>
          <w:cantSplit/>
        </w:trPr>
        <w:tc>
          <w:tcPr>
            <w:tcW w:w="8771" w:type="dxa"/>
            <w:tcBorders>
              <w:top w:val="nil"/>
              <w:left w:val="nil"/>
              <w:bottom w:val="nil"/>
              <w:right w:val="nil"/>
            </w:tcBorders>
            <w:shd w:val="clear" w:color="auto" w:fill="FFFFFF" w:themeFill="background1"/>
          </w:tcPr>
          <w:p w:rsidR="00952220" w:rsidRDefault="00952220" w:rsidP="00490A13">
            <w:pPr>
              <w:pStyle w:val="Note"/>
              <w:rPr>
                <w:i/>
              </w:rPr>
            </w:pPr>
            <w:r w:rsidRPr="008E77FE">
              <w:rPr>
                <w:rStyle w:val="NoteLabel"/>
              </w:rPr>
              <w:t>a</w:t>
            </w:r>
            <w:r>
              <w:t xml:space="preserve"> See box</w:t>
            </w:r>
            <w:r w:rsidR="007D1214">
              <w:t> </w:t>
            </w:r>
            <w:r>
              <w:t>17.9 and tables</w:t>
            </w:r>
            <w:r w:rsidR="007D1214">
              <w:t> </w:t>
            </w:r>
            <w:proofErr w:type="spellStart"/>
            <w:r>
              <w:t>17A.23</w:t>
            </w:r>
            <w:proofErr w:type="spellEnd"/>
            <w:r>
              <w:t xml:space="preserve"> and </w:t>
            </w:r>
            <w:proofErr w:type="spellStart"/>
            <w:r>
              <w:t>17A.58</w:t>
            </w:r>
            <w:proofErr w:type="spellEnd"/>
            <w:r>
              <w:t xml:space="preserve"> for detailed definitions, footnotes and caveats. </w:t>
            </w:r>
            <w:r w:rsidRPr="00B2770B">
              <w:rPr>
                <w:b/>
              </w:rPr>
              <w:t>na</w:t>
            </w:r>
            <w:r>
              <w:t xml:space="preserve"> Not available. .. Not applicable. </w:t>
            </w:r>
          </w:p>
        </w:tc>
      </w:tr>
      <w:tr w:rsidR="00952220" w:rsidTr="00E62304">
        <w:trPr>
          <w:cantSplit/>
        </w:trPr>
        <w:tc>
          <w:tcPr>
            <w:tcW w:w="8771" w:type="dxa"/>
            <w:tcBorders>
              <w:top w:val="nil"/>
              <w:left w:val="nil"/>
              <w:bottom w:val="nil"/>
              <w:right w:val="nil"/>
            </w:tcBorders>
            <w:shd w:val="clear" w:color="auto" w:fill="FFFFFF" w:themeFill="background1"/>
          </w:tcPr>
          <w:p w:rsidR="00952220" w:rsidRDefault="00952220" w:rsidP="00490A13">
            <w:pPr>
              <w:pStyle w:val="Source"/>
            </w:pPr>
            <w:r>
              <w:rPr>
                <w:i/>
              </w:rPr>
              <w:t>Source</w:t>
            </w:r>
            <w:r w:rsidRPr="00167F06">
              <w:t xml:space="preserve">: </w:t>
            </w:r>
            <w:r>
              <w:t xml:space="preserve">AIHW (unpublished) </w:t>
            </w:r>
            <w:r w:rsidRPr="00A11155">
              <w:t>National Housing Assistance Data Repository</w:t>
            </w:r>
            <w:r>
              <w:rPr>
                <w:i/>
              </w:rPr>
              <w:t xml:space="preserve">; </w:t>
            </w:r>
            <w:r>
              <w:t>tables</w:t>
            </w:r>
            <w:r w:rsidR="007D1214">
              <w:t> </w:t>
            </w:r>
            <w:proofErr w:type="spellStart"/>
            <w:r>
              <w:t>17A.23</w:t>
            </w:r>
            <w:proofErr w:type="spellEnd"/>
            <w:r>
              <w:t xml:space="preserve"> and </w:t>
            </w:r>
            <w:proofErr w:type="spellStart"/>
            <w:r>
              <w:t>17A.58</w:t>
            </w:r>
            <w:proofErr w:type="spellEnd"/>
            <w:r>
              <w:t>.</w:t>
            </w:r>
          </w:p>
        </w:tc>
      </w:tr>
      <w:tr w:rsidR="00952220" w:rsidTr="00E62304">
        <w:trPr>
          <w:cantSplit/>
        </w:trPr>
        <w:tc>
          <w:tcPr>
            <w:tcW w:w="8771" w:type="dxa"/>
            <w:tcBorders>
              <w:top w:val="nil"/>
              <w:left w:val="nil"/>
              <w:bottom w:val="single" w:sz="6" w:space="0" w:color="78A22F"/>
              <w:right w:val="nil"/>
            </w:tcBorders>
            <w:shd w:val="clear" w:color="auto" w:fill="FFFFFF" w:themeFill="background1"/>
          </w:tcPr>
          <w:p w:rsidR="00952220" w:rsidRDefault="00952220" w:rsidP="00490A13">
            <w:pPr>
              <w:pStyle w:val="Box"/>
              <w:spacing w:before="0" w:line="120" w:lineRule="exact"/>
            </w:pPr>
          </w:p>
        </w:tc>
      </w:tr>
      <w:tr w:rsidR="00952220" w:rsidRPr="000863A5" w:rsidTr="00E62304">
        <w:tc>
          <w:tcPr>
            <w:tcW w:w="8771" w:type="dxa"/>
            <w:tcBorders>
              <w:top w:val="single" w:sz="6" w:space="0" w:color="78A22F"/>
              <w:left w:val="nil"/>
              <w:bottom w:val="nil"/>
              <w:right w:val="nil"/>
            </w:tcBorders>
            <w:shd w:val="clear" w:color="auto" w:fill="FFFFFF" w:themeFill="background1"/>
          </w:tcPr>
          <w:p w:rsidR="00952220" w:rsidRPr="00626D32" w:rsidRDefault="00952220" w:rsidP="00490A13">
            <w:pPr>
              <w:pStyle w:val="BoxSpaceBelow"/>
            </w:pPr>
          </w:p>
        </w:tc>
      </w:tr>
    </w:tbl>
    <w:p w:rsidR="00286658" w:rsidRPr="00FB0AA2" w:rsidRDefault="00286658" w:rsidP="006B692D">
      <w:pPr>
        <w:pStyle w:val="Heading4"/>
      </w:pPr>
      <w:r w:rsidRPr="00FB0AA2">
        <w:lastRenderedPageBreak/>
        <w:t>Occupancy rate</w:t>
      </w:r>
    </w:p>
    <w:p w:rsidR="00F01AAF" w:rsidRDefault="00286658" w:rsidP="00286658">
      <w:pPr>
        <w:pStyle w:val="BodyText"/>
      </w:pPr>
      <w:r>
        <w:t>‘Occupancy rate’ is an indicator of governments’ objective to ensure efficient housing utilisation (box</w:t>
      </w:r>
      <w:r w:rsidR="007D1214">
        <w:t> </w:t>
      </w:r>
      <w:r w:rsidR="00451C44">
        <w:t>17.10</w:t>
      </w:r>
      <w:r>
        <w:t>).</w:t>
      </w:r>
    </w:p>
    <w:p w:rsidR="00BC669D" w:rsidRDefault="00BC669D">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BC669D" w:rsidTr="00604F8C">
        <w:tc>
          <w:tcPr>
            <w:tcW w:w="5000" w:type="pct"/>
            <w:tcBorders>
              <w:top w:val="single" w:sz="6" w:space="0" w:color="78A22F"/>
              <w:left w:val="nil"/>
              <w:bottom w:val="nil"/>
              <w:right w:val="nil"/>
            </w:tcBorders>
            <w:shd w:val="clear" w:color="auto" w:fill="F2F2F2" w:themeFill="background1" w:themeFillShade="F2"/>
          </w:tcPr>
          <w:p w:rsidR="00BC669D" w:rsidRDefault="00BC19EB" w:rsidP="00BC669D">
            <w:pPr>
              <w:pStyle w:val="BoxTitle"/>
            </w:pPr>
            <w:r>
              <w:rPr>
                <w:b w:val="0"/>
              </w:rPr>
              <w:t>Box 17.</w:t>
            </w:r>
            <w:r w:rsidR="00EF0AA4">
              <w:rPr>
                <w:b w:val="0"/>
                <w:noProof/>
              </w:rPr>
              <w:t>10</w:t>
            </w:r>
            <w:r w:rsidR="00BC669D">
              <w:tab/>
            </w:r>
            <w:r w:rsidR="00BC669D" w:rsidRPr="00BC669D">
              <w:t>Occupancy rate</w:t>
            </w:r>
          </w:p>
        </w:tc>
      </w:tr>
      <w:tr w:rsidR="00BC669D" w:rsidTr="00604F8C">
        <w:trPr>
          <w:cantSplit/>
        </w:trPr>
        <w:tc>
          <w:tcPr>
            <w:tcW w:w="5000" w:type="pct"/>
            <w:tcBorders>
              <w:top w:val="nil"/>
              <w:left w:val="nil"/>
              <w:bottom w:val="nil"/>
              <w:right w:val="nil"/>
            </w:tcBorders>
            <w:shd w:val="clear" w:color="auto" w:fill="F2F2F2" w:themeFill="background1" w:themeFillShade="F2"/>
          </w:tcPr>
          <w:p w:rsidR="00A21E29" w:rsidRPr="00A21E29" w:rsidRDefault="00A21E29" w:rsidP="00A21E29">
            <w:pPr>
              <w:pStyle w:val="Box"/>
            </w:pPr>
            <w:r w:rsidRPr="00A21E29">
              <w:t xml:space="preserve">‘Occupancy rate’ is defined as the proportion of dwellings occupied at 30 June. The term ‘occupied’ refers to rental housing stock occupied by tenants who have a tenancy agreement with the relevant housing authority (for public housing and SOMIH) or community housing organisation (for community housing and </w:t>
            </w:r>
            <w:proofErr w:type="spellStart"/>
            <w:r w:rsidR="00484EE3">
              <w:t>ICH</w:t>
            </w:r>
            <w:proofErr w:type="spellEnd"/>
            <w:r w:rsidRPr="00A21E29">
              <w:t>).</w:t>
            </w:r>
          </w:p>
          <w:p w:rsidR="00A21E29" w:rsidRPr="00A21E29" w:rsidRDefault="00A21E29" w:rsidP="00A21E29">
            <w:pPr>
              <w:pStyle w:val="Box"/>
            </w:pPr>
            <w:r w:rsidRPr="00A21E29">
              <w:t xml:space="preserve">A high or increasing proportion suggests greater efficiency of housing utilisation. </w:t>
            </w:r>
          </w:p>
          <w:p w:rsidR="00A21E29" w:rsidRPr="00A21E29" w:rsidRDefault="00A21E29" w:rsidP="00A21E29">
            <w:pPr>
              <w:pStyle w:val="Box"/>
            </w:pPr>
            <w:r w:rsidRPr="00A21E29">
              <w:t>Occupancy is influenced by both turnover and housing supply and demand.</w:t>
            </w:r>
          </w:p>
          <w:p w:rsidR="00A21E29" w:rsidRPr="00A21E29" w:rsidRDefault="00A21E29" w:rsidP="00A21E29">
            <w:pPr>
              <w:pStyle w:val="Box"/>
            </w:pPr>
            <w:r w:rsidRPr="00A21E29">
              <w:t xml:space="preserve">Data for this indicator are reported for public housing, SOMIH, community housing and </w:t>
            </w:r>
            <w:proofErr w:type="spellStart"/>
            <w:r w:rsidR="00484EE3">
              <w:t>ICH</w:t>
            </w:r>
            <w:proofErr w:type="spellEnd"/>
            <w:r w:rsidRPr="00A21E29">
              <w:t>. Data reported</w:t>
            </w:r>
            <w:r w:rsidR="00484EE3">
              <w:t xml:space="preserve"> for this indicator</w:t>
            </w:r>
            <w:r w:rsidRPr="00A21E29">
              <w:t xml:space="preserve"> are:</w:t>
            </w:r>
          </w:p>
          <w:p w:rsidR="00A21E29" w:rsidRPr="00A21E29" w:rsidRDefault="00A21E29" w:rsidP="00A21E29">
            <w:pPr>
              <w:pStyle w:val="Box"/>
              <w:numPr>
                <w:ilvl w:val="0"/>
                <w:numId w:val="1"/>
              </w:numPr>
            </w:pPr>
            <w:r w:rsidRPr="00A21E29">
              <w:t>comparable (subject to caveats) within some jurisdictions over time but are not comparable across jurisdictions or over time for other jurisdictions (see caveats in attachment tables and DQI for specific jurisdictions)</w:t>
            </w:r>
          </w:p>
          <w:p w:rsidR="00A21E29" w:rsidRPr="00A21E29" w:rsidRDefault="00A21E29" w:rsidP="00A21E29">
            <w:pPr>
              <w:pStyle w:val="Box"/>
              <w:numPr>
                <w:ilvl w:val="0"/>
                <w:numId w:val="1"/>
              </w:numPr>
            </w:pPr>
            <w:r w:rsidRPr="00A21E29">
              <w:t xml:space="preserve">are not comparable across public housing, SOMIH, community housing and </w:t>
            </w:r>
            <w:proofErr w:type="spellStart"/>
            <w:r w:rsidRPr="00A21E29">
              <w:t>ICH</w:t>
            </w:r>
            <w:proofErr w:type="spellEnd"/>
          </w:p>
          <w:p w:rsidR="00A21E29" w:rsidRPr="00A21E29" w:rsidRDefault="00A21E29" w:rsidP="00A21E29">
            <w:pPr>
              <w:pStyle w:val="Box"/>
              <w:numPr>
                <w:ilvl w:val="0"/>
                <w:numId w:val="1"/>
              </w:numPr>
            </w:pPr>
            <w:r w:rsidRPr="00A21E29">
              <w:t>complete for public housing, SOMIH and community housing for the current reporting period (subject to caveats). All required 201</w:t>
            </w:r>
            <w:r w:rsidR="00451C44">
              <w:t>4</w:t>
            </w:r>
            <w:r w:rsidR="007D1214">
              <w:noBreakHyphen/>
            </w:r>
            <w:r w:rsidRPr="00A21E29">
              <w:t>1</w:t>
            </w:r>
            <w:r w:rsidR="00451C44">
              <w:t>5</w:t>
            </w:r>
            <w:r w:rsidRPr="00A21E29">
              <w:t xml:space="preserve"> data are available for all jurisdictions providing the service</w:t>
            </w:r>
          </w:p>
          <w:p w:rsidR="00A21E29" w:rsidRPr="00D0217C" w:rsidRDefault="00A21E29" w:rsidP="003F0457">
            <w:pPr>
              <w:pStyle w:val="Box"/>
              <w:numPr>
                <w:ilvl w:val="0"/>
                <w:numId w:val="1"/>
              </w:numPr>
            </w:pPr>
            <w:r w:rsidRPr="00D0217C">
              <w:t xml:space="preserve">incomplete for </w:t>
            </w:r>
            <w:proofErr w:type="spellStart"/>
            <w:r w:rsidR="00484EE3">
              <w:t>ICH</w:t>
            </w:r>
            <w:proofErr w:type="spellEnd"/>
            <w:r w:rsidRPr="00D0217C">
              <w:t xml:space="preserve"> for the current reporting period. All required </w:t>
            </w:r>
            <w:r w:rsidR="00E52374" w:rsidRPr="00D0217C">
              <w:t>2013</w:t>
            </w:r>
            <w:r w:rsidR="007D1214">
              <w:noBreakHyphen/>
            </w:r>
            <w:r w:rsidR="00E52374" w:rsidRPr="00D0217C">
              <w:t xml:space="preserve">14 </w:t>
            </w:r>
            <w:r w:rsidR="00451C44" w:rsidRPr="00D0217C">
              <w:t xml:space="preserve">data were not available </w:t>
            </w:r>
            <w:r w:rsidR="003F0457" w:rsidRPr="00D0217C">
              <w:t>for the NT</w:t>
            </w:r>
            <w:r w:rsidRPr="00D0217C">
              <w:t>.</w:t>
            </w:r>
          </w:p>
          <w:p w:rsidR="00BC669D" w:rsidRDefault="00A21E29" w:rsidP="00A21E29">
            <w:pPr>
              <w:pStyle w:val="Box"/>
            </w:pPr>
            <w:r w:rsidRPr="00A21E29">
              <w:t xml:space="preserve">Data quality information for this indicator </w:t>
            </w:r>
            <w:r w:rsidR="00884651">
              <w:t xml:space="preserve">is at </w:t>
            </w:r>
            <w:proofErr w:type="spellStart"/>
            <w:r w:rsidR="00884651">
              <w:t>www.pc.gov.au</w:t>
            </w:r>
            <w:proofErr w:type="spellEnd"/>
            <w:r w:rsidR="00884651">
              <w:t>/</w:t>
            </w:r>
            <w:proofErr w:type="spellStart"/>
            <w:r w:rsidR="006039ED">
              <w:t>rogs</w:t>
            </w:r>
            <w:proofErr w:type="spellEnd"/>
            <w:r w:rsidR="006039ED">
              <w:t>/2016</w:t>
            </w:r>
            <w:r w:rsidRPr="00A21E29">
              <w:t>.</w:t>
            </w:r>
          </w:p>
        </w:tc>
      </w:tr>
      <w:tr w:rsidR="00BC669D" w:rsidTr="00604F8C">
        <w:trPr>
          <w:cantSplit/>
        </w:trPr>
        <w:tc>
          <w:tcPr>
            <w:tcW w:w="5000" w:type="pct"/>
            <w:tcBorders>
              <w:top w:val="nil"/>
              <w:left w:val="nil"/>
              <w:bottom w:val="single" w:sz="6" w:space="0" w:color="78A22F"/>
              <w:right w:val="nil"/>
            </w:tcBorders>
            <w:shd w:val="clear" w:color="auto" w:fill="F2F2F2" w:themeFill="background1" w:themeFillShade="F2"/>
          </w:tcPr>
          <w:p w:rsidR="00BC669D" w:rsidRDefault="00BC669D">
            <w:pPr>
              <w:pStyle w:val="Box"/>
              <w:spacing w:before="0" w:line="120" w:lineRule="exact"/>
            </w:pPr>
          </w:p>
        </w:tc>
      </w:tr>
      <w:tr w:rsidR="00BC669D" w:rsidRPr="000863A5" w:rsidTr="00604F8C">
        <w:tc>
          <w:tcPr>
            <w:tcW w:w="5000" w:type="pct"/>
            <w:tcBorders>
              <w:top w:val="single" w:sz="6" w:space="0" w:color="78A22F"/>
              <w:left w:val="nil"/>
              <w:bottom w:val="nil"/>
              <w:right w:val="nil"/>
            </w:tcBorders>
          </w:tcPr>
          <w:p w:rsidR="00BC669D" w:rsidRPr="00626D32" w:rsidRDefault="00BC669D" w:rsidP="00334F07">
            <w:pPr>
              <w:pStyle w:val="BoxSpaceBelow"/>
            </w:pPr>
          </w:p>
        </w:tc>
      </w:tr>
    </w:tbl>
    <w:p w:rsidR="00BF2392" w:rsidRPr="00D27298" w:rsidRDefault="00D27298" w:rsidP="00D27298">
      <w:pPr>
        <w:pStyle w:val="BodyText"/>
      </w:pPr>
      <w:r>
        <w:t xml:space="preserve">Nationally in 2015, </w:t>
      </w:r>
      <w:r w:rsidRPr="00C24779">
        <w:rPr>
          <w:color w:val="000000" w:themeColor="text1"/>
        </w:rPr>
        <w:t xml:space="preserve">the proportion of total rental stock occupied </w:t>
      </w:r>
      <w:r w:rsidRPr="005E340A">
        <w:rPr>
          <w:color w:val="000000" w:themeColor="text1"/>
        </w:rPr>
        <w:t xml:space="preserve">was </w:t>
      </w:r>
      <w:r w:rsidR="00662B34" w:rsidRPr="005E340A">
        <w:rPr>
          <w:color w:val="000000" w:themeColor="text1"/>
        </w:rPr>
        <w:t>97</w:t>
      </w:r>
      <w:r w:rsidRPr="005E340A">
        <w:rPr>
          <w:color w:val="000000" w:themeColor="text1"/>
        </w:rPr>
        <w:t>.</w:t>
      </w:r>
      <w:r w:rsidR="00662B34" w:rsidRPr="005E340A">
        <w:rPr>
          <w:color w:val="000000" w:themeColor="text1"/>
        </w:rPr>
        <w:t>9</w:t>
      </w:r>
      <w:r w:rsidRPr="005E340A">
        <w:rPr>
          <w:color w:val="000000" w:themeColor="text1"/>
        </w:rPr>
        <w:t> per cent</w:t>
      </w:r>
      <w:r w:rsidRPr="00C24779">
        <w:rPr>
          <w:color w:val="000000" w:themeColor="text1"/>
        </w:rPr>
        <w:t xml:space="preserve"> for public housing, </w:t>
      </w:r>
      <w:r>
        <w:rPr>
          <w:color w:val="000000" w:themeColor="text1"/>
        </w:rPr>
        <w:t>97.0</w:t>
      </w:r>
      <w:r w:rsidRPr="00C24779">
        <w:rPr>
          <w:color w:val="000000" w:themeColor="text1"/>
        </w:rPr>
        <w:t xml:space="preserve"> per </w:t>
      </w:r>
      <w:r w:rsidRPr="008A3EB6">
        <w:t xml:space="preserve">cent for SOMIH, </w:t>
      </w:r>
      <w:r w:rsidRPr="006A69B3">
        <w:t>and 94.4 per cent</w:t>
      </w:r>
      <w:r w:rsidRPr="008F2728">
        <w:t xml:space="preserve"> for community housing</w:t>
      </w:r>
      <w:r>
        <w:t>, and as at 30</w:t>
      </w:r>
      <w:r w:rsidR="007D1214">
        <w:t> </w:t>
      </w:r>
      <w:r>
        <w:t xml:space="preserve">June 2014, </w:t>
      </w:r>
      <w:r w:rsidRPr="008F2728">
        <w:rPr>
          <w:color w:val="000000" w:themeColor="text1"/>
        </w:rPr>
        <w:t>9</w:t>
      </w:r>
      <w:r>
        <w:rPr>
          <w:color w:val="000000" w:themeColor="text1"/>
        </w:rPr>
        <w:t>4.6</w:t>
      </w:r>
      <w:r w:rsidRPr="008F2728">
        <w:rPr>
          <w:color w:val="000000" w:themeColor="text1"/>
        </w:rPr>
        <w:t xml:space="preserve"> per cent </w:t>
      </w:r>
      <w:r w:rsidRPr="008F2728">
        <w:t xml:space="preserve">of </w:t>
      </w:r>
      <w:proofErr w:type="spellStart"/>
      <w:r>
        <w:t>ICH</w:t>
      </w:r>
      <w:proofErr w:type="spellEnd"/>
      <w:r w:rsidRPr="0007796F">
        <w:t xml:space="preserve"> was occupied</w:t>
      </w:r>
      <w:r>
        <w:t xml:space="preserve"> (table</w:t>
      </w:r>
      <w:r w:rsidR="007D1214">
        <w:t> </w:t>
      </w:r>
      <w:r>
        <w:t>17.5).</w:t>
      </w:r>
    </w:p>
    <w:tbl>
      <w:tblPr>
        <w:tblW w:w="4843" w:type="pct"/>
        <w:tblInd w:w="142"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88"/>
      </w:tblGrid>
      <w:tr w:rsidR="00C93E54" w:rsidTr="000F46A8">
        <w:tc>
          <w:tcPr>
            <w:tcW w:w="5000" w:type="pct"/>
            <w:tcBorders>
              <w:top w:val="single" w:sz="6" w:space="0" w:color="78A22F" w:themeColor="accent1"/>
              <w:left w:val="nil"/>
              <w:bottom w:val="nil"/>
              <w:right w:val="nil"/>
            </w:tcBorders>
            <w:shd w:val="clear" w:color="auto" w:fill="auto"/>
          </w:tcPr>
          <w:p w:rsidR="00C93E54" w:rsidRPr="00784A05" w:rsidRDefault="00CB5252" w:rsidP="000F46A8">
            <w:pPr>
              <w:pStyle w:val="TableTitle"/>
            </w:pPr>
            <w:r>
              <w:rPr>
                <w:b w:val="0"/>
              </w:rPr>
              <w:lastRenderedPageBreak/>
              <w:t>Table 17.5</w:t>
            </w:r>
            <w:r w:rsidR="00C93E54">
              <w:tab/>
            </w:r>
            <w:r w:rsidR="004C3B34">
              <w:t xml:space="preserve">Occupancy rates for social housing </w:t>
            </w:r>
            <w:r w:rsidR="007E1926">
              <w:t>as at 30 June</w:t>
            </w:r>
            <w:r w:rsidR="00770D96">
              <w:t xml:space="preserve"> (per cent</w:t>
            </w:r>
            <w:r w:rsidR="007E1926">
              <w:t>)</w:t>
            </w:r>
            <w:r w:rsidR="00211A61" w:rsidRPr="00903B4C">
              <w:rPr>
                <w:rStyle w:val="NoteLabel"/>
                <w:b/>
              </w:rPr>
              <w:t>a</w:t>
            </w:r>
          </w:p>
        </w:tc>
      </w:tr>
      <w:tr w:rsidR="00C93E54" w:rsidTr="000F46A8">
        <w:trPr>
          <w:cantSplit/>
        </w:trPr>
        <w:tc>
          <w:tcPr>
            <w:tcW w:w="5000" w:type="pct"/>
            <w:tcBorders>
              <w:top w:val="nil"/>
              <w:left w:val="nil"/>
              <w:bottom w:val="nil"/>
              <w:right w:val="nil"/>
            </w:tcBorders>
            <w:shd w:val="clear" w:color="auto" w:fill="auto"/>
          </w:tcPr>
          <w:tbl>
            <w:tblPr>
              <w:tblW w:w="8505" w:type="dxa"/>
              <w:tblLayout w:type="fixed"/>
              <w:tblCellMar>
                <w:top w:w="28" w:type="dxa"/>
                <w:left w:w="0" w:type="dxa"/>
                <w:right w:w="0" w:type="dxa"/>
              </w:tblCellMar>
              <w:tblLook w:val="0000" w:firstRow="0" w:lastRow="0" w:firstColumn="0" w:lastColumn="0" w:noHBand="0" w:noVBand="0"/>
            </w:tblPr>
            <w:tblGrid>
              <w:gridCol w:w="770"/>
              <w:gridCol w:w="770"/>
              <w:gridCol w:w="867"/>
              <w:gridCol w:w="988"/>
              <w:gridCol w:w="851"/>
              <w:gridCol w:w="849"/>
              <w:gridCol w:w="851"/>
              <w:gridCol w:w="851"/>
              <w:gridCol w:w="851"/>
              <w:gridCol w:w="830"/>
              <w:gridCol w:w="27"/>
            </w:tblGrid>
            <w:tr w:rsidR="00C93E54" w:rsidTr="00970B14">
              <w:tc>
                <w:tcPr>
                  <w:tcW w:w="453" w:type="pct"/>
                  <w:tcBorders>
                    <w:top w:val="single" w:sz="4" w:space="0" w:color="BFBFBF" w:themeColor="background2"/>
                    <w:bottom w:val="single" w:sz="4" w:space="0" w:color="BFBFBF" w:themeColor="background2"/>
                  </w:tcBorders>
                  <w:shd w:val="clear" w:color="auto" w:fill="auto"/>
                  <w:tcMar>
                    <w:top w:w="28" w:type="dxa"/>
                  </w:tcMar>
                </w:tcPr>
                <w:p w:rsidR="00C93E54" w:rsidRPr="00462EAC" w:rsidRDefault="00C93E54" w:rsidP="000F46A8">
                  <w:pPr>
                    <w:pStyle w:val="TableColumnHeading"/>
                    <w:ind w:left="0" w:right="28"/>
                    <w:rPr>
                      <w:rFonts w:asciiTheme="majorHAnsi" w:hAnsiTheme="majorHAnsi" w:cstheme="majorHAnsi"/>
                      <w:szCs w:val="18"/>
                    </w:rPr>
                  </w:pPr>
                </w:p>
              </w:tc>
              <w:tc>
                <w:tcPr>
                  <w:tcW w:w="453" w:type="pct"/>
                  <w:tcBorders>
                    <w:top w:val="single" w:sz="4" w:space="0" w:color="BFBFBF" w:themeColor="background2"/>
                    <w:bottom w:val="single" w:sz="4" w:space="0" w:color="BFBFBF" w:themeColor="background2"/>
                  </w:tcBorders>
                  <w:shd w:val="clear" w:color="auto" w:fill="auto"/>
                  <w:tcMar>
                    <w:top w:w="28" w:type="dxa"/>
                  </w:tcMar>
                </w:tcPr>
                <w:p w:rsidR="00C93E54" w:rsidRPr="00462EAC" w:rsidRDefault="00C93E54" w:rsidP="000F46A8">
                  <w:pPr>
                    <w:pStyle w:val="TableColumnHeading"/>
                    <w:ind w:left="0" w:right="28"/>
                    <w:rPr>
                      <w:rFonts w:asciiTheme="majorHAnsi" w:hAnsiTheme="majorHAnsi" w:cstheme="majorHAnsi"/>
                      <w:szCs w:val="18"/>
                    </w:rPr>
                  </w:pPr>
                  <w:r w:rsidRPr="00462EAC">
                    <w:rPr>
                      <w:rFonts w:asciiTheme="majorHAnsi" w:hAnsiTheme="majorHAnsi" w:cstheme="majorHAnsi"/>
                      <w:szCs w:val="18"/>
                    </w:rPr>
                    <w:t>NSW</w:t>
                  </w:r>
                </w:p>
              </w:tc>
              <w:tc>
                <w:tcPr>
                  <w:tcW w:w="510" w:type="pct"/>
                  <w:tcBorders>
                    <w:top w:val="single" w:sz="4" w:space="0" w:color="BFBFBF" w:themeColor="background2"/>
                    <w:bottom w:val="single" w:sz="4" w:space="0" w:color="BFBFBF" w:themeColor="background2"/>
                  </w:tcBorders>
                </w:tcPr>
                <w:p w:rsidR="00C93E54" w:rsidRPr="00462EAC" w:rsidRDefault="00C93E54" w:rsidP="000F46A8">
                  <w:pPr>
                    <w:pStyle w:val="TableColumnHeading"/>
                    <w:ind w:left="0" w:right="28"/>
                    <w:rPr>
                      <w:rFonts w:asciiTheme="majorHAnsi" w:hAnsiTheme="majorHAnsi" w:cstheme="majorHAnsi"/>
                      <w:szCs w:val="18"/>
                    </w:rPr>
                  </w:pPr>
                  <w:r w:rsidRPr="00462EAC">
                    <w:rPr>
                      <w:rFonts w:asciiTheme="majorHAnsi" w:hAnsiTheme="majorHAnsi" w:cstheme="majorHAnsi"/>
                      <w:szCs w:val="18"/>
                    </w:rPr>
                    <w:t>Vic</w:t>
                  </w:r>
                </w:p>
              </w:tc>
              <w:tc>
                <w:tcPr>
                  <w:tcW w:w="581" w:type="pct"/>
                  <w:tcBorders>
                    <w:top w:val="single" w:sz="4" w:space="0" w:color="BFBFBF" w:themeColor="background2"/>
                    <w:bottom w:val="single" w:sz="4" w:space="0" w:color="BFBFBF" w:themeColor="background2"/>
                  </w:tcBorders>
                </w:tcPr>
                <w:p w:rsidR="00C93E54" w:rsidRPr="00462EAC" w:rsidRDefault="00C93E54" w:rsidP="000F46A8">
                  <w:pPr>
                    <w:pStyle w:val="TableColumnHeading"/>
                    <w:ind w:left="0" w:right="28"/>
                    <w:rPr>
                      <w:rFonts w:asciiTheme="majorHAnsi" w:hAnsiTheme="majorHAnsi" w:cstheme="majorHAnsi"/>
                      <w:szCs w:val="18"/>
                    </w:rPr>
                  </w:pPr>
                  <w:r w:rsidRPr="00462EAC">
                    <w:rPr>
                      <w:rFonts w:asciiTheme="majorHAnsi" w:hAnsiTheme="majorHAnsi" w:cstheme="majorHAnsi"/>
                      <w:szCs w:val="18"/>
                    </w:rPr>
                    <w:t>Qld</w:t>
                  </w:r>
                </w:p>
              </w:tc>
              <w:tc>
                <w:tcPr>
                  <w:tcW w:w="500" w:type="pct"/>
                  <w:tcBorders>
                    <w:top w:val="single" w:sz="4" w:space="0" w:color="BFBFBF" w:themeColor="background2"/>
                    <w:bottom w:val="single" w:sz="4" w:space="0" w:color="BFBFBF" w:themeColor="background2"/>
                  </w:tcBorders>
                </w:tcPr>
                <w:p w:rsidR="00C93E54" w:rsidRPr="00462EAC" w:rsidRDefault="00C93E54" w:rsidP="000F46A8">
                  <w:pPr>
                    <w:pStyle w:val="TableColumnHeading"/>
                    <w:ind w:left="0" w:right="28"/>
                    <w:rPr>
                      <w:rFonts w:asciiTheme="majorHAnsi" w:hAnsiTheme="majorHAnsi" w:cstheme="majorHAnsi"/>
                      <w:szCs w:val="18"/>
                    </w:rPr>
                  </w:pPr>
                  <w:r w:rsidRPr="00462EAC">
                    <w:rPr>
                      <w:rFonts w:asciiTheme="majorHAnsi" w:hAnsiTheme="majorHAnsi" w:cstheme="majorHAnsi"/>
                      <w:szCs w:val="18"/>
                    </w:rPr>
                    <w:t>WA</w:t>
                  </w:r>
                </w:p>
              </w:tc>
              <w:tc>
                <w:tcPr>
                  <w:tcW w:w="499" w:type="pct"/>
                  <w:tcBorders>
                    <w:top w:val="single" w:sz="4" w:space="0" w:color="BFBFBF" w:themeColor="background2"/>
                    <w:bottom w:val="single" w:sz="4" w:space="0" w:color="BFBFBF" w:themeColor="background2"/>
                  </w:tcBorders>
                </w:tcPr>
                <w:p w:rsidR="00C93E54" w:rsidRPr="00462EAC" w:rsidRDefault="00C93E54" w:rsidP="000F46A8">
                  <w:pPr>
                    <w:pStyle w:val="TableColumnHeading"/>
                    <w:ind w:left="0" w:right="28"/>
                    <w:rPr>
                      <w:rFonts w:asciiTheme="majorHAnsi" w:hAnsiTheme="majorHAnsi" w:cstheme="majorHAnsi"/>
                      <w:szCs w:val="18"/>
                    </w:rPr>
                  </w:pPr>
                  <w:r w:rsidRPr="00462EAC">
                    <w:rPr>
                      <w:rFonts w:asciiTheme="majorHAnsi" w:hAnsiTheme="majorHAnsi" w:cstheme="majorHAnsi"/>
                      <w:szCs w:val="18"/>
                    </w:rPr>
                    <w:t>SA</w:t>
                  </w:r>
                </w:p>
              </w:tc>
              <w:tc>
                <w:tcPr>
                  <w:tcW w:w="500" w:type="pct"/>
                  <w:tcBorders>
                    <w:top w:val="single" w:sz="4" w:space="0" w:color="BFBFBF" w:themeColor="background2"/>
                    <w:bottom w:val="single" w:sz="4" w:space="0" w:color="BFBFBF" w:themeColor="background2"/>
                  </w:tcBorders>
                </w:tcPr>
                <w:p w:rsidR="00C93E54" w:rsidRPr="00462EAC" w:rsidRDefault="00C93E54" w:rsidP="000F46A8">
                  <w:pPr>
                    <w:pStyle w:val="TableColumnHeading"/>
                    <w:ind w:left="0" w:right="28"/>
                    <w:rPr>
                      <w:rFonts w:asciiTheme="majorHAnsi" w:hAnsiTheme="majorHAnsi" w:cstheme="majorHAnsi"/>
                      <w:szCs w:val="18"/>
                    </w:rPr>
                  </w:pPr>
                  <w:r w:rsidRPr="00462EAC">
                    <w:rPr>
                      <w:rFonts w:asciiTheme="majorHAnsi" w:hAnsiTheme="majorHAnsi" w:cstheme="majorHAnsi"/>
                      <w:szCs w:val="18"/>
                    </w:rPr>
                    <w:t>Tas</w:t>
                  </w:r>
                </w:p>
              </w:tc>
              <w:tc>
                <w:tcPr>
                  <w:tcW w:w="500" w:type="pct"/>
                  <w:tcBorders>
                    <w:top w:val="single" w:sz="4" w:space="0" w:color="BFBFBF" w:themeColor="background2"/>
                    <w:bottom w:val="single" w:sz="4" w:space="0" w:color="BFBFBF" w:themeColor="background2"/>
                  </w:tcBorders>
                </w:tcPr>
                <w:p w:rsidR="00C93E54" w:rsidRPr="00462EAC" w:rsidRDefault="00C93E54" w:rsidP="000F46A8">
                  <w:pPr>
                    <w:pStyle w:val="TableColumnHeading"/>
                    <w:ind w:left="0" w:right="28"/>
                    <w:rPr>
                      <w:rFonts w:asciiTheme="majorHAnsi" w:hAnsiTheme="majorHAnsi" w:cstheme="majorHAnsi"/>
                      <w:szCs w:val="18"/>
                    </w:rPr>
                  </w:pPr>
                  <w:r w:rsidRPr="00462EAC">
                    <w:rPr>
                      <w:rFonts w:asciiTheme="majorHAnsi" w:hAnsiTheme="majorHAnsi" w:cstheme="majorHAnsi"/>
                      <w:szCs w:val="18"/>
                    </w:rPr>
                    <w:t>ACT</w:t>
                  </w:r>
                </w:p>
              </w:tc>
              <w:tc>
                <w:tcPr>
                  <w:tcW w:w="500" w:type="pct"/>
                  <w:tcBorders>
                    <w:top w:val="single" w:sz="4" w:space="0" w:color="BFBFBF" w:themeColor="background2"/>
                    <w:bottom w:val="single" w:sz="4" w:space="0" w:color="BFBFBF" w:themeColor="background2"/>
                  </w:tcBorders>
                </w:tcPr>
                <w:p w:rsidR="00C93E54" w:rsidRPr="00462EAC" w:rsidRDefault="00C93E54" w:rsidP="000F46A8">
                  <w:pPr>
                    <w:pStyle w:val="TableColumnHeading"/>
                    <w:ind w:left="0" w:right="28"/>
                    <w:rPr>
                      <w:rFonts w:asciiTheme="majorHAnsi" w:hAnsiTheme="majorHAnsi" w:cstheme="majorHAnsi"/>
                      <w:szCs w:val="18"/>
                    </w:rPr>
                  </w:pPr>
                  <w:r w:rsidRPr="00462EAC">
                    <w:rPr>
                      <w:rFonts w:asciiTheme="majorHAnsi" w:hAnsiTheme="majorHAnsi" w:cstheme="majorHAnsi"/>
                      <w:szCs w:val="18"/>
                    </w:rPr>
                    <w:t>NT</w:t>
                  </w:r>
                </w:p>
              </w:tc>
              <w:tc>
                <w:tcPr>
                  <w:tcW w:w="488" w:type="pct"/>
                  <w:tcBorders>
                    <w:top w:val="single" w:sz="4" w:space="0" w:color="BFBFBF" w:themeColor="background2"/>
                    <w:bottom w:val="single" w:sz="4" w:space="0" w:color="BFBFBF" w:themeColor="background2"/>
                  </w:tcBorders>
                </w:tcPr>
                <w:p w:rsidR="00C93E54" w:rsidRPr="00462EAC" w:rsidRDefault="007622D9" w:rsidP="000F46A8">
                  <w:pPr>
                    <w:pStyle w:val="TableColumnHeading"/>
                    <w:ind w:left="0" w:right="28"/>
                    <w:rPr>
                      <w:rFonts w:asciiTheme="majorHAnsi" w:hAnsiTheme="majorHAnsi" w:cstheme="majorHAnsi"/>
                      <w:szCs w:val="18"/>
                    </w:rPr>
                  </w:pPr>
                  <w:r w:rsidRPr="00462EAC">
                    <w:rPr>
                      <w:rFonts w:asciiTheme="majorHAnsi" w:hAnsiTheme="majorHAnsi" w:cstheme="majorHAnsi"/>
                      <w:szCs w:val="18"/>
                    </w:rPr>
                    <w:t>Aus</w:t>
                  </w:r>
                  <w:r>
                    <w:rPr>
                      <w:rFonts w:asciiTheme="majorHAnsi" w:hAnsiTheme="majorHAnsi" w:cstheme="majorHAnsi"/>
                      <w:szCs w:val="18"/>
                    </w:rPr>
                    <w:t>/total</w:t>
                  </w:r>
                </w:p>
              </w:tc>
              <w:tc>
                <w:tcPr>
                  <w:tcW w:w="15" w:type="pct"/>
                  <w:tcBorders>
                    <w:top w:val="single" w:sz="4" w:space="0" w:color="BFBFBF" w:themeColor="background2"/>
                    <w:bottom w:val="single" w:sz="4" w:space="0" w:color="BFBFBF" w:themeColor="background2"/>
                  </w:tcBorders>
                  <w:shd w:val="clear" w:color="auto" w:fill="auto"/>
                  <w:tcMar>
                    <w:top w:w="28" w:type="dxa"/>
                  </w:tcMar>
                </w:tcPr>
                <w:p w:rsidR="00C93E54" w:rsidRPr="00462EAC" w:rsidRDefault="00C93E54" w:rsidP="000F46A8">
                  <w:pPr>
                    <w:pStyle w:val="TableColumnHeading"/>
                    <w:ind w:left="0" w:right="28"/>
                    <w:rPr>
                      <w:rFonts w:asciiTheme="majorHAnsi" w:hAnsiTheme="majorHAnsi" w:cstheme="majorHAnsi"/>
                      <w:szCs w:val="18"/>
                    </w:rPr>
                  </w:pPr>
                </w:p>
              </w:tc>
            </w:tr>
            <w:tr w:rsidR="00C93E54" w:rsidRPr="000E644A" w:rsidTr="000F46A8">
              <w:tc>
                <w:tcPr>
                  <w:tcW w:w="5000" w:type="pct"/>
                  <w:gridSpan w:val="11"/>
                  <w:tcBorders>
                    <w:top w:val="single" w:sz="4" w:space="0" w:color="BFBFBF" w:themeColor="background2"/>
                  </w:tcBorders>
                  <w:vAlign w:val="bottom"/>
                </w:tcPr>
                <w:p w:rsidR="00C93E54" w:rsidRPr="00462EAC" w:rsidRDefault="00C93E54" w:rsidP="000F46A8">
                  <w:pPr>
                    <w:pStyle w:val="TableBodyText"/>
                    <w:spacing w:before="60"/>
                    <w:ind w:left="0" w:right="0"/>
                    <w:jc w:val="left"/>
                    <w:rPr>
                      <w:rFonts w:asciiTheme="majorHAnsi" w:hAnsiTheme="majorHAnsi" w:cstheme="majorHAnsi"/>
                      <w:szCs w:val="18"/>
                    </w:rPr>
                  </w:pPr>
                  <w:r w:rsidRPr="00462EAC">
                    <w:rPr>
                      <w:rStyle w:val="TableColumnHeadingChar"/>
                      <w:rFonts w:asciiTheme="majorHAnsi" w:hAnsiTheme="majorHAnsi" w:cstheme="majorHAnsi"/>
                      <w:szCs w:val="18"/>
                    </w:rPr>
                    <w:t>Public housing</w:t>
                  </w:r>
                </w:p>
              </w:tc>
            </w:tr>
            <w:tr w:rsidR="007622D9" w:rsidTr="00970B14">
              <w:tc>
                <w:tcPr>
                  <w:tcW w:w="453" w:type="pct"/>
                  <w:vAlign w:val="bottom"/>
                </w:tcPr>
                <w:p w:rsidR="007622D9" w:rsidRPr="00462EAC" w:rsidRDefault="007622D9" w:rsidP="000F46A8">
                  <w:pPr>
                    <w:pStyle w:val="TableBodyText"/>
                    <w:ind w:left="0" w:right="0"/>
                    <w:jc w:val="left"/>
                    <w:rPr>
                      <w:rFonts w:asciiTheme="majorHAnsi" w:hAnsiTheme="majorHAnsi" w:cstheme="majorHAnsi"/>
                      <w:szCs w:val="18"/>
                    </w:rPr>
                  </w:pPr>
                  <w:r>
                    <w:rPr>
                      <w:rFonts w:asciiTheme="majorHAnsi" w:hAnsiTheme="majorHAnsi" w:cstheme="majorHAnsi"/>
                      <w:szCs w:val="18"/>
                    </w:rPr>
                    <w:t>2015</w:t>
                  </w:r>
                </w:p>
              </w:tc>
              <w:tc>
                <w:tcPr>
                  <w:tcW w:w="453" w:type="pct"/>
                </w:tcPr>
                <w:p w:rsidR="007622D9" w:rsidRPr="00CD240C" w:rsidRDefault="007D1214" w:rsidP="00831ED7">
                  <w:pPr>
                    <w:pStyle w:val="TableBodyText"/>
                  </w:pPr>
                  <w:r>
                    <w:t xml:space="preserve"> </w:t>
                  </w:r>
                  <w:r w:rsidR="007622D9" w:rsidRPr="00CD240C">
                    <w:t>98.7</w:t>
                  </w:r>
                </w:p>
              </w:tc>
              <w:tc>
                <w:tcPr>
                  <w:tcW w:w="510" w:type="pct"/>
                </w:tcPr>
                <w:p w:rsidR="007622D9" w:rsidRPr="00CD240C" w:rsidRDefault="007D1214" w:rsidP="00831ED7">
                  <w:pPr>
                    <w:pStyle w:val="TableBodyText"/>
                  </w:pPr>
                  <w:r>
                    <w:t xml:space="preserve"> </w:t>
                  </w:r>
                  <w:r w:rsidR="007622D9" w:rsidRPr="00CD240C">
                    <w:t>98.0</w:t>
                  </w:r>
                </w:p>
              </w:tc>
              <w:tc>
                <w:tcPr>
                  <w:tcW w:w="581" w:type="pct"/>
                </w:tcPr>
                <w:p w:rsidR="007622D9" w:rsidRPr="00CD240C" w:rsidRDefault="007D1214" w:rsidP="00831ED7">
                  <w:pPr>
                    <w:pStyle w:val="TableBodyText"/>
                  </w:pPr>
                  <w:r>
                    <w:t xml:space="preserve"> </w:t>
                  </w:r>
                  <w:r w:rsidR="007622D9" w:rsidRPr="00CD240C">
                    <w:t>98.3</w:t>
                  </w:r>
                </w:p>
              </w:tc>
              <w:tc>
                <w:tcPr>
                  <w:tcW w:w="500" w:type="pct"/>
                </w:tcPr>
                <w:p w:rsidR="007622D9" w:rsidRPr="00CD240C" w:rsidRDefault="007D1214" w:rsidP="00831ED7">
                  <w:pPr>
                    <w:pStyle w:val="TableBodyText"/>
                  </w:pPr>
                  <w:r>
                    <w:t xml:space="preserve"> </w:t>
                  </w:r>
                  <w:r w:rsidR="007622D9" w:rsidRPr="00CD240C">
                    <w:t>97.7</w:t>
                  </w:r>
                </w:p>
              </w:tc>
              <w:tc>
                <w:tcPr>
                  <w:tcW w:w="499" w:type="pct"/>
                </w:tcPr>
                <w:p w:rsidR="007622D9" w:rsidRPr="00CD240C" w:rsidRDefault="007D1214" w:rsidP="00831ED7">
                  <w:pPr>
                    <w:pStyle w:val="TableBodyText"/>
                  </w:pPr>
                  <w:r>
                    <w:t xml:space="preserve"> </w:t>
                  </w:r>
                  <w:r w:rsidR="007622D9" w:rsidRPr="00CD240C">
                    <w:t>95.8</w:t>
                  </w:r>
                </w:p>
              </w:tc>
              <w:tc>
                <w:tcPr>
                  <w:tcW w:w="500" w:type="pct"/>
                </w:tcPr>
                <w:p w:rsidR="007622D9" w:rsidRPr="00CD240C" w:rsidRDefault="007D1214" w:rsidP="00831ED7">
                  <w:pPr>
                    <w:pStyle w:val="TableBodyText"/>
                  </w:pPr>
                  <w:r>
                    <w:t xml:space="preserve"> </w:t>
                  </w:r>
                  <w:r w:rsidR="007622D9" w:rsidRPr="00CD240C">
                    <w:t>98.3</w:t>
                  </w:r>
                </w:p>
              </w:tc>
              <w:tc>
                <w:tcPr>
                  <w:tcW w:w="500" w:type="pct"/>
                </w:tcPr>
                <w:p w:rsidR="007622D9" w:rsidRPr="00CD240C" w:rsidRDefault="007D1214" w:rsidP="00831ED7">
                  <w:pPr>
                    <w:pStyle w:val="TableBodyText"/>
                  </w:pPr>
                  <w:r>
                    <w:t xml:space="preserve"> </w:t>
                  </w:r>
                  <w:r w:rsidR="007622D9" w:rsidRPr="00CD240C">
                    <w:t>98.0</w:t>
                  </w:r>
                </w:p>
              </w:tc>
              <w:tc>
                <w:tcPr>
                  <w:tcW w:w="500" w:type="pct"/>
                </w:tcPr>
                <w:p w:rsidR="007622D9" w:rsidRPr="00CD240C" w:rsidRDefault="007622D9" w:rsidP="00831ED7">
                  <w:pPr>
                    <w:pStyle w:val="TableBodyText"/>
                  </w:pPr>
                  <w:r w:rsidRPr="00CD240C">
                    <w:t xml:space="preserve">  94.7</w:t>
                  </w:r>
                </w:p>
              </w:tc>
              <w:tc>
                <w:tcPr>
                  <w:tcW w:w="488" w:type="pct"/>
                </w:tcPr>
                <w:p w:rsidR="007622D9" w:rsidRPr="00CD240C" w:rsidRDefault="007622D9" w:rsidP="001E26BC">
                  <w:pPr>
                    <w:pStyle w:val="TableBodyText"/>
                  </w:pPr>
                  <w:r w:rsidRPr="00CD240C">
                    <w:t xml:space="preserve">  97.9</w:t>
                  </w:r>
                </w:p>
              </w:tc>
              <w:tc>
                <w:tcPr>
                  <w:tcW w:w="15" w:type="pct"/>
                </w:tcPr>
                <w:p w:rsidR="007622D9" w:rsidRPr="00CD240C" w:rsidRDefault="007622D9" w:rsidP="001E26BC">
                  <w:pPr>
                    <w:pStyle w:val="TableBodyText"/>
                  </w:pPr>
                </w:p>
              </w:tc>
            </w:tr>
            <w:tr w:rsidR="007622D9" w:rsidTr="00970B14">
              <w:tc>
                <w:tcPr>
                  <w:tcW w:w="453" w:type="pct"/>
                  <w:vAlign w:val="bottom"/>
                </w:tcPr>
                <w:p w:rsidR="007622D9" w:rsidRPr="00462EAC" w:rsidRDefault="007622D9" w:rsidP="000F46A8">
                  <w:pPr>
                    <w:pStyle w:val="TableBodyText"/>
                    <w:ind w:left="0" w:right="0"/>
                    <w:jc w:val="left"/>
                    <w:rPr>
                      <w:rFonts w:asciiTheme="majorHAnsi" w:hAnsiTheme="majorHAnsi" w:cstheme="majorHAnsi"/>
                      <w:szCs w:val="18"/>
                    </w:rPr>
                  </w:pPr>
                  <w:r>
                    <w:rPr>
                      <w:rFonts w:asciiTheme="majorHAnsi" w:hAnsiTheme="majorHAnsi" w:cstheme="majorHAnsi"/>
                      <w:szCs w:val="18"/>
                    </w:rPr>
                    <w:t>2014</w:t>
                  </w:r>
                </w:p>
              </w:tc>
              <w:tc>
                <w:tcPr>
                  <w:tcW w:w="453" w:type="pct"/>
                </w:tcPr>
                <w:p w:rsidR="007622D9" w:rsidRPr="00CD240C" w:rsidRDefault="007622D9" w:rsidP="00831ED7">
                  <w:pPr>
                    <w:pStyle w:val="TableBodyText"/>
                  </w:pPr>
                  <w:r w:rsidRPr="00CD240C">
                    <w:t xml:space="preserve">  98.7</w:t>
                  </w:r>
                </w:p>
              </w:tc>
              <w:tc>
                <w:tcPr>
                  <w:tcW w:w="510" w:type="pct"/>
                </w:tcPr>
                <w:p w:rsidR="007622D9" w:rsidRPr="00CD240C" w:rsidRDefault="007622D9" w:rsidP="00831ED7">
                  <w:pPr>
                    <w:pStyle w:val="TableBodyText"/>
                  </w:pPr>
                  <w:r w:rsidRPr="00CD240C">
                    <w:t xml:space="preserve">  97.8</w:t>
                  </w:r>
                </w:p>
              </w:tc>
              <w:tc>
                <w:tcPr>
                  <w:tcW w:w="581" w:type="pct"/>
                </w:tcPr>
                <w:p w:rsidR="007622D9" w:rsidRPr="00CD240C" w:rsidRDefault="007622D9" w:rsidP="00831ED7">
                  <w:pPr>
                    <w:pStyle w:val="TableBodyText"/>
                  </w:pPr>
                  <w:r w:rsidRPr="00CD240C">
                    <w:t xml:space="preserve">  98.4</w:t>
                  </w:r>
                </w:p>
              </w:tc>
              <w:tc>
                <w:tcPr>
                  <w:tcW w:w="500" w:type="pct"/>
                </w:tcPr>
                <w:p w:rsidR="007622D9" w:rsidRPr="00CD240C" w:rsidRDefault="007622D9" w:rsidP="00831ED7">
                  <w:pPr>
                    <w:pStyle w:val="TableBodyText"/>
                  </w:pPr>
                  <w:r w:rsidRPr="00CD240C">
                    <w:t xml:space="preserve">  96.6</w:t>
                  </w:r>
                </w:p>
              </w:tc>
              <w:tc>
                <w:tcPr>
                  <w:tcW w:w="499" w:type="pct"/>
                </w:tcPr>
                <w:p w:rsidR="007622D9" w:rsidRPr="00CD240C" w:rsidRDefault="007622D9" w:rsidP="00831ED7">
                  <w:pPr>
                    <w:pStyle w:val="TableBodyText"/>
                  </w:pPr>
                  <w:r w:rsidRPr="00CD240C">
                    <w:t xml:space="preserve">  96.4</w:t>
                  </w:r>
                </w:p>
              </w:tc>
              <w:tc>
                <w:tcPr>
                  <w:tcW w:w="500" w:type="pct"/>
                </w:tcPr>
                <w:p w:rsidR="007622D9" w:rsidRPr="00CD240C" w:rsidRDefault="007622D9" w:rsidP="00831ED7">
                  <w:pPr>
                    <w:pStyle w:val="TableBodyText"/>
                  </w:pPr>
                  <w:r w:rsidRPr="00CD240C">
                    <w:t xml:space="preserve">  98.1</w:t>
                  </w:r>
                </w:p>
              </w:tc>
              <w:tc>
                <w:tcPr>
                  <w:tcW w:w="500" w:type="pct"/>
                </w:tcPr>
                <w:p w:rsidR="007622D9" w:rsidRPr="00CD240C" w:rsidRDefault="007622D9" w:rsidP="00831ED7">
                  <w:pPr>
                    <w:pStyle w:val="TableBodyText"/>
                  </w:pPr>
                  <w:r w:rsidRPr="00CD240C">
                    <w:t xml:space="preserve">  98.9</w:t>
                  </w:r>
                </w:p>
              </w:tc>
              <w:tc>
                <w:tcPr>
                  <w:tcW w:w="500" w:type="pct"/>
                </w:tcPr>
                <w:p w:rsidR="007622D9" w:rsidRPr="00CD240C" w:rsidRDefault="007622D9" w:rsidP="00831ED7">
                  <w:pPr>
                    <w:pStyle w:val="TableBodyText"/>
                  </w:pPr>
                  <w:r w:rsidRPr="00CD240C">
                    <w:t xml:space="preserve">  93.2</w:t>
                  </w:r>
                </w:p>
              </w:tc>
              <w:tc>
                <w:tcPr>
                  <w:tcW w:w="488" w:type="pct"/>
                </w:tcPr>
                <w:p w:rsidR="007622D9" w:rsidRPr="00CD240C" w:rsidRDefault="007622D9" w:rsidP="001E26BC">
                  <w:pPr>
                    <w:pStyle w:val="TableBodyText"/>
                  </w:pPr>
                  <w:r w:rsidRPr="00CD240C">
                    <w:t xml:space="preserve">  97.9</w:t>
                  </w:r>
                </w:p>
              </w:tc>
              <w:tc>
                <w:tcPr>
                  <w:tcW w:w="15" w:type="pct"/>
                </w:tcPr>
                <w:p w:rsidR="007622D9" w:rsidRPr="00CD240C" w:rsidRDefault="007622D9" w:rsidP="001E26BC">
                  <w:pPr>
                    <w:pStyle w:val="TableBodyText"/>
                  </w:pPr>
                </w:p>
              </w:tc>
            </w:tr>
            <w:tr w:rsidR="007622D9" w:rsidTr="00970B14">
              <w:tc>
                <w:tcPr>
                  <w:tcW w:w="453" w:type="pct"/>
                  <w:vAlign w:val="bottom"/>
                </w:tcPr>
                <w:p w:rsidR="007622D9" w:rsidRPr="00462EAC" w:rsidRDefault="007622D9" w:rsidP="000F46A8">
                  <w:pPr>
                    <w:pStyle w:val="TableBodyText"/>
                    <w:ind w:left="0" w:right="0"/>
                    <w:jc w:val="left"/>
                    <w:rPr>
                      <w:rFonts w:asciiTheme="majorHAnsi" w:hAnsiTheme="majorHAnsi" w:cstheme="majorHAnsi"/>
                      <w:szCs w:val="18"/>
                    </w:rPr>
                  </w:pPr>
                  <w:r>
                    <w:rPr>
                      <w:rFonts w:asciiTheme="majorHAnsi" w:hAnsiTheme="majorHAnsi" w:cstheme="majorHAnsi"/>
                      <w:szCs w:val="18"/>
                    </w:rPr>
                    <w:t>2013</w:t>
                  </w:r>
                </w:p>
              </w:tc>
              <w:tc>
                <w:tcPr>
                  <w:tcW w:w="453" w:type="pct"/>
                </w:tcPr>
                <w:p w:rsidR="007622D9" w:rsidRPr="00CD240C" w:rsidRDefault="007622D9" w:rsidP="00831ED7">
                  <w:pPr>
                    <w:pStyle w:val="TableBodyText"/>
                  </w:pPr>
                  <w:r w:rsidRPr="00CD240C">
                    <w:t xml:space="preserve">  99.0</w:t>
                  </w:r>
                </w:p>
              </w:tc>
              <w:tc>
                <w:tcPr>
                  <w:tcW w:w="510" w:type="pct"/>
                </w:tcPr>
                <w:p w:rsidR="007622D9" w:rsidRPr="00CD240C" w:rsidRDefault="007622D9" w:rsidP="00831ED7">
                  <w:pPr>
                    <w:pStyle w:val="TableBodyText"/>
                  </w:pPr>
                  <w:r w:rsidRPr="00CD240C">
                    <w:t xml:space="preserve">  97.3</w:t>
                  </w:r>
                </w:p>
              </w:tc>
              <w:tc>
                <w:tcPr>
                  <w:tcW w:w="581" w:type="pct"/>
                </w:tcPr>
                <w:p w:rsidR="007622D9" w:rsidRPr="00CD240C" w:rsidRDefault="007622D9" w:rsidP="00831ED7">
                  <w:pPr>
                    <w:pStyle w:val="TableBodyText"/>
                  </w:pPr>
                  <w:r w:rsidRPr="00CD240C">
                    <w:t xml:space="preserve">  98.6</w:t>
                  </w:r>
                </w:p>
              </w:tc>
              <w:tc>
                <w:tcPr>
                  <w:tcW w:w="500" w:type="pct"/>
                </w:tcPr>
                <w:p w:rsidR="007622D9" w:rsidRPr="00CD240C" w:rsidRDefault="007622D9" w:rsidP="00831ED7">
                  <w:pPr>
                    <w:pStyle w:val="TableBodyText"/>
                  </w:pPr>
                  <w:r w:rsidRPr="00CD240C">
                    <w:t xml:space="preserve">  95.8</w:t>
                  </w:r>
                </w:p>
              </w:tc>
              <w:tc>
                <w:tcPr>
                  <w:tcW w:w="499" w:type="pct"/>
                </w:tcPr>
                <w:p w:rsidR="007622D9" w:rsidRPr="00CD240C" w:rsidRDefault="007622D9" w:rsidP="00831ED7">
                  <w:pPr>
                    <w:pStyle w:val="TableBodyText"/>
                  </w:pPr>
                  <w:r w:rsidRPr="00CD240C">
                    <w:t xml:space="preserve">  96.8</w:t>
                  </w:r>
                </w:p>
              </w:tc>
              <w:tc>
                <w:tcPr>
                  <w:tcW w:w="500" w:type="pct"/>
                </w:tcPr>
                <w:p w:rsidR="007622D9" w:rsidRPr="00CD240C" w:rsidRDefault="007622D9" w:rsidP="00831ED7">
                  <w:pPr>
                    <w:pStyle w:val="TableBodyText"/>
                  </w:pPr>
                  <w:r w:rsidRPr="00CD240C">
                    <w:t xml:space="preserve">  97.1</w:t>
                  </w:r>
                </w:p>
              </w:tc>
              <w:tc>
                <w:tcPr>
                  <w:tcW w:w="500" w:type="pct"/>
                </w:tcPr>
                <w:p w:rsidR="007622D9" w:rsidRPr="00CD240C" w:rsidRDefault="007622D9" w:rsidP="00831ED7">
                  <w:pPr>
                    <w:pStyle w:val="TableBodyText"/>
                  </w:pPr>
                  <w:r w:rsidRPr="00CD240C">
                    <w:t xml:space="preserve">  98.0</w:t>
                  </w:r>
                </w:p>
              </w:tc>
              <w:tc>
                <w:tcPr>
                  <w:tcW w:w="500" w:type="pct"/>
                </w:tcPr>
                <w:p w:rsidR="007622D9" w:rsidRPr="00CD240C" w:rsidRDefault="007622D9" w:rsidP="00831ED7">
                  <w:pPr>
                    <w:pStyle w:val="TableBodyText"/>
                  </w:pPr>
                  <w:r w:rsidRPr="00CD240C">
                    <w:t xml:space="preserve">  93.6</w:t>
                  </w:r>
                </w:p>
              </w:tc>
              <w:tc>
                <w:tcPr>
                  <w:tcW w:w="488" w:type="pct"/>
                </w:tcPr>
                <w:p w:rsidR="007622D9" w:rsidRPr="00CD240C" w:rsidRDefault="007622D9" w:rsidP="001E26BC">
                  <w:pPr>
                    <w:pStyle w:val="TableBodyText"/>
                  </w:pPr>
                  <w:r w:rsidRPr="00CD240C">
                    <w:t xml:space="preserve">  97.8</w:t>
                  </w:r>
                </w:p>
              </w:tc>
              <w:tc>
                <w:tcPr>
                  <w:tcW w:w="15" w:type="pct"/>
                </w:tcPr>
                <w:p w:rsidR="007622D9" w:rsidRPr="00CD240C" w:rsidRDefault="007622D9" w:rsidP="001E26BC">
                  <w:pPr>
                    <w:pStyle w:val="TableBodyText"/>
                  </w:pPr>
                </w:p>
              </w:tc>
            </w:tr>
            <w:tr w:rsidR="007622D9" w:rsidRPr="006C4B07" w:rsidTr="00970B14">
              <w:tc>
                <w:tcPr>
                  <w:tcW w:w="453" w:type="pct"/>
                  <w:vAlign w:val="bottom"/>
                </w:tcPr>
                <w:p w:rsidR="007622D9" w:rsidRPr="00462EAC" w:rsidRDefault="007622D9" w:rsidP="000F46A8">
                  <w:pPr>
                    <w:pStyle w:val="TableBodyText"/>
                    <w:ind w:left="0" w:right="0"/>
                    <w:jc w:val="left"/>
                    <w:rPr>
                      <w:rFonts w:asciiTheme="majorHAnsi" w:hAnsiTheme="majorHAnsi" w:cstheme="majorHAnsi"/>
                      <w:szCs w:val="18"/>
                    </w:rPr>
                  </w:pPr>
                  <w:r>
                    <w:rPr>
                      <w:rFonts w:asciiTheme="majorHAnsi" w:hAnsiTheme="majorHAnsi" w:cstheme="majorHAnsi"/>
                      <w:szCs w:val="18"/>
                    </w:rPr>
                    <w:t>2012</w:t>
                  </w:r>
                </w:p>
              </w:tc>
              <w:tc>
                <w:tcPr>
                  <w:tcW w:w="453" w:type="pct"/>
                </w:tcPr>
                <w:p w:rsidR="007622D9" w:rsidRPr="00CD240C" w:rsidRDefault="007622D9" w:rsidP="00831ED7">
                  <w:pPr>
                    <w:pStyle w:val="TableBodyText"/>
                  </w:pPr>
                  <w:r w:rsidRPr="00CD240C">
                    <w:t xml:space="preserve">  98.9</w:t>
                  </w:r>
                </w:p>
              </w:tc>
              <w:tc>
                <w:tcPr>
                  <w:tcW w:w="510" w:type="pct"/>
                </w:tcPr>
                <w:p w:rsidR="007622D9" w:rsidRPr="00CD240C" w:rsidRDefault="007622D9" w:rsidP="00831ED7">
                  <w:pPr>
                    <w:pStyle w:val="TableBodyText"/>
                  </w:pPr>
                  <w:r w:rsidRPr="00CD240C">
                    <w:t xml:space="preserve">  96.9</w:t>
                  </w:r>
                </w:p>
              </w:tc>
              <w:tc>
                <w:tcPr>
                  <w:tcW w:w="581" w:type="pct"/>
                </w:tcPr>
                <w:p w:rsidR="007622D9" w:rsidRPr="00CD240C" w:rsidRDefault="007622D9" w:rsidP="00831ED7">
                  <w:pPr>
                    <w:pStyle w:val="TableBodyText"/>
                  </w:pPr>
                  <w:r w:rsidRPr="00CD240C">
                    <w:t xml:space="preserve">  98.6</w:t>
                  </w:r>
                </w:p>
              </w:tc>
              <w:tc>
                <w:tcPr>
                  <w:tcW w:w="500" w:type="pct"/>
                </w:tcPr>
                <w:p w:rsidR="007622D9" w:rsidRPr="00CD240C" w:rsidRDefault="007622D9" w:rsidP="00831ED7">
                  <w:pPr>
                    <w:pStyle w:val="TableBodyText"/>
                  </w:pPr>
                  <w:r w:rsidRPr="00CD240C">
                    <w:t xml:space="preserve">  96.3</w:t>
                  </w:r>
                </w:p>
              </w:tc>
              <w:tc>
                <w:tcPr>
                  <w:tcW w:w="499" w:type="pct"/>
                </w:tcPr>
                <w:p w:rsidR="007622D9" w:rsidRPr="00CD240C" w:rsidRDefault="007622D9" w:rsidP="00831ED7">
                  <w:pPr>
                    <w:pStyle w:val="TableBodyText"/>
                  </w:pPr>
                  <w:r w:rsidRPr="00CD240C">
                    <w:t xml:space="preserve">  96.0</w:t>
                  </w:r>
                </w:p>
              </w:tc>
              <w:tc>
                <w:tcPr>
                  <w:tcW w:w="500" w:type="pct"/>
                </w:tcPr>
                <w:p w:rsidR="007622D9" w:rsidRPr="00CD240C" w:rsidRDefault="007622D9" w:rsidP="00831ED7">
                  <w:pPr>
                    <w:pStyle w:val="TableBodyText"/>
                  </w:pPr>
                  <w:r w:rsidRPr="00CD240C">
                    <w:t xml:space="preserve">  97.3</w:t>
                  </w:r>
                </w:p>
              </w:tc>
              <w:tc>
                <w:tcPr>
                  <w:tcW w:w="500" w:type="pct"/>
                </w:tcPr>
                <w:p w:rsidR="007622D9" w:rsidRPr="00CD240C" w:rsidRDefault="007622D9" w:rsidP="00831ED7">
                  <w:pPr>
                    <w:pStyle w:val="TableBodyText"/>
                  </w:pPr>
                  <w:r w:rsidRPr="00CD240C">
                    <w:t xml:space="preserve">  98.6</w:t>
                  </w:r>
                </w:p>
              </w:tc>
              <w:tc>
                <w:tcPr>
                  <w:tcW w:w="500" w:type="pct"/>
                </w:tcPr>
                <w:p w:rsidR="007622D9" w:rsidRPr="00CD240C" w:rsidRDefault="007622D9" w:rsidP="00831ED7">
                  <w:pPr>
                    <w:pStyle w:val="TableBodyText"/>
                  </w:pPr>
                  <w:r w:rsidRPr="00CD240C">
                    <w:t xml:space="preserve">  95.4</w:t>
                  </w:r>
                </w:p>
              </w:tc>
              <w:tc>
                <w:tcPr>
                  <w:tcW w:w="488" w:type="pct"/>
                </w:tcPr>
                <w:p w:rsidR="007622D9" w:rsidRPr="00CD240C" w:rsidRDefault="007622D9" w:rsidP="001E26BC">
                  <w:pPr>
                    <w:pStyle w:val="TableBodyText"/>
                  </w:pPr>
                  <w:r w:rsidRPr="00CD240C">
                    <w:t xml:space="preserve">  97.7</w:t>
                  </w:r>
                </w:p>
              </w:tc>
              <w:tc>
                <w:tcPr>
                  <w:tcW w:w="15" w:type="pct"/>
                </w:tcPr>
                <w:p w:rsidR="007622D9" w:rsidRPr="00CD240C" w:rsidRDefault="007622D9" w:rsidP="001E26BC">
                  <w:pPr>
                    <w:pStyle w:val="TableBodyText"/>
                  </w:pPr>
                </w:p>
              </w:tc>
            </w:tr>
            <w:tr w:rsidR="007622D9" w:rsidRPr="006C4B07" w:rsidTr="00970B14">
              <w:tc>
                <w:tcPr>
                  <w:tcW w:w="453" w:type="pct"/>
                  <w:vAlign w:val="bottom"/>
                </w:tcPr>
                <w:p w:rsidR="007622D9" w:rsidRPr="00462EAC" w:rsidRDefault="007622D9" w:rsidP="000F46A8">
                  <w:pPr>
                    <w:pStyle w:val="TableBodyText"/>
                    <w:ind w:left="0" w:right="0"/>
                    <w:jc w:val="left"/>
                    <w:rPr>
                      <w:rFonts w:asciiTheme="majorHAnsi" w:hAnsiTheme="majorHAnsi" w:cstheme="majorHAnsi"/>
                      <w:szCs w:val="18"/>
                    </w:rPr>
                  </w:pPr>
                  <w:r>
                    <w:rPr>
                      <w:rFonts w:asciiTheme="majorHAnsi" w:hAnsiTheme="majorHAnsi" w:cstheme="majorHAnsi"/>
                      <w:szCs w:val="18"/>
                    </w:rPr>
                    <w:t>2011</w:t>
                  </w:r>
                </w:p>
              </w:tc>
              <w:tc>
                <w:tcPr>
                  <w:tcW w:w="453" w:type="pct"/>
                </w:tcPr>
                <w:p w:rsidR="007622D9" w:rsidRPr="00CD240C" w:rsidRDefault="007622D9" w:rsidP="00831ED7">
                  <w:pPr>
                    <w:pStyle w:val="TableBodyText"/>
                  </w:pPr>
                  <w:r w:rsidRPr="00CD240C">
                    <w:t xml:space="preserve">  99.9</w:t>
                  </w:r>
                </w:p>
              </w:tc>
              <w:tc>
                <w:tcPr>
                  <w:tcW w:w="510" w:type="pct"/>
                </w:tcPr>
                <w:p w:rsidR="007622D9" w:rsidRPr="00CD240C" w:rsidRDefault="007622D9" w:rsidP="00831ED7">
                  <w:pPr>
                    <w:pStyle w:val="TableBodyText"/>
                  </w:pPr>
                  <w:r w:rsidRPr="00CD240C">
                    <w:t xml:space="preserve">  96.9</w:t>
                  </w:r>
                </w:p>
              </w:tc>
              <w:tc>
                <w:tcPr>
                  <w:tcW w:w="581" w:type="pct"/>
                </w:tcPr>
                <w:p w:rsidR="007622D9" w:rsidRPr="00CD240C" w:rsidRDefault="007622D9" w:rsidP="00831ED7">
                  <w:pPr>
                    <w:pStyle w:val="TableBodyText"/>
                  </w:pPr>
                  <w:r w:rsidRPr="00CD240C">
                    <w:t xml:space="preserve">  98.6</w:t>
                  </w:r>
                </w:p>
              </w:tc>
              <w:tc>
                <w:tcPr>
                  <w:tcW w:w="500" w:type="pct"/>
                </w:tcPr>
                <w:p w:rsidR="007622D9" w:rsidRPr="00CD240C" w:rsidRDefault="007622D9" w:rsidP="00831ED7">
                  <w:pPr>
                    <w:pStyle w:val="TableBodyText"/>
                  </w:pPr>
                  <w:r w:rsidRPr="00CD240C">
                    <w:t xml:space="preserve">  96.1</w:t>
                  </w:r>
                </w:p>
              </w:tc>
              <w:tc>
                <w:tcPr>
                  <w:tcW w:w="499" w:type="pct"/>
                </w:tcPr>
                <w:p w:rsidR="007622D9" w:rsidRPr="00CD240C" w:rsidRDefault="007622D9" w:rsidP="00831ED7">
                  <w:pPr>
                    <w:pStyle w:val="TableBodyText"/>
                  </w:pPr>
                  <w:r w:rsidRPr="00CD240C">
                    <w:t xml:space="preserve">  95.8</w:t>
                  </w:r>
                </w:p>
              </w:tc>
              <w:tc>
                <w:tcPr>
                  <w:tcW w:w="500" w:type="pct"/>
                </w:tcPr>
                <w:p w:rsidR="007622D9" w:rsidRPr="00CD240C" w:rsidRDefault="007622D9" w:rsidP="00831ED7">
                  <w:pPr>
                    <w:pStyle w:val="TableBodyText"/>
                  </w:pPr>
                  <w:r w:rsidRPr="00CD240C">
                    <w:t xml:space="preserve">  98.4</w:t>
                  </w:r>
                </w:p>
              </w:tc>
              <w:tc>
                <w:tcPr>
                  <w:tcW w:w="500" w:type="pct"/>
                </w:tcPr>
                <w:p w:rsidR="007622D9" w:rsidRPr="00CD240C" w:rsidRDefault="007622D9" w:rsidP="00831ED7">
                  <w:pPr>
                    <w:pStyle w:val="TableBodyText"/>
                  </w:pPr>
                  <w:r w:rsidRPr="00CD240C">
                    <w:t xml:space="preserve">  97.9</w:t>
                  </w:r>
                </w:p>
              </w:tc>
              <w:tc>
                <w:tcPr>
                  <w:tcW w:w="500" w:type="pct"/>
                </w:tcPr>
                <w:p w:rsidR="007622D9" w:rsidRPr="00CD240C" w:rsidRDefault="007622D9" w:rsidP="00831ED7">
                  <w:pPr>
                    <w:pStyle w:val="TableBodyText"/>
                  </w:pPr>
                  <w:r w:rsidRPr="00CD240C">
                    <w:t xml:space="preserve">  96.1</w:t>
                  </w:r>
                </w:p>
              </w:tc>
              <w:tc>
                <w:tcPr>
                  <w:tcW w:w="488" w:type="pct"/>
                </w:tcPr>
                <w:p w:rsidR="007622D9" w:rsidRDefault="007622D9" w:rsidP="001E26BC">
                  <w:pPr>
                    <w:pStyle w:val="TableBodyText"/>
                  </w:pPr>
                  <w:r w:rsidRPr="00CD240C">
                    <w:t xml:space="preserve">  98.0</w:t>
                  </w:r>
                </w:p>
              </w:tc>
              <w:tc>
                <w:tcPr>
                  <w:tcW w:w="15" w:type="pct"/>
                </w:tcPr>
                <w:p w:rsidR="007622D9" w:rsidRDefault="007622D9" w:rsidP="001E26BC">
                  <w:pPr>
                    <w:pStyle w:val="TableBodyText"/>
                  </w:pPr>
                </w:p>
              </w:tc>
            </w:tr>
            <w:tr w:rsidR="007622D9" w:rsidRPr="00407BC2" w:rsidTr="000F46A8">
              <w:tc>
                <w:tcPr>
                  <w:tcW w:w="5000" w:type="pct"/>
                  <w:gridSpan w:val="11"/>
                  <w:vAlign w:val="bottom"/>
                </w:tcPr>
                <w:p w:rsidR="007622D9" w:rsidRPr="00462EAC" w:rsidRDefault="007622D9" w:rsidP="00831ED7">
                  <w:pPr>
                    <w:pStyle w:val="TableBodyText"/>
                    <w:jc w:val="left"/>
                    <w:rPr>
                      <w:rFonts w:asciiTheme="majorHAnsi" w:hAnsiTheme="majorHAnsi" w:cstheme="majorHAnsi"/>
                      <w:szCs w:val="18"/>
                    </w:rPr>
                  </w:pPr>
                  <w:r w:rsidRPr="00462EAC">
                    <w:rPr>
                      <w:rStyle w:val="TableColumnHeadingChar"/>
                      <w:rFonts w:asciiTheme="majorHAnsi" w:hAnsiTheme="majorHAnsi" w:cstheme="majorHAnsi"/>
                      <w:szCs w:val="18"/>
                    </w:rPr>
                    <w:t>SOMIH</w:t>
                  </w:r>
                </w:p>
              </w:tc>
            </w:tr>
            <w:tr w:rsidR="007622D9" w:rsidTr="00970B14">
              <w:tc>
                <w:tcPr>
                  <w:tcW w:w="453" w:type="pct"/>
                  <w:vAlign w:val="bottom"/>
                </w:tcPr>
                <w:p w:rsidR="007622D9" w:rsidRPr="00462EAC" w:rsidRDefault="007622D9" w:rsidP="008F3D04">
                  <w:pPr>
                    <w:pStyle w:val="TableBodyText"/>
                    <w:ind w:left="0" w:right="0"/>
                    <w:jc w:val="left"/>
                    <w:rPr>
                      <w:rFonts w:asciiTheme="majorHAnsi" w:hAnsiTheme="majorHAnsi" w:cstheme="majorHAnsi"/>
                      <w:szCs w:val="18"/>
                    </w:rPr>
                  </w:pPr>
                  <w:r>
                    <w:rPr>
                      <w:rFonts w:asciiTheme="majorHAnsi" w:hAnsiTheme="majorHAnsi" w:cstheme="majorHAnsi"/>
                      <w:szCs w:val="18"/>
                    </w:rPr>
                    <w:t>2015</w:t>
                  </w:r>
                </w:p>
              </w:tc>
              <w:tc>
                <w:tcPr>
                  <w:tcW w:w="453" w:type="pct"/>
                </w:tcPr>
                <w:p w:rsidR="007622D9" w:rsidRPr="005F7F56" w:rsidRDefault="007622D9" w:rsidP="00831ED7">
                  <w:pPr>
                    <w:pStyle w:val="TableBodyText"/>
                  </w:pPr>
                  <w:r w:rsidRPr="005F7F56">
                    <w:t xml:space="preserve">  97.6</w:t>
                  </w:r>
                </w:p>
              </w:tc>
              <w:tc>
                <w:tcPr>
                  <w:tcW w:w="510" w:type="pct"/>
                </w:tcPr>
                <w:p w:rsidR="007622D9" w:rsidRPr="00F93D19" w:rsidRDefault="007622D9" w:rsidP="00831ED7">
                  <w:pPr>
                    <w:pStyle w:val="TableBodyText"/>
                  </w:pPr>
                  <w:r w:rsidRPr="00F93D19">
                    <w:t>..</w:t>
                  </w:r>
                </w:p>
              </w:tc>
              <w:tc>
                <w:tcPr>
                  <w:tcW w:w="581" w:type="pct"/>
                </w:tcPr>
                <w:p w:rsidR="007622D9" w:rsidRPr="0087210F" w:rsidRDefault="007622D9" w:rsidP="00831ED7">
                  <w:pPr>
                    <w:pStyle w:val="TableBodyText"/>
                  </w:pPr>
                  <w:r w:rsidRPr="0087210F">
                    <w:t xml:space="preserve">  96.6</w:t>
                  </w:r>
                </w:p>
              </w:tc>
              <w:tc>
                <w:tcPr>
                  <w:tcW w:w="500" w:type="pct"/>
                </w:tcPr>
                <w:p w:rsidR="007622D9" w:rsidRPr="0087210F" w:rsidRDefault="007622D9" w:rsidP="00831ED7">
                  <w:pPr>
                    <w:pStyle w:val="TableBodyText"/>
                  </w:pPr>
                  <w:r w:rsidRPr="0087210F">
                    <w:t>..</w:t>
                  </w:r>
                </w:p>
              </w:tc>
              <w:tc>
                <w:tcPr>
                  <w:tcW w:w="499" w:type="pct"/>
                </w:tcPr>
                <w:p w:rsidR="007622D9" w:rsidRPr="0087210F" w:rsidRDefault="007622D9" w:rsidP="00831ED7">
                  <w:pPr>
                    <w:pStyle w:val="TableBodyText"/>
                  </w:pPr>
                  <w:r w:rsidRPr="0087210F">
                    <w:t xml:space="preserve">  95.8</w:t>
                  </w:r>
                </w:p>
              </w:tc>
              <w:tc>
                <w:tcPr>
                  <w:tcW w:w="500" w:type="pct"/>
                </w:tcPr>
                <w:p w:rsidR="007622D9" w:rsidRPr="0087210F" w:rsidRDefault="007622D9" w:rsidP="00831ED7">
                  <w:pPr>
                    <w:pStyle w:val="TableBodyText"/>
                  </w:pPr>
                  <w:r w:rsidRPr="0087210F">
                    <w:t xml:space="preserve">  98.6</w:t>
                  </w:r>
                </w:p>
              </w:tc>
              <w:tc>
                <w:tcPr>
                  <w:tcW w:w="500" w:type="pct"/>
                </w:tcPr>
                <w:p w:rsidR="007622D9" w:rsidRPr="0087210F" w:rsidRDefault="007622D9" w:rsidP="001E26BC">
                  <w:pPr>
                    <w:pStyle w:val="TableBodyText"/>
                  </w:pPr>
                  <w:r w:rsidRPr="0087210F">
                    <w:t>..</w:t>
                  </w:r>
                </w:p>
              </w:tc>
              <w:tc>
                <w:tcPr>
                  <w:tcW w:w="500" w:type="pct"/>
                </w:tcPr>
                <w:p w:rsidR="007622D9" w:rsidRPr="0087210F" w:rsidRDefault="007622D9" w:rsidP="00831ED7">
                  <w:pPr>
                    <w:pStyle w:val="TableBodyText"/>
                  </w:pPr>
                  <w:r w:rsidRPr="0087210F">
                    <w:t>..</w:t>
                  </w:r>
                </w:p>
              </w:tc>
              <w:tc>
                <w:tcPr>
                  <w:tcW w:w="488" w:type="pct"/>
                </w:tcPr>
                <w:p w:rsidR="007622D9" w:rsidRPr="00605E75" w:rsidRDefault="007622D9" w:rsidP="001E26BC">
                  <w:pPr>
                    <w:pStyle w:val="TableBodyText"/>
                  </w:pPr>
                  <w:r w:rsidRPr="00605E75">
                    <w:t xml:space="preserve">  97.0</w:t>
                  </w:r>
                </w:p>
              </w:tc>
              <w:tc>
                <w:tcPr>
                  <w:tcW w:w="15" w:type="pct"/>
                </w:tcPr>
                <w:p w:rsidR="007622D9" w:rsidRPr="00605E75" w:rsidRDefault="007622D9" w:rsidP="00831ED7">
                  <w:pPr>
                    <w:pStyle w:val="TableBodyText"/>
                  </w:pPr>
                </w:p>
              </w:tc>
            </w:tr>
            <w:tr w:rsidR="007622D9" w:rsidTr="00970B14">
              <w:tc>
                <w:tcPr>
                  <w:tcW w:w="453" w:type="pct"/>
                  <w:vAlign w:val="bottom"/>
                </w:tcPr>
                <w:p w:rsidR="007622D9" w:rsidRPr="00462EAC" w:rsidRDefault="007622D9" w:rsidP="008F3D04">
                  <w:pPr>
                    <w:pStyle w:val="TableBodyText"/>
                    <w:ind w:left="0" w:right="0"/>
                    <w:jc w:val="left"/>
                    <w:rPr>
                      <w:rFonts w:asciiTheme="majorHAnsi" w:hAnsiTheme="majorHAnsi" w:cstheme="majorHAnsi"/>
                      <w:szCs w:val="18"/>
                    </w:rPr>
                  </w:pPr>
                  <w:r>
                    <w:rPr>
                      <w:rFonts w:asciiTheme="majorHAnsi" w:hAnsiTheme="majorHAnsi" w:cstheme="majorHAnsi"/>
                      <w:szCs w:val="18"/>
                    </w:rPr>
                    <w:t>2014</w:t>
                  </w:r>
                </w:p>
              </w:tc>
              <w:tc>
                <w:tcPr>
                  <w:tcW w:w="453" w:type="pct"/>
                </w:tcPr>
                <w:p w:rsidR="007622D9" w:rsidRPr="005F7F56" w:rsidRDefault="007622D9" w:rsidP="00831ED7">
                  <w:pPr>
                    <w:pStyle w:val="TableBodyText"/>
                  </w:pPr>
                  <w:r w:rsidRPr="005F7F56">
                    <w:t xml:space="preserve">  97.2</w:t>
                  </w:r>
                </w:p>
              </w:tc>
              <w:tc>
                <w:tcPr>
                  <w:tcW w:w="510" w:type="pct"/>
                </w:tcPr>
                <w:p w:rsidR="007622D9" w:rsidRPr="00F93D19" w:rsidRDefault="007622D9" w:rsidP="00831ED7">
                  <w:pPr>
                    <w:pStyle w:val="TableBodyText"/>
                  </w:pPr>
                  <w:r w:rsidRPr="00F93D19">
                    <w:t>..</w:t>
                  </w:r>
                </w:p>
              </w:tc>
              <w:tc>
                <w:tcPr>
                  <w:tcW w:w="581" w:type="pct"/>
                </w:tcPr>
                <w:p w:rsidR="007622D9" w:rsidRPr="0087210F" w:rsidRDefault="007622D9" w:rsidP="00831ED7">
                  <w:pPr>
                    <w:pStyle w:val="TableBodyText"/>
                  </w:pPr>
                  <w:r w:rsidRPr="0087210F">
                    <w:t xml:space="preserve">  96.7</w:t>
                  </w:r>
                </w:p>
              </w:tc>
              <w:tc>
                <w:tcPr>
                  <w:tcW w:w="500" w:type="pct"/>
                </w:tcPr>
                <w:p w:rsidR="007622D9" w:rsidRPr="0087210F" w:rsidRDefault="007622D9" w:rsidP="00831ED7">
                  <w:pPr>
                    <w:pStyle w:val="TableBodyText"/>
                  </w:pPr>
                  <w:r w:rsidRPr="0087210F">
                    <w:t>..</w:t>
                  </w:r>
                </w:p>
              </w:tc>
              <w:tc>
                <w:tcPr>
                  <w:tcW w:w="499" w:type="pct"/>
                </w:tcPr>
                <w:p w:rsidR="007622D9" w:rsidRPr="0087210F" w:rsidRDefault="007622D9" w:rsidP="00831ED7">
                  <w:pPr>
                    <w:pStyle w:val="TableBodyText"/>
                  </w:pPr>
                  <w:r w:rsidRPr="0087210F">
                    <w:t xml:space="preserve">  95.9</w:t>
                  </w:r>
                </w:p>
              </w:tc>
              <w:tc>
                <w:tcPr>
                  <w:tcW w:w="500" w:type="pct"/>
                </w:tcPr>
                <w:p w:rsidR="007622D9" w:rsidRPr="0087210F" w:rsidRDefault="007622D9" w:rsidP="00831ED7">
                  <w:pPr>
                    <w:pStyle w:val="TableBodyText"/>
                  </w:pPr>
                  <w:r w:rsidRPr="0087210F">
                    <w:t xml:space="preserve">  97.2</w:t>
                  </w:r>
                </w:p>
              </w:tc>
              <w:tc>
                <w:tcPr>
                  <w:tcW w:w="500" w:type="pct"/>
                </w:tcPr>
                <w:p w:rsidR="007622D9" w:rsidRPr="0087210F" w:rsidRDefault="007622D9" w:rsidP="001E26BC">
                  <w:pPr>
                    <w:pStyle w:val="TableBodyText"/>
                  </w:pPr>
                  <w:r w:rsidRPr="0087210F">
                    <w:t>..</w:t>
                  </w:r>
                </w:p>
              </w:tc>
              <w:tc>
                <w:tcPr>
                  <w:tcW w:w="500" w:type="pct"/>
                </w:tcPr>
                <w:p w:rsidR="007622D9" w:rsidRPr="0087210F" w:rsidRDefault="007622D9" w:rsidP="00831ED7">
                  <w:pPr>
                    <w:pStyle w:val="TableBodyText"/>
                  </w:pPr>
                  <w:r w:rsidRPr="0087210F">
                    <w:t>..</w:t>
                  </w:r>
                </w:p>
              </w:tc>
              <w:tc>
                <w:tcPr>
                  <w:tcW w:w="488" w:type="pct"/>
                </w:tcPr>
                <w:p w:rsidR="007622D9" w:rsidRPr="00605E75" w:rsidRDefault="007622D9" w:rsidP="001E26BC">
                  <w:pPr>
                    <w:pStyle w:val="TableBodyText"/>
                  </w:pPr>
                  <w:r w:rsidRPr="00605E75">
                    <w:t xml:space="preserve">  96.8</w:t>
                  </w:r>
                </w:p>
              </w:tc>
              <w:tc>
                <w:tcPr>
                  <w:tcW w:w="15" w:type="pct"/>
                </w:tcPr>
                <w:p w:rsidR="007622D9" w:rsidRPr="00605E75" w:rsidRDefault="007622D9" w:rsidP="00831ED7">
                  <w:pPr>
                    <w:pStyle w:val="TableBodyText"/>
                  </w:pPr>
                </w:p>
              </w:tc>
            </w:tr>
            <w:tr w:rsidR="007622D9" w:rsidTr="00970B14">
              <w:tc>
                <w:tcPr>
                  <w:tcW w:w="453" w:type="pct"/>
                  <w:vAlign w:val="bottom"/>
                </w:tcPr>
                <w:p w:rsidR="007622D9" w:rsidRPr="00462EAC" w:rsidRDefault="007622D9" w:rsidP="008F3D04">
                  <w:pPr>
                    <w:pStyle w:val="TableBodyText"/>
                    <w:ind w:left="0" w:right="0"/>
                    <w:jc w:val="left"/>
                    <w:rPr>
                      <w:rFonts w:asciiTheme="majorHAnsi" w:hAnsiTheme="majorHAnsi" w:cstheme="majorHAnsi"/>
                      <w:szCs w:val="18"/>
                    </w:rPr>
                  </w:pPr>
                  <w:r>
                    <w:rPr>
                      <w:rFonts w:asciiTheme="majorHAnsi" w:hAnsiTheme="majorHAnsi" w:cstheme="majorHAnsi"/>
                      <w:szCs w:val="18"/>
                    </w:rPr>
                    <w:t>2013</w:t>
                  </w:r>
                </w:p>
              </w:tc>
              <w:tc>
                <w:tcPr>
                  <w:tcW w:w="453" w:type="pct"/>
                </w:tcPr>
                <w:p w:rsidR="007622D9" w:rsidRPr="005F7F56" w:rsidRDefault="007622D9" w:rsidP="00831ED7">
                  <w:pPr>
                    <w:pStyle w:val="TableBodyText"/>
                  </w:pPr>
                  <w:r w:rsidRPr="005F7F56">
                    <w:t xml:space="preserve">  98.1</w:t>
                  </w:r>
                </w:p>
              </w:tc>
              <w:tc>
                <w:tcPr>
                  <w:tcW w:w="510" w:type="pct"/>
                </w:tcPr>
                <w:p w:rsidR="007622D9" w:rsidRPr="00F93D19" w:rsidRDefault="007622D9" w:rsidP="00831ED7">
                  <w:pPr>
                    <w:pStyle w:val="TableBodyText"/>
                  </w:pPr>
                  <w:r w:rsidRPr="00F93D19">
                    <w:t>..</w:t>
                  </w:r>
                </w:p>
              </w:tc>
              <w:tc>
                <w:tcPr>
                  <w:tcW w:w="581" w:type="pct"/>
                </w:tcPr>
                <w:p w:rsidR="007622D9" w:rsidRPr="0087210F" w:rsidRDefault="007622D9" w:rsidP="00831ED7">
                  <w:pPr>
                    <w:pStyle w:val="TableBodyText"/>
                  </w:pPr>
                  <w:r w:rsidRPr="0087210F">
                    <w:t xml:space="preserve">  96.5</w:t>
                  </w:r>
                </w:p>
              </w:tc>
              <w:tc>
                <w:tcPr>
                  <w:tcW w:w="500" w:type="pct"/>
                </w:tcPr>
                <w:p w:rsidR="007622D9" w:rsidRPr="0087210F" w:rsidRDefault="007622D9" w:rsidP="00831ED7">
                  <w:pPr>
                    <w:pStyle w:val="TableBodyText"/>
                  </w:pPr>
                  <w:r w:rsidRPr="0087210F">
                    <w:t>..</w:t>
                  </w:r>
                </w:p>
              </w:tc>
              <w:tc>
                <w:tcPr>
                  <w:tcW w:w="499" w:type="pct"/>
                </w:tcPr>
                <w:p w:rsidR="007622D9" w:rsidRPr="0087210F" w:rsidRDefault="007622D9" w:rsidP="00831ED7">
                  <w:pPr>
                    <w:pStyle w:val="TableBodyText"/>
                  </w:pPr>
                  <w:r w:rsidRPr="0087210F">
                    <w:t xml:space="preserve">  97.3</w:t>
                  </w:r>
                </w:p>
              </w:tc>
              <w:tc>
                <w:tcPr>
                  <w:tcW w:w="500" w:type="pct"/>
                </w:tcPr>
                <w:p w:rsidR="007622D9" w:rsidRPr="0087210F" w:rsidRDefault="007622D9" w:rsidP="00831ED7">
                  <w:pPr>
                    <w:pStyle w:val="TableBodyText"/>
                  </w:pPr>
                  <w:r w:rsidRPr="0087210F">
                    <w:t xml:space="preserve">  97.6</w:t>
                  </w:r>
                </w:p>
              </w:tc>
              <w:tc>
                <w:tcPr>
                  <w:tcW w:w="500" w:type="pct"/>
                </w:tcPr>
                <w:p w:rsidR="007622D9" w:rsidRPr="0087210F" w:rsidRDefault="007622D9" w:rsidP="001E26BC">
                  <w:pPr>
                    <w:pStyle w:val="TableBodyText"/>
                  </w:pPr>
                  <w:r w:rsidRPr="0087210F">
                    <w:t>..</w:t>
                  </w:r>
                </w:p>
              </w:tc>
              <w:tc>
                <w:tcPr>
                  <w:tcW w:w="500" w:type="pct"/>
                </w:tcPr>
                <w:p w:rsidR="007622D9" w:rsidRPr="0087210F" w:rsidRDefault="007622D9" w:rsidP="00831ED7">
                  <w:pPr>
                    <w:pStyle w:val="TableBodyText"/>
                  </w:pPr>
                  <w:r w:rsidRPr="0087210F">
                    <w:t>..</w:t>
                  </w:r>
                </w:p>
              </w:tc>
              <w:tc>
                <w:tcPr>
                  <w:tcW w:w="488" w:type="pct"/>
                </w:tcPr>
                <w:p w:rsidR="007622D9" w:rsidRPr="00605E75" w:rsidRDefault="007622D9" w:rsidP="001E26BC">
                  <w:pPr>
                    <w:pStyle w:val="TableBodyText"/>
                  </w:pPr>
                  <w:r w:rsidRPr="00605E75">
                    <w:t xml:space="preserve">  95.3</w:t>
                  </w:r>
                </w:p>
              </w:tc>
              <w:tc>
                <w:tcPr>
                  <w:tcW w:w="15" w:type="pct"/>
                </w:tcPr>
                <w:p w:rsidR="007622D9" w:rsidRPr="00605E75" w:rsidRDefault="007622D9" w:rsidP="00831ED7">
                  <w:pPr>
                    <w:pStyle w:val="TableBodyText"/>
                  </w:pPr>
                </w:p>
              </w:tc>
            </w:tr>
            <w:tr w:rsidR="007622D9" w:rsidTr="00970B14">
              <w:tc>
                <w:tcPr>
                  <w:tcW w:w="453" w:type="pct"/>
                  <w:vAlign w:val="bottom"/>
                </w:tcPr>
                <w:p w:rsidR="007622D9" w:rsidRPr="00462EAC" w:rsidRDefault="007622D9" w:rsidP="008F3D04">
                  <w:pPr>
                    <w:pStyle w:val="TableBodyText"/>
                    <w:ind w:left="0" w:right="0"/>
                    <w:jc w:val="left"/>
                    <w:rPr>
                      <w:rFonts w:asciiTheme="majorHAnsi" w:hAnsiTheme="majorHAnsi" w:cstheme="majorHAnsi"/>
                      <w:szCs w:val="18"/>
                    </w:rPr>
                  </w:pPr>
                  <w:r>
                    <w:rPr>
                      <w:rFonts w:asciiTheme="majorHAnsi" w:hAnsiTheme="majorHAnsi" w:cstheme="majorHAnsi"/>
                      <w:szCs w:val="18"/>
                    </w:rPr>
                    <w:t>2012</w:t>
                  </w:r>
                </w:p>
              </w:tc>
              <w:tc>
                <w:tcPr>
                  <w:tcW w:w="453" w:type="pct"/>
                </w:tcPr>
                <w:p w:rsidR="007622D9" w:rsidRPr="005F7F56" w:rsidRDefault="007622D9" w:rsidP="00831ED7">
                  <w:pPr>
                    <w:pStyle w:val="TableBodyText"/>
                  </w:pPr>
                  <w:r w:rsidRPr="005F7F56">
                    <w:t xml:space="preserve">  97.7</w:t>
                  </w:r>
                </w:p>
              </w:tc>
              <w:tc>
                <w:tcPr>
                  <w:tcW w:w="510" w:type="pct"/>
                </w:tcPr>
                <w:p w:rsidR="007622D9" w:rsidRPr="00F93D19" w:rsidRDefault="007622D9" w:rsidP="00831ED7">
                  <w:pPr>
                    <w:pStyle w:val="TableBodyText"/>
                  </w:pPr>
                  <w:r w:rsidRPr="00F93D19">
                    <w:t>..</w:t>
                  </w:r>
                </w:p>
              </w:tc>
              <w:tc>
                <w:tcPr>
                  <w:tcW w:w="581" w:type="pct"/>
                </w:tcPr>
                <w:p w:rsidR="007622D9" w:rsidRPr="0087210F" w:rsidRDefault="007622D9" w:rsidP="00831ED7">
                  <w:pPr>
                    <w:pStyle w:val="TableBodyText"/>
                  </w:pPr>
                  <w:r w:rsidRPr="0087210F">
                    <w:t xml:space="preserve">  95.2</w:t>
                  </w:r>
                </w:p>
              </w:tc>
              <w:tc>
                <w:tcPr>
                  <w:tcW w:w="500" w:type="pct"/>
                </w:tcPr>
                <w:p w:rsidR="007622D9" w:rsidRPr="0087210F" w:rsidRDefault="007622D9" w:rsidP="00831ED7">
                  <w:pPr>
                    <w:pStyle w:val="TableBodyText"/>
                  </w:pPr>
                  <w:r w:rsidRPr="0087210F">
                    <w:t>..</w:t>
                  </w:r>
                </w:p>
              </w:tc>
              <w:tc>
                <w:tcPr>
                  <w:tcW w:w="499" w:type="pct"/>
                </w:tcPr>
                <w:p w:rsidR="007622D9" w:rsidRPr="0087210F" w:rsidRDefault="007622D9" w:rsidP="00831ED7">
                  <w:pPr>
                    <w:pStyle w:val="TableBodyText"/>
                  </w:pPr>
                  <w:r w:rsidRPr="0087210F">
                    <w:t xml:space="preserve">  96.0</w:t>
                  </w:r>
                </w:p>
              </w:tc>
              <w:tc>
                <w:tcPr>
                  <w:tcW w:w="500" w:type="pct"/>
                </w:tcPr>
                <w:p w:rsidR="007622D9" w:rsidRPr="0087210F" w:rsidRDefault="007622D9" w:rsidP="00831ED7">
                  <w:pPr>
                    <w:pStyle w:val="TableBodyText"/>
                  </w:pPr>
                  <w:r w:rsidRPr="0087210F">
                    <w:t xml:space="preserve">  96.8</w:t>
                  </w:r>
                </w:p>
              </w:tc>
              <w:tc>
                <w:tcPr>
                  <w:tcW w:w="500" w:type="pct"/>
                </w:tcPr>
                <w:p w:rsidR="007622D9" w:rsidRPr="0087210F" w:rsidRDefault="007622D9" w:rsidP="001E26BC">
                  <w:pPr>
                    <w:pStyle w:val="TableBodyText"/>
                  </w:pPr>
                  <w:r w:rsidRPr="0087210F">
                    <w:t>..</w:t>
                  </w:r>
                </w:p>
              </w:tc>
              <w:tc>
                <w:tcPr>
                  <w:tcW w:w="500" w:type="pct"/>
                </w:tcPr>
                <w:p w:rsidR="007622D9" w:rsidRPr="0087210F" w:rsidRDefault="007622D9" w:rsidP="00831ED7">
                  <w:pPr>
                    <w:pStyle w:val="TableBodyText"/>
                  </w:pPr>
                  <w:r w:rsidRPr="0087210F">
                    <w:t>..</w:t>
                  </w:r>
                </w:p>
              </w:tc>
              <w:tc>
                <w:tcPr>
                  <w:tcW w:w="488" w:type="pct"/>
                </w:tcPr>
                <w:p w:rsidR="007622D9" w:rsidRPr="00605E75" w:rsidRDefault="007622D9" w:rsidP="001E26BC">
                  <w:pPr>
                    <w:pStyle w:val="TableBodyText"/>
                  </w:pPr>
                  <w:r w:rsidRPr="00605E75">
                    <w:t xml:space="preserve">  96.5</w:t>
                  </w:r>
                </w:p>
              </w:tc>
              <w:tc>
                <w:tcPr>
                  <w:tcW w:w="15" w:type="pct"/>
                </w:tcPr>
                <w:p w:rsidR="007622D9" w:rsidRPr="00605E75" w:rsidRDefault="007622D9" w:rsidP="00831ED7">
                  <w:pPr>
                    <w:pStyle w:val="TableBodyText"/>
                  </w:pPr>
                </w:p>
              </w:tc>
            </w:tr>
            <w:tr w:rsidR="007622D9" w:rsidTr="00970B14">
              <w:tc>
                <w:tcPr>
                  <w:tcW w:w="453" w:type="pct"/>
                  <w:vAlign w:val="bottom"/>
                </w:tcPr>
                <w:p w:rsidR="007622D9" w:rsidRPr="00462EAC" w:rsidRDefault="007622D9" w:rsidP="008F3D04">
                  <w:pPr>
                    <w:pStyle w:val="TableBodyText"/>
                    <w:ind w:left="0" w:right="0"/>
                    <w:jc w:val="left"/>
                    <w:rPr>
                      <w:rFonts w:asciiTheme="majorHAnsi" w:hAnsiTheme="majorHAnsi" w:cstheme="majorHAnsi"/>
                      <w:szCs w:val="18"/>
                    </w:rPr>
                  </w:pPr>
                  <w:r>
                    <w:rPr>
                      <w:rFonts w:asciiTheme="majorHAnsi" w:hAnsiTheme="majorHAnsi" w:cstheme="majorHAnsi"/>
                      <w:szCs w:val="18"/>
                    </w:rPr>
                    <w:t>2011</w:t>
                  </w:r>
                </w:p>
              </w:tc>
              <w:tc>
                <w:tcPr>
                  <w:tcW w:w="453" w:type="pct"/>
                </w:tcPr>
                <w:p w:rsidR="007622D9" w:rsidRDefault="007622D9" w:rsidP="00831ED7">
                  <w:pPr>
                    <w:pStyle w:val="TableBodyText"/>
                  </w:pPr>
                  <w:r w:rsidRPr="005F7F56">
                    <w:t xml:space="preserve">  99.9</w:t>
                  </w:r>
                </w:p>
              </w:tc>
              <w:tc>
                <w:tcPr>
                  <w:tcW w:w="510" w:type="pct"/>
                </w:tcPr>
                <w:p w:rsidR="007622D9" w:rsidRDefault="007622D9" w:rsidP="00831ED7">
                  <w:pPr>
                    <w:pStyle w:val="TableBodyText"/>
                  </w:pPr>
                  <w:r w:rsidRPr="00F93D19">
                    <w:t>..</w:t>
                  </w:r>
                </w:p>
              </w:tc>
              <w:tc>
                <w:tcPr>
                  <w:tcW w:w="581" w:type="pct"/>
                </w:tcPr>
                <w:p w:rsidR="007622D9" w:rsidRPr="0087210F" w:rsidRDefault="007622D9" w:rsidP="00831ED7">
                  <w:pPr>
                    <w:pStyle w:val="TableBodyText"/>
                  </w:pPr>
                  <w:r w:rsidRPr="0087210F">
                    <w:t xml:space="preserve">  95.7</w:t>
                  </w:r>
                </w:p>
              </w:tc>
              <w:tc>
                <w:tcPr>
                  <w:tcW w:w="500" w:type="pct"/>
                </w:tcPr>
                <w:p w:rsidR="007622D9" w:rsidRPr="0087210F" w:rsidRDefault="007622D9" w:rsidP="00831ED7">
                  <w:pPr>
                    <w:pStyle w:val="TableBodyText"/>
                  </w:pPr>
                  <w:r w:rsidRPr="0087210F">
                    <w:t>..</w:t>
                  </w:r>
                </w:p>
              </w:tc>
              <w:tc>
                <w:tcPr>
                  <w:tcW w:w="499" w:type="pct"/>
                </w:tcPr>
                <w:p w:rsidR="007622D9" w:rsidRPr="0087210F" w:rsidRDefault="007622D9" w:rsidP="00831ED7">
                  <w:pPr>
                    <w:pStyle w:val="TableBodyText"/>
                  </w:pPr>
                  <w:r w:rsidRPr="0087210F">
                    <w:t xml:space="preserve">  94.6</w:t>
                  </w:r>
                </w:p>
              </w:tc>
              <w:tc>
                <w:tcPr>
                  <w:tcW w:w="500" w:type="pct"/>
                </w:tcPr>
                <w:p w:rsidR="007622D9" w:rsidRDefault="007622D9" w:rsidP="00831ED7">
                  <w:pPr>
                    <w:pStyle w:val="TableBodyText"/>
                  </w:pPr>
                  <w:r w:rsidRPr="0087210F">
                    <w:t xml:space="preserve">  98.0</w:t>
                  </w:r>
                </w:p>
              </w:tc>
              <w:tc>
                <w:tcPr>
                  <w:tcW w:w="500" w:type="pct"/>
                </w:tcPr>
                <w:p w:rsidR="007622D9" w:rsidRPr="0087210F" w:rsidRDefault="007622D9" w:rsidP="001E26BC">
                  <w:pPr>
                    <w:pStyle w:val="TableBodyText"/>
                  </w:pPr>
                  <w:r w:rsidRPr="0087210F">
                    <w:t>..</w:t>
                  </w:r>
                </w:p>
              </w:tc>
              <w:tc>
                <w:tcPr>
                  <w:tcW w:w="500" w:type="pct"/>
                </w:tcPr>
                <w:p w:rsidR="007622D9" w:rsidRPr="0087210F" w:rsidRDefault="007622D9" w:rsidP="00831ED7">
                  <w:pPr>
                    <w:pStyle w:val="TableBodyText"/>
                  </w:pPr>
                  <w:r w:rsidRPr="0087210F">
                    <w:t>..</w:t>
                  </w:r>
                </w:p>
              </w:tc>
              <w:tc>
                <w:tcPr>
                  <w:tcW w:w="488" w:type="pct"/>
                </w:tcPr>
                <w:p w:rsidR="007622D9" w:rsidRDefault="007622D9" w:rsidP="001E26BC">
                  <w:pPr>
                    <w:pStyle w:val="TableBodyText"/>
                  </w:pPr>
                  <w:r w:rsidRPr="00605E75">
                    <w:t xml:space="preserve">  97.4</w:t>
                  </w:r>
                </w:p>
              </w:tc>
              <w:tc>
                <w:tcPr>
                  <w:tcW w:w="15" w:type="pct"/>
                </w:tcPr>
                <w:p w:rsidR="007622D9" w:rsidRDefault="007622D9" w:rsidP="00831ED7">
                  <w:pPr>
                    <w:pStyle w:val="TableBodyText"/>
                  </w:pPr>
                </w:p>
              </w:tc>
            </w:tr>
            <w:tr w:rsidR="007622D9" w:rsidRPr="000E644A" w:rsidTr="0048696D">
              <w:trPr>
                <w:trHeight w:val="318"/>
              </w:trPr>
              <w:tc>
                <w:tcPr>
                  <w:tcW w:w="5000" w:type="pct"/>
                  <w:gridSpan w:val="11"/>
                  <w:shd w:val="clear" w:color="auto" w:fill="auto"/>
                  <w:vAlign w:val="bottom"/>
                </w:tcPr>
                <w:p w:rsidR="00970B14" w:rsidRPr="00970B14" w:rsidRDefault="007622D9" w:rsidP="00831ED7">
                  <w:pPr>
                    <w:pStyle w:val="TableBodyText"/>
                    <w:jc w:val="left"/>
                    <w:rPr>
                      <w:rStyle w:val="DraftingNote"/>
                      <w:rFonts w:asciiTheme="majorHAnsi" w:hAnsiTheme="majorHAnsi" w:cstheme="majorHAnsi"/>
                      <w:b w:val="0"/>
                      <w:i/>
                      <w:color w:val="000000" w:themeColor="text1"/>
                      <w:sz w:val="18"/>
                      <w:szCs w:val="18"/>
                      <w:u w:val="none"/>
                    </w:rPr>
                  </w:pPr>
                  <w:r w:rsidRPr="00462EAC">
                    <w:rPr>
                      <w:rStyle w:val="TableColumnHeadingChar"/>
                      <w:rFonts w:asciiTheme="majorHAnsi" w:hAnsiTheme="majorHAnsi" w:cstheme="majorHAnsi"/>
                      <w:color w:val="000000" w:themeColor="text1"/>
                      <w:szCs w:val="18"/>
                    </w:rPr>
                    <w:t xml:space="preserve">Community housing </w:t>
                  </w:r>
                </w:p>
              </w:tc>
            </w:tr>
            <w:tr w:rsidR="00970B14" w:rsidTr="007323F3">
              <w:trPr>
                <w:trHeight w:val="252"/>
              </w:trPr>
              <w:tc>
                <w:tcPr>
                  <w:tcW w:w="453" w:type="pct"/>
                  <w:shd w:val="clear" w:color="auto" w:fill="FFFFFF" w:themeFill="background1"/>
                  <w:vAlign w:val="bottom"/>
                </w:tcPr>
                <w:p w:rsidR="00970B14" w:rsidRPr="00D27298" w:rsidRDefault="00970B14" w:rsidP="0048696D">
                  <w:pPr>
                    <w:pStyle w:val="TableBodyText"/>
                    <w:ind w:left="0" w:right="0"/>
                    <w:jc w:val="left"/>
                  </w:pPr>
                  <w:r w:rsidRPr="00D27298">
                    <w:rPr>
                      <w:rFonts w:asciiTheme="majorHAnsi" w:hAnsiTheme="majorHAnsi" w:cstheme="majorHAnsi"/>
                      <w:szCs w:val="18"/>
                    </w:rPr>
                    <w:t>2015</w:t>
                  </w:r>
                </w:p>
              </w:tc>
              <w:tc>
                <w:tcPr>
                  <w:tcW w:w="453" w:type="pct"/>
                  <w:shd w:val="clear" w:color="auto" w:fill="FFFFFF" w:themeFill="background1"/>
                  <w:vAlign w:val="center"/>
                </w:tcPr>
                <w:p w:rsidR="00970B14" w:rsidRPr="00D27298" w:rsidRDefault="00970B14" w:rsidP="00970B14">
                  <w:pPr>
                    <w:pStyle w:val="TableBodyText"/>
                  </w:pPr>
                  <w:r w:rsidRPr="00D27298">
                    <w:t>93.0</w:t>
                  </w:r>
                </w:p>
              </w:tc>
              <w:tc>
                <w:tcPr>
                  <w:tcW w:w="510" w:type="pct"/>
                  <w:shd w:val="clear" w:color="auto" w:fill="FFFFFF" w:themeFill="background1"/>
                  <w:vAlign w:val="center"/>
                </w:tcPr>
                <w:p w:rsidR="00970B14" w:rsidRPr="00D27298" w:rsidRDefault="00970B14" w:rsidP="00970B14">
                  <w:pPr>
                    <w:pStyle w:val="TableBodyText"/>
                  </w:pPr>
                  <w:r w:rsidRPr="00D27298">
                    <w:t>94.0</w:t>
                  </w:r>
                </w:p>
              </w:tc>
              <w:tc>
                <w:tcPr>
                  <w:tcW w:w="581" w:type="pct"/>
                  <w:shd w:val="clear" w:color="auto" w:fill="FFFFFF" w:themeFill="background1"/>
                  <w:vAlign w:val="center"/>
                </w:tcPr>
                <w:p w:rsidR="00970B14" w:rsidRPr="00D27298" w:rsidRDefault="00970B14" w:rsidP="00970B14">
                  <w:pPr>
                    <w:pStyle w:val="TableBodyText"/>
                  </w:pPr>
                  <w:r w:rsidRPr="00D27298">
                    <w:t>97.0</w:t>
                  </w:r>
                </w:p>
              </w:tc>
              <w:tc>
                <w:tcPr>
                  <w:tcW w:w="500" w:type="pct"/>
                  <w:shd w:val="clear" w:color="auto" w:fill="FFFFFF" w:themeFill="background1"/>
                  <w:vAlign w:val="center"/>
                </w:tcPr>
                <w:p w:rsidR="00970B14" w:rsidRPr="00D27298" w:rsidRDefault="00970B14" w:rsidP="00970B14">
                  <w:pPr>
                    <w:pStyle w:val="TableBodyText"/>
                  </w:pPr>
                  <w:r w:rsidRPr="00D27298">
                    <w:t>95.0</w:t>
                  </w:r>
                </w:p>
              </w:tc>
              <w:tc>
                <w:tcPr>
                  <w:tcW w:w="499" w:type="pct"/>
                  <w:shd w:val="clear" w:color="auto" w:fill="FFFFFF" w:themeFill="background1"/>
                  <w:vAlign w:val="center"/>
                </w:tcPr>
                <w:p w:rsidR="00970B14" w:rsidRPr="00D27298" w:rsidRDefault="00970B14" w:rsidP="00970B14">
                  <w:pPr>
                    <w:pStyle w:val="TableBodyText"/>
                  </w:pPr>
                  <w:r w:rsidRPr="00D27298">
                    <w:t>96.0</w:t>
                  </w:r>
                </w:p>
              </w:tc>
              <w:tc>
                <w:tcPr>
                  <w:tcW w:w="500" w:type="pct"/>
                  <w:shd w:val="clear" w:color="auto" w:fill="FFFFFF" w:themeFill="background1"/>
                  <w:vAlign w:val="center"/>
                </w:tcPr>
                <w:p w:rsidR="00970B14" w:rsidRPr="00D27298" w:rsidRDefault="00970B14" w:rsidP="00970B14">
                  <w:pPr>
                    <w:pStyle w:val="TableBodyText"/>
                  </w:pPr>
                  <w:r w:rsidRPr="00D27298">
                    <w:t>96.0</w:t>
                  </w:r>
                </w:p>
              </w:tc>
              <w:tc>
                <w:tcPr>
                  <w:tcW w:w="500" w:type="pct"/>
                  <w:shd w:val="clear" w:color="auto" w:fill="FFFFFF" w:themeFill="background1"/>
                  <w:vAlign w:val="center"/>
                </w:tcPr>
                <w:p w:rsidR="00970B14" w:rsidRPr="00D27298" w:rsidRDefault="00970B14" w:rsidP="00970B14">
                  <w:pPr>
                    <w:pStyle w:val="TableBodyText"/>
                  </w:pPr>
                  <w:r w:rsidRPr="00D27298">
                    <w:t>87.0</w:t>
                  </w:r>
                </w:p>
              </w:tc>
              <w:tc>
                <w:tcPr>
                  <w:tcW w:w="500" w:type="pct"/>
                  <w:shd w:val="clear" w:color="auto" w:fill="FFFFFF" w:themeFill="background1"/>
                  <w:vAlign w:val="center"/>
                </w:tcPr>
                <w:p w:rsidR="00970B14" w:rsidRPr="00D27298" w:rsidRDefault="00970B14" w:rsidP="00970B14">
                  <w:pPr>
                    <w:pStyle w:val="TableBodyText"/>
                  </w:pPr>
                  <w:r w:rsidRPr="00D27298">
                    <w:t>100.0</w:t>
                  </w:r>
                </w:p>
              </w:tc>
              <w:tc>
                <w:tcPr>
                  <w:tcW w:w="488" w:type="pct"/>
                  <w:shd w:val="clear" w:color="auto" w:fill="FFFFFF" w:themeFill="background1"/>
                  <w:vAlign w:val="center"/>
                </w:tcPr>
                <w:p w:rsidR="00970B14" w:rsidRPr="00D27298" w:rsidRDefault="00970B14" w:rsidP="00970B14">
                  <w:pPr>
                    <w:pStyle w:val="TableBodyText"/>
                  </w:pPr>
                  <w:r w:rsidRPr="00D27298">
                    <w:t>94.4</w:t>
                  </w:r>
                </w:p>
              </w:tc>
              <w:tc>
                <w:tcPr>
                  <w:tcW w:w="15" w:type="pct"/>
                  <w:tcBorders>
                    <w:left w:val="nil"/>
                  </w:tcBorders>
                </w:tcPr>
                <w:p w:rsidR="00970B14" w:rsidRPr="008F2728" w:rsidRDefault="00970B14" w:rsidP="00831ED7">
                  <w:pPr>
                    <w:pStyle w:val="TableBodyText"/>
                    <w:rPr>
                      <w:rStyle w:val="DraftingNote"/>
                    </w:rPr>
                  </w:pPr>
                </w:p>
              </w:tc>
            </w:tr>
            <w:tr w:rsidR="007622D9" w:rsidTr="00970B14">
              <w:tc>
                <w:tcPr>
                  <w:tcW w:w="453" w:type="pct"/>
                  <w:vAlign w:val="bottom"/>
                </w:tcPr>
                <w:p w:rsidR="007622D9" w:rsidRPr="00462EAC" w:rsidRDefault="007622D9" w:rsidP="008F3D04">
                  <w:pPr>
                    <w:pStyle w:val="TableBodyText"/>
                    <w:ind w:left="0" w:right="0"/>
                    <w:jc w:val="left"/>
                    <w:rPr>
                      <w:rFonts w:asciiTheme="majorHAnsi" w:hAnsiTheme="majorHAnsi" w:cstheme="majorHAnsi"/>
                      <w:szCs w:val="18"/>
                    </w:rPr>
                  </w:pPr>
                  <w:r>
                    <w:rPr>
                      <w:rFonts w:asciiTheme="majorHAnsi" w:hAnsiTheme="majorHAnsi" w:cstheme="majorHAnsi"/>
                      <w:szCs w:val="18"/>
                    </w:rPr>
                    <w:t>2014</w:t>
                  </w:r>
                </w:p>
              </w:tc>
              <w:tc>
                <w:tcPr>
                  <w:tcW w:w="453" w:type="pct"/>
                </w:tcPr>
                <w:p w:rsidR="007622D9" w:rsidRPr="00A30A8B" w:rsidRDefault="007622D9" w:rsidP="00831ED7">
                  <w:pPr>
                    <w:pStyle w:val="TableBodyText"/>
                  </w:pPr>
                  <w:r w:rsidRPr="00A30A8B">
                    <w:t xml:space="preserve">  93.9</w:t>
                  </w:r>
                </w:p>
              </w:tc>
              <w:tc>
                <w:tcPr>
                  <w:tcW w:w="510" w:type="pct"/>
                </w:tcPr>
                <w:p w:rsidR="007622D9" w:rsidRPr="00A30A8B" w:rsidRDefault="007622D9" w:rsidP="00831ED7">
                  <w:pPr>
                    <w:pStyle w:val="TableBodyText"/>
                  </w:pPr>
                  <w:r w:rsidRPr="00A30A8B">
                    <w:t xml:space="preserve">  91.8</w:t>
                  </w:r>
                </w:p>
              </w:tc>
              <w:tc>
                <w:tcPr>
                  <w:tcW w:w="581" w:type="pct"/>
                </w:tcPr>
                <w:p w:rsidR="007622D9" w:rsidRPr="00A30A8B" w:rsidRDefault="007622D9" w:rsidP="00831ED7">
                  <w:pPr>
                    <w:pStyle w:val="TableBodyText"/>
                  </w:pPr>
                  <w:r w:rsidRPr="00A30A8B">
                    <w:t xml:space="preserve">  97.3</w:t>
                  </w:r>
                </w:p>
              </w:tc>
              <w:tc>
                <w:tcPr>
                  <w:tcW w:w="500" w:type="pct"/>
                </w:tcPr>
                <w:p w:rsidR="007622D9" w:rsidRPr="00A30A8B" w:rsidRDefault="007622D9" w:rsidP="00831ED7">
                  <w:pPr>
                    <w:pStyle w:val="TableBodyText"/>
                  </w:pPr>
                  <w:r w:rsidRPr="00A30A8B">
                    <w:t xml:space="preserve">  93.7</w:t>
                  </w:r>
                </w:p>
              </w:tc>
              <w:tc>
                <w:tcPr>
                  <w:tcW w:w="499" w:type="pct"/>
                </w:tcPr>
                <w:p w:rsidR="007622D9" w:rsidRPr="00A30A8B" w:rsidRDefault="007622D9" w:rsidP="00831ED7">
                  <w:pPr>
                    <w:pStyle w:val="TableBodyText"/>
                  </w:pPr>
                  <w:r w:rsidRPr="00A30A8B">
                    <w:t xml:space="preserve">  97.2</w:t>
                  </w:r>
                </w:p>
              </w:tc>
              <w:tc>
                <w:tcPr>
                  <w:tcW w:w="500" w:type="pct"/>
                </w:tcPr>
                <w:p w:rsidR="007622D9" w:rsidRPr="00A30A8B" w:rsidRDefault="007622D9" w:rsidP="00831ED7">
                  <w:pPr>
                    <w:pStyle w:val="TableBodyText"/>
                  </w:pPr>
                  <w:r w:rsidRPr="00A30A8B">
                    <w:t xml:space="preserve">  95.6</w:t>
                  </w:r>
                </w:p>
              </w:tc>
              <w:tc>
                <w:tcPr>
                  <w:tcW w:w="500" w:type="pct"/>
                </w:tcPr>
                <w:p w:rsidR="007622D9" w:rsidRPr="00A30A8B" w:rsidRDefault="007622D9" w:rsidP="00831ED7">
                  <w:pPr>
                    <w:pStyle w:val="TableBodyText"/>
                  </w:pPr>
                  <w:r w:rsidRPr="00A30A8B">
                    <w:t xml:space="preserve">  86.9</w:t>
                  </w:r>
                </w:p>
              </w:tc>
              <w:tc>
                <w:tcPr>
                  <w:tcW w:w="500" w:type="pct"/>
                </w:tcPr>
                <w:p w:rsidR="007622D9" w:rsidRPr="00A30A8B" w:rsidRDefault="007622D9" w:rsidP="00831ED7">
                  <w:pPr>
                    <w:pStyle w:val="TableBodyText"/>
                  </w:pPr>
                  <w:r w:rsidRPr="00A30A8B">
                    <w:t xml:space="preserve">  100.0</w:t>
                  </w:r>
                </w:p>
              </w:tc>
              <w:tc>
                <w:tcPr>
                  <w:tcW w:w="488" w:type="pct"/>
                </w:tcPr>
                <w:p w:rsidR="007622D9" w:rsidRPr="00A30A8B" w:rsidRDefault="007622D9" w:rsidP="001E26BC">
                  <w:pPr>
                    <w:pStyle w:val="TableBodyText"/>
                  </w:pPr>
                  <w:r>
                    <w:t xml:space="preserve">  94.4</w:t>
                  </w:r>
                </w:p>
              </w:tc>
              <w:tc>
                <w:tcPr>
                  <w:tcW w:w="15" w:type="pct"/>
                </w:tcPr>
                <w:p w:rsidR="007622D9" w:rsidRPr="00A30A8B" w:rsidRDefault="007622D9" w:rsidP="00831ED7">
                  <w:pPr>
                    <w:pStyle w:val="TableBodyText"/>
                  </w:pPr>
                </w:p>
              </w:tc>
            </w:tr>
            <w:tr w:rsidR="007622D9" w:rsidTr="00970B14">
              <w:tc>
                <w:tcPr>
                  <w:tcW w:w="453" w:type="pct"/>
                  <w:vAlign w:val="bottom"/>
                </w:tcPr>
                <w:p w:rsidR="007622D9" w:rsidRPr="00462EAC" w:rsidRDefault="007622D9" w:rsidP="008F3D04">
                  <w:pPr>
                    <w:pStyle w:val="TableBodyText"/>
                    <w:ind w:left="0" w:right="0"/>
                    <w:jc w:val="left"/>
                    <w:rPr>
                      <w:rFonts w:asciiTheme="majorHAnsi" w:hAnsiTheme="majorHAnsi" w:cstheme="majorHAnsi"/>
                      <w:szCs w:val="18"/>
                    </w:rPr>
                  </w:pPr>
                  <w:r>
                    <w:rPr>
                      <w:rFonts w:asciiTheme="majorHAnsi" w:hAnsiTheme="majorHAnsi" w:cstheme="majorHAnsi"/>
                      <w:szCs w:val="18"/>
                    </w:rPr>
                    <w:t>2013</w:t>
                  </w:r>
                </w:p>
              </w:tc>
              <w:tc>
                <w:tcPr>
                  <w:tcW w:w="453" w:type="pct"/>
                </w:tcPr>
                <w:p w:rsidR="007622D9" w:rsidRPr="00A30A8B" w:rsidRDefault="007622D9" w:rsidP="00831ED7">
                  <w:pPr>
                    <w:pStyle w:val="TableBodyText"/>
                  </w:pPr>
                  <w:r w:rsidRPr="00A30A8B">
                    <w:t xml:space="preserve">  99.8</w:t>
                  </w:r>
                </w:p>
              </w:tc>
              <w:tc>
                <w:tcPr>
                  <w:tcW w:w="510" w:type="pct"/>
                </w:tcPr>
                <w:p w:rsidR="007622D9" w:rsidRPr="00A30A8B" w:rsidRDefault="007622D9" w:rsidP="00831ED7">
                  <w:pPr>
                    <w:pStyle w:val="TableBodyText"/>
                  </w:pPr>
                  <w:r w:rsidRPr="00A30A8B">
                    <w:t xml:space="preserve">  95.0</w:t>
                  </w:r>
                </w:p>
              </w:tc>
              <w:tc>
                <w:tcPr>
                  <w:tcW w:w="581" w:type="pct"/>
                </w:tcPr>
                <w:p w:rsidR="007622D9" w:rsidRPr="00A30A8B" w:rsidRDefault="007622D9" w:rsidP="00831ED7">
                  <w:pPr>
                    <w:pStyle w:val="TableBodyText"/>
                  </w:pPr>
                  <w:r w:rsidRPr="00A30A8B">
                    <w:t xml:space="preserve">  99.1</w:t>
                  </w:r>
                </w:p>
              </w:tc>
              <w:tc>
                <w:tcPr>
                  <w:tcW w:w="500" w:type="pct"/>
                </w:tcPr>
                <w:p w:rsidR="007622D9" w:rsidRPr="00A30A8B" w:rsidRDefault="007622D9" w:rsidP="00831ED7">
                  <w:pPr>
                    <w:pStyle w:val="TableBodyText"/>
                  </w:pPr>
                  <w:r w:rsidRPr="00A30A8B">
                    <w:t xml:space="preserve">  92.7</w:t>
                  </w:r>
                </w:p>
              </w:tc>
              <w:tc>
                <w:tcPr>
                  <w:tcW w:w="499" w:type="pct"/>
                </w:tcPr>
                <w:p w:rsidR="007622D9" w:rsidRPr="00A30A8B" w:rsidRDefault="007622D9" w:rsidP="00831ED7">
                  <w:pPr>
                    <w:pStyle w:val="TableBodyText"/>
                  </w:pPr>
                  <w:r w:rsidRPr="00A30A8B">
                    <w:t xml:space="preserve">  97.0</w:t>
                  </w:r>
                </w:p>
              </w:tc>
              <w:tc>
                <w:tcPr>
                  <w:tcW w:w="500" w:type="pct"/>
                </w:tcPr>
                <w:p w:rsidR="007622D9" w:rsidRPr="00A30A8B" w:rsidRDefault="007622D9" w:rsidP="00831ED7">
                  <w:pPr>
                    <w:pStyle w:val="TableBodyText"/>
                  </w:pPr>
                  <w:r w:rsidRPr="00A30A8B">
                    <w:t xml:space="preserve">  92.7</w:t>
                  </w:r>
                </w:p>
              </w:tc>
              <w:tc>
                <w:tcPr>
                  <w:tcW w:w="500" w:type="pct"/>
                </w:tcPr>
                <w:p w:rsidR="007622D9" w:rsidRPr="00A30A8B" w:rsidRDefault="007622D9" w:rsidP="00831ED7">
                  <w:pPr>
                    <w:pStyle w:val="TableBodyText"/>
                  </w:pPr>
                  <w:r w:rsidRPr="00A30A8B">
                    <w:t xml:space="preserve">  91.9</w:t>
                  </w:r>
                </w:p>
              </w:tc>
              <w:tc>
                <w:tcPr>
                  <w:tcW w:w="500" w:type="pct"/>
                </w:tcPr>
                <w:p w:rsidR="007622D9" w:rsidRPr="00A30A8B" w:rsidRDefault="007622D9" w:rsidP="00831ED7">
                  <w:pPr>
                    <w:pStyle w:val="TableBodyText"/>
                  </w:pPr>
                  <w:r w:rsidRPr="00A30A8B">
                    <w:t xml:space="preserve">  100.0</w:t>
                  </w:r>
                </w:p>
              </w:tc>
              <w:tc>
                <w:tcPr>
                  <w:tcW w:w="488" w:type="pct"/>
                </w:tcPr>
                <w:p w:rsidR="007622D9" w:rsidRPr="00A30A8B" w:rsidRDefault="007622D9" w:rsidP="001E26BC">
                  <w:pPr>
                    <w:pStyle w:val="TableBodyText"/>
                  </w:pPr>
                  <w:r>
                    <w:t xml:space="preserve">  97.4</w:t>
                  </w:r>
                </w:p>
              </w:tc>
              <w:tc>
                <w:tcPr>
                  <w:tcW w:w="15" w:type="pct"/>
                </w:tcPr>
                <w:p w:rsidR="007622D9" w:rsidRPr="00A30A8B" w:rsidRDefault="007622D9" w:rsidP="00831ED7">
                  <w:pPr>
                    <w:pStyle w:val="TableBodyText"/>
                  </w:pPr>
                </w:p>
              </w:tc>
            </w:tr>
            <w:tr w:rsidR="007622D9" w:rsidTr="00970B14">
              <w:tc>
                <w:tcPr>
                  <w:tcW w:w="453" w:type="pct"/>
                  <w:vAlign w:val="bottom"/>
                </w:tcPr>
                <w:p w:rsidR="007622D9" w:rsidRPr="00462EAC" w:rsidRDefault="007622D9" w:rsidP="008F3D04">
                  <w:pPr>
                    <w:pStyle w:val="TableBodyText"/>
                    <w:ind w:left="0" w:right="0"/>
                    <w:jc w:val="left"/>
                    <w:rPr>
                      <w:rFonts w:asciiTheme="majorHAnsi" w:hAnsiTheme="majorHAnsi" w:cstheme="majorHAnsi"/>
                      <w:szCs w:val="18"/>
                    </w:rPr>
                  </w:pPr>
                  <w:r>
                    <w:rPr>
                      <w:rFonts w:asciiTheme="majorHAnsi" w:hAnsiTheme="majorHAnsi" w:cstheme="majorHAnsi"/>
                      <w:szCs w:val="18"/>
                    </w:rPr>
                    <w:t>2012</w:t>
                  </w:r>
                </w:p>
              </w:tc>
              <w:tc>
                <w:tcPr>
                  <w:tcW w:w="453" w:type="pct"/>
                </w:tcPr>
                <w:p w:rsidR="007622D9" w:rsidRPr="00A30A8B" w:rsidRDefault="007622D9" w:rsidP="00831ED7">
                  <w:pPr>
                    <w:pStyle w:val="TableBodyText"/>
                  </w:pPr>
                  <w:r w:rsidRPr="00A30A8B">
                    <w:t xml:space="preserve">  98.1</w:t>
                  </w:r>
                </w:p>
              </w:tc>
              <w:tc>
                <w:tcPr>
                  <w:tcW w:w="510" w:type="pct"/>
                </w:tcPr>
                <w:p w:rsidR="007622D9" w:rsidRPr="00A30A8B" w:rsidRDefault="007622D9" w:rsidP="00831ED7">
                  <w:pPr>
                    <w:pStyle w:val="TableBodyText"/>
                  </w:pPr>
                  <w:r w:rsidRPr="00A30A8B">
                    <w:t xml:space="preserve">  94.4</w:t>
                  </w:r>
                </w:p>
              </w:tc>
              <w:tc>
                <w:tcPr>
                  <w:tcW w:w="581" w:type="pct"/>
                </w:tcPr>
                <w:p w:rsidR="007622D9" w:rsidRPr="00A30A8B" w:rsidRDefault="007622D9" w:rsidP="00831ED7">
                  <w:pPr>
                    <w:pStyle w:val="TableBodyText"/>
                  </w:pPr>
                  <w:r w:rsidRPr="00A30A8B">
                    <w:t xml:space="preserve">  95.7</w:t>
                  </w:r>
                </w:p>
              </w:tc>
              <w:tc>
                <w:tcPr>
                  <w:tcW w:w="500" w:type="pct"/>
                </w:tcPr>
                <w:p w:rsidR="007622D9" w:rsidRPr="00A30A8B" w:rsidRDefault="007622D9" w:rsidP="00831ED7">
                  <w:pPr>
                    <w:pStyle w:val="TableBodyText"/>
                  </w:pPr>
                  <w:r w:rsidRPr="00A30A8B">
                    <w:t xml:space="preserve">  92.8</w:t>
                  </w:r>
                </w:p>
              </w:tc>
              <w:tc>
                <w:tcPr>
                  <w:tcW w:w="499" w:type="pct"/>
                </w:tcPr>
                <w:p w:rsidR="007622D9" w:rsidRPr="00A30A8B" w:rsidRDefault="007622D9" w:rsidP="00831ED7">
                  <w:pPr>
                    <w:pStyle w:val="TableBodyText"/>
                  </w:pPr>
                  <w:r w:rsidRPr="00A30A8B">
                    <w:t xml:space="preserve">  97.0</w:t>
                  </w:r>
                </w:p>
              </w:tc>
              <w:tc>
                <w:tcPr>
                  <w:tcW w:w="500" w:type="pct"/>
                </w:tcPr>
                <w:p w:rsidR="007622D9" w:rsidRPr="00A30A8B" w:rsidRDefault="007622D9" w:rsidP="00831ED7">
                  <w:pPr>
                    <w:pStyle w:val="TableBodyText"/>
                  </w:pPr>
                  <w:r w:rsidRPr="00A30A8B">
                    <w:t xml:space="preserve">  90.9</w:t>
                  </w:r>
                </w:p>
              </w:tc>
              <w:tc>
                <w:tcPr>
                  <w:tcW w:w="500" w:type="pct"/>
                </w:tcPr>
                <w:p w:rsidR="007622D9" w:rsidRPr="00A30A8B" w:rsidRDefault="007622D9" w:rsidP="00831ED7">
                  <w:pPr>
                    <w:pStyle w:val="TableBodyText"/>
                  </w:pPr>
                  <w:r w:rsidRPr="00A30A8B">
                    <w:t xml:space="preserve">  92.7</w:t>
                  </w:r>
                </w:p>
              </w:tc>
              <w:tc>
                <w:tcPr>
                  <w:tcW w:w="500" w:type="pct"/>
                </w:tcPr>
                <w:p w:rsidR="007622D9" w:rsidRPr="00A30A8B" w:rsidRDefault="007622D9" w:rsidP="00831ED7">
                  <w:pPr>
                    <w:pStyle w:val="TableBodyText"/>
                  </w:pPr>
                  <w:r w:rsidRPr="00A30A8B">
                    <w:t xml:space="preserve">  100.0</w:t>
                  </w:r>
                </w:p>
              </w:tc>
              <w:tc>
                <w:tcPr>
                  <w:tcW w:w="488" w:type="pct"/>
                </w:tcPr>
                <w:p w:rsidR="007622D9" w:rsidRPr="00A30A8B" w:rsidRDefault="007622D9" w:rsidP="001E26BC">
                  <w:pPr>
                    <w:pStyle w:val="TableBodyText"/>
                  </w:pPr>
                  <w:r>
                    <w:t xml:space="preserve">  96.2</w:t>
                  </w:r>
                </w:p>
              </w:tc>
              <w:tc>
                <w:tcPr>
                  <w:tcW w:w="15" w:type="pct"/>
                </w:tcPr>
                <w:p w:rsidR="007622D9" w:rsidRPr="00A30A8B" w:rsidRDefault="007622D9" w:rsidP="00831ED7">
                  <w:pPr>
                    <w:pStyle w:val="TableBodyText"/>
                  </w:pPr>
                </w:p>
              </w:tc>
            </w:tr>
            <w:tr w:rsidR="007622D9" w:rsidTr="00970B14">
              <w:tc>
                <w:tcPr>
                  <w:tcW w:w="453" w:type="pct"/>
                  <w:shd w:val="clear" w:color="auto" w:fill="auto"/>
                  <w:vAlign w:val="bottom"/>
                </w:tcPr>
                <w:p w:rsidR="007622D9" w:rsidRPr="00462EAC" w:rsidRDefault="007622D9" w:rsidP="008F3D04">
                  <w:pPr>
                    <w:pStyle w:val="TableBodyText"/>
                    <w:ind w:left="0" w:right="0"/>
                    <w:jc w:val="left"/>
                    <w:rPr>
                      <w:rFonts w:asciiTheme="majorHAnsi" w:hAnsiTheme="majorHAnsi" w:cstheme="majorHAnsi"/>
                      <w:szCs w:val="18"/>
                    </w:rPr>
                  </w:pPr>
                  <w:r>
                    <w:rPr>
                      <w:rFonts w:asciiTheme="majorHAnsi" w:hAnsiTheme="majorHAnsi" w:cstheme="majorHAnsi"/>
                      <w:szCs w:val="18"/>
                    </w:rPr>
                    <w:t>2011</w:t>
                  </w:r>
                </w:p>
              </w:tc>
              <w:tc>
                <w:tcPr>
                  <w:tcW w:w="453" w:type="pct"/>
                  <w:shd w:val="clear" w:color="auto" w:fill="auto"/>
                </w:tcPr>
                <w:p w:rsidR="007622D9" w:rsidRPr="00A30A8B" w:rsidRDefault="007622D9" w:rsidP="00831ED7">
                  <w:pPr>
                    <w:pStyle w:val="TableBodyText"/>
                  </w:pPr>
                  <w:r w:rsidRPr="00A30A8B">
                    <w:t xml:space="preserve">  97.6</w:t>
                  </w:r>
                </w:p>
              </w:tc>
              <w:tc>
                <w:tcPr>
                  <w:tcW w:w="510" w:type="pct"/>
                  <w:shd w:val="clear" w:color="auto" w:fill="auto"/>
                </w:tcPr>
                <w:p w:rsidR="007622D9" w:rsidRPr="00A30A8B" w:rsidRDefault="007622D9" w:rsidP="00831ED7">
                  <w:pPr>
                    <w:pStyle w:val="TableBodyText"/>
                  </w:pPr>
                  <w:r w:rsidRPr="00A30A8B">
                    <w:t xml:space="preserve">  93.6</w:t>
                  </w:r>
                </w:p>
              </w:tc>
              <w:tc>
                <w:tcPr>
                  <w:tcW w:w="581" w:type="pct"/>
                  <w:shd w:val="clear" w:color="auto" w:fill="auto"/>
                </w:tcPr>
                <w:p w:rsidR="007622D9" w:rsidRPr="00A30A8B" w:rsidRDefault="007622D9" w:rsidP="00831ED7">
                  <w:pPr>
                    <w:pStyle w:val="TableBodyText"/>
                  </w:pPr>
                  <w:r w:rsidRPr="00A30A8B">
                    <w:t xml:space="preserve">  94.6</w:t>
                  </w:r>
                </w:p>
              </w:tc>
              <w:tc>
                <w:tcPr>
                  <w:tcW w:w="500" w:type="pct"/>
                  <w:shd w:val="clear" w:color="auto" w:fill="auto"/>
                </w:tcPr>
                <w:p w:rsidR="007622D9" w:rsidRPr="00A30A8B" w:rsidRDefault="007622D9" w:rsidP="00831ED7">
                  <w:pPr>
                    <w:pStyle w:val="TableBodyText"/>
                  </w:pPr>
                  <w:r w:rsidRPr="00A30A8B">
                    <w:t xml:space="preserve">  93.8</w:t>
                  </w:r>
                </w:p>
              </w:tc>
              <w:tc>
                <w:tcPr>
                  <w:tcW w:w="499" w:type="pct"/>
                  <w:shd w:val="clear" w:color="auto" w:fill="auto"/>
                </w:tcPr>
                <w:p w:rsidR="007622D9" w:rsidRPr="00A30A8B" w:rsidRDefault="007622D9" w:rsidP="00831ED7">
                  <w:pPr>
                    <w:pStyle w:val="TableBodyText"/>
                  </w:pPr>
                  <w:r w:rsidRPr="00A30A8B">
                    <w:t xml:space="preserve">  98.1</w:t>
                  </w:r>
                </w:p>
              </w:tc>
              <w:tc>
                <w:tcPr>
                  <w:tcW w:w="500" w:type="pct"/>
                  <w:shd w:val="clear" w:color="auto" w:fill="auto"/>
                </w:tcPr>
                <w:p w:rsidR="007622D9" w:rsidRPr="00A30A8B" w:rsidRDefault="007622D9" w:rsidP="00831ED7">
                  <w:pPr>
                    <w:pStyle w:val="TableBodyText"/>
                  </w:pPr>
                  <w:r w:rsidRPr="00A30A8B">
                    <w:t xml:space="preserve">  95.6</w:t>
                  </w:r>
                </w:p>
              </w:tc>
              <w:tc>
                <w:tcPr>
                  <w:tcW w:w="500" w:type="pct"/>
                  <w:shd w:val="clear" w:color="auto" w:fill="auto"/>
                </w:tcPr>
                <w:p w:rsidR="007622D9" w:rsidRPr="00A30A8B" w:rsidRDefault="007622D9" w:rsidP="00831ED7">
                  <w:pPr>
                    <w:pStyle w:val="TableBodyText"/>
                  </w:pPr>
                  <w:r w:rsidRPr="00A30A8B">
                    <w:t xml:space="preserve">  91.4</w:t>
                  </w:r>
                </w:p>
              </w:tc>
              <w:tc>
                <w:tcPr>
                  <w:tcW w:w="500" w:type="pct"/>
                  <w:shd w:val="clear" w:color="auto" w:fill="auto"/>
                </w:tcPr>
                <w:p w:rsidR="007622D9" w:rsidRPr="00A30A8B" w:rsidRDefault="007622D9" w:rsidP="00831ED7">
                  <w:pPr>
                    <w:pStyle w:val="TableBodyText"/>
                  </w:pPr>
                  <w:r w:rsidRPr="00A30A8B">
                    <w:t xml:space="preserve">  100.0</w:t>
                  </w:r>
                </w:p>
              </w:tc>
              <w:tc>
                <w:tcPr>
                  <w:tcW w:w="488" w:type="pct"/>
                  <w:shd w:val="clear" w:color="auto" w:fill="auto"/>
                </w:tcPr>
                <w:p w:rsidR="007622D9" w:rsidRPr="00A30A8B" w:rsidRDefault="007622D9" w:rsidP="001E26BC">
                  <w:pPr>
                    <w:pStyle w:val="TableBodyText"/>
                  </w:pPr>
                  <w:r>
                    <w:t xml:space="preserve">  95.9</w:t>
                  </w:r>
                </w:p>
              </w:tc>
              <w:tc>
                <w:tcPr>
                  <w:tcW w:w="15" w:type="pct"/>
                  <w:shd w:val="clear" w:color="auto" w:fill="auto"/>
                </w:tcPr>
                <w:p w:rsidR="007622D9" w:rsidRPr="00A30A8B" w:rsidRDefault="007622D9" w:rsidP="00831ED7">
                  <w:pPr>
                    <w:pStyle w:val="TableBodyText"/>
                  </w:pPr>
                </w:p>
              </w:tc>
            </w:tr>
            <w:tr w:rsidR="007622D9" w:rsidRPr="000E644A" w:rsidTr="000F46A8">
              <w:tc>
                <w:tcPr>
                  <w:tcW w:w="5000" w:type="pct"/>
                  <w:gridSpan w:val="11"/>
                  <w:vAlign w:val="bottom"/>
                </w:tcPr>
                <w:p w:rsidR="007622D9" w:rsidRPr="00462EAC" w:rsidRDefault="00F306D1" w:rsidP="00831ED7">
                  <w:pPr>
                    <w:pStyle w:val="TableBodyText"/>
                    <w:jc w:val="left"/>
                    <w:rPr>
                      <w:rFonts w:asciiTheme="majorHAnsi" w:hAnsiTheme="majorHAnsi" w:cstheme="majorHAnsi"/>
                      <w:szCs w:val="18"/>
                    </w:rPr>
                  </w:pPr>
                  <w:proofErr w:type="spellStart"/>
                  <w:r>
                    <w:rPr>
                      <w:rStyle w:val="TableColumnHeadingChar"/>
                      <w:rFonts w:asciiTheme="majorHAnsi" w:hAnsiTheme="majorHAnsi" w:cstheme="majorHAnsi"/>
                      <w:szCs w:val="18"/>
                    </w:rPr>
                    <w:t>ICH</w:t>
                  </w:r>
                  <w:proofErr w:type="spellEnd"/>
                </w:p>
              </w:tc>
            </w:tr>
            <w:tr w:rsidR="007622D9" w:rsidTr="00970B14">
              <w:tc>
                <w:tcPr>
                  <w:tcW w:w="453" w:type="pct"/>
                </w:tcPr>
                <w:p w:rsidR="007622D9" w:rsidRPr="00533898" w:rsidRDefault="007622D9" w:rsidP="003C58FB">
                  <w:pPr>
                    <w:pStyle w:val="TableBodyText"/>
                    <w:jc w:val="left"/>
                  </w:pPr>
                  <w:r w:rsidRPr="00533898">
                    <w:t>2014</w:t>
                  </w:r>
                </w:p>
              </w:tc>
              <w:tc>
                <w:tcPr>
                  <w:tcW w:w="453" w:type="pct"/>
                </w:tcPr>
                <w:p w:rsidR="007622D9" w:rsidRPr="00786F37" w:rsidRDefault="007622D9" w:rsidP="003C58FB">
                  <w:pPr>
                    <w:pStyle w:val="TableBodyText"/>
                  </w:pPr>
                  <w:r w:rsidRPr="00786F37">
                    <w:t xml:space="preserve">  96.7</w:t>
                  </w:r>
                </w:p>
              </w:tc>
              <w:tc>
                <w:tcPr>
                  <w:tcW w:w="510" w:type="pct"/>
                </w:tcPr>
                <w:p w:rsidR="007622D9" w:rsidRPr="00786F37" w:rsidRDefault="007622D9" w:rsidP="003C58FB">
                  <w:pPr>
                    <w:pStyle w:val="TableBodyText"/>
                  </w:pPr>
                  <w:r w:rsidRPr="00786F37">
                    <w:t xml:space="preserve">  98.5</w:t>
                  </w:r>
                </w:p>
              </w:tc>
              <w:tc>
                <w:tcPr>
                  <w:tcW w:w="581" w:type="pct"/>
                </w:tcPr>
                <w:p w:rsidR="007622D9" w:rsidRPr="00786F37" w:rsidRDefault="007622D9" w:rsidP="003C58FB">
                  <w:pPr>
                    <w:pStyle w:val="TableBodyText"/>
                  </w:pPr>
                  <w:r w:rsidRPr="00786F37">
                    <w:t xml:space="preserve">  94.1</w:t>
                  </w:r>
                </w:p>
              </w:tc>
              <w:tc>
                <w:tcPr>
                  <w:tcW w:w="500" w:type="pct"/>
                </w:tcPr>
                <w:p w:rsidR="007622D9" w:rsidRPr="00786F37" w:rsidRDefault="007622D9" w:rsidP="003C58FB">
                  <w:pPr>
                    <w:pStyle w:val="TableBodyText"/>
                  </w:pPr>
                  <w:r w:rsidRPr="00786F37">
                    <w:t xml:space="preserve">  91.3</w:t>
                  </w:r>
                </w:p>
              </w:tc>
              <w:tc>
                <w:tcPr>
                  <w:tcW w:w="499" w:type="pct"/>
                </w:tcPr>
                <w:p w:rsidR="007622D9" w:rsidRPr="00786F37" w:rsidRDefault="007622D9" w:rsidP="003C58FB">
                  <w:pPr>
                    <w:pStyle w:val="TableBodyText"/>
                  </w:pPr>
                  <w:r w:rsidRPr="00786F37">
                    <w:t xml:space="preserve">  88.7</w:t>
                  </w:r>
                </w:p>
              </w:tc>
              <w:tc>
                <w:tcPr>
                  <w:tcW w:w="500" w:type="pct"/>
                </w:tcPr>
                <w:p w:rsidR="007622D9" w:rsidRPr="00786F37" w:rsidRDefault="007622D9" w:rsidP="003C58FB">
                  <w:pPr>
                    <w:pStyle w:val="TableBodyText"/>
                  </w:pPr>
                  <w:r w:rsidRPr="00786F37">
                    <w:t xml:space="preserve">  100.0</w:t>
                  </w:r>
                </w:p>
              </w:tc>
              <w:tc>
                <w:tcPr>
                  <w:tcW w:w="500" w:type="pct"/>
                </w:tcPr>
                <w:p w:rsidR="007622D9" w:rsidRPr="00786F37" w:rsidRDefault="007622D9" w:rsidP="003C58FB">
                  <w:pPr>
                    <w:pStyle w:val="TableBodyText"/>
                  </w:pPr>
                  <w:r w:rsidRPr="00786F37">
                    <w:t>..</w:t>
                  </w:r>
                </w:p>
              </w:tc>
              <w:tc>
                <w:tcPr>
                  <w:tcW w:w="500" w:type="pct"/>
                </w:tcPr>
                <w:p w:rsidR="007622D9" w:rsidRPr="00786F37" w:rsidRDefault="007622D9" w:rsidP="003C58FB">
                  <w:pPr>
                    <w:pStyle w:val="TableBodyText"/>
                  </w:pPr>
                  <w:r w:rsidRPr="00786F37">
                    <w:t>na</w:t>
                  </w:r>
                </w:p>
              </w:tc>
              <w:tc>
                <w:tcPr>
                  <w:tcW w:w="488" w:type="pct"/>
                </w:tcPr>
                <w:p w:rsidR="007622D9" w:rsidRPr="00786F37" w:rsidRDefault="007622D9" w:rsidP="001E26BC">
                  <w:pPr>
                    <w:pStyle w:val="TableBodyText"/>
                  </w:pPr>
                  <w:r w:rsidRPr="00786F37">
                    <w:t xml:space="preserve">  94.6</w:t>
                  </w:r>
                </w:p>
              </w:tc>
              <w:tc>
                <w:tcPr>
                  <w:tcW w:w="15" w:type="pct"/>
                </w:tcPr>
                <w:p w:rsidR="007622D9" w:rsidRPr="00786F37" w:rsidRDefault="007622D9" w:rsidP="003C58FB">
                  <w:pPr>
                    <w:pStyle w:val="TableBodyText"/>
                  </w:pPr>
                </w:p>
              </w:tc>
            </w:tr>
            <w:tr w:rsidR="007622D9" w:rsidTr="00970B14">
              <w:trPr>
                <w:trHeight w:val="42"/>
              </w:trPr>
              <w:tc>
                <w:tcPr>
                  <w:tcW w:w="453" w:type="pct"/>
                </w:tcPr>
                <w:p w:rsidR="007622D9" w:rsidRPr="00533898" w:rsidRDefault="007622D9" w:rsidP="003C58FB">
                  <w:pPr>
                    <w:pStyle w:val="TableBodyText"/>
                    <w:jc w:val="left"/>
                  </w:pPr>
                  <w:r w:rsidRPr="00533898">
                    <w:t>2013</w:t>
                  </w:r>
                </w:p>
              </w:tc>
              <w:tc>
                <w:tcPr>
                  <w:tcW w:w="453" w:type="pct"/>
                </w:tcPr>
                <w:p w:rsidR="007622D9" w:rsidRPr="00786F37" w:rsidRDefault="007622D9" w:rsidP="003C58FB">
                  <w:pPr>
                    <w:pStyle w:val="TableBodyText"/>
                  </w:pPr>
                  <w:r w:rsidRPr="00786F37">
                    <w:t xml:space="preserve">  96.9</w:t>
                  </w:r>
                </w:p>
              </w:tc>
              <w:tc>
                <w:tcPr>
                  <w:tcW w:w="510" w:type="pct"/>
                </w:tcPr>
                <w:p w:rsidR="007622D9" w:rsidRPr="00786F37" w:rsidRDefault="007622D9" w:rsidP="003C58FB">
                  <w:pPr>
                    <w:pStyle w:val="TableBodyText"/>
                  </w:pPr>
                  <w:r w:rsidRPr="00786F37">
                    <w:t xml:space="preserve">  97.9</w:t>
                  </w:r>
                </w:p>
              </w:tc>
              <w:tc>
                <w:tcPr>
                  <w:tcW w:w="581" w:type="pct"/>
                </w:tcPr>
                <w:p w:rsidR="007622D9" w:rsidRPr="00786F37" w:rsidRDefault="007622D9" w:rsidP="003C58FB">
                  <w:pPr>
                    <w:pStyle w:val="TableBodyText"/>
                  </w:pPr>
                  <w:r w:rsidRPr="00786F37">
                    <w:t xml:space="preserve">  90.8</w:t>
                  </w:r>
                </w:p>
              </w:tc>
              <w:tc>
                <w:tcPr>
                  <w:tcW w:w="500" w:type="pct"/>
                </w:tcPr>
                <w:p w:rsidR="007622D9" w:rsidRPr="00786F37" w:rsidRDefault="007622D9" w:rsidP="003C58FB">
                  <w:pPr>
                    <w:pStyle w:val="TableBodyText"/>
                  </w:pPr>
                  <w:r w:rsidRPr="00786F37">
                    <w:t xml:space="preserve">  87.5</w:t>
                  </w:r>
                </w:p>
              </w:tc>
              <w:tc>
                <w:tcPr>
                  <w:tcW w:w="499" w:type="pct"/>
                </w:tcPr>
                <w:p w:rsidR="007622D9" w:rsidRPr="00786F37" w:rsidRDefault="007622D9" w:rsidP="003C58FB">
                  <w:pPr>
                    <w:pStyle w:val="TableBodyText"/>
                  </w:pPr>
                  <w:r w:rsidRPr="00786F37">
                    <w:t xml:space="preserve">  74.8</w:t>
                  </w:r>
                </w:p>
              </w:tc>
              <w:tc>
                <w:tcPr>
                  <w:tcW w:w="500" w:type="pct"/>
                </w:tcPr>
                <w:p w:rsidR="007622D9" w:rsidRPr="00786F37" w:rsidRDefault="007622D9" w:rsidP="003C58FB">
                  <w:pPr>
                    <w:pStyle w:val="TableBodyText"/>
                  </w:pPr>
                  <w:r w:rsidRPr="00786F37">
                    <w:t xml:space="preserve">  91.9</w:t>
                  </w:r>
                </w:p>
              </w:tc>
              <w:tc>
                <w:tcPr>
                  <w:tcW w:w="500" w:type="pct"/>
                </w:tcPr>
                <w:p w:rsidR="007622D9" w:rsidRPr="00786F37" w:rsidRDefault="007622D9" w:rsidP="003C58FB">
                  <w:pPr>
                    <w:pStyle w:val="TableBodyText"/>
                  </w:pPr>
                  <w:r w:rsidRPr="00786F37">
                    <w:t>..</w:t>
                  </w:r>
                </w:p>
              </w:tc>
              <w:tc>
                <w:tcPr>
                  <w:tcW w:w="500" w:type="pct"/>
                </w:tcPr>
                <w:p w:rsidR="007622D9" w:rsidRPr="00786F37" w:rsidRDefault="007622D9" w:rsidP="003C58FB">
                  <w:pPr>
                    <w:pStyle w:val="TableBodyText"/>
                  </w:pPr>
                  <w:r w:rsidRPr="00786F37">
                    <w:t>na</w:t>
                  </w:r>
                </w:p>
              </w:tc>
              <w:tc>
                <w:tcPr>
                  <w:tcW w:w="488" w:type="pct"/>
                </w:tcPr>
                <w:p w:rsidR="007622D9" w:rsidRPr="00786F37" w:rsidRDefault="007622D9" w:rsidP="001E26BC">
                  <w:pPr>
                    <w:pStyle w:val="TableBodyText"/>
                  </w:pPr>
                  <w:r w:rsidRPr="00786F37">
                    <w:t xml:space="preserve">  91.0</w:t>
                  </w:r>
                </w:p>
              </w:tc>
              <w:tc>
                <w:tcPr>
                  <w:tcW w:w="15" w:type="pct"/>
                </w:tcPr>
                <w:p w:rsidR="007622D9" w:rsidRPr="00786F37" w:rsidRDefault="007622D9" w:rsidP="003C58FB">
                  <w:pPr>
                    <w:pStyle w:val="TableBodyText"/>
                  </w:pPr>
                </w:p>
              </w:tc>
            </w:tr>
            <w:tr w:rsidR="007622D9" w:rsidTr="00970B14">
              <w:tc>
                <w:tcPr>
                  <w:tcW w:w="453" w:type="pct"/>
                  <w:shd w:val="clear" w:color="auto" w:fill="auto"/>
                </w:tcPr>
                <w:p w:rsidR="007622D9" w:rsidRPr="00533898" w:rsidRDefault="007622D9" w:rsidP="003C58FB">
                  <w:pPr>
                    <w:pStyle w:val="TableBodyText"/>
                    <w:jc w:val="left"/>
                  </w:pPr>
                  <w:r w:rsidRPr="00533898">
                    <w:t>2012</w:t>
                  </w:r>
                </w:p>
              </w:tc>
              <w:tc>
                <w:tcPr>
                  <w:tcW w:w="453" w:type="pct"/>
                  <w:shd w:val="clear" w:color="auto" w:fill="auto"/>
                </w:tcPr>
                <w:p w:rsidR="007622D9" w:rsidRPr="00786F37" w:rsidRDefault="007622D9" w:rsidP="003C58FB">
                  <w:pPr>
                    <w:pStyle w:val="TableBodyText"/>
                  </w:pPr>
                  <w:r w:rsidRPr="00786F37">
                    <w:t xml:space="preserve">  95.8</w:t>
                  </w:r>
                </w:p>
              </w:tc>
              <w:tc>
                <w:tcPr>
                  <w:tcW w:w="510" w:type="pct"/>
                </w:tcPr>
                <w:p w:rsidR="007622D9" w:rsidRPr="00786F37" w:rsidRDefault="007622D9" w:rsidP="003C58FB">
                  <w:pPr>
                    <w:pStyle w:val="TableBodyText"/>
                  </w:pPr>
                  <w:r w:rsidRPr="00786F37">
                    <w:t xml:space="preserve">  97.4</w:t>
                  </w:r>
                </w:p>
              </w:tc>
              <w:tc>
                <w:tcPr>
                  <w:tcW w:w="581" w:type="pct"/>
                </w:tcPr>
                <w:p w:rsidR="007622D9" w:rsidRPr="00786F37" w:rsidRDefault="007622D9" w:rsidP="003C58FB">
                  <w:pPr>
                    <w:pStyle w:val="TableBodyText"/>
                  </w:pPr>
                  <w:r w:rsidRPr="00786F37">
                    <w:t xml:space="preserve">  94.8</w:t>
                  </w:r>
                </w:p>
              </w:tc>
              <w:tc>
                <w:tcPr>
                  <w:tcW w:w="500" w:type="pct"/>
                </w:tcPr>
                <w:p w:rsidR="007622D9" w:rsidRPr="00786F37" w:rsidRDefault="007622D9" w:rsidP="003C58FB">
                  <w:pPr>
                    <w:pStyle w:val="TableBodyText"/>
                  </w:pPr>
                  <w:r w:rsidRPr="00786F37">
                    <w:t xml:space="preserve">  82.5</w:t>
                  </w:r>
                </w:p>
              </w:tc>
              <w:tc>
                <w:tcPr>
                  <w:tcW w:w="499" w:type="pct"/>
                </w:tcPr>
                <w:p w:rsidR="007622D9" w:rsidRPr="00786F37" w:rsidRDefault="007622D9" w:rsidP="003C58FB">
                  <w:pPr>
                    <w:pStyle w:val="TableBodyText"/>
                  </w:pPr>
                  <w:r w:rsidRPr="00786F37">
                    <w:t xml:space="preserve">  89.4</w:t>
                  </w:r>
                </w:p>
              </w:tc>
              <w:tc>
                <w:tcPr>
                  <w:tcW w:w="500" w:type="pct"/>
                </w:tcPr>
                <w:p w:rsidR="007622D9" w:rsidRPr="00786F37" w:rsidRDefault="007622D9" w:rsidP="003C58FB">
                  <w:pPr>
                    <w:pStyle w:val="TableBodyText"/>
                  </w:pPr>
                  <w:r w:rsidRPr="00786F37">
                    <w:t xml:space="preserve">  92.1</w:t>
                  </w:r>
                </w:p>
              </w:tc>
              <w:tc>
                <w:tcPr>
                  <w:tcW w:w="500" w:type="pct"/>
                </w:tcPr>
                <w:p w:rsidR="007622D9" w:rsidRPr="00786F37" w:rsidRDefault="007622D9" w:rsidP="003C58FB">
                  <w:pPr>
                    <w:pStyle w:val="TableBodyText"/>
                  </w:pPr>
                  <w:r w:rsidRPr="00786F37">
                    <w:t>na</w:t>
                  </w:r>
                </w:p>
              </w:tc>
              <w:tc>
                <w:tcPr>
                  <w:tcW w:w="500" w:type="pct"/>
                </w:tcPr>
                <w:p w:rsidR="007622D9" w:rsidRPr="00786F37" w:rsidRDefault="007622D9" w:rsidP="003C58FB">
                  <w:pPr>
                    <w:pStyle w:val="TableBodyText"/>
                  </w:pPr>
                  <w:r w:rsidRPr="00786F37">
                    <w:t>na</w:t>
                  </w:r>
                </w:p>
              </w:tc>
              <w:tc>
                <w:tcPr>
                  <w:tcW w:w="488" w:type="pct"/>
                </w:tcPr>
                <w:p w:rsidR="007622D9" w:rsidRPr="00786F37" w:rsidRDefault="007622D9" w:rsidP="001E26BC">
                  <w:pPr>
                    <w:pStyle w:val="TableBodyText"/>
                  </w:pPr>
                  <w:r w:rsidRPr="00786F37">
                    <w:t xml:space="preserve">  92.1</w:t>
                  </w:r>
                </w:p>
              </w:tc>
              <w:tc>
                <w:tcPr>
                  <w:tcW w:w="15" w:type="pct"/>
                  <w:shd w:val="clear" w:color="auto" w:fill="auto"/>
                </w:tcPr>
                <w:p w:rsidR="007622D9" w:rsidRPr="00786F37" w:rsidRDefault="007622D9" w:rsidP="003C58FB">
                  <w:pPr>
                    <w:pStyle w:val="TableBodyText"/>
                  </w:pPr>
                </w:p>
              </w:tc>
            </w:tr>
            <w:tr w:rsidR="007622D9" w:rsidRPr="007F75B8" w:rsidTr="00970B14">
              <w:tc>
                <w:tcPr>
                  <w:tcW w:w="453" w:type="pct"/>
                  <w:tcBorders>
                    <w:bottom w:val="single" w:sz="4" w:space="0" w:color="BFBFBF" w:themeColor="background2"/>
                  </w:tcBorders>
                  <w:shd w:val="clear" w:color="auto" w:fill="auto"/>
                </w:tcPr>
                <w:p w:rsidR="007622D9" w:rsidRPr="00533898" w:rsidRDefault="007622D9" w:rsidP="003C58FB">
                  <w:pPr>
                    <w:pStyle w:val="TableBodyText"/>
                    <w:jc w:val="left"/>
                  </w:pPr>
                  <w:r w:rsidRPr="00533898">
                    <w:t>2011</w:t>
                  </w:r>
                </w:p>
              </w:tc>
              <w:tc>
                <w:tcPr>
                  <w:tcW w:w="453" w:type="pct"/>
                  <w:tcBorders>
                    <w:bottom w:val="single" w:sz="4" w:space="0" w:color="BFBFBF" w:themeColor="background2"/>
                  </w:tcBorders>
                  <w:shd w:val="clear" w:color="auto" w:fill="auto"/>
                </w:tcPr>
                <w:p w:rsidR="007622D9" w:rsidRPr="00786F37" w:rsidRDefault="007622D9" w:rsidP="003C58FB">
                  <w:pPr>
                    <w:pStyle w:val="TableBodyText"/>
                  </w:pPr>
                  <w:r w:rsidRPr="00786F37">
                    <w:t xml:space="preserve">  96.2</w:t>
                  </w:r>
                </w:p>
              </w:tc>
              <w:tc>
                <w:tcPr>
                  <w:tcW w:w="510" w:type="pct"/>
                  <w:tcBorders>
                    <w:bottom w:val="single" w:sz="4" w:space="0" w:color="BFBFBF" w:themeColor="background2"/>
                  </w:tcBorders>
                </w:tcPr>
                <w:p w:rsidR="007622D9" w:rsidRPr="00786F37" w:rsidRDefault="007622D9" w:rsidP="003C58FB">
                  <w:pPr>
                    <w:pStyle w:val="TableBodyText"/>
                  </w:pPr>
                  <w:r w:rsidRPr="00786F37">
                    <w:t xml:space="preserve">  95.4</w:t>
                  </w:r>
                </w:p>
              </w:tc>
              <w:tc>
                <w:tcPr>
                  <w:tcW w:w="581" w:type="pct"/>
                  <w:tcBorders>
                    <w:bottom w:val="single" w:sz="4" w:space="0" w:color="BFBFBF" w:themeColor="background2"/>
                  </w:tcBorders>
                </w:tcPr>
                <w:p w:rsidR="007622D9" w:rsidRPr="00786F37" w:rsidRDefault="007622D9" w:rsidP="003C58FB">
                  <w:pPr>
                    <w:pStyle w:val="TableBodyText"/>
                  </w:pPr>
                  <w:r w:rsidRPr="00786F37">
                    <w:t xml:space="preserve">  97.0</w:t>
                  </w:r>
                </w:p>
              </w:tc>
              <w:tc>
                <w:tcPr>
                  <w:tcW w:w="500" w:type="pct"/>
                  <w:tcBorders>
                    <w:bottom w:val="single" w:sz="4" w:space="0" w:color="BFBFBF" w:themeColor="background2"/>
                  </w:tcBorders>
                </w:tcPr>
                <w:p w:rsidR="007622D9" w:rsidRPr="00786F37" w:rsidRDefault="007622D9" w:rsidP="003C58FB">
                  <w:pPr>
                    <w:pStyle w:val="TableBodyText"/>
                  </w:pPr>
                  <w:r w:rsidRPr="00786F37">
                    <w:t xml:space="preserve">  79.8</w:t>
                  </w:r>
                </w:p>
              </w:tc>
              <w:tc>
                <w:tcPr>
                  <w:tcW w:w="499" w:type="pct"/>
                  <w:tcBorders>
                    <w:bottom w:val="single" w:sz="4" w:space="0" w:color="BFBFBF" w:themeColor="background2"/>
                  </w:tcBorders>
                </w:tcPr>
                <w:p w:rsidR="007622D9" w:rsidRPr="00786F37" w:rsidRDefault="007622D9" w:rsidP="003C58FB">
                  <w:pPr>
                    <w:pStyle w:val="TableBodyText"/>
                  </w:pPr>
                  <w:r w:rsidRPr="00786F37">
                    <w:t xml:space="preserve">  78.8</w:t>
                  </w:r>
                </w:p>
              </w:tc>
              <w:tc>
                <w:tcPr>
                  <w:tcW w:w="500" w:type="pct"/>
                  <w:tcBorders>
                    <w:bottom w:val="single" w:sz="4" w:space="0" w:color="BFBFBF" w:themeColor="background2"/>
                  </w:tcBorders>
                </w:tcPr>
                <w:p w:rsidR="007622D9" w:rsidRPr="00786F37" w:rsidRDefault="007622D9" w:rsidP="003C58FB">
                  <w:pPr>
                    <w:pStyle w:val="TableBodyText"/>
                  </w:pPr>
                  <w:r w:rsidRPr="00786F37">
                    <w:t xml:space="preserve">  89.8</w:t>
                  </w:r>
                </w:p>
              </w:tc>
              <w:tc>
                <w:tcPr>
                  <w:tcW w:w="500" w:type="pct"/>
                  <w:tcBorders>
                    <w:bottom w:val="single" w:sz="4" w:space="0" w:color="BFBFBF" w:themeColor="background2"/>
                  </w:tcBorders>
                </w:tcPr>
                <w:p w:rsidR="007622D9" w:rsidRPr="00786F37" w:rsidRDefault="007622D9" w:rsidP="003C58FB">
                  <w:pPr>
                    <w:pStyle w:val="TableBodyText"/>
                  </w:pPr>
                  <w:r w:rsidRPr="00786F37">
                    <w:t>na</w:t>
                  </w:r>
                </w:p>
              </w:tc>
              <w:tc>
                <w:tcPr>
                  <w:tcW w:w="500" w:type="pct"/>
                  <w:tcBorders>
                    <w:bottom w:val="single" w:sz="4" w:space="0" w:color="BFBFBF" w:themeColor="background2"/>
                  </w:tcBorders>
                </w:tcPr>
                <w:p w:rsidR="007622D9" w:rsidRPr="00786F37" w:rsidRDefault="007622D9" w:rsidP="003C58FB">
                  <w:pPr>
                    <w:pStyle w:val="TableBodyText"/>
                  </w:pPr>
                  <w:r w:rsidRPr="00786F37">
                    <w:t>na</w:t>
                  </w:r>
                </w:p>
              </w:tc>
              <w:tc>
                <w:tcPr>
                  <w:tcW w:w="488" w:type="pct"/>
                  <w:tcBorders>
                    <w:bottom w:val="single" w:sz="4" w:space="0" w:color="BFBFBF" w:themeColor="background2"/>
                  </w:tcBorders>
                </w:tcPr>
                <w:p w:rsidR="007622D9" w:rsidRDefault="007622D9" w:rsidP="001E26BC">
                  <w:pPr>
                    <w:pStyle w:val="TableBodyText"/>
                  </w:pPr>
                  <w:r w:rsidRPr="00786F37">
                    <w:t xml:space="preserve">  91.6</w:t>
                  </w:r>
                </w:p>
              </w:tc>
              <w:tc>
                <w:tcPr>
                  <w:tcW w:w="15" w:type="pct"/>
                  <w:tcBorders>
                    <w:bottom w:val="single" w:sz="4" w:space="0" w:color="BFBFBF" w:themeColor="background2"/>
                  </w:tcBorders>
                  <w:shd w:val="clear" w:color="auto" w:fill="auto"/>
                </w:tcPr>
                <w:p w:rsidR="007622D9" w:rsidRDefault="007622D9" w:rsidP="003C58FB">
                  <w:pPr>
                    <w:pStyle w:val="TableBodyText"/>
                  </w:pPr>
                </w:p>
              </w:tc>
            </w:tr>
          </w:tbl>
          <w:p w:rsidR="00C93E54" w:rsidRDefault="00C93E54" w:rsidP="000F46A8">
            <w:pPr>
              <w:pStyle w:val="Box"/>
            </w:pPr>
          </w:p>
        </w:tc>
      </w:tr>
      <w:tr w:rsidR="00C93E54" w:rsidTr="000F46A8">
        <w:trPr>
          <w:cantSplit/>
        </w:trPr>
        <w:tc>
          <w:tcPr>
            <w:tcW w:w="5000" w:type="pct"/>
            <w:tcBorders>
              <w:top w:val="nil"/>
              <w:left w:val="nil"/>
              <w:bottom w:val="nil"/>
              <w:right w:val="nil"/>
            </w:tcBorders>
            <w:shd w:val="clear" w:color="auto" w:fill="auto"/>
          </w:tcPr>
          <w:p w:rsidR="00C93E54" w:rsidRDefault="00C93E54" w:rsidP="004C3B34">
            <w:pPr>
              <w:pStyle w:val="Note"/>
              <w:rPr>
                <w:i/>
              </w:rPr>
            </w:pPr>
            <w:r w:rsidRPr="008E77FE">
              <w:rPr>
                <w:rStyle w:val="NoteLabel"/>
              </w:rPr>
              <w:t>a</w:t>
            </w:r>
            <w:r w:rsidR="00451C44">
              <w:t xml:space="preserve">See </w:t>
            </w:r>
            <w:r w:rsidR="007D1214">
              <w:t>b</w:t>
            </w:r>
            <w:r w:rsidR="00451C44">
              <w:t>ox</w:t>
            </w:r>
            <w:r w:rsidR="007D1214">
              <w:t> </w:t>
            </w:r>
            <w:r w:rsidR="00451C44">
              <w:t>17.10</w:t>
            </w:r>
            <w:r w:rsidR="006B5C6D">
              <w:t xml:space="preserve"> and table</w:t>
            </w:r>
            <w:r w:rsidR="004D23C6">
              <w:t>s</w:t>
            </w:r>
            <w:r w:rsidR="007D1214">
              <w:t> </w:t>
            </w:r>
            <w:proofErr w:type="spellStart"/>
            <w:r w:rsidR="006B5C6D">
              <w:t>17A.24</w:t>
            </w:r>
            <w:proofErr w:type="spellEnd"/>
            <w:r w:rsidR="00F306D1">
              <w:t>–</w:t>
            </w:r>
            <w:r w:rsidR="006B5C6D">
              <w:t>27</w:t>
            </w:r>
            <w:r w:rsidR="004C3B34">
              <w:t xml:space="preserve"> </w:t>
            </w:r>
            <w:r w:rsidR="00AC0EFD">
              <w:t xml:space="preserve">for detailed definitions, footnotes and caveats. </w:t>
            </w:r>
            <w:r w:rsidRPr="008D04B2">
              <w:rPr>
                <w:b/>
              </w:rPr>
              <w:t>na</w:t>
            </w:r>
            <w:r w:rsidRPr="00406A64">
              <w:t xml:space="preserve"> Not available. </w:t>
            </w:r>
            <w:r w:rsidRPr="008D04B2">
              <w:rPr>
                <w:b/>
              </w:rPr>
              <w:t>..</w:t>
            </w:r>
            <w:r w:rsidRPr="00406A64">
              <w:t xml:space="preserve"> Not applicable.</w:t>
            </w:r>
          </w:p>
        </w:tc>
      </w:tr>
      <w:tr w:rsidR="00C93E54" w:rsidTr="000F46A8">
        <w:trPr>
          <w:cantSplit/>
        </w:trPr>
        <w:tc>
          <w:tcPr>
            <w:tcW w:w="5000" w:type="pct"/>
            <w:tcBorders>
              <w:top w:val="nil"/>
              <w:left w:val="nil"/>
              <w:bottom w:val="nil"/>
              <w:right w:val="nil"/>
            </w:tcBorders>
            <w:shd w:val="clear" w:color="auto" w:fill="auto"/>
          </w:tcPr>
          <w:p w:rsidR="00C93E54" w:rsidRDefault="00C93E54" w:rsidP="004C3B34">
            <w:pPr>
              <w:pStyle w:val="Source"/>
            </w:pPr>
            <w:r>
              <w:rPr>
                <w:i/>
              </w:rPr>
              <w:t xml:space="preserve">Source: </w:t>
            </w:r>
            <w:r w:rsidRPr="0078599A">
              <w:t xml:space="preserve">AIHW (unpublished) </w:t>
            </w:r>
            <w:r w:rsidRPr="00A11155">
              <w:t>National Housing Assistance Data Repository</w:t>
            </w:r>
            <w:r w:rsidR="004D23C6">
              <w:rPr>
                <w:i/>
              </w:rPr>
              <w:t>;</w:t>
            </w:r>
            <w:r w:rsidR="004D23C6" w:rsidRPr="004D23C6">
              <w:t xml:space="preserve"> tables</w:t>
            </w:r>
            <w:r w:rsidR="007D1214">
              <w:rPr>
                <w:i/>
              </w:rPr>
              <w:t> </w:t>
            </w:r>
            <w:proofErr w:type="spellStart"/>
            <w:r w:rsidR="004D23C6">
              <w:t>17A.24</w:t>
            </w:r>
            <w:proofErr w:type="spellEnd"/>
            <w:r w:rsidR="00F306D1">
              <w:t>–</w:t>
            </w:r>
            <w:r w:rsidR="004D23C6">
              <w:t>27</w:t>
            </w:r>
            <w:r w:rsidRPr="000E644A">
              <w:t>.</w:t>
            </w:r>
          </w:p>
        </w:tc>
      </w:tr>
      <w:tr w:rsidR="00C93E54" w:rsidTr="000F46A8">
        <w:trPr>
          <w:cantSplit/>
        </w:trPr>
        <w:tc>
          <w:tcPr>
            <w:tcW w:w="5000" w:type="pct"/>
            <w:tcBorders>
              <w:top w:val="nil"/>
              <w:left w:val="nil"/>
              <w:bottom w:val="single" w:sz="6" w:space="0" w:color="78A22F" w:themeColor="accent1"/>
              <w:right w:val="nil"/>
            </w:tcBorders>
            <w:shd w:val="clear" w:color="auto" w:fill="auto"/>
          </w:tcPr>
          <w:p w:rsidR="00C93E54" w:rsidRDefault="00C93E54" w:rsidP="000F46A8">
            <w:pPr>
              <w:pStyle w:val="Box"/>
              <w:spacing w:before="0" w:line="120" w:lineRule="exact"/>
            </w:pPr>
          </w:p>
        </w:tc>
      </w:tr>
      <w:tr w:rsidR="00C93E54" w:rsidRPr="000863A5" w:rsidTr="000F46A8">
        <w:trPr>
          <w:hidden/>
        </w:trPr>
        <w:tc>
          <w:tcPr>
            <w:tcW w:w="5000" w:type="pct"/>
            <w:tcBorders>
              <w:top w:val="single" w:sz="6" w:space="0" w:color="78A22F" w:themeColor="accent1"/>
              <w:left w:val="nil"/>
              <w:bottom w:val="nil"/>
              <w:right w:val="nil"/>
            </w:tcBorders>
          </w:tcPr>
          <w:p w:rsidR="00C93E54" w:rsidRPr="006C4B07" w:rsidRDefault="00C93E54" w:rsidP="000F46A8">
            <w:pPr>
              <w:pStyle w:val="BoxSpaceBelow"/>
              <w:rPr>
                <w:rFonts w:ascii="Times New Roman" w:hAnsi="Times New Roman"/>
                <w:b/>
                <w:vanish/>
                <w:color w:val="FF00FF"/>
              </w:rPr>
            </w:pPr>
          </w:p>
        </w:tc>
      </w:tr>
    </w:tbl>
    <w:p w:rsidR="009864C1" w:rsidRPr="004237A3" w:rsidRDefault="009864C1" w:rsidP="00796335">
      <w:pPr>
        <w:pStyle w:val="Heading4"/>
      </w:pPr>
      <w:r w:rsidRPr="004237A3">
        <w:t>Turnaround time</w:t>
      </w:r>
    </w:p>
    <w:p w:rsidR="008E3074" w:rsidRPr="0048696D" w:rsidRDefault="009864C1" w:rsidP="008E3074">
      <w:pPr>
        <w:pStyle w:val="BodyText"/>
        <w:spacing w:after="240"/>
      </w:pPr>
      <w:r w:rsidRPr="0048696D">
        <w:t>‘Turnaround time’</w:t>
      </w:r>
      <w:r w:rsidR="00955446" w:rsidRPr="0048696D">
        <w:t xml:space="preserve"> is </w:t>
      </w:r>
      <w:r w:rsidR="004D23C6" w:rsidRPr="0048696D">
        <w:t>an indicator of governments’ objective to</w:t>
      </w:r>
      <w:r w:rsidR="00955446" w:rsidRPr="0048696D">
        <w:t xml:space="preserve"> relet their properties quickly and efficiently to meet demand</w:t>
      </w:r>
      <w:r w:rsidRPr="0048696D">
        <w:t xml:space="preserve"> (box</w:t>
      </w:r>
      <w:r w:rsidR="007D1214">
        <w:t> </w:t>
      </w:r>
      <w:r w:rsidR="00463387" w:rsidRPr="0048696D">
        <w:t>17.</w:t>
      </w:r>
      <w:r w:rsidR="00451C44" w:rsidRPr="0048696D">
        <w:t>11</w:t>
      </w:r>
      <w:r w:rsidRPr="0048696D">
        <w:t>).</w:t>
      </w:r>
    </w:p>
    <w:p w:rsidR="00735457" w:rsidRPr="00457EC9" w:rsidRDefault="00735457">
      <w:pPr>
        <w:pStyle w:val="BoxSpaceAbove"/>
        <w:rPr>
          <w:color w:val="FF0000"/>
        </w:rPr>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735457" w:rsidRPr="00457EC9" w:rsidTr="0063129D">
        <w:tc>
          <w:tcPr>
            <w:tcW w:w="5000" w:type="pct"/>
            <w:tcBorders>
              <w:top w:val="single" w:sz="6" w:space="0" w:color="78A22F"/>
              <w:left w:val="nil"/>
              <w:bottom w:val="nil"/>
              <w:right w:val="nil"/>
            </w:tcBorders>
            <w:shd w:val="clear" w:color="auto" w:fill="F2F2F2" w:themeFill="background1" w:themeFillShade="F2"/>
          </w:tcPr>
          <w:p w:rsidR="00735457" w:rsidRPr="00BA6C7C" w:rsidRDefault="004679A4" w:rsidP="00735457">
            <w:pPr>
              <w:pStyle w:val="BoxTitle"/>
            </w:pPr>
            <w:r>
              <w:rPr>
                <w:b w:val="0"/>
              </w:rPr>
              <w:t>Box 17.11</w:t>
            </w:r>
            <w:r w:rsidR="00735457" w:rsidRPr="00BA6C7C">
              <w:tab/>
              <w:t>Turnaround time</w:t>
            </w:r>
          </w:p>
        </w:tc>
      </w:tr>
      <w:tr w:rsidR="00735457" w:rsidRPr="004D0537" w:rsidTr="0063129D">
        <w:trPr>
          <w:cantSplit/>
        </w:trPr>
        <w:tc>
          <w:tcPr>
            <w:tcW w:w="5000" w:type="pct"/>
            <w:tcBorders>
              <w:top w:val="nil"/>
              <w:left w:val="nil"/>
              <w:bottom w:val="nil"/>
              <w:right w:val="nil"/>
            </w:tcBorders>
            <w:shd w:val="clear" w:color="auto" w:fill="F2F2F2" w:themeFill="background1" w:themeFillShade="F2"/>
          </w:tcPr>
          <w:p w:rsidR="00CE40D5" w:rsidRPr="004D0537" w:rsidRDefault="00CE40D5" w:rsidP="00CE40D5">
            <w:pPr>
              <w:pStyle w:val="Box"/>
            </w:pPr>
            <w:r w:rsidRPr="004D0537">
              <w:t>‘Turnaround time’ is defined as the average time taken for vacant stock, that is available to rent through normal processes, to be occupied.</w:t>
            </w:r>
            <w:r w:rsidR="002A6EDB" w:rsidRPr="004D0537">
              <w:t xml:space="preserve"> The indicator is measured as the total number of days that dwellings were vacant for the year, divided by the total number of vacancy episodes for the year.</w:t>
            </w:r>
          </w:p>
          <w:p w:rsidR="00CE40D5" w:rsidRPr="004D0537" w:rsidRDefault="00CE40D5" w:rsidP="00CE40D5">
            <w:pPr>
              <w:pStyle w:val="Box"/>
            </w:pPr>
            <w:r w:rsidRPr="004D0537">
              <w:t>A low or decreasing turnaround time suggests efficient housing allocation.</w:t>
            </w:r>
          </w:p>
          <w:p w:rsidR="00C30EEE" w:rsidRPr="004D0537" w:rsidRDefault="00C30EEE" w:rsidP="009C3B12">
            <w:pPr>
              <w:pStyle w:val="Box"/>
            </w:pPr>
            <w:r w:rsidRPr="004D0537">
              <w:t>The indicator includes vacancies for dwellings that:</w:t>
            </w:r>
          </w:p>
          <w:p w:rsidR="00C30EEE" w:rsidRPr="004D0537" w:rsidRDefault="00C30EEE" w:rsidP="00606E40">
            <w:pPr>
              <w:pStyle w:val="BoxListBullet"/>
            </w:pPr>
            <w:r w:rsidRPr="004D0537">
              <w:t>are available to rent through normal processes, including dwellings that are undergoing normal maintenance</w:t>
            </w:r>
          </w:p>
          <w:p w:rsidR="00C30EEE" w:rsidRPr="004D0537" w:rsidRDefault="00C30EEE" w:rsidP="00606E40">
            <w:pPr>
              <w:pStyle w:val="BoxListBullet"/>
            </w:pPr>
            <w:r w:rsidRPr="004D0537">
              <w:t>are newly constructed or purchased from when the certificate of occupancy was completed or the keys were received</w:t>
            </w:r>
          </w:p>
          <w:p w:rsidR="00C30EEE" w:rsidRPr="004D0537" w:rsidRDefault="00C30EEE" w:rsidP="00606E40">
            <w:pPr>
              <w:pStyle w:val="BoxListBullet"/>
            </w:pPr>
            <w:r w:rsidRPr="004D0537">
              <w:t>have undergone major redevelopment work from when the certificate of occupancy was completed or the keys were received</w:t>
            </w:r>
          </w:p>
          <w:p w:rsidR="002A6EDB" w:rsidRPr="004D0537" w:rsidRDefault="00017E6D" w:rsidP="00017E6D">
            <w:pPr>
              <w:pStyle w:val="BoxListBullet"/>
            </w:pPr>
            <w:r w:rsidRPr="004D0537">
              <w:t>are considered hard</w:t>
            </w:r>
            <w:r w:rsidR="007D1214">
              <w:noBreakHyphen/>
            </w:r>
            <w:r w:rsidRPr="004D0537">
              <w:t>to</w:t>
            </w:r>
            <w:r w:rsidR="007D1214">
              <w:noBreakHyphen/>
            </w:r>
            <w:r w:rsidRPr="004D0537">
              <w:t>let.</w:t>
            </w:r>
          </w:p>
          <w:p w:rsidR="00CE40D5" w:rsidRPr="004D0537" w:rsidRDefault="00C30EEE" w:rsidP="009C3B12">
            <w:pPr>
              <w:pStyle w:val="Box"/>
            </w:pPr>
            <w:r w:rsidRPr="004D0537">
              <w:t xml:space="preserve">There are differences across jurisdictions in how vacancies are reported </w:t>
            </w:r>
            <w:r w:rsidR="00F04761" w:rsidRPr="004D0537">
              <w:t>that</w:t>
            </w:r>
            <w:r w:rsidRPr="004D0537">
              <w:t xml:space="preserve"> limit data com</w:t>
            </w:r>
            <w:r w:rsidR="00A44775" w:rsidRPr="004D0537">
              <w:t>parability across jurisdictions</w:t>
            </w:r>
            <w:r w:rsidR="00906931" w:rsidRPr="004D0537">
              <w:t xml:space="preserve">. </w:t>
            </w:r>
            <w:r w:rsidRPr="004D0537">
              <w:t>This indicator is sensitive to jurisdictional differences e.g. in stock profiles, policies on the maintenance of properties after they have been vacated, eligibility criteria and stock allocation policies, capital works and disability modification programs, and legislation e.g. covering abandoned goods policies.</w:t>
            </w:r>
          </w:p>
          <w:p w:rsidR="0020345F" w:rsidRPr="004D0537" w:rsidRDefault="00CE40D5" w:rsidP="00CE40D5">
            <w:pPr>
              <w:pStyle w:val="Box"/>
            </w:pPr>
            <w:r w:rsidRPr="004D0537">
              <w:t xml:space="preserve">Data for this indicator are reported for public housing and SOMIH. </w:t>
            </w:r>
          </w:p>
          <w:p w:rsidR="00CE40D5" w:rsidRPr="004D0537" w:rsidRDefault="00CE40D5" w:rsidP="00CE40D5">
            <w:pPr>
              <w:pStyle w:val="Box"/>
            </w:pPr>
            <w:r w:rsidRPr="004D0537">
              <w:t xml:space="preserve">Data reported </w:t>
            </w:r>
            <w:r w:rsidR="0020345F" w:rsidRPr="004D0537">
              <w:t xml:space="preserve">for this indicator </w:t>
            </w:r>
            <w:r w:rsidRPr="004D0537">
              <w:t>are:</w:t>
            </w:r>
          </w:p>
          <w:p w:rsidR="00CE40D5" w:rsidRPr="004D0537" w:rsidRDefault="00CE40D5" w:rsidP="00606E40">
            <w:pPr>
              <w:pStyle w:val="BoxListBullet"/>
            </w:pPr>
            <w:r w:rsidRPr="004D0537">
              <w:t>comparable (subject to caveats) within some jurisdictions over time but are not comparable across jurisdictions or over time for other jurisdictions (see caveats in attachment tables and DQI for specific jurisdictions)</w:t>
            </w:r>
          </w:p>
          <w:p w:rsidR="00CE40D5" w:rsidRPr="004D0537" w:rsidRDefault="00CE40D5" w:rsidP="00606E40">
            <w:pPr>
              <w:pStyle w:val="BoxListBullet"/>
            </w:pPr>
            <w:r w:rsidRPr="004D0537">
              <w:t>are not comparable across public housing and SOMIH</w:t>
            </w:r>
          </w:p>
          <w:p w:rsidR="00CE40D5" w:rsidRPr="004D0537" w:rsidRDefault="00BC0506" w:rsidP="008502FB">
            <w:pPr>
              <w:pStyle w:val="BoxListBullet"/>
            </w:pPr>
            <w:r w:rsidRPr="004D0537">
              <w:t>incomplete for SOMIH</w:t>
            </w:r>
            <w:r w:rsidR="008502FB" w:rsidRPr="004D0537">
              <w:t xml:space="preserve"> and public hou</w:t>
            </w:r>
            <w:r w:rsidRPr="004D0537">
              <w:t xml:space="preserve">sing. All required </w:t>
            </w:r>
            <w:r w:rsidR="00BB34C6" w:rsidRPr="004D0537">
              <w:t>2014</w:t>
            </w:r>
            <w:r w:rsidR="007D1214">
              <w:noBreakHyphen/>
            </w:r>
            <w:r w:rsidR="00BB34C6" w:rsidRPr="004D0537">
              <w:t>15</w:t>
            </w:r>
            <w:r w:rsidR="008502FB" w:rsidRPr="004D0537">
              <w:t xml:space="preserve"> and 2013</w:t>
            </w:r>
            <w:r w:rsidR="007D1214">
              <w:noBreakHyphen/>
            </w:r>
            <w:r w:rsidR="008502FB" w:rsidRPr="004D0537">
              <w:t xml:space="preserve">14 </w:t>
            </w:r>
            <w:r w:rsidR="0090458C" w:rsidRPr="004D0537">
              <w:t>data were</w:t>
            </w:r>
            <w:r w:rsidRPr="004D0537">
              <w:t xml:space="preserve"> not available for SA.</w:t>
            </w:r>
          </w:p>
          <w:p w:rsidR="00735457" w:rsidRPr="004D0537" w:rsidRDefault="00CE40D5" w:rsidP="00CE40D5">
            <w:pPr>
              <w:pStyle w:val="Box"/>
            </w:pPr>
            <w:r w:rsidRPr="004D0537">
              <w:t xml:space="preserve">Data quality information for this indicator is at </w:t>
            </w:r>
            <w:proofErr w:type="spellStart"/>
            <w:r w:rsidR="00884651" w:rsidRPr="004D0537">
              <w:t>www.pc.gov.au</w:t>
            </w:r>
            <w:proofErr w:type="spellEnd"/>
            <w:r w:rsidR="00BA6C7C" w:rsidRPr="004D0537">
              <w:t>/</w:t>
            </w:r>
            <w:proofErr w:type="spellStart"/>
            <w:r w:rsidR="00BA6C7C" w:rsidRPr="004D0537">
              <w:t>rogs</w:t>
            </w:r>
            <w:proofErr w:type="spellEnd"/>
            <w:r w:rsidR="00BA6C7C" w:rsidRPr="004D0537">
              <w:t>/2016</w:t>
            </w:r>
            <w:r w:rsidRPr="004D0537">
              <w:t>.</w:t>
            </w:r>
          </w:p>
        </w:tc>
      </w:tr>
      <w:tr w:rsidR="00735457" w:rsidRPr="004D0537" w:rsidTr="0063129D">
        <w:trPr>
          <w:cantSplit/>
        </w:trPr>
        <w:tc>
          <w:tcPr>
            <w:tcW w:w="5000" w:type="pct"/>
            <w:tcBorders>
              <w:top w:val="nil"/>
              <w:left w:val="nil"/>
              <w:bottom w:val="single" w:sz="6" w:space="0" w:color="78A22F"/>
              <w:right w:val="nil"/>
            </w:tcBorders>
            <w:shd w:val="clear" w:color="auto" w:fill="F2F2F2" w:themeFill="background1" w:themeFillShade="F2"/>
          </w:tcPr>
          <w:p w:rsidR="00735457" w:rsidRPr="004D0537" w:rsidRDefault="00735457">
            <w:pPr>
              <w:pStyle w:val="Box"/>
              <w:spacing w:before="0" w:line="120" w:lineRule="exact"/>
            </w:pPr>
          </w:p>
        </w:tc>
      </w:tr>
      <w:tr w:rsidR="00735457" w:rsidRPr="004D0537" w:rsidTr="0063129D">
        <w:tc>
          <w:tcPr>
            <w:tcW w:w="5000" w:type="pct"/>
            <w:tcBorders>
              <w:top w:val="single" w:sz="6" w:space="0" w:color="78A22F"/>
              <w:left w:val="nil"/>
              <w:bottom w:val="nil"/>
              <w:right w:val="nil"/>
            </w:tcBorders>
          </w:tcPr>
          <w:p w:rsidR="00735457" w:rsidRPr="004D0537" w:rsidRDefault="00735457" w:rsidP="00334F07">
            <w:pPr>
              <w:pStyle w:val="BoxSpaceBelow"/>
            </w:pPr>
          </w:p>
        </w:tc>
      </w:tr>
    </w:tbl>
    <w:p w:rsidR="00A13745" w:rsidRPr="00BA6C7C" w:rsidRDefault="00AC0EF9" w:rsidP="009864C1">
      <w:pPr>
        <w:pStyle w:val="BodyText"/>
      </w:pPr>
      <w:r w:rsidRPr="005E340A">
        <w:t>The a</w:t>
      </w:r>
      <w:r w:rsidR="00A13745" w:rsidRPr="005E340A">
        <w:t xml:space="preserve">verage turnaround time for vacant public housing </w:t>
      </w:r>
      <w:r w:rsidR="00E52374" w:rsidRPr="005E340A">
        <w:t xml:space="preserve">and </w:t>
      </w:r>
      <w:r w:rsidR="001D61D1" w:rsidRPr="005E340A">
        <w:t>SOMIH s</w:t>
      </w:r>
      <w:r w:rsidR="00A13745" w:rsidRPr="005E340A">
        <w:t>tock varie</w:t>
      </w:r>
      <w:r w:rsidRPr="005E340A">
        <w:t>d</w:t>
      </w:r>
      <w:r w:rsidR="00E825A7" w:rsidRPr="005E340A">
        <w:t xml:space="preserve"> </w:t>
      </w:r>
      <w:r w:rsidR="00796335" w:rsidRPr="005E340A">
        <w:t xml:space="preserve">across </w:t>
      </w:r>
      <w:r w:rsidR="00E825A7" w:rsidRPr="005E340A">
        <w:t>and within jurisdictions</w:t>
      </w:r>
      <w:r w:rsidR="00796335" w:rsidRPr="005E340A">
        <w:t xml:space="preserve"> over time</w:t>
      </w:r>
      <w:r w:rsidR="00E825A7" w:rsidRPr="005E340A">
        <w:t xml:space="preserve"> </w:t>
      </w:r>
      <w:r w:rsidR="000B7E98" w:rsidRPr="005E340A">
        <w:t>(figure</w:t>
      </w:r>
      <w:r w:rsidR="007D1214">
        <w:t> </w:t>
      </w:r>
      <w:r w:rsidR="000B7E98" w:rsidRPr="005E340A">
        <w:t>17.8</w:t>
      </w:r>
      <w:r w:rsidR="0024564C" w:rsidRPr="005E340A">
        <w:t>).</w:t>
      </w:r>
      <w:r w:rsidR="008502FB" w:rsidRPr="005E340A">
        <w:t xml:space="preserve"> This indicator is currently in the process of being r</w:t>
      </w:r>
      <w:r w:rsidR="00955446" w:rsidRPr="005E340A">
        <w:t xml:space="preserve">edeveloped to ensure consistent, </w:t>
      </w:r>
      <w:r w:rsidR="00125CD4" w:rsidRPr="005E340A">
        <w:t>fully comparable and complete</w:t>
      </w:r>
      <w:r w:rsidR="00955446" w:rsidRPr="005E340A">
        <w:t xml:space="preserve"> reporting</w:t>
      </w:r>
      <w:r w:rsidR="008502FB" w:rsidRPr="005E340A">
        <w:t xml:space="preserve"> across jurisdictions</w:t>
      </w:r>
      <w:r w:rsidR="00AA6FBB" w:rsidRPr="005E340A">
        <w:t xml:space="preserve"> for both public housing and SOMIH</w:t>
      </w:r>
      <w:r w:rsidR="008502FB" w:rsidRPr="005E340A">
        <w:t>.</w:t>
      </w:r>
      <w:r w:rsidR="008502FB">
        <w:t xml:space="preserve"> </w:t>
      </w:r>
    </w:p>
    <w:p w:rsidR="00CE40D5" w:rsidRPr="00BA6C7C" w:rsidRDefault="00CE40D5">
      <w:pPr>
        <w:rPr>
          <w:szCs w:val="20"/>
        </w:rPr>
      </w:pPr>
      <w:r w:rsidRPr="00BA6C7C">
        <w:br w:type="page"/>
      </w:r>
    </w:p>
    <w:p w:rsidR="00CE40D5" w:rsidRPr="00457EC9" w:rsidRDefault="00CE40D5" w:rsidP="00334F07">
      <w:pPr>
        <w:pStyle w:val="BoxSpaceAbove"/>
        <w:rPr>
          <w:color w:val="FF0000"/>
        </w:rPr>
      </w:pPr>
    </w:p>
    <w:tbl>
      <w:tblPr>
        <w:tblW w:w="4852"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931"/>
      </w:tblGrid>
      <w:tr w:rsidR="00CE40D5" w:rsidRPr="00457EC9" w:rsidTr="0063129D">
        <w:tc>
          <w:tcPr>
            <w:tcW w:w="5000" w:type="pct"/>
            <w:tcBorders>
              <w:top w:val="single" w:sz="6" w:space="0" w:color="78A22F"/>
              <w:left w:val="nil"/>
              <w:bottom w:val="nil"/>
              <w:right w:val="nil"/>
            </w:tcBorders>
            <w:shd w:val="clear" w:color="auto" w:fill="auto"/>
          </w:tcPr>
          <w:p w:rsidR="00CE40D5" w:rsidRPr="00BA6C7C" w:rsidRDefault="00CE40D5" w:rsidP="00FE1DE7">
            <w:pPr>
              <w:pStyle w:val="FigureTitle"/>
            </w:pPr>
            <w:r w:rsidRPr="00BA6C7C">
              <w:rPr>
                <w:b w:val="0"/>
              </w:rPr>
              <w:t xml:space="preserve">Figure </w:t>
            </w:r>
            <w:r w:rsidR="000B7E98">
              <w:rPr>
                <w:b w:val="0"/>
              </w:rPr>
              <w:t>17.8</w:t>
            </w:r>
            <w:r w:rsidRPr="00BA6C7C">
              <w:tab/>
              <w:t>Average turnaround time</w:t>
            </w:r>
            <w:r w:rsidR="00BC0506">
              <w:t xml:space="preserve"> for vacant stock, 2014</w:t>
            </w:r>
            <w:r w:rsidR="007D1214">
              <w:noBreakHyphen/>
            </w:r>
            <w:r w:rsidR="00BC0506">
              <w:t>15</w:t>
            </w:r>
            <w:r w:rsidR="00244CF6" w:rsidRPr="00903B4C">
              <w:rPr>
                <w:rStyle w:val="NoteLabel"/>
                <w:b/>
              </w:rPr>
              <w:t>a</w:t>
            </w:r>
            <w:r w:rsidR="00125CD4">
              <w:rPr>
                <w:rStyle w:val="NoteLabel"/>
                <w:b/>
              </w:rPr>
              <w:t>,</w:t>
            </w:r>
            <w:r w:rsidR="00F306D1">
              <w:rPr>
                <w:rStyle w:val="NoteLabel"/>
                <w:b/>
              </w:rPr>
              <w:t xml:space="preserve"> </w:t>
            </w:r>
            <w:r w:rsidR="00125CD4">
              <w:rPr>
                <w:rStyle w:val="NoteLabel"/>
                <w:b/>
              </w:rPr>
              <w:t>b</w:t>
            </w:r>
            <w:r w:rsidR="00D81A39">
              <w:t xml:space="preserve"> </w:t>
            </w:r>
          </w:p>
        </w:tc>
      </w:tr>
      <w:tr w:rsidR="00CE40D5" w:rsidRPr="00457EC9" w:rsidTr="0063129D">
        <w:tc>
          <w:tcPr>
            <w:tcW w:w="5000" w:type="pct"/>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CellMar>
                <w:top w:w="28" w:type="dxa"/>
              </w:tblCellMar>
              <w:tblLook w:val="0000" w:firstRow="0" w:lastRow="0" w:firstColumn="0" w:lastColumn="0" w:noHBand="0" w:noVBand="0"/>
            </w:tblPr>
            <w:tblGrid>
              <w:gridCol w:w="8647"/>
            </w:tblGrid>
            <w:tr w:rsidR="00064188" w:rsidRPr="00BA6C7C" w:rsidTr="00944296">
              <w:tc>
                <w:tcPr>
                  <w:tcW w:w="8647" w:type="dxa"/>
                  <w:tcBorders>
                    <w:top w:val="nil"/>
                    <w:bottom w:val="nil"/>
                  </w:tcBorders>
                </w:tcPr>
                <w:p w:rsidR="00064188" w:rsidRPr="00BA6C7C" w:rsidRDefault="00333E05" w:rsidP="00064188">
                  <w:pPr>
                    <w:pStyle w:val="Figure"/>
                  </w:pPr>
                  <w:r>
                    <w:rPr>
                      <w:rFonts w:ascii="Arial" w:hAnsi="Arial" w:cs="Arial"/>
                      <w:b/>
                      <w:noProof/>
                      <w:sz w:val="20"/>
                    </w:rPr>
                    <w:drawing>
                      <wp:inline distT="0" distB="0" distL="0" distR="0">
                        <wp:extent cx="5391150" cy="2162175"/>
                        <wp:effectExtent l="0" t="0" r="0" b="9525"/>
                        <wp:docPr id="21" name="Picture 21" descr="Figure 17.8 Average turnaround time for vacant stock, 2014-15&#10;&#10;Public housing&#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91150" cy="2162175"/>
                                </a:xfrm>
                                <a:prstGeom prst="rect">
                                  <a:avLst/>
                                </a:prstGeom>
                                <a:noFill/>
                                <a:ln>
                                  <a:noFill/>
                                </a:ln>
                              </pic:spPr>
                            </pic:pic>
                          </a:graphicData>
                        </a:graphic>
                      </wp:inline>
                    </w:drawing>
                  </w:r>
                  <w:r>
                    <w:rPr>
                      <w:rFonts w:ascii="Arial" w:hAnsi="Arial" w:cs="Arial"/>
                      <w:b/>
                      <w:noProof/>
                      <w:sz w:val="20"/>
                    </w:rPr>
                    <w:drawing>
                      <wp:inline distT="0" distB="0" distL="0" distR="0">
                        <wp:extent cx="5391150" cy="2162175"/>
                        <wp:effectExtent l="0" t="0" r="0" b="9525"/>
                        <wp:docPr id="22" name="Picture 22" descr="Figure 17.8 Average turnaround time for vacant stock, 2014-15&#10;&#10;SOMIH&#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391150" cy="2162175"/>
                                </a:xfrm>
                                <a:prstGeom prst="rect">
                                  <a:avLst/>
                                </a:prstGeom>
                                <a:noFill/>
                                <a:ln>
                                  <a:noFill/>
                                </a:ln>
                              </pic:spPr>
                            </pic:pic>
                          </a:graphicData>
                        </a:graphic>
                      </wp:inline>
                    </w:drawing>
                  </w:r>
                  <w:r>
                    <w:rPr>
                      <w:noProof/>
                    </w:rPr>
                    <w:drawing>
                      <wp:inline distT="0" distB="0" distL="0" distR="0">
                        <wp:extent cx="5362575" cy="314325"/>
                        <wp:effectExtent l="0" t="0" r="9525" b="9525"/>
                        <wp:docPr id="23" name="Picture 23" descr="More details can be founding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362575" cy="314325"/>
                                </a:xfrm>
                                <a:prstGeom prst="rect">
                                  <a:avLst/>
                                </a:prstGeom>
                                <a:noFill/>
                                <a:ln>
                                  <a:noFill/>
                                </a:ln>
                              </pic:spPr>
                            </pic:pic>
                          </a:graphicData>
                        </a:graphic>
                      </wp:inline>
                    </w:drawing>
                  </w:r>
                </w:p>
              </w:tc>
            </w:tr>
          </w:tbl>
          <w:p w:rsidR="00CE40D5" w:rsidRPr="00BA6C7C" w:rsidRDefault="00CE40D5" w:rsidP="00334F07">
            <w:pPr>
              <w:pStyle w:val="Figure"/>
            </w:pPr>
          </w:p>
        </w:tc>
      </w:tr>
      <w:tr w:rsidR="00CE40D5" w:rsidRPr="00457EC9" w:rsidTr="0063129D">
        <w:tc>
          <w:tcPr>
            <w:tcW w:w="5000" w:type="pct"/>
            <w:tcBorders>
              <w:top w:val="nil"/>
              <w:left w:val="nil"/>
              <w:bottom w:val="nil"/>
              <w:right w:val="nil"/>
            </w:tcBorders>
            <w:shd w:val="clear" w:color="auto" w:fill="auto"/>
          </w:tcPr>
          <w:p w:rsidR="00CE40D5" w:rsidRPr="00BA6C7C" w:rsidRDefault="00CE40D5" w:rsidP="00BC0506">
            <w:pPr>
              <w:pStyle w:val="Note"/>
            </w:pPr>
            <w:r w:rsidRPr="00BA6C7C">
              <w:rPr>
                <w:rStyle w:val="NoteLabel"/>
              </w:rPr>
              <w:t>a</w:t>
            </w:r>
            <w:r w:rsidR="00BC0506">
              <w:t xml:space="preserve"> See box</w:t>
            </w:r>
            <w:r w:rsidR="007D1214">
              <w:t> </w:t>
            </w:r>
            <w:r w:rsidR="00451C44">
              <w:t>17.11</w:t>
            </w:r>
            <w:r w:rsidR="00BC0506">
              <w:t xml:space="preserve"> and tables</w:t>
            </w:r>
            <w:r w:rsidR="007D1214">
              <w:t> </w:t>
            </w:r>
            <w:proofErr w:type="spellStart"/>
            <w:r w:rsidR="00BC0506">
              <w:t>17A.28</w:t>
            </w:r>
            <w:proofErr w:type="spellEnd"/>
            <w:r w:rsidR="007D1214">
              <w:noBreakHyphen/>
            </w:r>
            <w:r w:rsidR="00BC0506">
              <w:t xml:space="preserve">29 </w:t>
            </w:r>
            <w:r w:rsidR="00AC0EFD">
              <w:t>for detailed definitions, footnotes and caveats.</w:t>
            </w:r>
            <w:r w:rsidR="00125CD4">
              <w:t xml:space="preserve"> </w:t>
            </w:r>
            <w:r w:rsidR="00125CD4" w:rsidRPr="00125CD4">
              <w:rPr>
                <w:rStyle w:val="NoteLabel"/>
              </w:rPr>
              <w:t>b</w:t>
            </w:r>
            <w:r w:rsidR="00125CD4">
              <w:t xml:space="preserve"> SA data for 2013</w:t>
            </w:r>
            <w:r w:rsidR="007D1214">
              <w:noBreakHyphen/>
            </w:r>
            <w:r w:rsidR="00125CD4">
              <w:t>14 and 2014</w:t>
            </w:r>
            <w:r w:rsidR="007D1214">
              <w:noBreakHyphen/>
            </w:r>
            <w:r w:rsidR="00125CD4">
              <w:t>15 are not available.</w:t>
            </w:r>
            <w:r w:rsidR="0093565E">
              <w:t xml:space="preserve"> NT data for 2012-13 are not available.</w:t>
            </w:r>
          </w:p>
        </w:tc>
      </w:tr>
      <w:tr w:rsidR="00CE40D5" w:rsidRPr="004D0537" w:rsidTr="0063129D">
        <w:tc>
          <w:tcPr>
            <w:tcW w:w="5000" w:type="pct"/>
            <w:tcBorders>
              <w:top w:val="nil"/>
              <w:left w:val="nil"/>
              <w:bottom w:val="nil"/>
              <w:right w:val="nil"/>
            </w:tcBorders>
            <w:shd w:val="clear" w:color="auto" w:fill="auto"/>
          </w:tcPr>
          <w:p w:rsidR="00CE40D5" w:rsidRPr="004D0537" w:rsidRDefault="00CE40D5" w:rsidP="00BC0506">
            <w:pPr>
              <w:pStyle w:val="Source"/>
            </w:pPr>
            <w:r w:rsidRPr="00D725AC">
              <w:rPr>
                <w:i/>
              </w:rPr>
              <w:t>Source:</w:t>
            </w:r>
            <w:r w:rsidRPr="004D0537">
              <w:t xml:space="preserve"> </w:t>
            </w:r>
            <w:r w:rsidR="0078599A" w:rsidRPr="004D0537">
              <w:t xml:space="preserve">AIHW (unpublished) </w:t>
            </w:r>
            <w:r w:rsidR="00334274" w:rsidRPr="004D0537">
              <w:t>National Housing Assistance Data Repository</w:t>
            </w:r>
            <w:r w:rsidR="0020345F" w:rsidRPr="004D0537">
              <w:t>; tables</w:t>
            </w:r>
            <w:r w:rsidR="007D1214">
              <w:t> </w:t>
            </w:r>
            <w:proofErr w:type="spellStart"/>
            <w:r w:rsidR="0020345F" w:rsidRPr="004D0537">
              <w:t>17A.28</w:t>
            </w:r>
            <w:proofErr w:type="spellEnd"/>
            <w:r w:rsidR="007D1214">
              <w:noBreakHyphen/>
            </w:r>
            <w:r w:rsidR="0020345F" w:rsidRPr="004D0537">
              <w:t>29.</w:t>
            </w:r>
          </w:p>
        </w:tc>
      </w:tr>
      <w:tr w:rsidR="00CE40D5" w:rsidRPr="004D0537" w:rsidTr="0063129D">
        <w:tc>
          <w:tcPr>
            <w:tcW w:w="5000" w:type="pct"/>
            <w:tcBorders>
              <w:top w:val="nil"/>
              <w:left w:val="nil"/>
              <w:bottom w:val="single" w:sz="6" w:space="0" w:color="78A22F"/>
              <w:right w:val="nil"/>
            </w:tcBorders>
            <w:shd w:val="clear" w:color="auto" w:fill="auto"/>
          </w:tcPr>
          <w:p w:rsidR="00CE40D5" w:rsidRPr="004D0537" w:rsidRDefault="00CE40D5" w:rsidP="00334F07">
            <w:pPr>
              <w:pStyle w:val="Figurespace"/>
            </w:pPr>
          </w:p>
        </w:tc>
      </w:tr>
      <w:tr w:rsidR="00CE40D5" w:rsidRPr="004D0537" w:rsidTr="0063129D">
        <w:tc>
          <w:tcPr>
            <w:tcW w:w="5000" w:type="pct"/>
            <w:tcBorders>
              <w:top w:val="single" w:sz="6" w:space="0" w:color="78A22F"/>
              <w:left w:val="nil"/>
              <w:bottom w:val="nil"/>
              <w:right w:val="nil"/>
            </w:tcBorders>
          </w:tcPr>
          <w:p w:rsidR="00CE40D5" w:rsidRPr="004D0537" w:rsidRDefault="00CE40D5" w:rsidP="00334F07">
            <w:pPr>
              <w:pStyle w:val="BoxSpaceBelow"/>
            </w:pPr>
          </w:p>
        </w:tc>
      </w:tr>
    </w:tbl>
    <w:p w:rsidR="006F07EF" w:rsidRPr="00CE40D5" w:rsidRDefault="006F07EF" w:rsidP="006B692D">
      <w:pPr>
        <w:pStyle w:val="Heading4"/>
      </w:pPr>
      <w:r w:rsidRPr="004D0537">
        <w:t>Rent</w:t>
      </w:r>
      <w:r w:rsidRPr="00CE40D5">
        <w:t xml:space="preserve"> collection rate</w:t>
      </w:r>
    </w:p>
    <w:p w:rsidR="00723CD2" w:rsidRDefault="006F07EF" w:rsidP="009E714A">
      <w:pPr>
        <w:pStyle w:val="BodyText"/>
        <w:spacing w:after="240"/>
      </w:pPr>
      <w:r>
        <w:t xml:space="preserve">‘Rent collection rate’ is an indicator of governments’ objective to undertake efficient and cost effective management </w:t>
      </w:r>
      <w:r w:rsidR="007F14EF">
        <w:t xml:space="preserve">of social housing </w:t>
      </w:r>
      <w:r>
        <w:t>(box</w:t>
      </w:r>
      <w:r w:rsidR="007D1214">
        <w:t> </w:t>
      </w:r>
      <w:r w:rsidR="00463387">
        <w:t>17.</w:t>
      </w:r>
      <w:r w:rsidR="00451C44">
        <w:t>12</w:t>
      </w:r>
      <w:r>
        <w:t>).</w:t>
      </w:r>
    </w:p>
    <w:p w:rsidR="006A1CE2" w:rsidRPr="00AF7C87" w:rsidRDefault="006A1CE2" w:rsidP="006A1CE2">
      <w:pPr>
        <w:pStyle w:val="Heading5"/>
        <w:spacing w:before="0" w:line="240" w:lineRule="auto"/>
        <w:rPr>
          <w:rFonts w:ascii="Calibri" w:hAnsi="Calibri"/>
          <w:i w:val="0"/>
          <w:sz w:val="16"/>
          <w:szCs w:val="16"/>
        </w:rPr>
      </w:pPr>
      <w:r w:rsidRPr="00AF7C87">
        <w:rPr>
          <w:rFonts w:ascii="Calibri" w:hAnsi="Calibri"/>
          <w:i w:val="0"/>
          <w:sz w:val="16"/>
          <w:szCs w:val="16"/>
        </w:rPr>
        <w:lastRenderedPageBreak/>
        <w:t xml:space="preserve">This page has changed since </w:t>
      </w:r>
      <w:r>
        <w:rPr>
          <w:rFonts w:ascii="Calibri" w:hAnsi="Calibri"/>
          <w:i w:val="0"/>
          <w:sz w:val="16"/>
          <w:szCs w:val="16"/>
        </w:rPr>
        <w:t xml:space="preserve">an earlier version of </w:t>
      </w:r>
      <w:r w:rsidRPr="00AF7C87">
        <w:rPr>
          <w:rFonts w:ascii="Calibri" w:hAnsi="Calibri"/>
          <w:i w:val="0"/>
          <w:sz w:val="16"/>
          <w:szCs w:val="16"/>
        </w:rPr>
        <w:t xml:space="preserve">the Report. </w:t>
      </w:r>
      <w:r w:rsidR="00226F73">
        <w:rPr>
          <w:rFonts w:ascii="Calibri" w:hAnsi="Calibri"/>
          <w:i w:val="0"/>
          <w:sz w:val="16"/>
          <w:szCs w:val="16"/>
        </w:rPr>
        <w:br/>
      </w:r>
      <w:r w:rsidRPr="00AF7C87">
        <w:rPr>
          <w:rFonts w:ascii="Calibri" w:hAnsi="Calibri"/>
          <w:i w:val="0"/>
          <w:sz w:val="16"/>
          <w:szCs w:val="16"/>
        </w:rPr>
        <w:t>See errata at www.pc.gov.au/research/recurring/report-on</w:t>
      </w:r>
      <w:r>
        <w:rPr>
          <w:rFonts w:ascii="Calibri" w:hAnsi="Calibri"/>
          <w:i w:val="0"/>
          <w:sz w:val="16"/>
          <w:szCs w:val="16"/>
        </w:rPr>
        <w:noBreakHyphen/>
      </w:r>
      <w:r w:rsidRPr="00AF7C87">
        <w:rPr>
          <w:rFonts w:ascii="Calibri" w:hAnsi="Calibri"/>
          <w:i w:val="0"/>
          <w:sz w:val="16"/>
          <w:szCs w:val="16"/>
        </w:rPr>
        <w:t>government-services/201</w:t>
      </w:r>
      <w:r>
        <w:rPr>
          <w:rFonts w:ascii="Calibri" w:hAnsi="Calibri"/>
          <w:i w:val="0"/>
          <w:sz w:val="16"/>
          <w:szCs w:val="16"/>
        </w:rPr>
        <w:t>6</w:t>
      </w:r>
      <w:r w:rsidRPr="00AF7C87">
        <w:rPr>
          <w:rFonts w:ascii="Calibri" w:hAnsi="Calibri"/>
          <w:i w:val="0"/>
          <w:sz w:val="16"/>
          <w:szCs w:val="16"/>
        </w:rPr>
        <w:t>/housing-and-homelessness</w:t>
      </w:r>
      <w:r>
        <w:rPr>
          <w:rFonts w:ascii="Calibri" w:hAnsi="Calibri"/>
          <w:i w:val="0"/>
          <w:sz w:val="16"/>
          <w:szCs w:val="16"/>
        </w:rPr>
        <w:t>#errata.</w:t>
      </w:r>
    </w:p>
    <w:p w:rsidR="000E644A" w:rsidRDefault="000E644A">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0E644A" w:rsidTr="0063129D">
        <w:tc>
          <w:tcPr>
            <w:tcW w:w="5000" w:type="pct"/>
            <w:tcBorders>
              <w:top w:val="single" w:sz="6" w:space="0" w:color="78A22F"/>
              <w:left w:val="nil"/>
              <w:bottom w:val="nil"/>
              <w:right w:val="nil"/>
            </w:tcBorders>
            <w:shd w:val="clear" w:color="auto" w:fill="F2F2F2" w:themeFill="background1" w:themeFillShade="F2"/>
          </w:tcPr>
          <w:p w:rsidR="000E644A" w:rsidRDefault="004679A4" w:rsidP="000E644A">
            <w:pPr>
              <w:pStyle w:val="BoxTitle"/>
            </w:pPr>
            <w:r>
              <w:rPr>
                <w:b w:val="0"/>
              </w:rPr>
              <w:t>Box 17.12</w:t>
            </w:r>
            <w:r w:rsidR="000E644A">
              <w:tab/>
            </w:r>
            <w:r w:rsidR="000E644A" w:rsidRPr="000E644A">
              <w:t>Rent collection rate</w:t>
            </w:r>
          </w:p>
        </w:tc>
      </w:tr>
      <w:tr w:rsidR="000E644A" w:rsidTr="0063129D">
        <w:trPr>
          <w:cantSplit/>
        </w:trPr>
        <w:tc>
          <w:tcPr>
            <w:tcW w:w="5000" w:type="pct"/>
            <w:tcBorders>
              <w:top w:val="nil"/>
              <w:left w:val="nil"/>
              <w:bottom w:val="nil"/>
              <w:right w:val="nil"/>
            </w:tcBorders>
            <w:shd w:val="clear" w:color="auto" w:fill="F2F2F2" w:themeFill="background1" w:themeFillShade="F2"/>
          </w:tcPr>
          <w:p w:rsidR="000E644A" w:rsidRPr="000E644A" w:rsidRDefault="000E644A" w:rsidP="000E644A">
            <w:pPr>
              <w:pStyle w:val="Box"/>
            </w:pPr>
            <w:r w:rsidRPr="000E644A">
              <w:t xml:space="preserve">‘Rent collection rate’ is defined as the total rent collected as a percentage of the total rent charged. </w:t>
            </w:r>
          </w:p>
          <w:p w:rsidR="000E644A" w:rsidRPr="000E644A" w:rsidRDefault="000E644A" w:rsidP="000E644A">
            <w:pPr>
              <w:pStyle w:val="Box"/>
            </w:pPr>
            <w:r w:rsidRPr="000E644A">
              <w:t>A high or increasing percentage suggests higher efficiency in collecting rent. All jurisdictions aim to maximise the rent collected as a percentage of the rent charged.</w:t>
            </w:r>
          </w:p>
          <w:p w:rsidR="000E644A" w:rsidRPr="000E644A" w:rsidRDefault="000E644A" w:rsidP="000E644A">
            <w:pPr>
              <w:pStyle w:val="Box"/>
            </w:pPr>
            <w:r w:rsidRPr="000E644A">
              <w:t>Differences in recognition policies, write</w:t>
            </w:r>
            <w:r w:rsidR="0012329D">
              <w:t>–</w:t>
            </w:r>
            <w:r w:rsidRPr="000E644A">
              <w:t>off practices, the treatment of disputed amounts, and the treatment of payment arrangements can affect the comparability of reported results. Payment arrangements for rent in some jurisdictions mean that rent collected over a 12 month period can be higher than rent charged over that period.</w:t>
            </w:r>
          </w:p>
          <w:p w:rsidR="000E644A" w:rsidRPr="000E644A" w:rsidRDefault="000E644A" w:rsidP="000E644A">
            <w:pPr>
              <w:pStyle w:val="Box"/>
            </w:pPr>
            <w:r w:rsidRPr="000E644A">
              <w:t xml:space="preserve">Data for this indicator are reported for public housing, SOMIH, community housing and </w:t>
            </w:r>
            <w:proofErr w:type="spellStart"/>
            <w:r w:rsidR="0020345F">
              <w:t>ICH</w:t>
            </w:r>
            <w:proofErr w:type="spellEnd"/>
            <w:r w:rsidRPr="000E644A">
              <w:t>.</w:t>
            </w:r>
          </w:p>
          <w:p w:rsidR="000E644A" w:rsidRPr="000E644A" w:rsidRDefault="000E644A" w:rsidP="000E644A">
            <w:pPr>
              <w:pStyle w:val="Box"/>
            </w:pPr>
            <w:r w:rsidRPr="000E644A">
              <w:t>Data reported</w:t>
            </w:r>
            <w:r w:rsidR="0020345F">
              <w:t xml:space="preserve"> for this indicator</w:t>
            </w:r>
            <w:r w:rsidRPr="000E644A">
              <w:t xml:space="preserve"> are:</w:t>
            </w:r>
          </w:p>
          <w:p w:rsidR="000E644A" w:rsidRPr="000E644A" w:rsidRDefault="000E644A" w:rsidP="000E644A">
            <w:pPr>
              <w:pStyle w:val="Box"/>
              <w:numPr>
                <w:ilvl w:val="0"/>
                <w:numId w:val="1"/>
              </w:numPr>
            </w:pPr>
            <w:r w:rsidRPr="000E644A">
              <w:t>comparable (subject to caveats) within some jurisdictions over time but are not comparable across jurisdictions or over time for other jurisdictions (see caveats in attachment tables and DQI for specific jurisdictions)</w:t>
            </w:r>
          </w:p>
          <w:p w:rsidR="000E644A" w:rsidRPr="000E644A" w:rsidRDefault="000E644A" w:rsidP="000E644A">
            <w:pPr>
              <w:pStyle w:val="Box"/>
              <w:numPr>
                <w:ilvl w:val="0"/>
                <w:numId w:val="1"/>
              </w:numPr>
            </w:pPr>
            <w:r w:rsidRPr="000E644A">
              <w:t xml:space="preserve">not comparable across public housing, SOMIH, community housing and </w:t>
            </w:r>
            <w:proofErr w:type="spellStart"/>
            <w:r w:rsidRPr="000E644A">
              <w:t>ICH</w:t>
            </w:r>
            <w:proofErr w:type="spellEnd"/>
          </w:p>
          <w:p w:rsidR="000E644A" w:rsidRPr="000E644A" w:rsidRDefault="000E644A" w:rsidP="000E644A">
            <w:pPr>
              <w:pStyle w:val="Box"/>
              <w:numPr>
                <w:ilvl w:val="0"/>
                <w:numId w:val="1"/>
              </w:numPr>
            </w:pPr>
            <w:r w:rsidRPr="000E644A">
              <w:t>complete for public housing and SOMIH for the current reporting period (subjec</w:t>
            </w:r>
            <w:r w:rsidR="00934B2F">
              <w:t xml:space="preserve">t to caveats). All required </w:t>
            </w:r>
            <w:r w:rsidR="00F306D1">
              <w:t>2014</w:t>
            </w:r>
            <w:r w:rsidR="007D1214">
              <w:noBreakHyphen/>
            </w:r>
            <w:r w:rsidR="00F306D1">
              <w:t>15</w:t>
            </w:r>
            <w:r w:rsidRPr="000E644A">
              <w:t xml:space="preserve"> data are available for all jurisdictions providing the service</w:t>
            </w:r>
          </w:p>
          <w:p w:rsidR="000E644A" w:rsidRPr="0020345F" w:rsidRDefault="000E644A" w:rsidP="0020345F">
            <w:pPr>
              <w:pStyle w:val="Box"/>
              <w:numPr>
                <w:ilvl w:val="0"/>
                <w:numId w:val="1"/>
              </w:numPr>
              <w:rPr>
                <w:szCs w:val="24"/>
              </w:rPr>
            </w:pPr>
            <w:r w:rsidRPr="000E644A">
              <w:t xml:space="preserve">incomplete for community housing and </w:t>
            </w:r>
            <w:proofErr w:type="spellStart"/>
            <w:r w:rsidRPr="000E644A">
              <w:t>ICH</w:t>
            </w:r>
            <w:proofErr w:type="spellEnd"/>
            <w:r w:rsidRPr="000E644A">
              <w:t xml:space="preserve"> for the current reporting period. All required</w:t>
            </w:r>
            <w:r w:rsidR="00BE7AA2">
              <w:t xml:space="preserve"> 2014</w:t>
            </w:r>
            <w:r w:rsidR="007D1214">
              <w:noBreakHyphen/>
            </w:r>
            <w:r w:rsidR="00BE7AA2">
              <w:t>15 community housing data were not available for the NT, and all required</w:t>
            </w:r>
            <w:r w:rsidR="00E52374">
              <w:br/>
              <w:t>2013</w:t>
            </w:r>
            <w:r w:rsidR="007D1214">
              <w:noBreakHyphen/>
            </w:r>
            <w:r w:rsidR="00E52374">
              <w:t xml:space="preserve">14 </w:t>
            </w:r>
            <w:proofErr w:type="spellStart"/>
            <w:r w:rsidR="00BE7AA2">
              <w:t>ICH</w:t>
            </w:r>
            <w:proofErr w:type="spellEnd"/>
            <w:r w:rsidR="00BE7AA2">
              <w:t xml:space="preserve"> </w:t>
            </w:r>
            <w:r w:rsidRPr="000E644A">
              <w:t xml:space="preserve">data were not available for </w:t>
            </w:r>
            <w:r w:rsidR="00BE7AA2">
              <w:t xml:space="preserve">SA or </w:t>
            </w:r>
            <w:r w:rsidRPr="000E644A">
              <w:t xml:space="preserve">the </w:t>
            </w:r>
            <w:r w:rsidR="00BE7AA2">
              <w:t xml:space="preserve"> </w:t>
            </w:r>
            <w:r w:rsidRPr="000E644A">
              <w:t>N</w:t>
            </w:r>
            <w:r w:rsidR="00F04761">
              <w:t>T</w:t>
            </w:r>
            <w:r w:rsidR="00BE7AA2">
              <w:t>.</w:t>
            </w:r>
          </w:p>
          <w:p w:rsidR="000E644A" w:rsidRDefault="000E644A" w:rsidP="000E644A">
            <w:pPr>
              <w:pStyle w:val="Box"/>
            </w:pPr>
            <w:r w:rsidRPr="000E644A">
              <w:t xml:space="preserve">Data quality information for this indicator </w:t>
            </w:r>
            <w:r w:rsidR="00884651">
              <w:t xml:space="preserve">is at </w:t>
            </w:r>
            <w:proofErr w:type="spellStart"/>
            <w:r w:rsidR="00884651">
              <w:t>www.pc.gov.au</w:t>
            </w:r>
            <w:proofErr w:type="spellEnd"/>
            <w:r w:rsidR="00884651">
              <w:t>/</w:t>
            </w:r>
            <w:proofErr w:type="spellStart"/>
            <w:r w:rsidR="006039ED">
              <w:t>rogs</w:t>
            </w:r>
            <w:proofErr w:type="spellEnd"/>
            <w:r w:rsidR="006039ED">
              <w:t>/2016</w:t>
            </w:r>
            <w:r w:rsidRPr="000E644A">
              <w:t>.</w:t>
            </w:r>
          </w:p>
        </w:tc>
      </w:tr>
      <w:tr w:rsidR="000E644A" w:rsidTr="0063129D">
        <w:trPr>
          <w:cantSplit/>
        </w:trPr>
        <w:tc>
          <w:tcPr>
            <w:tcW w:w="5000" w:type="pct"/>
            <w:tcBorders>
              <w:top w:val="nil"/>
              <w:left w:val="nil"/>
              <w:bottom w:val="single" w:sz="6" w:space="0" w:color="78A22F"/>
              <w:right w:val="nil"/>
            </w:tcBorders>
            <w:shd w:val="clear" w:color="auto" w:fill="F2F2F2" w:themeFill="background1" w:themeFillShade="F2"/>
          </w:tcPr>
          <w:p w:rsidR="000E644A" w:rsidRDefault="000E644A">
            <w:pPr>
              <w:pStyle w:val="Box"/>
              <w:spacing w:before="0" w:line="120" w:lineRule="exact"/>
            </w:pPr>
          </w:p>
        </w:tc>
      </w:tr>
      <w:tr w:rsidR="000E644A" w:rsidRPr="000863A5" w:rsidTr="0063129D">
        <w:tc>
          <w:tcPr>
            <w:tcW w:w="5000" w:type="pct"/>
            <w:tcBorders>
              <w:top w:val="single" w:sz="6" w:space="0" w:color="78A22F"/>
              <w:left w:val="nil"/>
              <w:bottom w:val="nil"/>
              <w:right w:val="nil"/>
            </w:tcBorders>
          </w:tcPr>
          <w:p w:rsidR="000E644A" w:rsidRPr="00626D32" w:rsidRDefault="000E644A" w:rsidP="00334F07">
            <w:pPr>
              <w:pStyle w:val="BoxSpaceBelow"/>
            </w:pPr>
          </w:p>
        </w:tc>
      </w:tr>
    </w:tbl>
    <w:p w:rsidR="007D739D" w:rsidRPr="00D27298" w:rsidRDefault="007D739D" w:rsidP="00D27298">
      <w:pPr>
        <w:pStyle w:val="BodyText"/>
      </w:pPr>
      <w:r w:rsidRPr="0022319C">
        <w:t>In 2014</w:t>
      </w:r>
      <w:r>
        <w:noBreakHyphen/>
      </w:r>
      <w:r w:rsidRPr="0022319C">
        <w:t>15, the national rent collection rate was 99.5 per cent for public housing</w:t>
      </w:r>
      <w:r>
        <w:t xml:space="preserve"> and</w:t>
      </w:r>
      <w:r w:rsidRPr="0022319C">
        <w:t xml:space="preserve"> 96.3 per cent for SOMIH</w:t>
      </w:r>
      <w:r>
        <w:t>.</w:t>
      </w:r>
      <w:r w:rsidRPr="0022319C">
        <w:t xml:space="preserve"> </w:t>
      </w:r>
      <w:r>
        <w:t>In 2013</w:t>
      </w:r>
      <w:r>
        <w:noBreakHyphen/>
        <w:t xml:space="preserve">14 (the latest year for which data are available), the national rent collection rate was </w:t>
      </w:r>
      <w:r w:rsidRPr="0022319C">
        <w:t xml:space="preserve">99.2 per cent for community housing </w:t>
      </w:r>
      <w:r>
        <w:t xml:space="preserve">and </w:t>
      </w:r>
      <w:r w:rsidRPr="0022319C">
        <w:t xml:space="preserve">89.9 per cent </w:t>
      </w:r>
      <w:r>
        <w:t xml:space="preserve">for </w:t>
      </w:r>
      <w:proofErr w:type="spellStart"/>
      <w:r>
        <w:t>ICH</w:t>
      </w:r>
      <w:proofErr w:type="spellEnd"/>
      <w:r>
        <w:t xml:space="preserve"> </w:t>
      </w:r>
      <w:r w:rsidRPr="0022319C">
        <w:t>(table</w:t>
      </w:r>
      <w:r>
        <w:t> </w:t>
      </w:r>
      <w:r w:rsidRPr="0022319C">
        <w:t>17.6).</w:t>
      </w:r>
      <w:r w:rsidRPr="00D27298">
        <w:t xml:space="preserve"> </w:t>
      </w:r>
    </w:p>
    <w:p w:rsidR="000E644A" w:rsidRPr="00EF682F" w:rsidRDefault="006A1CE2" w:rsidP="00EF682F">
      <w:pPr>
        <w:pStyle w:val="Heading5"/>
        <w:spacing w:before="0" w:line="240" w:lineRule="auto"/>
        <w:rPr>
          <w:rFonts w:ascii="Calibri" w:hAnsi="Calibri"/>
          <w:i w:val="0"/>
          <w:sz w:val="16"/>
          <w:szCs w:val="16"/>
        </w:rPr>
      </w:pPr>
      <w:r w:rsidRPr="00AF7C87">
        <w:rPr>
          <w:rFonts w:ascii="Calibri" w:hAnsi="Calibri"/>
          <w:i w:val="0"/>
          <w:sz w:val="16"/>
          <w:szCs w:val="16"/>
        </w:rPr>
        <w:lastRenderedPageBreak/>
        <w:t xml:space="preserve">This page has changed since </w:t>
      </w:r>
      <w:r>
        <w:rPr>
          <w:rFonts w:ascii="Calibri" w:hAnsi="Calibri"/>
          <w:i w:val="0"/>
          <w:sz w:val="16"/>
          <w:szCs w:val="16"/>
        </w:rPr>
        <w:t xml:space="preserve">an earlier version of </w:t>
      </w:r>
      <w:r w:rsidRPr="00AF7C87">
        <w:rPr>
          <w:rFonts w:ascii="Calibri" w:hAnsi="Calibri"/>
          <w:i w:val="0"/>
          <w:sz w:val="16"/>
          <w:szCs w:val="16"/>
        </w:rPr>
        <w:t xml:space="preserve">the Report. </w:t>
      </w:r>
      <w:r w:rsidR="00226F73">
        <w:rPr>
          <w:rFonts w:ascii="Calibri" w:hAnsi="Calibri"/>
          <w:i w:val="0"/>
          <w:sz w:val="16"/>
          <w:szCs w:val="16"/>
        </w:rPr>
        <w:br/>
      </w:r>
      <w:r w:rsidRPr="00AF7C87">
        <w:rPr>
          <w:rFonts w:ascii="Calibri" w:hAnsi="Calibri"/>
          <w:i w:val="0"/>
          <w:sz w:val="16"/>
          <w:szCs w:val="16"/>
        </w:rPr>
        <w:t>See errata at www.pc.gov.au/research/recurring/report-on</w:t>
      </w:r>
      <w:r>
        <w:rPr>
          <w:rFonts w:ascii="Calibri" w:hAnsi="Calibri"/>
          <w:i w:val="0"/>
          <w:sz w:val="16"/>
          <w:szCs w:val="16"/>
        </w:rPr>
        <w:noBreakHyphen/>
      </w:r>
      <w:r w:rsidRPr="00AF7C87">
        <w:rPr>
          <w:rFonts w:ascii="Calibri" w:hAnsi="Calibri"/>
          <w:i w:val="0"/>
          <w:sz w:val="16"/>
          <w:szCs w:val="16"/>
        </w:rPr>
        <w:t>government-services/201</w:t>
      </w:r>
      <w:r>
        <w:rPr>
          <w:rFonts w:ascii="Calibri" w:hAnsi="Calibri"/>
          <w:i w:val="0"/>
          <w:sz w:val="16"/>
          <w:szCs w:val="16"/>
        </w:rPr>
        <w:t>6</w:t>
      </w:r>
      <w:r w:rsidRPr="00AF7C87">
        <w:rPr>
          <w:rFonts w:ascii="Calibri" w:hAnsi="Calibri"/>
          <w:i w:val="0"/>
          <w:sz w:val="16"/>
          <w:szCs w:val="16"/>
        </w:rPr>
        <w:t>/housing-and-homelessness</w:t>
      </w:r>
      <w:r>
        <w:rPr>
          <w:rFonts w:ascii="Calibri" w:hAnsi="Calibri"/>
          <w:i w:val="0"/>
          <w:sz w:val="16"/>
          <w:szCs w:val="16"/>
        </w:rPr>
        <w:t>#errata.</w:t>
      </w:r>
    </w:p>
    <w:tbl>
      <w:tblPr>
        <w:tblW w:w="4843" w:type="pct"/>
        <w:tblInd w:w="142"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88"/>
      </w:tblGrid>
      <w:tr w:rsidR="000E644A" w:rsidTr="00F44E27">
        <w:tc>
          <w:tcPr>
            <w:tcW w:w="5000" w:type="pct"/>
            <w:tcBorders>
              <w:top w:val="single" w:sz="6" w:space="0" w:color="78A22F" w:themeColor="accent1"/>
              <w:left w:val="nil"/>
              <w:bottom w:val="nil"/>
              <w:right w:val="nil"/>
            </w:tcBorders>
            <w:shd w:val="clear" w:color="auto" w:fill="auto"/>
          </w:tcPr>
          <w:p w:rsidR="000E644A" w:rsidRPr="00784A05" w:rsidRDefault="00CB5252" w:rsidP="000E644A">
            <w:pPr>
              <w:pStyle w:val="TableTitle"/>
            </w:pPr>
            <w:r>
              <w:rPr>
                <w:b w:val="0"/>
              </w:rPr>
              <w:t>Table 17.6</w:t>
            </w:r>
            <w:r w:rsidR="000E644A">
              <w:tab/>
            </w:r>
            <w:r w:rsidR="000E644A" w:rsidRPr="000E644A">
              <w:t>Rent collection rate (per cent)</w:t>
            </w:r>
            <w:r w:rsidR="000E644A" w:rsidRPr="000E644A">
              <w:rPr>
                <w:rStyle w:val="NoteLabel"/>
                <w:b/>
              </w:rPr>
              <w:t>a</w:t>
            </w:r>
          </w:p>
        </w:tc>
      </w:tr>
      <w:tr w:rsidR="000E644A" w:rsidTr="00F44E27">
        <w:trPr>
          <w:cantSplit/>
        </w:trPr>
        <w:tc>
          <w:tcPr>
            <w:tcW w:w="5000" w:type="pct"/>
            <w:tcBorders>
              <w:top w:val="nil"/>
              <w:left w:val="nil"/>
              <w:bottom w:val="nil"/>
              <w:right w:val="nil"/>
            </w:tcBorders>
            <w:shd w:val="clear" w:color="auto" w:fill="auto"/>
          </w:tcPr>
          <w:tbl>
            <w:tblPr>
              <w:tblW w:w="8505" w:type="dxa"/>
              <w:tblLayout w:type="fixed"/>
              <w:tblCellMar>
                <w:top w:w="28" w:type="dxa"/>
                <w:left w:w="0" w:type="dxa"/>
                <w:right w:w="0" w:type="dxa"/>
              </w:tblCellMar>
              <w:tblLook w:val="0000" w:firstRow="0" w:lastRow="0" w:firstColumn="0" w:lastColumn="0" w:noHBand="0" w:noVBand="0"/>
            </w:tblPr>
            <w:tblGrid>
              <w:gridCol w:w="850"/>
              <w:gridCol w:w="753"/>
              <w:gridCol w:w="804"/>
              <w:gridCol w:w="849"/>
              <w:gridCol w:w="849"/>
              <w:gridCol w:w="856"/>
              <w:gridCol w:w="987"/>
              <w:gridCol w:w="851"/>
              <w:gridCol w:w="714"/>
              <w:gridCol w:w="966"/>
              <w:gridCol w:w="26"/>
            </w:tblGrid>
            <w:tr w:rsidR="00B17A69" w:rsidTr="00BC7D26">
              <w:tc>
                <w:tcPr>
                  <w:tcW w:w="500" w:type="pct"/>
                  <w:tcBorders>
                    <w:top w:val="single" w:sz="4" w:space="0" w:color="BFBFBF" w:themeColor="background2"/>
                    <w:bottom w:val="single" w:sz="4" w:space="0" w:color="BFBFBF" w:themeColor="background2"/>
                  </w:tcBorders>
                  <w:shd w:val="clear" w:color="auto" w:fill="auto"/>
                  <w:tcMar>
                    <w:top w:w="28" w:type="dxa"/>
                  </w:tcMar>
                </w:tcPr>
                <w:p w:rsidR="000E644A" w:rsidRPr="00462EAC" w:rsidRDefault="000E644A" w:rsidP="00462EAC">
                  <w:pPr>
                    <w:pStyle w:val="TableColumnHeading"/>
                    <w:ind w:left="0" w:right="28"/>
                    <w:rPr>
                      <w:rFonts w:asciiTheme="majorHAnsi" w:hAnsiTheme="majorHAnsi" w:cstheme="majorHAnsi"/>
                      <w:szCs w:val="18"/>
                    </w:rPr>
                  </w:pPr>
                </w:p>
              </w:tc>
              <w:tc>
                <w:tcPr>
                  <w:tcW w:w="443" w:type="pct"/>
                  <w:tcBorders>
                    <w:top w:val="single" w:sz="4" w:space="0" w:color="BFBFBF" w:themeColor="background2"/>
                    <w:bottom w:val="single" w:sz="4" w:space="0" w:color="BFBFBF" w:themeColor="background2"/>
                  </w:tcBorders>
                  <w:shd w:val="clear" w:color="auto" w:fill="auto"/>
                  <w:tcMar>
                    <w:top w:w="28" w:type="dxa"/>
                  </w:tcMar>
                </w:tcPr>
                <w:p w:rsidR="000E644A" w:rsidRPr="00462EAC" w:rsidRDefault="000E644A" w:rsidP="00462EAC">
                  <w:pPr>
                    <w:pStyle w:val="TableColumnHeading"/>
                    <w:ind w:left="0" w:right="28"/>
                    <w:rPr>
                      <w:rFonts w:asciiTheme="majorHAnsi" w:hAnsiTheme="majorHAnsi" w:cstheme="majorHAnsi"/>
                      <w:szCs w:val="18"/>
                    </w:rPr>
                  </w:pPr>
                  <w:r w:rsidRPr="00462EAC">
                    <w:rPr>
                      <w:rFonts w:asciiTheme="majorHAnsi" w:hAnsiTheme="majorHAnsi" w:cstheme="majorHAnsi"/>
                      <w:szCs w:val="18"/>
                    </w:rPr>
                    <w:t>NSW</w:t>
                  </w:r>
                </w:p>
              </w:tc>
              <w:tc>
                <w:tcPr>
                  <w:tcW w:w="473" w:type="pct"/>
                  <w:tcBorders>
                    <w:top w:val="single" w:sz="4" w:space="0" w:color="BFBFBF" w:themeColor="background2"/>
                    <w:bottom w:val="single" w:sz="4" w:space="0" w:color="BFBFBF" w:themeColor="background2"/>
                  </w:tcBorders>
                </w:tcPr>
                <w:p w:rsidR="000E644A" w:rsidRPr="00462EAC" w:rsidRDefault="000E644A" w:rsidP="00462EAC">
                  <w:pPr>
                    <w:pStyle w:val="TableColumnHeading"/>
                    <w:ind w:left="0" w:right="28"/>
                    <w:rPr>
                      <w:rFonts w:asciiTheme="majorHAnsi" w:hAnsiTheme="majorHAnsi" w:cstheme="majorHAnsi"/>
                      <w:szCs w:val="18"/>
                    </w:rPr>
                  </w:pPr>
                  <w:r w:rsidRPr="00462EAC">
                    <w:rPr>
                      <w:rFonts w:asciiTheme="majorHAnsi" w:hAnsiTheme="majorHAnsi" w:cstheme="majorHAnsi"/>
                      <w:szCs w:val="18"/>
                    </w:rPr>
                    <w:t>Vic</w:t>
                  </w:r>
                </w:p>
              </w:tc>
              <w:tc>
                <w:tcPr>
                  <w:tcW w:w="499" w:type="pct"/>
                  <w:tcBorders>
                    <w:top w:val="single" w:sz="4" w:space="0" w:color="BFBFBF" w:themeColor="background2"/>
                    <w:bottom w:val="single" w:sz="4" w:space="0" w:color="BFBFBF" w:themeColor="background2"/>
                  </w:tcBorders>
                </w:tcPr>
                <w:p w:rsidR="000E644A" w:rsidRPr="00462EAC" w:rsidRDefault="000E644A" w:rsidP="00462EAC">
                  <w:pPr>
                    <w:pStyle w:val="TableColumnHeading"/>
                    <w:ind w:left="0" w:right="28"/>
                    <w:rPr>
                      <w:rFonts w:asciiTheme="majorHAnsi" w:hAnsiTheme="majorHAnsi" w:cstheme="majorHAnsi"/>
                      <w:szCs w:val="18"/>
                    </w:rPr>
                  </w:pPr>
                  <w:r w:rsidRPr="00462EAC">
                    <w:rPr>
                      <w:rFonts w:asciiTheme="majorHAnsi" w:hAnsiTheme="majorHAnsi" w:cstheme="majorHAnsi"/>
                      <w:szCs w:val="18"/>
                    </w:rPr>
                    <w:t>Qld</w:t>
                  </w:r>
                </w:p>
              </w:tc>
              <w:tc>
                <w:tcPr>
                  <w:tcW w:w="499" w:type="pct"/>
                  <w:tcBorders>
                    <w:top w:val="single" w:sz="4" w:space="0" w:color="BFBFBF" w:themeColor="background2"/>
                    <w:bottom w:val="single" w:sz="4" w:space="0" w:color="BFBFBF" w:themeColor="background2"/>
                  </w:tcBorders>
                </w:tcPr>
                <w:p w:rsidR="000E644A" w:rsidRPr="00462EAC" w:rsidRDefault="000E644A" w:rsidP="00462EAC">
                  <w:pPr>
                    <w:pStyle w:val="TableColumnHeading"/>
                    <w:ind w:left="0" w:right="28"/>
                    <w:rPr>
                      <w:rFonts w:asciiTheme="majorHAnsi" w:hAnsiTheme="majorHAnsi" w:cstheme="majorHAnsi"/>
                      <w:szCs w:val="18"/>
                    </w:rPr>
                  </w:pPr>
                  <w:r w:rsidRPr="00462EAC">
                    <w:rPr>
                      <w:rFonts w:asciiTheme="majorHAnsi" w:hAnsiTheme="majorHAnsi" w:cstheme="majorHAnsi"/>
                      <w:szCs w:val="18"/>
                    </w:rPr>
                    <w:t>WA</w:t>
                  </w:r>
                </w:p>
              </w:tc>
              <w:tc>
                <w:tcPr>
                  <w:tcW w:w="503" w:type="pct"/>
                  <w:tcBorders>
                    <w:top w:val="single" w:sz="4" w:space="0" w:color="BFBFBF" w:themeColor="background2"/>
                    <w:bottom w:val="single" w:sz="4" w:space="0" w:color="BFBFBF" w:themeColor="background2"/>
                  </w:tcBorders>
                </w:tcPr>
                <w:p w:rsidR="000E644A" w:rsidRPr="00462EAC" w:rsidRDefault="000E644A" w:rsidP="00462EAC">
                  <w:pPr>
                    <w:pStyle w:val="TableColumnHeading"/>
                    <w:ind w:left="0" w:right="28"/>
                    <w:rPr>
                      <w:rFonts w:asciiTheme="majorHAnsi" w:hAnsiTheme="majorHAnsi" w:cstheme="majorHAnsi"/>
                      <w:szCs w:val="18"/>
                    </w:rPr>
                  </w:pPr>
                  <w:r w:rsidRPr="00462EAC">
                    <w:rPr>
                      <w:rFonts w:asciiTheme="majorHAnsi" w:hAnsiTheme="majorHAnsi" w:cstheme="majorHAnsi"/>
                      <w:szCs w:val="18"/>
                    </w:rPr>
                    <w:t>SA</w:t>
                  </w:r>
                </w:p>
              </w:tc>
              <w:tc>
                <w:tcPr>
                  <w:tcW w:w="580" w:type="pct"/>
                  <w:tcBorders>
                    <w:top w:val="single" w:sz="4" w:space="0" w:color="BFBFBF" w:themeColor="background2"/>
                    <w:bottom w:val="single" w:sz="4" w:space="0" w:color="BFBFBF" w:themeColor="background2"/>
                  </w:tcBorders>
                </w:tcPr>
                <w:p w:rsidR="000E644A" w:rsidRPr="00462EAC" w:rsidRDefault="000E644A" w:rsidP="00462EAC">
                  <w:pPr>
                    <w:pStyle w:val="TableColumnHeading"/>
                    <w:ind w:left="0" w:right="28"/>
                    <w:rPr>
                      <w:rFonts w:asciiTheme="majorHAnsi" w:hAnsiTheme="majorHAnsi" w:cstheme="majorHAnsi"/>
                      <w:szCs w:val="18"/>
                    </w:rPr>
                  </w:pPr>
                  <w:r w:rsidRPr="00462EAC">
                    <w:rPr>
                      <w:rFonts w:asciiTheme="majorHAnsi" w:hAnsiTheme="majorHAnsi" w:cstheme="majorHAnsi"/>
                      <w:szCs w:val="18"/>
                    </w:rPr>
                    <w:t>Tas</w:t>
                  </w:r>
                </w:p>
              </w:tc>
              <w:tc>
                <w:tcPr>
                  <w:tcW w:w="500" w:type="pct"/>
                  <w:tcBorders>
                    <w:top w:val="single" w:sz="4" w:space="0" w:color="BFBFBF" w:themeColor="background2"/>
                    <w:bottom w:val="single" w:sz="4" w:space="0" w:color="BFBFBF" w:themeColor="background2"/>
                  </w:tcBorders>
                </w:tcPr>
                <w:p w:rsidR="000E644A" w:rsidRPr="00462EAC" w:rsidRDefault="000E644A" w:rsidP="00462EAC">
                  <w:pPr>
                    <w:pStyle w:val="TableColumnHeading"/>
                    <w:ind w:left="0" w:right="28"/>
                    <w:rPr>
                      <w:rFonts w:asciiTheme="majorHAnsi" w:hAnsiTheme="majorHAnsi" w:cstheme="majorHAnsi"/>
                      <w:szCs w:val="18"/>
                    </w:rPr>
                  </w:pPr>
                  <w:r w:rsidRPr="00462EAC">
                    <w:rPr>
                      <w:rFonts w:asciiTheme="majorHAnsi" w:hAnsiTheme="majorHAnsi" w:cstheme="majorHAnsi"/>
                      <w:szCs w:val="18"/>
                    </w:rPr>
                    <w:t>ACT</w:t>
                  </w:r>
                </w:p>
              </w:tc>
              <w:tc>
                <w:tcPr>
                  <w:tcW w:w="420" w:type="pct"/>
                  <w:tcBorders>
                    <w:top w:val="single" w:sz="4" w:space="0" w:color="BFBFBF" w:themeColor="background2"/>
                    <w:bottom w:val="single" w:sz="4" w:space="0" w:color="BFBFBF" w:themeColor="background2"/>
                  </w:tcBorders>
                </w:tcPr>
                <w:p w:rsidR="000E644A" w:rsidRPr="00462EAC" w:rsidRDefault="000E644A" w:rsidP="00462EAC">
                  <w:pPr>
                    <w:pStyle w:val="TableColumnHeading"/>
                    <w:ind w:left="0" w:right="28"/>
                    <w:rPr>
                      <w:rFonts w:asciiTheme="majorHAnsi" w:hAnsiTheme="majorHAnsi" w:cstheme="majorHAnsi"/>
                      <w:szCs w:val="18"/>
                    </w:rPr>
                  </w:pPr>
                  <w:r w:rsidRPr="00462EAC">
                    <w:rPr>
                      <w:rFonts w:asciiTheme="majorHAnsi" w:hAnsiTheme="majorHAnsi" w:cstheme="majorHAnsi"/>
                      <w:szCs w:val="18"/>
                    </w:rPr>
                    <w:t>NT</w:t>
                  </w:r>
                </w:p>
              </w:tc>
              <w:tc>
                <w:tcPr>
                  <w:tcW w:w="568" w:type="pct"/>
                  <w:tcBorders>
                    <w:top w:val="single" w:sz="4" w:space="0" w:color="BFBFBF" w:themeColor="background2"/>
                    <w:bottom w:val="single" w:sz="4" w:space="0" w:color="BFBFBF" w:themeColor="background2"/>
                  </w:tcBorders>
                </w:tcPr>
                <w:p w:rsidR="000E644A" w:rsidRPr="00462EAC" w:rsidRDefault="007323F3" w:rsidP="00462EAC">
                  <w:pPr>
                    <w:pStyle w:val="TableColumnHeading"/>
                    <w:ind w:left="0" w:right="28"/>
                    <w:rPr>
                      <w:rFonts w:asciiTheme="majorHAnsi" w:hAnsiTheme="majorHAnsi" w:cstheme="majorHAnsi"/>
                      <w:szCs w:val="18"/>
                    </w:rPr>
                  </w:pPr>
                  <w:r>
                    <w:rPr>
                      <w:rFonts w:asciiTheme="majorHAnsi" w:hAnsiTheme="majorHAnsi" w:cstheme="majorHAnsi"/>
                      <w:szCs w:val="18"/>
                    </w:rPr>
                    <w:t>Aust</w:t>
                  </w:r>
                </w:p>
              </w:tc>
              <w:tc>
                <w:tcPr>
                  <w:tcW w:w="15" w:type="pct"/>
                  <w:tcBorders>
                    <w:top w:val="single" w:sz="4" w:space="0" w:color="BFBFBF" w:themeColor="background2"/>
                    <w:bottom w:val="single" w:sz="4" w:space="0" w:color="BFBFBF" w:themeColor="background2"/>
                  </w:tcBorders>
                  <w:shd w:val="clear" w:color="auto" w:fill="auto"/>
                  <w:tcMar>
                    <w:top w:w="28" w:type="dxa"/>
                  </w:tcMar>
                </w:tcPr>
                <w:p w:rsidR="000E644A" w:rsidRPr="00462EAC" w:rsidRDefault="000E644A" w:rsidP="00462EAC">
                  <w:pPr>
                    <w:pStyle w:val="TableColumnHeading"/>
                    <w:ind w:left="0" w:right="28"/>
                    <w:rPr>
                      <w:rFonts w:asciiTheme="majorHAnsi" w:hAnsiTheme="majorHAnsi" w:cstheme="majorHAnsi"/>
                      <w:szCs w:val="18"/>
                    </w:rPr>
                  </w:pPr>
                </w:p>
              </w:tc>
            </w:tr>
            <w:tr w:rsidR="000E644A" w:rsidRPr="000E644A" w:rsidTr="00922C9F">
              <w:tc>
                <w:tcPr>
                  <w:tcW w:w="5000" w:type="pct"/>
                  <w:gridSpan w:val="11"/>
                  <w:tcBorders>
                    <w:top w:val="single" w:sz="4" w:space="0" w:color="BFBFBF" w:themeColor="background2"/>
                  </w:tcBorders>
                  <w:vAlign w:val="bottom"/>
                </w:tcPr>
                <w:p w:rsidR="000E644A" w:rsidRPr="00462EAC" w:rsidRDefault="000E644A" w:rsidP="00462EAC">
                  <w:pPr>
                    <w:pStyle w:val="TableBodyText"/>
                    <w:spacing w:before="60"/>
                    <w:ind w:left="0" w:right="0"/>
                    <w:jc w:val="left"/>
                    <w:rPr>
                      <w:rFonts w:asciiTheme="majorHAnsi" w:hAnsiTheme="majorHAnsi" w:cstheme="majorHAnsi"/>
                      <w:szCs w:val="18"/>
                    </w:rPr>
                  </w:pPr>
                  <w:r w:rsidRPr="00462EAC">
                    <w:rPr>
                      <w:rStyle w:val="TableColumnHeadingChar"/>
                      <w:rFonts w:asciiTheme="majorHAnsi" w:hAnsiTheme="majorHAnsi" w:cstheme="majorHAnsi"/>
                      <w:szCs w:val="18"/>
                    </w:rPr>
                    <w:t>Public housing</w:t>
                  </w:r>
                </w:p>
              </w:tc>
            </w:tr>
            <w:tr w:rsidR="00B17A69" w:rsidTr="00BC7D26">
              <w:tc>
                <w:tcPr>
                  <w:tcW w:w="500" w:type="pct"/>
                  <w:vAlign w:val="bottom"/>
                </w:tcPr>
                <w:p w:rsidR="00B17A69" w:rsidRPr="00462EAC" w:rsidRDefault="00B17A69" w:rsidP="00C67567">
                  <w:pPr>
                    <w:pStyle w:val="TableBodyText"/>
                  </w:pPr>
                  <w:r>
                    <w:t>2014</w:t>
                  </w:r>
                  <w:r w:rsidR="007D1214">
                    <w:noBreakHyphen/>
                  </w:r>
                  <w:r>
                    <w:t>15</w:t>
                  </w:r>
                </w:p>
              </w:tc>
              <w:tc>
                <w:tcPr>
                  <w:tcW w:w="443" w:type="pct"/>
                </w:tcPr>
                <w:p w:rsidR="00B17A69" w:rsidRPr="006C6A7D" w:rsidRDefault="00B17A69" w:rsidP="00C67567">
                  <w:pPr>
                    <w:pStyle w:val="TableBodyText"/>
                  </w:pPr>
                  <w:r w:rsidRPr="006C6A7D">
                    <w:t xml:space="preserve">  99.5</w:t>
                  </w:r>
                </w:p>
              </w:tc>
              <w:tc>
                <w:tcPr>
                  <w:tcW w:w="473" w:type="pct"/>
                </w:tcPr>
                <w:p w:rsidR="00B17A69" w:rsidRPr="006C6A7D" w:rsidRDefault="00B17A69" w:rsidP="00C67567">
                  <w:pPr>
                    <w:pStyle w:val="TableBodyText"/>
                  </w:pPr>
                  <w:r w:rsidRPr="006C6A7D">
                    <w:t xml:space="preserve">  98.8</w:t>
                  </w:r>
                </w:p>
              </w:tc>
              <w:tc>
                <w:tcPr>
                  <w:tcW w:w="499" w:type="pct"/>
                </w:tcPr>
                <w:p w:rsidR="00B17A69" w:rsidRPr="006C6A7D" w:rsidRDefault="00B17A69" w:rsidP="00C67567">
                  <w:pPr>
                    <w:pStyle w:val="TableBodyText"/>
                  </w:pPr>
                  <w:r w:rsidRPr="006C6A7D">
                    <w:t xml:space="preserve">  100.2</w:t>
                  </w:r>
                </w:p>
              </w:tc>
              <w:tc>
                <w:tcPr>
                  <w:tcW w:w="499" w:type="pct"/>
                </w:tcPr>
                <w:p w:rsidR="00B17A69" w:rsidRPr="006C6A7D" w:rsidRDefault="00B17A69" w:rsidP="00C67567">
                  <w:pPr>
                    <w:pStyle w:val="TableBodyText"/>
                  </w:pPr>
                  <w:r w:rsidRPr="006C6A7D">
                    <w:t xml:space="preserve">  100.0</w:t>
                  </w:r>
                </w:p>
              </w:tc>
              <w:tc>
                <w:tcPr>
                  <w:tcW w:w="503" w:type="pct"/>
                </w:tcPr>
                <w:p w:rsidR="00B17A69" w:rsidRPr="006C6A7D" w:rsidRDefault="00B17A69" w:rsidP="00C67567">
                  <w:pPr>
                    <w:pStyle w:val="TableBodyText"/>
                  </w:pPr>
                  <w:r w:rsidRPr="006C6A7D">
                    <w:t xml:space="preserve">  99.8</w:t>
                  </w:r>
                </w:p>
              </w:tc>
              <w:tc>
                <w:tcPr>
                  <w:tcW w:w="580" w:type="pct"/>
                </w:tcPr>
                <w:p w:rsidR="00B17A69" w:rsidRPr="006C6A7D" w:rsidRDefault="00B17A69" w:rsidP="00C67567">
                  <w:pPr>
                    <w:pStyle w:val="TableBodyText"/>
                  </w:pPr>
                  <w:r w:rsidRPr="006C6A7D">
                    <w:t xml:space="preserve">  98.5</w:t>
                  </w:r>
                </w:p>
              </w:tc>
              <w:tc>
                <w:tcPr>
                  <w:tcW w:w="500" w:type="pct"/>
                </w:tcPr>
                <w:p w:rsidR="00B17A69" w:rsidRPr="006C6A7D" w:rsidRDefault="00B17A69" w:rsidP="00C67567">
                  <w:pPr>
                    <w:pStyle w:val="TableBodyText"/>
                  </w:pPr>
                  <w:r w:rsidRPr="006C6A7D">
                    <w:t xml:space="preserve">  99.3</w:t>
                  </w:r>
                </w:p>
              </w:tc>
              <w:tc>
                <w:tcPr>
                  <w:tcW w:w="420" w:type="pct"/>
                </w:tcPr>
                <w:p w:rsidR="00B17A69" w:rsidRPr="006C6A7D" w:rsidRDefault="00B17A69" w:rsidP="00C67567">
                  <w:pPr>
                    <w:pStyle w:val="TableBodyText"/>
                  </w:pPr>
                  <w:r w:rsidRPr="006C6A7D">
                    <w:t xml:space="preserve">  98.5</w:t>
                  </w:r>
                </w:p>
              </w:tc>
              <w:tc>
                <w:tcPr>
                  <w:tcW w:w="568" w:type="pct"/>
                </w:tcPr>
                <w:p w:rsidR="00B17A69" w:rsidRPr="003B78C7" w:rsidRDefault="00B17A69" w:rsidP="001E26BC">
                  <w:pPr>
                    <w:pStyle w:val="TableBodyText"/>
                  </w:pPr>
                  <w:r>
                    <w:t>99.5</w:t>
                  </w:r>
                </w:p>
              </w:tc>
              <w:tc>
                <w:tcPr>
                  <w:tcW w:w="15" w:type="pct"/>
                </w:tcPr>
                <w:p w:rsidR="00B17A69" w:rsidRPr="003B78C7" w:rsidRDefault="00B17A69" w:rsidP="00C67567">
                  <w:pPr>
                    <w:pStyle w:val="TableBodyText"/>
                  </w:pPr>
                </w:p>
              </w:tc>
            </w:tr>
            <w:tr w:rsidR="00B17A69" w:rsidTr="00BC7D26">
              <w:tc>
                <w:tcPr>
                  <w:tcW w:w="500" w:type="pct"/>
                  <w:vAlign w:val="bottom"/>
                </w:tcPr>
                <w:p w:rsidR="00B17A69" w:rsidRPr="00462EAC" w:rsidRDefault="00B17A69" w:rsidP="00C67567">
                  <w:pPr>
                    <w:pStyle w:val="TableBodyText"/>
                  </w:pPr>
                  <w:r>
                    <w:t>2013</w:t>
                  </w:r>
                  <w:r w:rsidR="007D1214">
                    <w:noBreakHyphen/>
                  </w:r>
                  <w:r>
                    <w:t>14</w:t>
                  </w:r>
                </w:p>
              </w:tc>
              <w:tc>
                <w:tcPr>
                  <w:tcW w:w="443" w:type="pct"/>
                </w:tcPr>
                <w:p w:rsidR="00B17A69" w:rsidRPr="006C6A7D" w:rsidRDefault="00B17A69" w:rsidP="00C67567">
                  <w:pPr>
                    <w:pStyle w:val="TableBodyText"/>
                  </w:pPr>
                  <w:r w:rsidRPr="006C6A7D">
                    <w:t xml:space="preserve">  99.6</w:t>
                  </w:r>
                </w:p>
              </w:tc>
              <w:tc>
                <w:tcPr>
                  <w:tcW w:w="473" w:type="pct"/>
                </w:tcPr>
                <w:p w:rsidR="00B17A69" w:rsidRPr="006C6A7D" w:rsidRDefault="00B17A69" w:rsidP="00C67567">
                  <w:pPr>
                    <w:pStyle w:val="TableBodyText"/>
                  </w:pPr>
                  <w:r w:rsidRPr="006C6A7D">
                    <w:t xml:space="preserve">  98.8</w:t>
                  </w:r>
                </w:p>
              </w:tc>
              <w:tc>
                <w:tcPr>
                  <w:tcW w:w="499" w:type="pct"/>
                </w:tcPr>
                <w:p w:rsidR="00B17A69" w:rsidRPr="006C6A7D" w:rsidRDefault="00B17A69" w:rsidP="00C67567">
                  <w:pPr>
                    <w:pStyle w:val="TableBodyText"/>
                  </w:pPr>
                  <w:r w:rsidRPr="006C6A7D">
                    <w:t xml:space="preserve">  100.0</w:t>
                  </w:r>
                </w:p>
              </w:tc>
              <w:tc>
                <w:tcPr>
                  <w:tcW w:w="499" w:type="pct"/>
                </w:tcPr>
                <w:p w:rsidR="00B17A69" w:rsidRPr="006C6A7D" w:rsidRDefault="00B17A69" w:rsidP="00C67567">
                  <w:pPr>
                    <w:pStyle w:val="TableBodyText"/>
                  </w:pPr>
                  <w:r w:rsidRPr="006C6A7D">
                    <w:t xml:space="preserve">  102.7</w:t>
                  </w:r>
                </w:p>
              </w:tc>
              <w:tc>
                <w:tcPr>
                  <w:tcW w:w="503" w:type="pct"/>
                </w:tcPr>
                <w:p w:rsidR="00B17A69" w:rsidRPr="006C6A7D" w:rsidRDefault="00B17A69" w:rsidP="00C67567">
                  <w:pPr>
                    <w:pStyle w:val="TableBodyText"/>
                  </w:pPr>
                  <w:r w:rsidRPr="006C6A7D">
                    <w:t xml:space="preserve">  99.7</w:t>
                  </w:r>
                </w:p>
              </w:tc>
              <w:tc>
                <w:tcPr>
                  <w:tcW w:w="580" w:type="pct"/>
                </w:tcPr>
                <w:p w:rsidR="00B17A69" w:rsidRPr="006C6A7D" w:rsidRDefault="00B17A69" w:rsidP="00C67567">
                  <w:pPr>
                    <w:pStyle w:val="TableBodyText"/>
                  </w:pPr>
                  <w:r w:rsidRPr="006C6A7D">
                    <w:t xml:space="preserve">  98.0</w:t>
                  </w:r>
                </w:p>
              </w:tc>
              <w:tc>
                <w:tcPr>
                  <w:tcW w:w="500" w:type="pct"/>
                </w:tcPr>
                <w:p w:rsidR="00B17A69" w:rsidRPr="006C6A7D" w:rsidRDefault="00B17A69" w:rsidP="00C67567">
                  <w:pPr>
                    <w:pStyle w:val="TableBodyText"/>
                  </w:pPr>
                  <w:r w:rsidRPr="006C6A7D">
                    <w:t xml:space="preserve">  99.6</w:t>
                  </w:r>
                </w:p>
              </w:tc>
              <w:tc>
                <w:tcPr>
                  <w:tcW w:w="420" w:type="pct"/>
                </w:tcPr>
                <w:p w:rsidR="00B17A69" w:rsidRPr="006C6A7D" w:rsidRDefault="00B17A69" w:rsidP="00C67567">
                  <w:pPr>
                    <w:pStyle w:val="TableBodyText"/>
                  </w:pPr>
                  <w:r w:rsidRPr="006C6A7D">
                    <w:t xml:space="preserve">  99.3</w:t>
                  </w:r>
                </w:p>
              </w:tc>
              <w:tc>
                <w:tcPr>
                  <w:tcW w:w="568" w:type="pct"/>
                </w:tcPr>
                <w:p w:rsidR="00B17A69" w:rsidRPr="003B78C7" w:rsidRDefault="00B17A69" w:rsidP="001E26BC">
                  <w:pPr>
                    <w:pStyle w:val="TableBodyText"/>
                  </w:pPr>
                  <w:r w:rsidRPr="003B78C7">
                    <w:t xml:space="preserve">  99.7</w:t>
                  </w:r>
                </w:p>
              </w:tc>
              <w:tc>
                <w:tcPr>
                  <w:tcW w:w="15" w:type="pct"/>
                </w:tcPr>
                <w:p w:rsidR="00B17A69" w:rsidRPr="003B78C7" w:rsidRDefault="00B17A69" w:rsidP="00C67567">
                  <w:pPr>
                    <w:pStyle w:val="TableBodyText"/>
                  </w:pPr>
                </w:p>
              </w:tc>
            </w:tr>
            <w:tr w:rsidR="00B17A69" w:rsidTr="00BC7D26">
              <w:tc>
                <w:tcPr>
                  <w:tcW w:w="500" w:type="pct"/>
                  <w:vAlign w:val="bottom"/>
                </w:tcPr>
                <w:p w:rsidR="00B17A69" w:rsidRPr="00462EAC" w:rsidRDefault="00B17A69" w:rsidP="00C67567">
                  <w:pPr>
                    <w:pStyle w:val="TableBodyText"/>
                  </w:pPr>
                  <w:r>
                    <w:t>2012</w:t>
                  </w:r>
                  <w:r w:rsidR="007D1214">
                    <w:noBreakHyphen/>
                  </w:r>
                  <w:r>
                    <w:t>13</w:t>
                  </w:r>
                </w:p>
              </w:tc>
              <w:tc>
                <w:tcPr>
                  <w:tcW w:w="443" w:type="pct"/>
                </w:tcPr>
                <w:p w:rsidR="00B17A69" w:rsidRPr="006C6A7D" w:rsidRDefault="00B17A69" w:rsidP="00C67567">
                  <w:pPr>
                    <w:pStyle w:val="TableBodyText"/>
                  </w:pPr>
                  <w:r w:rsidRPr="006C6A7D">
                    <w:t xml:space="preserve">  99.0</w:t>
                  </w:r>
                </w:p>
              </w:tc>
              <w:tc>
                <w:tcPr>
                  <w:tcW w:w="473" w:type="pct"/>
                </w:tcPr>
                <w:p w:rsidR="00B17A69" w:rsidRPr="006C6A7D" w:rsidRDefault="00B17A69" w:rsidP="00C67567">
                  <w:pPr>
                    <w:pStyle w:val="TableBodyText"/>
                  </w:pPr>
                  <w:r w:rsidRPr="006C6A7D">
                    <w:t xml:space="preserve">  98.7</w:t>
                  </w:r>
                </w:p>
              </w:tc>
              <w:tc>
                <w:tcPr>
                  <w:tcW w:w="499" w:type="pct"/>
                </w:tcPr>
                <w:p w:rsidR="00B17A69" w:rsidRPr="006C6A7D" w:rsidRDefault="00B17A69" w:rsidP="00C67567">
                  <w:pPr>
                    <w:pStyle w:val="TableBodyText"/>
                  </w:pPr>
                  <w:r w:rsidRPr="006C6A7D">
                    <w:t xml:space="preserve">  100.0</w:t>
                  </w:r>
                </w:p>
              </w:tc>
              <w:tc>
                <w:tcPr>
                  <w:tcW w:w="499" w:type="pct"/>
                </w:tcPr>
                <w:p w:rsidR="00B17A69" w:rsidRPr="006C6A7D" w:rsidRDefault="00B17A69" w:rsidP="00C67567">
                  <w:pPr>
                    <w:pStyle w:val="TableBodyText"/>
                  </w:pPr>
                  <w:r w:rsidRPr="006C6A7D">
                    <w:t xml:space="preserve">  100.7</w:t>
                  </w:r>
                </w:p>
              </w:tc>
              <w:tc>
                <w:tcPr>
                  <w:tcW w:w="503" w:type="pct"/>
                </w:tcPr>
                <w:p w:rsidR="00B17A69" w:rsidRPr="006C6A7D" w:rsidRDefault="00B17A69" w:rsidP="00C67567">
                  <w:pPr>
                    <w:pStyle w:val="TableBodyText"/>
                  </w:pPr>
                  <w:r w:rsidRPr="006C6A7D">
                    <w:t xml:space="preserve">  100.0</w:t>
                  </w:r>
                </w:p>
              </w:tc>
              <w:tc>
                <w:tcPr>
                  <w:tcW w:w="580" w:type="pct"/>
                </w:tcPr>
                <w:p w:rsidR="00B17A69" w:rsidRPr="006C6A7D" w:rsidRDefault="00B17A69" w:rsidP="00C67567">
                  <w:pPr>
                    <w:pStyle w:val="TableBodyText"/>
                  </w:pPr>
                  <w:r w:rsidRPr="006C6A7D">
                    <w:t xml:space="preserve">  98.4</w:t>
                  </w:r>
                </w:p>
              </w:tc>
              <w:tc>
                <w:tcPr>
                  <w:tcW w:w="500" w:type="pct"/>
                </w:tcPr>
                <w:p w:rsidR="00B17A69" w:rsidRPr="006C6A7D" w:rsidRDefault="00B17A69" w:rsidP="00C67567">
                  <w:pPr>
                    <w:pStyle w:val="TableBodyText"/>
                  </w:pPr>
                  <w:r w:rsidRPr="006C6A7D">
                    <w:t xml:space="preserve">  99.5</w:t>
                  </w:r>
                </w:p>
              </w:tc>
              <w:tc>
                <w:tcPr>
                  <w:tcW w:w="420" w:type="pct"/>
                </w:tcPr>
                <w:p w:rsidR="00B17A69" w:rsidRPr="006C6A7D" w:rsidRDefault="00B17A69" w:rsidP="00C67567">
                  <w:pPr>
                    <w:pStyle w:val="TableBodyText"/>
                  </w:pPr>
                  <w:r w:rsidRPr="006C6A7D">
                    <w:t xml:space="preserve">  97.6</w:t>
                  </w:r>
                </w:p>
              </w:tc>
              <w:tc>
                <w:tcPr>
                  <w:tcW w:w="568" w:type="pct"/>
                </w:tcPr>
                <w:p w:rsidR="00B17A69" w:rsidRPr="003B78C7" w:rsidRDefault="00B17A69" w:rsidP="001E26BC">
                  <w:pPr>
                    <w:pStyle w:val="TableBodyText"/>
                  </w:pPr>
                  <w:r w:rsidRPr="003B78C7">
                    <w:t xml:space="preserve">  99.4</w:t>
                  </w:r>
                </w:p>
              </w:tc>
              <w:tc>
                <w:tcPr>
                  <w:tcW w:w="15" w:type="pct"/>
                </w:tcPr>
                <w:p w:rsidR="00B17A69" w:rsidRPr="003B78C7" w:rsidRDefault="00B17A69" w:rsidP="00C67567">
                  <w:pPr>
                    <w:pStyle w:val="TableBodyText"/>
                  </w:pPr>
                </w:p>
              </w:tc>
            </w:tr>
            <w:tr w:rsidR="00B17A69" w:rsidRPr="006C4B07" w:rsidTr="00BC7D26">
              <w:tc>
                <w:tcPr>
                  <w:tcW w:w="500" w:type="pct"/>
                  <w:vAlign w:val="bottom"/>
                </w:tcPr>
                <w:p w:rsidR="00B17A69" w:rsidRPr="00462EAC" w:rsidRDefault="00B17A69" w:rsidP="00C67567">
                  <w:pPr>
                    <w:pStyle w:val="TableBodyText"/>
                  </w:pPr>
                  <w:r>
                    <w:t>2011</w:t>
                  </w:r>
                  <w:r w:rsidR="007D1214">
                    <w:noBreakHyphen/>
                  </w:r>
                  <w:r>
                    <w:t>12</w:t>
                  </w:r>
                </w:p>
              </w:tc>
              <w:tc>
                <w:tcPr>
                  <w:tcW w:w="443" w:type="pct"/>
                </w:tcPr>
                <w:p w:rsidR="00B17A69" w:rsidRPr="006C6A7D" w:rsidRDefault="00B17A69" w:rsidP="00C67567">
                  <w:pPr>
                    <w:pStyle w:val="TableBodyText"/>
                  </w:pPr>
                  <w:r w:rsidRPr="006C6A7D">
                    <w:t xml:space="preserve">  99.1</w:t>
                  </w:r>
                </w:p>
              </w:tc>
              <w:tc>
                <w:tcPr>
                  <w:tcW w:w="473" w:type="pct"/>
                </w:tcPr>
                <w:p w:rsidR="00B17A69" w:rsidRPr="006C6A7D" w:rsidRDefault="00B17A69" w:rsidP="00C67567">
                  <w:pPr>
                    <w:pStyle w:val="TableBodyText"/>
                  </w:pPr>
                  <w:r w:rsidRPr="006C6A7D">
                    <w:t xml:space="preserve">  98.5</w:t>
                  </w:r>
                </w:p>
              </w:tc>
              <w:tc>
                <w:tcPr>
                  <w:tcW w:w="499" w:type="pct"/>
                </w:tcPr>
                <w:p w:rsidR="00B17A69" w:rsidRPr="006C6A7D" w:rsidRDefault="00B17A69" w:rsidP="00C67567">
                  <w:pPr>
                    <w:pStyle w:val="TableBodyText"/>
                  </w:pPr>
                  <w:r w:rsidRPr="006C6A7D">
                    <w:t xml:space="preserve">  99.4</w:t>
                  </w:r>
                </w:p>
              </w:tc>
              <w:tc>
                <w:tcPr>
                  <w:tcW w:w="499" w:type="pct"/>
                </w:tcPr>
                <w:p w:rsidR="00B17A69" w:rsidRPr="006C6A7D" w:rsidRDefault="00B17A69" w:rsidP="00C67567">
                  <w:pPr>
                    <w:pStyle w:val="TableBodyText"/>
                  </w:pPr>
                  <w:r w:rsidRPr="006C6A7D">
                    <w:t xml:space="preserve">  100.7</w:t>
                  </w:r>
                </w:p>
              </w:tc>
              <w:tc>
                <w:tcPr>
                  <w:tcW w:w="503" w:type="pct"/>
                </w:tcPr>
                <w:p w:rsidR="00B17A69" w:rsidRPr="006C6A7D" w:rsidRDefault="00B17A69" w:rsidP="00C67567">
                  <w:pPr>
                    <w:pStyle w:val="TableBodyText"/>
                  </w:pPr>
                  <w:r w:rsidRPr="006C6A7D">
                    <w:t xml:space="preserve">  100.3</w:t>
                  </w:r>
                </w:p>
              </w:tc>
              <w:tc>
                <w:tcPr>
                  <w:tcW w:w="580" w:type="pct"/>
                </w:tcPr>
                <w:p w:rsidR="00B17A69" w:rsidRPr="006C6A7D" w:rsidRDefault="00B17A69" w:rsidP="00C67567">
                  <w:pPr>
                    <w:pStyle w:val="TableBodyText"/>
                  </w:pPr>
                  <w:r w:rsidRPr="006C6A7D">
                    <w:t xml:space="preserve">  98.6</w:t>
                  </w:r>
                </w:p>
              </w:tc>
              <w:tc>
                <w:tcPr>
                  <w:tcW w:w="500" w:type="pct"/>
                </w:tcPr>
                <w:p w:rsidR="00B17A69" w:rsidRPr="006C6A7D" w:rsidRDefault="00B17A69" w:rsidP="00C67567">
                  <w:pPr>
                    <w:pStyle w:val="TableBodyText"/>
                  </w:pPr>
                  <w:r w:rsidRPr="006C6A7D">
                    <w:t xml:space="preserve">  99.7</w:t>
                  </w:r>
                </w:p>
              </w:tc>
              <w:tc>
                <w:tcPr>
                  <w:tcW w:w="420" w:type="pct"/>
                </w:tcPr>
                <w:p w:rsidR="00B17A69" w:rsidRPr="006C6A7D" w:rsidRDefault="00B17A69" w:rsidP="00C67567">
                  <w:pPr>
                    <w:pStyle w:val="TableBodyText"/>
                  </w:pPr>
                  <w:r w:rsidRPr="006C6A7D">
                    <w:t xml:space="preserve">  99.0</w:t>
                  </w:r>
                </w:p>
              </w:tc>
              <w:tc>
                <w:tcPr>
                  <w:tcW w:w="568" w:type="pct"/>
                </w:tcPr>
                <w:p w:rsidR="00B17A69" w:rsidRPr="003B78C7" w:rsidRDefault="00B17A69" w:rsidP="001E26BC">
                  <w:pPr>
                    <w:pStyle w:val="TableBodyText"/>
                  </w:pPr>
                  <w:r w:rsidRPr="003B78C7">
                    <w:t xml:space="preserve">  99.3</w:t>
                  </w:r>
                </w:p>
              </w:tc>
              <w:tc>
                <w:tcPr>
                  <w:tcW w:w="15" w:type="pct"/>
                </w:tcPr>
                <w:p w:rsidR="00B17A69" w:rsidRPr="003B78C7" w:rsidRDefault="00B17A69" w:rsidP="00C67567">
                  <w:pPr>
                    <w:pStyle w:val="TableBodyText"/>
                  </w:pPr>
                </w:p>
              </w:tc>
            </w:tr>
            <w:tr w:rsidR="00B17A69" w:rsidRPr="006C4B07" w:rsidTr="00BC7D26">
              <w:tc>
                <w:tcPr>
                  <w:tcW w:w="500" w:type="pct"/>
                  <w:vAlign w:val="bottom"/>
                </w:tcPr>
                <w:p w:rsidR="00B17A69" w:rsidRPr="00462EAC" w:rsidRDefault="00B17A69" w:rsidP="00C67567">
                  <w:pPr>
                    <w:pStyle w:val="TableBodyText"/>
                  </w:pPr>
                  <w:r>
                    <w:t>2010</w:t>
                  </w:r>
                  <w:r w:rsidR="007D1214">
                    <w:noBreakHyphen/>
                  </w:r>
                  <w:r>
                    <w:t>11</w:t>
                  </w:r>
                </w:p>
              </w:tc>
              <w:tc>
                <w:tcPr>
                  <w:tcW w:w="443" w:type="pct"/>
                </w:tcPr>
                <w:p w:rsidR="00B17A69" w:rsidRPr="006C6A7D" w:rsidRDefault="00B17A69" w:rsidP="00C67567">
                  <w:pPr>
                    <w:pStyle w:val="TableBodyText"/>
                  </w:pPr>
                  <w:r w:rsidRPr="006C6A7D">
                    <w:t xml:space="preserve">  99.2</w:t>
                  </w:r>
                </w:p>
              </w:tc>
              <w:tc>
                <w:tcPr>
                  <w:tcW w:w="473" w:type="pct"/>
                </w:tcPr>
                <w:p w:rsidR="00B17A69" w:rsidRPr="006C6A7D" w:rsidRDefault="00B17A69" w:rsidP="00C67567">
                  <w:pPr>
                    <w:pStyle w:val="TableBodyText"/>
                  </w:pPr>
                  <w:r w:rsidRPr="006C6A7D">
                    <w:t xml:space="preserve">  98.7</w:t>
                  </w:r>
                </w:p>
              </w:tc>
              <w:tc>
                <w:tcPr>
                  <w:tcW w:w="499" w:type="pct"/>
                </w:tcPr>
                <w:p w:rsidR="00B17A69" w:rsidRPr="006C6A7D" w:rsidRDefault="00B17A69" w:rsidP="00C67567">
                  <w:pPr>
                    <w:pStyle w:val="TableBodyText"/>
                  </w:pPr>
                  <w:r w:rsidRPr="006C6A7D">
                    <w:t xml:space="preserve">  100.9</w:t>
                  </w:r>
                </w:p>
              </w:tc>
              <w:tc>
                <w:tcPr>
                  <w:tcW w:w="499" w:type="pct"/>
                </w:tcPr>
                <w:p w:rsidR="00B17A69" w:rsidRPr="006C6A7D" w:rsidRDefault="00B17A69" w:rsidP="00C67567">
                  <w:pPr>
                    <w:pStyle w:val="TableBodyText"/>
                  </w:pPr>
                  <w:r w:rsidRPr="006C6A7D">
                    <w:t xml:space="preserve">  100.7</w:t>
                  </w:r>
                </w:p>
              </w:tc>
              <w:tc>
                <w:tcPr>
                  <w:tcW w:w="503" w:type="pct"/>
                </w:tcPr>
                <w:p w:rsidR="00B17A69" w:rsidRPr="006C6A7D" w:rsidRDefault="00B17A69" w:rsidP="00C67567">
                  <w:pPr>
                    <w:pStyle w:val="TableBodyText"/>
                  </w:pPr>
                  <w:r w:rsidRPr="006C6A7D">
                    <w:t xml:space="preserve">  100.0</w:t>
                  </w:r>
                </w:p>
              </w:tc>
              <w:tc>
                <w:tcPr>
                  <w:tcW w:w="580" w:type="pct"/>
                </w:tcPr>
                <w:p w:rsidR="00B17A69" w:rsidRPr="006C6A7D" w:rsidRDefault="00B17A69" w:rsidP="00C67567">
                  <w:pPr>
                    <w:pStyle w:val="TableBodyText"/>
                  </w:pPr>
                  <w:r w:rsidRPr="006C6A7D">
                    <w:t xml:space="preserve">  99.0</w:t>
                  </w:r>
                </w:p>
              </w:tc>
              <w:tc>
                <w:tcPr>
                  <w:tcW w:w="500" w:type="pct"/>
                </w:tcPr>
                <w:p w:rsidR="00B17A69" w:rsidRPr="006C6A7D" w:rsidRDefault="00B17A69" w:rsidP="00C67567">
                  <w:pPr>
                    <w:pStyle w:val="TableBodyText"/>
                  </w:pPr>
                  <w:r w:rsidRPr="006C6A7D">
                    <w:t xml:space="preserve">  99.5</w:t>
                  </w:r>
                </w:p>
              </w:tc>
              <w:tc>
                <w:tcPr>
                  <w:tcW w:w="420" w:type="pct"/>
                </w:tcPr>
                <w:p w:rsidR="00B17A69" w:rsidRDefault="00B17A69" w:rsidP="00C67567">
                  <w:pPr>
                    <w:pStyle w:val="TableBodyText"/>
                  </w:pPr>
                  <w:r w:rsidRPr="006C6A7D">
                    <w:t xml:space="preserve">  102.7</w:t>
                  </w:r>
                </w:p>
              </w:tc>
              <w:tc>
                <w:tcPr>
                  <w:tcW w:w="568" w:type="pct"/>
                </w:tcPr>
                <w:p w:rsidR="00B17A69" w:rsidRDefault="00B17A69" w:rsidP="001E26BC">
                  <w:pPr>
                    <w:pStyle w:val="TableBodyText"/>
                  </w:pPr>
                  <w:r w:rsidRPr="003B78C7">
                    <w:t xml:space="preserve">  99.6</w:t>
                  </w:r>
                </w:p>
              </w:tc>
              <w:tc>
                <w:tcPr>
                  <w:tcW w:w="15" w:type="pct"/>
                </w:tcPr>
                <w:p w:rsidR="00B17A69" w:rsidRDefault="00B17A69" w:rsidP="00C67567">
                  <w:pPr>
                    <w:pStyle w:val="TableBodyText"/>
                  </w:pPr>
                </w:p>
              </w:tc>
            </w:tr>
            <w:tr w:rsidR="00EB2D01" w:rsidRPr="00407BC2" w:rsidTr="00F44E27">
              <w:tc>
                <w:tcPr>
                  <w:tcW w:w="5000" w:type="pct"/>
                  <w:gridSpan w:val="11"/>
                  <w:vAlign w:val="bottom"/>
                </w:tcPr>
                <w:p w:rsidR="00EB2D01" w:rsidRPr="00462EAC" w:rsidRDefault="00EB2D01" w:rsidP="00C67567">
                  <w:pPr>
                    <w:pStyle w:val="TableBodyText"/>
                    <w:jc w:val="left"/>
                  </w:pPr>
                  <w:r w:rsidRPr="00462EAC">
                    <w:rPr>
                      <w:rStyle w:val="TableColumnHeadingChar"/>
                      <w:rFonts w:asciiTheme="majorHAnsi" w:hAnsiTheme="majorHAnsi" w:cstheme="majorHAnsi"/>
                      <w:szCs w:val="18"/>
                    </w:rPr>
                    <w:t>SOMIH</w:t>
                  </w:r>
                </w:p>
              </w:tc>
            </w:tr>
            <w:tr w:rsidR="00B17A69" w:rsidTr="00BC7D26">
              <w:tc>
                <w:tcPr>
                  <w:tcW w:w="500" w:type="pct"/>
                  <w:vAlign w:val="bottom"/>
                </w:tcPr>
                <w:p w:rsidR="00B17A69" w:rsidRPr="00462EAC" w:rsidRDefault="00B17A69" w:rsidP="00C67567">
                  <w:pPr>
                    <w:pStyle w:val="TableBodyText"/>
                  </w:pPr>
                  <w:r>
                    <w:t>2014</w:t>
                  </w:r>
                  <w:r w:rsidR="007D1214">
                    <w:noBreakHyphen/>
                  </w:r>
                  <w:r>
                    <w:t>15</w:t>
                  </w:r>
                </w:p>
              </w:tc>
              <w:tc>
                <w:tcPr>
                  <w:tcW w:w="443" w:type="pct"/>
                </w:tcPr>
                <w:p w:rsidR="00B17A69" w:rsidRPr="00B17A69" w:rsidRDefault="00B17A69" w:rsidP="00C67567">
                  <w:pPr>
                    <w:pStyle w:val="TableBodyText"/>
                    <w:rPr>
                      <w:szCs w:val="18"/>
                    </w:rPr>
                  </w:pPr>
                  <w:r w:rsidRPr="00B17A69">
                    <w:rPr>
                      <w:szCs w:val="18"/>
                    </w:rPr>
                    <w:t xml:space="preserve">  94.0</w:t>
                  </w:r>
                </w:p>
              </w:tc>
              <w:tc>
                <w:tcPr>
                  <w:tcW w:w="473" w:type="pct"/>
                  <w:vAlign w:val="center"/>
                </w:tcPr>
                <w:p w:rsidR="00B17A69" w:rsidRPr="00B17A69" w:rsidRDefault="00B17A69" w:rsidP="00C67567">
                  <w:pPr>
                    <w:pStyle w:val="TableBodyText"/>
                    <w:rPr>
                      <w:szCs w:val="18"/>
                    </w:rPr>
                  </w:pPr>
                  <w:r w:rsidRPr="00B17A69">
                    <w:rPr>
                      <w:szCs w:val="18"/>
                    </w:rPr>
                    <w:t>..</w:t>
                  </w:r>
                </w:p>
              </w:tc>
              <w:tc>
                <w:tcPr>
                  <w:tcW w:w="499" w:type="pct"/>
                </w:tcPr>
                <w:p w:rsidR="00B17A69" w:rsidRPr="00B17A69" w:rsidRDefault="00B17A69" w:rsidP="00C67567">
                  <w:pPr>
                    <w:pStyle w:val="TableBodyText"/>
                    <w:rPr>
                      <w:szCs w:val="18"/>
                    </w:rPr>
                  </w:pPr>
                  <w:r w:rsidRPr="00B17A69">
                    <w:rPr>
                      <w:szCs w:val="18"/>
                    </w:rPr>
                    <w:t xml:space="preserve">  100.3</w:t>
                  </w:r>
                </w:p>
              </w:tc>
              <w:tc>
                <w:tcPr>
                  <w:tcW w:w="499" w:type="pct"/>
                  <w:vAlign w:val="center"/>
                </w:tcPr>
                <w:p w:rsidR="00B17A69" w:rsidRPr="00B17A69" w:rsidRDefault="00B17A69" w:rsidP="00C67567">
                  <w:pPr>
                    <w:pStyle w:val="TableBodyText"/>
                    <w:rPr>
                      <w:szCs w:val="18"/>
                    </w:rPr>
                  </w:pPr>
                  <w:r w:rsidRPr="00B17A69">
                    <w:rPr>
                      <w:szCs w:val="18"/>
                    </w:rPr>
                    <w:t>..</w:t>
                  </w:r>
                </w:p>
              </w:tc>
              <w:tc>
                <w:tcPr>
                  <w:tcW w:w="503" w:type="pct"/>
                </w:tcPr>
                <w:p w:rsidR="00B17A69" w:rsidRPr="00B17A69" w:rsidRDefault="00B17A69" w:rsidP="00C67567">
                  <w:pPr>
                    <w:pStyle w:val="TableBodyText"/>
                    <w:rPr>
                      <w:szCs w:val="18"/>
                    </w:rPr>
                  </w:pPr>
                  <w:r w:rsidRPr="00B17A69">
                    <w:rPr>
                      <w:szCs w:val="18"/>
                    </w:rPr>
                    <w:t xml:space="preserve">  97.4</w:t>
                  </w:r>
                </w:p>
              </w:tc>
              <w:tc>
                <w:tcPr>
                  <w:tcW w:w="580" w:type="pct"/>
                  <w:vAlign w:val="center"/>
                </w:tcPr>
                <w:p w:rsidR="00B17A69" w:rsidRPr="00B17A69" w:rsidRDefault="00B17A69" w:rsidP="00C67567">
                  <w:pPr>
                    <w:pStyle w:val="TableBodyText"/>
                    <w:rPr>
                      <w:rFonts w:cs="Arial"/>
                      <w:szCs w:val="18"/>
                    </w:rPr>
                  </w:pPr>
                  <w:r w:rsidRPr="00B17A69">
                    <w:rPr>
                      <w:rFonts w:cs="Arial"/>
                      <w:szCs w:val="18"/>
                    </w:rPr>
                    <w:t xml:space="preserve">  98.4</w:t>
                  </w:r>
                </w:p>
              </w:tc>
              <w:tc>
                <w:tcPr>
                  <w:tcW w:w="500" w:type="pct"/>
                  <w:vAlign w:val="center"/>
                </w:tcPr>
                <w:p w:rsidR="00B17A69" w:rsidRPr="00B17A69" w:rsidRDefault="00B17A69" w:rsidP="00C67567">
                  <w:pPr>
                    <w:pStyle w:val="TableBodyText"/>
                    <w:rPr>
                      <w:szCs w:val="18"/>
                    </w:rPr>
                  </w:pPr>
                  <w:r w:rsidRPr="00B17A69">
                    <w:rPr>
                      <w:szCs w:val="18"/>
                    </w:rPr>
                    <w:t>..</w:t>
                  </w:r>
                </w:p>
              </w:tc>
              <w:tc>
                <w:tcPr>
                  <w:tcW w:w="420" w:type="pct"/>
                  <w:vAlign w:val="center"/>
                </w:tcPr>
                <w:p w:rsidR="00B17A69" w:rsidRPr="00B17A69" w:rsidRDefault="00B17A69" w:rsidP="00C67567">
                  <w:pPr>
                    <w:pStyle w:val="TableBodyText"/>
                    <w:rPr>
                      <w:szCs w:val="18"/>
                    </w:rPr>
                  </w:pPr>
                  <w:r w:rsidRPr="00B17A69">
                    <w:rPr>
                      <w:szCs w:val="18"/>
                    </w:rPr>
                    <w:t>..</w:t>
                  </w:r>
                </w:p>
              </w:tc>
              <w:tc>
                <w:tcPr>
                  <w:tcW w:w="568" w:type="pct"/>
                </w:tcPr>
                <w:p w:rsidR="00B17A69" w:rsidRPr="00B17A69" w:rsidRDefault="00B17A69" w:rsidP="001E26BC">
                  <w:pPr>
                    <w:pStyle w:val="TableBodyText"/>
                    <w:rPr>
                      <w:szCs w:val="18"/>
                    </w:rPr>
                  </w:pPr>
                  <w:r w:rsidRPr="00B17A69">
                    <w:rPr>
                      <w:szCs w:val="18"/>
                    </w:rPr>
                    <w:t>96.3</w:t>
                  </w:r>
                </w:p>
              </w:tc>
              <w:tc>
                <w:tcPr>
                  <w:tcW w:w="15" w:type="pct"/>
                </w:tcPr>
                <w:p w:rsidR="00B17A69" w:rsidRPr="00FE23DE" w:rsidRDefault="00B17A69" w:rsidP="00C67567">
                  <w:pPr>
                    <w:pStyle w:val="TableBodyText"/>
                  </w:pPr>
                </w:p>
              </w:tc>
            </w:tr>
            <w:tr w:rsidR="00B17A69" w:rsidTr="00BC7D26">
              <w:tc>
                <w:tcPr>
                  <w:tcW w:w="500" w:type="pct"/>
                  <w:vAlign w:val="bottom"/>
                </w:tcPr>
                <w:p w:rsidR="00B17A69" w:rsidRPr="00462EAC" w:rsidRDefault="00B17A69" w:rsidP="00C67567">
                  <w:pPr>
                    <w:pStyle w:val="TableBodyText"/>
                  </w:pPr>
                  <w:r>
                    <w:t>2013</w:t>
                  </w:r>
                  <w:r w:rsidR="007D1214">
                    <w:noBreakHyphen/>
                  </w:r>
                  <w:r>
                    <w:t>14</w:t>
                  </w:r>
                </w:p>
              </w:tc>
              <w:tc>
                <w:tcPr>
                  <w:tcW w:w="443" w:type="pct"/>
                </w:tcPr>
                <w:p w:rsidR="00B17A69" w:rsidRPr="00B17A69" w:rsidRDefault="00B17A69" w:rsidP="00C67567">
                  <w:pPr>
                    <w:pStyle w:val="TableBodyText"/>
                    <w:rPr>
                      <w:szCs w:val="18"/>
                    </w:rPr>
                  </w:pPr>
                  <w:r w:rsidRPr="00B17A69">
                    <w:rPr>
                      <w:szCs w:val="18"/>
                    </w:rPr>
                    <w:t xml:space="preserve">  99.2</w:t>
                  </w:r>
                </w:p>
              </w:tc>
              <w:tc>
                <w:tcPr>
                  <w:tcW w:w="473" w:type="pct"/>
                  <w:vAlign w:val="center"/>
                </w:tcPr>
                <w:p w:rsidR="00B17A69" w:rsidRPr="00B17A69" w:rsidRDefault="00B17A69" w:rsidP="00C67567">
                  <w:pPr>
                    <w:pStyle w:val="TableBodyText"/>
                    <w:rPr>
                      <w:szCs w:val="18"/>
                    </w:rPr>
                  </w:pPr>
                  <w:r w:rsidRPr="00B17A69">
                    <w:rPr>
                      <w:szCs w:val="18"/>
                    </w:rPr>
                    <w:t>..</w:t>
                  </w:r>
                </w:p>
              </w:tc>
              <w:tc>
                <w:tcPr>
                  <w:tcW w:w="499" w:type="pct"/>
                </w:tcPr>
                <w:p w:rsidR="00B17A69" w:rsidRPr="00B17A69" w:rsidRDefault="00B17A69" w:rsidP="00C67567">
                  <w:pPr>
                    <w:pStyle w:val="TableBodyText"/>
                    <w:rPr>
                      <w:szCs w:val="18"/>
                    </w:rPr>
                  </w:pPr>
                  <w:r w:rsidRPr="00B17A69">
                    <w:rPr>
                      <w:szCs w:val="18"/>
                    </w:rPr>
                    <w:t xml:space="preserve">  102.6</w:t>
                  </w:r>
                </w:p>
              </w:tc>
              <w:tc>
                <w:tcPr>
                  <w:tcW w:w="499" w:type="pct"/>
                  <w:vAlign w:val="center"/>
                </w:tcPr>
                <w:p w:rsidR="00B17A69" w:rsidRPr="00B17A69" w:rsidRDefault="00B17A69" w:rsidP="00C67567">
                  <w:pPr>
                    <w:pStyle w:val="TableBodyText"/>
                    <w:rPr>
                      <w:szCs w:val="18"/>
                    </w:rPr>
                  </w:pPr>
                  <w:r w:rsidRPr="00B17A69">
                    <w:rPr>
                      <w:szCs w:val="18"/>
                    </w:rPr>
                    <w:t>..</w:t>
                  </w:r>
                </w:p>
              </w:tc>
              <w:tc>
                <w:tcPr>
                  <w:tcW w:w="503" w:type="pct"/>
                </w:tcPr>
                <w:p w:rsidR="00B17A69" w:rsidRPr="00B17A69" w:rsidRDefault="00B17A69" w:rsidP="00C67567">
                  <w:pPr>
                    <w:pStyle w:val="TableBodyText"/>
                    <w:rPr>
                      <w:szCs w:val="18"/>
                    </w:rPr>
                  </w:pPr>
                  <w:r w:rsidRPr="00B17A69">
                    <w:rPr>
                      <w:szCs w:val="18"/>
                    </w:rPr>
                    <w:t xml:space="preserve">  98.9</w:t>
                  </w:r>
                </w:p>
              </w:tc>
              <w:tc>
                <w:tcPr>
                  <w:tcW w:w="580" w:type="pct"/>
                  <w:vAlign w:val="center"/>
                </w:tcPr>
                <w:p w:rsidR="00B17A69" w:rsidRPr="00B17A69" w:rsidRDefault="00B17A69" w:rsidP="00C67567">
                  <w:pPr>
                    <w:pStyle w:val="TableBodyText"/>
                    <w:rPr>
                      <w:rFonts w:cs="Arial"/>
                      <w:szCs w:val="18"/>
                    </w:rPr>
                  </w:pPr>
                  <w:r w:rsidRPr="00B17A69">
                    <w:rPr>
                      <w:rFonts w:cs="Arial"/>
                      <w:szCs w:val="18"/>
                    </w:rPr>
                    <w:t xml:space="preserve">  98.0</w:t>
                  </w:r>
                </w:p>
              </w:tc>
              <w:tc>
                <w:tcPr>
                  <w:tcW w:w="500" w:type="pct"/>
                  <w:vAlign w:val="center"/>
                </w:tcPr>
                <w:p w:rsidR="00B17A69" w:rsidRPr="00B17A69" w:rsidRDefault="00B17A69" w:rsidP="00C67567">
                  <w:pPr>
                    <w:pStyle w:val="TableBodyText"/>
                    <w:rPr>
                      <w:szCs w:val="18"/>
                    </w:rPr>
                  </w:pPr>
                  <w:r w:rsidRPr="00B17A69">
                    <w:rPr>
                      <w:szCs w:val="18"/>
                    </w:rPr>
                    <w:t>..</w:t>
                  </w:r>
                </w:p>
              </w:tc>
              <w:tc>
                <w:tcPr>
                  <w:tcW w:w="420" w:type="pct"/>
                  <w:vAlign w:val="center"/>
                </w:tcPr>
                <w:p w:rsidR="00B17A69" w:rsidRPr="00B17A69" w:rsidRDefault="00B17A69" w:rsidP="00C67567">
                  <w:pPr>
                    <w:pStyle w:val="TableBodyText"/>
                    <w:rPr>
                      <w:szCs w:val="18"/>
                    </w:rPr>
                  </w:pPr>
                  <w:r w:rsidRPr="00B17A69">
                    <w:rPr>
                      <w:szCs w:val="18"/>
                    </w:rPr>
                    <w:t>..</w:t>
                  </w:r>
                </w:p>
              </w:tc>
              <w:tc>
                <w:tcPr>
                  <w:tcW w:w="568" w:type="pct"/>
                </w:tcPr>
                <w:p w:rsidR="00B17A69" w:rsidRPr="00B17A69" w:rsidRDefault="00B17A69" w:rsidP="001E26BC">
                  <w:pPr>
                    <w:pStyle w:val="TableBodyText"/>
                    <w:rPr>
                      <w:szCs w:val="18"/>
                    </w:rPr>
                  </w:pPr>
                  <w:r w:rsidRPr="00B17A69">
                    <w:rPr>
                      <w:szCs w:val="18"/>
                    </w:rPr>
                    <w:t xml:space="preserve">  100.1</w:t>
                  </w:r>
                </w:p>
              </w:tc>
              <w:tc>
                <w:tcPr>
                  <w:tcW w:w="15" w:type="pct"/>
                </w:tcPr>
                <w:p w:rsidR="00B17A69" w:rsidRPr="00FE23DE" w:rsidRDefault="00B17A69" w:rsidP="00C67567">
                  <w:pPr>
                    <w:pStyle w:val="TableBodyText"/>
                  </w:pPr>
                </w:p>
              </w:tc>
            </w:tr>
            <w:tr w:rsidR="00B17A69" w:rsidTr="00BC7D26">
              <w:tc>
                <w:tcPr>
                  <w:tcW w:w="500" w:type="pct"/>
                  <w:vAlign w:val="bottom"/>
                </w:tcPr>
                <w:p w:rsidR="00B17A69" w:rsidRPr="00462EAC" w:rsidRDefault="00B17A69" w:rsidP="00C67567">
                  <w:pPr>
                    <w:pStyle w:val="TableBodyText"/>
                  </w:pPr>
                  <w:r>
                    <w:t>2012</w:t>
                  </w:r>
                  <w:r w:rsidR="007D1214">
                    <w:noBreakHyphen/>
                  </w:r>
                  <w:r>
                    <w:t>13</w:t>
                  </w:r>
                </w:p>
              </w:tc>
              <w:tc>
                <w:tcPr>
                  <w:tcW w:w="443" w:type="pct"/>
                </w:tcPr>
                <w:p w:rsidR="00B17A69" w:rsidRPr="00B17A69" w:rsidRDefault="00B17A69" w:rsidP="00C67567">
                  <w:pPr>
                    <w:pStyle w:val="TableBodyText"/>
                    <w:rPr>
                      <w:szCs w:val="18"/>
                    </w:rPr>
                  </w:pPr>
                  <w:r w:rsidRPr="00B17A69">
                    <w:rPr>
                      <w:szCs w:val="18"/>
                    </w:rPr>
                    <w:t xml:space="preserve">  101.0</w:t>
                  </w:r>
                </w:p>
              </w:tc>
              <w:tc>
                <w:tcPr>
                  <w:tcW w:w="473" w:type="pct"/>
                  <w:vAlign w:val="center"/>
                </w:tcPr>
                <w:p w:rsidR="00B17A69" w:rsidRPr="00B17A69" w:rsidRDefault="00B17A69" w:rsidP="00C67567">
                  <w:pPr>
                    <w:pStyle w:val="TableBodyText"/>
                    <w:rPr>
                      <w:color w:val="000000" w:themeColor="text1"/>
                      <w:szCs w:val="18"/>
                    </w:rPr>
                  </w:pPr>
                  <w:r w:rsidRPr="00B17A69">
                    <w:rPr>
                      <w:color w:val="000000" w:themeColor="text1"/>
                      <w:szCs w:val="18"/>
                    </w:rPr>
                    <w:t>..</w:t>
                  </w:r>
                </w:p>
              </w:tc>
              <w:tc>
                <w:tcPr>
                  <w:tcW w:w="499" w:type="pct"/>
                </w:tcPr>
                <w:p w:rsidR="00B17A69" w:rsidRPr="00B17A69" w:rsidRDefault="00B17A69" w:rsidP="00C67567">
                  <w:pPr>
                    <w:pStyle w:val="TableBodyText"/>
                    <w:rPr>
                      <w:szCs w:val="18"/>
                    </w:rPr>
                  </w:pPr>
                  <w:r w:rsidRPr="00B17A69">
                    <w:rPr>
                      <w:szCs w:val="18"/>
                    </w:rPr>
                    <w:t xml:space="preserve">  99.8</w:t>
                  </w:r>
                </w:p>
              </w:tc>
              <w:tc>
                <w:tcPr>
                  <w:tcW w:w="499" w:type="pct"/>
                  <w:vAlign w:val="center"/>
                </w:tcPr>
                <w:p w:rsidR="00B17A69" w:rsidRPr="00B17A69" w:rsidRDefault="00B17A69" w:rsidP="00C67567">
                  <w:pPr>
                    <w:pStyle w:val="TableBodyText"/>
                    <w:rPr>
                      <w:color w:val="000000" w:themeColor="text1"/>
                      <w:szCs w:val="18"/>
                    </w:rPr>
                  </w:pPr>
                  <w:r w:rsidRPr="00B17A69">
                    <w:rPr>
                      <w:color w:val="000000" w:themeColor="text1"/>
                      <w:szCs w:val="18"/>
                    </w:rPr>
                    <w:t>..</w:t>
                  </w:r>
                </w:p>
              </w:tc>
              <w:tc>
                <w:tcPr>
                  <w:tcW w:w="503" w:type="pct"/>
                </w:tcPr>
                <w:p w:rsidR="00B17A69" w:rsidRPr="00B17A69" w:rsidRDefault="00B17A69" w:rsidP="00C67567">
                  <w:pPr>
                    <w:pStyle w:val="TableBodyText"/>
                    <w:rPr>
                      <w:szCs w:val="18"/>
                    </w:rPr>
                  </w:pPr>
                  <w:r w:rsidRPr="00B17A69">
                    <w:rPr>
                      <w:szCs w:val="18"/>
                    </w:rPr>
                    <w:t xml:space="preserve">  101.5</w:t>
                  </w:r>
                </w:p>
              </w:tc>
              <w:tc>
                <w:tcPr>
                  <w:tcW w:w="580" w:type="pct"/>
                  <w:vAlign w:val="center"/>
                </w:tcPr>
                <w:p w:rsidR="00B17A69" w:rsidRPr="00B17A69" w:rsidRDefault="00B17A69" w:rsidP="00C67567">
                  <w:pPr>
                    <w:pStyle w:val="TableBodyText"/>
                    <w:rPr>
                      <w:rFonts w:cs="Arial"/>
                      <w:szCs w:val="18"/>
                    </w:rPr>
                  </w:pPr>
                  <w:r w:rsidRPr="00B17A69">
                    <w:rPr>
                      <w:rFonts w:cs="Arial"/>
                      <w:szCs w:val="18"/>
                    </w:rPr>
                    <w:t xml:space="preserve">  98.4</w:t>
                  </w:r>
                </w:p>
              </w:tc>
              <w:tc>
                <w:tcPr>
                  <w:tcW w:w="500" w:type="pct"/>
                  <w:vAlign w:val="center"/>
                </w:tcPr>
                <w:p w:rsidR="00B17A69" w:rsidRPr="00B17A69" w:rsidRDefault="00B17A69" w:rsidP="00C67567">
                  <w:pPr>
                    <w:pStyle w:val="TableBodyText"/>
                    <w:rPr>
                      <w:color w:val="000000" w:themeColor="text1"/>
                      <w:szCs w:val="18"/>
                    </w:rPr>
                  </w:pPr>
                  <w:r w:rsidRPr="00B17A69">
                    <w:rPr>
                      <w:color w:val="000000" w:themeColor="text1"/>
                      <w:szCs w:val="18"/>
                    </w:rPr>
                    <w:t>..</w:t>
                  </w:r>
                </w:p>
              </w:tc>
              <w:tc>
                <w:tcPr>
                  <w:tcW w:w="420" w:type="pct"/>
                  <w:vAlign w:val="center"/>
                </w:tcPr>
                <w:p w:rsidR="00B17A69" w:rsidRPr="00B17A69" w:rsidRDefault="00B17A69" w:rsidP="00C67567">
                  <w:pPr>
                    <w:pStyle w:val="TableBodyText"/>
                    <w:rPr>
                      <w:color w:val="000000" w:themeColor="text1"/>
                      <w:szCs w:val="18"/>
                    </w:rPr>
                  </w:pPr>
                  <w:r w:rsidRPr="00B17A69">
                    <w:rPr>
                      <w:color w:val="000000" w:themeColor="text1"/>
                      <w:szCs w:val="18"/>
                    </w:rPr>
                    <w:t>..</w:t>
                  </w:r>
                </w:p>
              </w:tc>
              <w:tc>
                <w:tcPr>
                  <w:tcW w:w="568" w:type="pct"/>
                </w:tcPr>
                <w:p w:rsidR="00B17A69" w:rsidRPr="00B17A69" w:rsidRDefault="00B17A69" w:rsidP="001E26BC">
                  <w:pPr>
                    <w:pStyle w:val="TableBodyText"/>
                    <w:rPr>
                      <w:szCs w:val="18"/>
                    </w:rPr>
                  </w:pPr>
                  <w:r w:rsidRPr="00B17A69">
                    <w:rPr>
                      <w:szCs w:val="18"/>
                    </w:rPr>
                    <w:t xml:space="preserve">  99.6</w:t>
                  </w:r>
                </w:p>
              </w:tc>
              <w:tc>
                <w:tcPr>
                  <w:tcW w:w="15" w:type="pct"/>
                </w:tcPr>
                <w:p w:rsidR="00B17A69" w:rsidRPr="00FE23DE" w:rsidRDefault="00B17A69" w:rsidP="00C67567">
                  <w:pPr>
                    <w:pStyle w:val="TableBodyText"/>
                  </w:pPr>
                </w:p>
              </w:tc>
            </w:tr>
            <w:tr w:rsidR="00B17A69" w:rsidTr="00BC7D26">
              <w:tc>
                <w:tcPr>
                  <w:tcW w:w="500" w:type="pct"/>
                  <w:vAlign w:val="bottom"/>
                </w:tcPr>
                <w:p w:rsidR="00B17A69" w:rsidRPr="00462EAC" w:rsidRDefault="00B17A69" w:rsidP="00C67567">
                  <w:pPr>
                    <w:pStyle w:val="TableBodyText"/>
                  </w:pPr>
                  <w:r>
                    <w:t>2011</w:t>
                  </w:r>
                  <w:r w:rsidR="007D1214">
                    <w:noBreakHyphen/>
                  </w:r>
                  <w:r>
                    <w:t>12</w:t>
                  </w:r>
                </w:p>
              </w:tc>
              <w:tc>
                <w:tcPr>
                  <w:tcW w:w="443" w:type="pct"/>
                </w:tcPr>
                <w:p w:rsidR="00B17A69" w:rsidRPr="00B17A69" w:rsidRDefault="00B17A69" w:rsidP="00C67567">
                  <w:pPr>
                    <w:pStyle w:val="TableBodyText"/>
                    <w:rPr>
                      <w:szCs w:val="18"/>
                    </w:rPr>
                  </w:pPr>
                  <w:r w:rsidRPr="00B17A69">
                    <w:rPr>
                      <w:szCs w:val="18"/>
                    </w:rPr>
                    <w:t xml:space="preserve">  100.0</w:t>
                  </w:r>
                </w:p>
              </w:tc>
              <w:tc>
                <w:tcPr>
                  <w:tcW w:w="473" w:type="pct"/>
                  <w:vAlign w:val="center"/>
                </w:tcPr>
                <w:p w:rsidR="00B17A69" w:rsidRPr="00B17A69" w:rsidRDefault="00B17A69" w:rsidP="00C67567">
                  <w:pPr>
                    <w:pStyle w:val="TableBodyText"/>
                    <w:rPr>
                      <w:color w:val="000000" w:themeColor="text1"/>
                      <w:szCs w:val="18"/>
                    </w:rPr>
                  </w:pPr>
                  <w:r w:rsidRPr="00B17A69">
                    <w:rPr>
                      <w:color w:val="000000" w:themeColor="text1"/>
                      <w:szCs w:val="18"/>
                    </w:rPr>
                    <w:t>..</w:t>
                  </w:r>
                </w:p>
              </w:tc>
              <w:tc>
                <w:tcPr>
                  <w:tcW w:w="499" w:type="pct"/>
                </w:tcPr>
                <w:p w:rsidR="00B17A69" w:rsidRPr="00B17A69" w:rsidRDefault="00B17A69" w:rsidP="00C67567">
                  <w:pPr>
                    <w:pStyle w:val="TableBodyText"/>
                    <w:rPr>
                      <w:szCs w:val="18"/>
                    </w:rPr>
                  </w:pPr>
                  <w:r w:rsidRPr="00B17A69">
                    <w:rPr>
                      <w:szCs w:val="18"/>
                    </w:rPr>
                    <w:t xml:space="preserve">  100.6</w:t>
                  </w:r>
                </w:p>
              </w:tc>
              <w:tc>
                <w:tcPr>
                  <w:tcW w:w="499" w:type="pct"/>
                  <w:vAlign w:val="center"/>
                </w:tcPr>
                <w:p w:rsidR="00B17A69" w:rsidRPr="00B17A69" w:rsidRDefault="00B17A69" w:rsidP="00C67567">
                  <w:pPr>
                    <w:pStyle w:val="TableBodyText"/>
                    <w:rPr>
                      <w:color w:val="000000" w:themeColor="text1"/>
                      <w:szCs w:val="18"/>
                    </w:rPr>
                  </w:pPr>
                  <w:r w:rsidRPr="00B17A69">
                    <w:rPr>
                      <w:color w:val="000000" w:themeColor="text1"/>
                      <w:szCs w:val="18"/>
                    </w:rPr>
                    <w:t>..</w:t>
                  </w:r>
                </w:p>
              </w:tc>
              <w:tc>
                <w:tcPr>
                  <w:tcW w:w="503" w:type="pct"/>
                </w:tcPr>
                <w:p w:rsidR="00B17A69" w:rsidRPr="00B17A69" w:rsidRDefault="00B17A69" w:rsidP="00C67567">
                  <w:pPr>
                    <w:pStyle w:val="TableBodyText"/>
                    <w:rPr>
                      <w:szCs w:val="18"/>
                    </w:rPr>
                  </w:pPr>
                  <w:r w:rsidRPr="00B17A69">
                    <w:rPr>
                      <w:szCs w:val="18"/>
                    </w:rPr>
                    <w:t xml:space="preserve">  100.7</w:t>
                  </w:r>
                </w:p>
              </w:tc>
              <w:tc>
                <w:tcPr>
                  <w:tcW w:w="580" w:type="pct"/>
                  <w:vAlign w:val="center"/>
                </w:tcPr>
                <w:p w:rsidR="00B17A69" w:rsidRPr="00B17A69" w:rsidRDefault="00B17A69" w:rsidP="00C67567">
                  <w:pPr>
                    <w:pStyle w:val="TableBodyText"/>
                    <w:rPr>
                      <w:rFonts w:cs="Arial"/>
                      <w:szCs w:val="18"/>
                    </w:rPr>
                  </w:pPr>
                  <w:r w:rsidRPr="00B17A69">
                    <w:rPr>
                      <w:rFonts w:cs="Arial"/>
                      <w:szCs w:val="18"/>
                    </w:rPr>
                    <w:t xml:space="preserve">  98.6</w:t>
                  </w:r>
                </w:p>
              </w:tc>
              <w:tc>
                <w:tcPr>
                  <w:tcW w:w="500" w:type="pct"/>
                  <w:vAlign w:val="center"/>
                </w:tcPr>
                <w:p w:rsidR="00B17A69" w:rsidRPr="00B17A69" w:rsidRDefault="00B17A69" w:rsidP="00C67567">
                  <w:pPr>
                    <w:pStyle w:val="TableBodyText"/>
                    <w:rPr>
                      <w:color w:val="000000" w:themeColor="text1"/>
                      <w:szCs w:val="18"/>
                    </w:rPr>
                  </w:pPr>
                  <w:r w:rsidRPr="00B17A69">
                    <w:rPr>
                      <w:color w:val="000000" w:themeColor="text1"/>
                      <w:szCs w:val="18"/>
                    </w:rPr>
                    <w:t>..</w:t>
                  </w:r>
                </w:p>
              </w:tc>
              <w:tc>
                <w:tcPr>
                  <w:tcW w:w="420" w:type="pct"/>
                  <w:vAlign w:val="center"/>
                </w:tcPr>
                <w:p w:rsidR="00B17A69" w:rsidRPr="00B17A69" w:rsidRDefault="00B17A69" w:rsidP="00C67567">
                  <w:pPr>
                    <w:pStyle w:val="TableBodyText"/>
                    <w:rPr>
                      <w:color w:val="000000" w:themeColor="text1"/>
                      <w:szCs w:val="18"/>
                    </w:rPr>
                  </w:pPr>
                  <w:r w:rsidRPr="00B17A69">
                    <w:rPr>
                      <w:color w:val="000000" w:themeColor="text1"/>
                      <w:szCs w:val="18"/>
                    </w:rPr>
                    <w:t>..</w:t>
                  </w:r>
                </w:p>
              </w:tc>
              <w:tc>
                <w:tcPr>
                  <w:tcW w:w="568" w:type="pct"/>
                </w:tcPr>
                <w:p w:rsidR="00B17A69" w:rsidRPr="00B17A69" w:rsidRDefault="00B17A69" w:rsidP="001E26BC">
                  <w:pPr>
                    <w:pStyle w:val="TableBodyText"/>
                    <w:rPr>
                      <w:szCs w:val="18"/>
                    </w:rPr>
                  </w:pPr>
                  <w:r w:rsidRPr="00B17A69">
                    <w:rPr>
                      <w:szCs w:val="18"/>
                    </w:rPr>
                    <w:t xml:space="preserve">  100.5</w:t>
                  </w:r>
                </w:p>
              </w:tc>
              <w:tc>
                <w:tcPr>
                  <w:tcW w:w="15" w:type="pct"/>
                </w:tcPr>
                <w:p w:rsidR="00B17A69" w:rsidRPr="00FE23DE" w:rsidRDefault="00B17A69" w:rsidP="00C67567">
                  <w:pPr>
                    <w:pStyle w:val="TableBodyText"/>
                  </w:pPr>
                </w:p>
              </w:tc>
            </w:tr>
            <w:tr w:rsidR="00B17A69" w:rsidTr="00BC7D26">
              <w:tc>
                <w:tcPr>
                  <w:tcW w:w="500" w:type="pct"/>
                  <w:vAlign w:val="bottom"/>
                </w:tcPr>
                <w:p w:rsidR="00B17A69" w:rsidRPr="00462EAC" w:rsidRDefault="00B17A69" w:rsidP="00C67567">
                  <w:pPr>
                    <w:pStyle w:val="TableBodyText"/>
                  </w:pPr>
                  <w:r>
                    <w:t>2010</w:t>
                  </w:r>
                  <w:r w:rsidR="007D1214">
                    <w:noBreakHyphen/>
                  </w:r>
                  <w:r>
                    <w:t>11</w:t>
                  </w:r>
                </w:p>
              </w:tc>
              <w:tc>
                <w:tcPr>
                  <w:tcW w:w="443" w:type="pct"/>
                </w:tcPr>
                <w:p w:rsidR="00B17A69" w:rsidRPr="00B17A69" w:rsidRDefault="00B17A69" w:rsidP="00C67567">
                  <w:pPr>
                    <w:pStyle w:val="TableBodyText"/>
                    <w:rPr>
                      <w:szCs w:val="18"/>
                    </w:rPr>
                  </w:pPr>
                  <w:r w:rsidRPr="00B17A69">
                    <w:rPr>
                      <w:szCs w:val="18"/>
                    </w:rPr>
                    <w:t xml:space="preserve">  104.0</w:t>
                  </w:r>
                </w:p>
              </w:tc>
              <w:tc>
                <w:tcPr>
                  <w:tcW w:w="473" w:type="pct"/>
                  <w:vAlign w:val="center"/>
                </w:tcPr>
                <w:p w:rsidR="00B17A69" w:rsidRPr="00B17A69" w:rsidRDefault="00B17A69" w:rsidP="00C67567">
                  <w:pPr>
                    <w:pStyle w:val="TableBodyText"/>
                    <w:rPr>
                      <w:color w:val="000000" w:themeColor="text1"/>
                      <w:szCs w:val="18"/>
                    </w:rPr>
                  </w:pPr>
                  <w:r w:rsidRPr="00B17A69">
                    <w:rPr>
                      <w:color w:val="000000" w:themeColor="text1"/>
                      <w:szCs w:val="18"/>
                    </w:rPr>
                    <w:t>..</w:t>
                  </w:r>
                </w:p>
              </w:tc>
              <w:tc>
                <w:tcPr>
                  <w:tcW w:w="499" w:type="pct"/>
                </w:tcPr>
                <w:p w:rsidR="00B17A69" w:rsidRPr="00B17A69" w:rsidRDefault="00B17A69" w:rsidP="00C67567">
                  <w:pPr>
                    <w:pStyle w:val="TableBodyText"/>
                    <w:rPr>
                      <w:szCs w:val="18"/>
                    </w:rPr>
                  </w:pPr>
                  <w:r w:rsidRPr="00B17A69">
                    <w:rPr>
                      <w:szCs w:val="18"/>
                    </w:rPr>
                    <w:t xml:space="preserve">  99.3</w:t>
                  </w:r>
                </w:p>
              </w:tc>
              <w:tc>
                <w:tcPr>
                  <w:tcW w:w="499" w:type="pct"/>
                  <w:vAlign w:val="center"/>
                </w:tcPr>
                <w:p w:rsidR="00B17A69" w:rsidRPr="00B17A69" w:rsidRDefault="00B17A69" w:rsidP="00C67567">
                  <w:pPr>
                    <w:pStyle w:val="TableBodyText"/>
                    <w:rPr>
                      <w:color w:val="000000" w:themeColor="text1"/>
                      <w:szCs w:val="18"/>
                    </w:rPr>
                  </w:pPr>
                  <w:r w:rsidRPr="00B17A69">
                    <w:rPr>
                      <w:color w:val="000000" w:themeColor="text1"/>
                      <w:szCs w:val="18"/>
                    </w:rPr>
                    <w:t>..</w:t>
                  </w:r>
                </w:p>
              </w:tc>
              <w:tc>
                <w:tcPr>
                  <w:tcW w:w="503" w:type="pct"/>
                </w:tcPr>
                <w:p w:rsidR="00B17A69" w:rsidRPr="00B17A69" w:rsidRDefault="00B17A69" w:rsidP="00C67567">
                  <w:pPr>
                    <w:pStyle w:val="TableBodyText"/>
                    <w:rPr>
                      <w:szCs w:val="18"/>
                    </w:rPr>
                  </w:pPr>
                  <w:r w:rsidRPr="00B17A69">
                    <w:rPr>
                      <w:szCs w:val="18"/>
                    </w:rPr>
                    <w:t xml:space="preserve">  99.9</w:t>
                  </w:r>
                </w:p>
              </w:tc>
              <w:tc>
                <w:tcPr>
                  <w:tcW w:w="580" w:type="pct"/>
                  <w:vAlign w:val="center"/>
                </w:tcPr>
                <w:p w:rsidR="00B17A69" w:rsidRPr="00B17A69" w:rsidRDefault="00B17A69" w:rsidP="00C67567">
                  <w:pPr>
                    <w:pStyle w:val="TableBodyText"/>
                    <w:rPr>
                      <w:rFonts w:cs="Arial"/>
                      <w:szCs w:val="18"/>
                    </w:rPr>
                  </w:pPr>
                  <w:r w:rsidRPr="00B17A69">
                    <w:rPr>
                      <w:rFonts w:cs="Arial"/>
                      <w:szCs w:val="18"/>
                    </w:rPr>
                    <w:t xml:space="preserve">  99.0</w:t>
                  </w:r>
                </w:p>
              </w:tc>
              <w:tc>
                <w:tcPr>
                  <w:tcW w:w="500" w:type="pct"/>
                  <w:vAlign w:val="center"/>
                </w:tcPr>
                <w:p w:rsidR="00B17A69" w:rsidRPr="00B17A69" w:rsidRDefault="00B17A69" w:rsidP="00C67567">
                  <w:pPr>
                    <w:pStyle w:val="TableBodyText"/>
                    <w:rPr>
                      <w:color w:val="000000" w:themeColor="text1"/>
                      <w:szCs w:val="18"/>
                    </w:rPr>
                  </w:pPr>
                  <w:r w:rsidRPr="00B17A69">
                    <w:rPr>
                      <w:color w:val="000000" w:themeColor="text1"/>
                      <w:szCs w:val="18"/>
                    </w:rPr>
                    <w:t>..</w:t>
                  </w:r>
                </w:p>
              </w:tc>
              <w:tc>
                <w:tcPr>
                  <w:tcW w:w="420" w:type="pct"/>
                  <w:vAlign w:val="center"/>
                </w:tcPr>
                <w:p w:rsidR="00B17A69" w:rsidRPr="00B17A69" w:rsidRDefault="00B17A69" w:rsidP="00C67567">
                  <w:pPr>
                    <w:pStyle w:val="TableBodyText"/>
                    <w:rPr>
                      <w:color w:val="000000" w:themeColor="text1"/>
                      <w:szCs w:val="18"/>
                    </w:rPr>
                  </w:pPr>
                  <w:r w:rsidRPr="00B17A69">
                    <w:rPr>
                      <w:color w:val="000000" w:themeColor="text1"/>
                      <w:szCs w:val="18"/>
                    </w:rPr>
                    <w:t>..</w:t>
                  </w:r>
                </w:p>
              </w:tc>
              <w:tc>
                <w:tcPr>
                  <w:tcW w:w="568" w:type="pct"/>
                </w:tcPr>
                <w:p w:rsidR="00B17A69" w:rsidRPr="00B17A69" w:rsidRDefault="00B17A69" w:rsidP="001E26BC">
                  <w:pPr>
                    <w:pStyle w:val="TableBodyText"/>
                    <w:rPr>
                      <w:szCs w:val="18"/>
                    </w:rPr>
                  </w:pPr>
                  <w:r w:rsidRPr="00B17A69">
                    <w:rPr>
                      <w:szCs w:val="18"/>
                    </w:rPr>
                    <w:t xml:space="preserve">  101.7</w:t>
                  </w:r>
                </w:p>
              </w:tc>
              <w:tc>
                <w:tcPr>
                  <w:tcW w:w="15" w:type="pct"/>
                </w:tcPr>
                <w:p w:rsidR="00B17A69" w:rsidRDefault="00B17A69" w:rsidP="00C67567">
                  <w:pPr>
                    <w:pStyle w:val="TableBodyText"/>
                  </w:pPr>
                </w:p>
              </w:tc>
            </w:tr>
            <w:tr w:rsidR="00EB2D01" w:rsidRPr="000E644A" w:rsidTr="00F44E27">
              <w:tc>
                <w:tcPr>
                  <w:tcW w:w="5000" w:type="pct"/>
                  <w:gridSpan w:val="11"/>
                  <w:shd w:val="clear" w:color="auto" w:fill="auto"/>
                  <w:vAlign w:val="bottom"/>
                </w:tcPr>
                <w:p w:rsidR="00EB2D01" w:rsidRPr="00462EAC" w:rsidRDefault="00EB2D01" w:rsidP="00C67567">
                  <w:pPr>
                    <w:pStyle w:val="TableBodyText"/>
                    <w:jc w:val="left"/>
                    <w:rPr>
                      <w:rStyle w:val="DraftingNote"/>
                      <w:rFonts w:asciiTheme="majorHAnsi" w:hAnsiTheme="majorHAnsi" w:cstheme="majorHAnsi"/>
                      <w:color w:val="000000" w:themeColor="text1"/>
                      <w:sz w:val="18"/>
                      <w:szCs w:val="18"/>
                    </w:rPr>
                  </w:pPr>
                  <w:r w:rsidRPr="00462EAC">
                    <w:rPr>
                      <w:rStyle w:val="TableColumnHeadingChar"/>
                      <w:rFonts w:asciiTheme="majorHAnsi" w:hAnsiTheme="majorHAnsi" w:cstheme="majorHAnsi"/>
                      <w:color w:val="000000" w:themeColor="text1"/>
                      <w:szCs w:val="18"/>
                    </w:rPr>
                    <w:t xml:space="preserve">Community housing </w:t>
                  </w:r>
                </w:p>
              </w:tc>
            </w:tr>
            <w:tr w:rsidR="007D739D" w:rsidTr="00682357">
              <w:tc>
                <w:tcPr>
                  <w:tcW w:w="500" w:type="pct"/>
                  <w:shd w:val="clear" w:color="auto" w:fill="FFFFFF" w:themeFill="background1"/>
                  <w:vAlign w:val="bottom"/>
                </w:tcPr>
                <w:p w:rsidR="007D739D" w:rsidRPr="00462EAC" w:rsidRDefault="007D739D" w:rsidP="006A603B">
                  <w:pPr>
                    <w:pStyle w:val="TableBodyText"/>
                    <w:rPr>
                      <w:color w:val="000000" w:themeColor="text1"/>
                    </w:rPr>
                  </w:pPr>
                  <w:r>
                    <w:rPr>
                      <w:color w:val="000000" w:themeColor="text1"/>
                    </w:rPr>
                    <w:t>2013</w:t>
                  </w:r>
                  <w:r>
                    <w:rPr>
                      <w:color w:val="000000" w:themeColor="text1"/>
                    </w:rPr>
                    <w:noBreakHyphen/>
                    <w:t>14</w:t>
                  </w:r>
                </w:p>
              </w:tc>
              <w:tc>
                <w:tcPr>
                  <w:tcW w:w="443" w:type="pct"/>
                  <w:shd w:val="clear" w:color="auto" w:fill="FFFFFF" w:themeFill="background1"/>
                  <w:vAlign w:val="center"/>
                </w:tcPr>
                <w:p w:rsidR="007D739D" w:rsidRPr="0022319C" w:rsidRDefault="007D739D" w:rsidP="00796335">
                  <w:pPr>
                    <w:pStyle w:val="TableBodyText"/>
                  </w:pPr>
                  <w:r w:rsidRPr="0022319C">
                    <w:t xml:space="preserve">  97.7</w:t>
                  </w:r>
                </w:p>
              </w:tc>
              <w:tc>
                <w:tcPr>
                  <w:tcW w:w="473" w:type="pct"/>
                  <w:shd w:val="clear" w:color="auto" w:fill="FFFFFF" w:themeFill="background1"/>
                  <w:vAlign w:val="center"/>
                </w:tcPr>
                <w:p w:rsidR="007D739D" w:rsidRPr="0022319C" w:rsidRDefault="007D739D" w:rsidP="00796335">
                  <w:pPr>
                    <w:pStyle w:val="TableBodyText"/>
                  </w:pPr>
                  <w:r w:rsidRPr="0022319C">
                    <w:t xml:space="preserve">  100.4</w:t>
                  </w:r>
                </w:p>
              </w:tc>
              <w:tc>
                <w:tcPr>
                  <w:tcW w:w="499" w:type="pct"/>
                  <w:shd w:val="clear" w:color="auto" w:fill="FFFFFF" w:themeFill="background1"/>
                  <w:vAlign w:val="center"/>
                </w:tcPr>
                <w:p w:rsidR="007D739D" w:rsidRPr="0022319C" w:rsidRDefault="007D739D" w:rsidP="00796335">
                  <w:pPr>
                    <w:pStyle w:val="TableBodyText"/>
                  </w:pPr>
                  <w:r w:rsidRPr="0022319C">
                    <w:t xml:space="preserve">  99.9</w:t>
                  </w:r>
                </w:p>
              </w:tc>
              <w:tc>
                <w:tcPr>
                  <w:tcW w:w="499" w:type="pct"/>
                  <w:shd w:val="clear" w:color="auto" w:fill="FFFFFF" w:themeFill="background1"/>
                  <w:vAlign w:val="center"/>
                </w:tcPr>
                <w:p w:rsidR="007D739D" w:rsidRPr="0022319C" w:rsidRDefault="007D739D" w:rsidP="00796335">
                  <w:pPr>
                    <w:pStyle w:val="TableBodyText"/>
                  </w:pPr>
                  <w:r w:rsidRPr="0022319C">
                    <w:t xml:space="preserve">  99.9</w:t>
                  </w:r>
                </w:p>
              </w:tc>
              <w:tc>
                <w:tcPr>
                  <w:tcW w:w="503" w:type="pct"/>
                  <w:shd w:val="clear" w:color="auto" w:fill="FFFFFF" w:themeFill="background1"/>
                  <w:vAlign w:val="center"/>
                </w:tcPr>
                <w:p w:rsidR="007D739D" w:rsidRPr="0022319C" w:rsidRDefault="007D739D" w:rsidP="00796335">
                  <w:pPr>
                    <w:pStyle w:val="TableBodyText"/>
                  </w:pPr>
                  <w:r w:rsidRPr="0022319C">
                    <w:t xml:space="preserve">  99.6</w:t>
                  </w:r>
                </w:p>
              </w:tc>
              <w:tc>
                <w:tcPr>
                  <w:tcW w:w="580" w:type="pct"/>
                  <w:shd w:val="clear" w:color="auto" w:fill="FFFFFF" w:themeFill="background1"/>
                  <w:vAlign w:val="center"/>
                </w:tcPr>
                <w:p w:rsidR="007D739D" w:rsidRPr="0022319C" w:rsidRDefault="007D739D" w:rsidP="00796335">
                  <w:pPr>
                    <w:pStyle w:val="TableBodyText"/>
                  </w:pPr>
                  <w:r w:rsidRPr="0022319C">
                    <w:t xml:space="preserve">  109.0</w:t>
                  </w:r>
                </w:p>
              </w:tc>
              <w:tc>
                <w:tcPr>
                  <w:tcW w:w="500" w:type="pct"/>
                  <w:shd w:val="clear" w:color="auto" w:fill="FFFFFF" w:themeFill="background1"/>
                  <w:vAlign w:val="center"/>
                </w:tcPr>
                <w:p w:rsidR="007D739D" w:rsidRPr="0022319C" w:rsidRDefault="007D739D" w:rsidP="00796335">
                  <w:pPr>
                    <w:pStyle w:val="TableBodyText"/>
                  </w:pPr>
                  <w:r w:rsidRPr="0022319C">
                    <w:t xml:space="preserve">  98.7</w:t>
                  </w:r>
                </w:p>
              </w:tc>
              <w:tc>
                <w:tcPr>
                  <w:tcW w:w="420" w:type="pct"/>
                  <w:shd w:val="clear" w:color="auto" w:fill="FFFFFF" w:themeFill="background1"/>
                  <w:vAlign w:val="center"/>
                </w:tcPr>
                <w:p w:rsidR="007D739D" w:rsidRPr="0022319C" w:rsidRDefault="007D739D" w:rsidP="00796335">
                  <w:pPr>
                    <w:pStyle w:val="TableBodyText"/>
                  </w:pPr>
                  <w:r w:rsidRPr="0022319C">
                    <w:t>na</w:t>
                  </w:r>
                </w:p>
              </w:tc>
              <w:tc>
                <w:tcPr>
                  <w:tcW w:w="568" w:type="pct"/>
                  <w:shd w:val="clear" w:color="auto" w:fill="FFFFFF" w:themeFill="background1"/>
                  <w:vAlign w:val="center"/>
                </w:tcPr>
                <w:p w:rsidR="007D739D" w:rsidRPr="0022319C" w:rsidRDefault="007D739D" w:rsidP="00796335">
                  <w:pPr>
                    <w:pStyle w:val="TableBodyText"/>
                  </w:pPr>
                  <w:r w:rsidRPr="0022319C">
                    <w:t xml:space="preserve">  99.2</w:t>
                  </w:r>
                </w:p>
              </w:tc>
              <w:tc>
                <w:tcPr>
                  <w:tcW w:w="15" w:type="pct"/>
                </w:tcPr>
                <w:p w:rsidR="007D739D" w:rsidRPr="008F2728" w:rsidRDefault="007D739D" w:rsidP="00C67567">
                  <w:pPr>
                    <w:pStyle w:val="TableBodyText"/>
                    <w:rPr>
                      <w:rStyle w:val="DraftingNote"/>
                    </w:rPr>
                  </w:pPr>
                </w:p>
              </w:tc>
            </w:tr>
            <w:tr w:rsidR="007D739D" w:rsidTr="00BC7D26">
              <w:tc>
                <w:tcPr>
                  <w:tcW w:w="500" w:type="pct"/>
                  <w:vAlign w:val="bottom"/>
                </w:tcPr>
                <w:p w:rsidR="007D739D" w:rsidRPr="00462EAC" w:rsidRDefault="007D739D" w:rsidP="006A603B">
                  <w:pPr>
                    <w:pStyle w:val="TableBodyText"/>
                    <w:rPr>
                      <w:color w:val="000000" w:themeColor="text1"/>
                    </w:rPr>
                  </w:pPr>
                  <w:r w:rsidRPr="00462EAC">
                    <w:rPr>
                      <w:color w:val="000000" w:themeColor="text1"/>
                    </w:rPr>
                    <w:t>201</w:t>
                  </w:r>
                  <w:r>
                    <w:rPr>
                      <w:color w:val="000000" w:themeColor="text1"/>
                    </w:rPr>
                    <w:t>2</w:t>
                  </w:r>
                  <w:r>
                    <w:rPr>
                      <w:color w:val="000000" w:themeColor="text1"/>
                    </w:rPr>
                    <w:noBreakHyphen/>
                    <w:t>13</w:t>
                  </w:r>
                </w:p>
              </w:tc>
              <w:tc>
                <w:tcPr>
                  <w:tcW w:w="443" w:type="pct"/>
                </w:tcPr>
                <w:p w:rsidR="007D739D" w:rsidRPr="00CA498E" w:rsidRDefault="007D739D" w:rsidP="00C67567">
                  <w:pPr>
                    <w:pStyle w:val="TableBodyText"/>
                  </w:pPr>
                  <w:r w:rsidRPr="00CA498E">
                    <w:t xml:space="preserve">  97.6</w:t>
                  </w:r>
                </w:p>
              </w:tc>
              <w:tc>
                <w:tcPr>
                  <w:tcW w:w="473" w:type="pct"/>
                </w:tcPr>
                <w:p w:rsidR="007D739D" w:rsidRPr="00CA498E" w:rsidRDefault="007D739D" w:rsidP="00C67567">
                  <w:pPr>
                    <w:pStyle w:val="TableBodyText"/>
                  </w:pPr>
                  <w:r w:rsidRPr="00CA498E">
                    <w:t xml:space="preserve">  100.3</w:t>
                  </w:r>
                </w:p>
              </w:tc>
              <w:tc>
                <w:tcPr>
                  <w:tcW w:w="499" w:type="pct"/>
                </w:tcPr>
                <w:p w:rsidR="007D739D" w:rsidRPr="00CA498E" w:rsidRDefault="007D739D" w:rsidP="00C67567">
                  <w:pPr>
                    <w:pStyle w:val="TableBodyText"/>
                  </w:pPr>
                  <w:r w:rsidRPr="00CA498E">
                    <w:t xml:space="preserve">  100.9</w:t>
                  </w:r>
                </w:p>
              </w:tc>
              <w:tc>
                <w:tcPr>
                  <w:tcW w:w="499" w:type="pct"/>
                </w:tcPr>
                <w:p w:rsidR="007D739D" w:rsidRPr="00CA498E" w:rsidRDefault="007D739D" w:rsidP="00C67567">
                  <w:pPr>
                    <w:pStyle w:val="TableBodyText"/>
                  </w:pPr>
                  <w:r w:rsidRPr="00CA498E">
                    <w:t xml:space="preserve">  101.0</w:t>
                  </w:r>
                </w:p>
              </w:tc>
              <w:tc>
                <w:tcPr>
                  <w:tcW w:w="503" w:type="pct"/>
                </w:tcPr>
                <w:p w:rsidR="007D739D" w:rsidRPr="00CA498E" w:rsidRDefault="007D739D" w:rsidP="00C67567">
                  <w:pPr>
                    <w:pStyle w:val="TableBodyText"/>
                  </w:pPr>
                  <w:r w:rsidRPr="00CA498E">
                    <w:t xml:space="preserve">  100.6</w:t>
                  </w:r>
                </w:p>
              </w:tc>
              <w:tc>
                <w:tcPr>
                  <w:tcW w:w="580" w:type="pct"/>
                </w:tcPr>
                <w:p w:rsidR="007D739D" w:rsidRPr="00CA498E" w:rsidRDefault="007D739D" w:rsidP="00C67567">
                  <w:pPr>
                    <w:pStyle w:val="TableBodyText"/>
                  </w:pPr>
                  <w:r w:rsidRPr="00CA498E">
                    <w:t xml:space="preserve">  100.9</w:t>
                  </w:r>
                </w:p>
              </w:tc>
              <w:tc>
                <w:tcPr>
                  <w:tcW w:w="500" w:type="pct"/>
                </w:tcPr>
                <w:p w:rsidR="007D739D" w:rsidRPr="00CA498E" w:rsidRDefault="007D739D" w:rsidP="00C67567">
                  <w:pPr>
                    <w:pStyle w:val="TableBodyText"/>
                  </w:pPr>
                  <w:r w:rsidRPr="00CA498E">
                    <w:t xml:space="preserve">  96.0</w:t>
                  </w:r>
                </w:p>
              </w:tc>
              <w:tc>
                <w:tcPr>
                  <w:tcW w:w="420" w:type="pct"/>
                </w:tcPr>
                <w:p w:rsidR="007D739D" w:rsidRPr="00CA498E" w:rsidRDefault="007D739D" w:rsidP="00C67567">
                  <w:pPr>
                    <w:pStyle w:val="TableBodyText"/>
                  </w:pPr>
                  <w:r w:rsidRPr="00CA498E">
                    <w:t>na</w:t>
                  </w:r>
                </w:p>
              </w:tc>
              <w:tc>
                <w:tcPr>
                  <w:tcW w:w="568" w:type="pct"/>
                </w:tcPr>
                <w:p w:rsidR="007D739D" w:rsidRPr="00613418" w:rsidRDefault="007D739D" w:rsidP="001E26BC">
                  <w:pPr>
                    <w:pStyle w:val="TableBodyText"/>
                  </w:pPr>
                  <w:r w:rsidRPr="00613418">
                    <w:t xml:space="preserve">  99.3</w:t>
                  </w:r>
                </w:p>
              </w:tc>
              <w:tc>
                <w:tcPr>
                  <w:tcW w:w="15" w:type="pct"/>
                </w:tcPr>
                <w:p w:rsidR="007D739D" w:rsidRPr="00613418" w:rsidRDefault="007D739D" w:rsidP="00C67567">
                  <w:pPr>
                    <w:pStyle w:val="TableBodyText"/>
                  </w:pPr>
                </w:p>
              </w:tc>
            </w:tr>
            <w:tr w:rsidR="007D739D" w:rsidTr="00BC7D26">
              <w:tc>
                <w:tcPr>
                  <w:tcW w:w="500" w:type="pct"/>
                  <w:vAlign w:val="bottom"/>
                </w:tcPr>
                <w:p w:rsidR="007D739D" w:rsidRPr="00462EAC" w:rsidRDefault="007D739D" w:rsidP="006A603B">
                  <w:pPr>
                    <w:pStyle w:val="TableBodyText"/>
                    <w:rPr>
                      <w:color w:val="000000" w:themeColor="text1"/>
                    </w:rPr>
                  </w:pPr>
                  <w:r>
                    <w:rPr>
                      <w:color w:val="000000" w:themeColor="text1"/>
                    </w:rPr>
                    <w:t>2011</w:t>
                  </w:r>
                  <w:r>
                    <w:rPr>
                      <w:color w:val="000000" w:themeColor="text1"/>
                    </w:rPr>
                    <w:noBreakHyphen/>
                    <w:t>12</w:t>
                  </w:r>
                </w:p>
              </w:tc>
              <w:tc>
                <w:tcPr>
                  <w:tcW w:w="443" w:type="pct"/>
                </w:tcPr>
                <w:p w:rsidR="007D739D" w:rsidRPr="00CA498E" w:rsidRDefault="007D739D" w:rsidP="00C67567">
                  <w:pPr>
                    <w:pStyle w:val="TableBodyText"/>
                  </w:pPr>
                  <w:r w:rsidRPr="00CA498E">
                    <w:t xml:space="preserve">  101.9</w:t>
                  </w:r>
                </w:p>
              </w:tc>
              <w:tc>
                <w:tcPr>
                  <w:tcW w:w="473" w:type="pct"/>
                </w:tcPr>
                <w:p w:rsidR="007D739D" w:rsidRPr="00CA498E" w:rsidRDefault="007D739D" w:rsidP="00C67567">
                  <w:pPr>
                    <w:pStyle w:val="TableBodyText"/>
                  </w:pPr>
                  <w:r w:rsidRPr="00CA498E">
                    <w:t xml:space="preserve">  98.8</w:t>
                  </w:r>
                </w:p>
              </w:tc>
              <w:tc>
                <w:tcPr>
                  <w:tcW w:w="499" w:type="pct"/>
                </w:tcPr>
                <w:p w:rsidR="007D739D" w:rsidRPr="00CA498E" w:rsidRDefault="007D739D" w:rsidP="00C67567">
                  <w:pPr>
                    <w:pStyle w:val="TableBodyText"/>
                  </w:pPr>
                  <w:r w:rsidRPr="00CA498E">
                    <w:t xml:space="preserve">  99.4</w:t>
                  </w:r>
                </w:p>
              </w:tc>
              <w:tc>
                <w:tcPr>
                  <w:tcW w:w="499" w:type="pct"/>
                </w:tcPr>
                <w:p w:rsidR="007D739D" w:rsidRPr="00CA498E" w:rsidRDefault="007D739D" w:rsidP="00C67567">
                  <w:pPr>
                    <w:pStyle w:val="TableBodyText"/>
                  </w:pPr>
                  <w:r w:rsidRPr="00CA498E">
                    <w:t xml:space="preserve">  100.1</w:t>
                  </w:r>
                </w:p>
              </w:tc>
              <w:tc>
                <w:tcPr>
                  <w:tcW w:w="503" w:type="pct"/>
                </w:tcPr>
                <w:p w:rsidR="007D739D" w:rsidRPr="00CA498E" w:rsidRDefault="007D739D" w:rsidP="00C67567">
                  <w:pPr>
                    <w:pStyle w:val="TableBodyText"/>
                  </w:pPr>
                  <w:r w:rsidRPr="00CA498E">
                    <w:t xml:space="preserve">  100.0</w:t>
                  </w:r>
                </w:p>
              </w:tc>
              <w:tc>
                <w:tcPr>
                  <w:tcW w:w="580" w:type="pct"/>
                </w:tcPr>
                <w:p w:rsidR="007D739D" w:rsidRPr="00CA498E" w:rsidRDefault="007D739D" w:rsidP="00C67567">
                  <w:pPr>
                    <w:pStyle w:val="TableBodyText"/>
                  </w:pPr>
                  <w:r w:rsidRPr="00CA498E">
                    <w:t xml:space="preserve">  102.2</w:t>
                  </w:r>
                </w:p>
              </w:tc>
              <w:tc>
                <w:tcPr>
                  <w:tcW w:w="500" w:type="pct"/>
                </w:tcPr>
                <w:p w:rsidR="007D739D" w:rsidRPr="00CA498E" w:rsidRDefault="007D739D" w:rsidP="00C67567">
                  <w:pPr>
                    <w:pStyle w:val="TableBodyText"/>
                  </w:pPr>
                  <w:r w:rsidRPr="00CA498E">
                    <w:t xml:space="preserve">  98.1</w:t>
                  </w:r>
                </w:p>
              </w:tc>
              <w:tc>
                <w:tcPr>
                  <w:tcW w:w="420" w:type="pct"/>
                </w:tcPr>
                <w:p w:rsidR="007D739D" w:rsidRPr="00CA498E" w:rsidRDefault="007D739D" w:rsidP="00C67567">
                  <w:pPr>
                    <w:pStyle w:val="TableBodyText"/>
                  </w:pPr>
                  <w:r w:rsidRPr="00CA498E">
                    <w:t>na</w:t>
                  </w:r>
                </w:p>
              </w:tc>
              <w:tc>
                <w:tcPr>
                  <w:tcW w:w="568" w:type="pct"/>
                </w:tcPr>
                <w:p w:rsidR="007D739D" w:rsidRPr="00613418" w:rsidRDefault="007D739D" w:rsidP="001E26BC">
                  <w:pPr>
                    <w:pStyle w:val="TableBodyText"/>
                  </w:pPr>
                  <w:r w:rsidRPr="00613418">
                    <w:t xml:space="preserve">  100.6</w:t>
                  </w:r>
                </w:p>
              </w:tc>
              <w:tc>
                <w:tcPr>
                  <w:tcW w:w="15" w:type="pct"/>
                </w:tcPr>
                <w:p w:rsidR="007D739D" w:rsidRPr="00613418" w:rsidRDefault="007D739D" w:rsidP="00C67567">
                  <w:pPr>
                    <w:pStyle w:val="TableBodyText"/>
                  </w:pPr>
                </w:p>
              </w:tc>
            </w:tr>
            <w:tr w:rsidR="007D739D" w:rsidTr="00BC7D26">
              <w:tc>
                <w:tcPr>
                  <w:tcW w:w="500" w:type="pct"/>
                  <w:vAlign w:val="bottom"/>
                </w:tcPr>
                <w:p w:rsidR="007D739D" w:rsidRPr="00462EAC" w:rsidRDefault="007D739D" w:rsidP="006A603B">
                  <w:pPr>
                    <w:pStyle w:val="TableBodyText"/>
                    <w:rPr>
                      <w:color w:val="000000" w:themeColor="text1"/>
                    </w:rPr>
                  </w:pPr>
                  <w:r>
                    <w:rPr>
                      <w:color w:val="000000" w:themeColor="text1"/>
                    </w:rPr>
                    <w:t>2010</w:t>
                  </w:r>
                  <w:r>
                    <w:rPr>
                      <w:color w:val="000000" w:themeColor="text1"/>
                    </w:rPr>
                    <w:noBreakHyphen/>
                    <w:t>11</w:t>
                  </w:r>
                </w:p>
              </w:tc>
              <w:tc>
                <w:tcPr>
                  <w:tcW w:w="443" w:type="pct"/>
                </w:tcPr>
                <w:p w:rsidR="007D739D" w:rsidRPr="00CA498E" w:rsidRDefault="007D739D" w:rsidP="00C67567">
                  <w:pPr>
                    <w:pStyle w:val="TableBodyText"/>
                  </w:pPr>
                  <w:r w:rsidRPr="00CA498E">
                    <w:t xml:space="preserve">  96.5</w:t>
                  </w:r>
                </w:p>
              </w:tc>
              <w:tc>
                <w:tcPr>
                  <w:tcW w:w="473" w:type="pct"/>
                </w:tcPr>
                <w:p w:rsidR="007D739D" w:rsidRPr="00CA498E" w:rsidRDefault="007D739D" w:rsidP="00C67567">
                  <w:pPr>
                    <w:pStyle w:val="TableBodyText"/>
                  </w:pPr>
                  <w:r w:rsidRPr="00CA498E">
                    <w:t xml:space="preserve">  99.2</w:t>
                  </w:r>
                </w:p>
              </w:tc>
              <w:tc>
                <w:tcPr>
                  <w:tcW w:w="499" w:type="pct"/>
                </w:tcPr>
                <w:p w:rsidR="007D739D" w:rsidRPr="00CA498E" w:rsidRDefault="007D739D" w:rsidP="00C67567">
                  <w:pPr>
                    <w:pStyle w:val="TableBodyText"/>
                  </w:pPr>
                  <w:r w:rsidRPr="00CA498E">
                    <w:t xml:space="preserve">  101.6</w:t>
                  </w:r>
                </w:p>
              </w:tc>
              <w:tc>
                <w:tcPr>
                  <w:tcW w:w="499" w:type="pct"/>
                </w:tcPr>
                <w:p w:rsidR="007D739D" w:rsidRPr="00CA498E" w:rsidRDefault="007D739D" w:rsidP="00C67567">
                  <w:pPr>
                    <w:pStyle w:val="TableBodyText"/>
                  </w:pPr>
                  <w:r w:rsidRPr="00CA498E">
                    <w:t xml:space="preserve">  99.1</w:t>
                  </w:r>
                </w:p>
              </w:tc>
              <w:tc>
                <w:tcPr>
                  <w:tcW w:w="503" w:type="pct"/>
                </w:tcPr>
                <w:p w:rsidR="007D739D" w:rsidRPr="00CA498E" w:rsidRDefault="007D739D" w:rsidP="00C67567">
                  <w:pPr>
                    <w:pStyle w:val="TableBodyText"/>
                  </w:pPr>
                  <w:r w:rsidRPr="00CA498E">
                    <w:t xml:space="preserve">  98.1</w:t>
                  </w:r>
                </w:p>
              </w:tc>
              <w:tc>
                <w:tcPr>
                  <w:tcW w:w="580" w:type="pct"/>
                </w:tcPr>
                <w:p w:rsidR="007D739D" w:rsidRPr="00CA498E" w:rsidRDefault="007D739D" w:rsidP="00C67567">
                  <w:pPr>
                    <w:pStyle w:val="TableBodyText"/>
                  </w:pPr>
                  <w:r w:rsidRPr="00CA498E">
                    <w:t>na</w:t>
                  </w:r>
                </w:p>
              </w:tc>
              <w:tc>
                <w:tcPr>
                  <w:tcW w:w="500" w:type="pct"/>
                </w:tcPr>
                <w:p w:rsidR="007D739D" w:rsidRPr="00CA498E" w:rsidRDefault="007D739D" w:rsidP="00C67567">
                  <w:pPr>
                    <w:pStyle w:val="TableBodyText"/>
                  </w:pPr>
                  <w:r w:rsidRPr="00CA498E">
                    <w:t xml:space="preserve">  99.1</w:t>
                  </w:r>
                </w:p>
              </w:tc>
              <w:tc>
                <w:tcPr>
                  <w:tcW w:w="420" w:type="pct"/>
                </w:tcPr>
                <w:p w:rsidR="007D739D" w:rsidRPr="00CA498E" w:rsidRDefault="007D739D" w:rsidP="00C67567">
                  <w:pPr>
                    <w:pStyle w:val="TableBodyText"/>
                  </w:pPr>
                  <w:r w:rsidRPr="00CA498E">
                    <w:t>na</w:t>
                  </w:r>
                </w:p>
              </w:tc>
              <w:tc>
                <w:tcPr>
                  <w:tcW w:w="568" w:type="pct"/>
                </w:tcPr>
                <w:p w:rsidR="007D739D" w:rsidRPr="00613418" w:rsidRDefault="007D739D" w:rsidP="001E26BC">
                  <w:pPr>
                    <w:pStyle w:val="TableBodyText"/>
                  </w:pPr>
                  <w:r w:rsidRPr="00613418">
                    <w:t xml:space="preserve">  97.9</w:t>
                  </w:r>
                </w:p>
              </w:tc>
              <w:tc>
                <w:tcPr>
                  <w:tcW w:w="15" w:type="pct"/>
                </w:tcPr>
                <w:p w:rsidR="007D739D" w:rsidRPr="00613418" w:rsidRDefault="007D739D" w:rsidP="00C67567">
                  <w:pPr>
                    <w:pStyle w:val="TableBodyText"/>
                  </w:pPr>
                </w:p>
              </w:tc>
            </w:tr>
            <w:tr w:rsidR="007D739D" w:rsidTr="00BC7D26">
              <w:tc>
                <w:tcPr>
                  <w:tcW w:w="500" w:type="pct"/>
                  <w:shd w:val="clear" w:color="auto" w:fill="auto"/>
                  <w:vAlign w:val="bottom"/>
                </w:tcPr>
                <w:p w:rsidR="007D739D" w:rsidRPr="00462EAC" w:rsidRDefault="007D739D" w:rsidP="00C67567">
                  <w:pPr>
                    <w:pStyle w:val="TableBodyText"/>
                    <w:rPr>
                      <w:color w:val="000000" w:themeColor="text1"/>
                    </w:rPr>
                  </w:pPr>
                  <w:r>
                    <w:rPr>
                      <w:color w:val="000000" w:themeColor="text1"/>
                    </w:rPr>
                    <w:t>2009</w:t>
                  </w:r>
                  <w:r>
                    <w:rPr>
                      <w:color w:val="000000" w:themeColor="text1"/>
                    </w:rPr>
                    <w:noBreakHyphen/>
                    <w:t>10</w:t>
                  </w:r>
                </w:p>
              </w:tc>
              <w:tc>
                <w:tcPr>
                  <w:tcW w:w="443" w:type="pct"/>
                  <w:shd w:val="clear" w:color="auto" w:fill="auto"/>
                </w:tcPr>
                <w:p w:rsidR="007D739D" w:rsidRPr="00CA498E" w:rsidRDefault="007D739D" w:rsidP="00C67567">
                  <w:pPr>
                    <w:pStyle w:val="TableBodyText"/>
                  </w:pPr>
                  <w:r w:rsidRPr="00CA498E">
                    <w:t xml:space="preserve">  96.1</w:t>
                  </w:r>
                </w:p>
              </w:tc>
              <w:tc>
                <w:tcPr>
                  <w:tcW w:w="473" w:type="pct"/>
                  <w:shd w:val="clear" w:color="auto" w:fill="auto"/>
                </w:tcPr>
                <w:p w:rsidR="007D739D" w:rsidRPr="00CA498E" w:rsidRDefault="007D739D" w:rsidP="00C67567">
                  <w:pPr>
                    <w:pStyle w:val="TableBodyText"/>
                  </w:pPr>
                  <w:r w:rsidRPr="00CA498E">
                    <w:t xml:space="preserve">  98.1</w:t>
                  </w:r>
                </w:p>
              </w:tc>
              <w:tc>
                <w:tcPr>
                  <w:tcW w:w="499" w:type="pct"/>
                  <w:shd w:val="clear" w:color="auto" w:fill="auto"/>
                </w:tcPr>
                <w:p w:rsidR="007D739D" w:rsidRPr="00CA498E" w:rsidRDefault="007D739D" w:rsidP="00C67567">
                  <w:pPr>
                    <w:pStyle w:val="TableBodyText"/>
                  </w:pPr>
                  <w:r w:rsidRPr="00CA498E">
                    <w:t xml:space="preserve">  99.3</w:t>
                  </w:r>
                </w:p>
              </w:tc>
              <w:tc>
                <w:tcPr>
                  <w:tcW w:w="499" w:type="pct"/>
                  <w:shd w:val="clear" w:color="auto" w:fill="auto"/>
                </w:tcPr>
                <w:p w:rsidR="007D739D" w:rsidRPr="00CA498E" w:rsidRDefault="007D739D" w:rsidP="00C67567">
                  <w:pPr>
                    <w:pStyle w:val="TableBodyText"/>
                  </w:pPr>
                  <w:r w:rsidRPr="00CA498E">
                    <w:t xml:space="preserve">  99.6</w:t>
                  </w:r>
                </w:p>
              </w:tc>
              <w:tc>
                <w:tcPr>
                  <w:tcW w:w="503" w:type="pct"/>
                  <w:shd w:val="clear" w:color="auto" w:fill="auto"/>
                </w:tcPr>
                <w:p w:rsidR="007D739D" w:rsidRPr="00CA498E" w:rsidRDefault="007D739D" w:rsidP="00C67567">
                  <w:pPr>
                    <w:pStyle w:val="TableBodyText"/>
                  </w:pPr>
                  <w:r w:rsidRPr="00CA498E">
                    <w:t xml:space="preserve">  99.7</w:t>
                  </w:r>
                </w:p>
              </w:tc>
              <w:tc>
                <w:tcPr>
                  <w:tcW w:w="580" w:type="pct"/>
                  <w:shd w:val="clear" w:color="auto" w:fill="auto"/>
                </w:tcPr>
                <w:p w:rsidR="007D739D" w:rsidRPr="00CA498E" w:rsidRDefault="007D739D" w:rsidP="00C67567">
                  <w:pPr>
                    <w:pStyle w:val="TableBodyText"/>
                  </w:pPr>
                  <w:r w:rsidRPr="00CA498E">
                    <w:t xml:space="preserve">  100.2</w:t>
                  </w:r>
                </w:p>
              </w:tc>
              <w:tc>
                <w:tcPr>
                  <w:tcW w:w="500" w:type="pct"/>
                  <w:shd w:val="clear" w:color="auto" w:fill="auto"/>
                </w:tcPr>
                <w:p w:rsidR="007D739D" w:rsidRPr="00CA498E" w:rsidRDefault="007D739D" w:rsidP="00C67567">
                  <w:pPr>
                    <w:pStyle w:val="TableBodyText"/>
                  </w:pPr>
                  <w:r w:rsidRPr="00CA498E">
                    <w:t xml:space="preserve">  101.6</w:t>
                  </w:r>
                </w:p>
              </w:tc>
              <w:tc>
                <w:tcPr>
                  <w:tcW w:w="420" w:type="pct"/>
                  <w:shd w:val="clear" w:color="auto" w:fill="auto"/>
                </w:tcPr>
                <w:p w:rsidR="007D739D" w:rsidRDefault="007D739D" w:rsidP="00C67567">
                  <w:pPr>
                    <w:pStyle w:val="TableBodyText"/>
                  </w:pPr>
                  <w:r w:rsidRPr="00CA498E">
                    <w:t>na</w:t>
                  </w:r>
                </w:p>
              </w:tc>
              <w:tc>
                <w:tcPr>
                  <w:tcW w:w="568" w:type="pct"/>
                  <w:shd w:val="clear" w:color="auto" w:fill="auto"/>
                </w:tcPr>
                <w:p w:rsidR="007D739D" w:rsidRDefault="007D739D" w:rsidP="001E26BC">
                  <w:pPr>
                    <w:pStyle w:val="TableBodyText"/>
                  </w:pPr>
                  <w:r w:rsidRPr="00613418">
                    <w:t xml:space="preserve">  97.7</w:t>
                  </w:r>
                </w:p>
              </w:tc>
              <w:tc>
                <w:tcPr>
                  <w:tcW w:w="15" w:type="pct"/>
                  <w:shd w:val="clear" w:color="auto" w:fill="auto"/>
                </w:tcPr>
                <w:p w:rsidR="007D739D" w:rsidRDefault="007D739D" w:rsidP="00C67567">
                  <w:pPr>
                    <w:pStyle w:val="TableBodyText"/>
                  </w:pPr>
                </w:p>
              </w:tc>
            </w:tr>
            <w:tr w:rsidR="007D739D" w:rsidRPr="000E644A" w:rsidTr="00F44E27">
              <w:tc>
                <w:tcPr>
                  <w:tcW w:w="5000" w:type="pct"/>
                  <w:gridSpan w:val="11"/>
                  <w:vAlign w:val="bottom"/>
                </w:tcPr>
                <w:p w:rsidR="007D739D" w:rsidRPr="00462EAC" w:rsidRDefault="007D739D" w:rsidP="00C67567">
                  <w:pPr>
                    <w:pStyle w:val="TableBodyText"/>
                    <w:jc w:val="left"/>
                  </w:pPr>
                  <w:proofErr w:type="spellStart"/>
                  <w:r>
                    <w:rPr>
                      <w:rStyle w:val="TableColumnHeadingChar"/>
                      <w:rFonts w:asciiTheme="majorHAnsi" w:hAnsiTheme="majorHAnsi" w:cstheme="majorHAnsi"/>
                      <w:szCs w:val="18"/>
                    </w:rPr>
                    <w:t>ICH</w:t>
                  </w:r>
                  <w:proofErr w:type="spellEnd"/>
                </w:p>
              </w:tc>
            </w:tr>
            <w:tr w:rsidR="007D739D" w:rsidTr="00BC7D26">
              <w:tc>
                <w:tcPr>
                  <w:tcW w:w="500" w:type="pct"/>
                  <w:vAlign w:val="bottom"/>
                </w:tcPr>
                <w:p w:rsidR="007D739D" w:rsidRPr="00462EAC" w:rsidRDefault="007D739D" w:rsidP="00C67567">
                  <w:pPr>
                    <w:pStyle w:val="TableBodyText"/>
                    <w:rPr>
                      <w:color w:val="000000" w:themeColor="text1"/>
                    </w:rPr>
                  </w:pPr>
                  <w:r>
                    <w:rPr>
                      <w:color w:val="000000" w:themeColor="text1"/>
                    </w:rPr>
                    <w:t>2013</w:t>
                  </w:r>
                  <w:r>
                    <w:rPr>
                      <w:color w:val="000000" w:themeColor="text1"/>
                    </w:rPr>
                    <w:noBreakHyphen/>
                    <w:t>14</w:t>
                  </w:r>
                </w:p>
              </w:tc>
              <w:tc>
                <w:tcPr>
                  <w:tcW w:w="443" w:type="pct"/>
                </w:tcPr>
                <w:p w:rsidR="007D739D" w:rsidRPr="00566791" w:rsidRDefault="007D739D" w:rsidP="00C67567">
                  <w:pPr>
                    <w:pStyle w:val="TableBodyText"/>
                  </w:pPr>
                  <w:r w:rsidRPr="00566791">
                    <w:t xml:space="preserve">  92.5</w:t>
                  </w:r>
                </w:p>
              </w:tc>
              <w:tc>
                <w:tcPr>
                  <w:tcW w:w="473" w:type="pct"/>
                </w:tcPr>
                <w:p w:rsidR="007D739D" w:rsidRPr="00566791" w:rsidRDefault="007D739D" w:rsidP="00C67567">
                  <w:pPr>
                    <w:pStyle w:val="TableBodyText"/>
                  </w:pPr>
                  <w:r w:rsidRPr="00566791">
                    <w:t xml:space="preserve">  100.1</w:t>
                  </w:r>
                </w:p>
              </w:tc>
              <w:tc>
                <w:tcPr>
                  <w:tcW w:w="499" w:type="pct"/>
                </w:tcPr>
                <w:p w:rsidR="007D739D" w:rsidRPr="00566791" w:rsidRDefault="007D739D" w:rsidP="00C67567">
                  <w:pPr>
                    <w:pStyle w:val="TableBodyText"/>
                  </w:pPr>
                  <w:r w:rsidRPr="00566791">
                    <w:t xml:space="preserve">  82.1</w:t>
                  </w:r>
                </w:p>
              </w:tc>
              <w:tc>
                <w:tcPr>
                  <w:tcW w:w="499" w:type="pct"/>
                </w:tcPr>
                <w:p w:rsidR="007D739D" w:rsidRPr="00566791" w:rsidRDefault="007D739D" w:rsidP="00C67567">
                  <w:pPr>
                    <w:pStyle w:val="TableBodyText"/>
                  </w:pPr>
                  <w:r w:rsidRPr="00566791">
                    <w:t xml:space="preserve">  89.7</w:t>
                  </w:r>
                </w:p>
              </w:tc>
              <w:tc>
                <w:tcPr>
                  <w:tcW w:w="503" w:type="pct"/>
                </w:tcPr>
                <w:p w:rsidR="007D739D" w:rsidRPr="00566791" w:rsidRDefault="007D739D" w:rsidP="00C67567">
                  <w:pPr>
                    <w:pStyle w:val="TableBodyText"/>
                  </w:pPr>
                  <w:r w:rsidRPr="00566791">
                    <w:t>na</w:t>
                  </w:r>
                </w:p>
              </w:tc>
              <w:tc>
                <w:tcPr>
                  <w:tcW w:w="580" w:type="pct"/>
                </w:tcPr>
                <w:p w:rsidR="007D739D" w:rsidRPr="00566791" w:rsidRDefault="007D739D" w:rsidP="00C67567">
                  <w:pPr>
                    <w:pStyle w:val="TableBodyText"/>
                  </w:pPr>
                  <w:r w:rsidRPr="00566791">
                    <w:t xml:space="preserve">  99.5</w:t>
                  </w:r>
                </w:p>
              </w:tc>
              <w:tc>
                <w:tcPr>
                  <w:tcW w:w="500" w:type="pct"/>
                </w:tcPr>
                <w:p w:rsidR="007D739D" w:rsidRPr="00566791" w:rsidRDefault="007D739D" w:rsidP="00C67567">
                  <w:pPr>
                    <w:pStyle w:val="TableBodyText"/>
                  </w:pPr>
                  <w:r w:rsidRPr="00566791">
                    <w:t>..</w:t>
                  </w:r>
                </w:p>
              </w:tc>
              <w:tc>
                <w:tcPr>
                  <w:tcW w:w="420" w:type="pct"/>
                </w:tcPr>
                <w:p w:rsidR="007D739D" w:rsidRPr="00566791" w:rsidRDefault="007D739D" w:rsidP="00C67567">
                  <w:pPr>
                    <w:pStyle w:val="TableBodyText"/>
                  </w:pPr>
                  <w:r w:rsidRPr="00566791">
                    <w:t>na</w:t>
                  </w:r>
                </w:p>
              </w:tc>
              <w:tc>
                <w:tcPr>
                  <w:tcW w:w="568" w:type="pct"/>
                </w:tcPr>
                <w:p w:rsidR="007D739D" w:rsidRPr="00566791" w:rsidRDefault="007D739D" w:rsidP="001E26BC">
                  <w:pPr>
                    <w:pStyle w:val="TableBodyText"/>
                  </w:pPr>
                  <w:r w:rsidRPr="00566791">
                    <w:t xml:space="preserve">  89.9</w:t>
                  </w:r>
                </w:p>
              </w:tc>
              <w:tc>
                <w:tcPr>
                  <w:tcW w:w="15" w:type="pct"/>
                </w:tcPr>
                <w:p w:rsidR="007D739D" w:rsidRPr="00566791" w:rsidRDefault="007D739D" w:rsidP="00C67567">
                  <w:pPr>
                    <w:pStyle w:val="TableBodyText"/>
                  </w:pPr>
                </w:p>
              </w:tc>
            </w:tr>
            <w:tr w:rsidR="007D739D" w:rsidTr="00BC7D26">
              <w:tc>
                <w:tcPr>
                  <w:tcW w:w="500" w:type="pct"/>
                  <w:vAlign w:val="bottom"/>
                </w:tcPr>
                <w:p w:rsidR="007D739D" w:rsidRPr="00462EAC" w:rsidRDefault="007D739D" w:rsidP="00C67567">
                  <w:pPr>
                    <w:pStyle w:val="TableBodyText"/>
                    <w:rPr>
                      <w:color w:val="000000" w:themeColor="text1"/>
                    </w:rPr>
                  </w:pPr>
                  <w:r>
                    <w:rPr>
                      <w:color w:val="000000" w:themeColor="text1"/>
                    </w:rPr>
                    <w:t>2012</w:t>
                  </w:r>
                  <w:r>
                    <w:rPr>
                      <w:color w:val="000000" w:themeColor="text1"/>
                    </w:rPr>
                    <w:noBreakHyphen/>
                    <w:t>13</w:t>
                  </w:r>
                </w:p>
              </w:tc>
              <w:tc>
                <w:tcPr>
                  <w:tcW w:w="443" w:type="pct"/>
                </w:tcPr>
                <w:p w:rsidR="007D739D" w:rsidRPr="00566791" w:rsidRDefault="007D739D" w:rsidP="00C67567">
                  <w:pPr>
                    <w:pStyle w:val="TableBodyText"/>
                  </w:pPr>
                  <w:r w:rsidRPr="00566791">
                    <w:t xml:space="preserve">  91.6</w:t>
                  </w:r>
                </w:p>
              </w:tc>
              <w:tc>
                <w:tcPr>
                  <w:tcW w:w="473" w:type="pct"/>
                </w:tcPr>
                <w:p w:rsidR="007D739D" w:rsidRPr="00566791" w:rsidRDefault="007D739D" w:rsidP="00C67567">
                  <w:pPr>
                    <w:pStyle w:val="TableBodyText"/>
                  </w:pPr>
                  <w:r w:rsidRPr="00566791">
                    <w:t xml:space="preserve">  99.8</w:t>
                  </w:r>
                </w:p>
              </w:tc>
              <w:tc>
                <w:tcPr>
                  <w:tcW w:w="499" w:type="pct"/>
                </w:tcPr>
                <w:p w:rsidR="007D739D" w:rsidRPr="00566791" w:rsidRDefault="007D739D" w:rsidP="00C67567">
                  <w:pPr>
                    <w:pStyle w:val="TableBodyText"/>
                  </w:pPr>
                  <w:r w:rsidRPr="00566791">
                    <w:t xml:space="preserve">  92.1</w:t>
                  </w:r>
                </w:p>
              </w:tc>
              <w:tc>
                <w:tcPr>
                  <w:tcW w:w="499" w:type="pct"/>
                </w:tcPr>
                <w:p w:rsidR="007D739D" w:rsidRPr="00566791" w:rsidRDefault="007D739D" w:rsidP="00C67567">
                  <w:pPr>
                    <w:pStyle w:val="TableBodyText"/>
                  </w:pPr>
                  <w:r w:rsidRPr="00566791">
                    <w:t xml:space="preserve">  88.1</w:t>
                  </w:r>
                </w:p>
              </w:tc>
              <w:tc>
                <w:tcPr>
                  <w:tcW w:w="503" w:type="pct"/>
                </w:tcPr>
                <w:p w:rsidR="007D739D" w:rsidRPr="00566791" w:rsidRDefault="007D739D" w:rsidP="00C67567">
                  <w:pPr>
                    <w:pStyle w:val="TableBodyText"/>
                  </w:pPr>
                  <w:r w:rsidRPr="00566791">
                    <w:t>na</w:t>
                  </w:r>
                </w:p>
              </w:tc>
              <w:tc>
                <w:tcPr>
                  <w:tcW w:w="580" w:type="pct"/>
                </w:tcPr>
                <w:p w:rsidR="007D739D" w:rsidRPr="00566791" w:rsidRDefault="007D739D" w:rsidP="00C67567">
                  <w:pPr>
                    <w:pStyle w:val="TableBodyText"/>
                  </w:pPr>
                  <w:r w:rsidRPr="00566791">
                    <w:t xml:space="preserve">  105.0</w:t>
                  </w:r>
                </w:p>
              </w:tc>
              <w:tc>
                <w:tcPr>
                  <w:tcW w:w="500" w:type="pct"/>
                </w:tcPr>
                <w:p w:rsidR="007D739D" w:rsidRPr="00566791" w:rsidRDefault="007D739D" w:rsidP="00C67567">
                  <w:pPr>
                    <w:pStyle w:val="TableBodyText"/>
                  </w:pPr>
                  <w:r w:rsidRPr="00566791">
                    <w:t>..</w:t>
                  </w:r>
                </w:p>
              </w:tc>
              <w:tc>
                <w:tcPr>
                  <w:tcW w:w="420" w:type="pct"/>
                </w:tcPr>
                <w:p w:rsidR="007D739D" w:rsidRPr="00566791" w:rsidRDefault="007D739D" w:rsidP="00C67567">
                  <w:pPr>
                    <w:pStyle w:val="TableBodyText"/>
                  </w:pPr>
                  <w:r w:rsidRPr="00566791">
                    <w:t xml:space="preserve">  73.6</w:t>
                  </w:r>
                </w:p>
              </w:tc>
              <w:tc>
                <w:tcPr>
                  <w:tcW w:w="568" w:type="pct"/>
                </w:tcPr>
                <w:p w:rsidR="007D739D" w:rsidRPr="00566791" w:rsidRDefault="007D739D" w:rsidP="001E26BC">
                  <w:pPr>
                    <w:pStyle w:val="TableBodyText"/>
                  </w:pPr>
                  <w:r w:rsidRPr="00566791">
                    <w:t xml:space="preserve">  92.7</w:t>
                  </w:r>
                </w:p>
              </w:tc>
              <w:tc>
                <w:tcPr>
                  <w:tcW w:w="15" w:type="pct"/>
                </w:tcPr>
                <w:p w:rsidR="007D739D" w:rsidRPr="00566791" w:rsidRDefault="007D739D" w:rsidP="00C67567">
                  <w:pPr>
                    <w:pStyle w:val="TableBodyText"/>
                  </w:pPr>
                </w:p>
              </w:tc>
            </w:tr>
            <w:tr w:rsidR="007D739D" w:rsidTr="00BC7D26">
              <w:trPr>
                <w:trHeight w:val="42"/>
              </w:trPr>
              <w:tc>
                <w:tcPr>
                  <w:tcW w:w="500" w:type="pct"/>
                  <w:vAlign w:val="bottom"/>
                </w:tcPr>
                <w:p w:rsidR="007D739D" w:rsidRPr="00462EAC" w:rsidRDefault="007D739D" w:rsidP="00C67567">
                  <w:pPr>
                    <w:pStyle w:val="TableBodyText"/>
                    <w:rPr>
                      <w:color w:val="000000" w:themeColor="text1"/>
                    </w:rPr>
                  </w:pPr>
                  <w:r>
                    <w:rPr>
                      <w:color w:val="000000" w:themeColor="text1"/>
                    </w:rPr>
                    <w:t>2011</w:t>
                  </w:r>
                  <w:r>
                    <w:rPr>
                      <w:color w:val="000000" w:themeColor="text1"/>
                    </w:rPr>
                    <w:noBreakHyphen/>
                    <w:t>12</w:t>
                  </w:r>
                </w:p>
              </w:tc>
              <w:tc>
                <w:tcPr>
                  <w:tcW w:w="443" w:type="pct"/>
                </w:tcPr>
                <w:p w:rsidR="007D739D" w:rsidRPr="00566791" w:rsidRDefault="007D739D" w:rsidP="00C67567">
                  <w:pPr>
                    <w:pStyle w:val="TableBodyText"/>
                  </w:pPr>
                  <w:r w:rsidRPr="00566791">
                    <w:t xml:space="preserve">  98.6</w:t>
                  </w:r>
                </w:p>
              </w:tc>
              <w:tc>
                <w:tcPr>
                  <w:tcW w:w="473" w:type="pct"/>
                </w:tcPr>
                <w:p w:rsidR="007D739D" w:rsidRPr="00566791" w:rsidRDefault="007D739D" w:rsidP="00C67567">
                  <w:pPr>
                    <w:pStyle w:val="TableBodyText"/>
                  </w:pPr>
                  <w:r w:rsidRPr="00566791">
                    <w:t xml:space="preserve">  101.6</w:t>
                  </w:r>
                </w:p>
              </w:tc>
              <w:tc>
                <w:tcPr>
                  <w:tcW w:w="499" w:type="pct"/>
                </w:tcPr>
                <w:p w:rsidR="007D739D" w:rsidRPr="00566791" w:rsidRDefault="007D739D" w:rsidP="00C67567">
                  <w:pPr>
                    <w:pStyle w:val="TableBodyText"/>
                  </w:pPr>
                  <w:r w:rsidRPr="00566791">
                    <w:t xml:space="preserve">  94.6</w:t>
                  </w:r>
                </w:p>
              </w:tc>
              <w:tc>
                <w:tcPr>
                  <w:tcW w:w="499" w:type="pct"/>
                </w:tcPr>
                <w:p w:rsidR="007D739D" w:rsidRPr="00566791" w:rsidRDefault="007D739D" w:rsidP="00C67567">
                  <w:pPr>
                    <w:pStyle w:val="TableBodyText"/>
                  </w:pPr>
                  <w:r w:rsidRPr="00566791">
                    <w:t xml:space="preserve">  78.8</w:t>
                  </w:r>
                </w:p>
              </w:tc>
              <w:tc>
                <w:tcPr>
                  <w:tcW w:w="503" w:type="pct"/>
                </w:tcPr>
                <w:p w:rsidR="007D739D" w:rsidRPr="00566791" w:rsidRDefault="007D739D" w:rsidP="00C67567">
                  <w:pPr>
                    <w:pStyle w:val="TableBodyText"/>
                  </w:pPr>
                  <w:r w:rsidRPr="00566791">
                    <w:t>na</w:t>
                  </w:r>
                </w:p>
              </w:tc>
              <w:tc>
                <w:tcPr>
                  <w:tcW w:w="580" w:type="pct"/>
                </w:tcPr>
                <w:p w:rsidR="007D739D" w:rsidRPr="00566791" w:rsidRDefault="007D739D" w:rsidP="00C67567">
                  <w:pPr>
                    <w:pStyle w:val="TableBodyText"/>
                  </w:pPr>
                  <w:r w:rsidRPr="00566791">
                    <w:t xml:space="preserve">  100.5</w:t>
                  </w:r>
                </w:p>
              </w:tc>
              <w:tc>
                <w:tcPr>
                  <w:tcW w:w="500" w:type="pct"/>
                </w:tcPr>
                <w:p w:rsidR="007D739D" w:rsidRPr="00566791" w:rsidRDefault="007D739D" w:rsidP="00C67567">
                  <w:pPr>
                    <w:pStyle w:val="TableBodyText"/>
                  </w:pPr>
                  <w:r w:rsidRPr="00566791">
                    <w:t>na</w:t>
                  </w:r>
                </w:p>
              </w:tc>
              <w:tc>
                <w:tcPr>
                  <w:tcW w:w="420" w:type="pct"/>
                </w:tcPr>
                <w:p w:rsidR="007D739D" w:rsidRPr="00566791" w:rsidRDefault="007D739D" w:rsidP="00C67567">
                  <w:pPr>
                    <w:pStyle w:val="TableBodyText"/>
                  </w:pPr>
                  <w:r w:rsidRPr="00566791">
                    <w:t xml:space="preserve">  81.3</w:t>
                  </w:r>
                </w:p>
              </w:tc>
              <w:tc>
                <w:tcPr>
                  <w:tcW w:w="568" w:type="pct"/>
                </w:tcPr>
                <w:p w:rsidR="007D739D" w:rsidRPr="00566791" w:rsidRDefault="007D739D" w:rsidP="001E26BC">
                  <w:pPr>
                    <w:pStyle w:val="TableBodyText"/>
                  </w:pPr>
                  <w:r w:rsidRPr="00566791">
                    <w:t xml:space="preserve">  94.9</w:t>
                  </w:r>
                </w:p>
              </w:tc>
              <w:tc>
                <w:tcPr>
                  <w:tcW w:w="15" w:type="pct"/>
                </w:tcPr>
                <w:p w:rsidR="007D739D" w:rsidRPr="00566791" w:rsidRDefault="007D739D" w:rsidP="00C67567">
                  <w:pPr>
                    <w:pStyle w:val="TableBodyText"/>
                  </w:pPr>
                </w:p>
              </w:tc>
            </w:tr>
            <w:tr w:rsidR="007D739D" w:rsidTr="00BC7D26">
              <w:tc>
                <w:tcPr>
                  <w:tcW w:w="500" w:type="pct"/>
                  <w:shd w:val="clear" w:color="auto" w:fill="auto"/>
                  <w:vAlign w:val="bottom"/>
                </w:tcPr>
                <w:p w:rsidR="007D739D" w:rsidRPr="00462EAC" w:rsidRDefault="007D739D" w:rsidP="00C67567">
                  <w:pPr>
                    <w:pStyle w:val="TableBodyText"/>
                    <w:rPr>
                      <w:color w:val="000000" w:themeColor="text1"/>
                    </w:rPr>
                  </w:pPr>
                  <w:r>
                    <w:rPr>
                      <w:color w:val="000000" w:themeColor="text1"/>
                    </w:rPr>
                    <w:t>2010</w:t>
                  </w:r>
                  <w:r>
                    <w:rPr>
                      <w:color w:val="000000" w:themeColor="text1"/>
                    </w:rPr>
                    <w:noBreakHyphen/>
                    <w:t>11</w:t>
                  </w:r>
                </w:p>
              </w:tc>
              <w:tc>
                <w:tcPr>
                  <w:tcW w:w="443" w:type="pct"/>
                  <w:shd w:val="clear" w:color="auto" w:fill="auto"/>
                </w:tcPr>
                <w:p w:rsidR="007D739D" w:rsidRPr="00566791" w:rsidRDefault="007D739D" w:rsidP="00C67567">
                  <w:pPr>
                    <w:pStyle w:val="TableBodyText"/>
                  </w:pPr>
                  <w:r w:rsidRPr="00566791">
                    <w:t xml:space="preserve">  100.7</w:t>
                  </w:r>
                </w:p>
              </w:tc>
              <w:tc>
                <w:tcPr>
                  <w:tcW w:w="473" w:type="pct"/>
                </w:tcPr>
                <w:p w:rsidR="007D739D" w:rsidRPr="00566791" w:rsidRDefault="007D739D" w:rsidP="00C67567">
                  <w:pPr>
                    <w:pStyle w:val="TableBodyText"/>
                  </w:pPr>
                  <w:r w:rsidRPr="00566791">
                    <w:t xml:space="preserve">  100.1</w:t>
                  </w:r>
                </w:p>
              </w:tc>
              <w:tc>
                <w:tcPr>
                  <w:tcW w:w="499" w:type="pct"/>
                </w:tcPr>
                <w:p w:rsidR="007D739D" w:rsidRPr="00566791" w:rsidRDefault="007D739D" w:rsidP="00C67567">
                  <w:pPr>
                    <w:pStyle w:val="TableBodyText"/>
                  </w:pPr>
                  <w:r w:rsidRPr="00566791">
                    <w:t xml:space="preserve">  93.0</w:t>
                  </w:r>
                </w:p>
              </w:tc>
              <w:tc>
                <w:tcPr>
                  <w:tcW w:w="499" w:type="pct"/>
                </w:tcPr>
                <w:p w:rsidR="007D739D" w:rsidRPr="00566791" w:rsidRDefault="007D739D" w:rsidP="00C67567">
                  <w:pPr>
                    <w:pStyle w:val="TableBodyText"/>
                  </w:pPr>
                  <w:r w:rsidRPr="00566791">
                    <w:t xml:space="preserve">  88.7</w:t>
                  </w:r>
                </w:p>
              </w:tc>
              <w:tc>
                <w:tcPr>
                  <w:tcW w:w="503" w:type="pct"/>
                </w:tcPr>
                <w:p w:rsidR="007D739D" w:rsidRPr="00566791" w:rsidRDefault="007D739D" w:rsidP="00C67567">
                  <w:pPr>
                    <w:pStyle w:val="TableBodyText"/>
                  </w:pPr>
                  <w:r w:rsidRPr="00566791">
                    <w:t>na</w:t>
                  </w:r>
                </w:p>
              </w:tc>
              <w:tc>
                <w:tcPr>
                  <w:tcW w:w="580" w:type="pct"/>
                </w:tcPr>
                <w:p w:rsidR="007D739D" w:rsidRPr="00566791" w:rsidRDefault="007D739D" w:rsidP="00C67567">
                  <w:pPr>
                    <w:pStyle w:val="TableBodyText"/>
                  </w:pPr>
                  <w:r w:rsidRPr="00566791">
                    <w:t xml:space="preserve">  98.2</w:t>
                  </w:r>
                </w:p>
              </w:tc>
              <w:tc>
                <w:tcPr>
                  <w:tcW w:w="500" w:type="pct"/>
                </w:tcPr>
                <w:p w:rsidR="007D739D" w:rsidRPr="00566791" w:rsidRDefault="007D739D" w:rsidP="00C67567">
                  <w:pPr>
                    <w:pStyle w:val="TableBodyText"/>
                  </w:pPr>
                  <w:r w:rsidRPr="00566791">
                    <w:t>na</w:t>
                  </w:r>
                </w:p>
              </w:tc>
              <w:tc>
                <w:tcPr>
                  <w:tcW w:w="420" w:type="pct"/>
                </w:tcPr>
                <w:p w:rsidR="007D739D" w:rsidRPr="00566791" w:rsidRDefault="007D739D" w:rsidP="00C67567">
                  <w:pPr>
                    <w:pStyle w:val="TableBodyText"/>
                  </w:pPr>
                  <w:r w:rsidRPr="00566791">
                    <w:t xml:space="preserve">  71.2</w:t>
                  </w:r>
                </w:p>
              </w:tc>
              <w:tc>
                <w:tcPr>
                  <w:tcW w:w="568" w:type="pct"/>
                </w:tcPr>
                <w:p w:rsidR="007D739D" w:rsidRPr="00566791" w:rsidRDefault="007D739D" w:rsidP="001E26BC">
                  <w:pPr>
                    <w:pStyle w:val="TableBodyText"/>
                  </w:pPr>
                  <w:r w:rsidRPr="00566791">
                    <w:t xml:space="preserve">  94.9</w:t>
                  </w:r>
                </w:p>
              </w:tc>
              <w:tc>
                <w:tcPr>
                  <w:tcW w:w="15" w:type="pct"/>
                  <w:shd w:val="clear" w:color="auto" w:fill="auto"/>
                </w:tcPr>
                <w:p w:rsidR="007D739D" w:rsidRPr="00566791" w:rsidRDefault="007D739D" w:rsidP="00C67567">
                  <w:pPr>
                    <w:pStyle w:val="TableBodyText"/>
                  </w:pPr>
                </w:p>
              </w:tc>
            </w:tr>
            <w:tr w:rsidR="007D739D" w:rsidRPr="007F75B8" w:rsidTr="00BC7D26">
              <w:tc>
                <w:tcPr>
                  <w:tcW w:w="500" w:type="pct"/>
                  <w:tcBorders>
                    <w:bottom w:val="single" w:sz="4" w:space="0" w:color="BFBFBF" w:themeColor="background2"/>
                  </w:tcBorders>
                  <w:shd w:val="clear" w:color="auto" w:fill="auto"/>
                  <w:vAlign w:val="bottom"/>
                </w:tcPr>
                <w:p w:rsidR="007D739D" w:rsidRPr="00462EAC" w:rsidRDefault="007D739D" w:rsidP="00C67567">
                  <w:pPr>
                    <w:pStyle w:val="TableBodyText"/>
                    <w:rPr>
                      <w:color w:val="000000" w:themeColor="text1"/>
                    </w:rPr>
                  </w:pPr>
                  <w:r>
                    <w:rPr>
                      <w:color w:val="000000" w:themeColor="text1"/>
                    </w:rPr>
                    <w:t>2009</w:t>
                  </w:r>
                  <w:r>
                    <w:rPr>
                      <w:color w:val="000000" w:themeColor="text1"/>
                    </w:rPr>
                    <w:noBreakHyphen/>
                    <w:t>10</w:t>
                  </w:r>
                </w:p>
              </w:tc>
              <w:tc>
                <w:tcPr>
                  <w:tcW w:w="443" w:type="pct"/>
                  <w:tcBorders>
                    <w:bottom w:val="single" w:sz="4" w:space="0" w:color="BFBFBF" w:themeColor="background2"/>
                  </w:tcBorders>
                  <w:shd w:val="clear" w:color="auto" w:fill="auto"/>
                </w:tcPr>
                <w:p w:rsidR="007D739D" w:rsidRPr="00566791" w:rsidRDefault="007D739D" w:rsidP="00C67567">
                  <w:pPr>
                    <w:pStyle w:val="TableBodyText"/>
                  </w:pPr>
                  <w:r w:rsidRPr="00566791">
                    <w:t xml:space="preserve">  90.3</w:t>
                  </w:r>
                </w:p>
              </w:tc>
              <w:tc>
                <w:tcPr>
                  <w:tcW w:w="473" w:type="pct"/>
                  <w:tcBorders>
                    <w:bottom w:val="single" w:sz="4" w:space="0" w:color="BFBFBF" w:themeColor="background2"/>
                  </w:tcBorders>
                </w:tcPr>
                <w:p w:rsidR="007D739D" w:rsidRPr="00566791" w:rsidRDefault="007D739D" w:rsidP="00C67567">
                  <w:pPr>
                    <w:pStyle w:val="TableBodyText"/>
                  </w:pPr>
                  <w:r w:rsidRPr="00566791">
                    <w:t xml:space="preserve">  92.3</w:t>
                  </w:r>
                </w:p>
              </w:tc>
              <w:tc>
                <w:tcPr>
                  <w:tcW w:w="499" w:type="pct"/>
                  <w:tcBorders>
                    <w:bottom w:val="single" w:sz="4" w:space="0" w:color="BFBFBF" w:themeColor="background2"/>
                  </w:tcBorders>
                </w:tcPr>
                <w:p w:rsidR="007D739D" w:rsidRPr="00566791" w:rsidRDefault="007D739D" w:rsidP="00C67567">
                  <w:pPr>
                    <w:pStyle w:val="TableBodyText"/>
                  </w:pPr>
                  <w:r w:rsidRPr="00566791">
                    <w:t xml:space="preserve">  83.5</w:t>
                  </w:r>
                </w:p>
              </w:tc>
              <w:tc>
                <w:tcPr>
                  <w:tcW w:w="499" w:type="pct"/>
                  <w:tcBorders>
                    <w:bottom w:val="single" w:sz="4" w:space="0" w:color="BFBFBF" w:themeColor="background2"/>
                  </w:tcBorders>
                </w:tcPr>
                <w:p w:rsidR="007D739D" w:rsidRPr="00566791" w:rsidRDefault="007D739D" w:rsidP="00C67567">
                  <w:pPr>
                    <w:pStyle w:val="TableBodyText"/>
                  </w:pPr>
                  <w:r w:rsidRPr="00566791">
                    <w:t xml:space="preserve">  84.7</w:t>
                  </w:r>
                </w:p>
              </w:tc>
              <w:tc>
                <w:tcPr>
                  <w:tcW w:w="503" w:type="pct"/>
                  <w:tcBorders>
                    <w:bottom w:val="single" w:sz="4" w:space="0" w:color="BFBFBF" w:themeColor="background2"/>
                  </w:tcBorders>
                </w:tcPr>
                <w:p w:rsidR="007D739D" w:rsidRPr="00566791" w:rsidRDefault="007D739D" w:rsidP="00C67567">
                  <w:pPr>
                    <w:pStyle w:val="TableBodyText"/>
                  </w:pPr>
                  <w:r w:rsidRPr="00566791">
                    <w:t>na</w:t>
                  </w:r>
                </w:p>
              </w:tc>
              <w:tc>
                <w:tcPr>
                  <w:tcW w:w="580" w:type="pct"/>
                  <w:tcBorders>
                    <w:bottom w:val="single" w:sz="4" w:space="0" w:color="BFBFBF" w:themeColor="background2"/>
                  </w:tcBorders>
                </w:tcPr>
                <w:p w:rsidR="007D739D" w:rsidRPr="00566791" w:rsidRDefault="007D739D" w:rsidP="00C67567">
                  <w:pPr>
                    <w:pStyle w:val="TableBodyText"/>
                  </w:pPr>
                  <w:r w:rsidRPr="00566791">
                    <w:t xml:space="preserve">  97.0</w:t>
                  </w:r>
                </w:p>
              </w:tc>
              <w:tc>
                <w:tcPr>
                  <w:tcW w:w="500" w:type="pct"/>
                  <w:tcBorders>
                    <w:bottom w:val="single" w:sz="4" w:space="0" w:color="BFBFBF" w:themeColor="background2"/>
                  </w:tcBorders>
                </w:tcPr>
                <w:p w:rsidR="007D739D" w:rsidRPr="00566791" w:rsidRDefault="007D739D" w:rsidP="00C67567">
                  <w:pPr>
                    <w:pStyle w:val="TableBodyText"/>
                  </w:pPr>
                  <w:r w:rsidRPr="00566791">
                    <w:t>na</w:t>
                  </w:r>
                </w:p>
              </w:tc>
              <w:tc>
                <w:tcPr>
                  <w:tcW w:w="420" w:type="pct"/>
                  <w:tcBorders>
                    <w:bottom w:val="single" w:sz="4" w:space="0" w:color="BFBFBF" w:themeColor="background2"/>
                  </w:tcBorders>
                </w:tcPr>
                <w:p w:rsidR="007D739D" w:rsidRPr="00566791" w:rsidRDefault="007D739D" w:rsidP="00C67567">
                  <w:pPr>
                    <w:pStyle w:val="TableBodyText"/>
                  </w:pPr>
                  <w:r w:rsidRPr="00566791">
                    <w:t xml:space="preserve">  93.6</w:t>
                  </w:r>
                </w:p>
              </w:tc>
              <w:tc>
                <w:tcPr>
                  <w:tcW w:w="568" w:type="pct"/>
                  <w:tcBorders>
                    <w:bottom w:val="single" w:sz="4" w:space="0" w:color="BFBFBF" w:themeColor="background2"/>
                  </w:tcBorders>
                </w:tcPr>
                <w:p w:rsidR="007D739D" w:rsidRDefault="007D739D" w:rsidP="001E26BC">
                  <w:pPr>
                    <w:pStyle w:val="TableBodyText"/>
                  </w:pPr>
                  <w:r w:rsidRPr="00566791">
                    <w:t xml:space="preserve">  88.1</w:t>
                  </w:r>
                </w:p>
              </w:tc>
              <w:tc>
                <w:tcPr>
                  <w:tcW w:w="15" w:type="pct"/>
                  <w:tcBorders>
                    <w:bottom w:val="single" w:sz="4" w:space="0" w:color="BFBFBF" w:themeColor="background2"/>
                  </w:tcBorders>
                  <w:shd w:val="clear" w:color="auto" w:fill="auto"/>
                </w:tcPr>
                <w:p w:rsidR="007D739D" w:rsidRDefault="007D739D" w:rsidP="00C67567">
                  <w:pPr>
                    <w:pStyle w:val="TableBodyText"/>
                  </w:pPr>
                </w:p>
              </w:tc>
            </w:tr>
          </w:tbl>
          <w:p w:rsidR="000E644A" w:rsidRDefault="000E644A" w:rsidP="00334F07">
            <w:pPr>
              <w:pStyle w:val="Box"/>
            </w:pPr>
          </w:p>
        </w:tc>
      </w:tr>
      <w:tr w:rsidR="000E644A" w:rsidTr="00F44E27">
        <w:trPr>
          <w:cantSplit/>
        </w:trPr>
        <w:tc>
          <w:tcPr>
            <w:tcW w:w="5000" w:type="pct"/>
            <w:tcBorders>
              <w:top w:val="nil"/>
              <w:left w:val="nil"/>
              <w:bottom w:val="nil"/>
              <w:right w:val="nil"/>
            </w:tcBorders>
            <w:shd w:val="clear" w:color="auto" w:fill="auto"/>
          </w:tcPr>
          <w:p w:rsidR="000E644A" w:rsidRDefault="000E644A" w:rsidP="007D739D">
            <w:pPr>
              <w:pStyle w:val="Note"/>
              <w:rPr>
                <w:i/>
              </w:rPr>
            </w:pPr>
            <w:r w:rsidRPr="008E77FE">
              <w:rPr>
                <w:rStyle w:val="NoteLabel"/>
              </w:rPr>
              <w:t>a</w:t>
            </w:r>
            <w:r>
              <w:t xml:space="preserve"> </w:t>
            </w:r>
            <w:r w:rsidR="00451C44">
              <w:t>See box</w:t>
            </w:r>
            <w:r w:rsidR="007D1214">
              <w:t> </w:t>
            </w:r>
            <w:r w:rsidR="00451C44">
              <w:t>17.12</w:t>
            </w:r>
            <w:r w:rsidR="004E0E39">
              <w:t xml:space="preserve"> and </w:t>
            </w:r>
            <w:proofErr w:type="spellStart"/>
            <w:r w:rsidR="004E0E39">
              <w:t>17A.30</w:t>
            </w:r>
            <w:proofErr w:type="spellEnd"/>
            <w:r w:rsidR="0020345F">
              <w:t>–</w:t>
            </w:r>
            <w:r w:rsidR="004E0E39">
              <w:t xml:space="preserve">33 </w:t>
            </w:r>
            <w:r w:rsidR="00AC0EFD">
              <w:t>for detailed definitions, footnotes and caveats.</w:t>
            </w:r>
            <w:r w:rsidR="00406A64">
              <w:t xml:space="preserve">. </w:t>
            </w:r>
            <w:r w:rsidRPr="008D04B2">
              <w:rPr>
                <w:b/>
              </w:rPr>
              <w:t>na</w:t>
            </w:r>
            <w:r w:rsidRPr="00406A64">
              <w:t xml:space="preserve"> Not available. </w:t>
            </w:r>
            <w:r w:rsidRPr="007D739D">
              <w:t>..</w:t>
            </w:r>
            <w:r w:rsidR="007D739D">
              <w:t> </w:t>
            </w:r>
            <w:r w:rsidRPr="00406A64">
              <w:t>Not</w:t>
            </w:r>
            <w:r w:rsidR="007D739D">
              <w:t> </w:t>
            </w:r>
            <w:r w:rsidRPr="00406A64">
              <w:t>applicable.</w:t>
            </w:r>
          </w:p>
        </w:tc>
      </w:tr>
      <w:tr w:rsidR="000E644A" w:rsidTr="00F44E27">
        <w:trPr>
          <w:cantSplit/>
        </w:trPr>
        <w:tc>
          <w:tcPr>
            <w:tcW w:w="5000" w:type="pct"/>
            <w:tcBorders>
              <w:top w:val="nil"/>
              <w:left w:val="nil"/>
              <w:bottom w:val="nil"/>
              <w:right w:val="nil"/>
            </w:tcBorders>
            <w:shd w:val="clear" w:color="auto" w:fill="auto"/>
          </w:tcPr>
          <w:p w:rsidR="000E644A" w:rsidRDefault="000E644A" w:rsidP="00AC0EFD">
            <w:pPr>
              <w:pStyle w:val="Source"/>
            </w:pPr>
            <w:r>
              <w:rPr>
                <w:i/>
              </w:rPr>
              <w:t xml:space="preserve">Source: </w:t>
            </w:r>
            <w:r w:rsidRPr="000E644A">
              <w:t xml:space="preserve">State and Territory Governments (unpublished); </w:t>
            </w:r>
            <w:r w:rsidR="0078599A" w:rsidRPr="0078599A">
              <w:t xml:space="preserve">AIHW (unpublished) </w:t>
            </w:r>
            <w:r w:rsidR="00334274" w:rsidRPr="00D0217C">
              <w:t>National Housing Assistance Data Repository</w:t>
            </w:r>
            <w:r w:rsidR="00125CD4" w:rsidRPr="00D0217C">
              <w:t>;</w:t>
            </w:r>
            <w:r w:rsidR="00125CD4">
              <w:rPr>
                <w:i/>
              </w:rPr>
              <w:t xml:space="preserve"> </w:t>
            </w:r>
            <w:r w:rsidR="00125CD4" w:rsidRPr="00125CD4">
              <w:t>tables</w:t>
            </w:r>
            <w:r w:rsidR="007D1214">
              <w:t> </w:t>
            </w:r>
            <w:proofErr w:type="spellStart"/>
            <w:r w:rsidR="00125CD4" w:rsidRPr="00125CD4">
              <w:t>17A.30</w:t>
            </w:r>
            <w:proofErr w:type="spellEnd"/>
            <w:r w:rsidR="0020345F">
              <w:t>–</w:t>
            </w:r>
            <w:r w:rsidR="00125CD4" w:rsidRPr="00125CD4">
              <w:t>33</w:t>
            </w:r>
            <w:r w:rsidRPr="00125CD4">
              <w:t>.</w:t>
            </w:r>
          </w:p>
        </w:tc>
      </w:tr>
      <w:tr w:rsidR="000E644A" w:rsidTr="00F44E27">
        <w:trPr>
          <w:cantSplit/>
        </w:trPr>
        <w:tc>
          <w:tcPr>
            <w:tcW w:w="5000" w:type="pct"/>
            <w:tcBorders>
              <w:top w:val="nil"/>
              <w:left w:val="nil"/>
              <w:bottom w:val="single" w:sz="6" w:space="0" w:color="78A22F" w:themeColor="accent1"/>
              <w:right w:val="nil"/>
            </w:tcBorders>
            <w:shd w:val="clear" w:color="auto" w:fill="auto"/>
          </w:tcPr>
          <w:p w:rsidR="000E644A" w:rsidRDefault="000E644A" w:rsidP="00334F07">
            <w:pPr>
              <w:pStyle w:val="Box"/>
              <w:spacing w:before="0" w:line="120" w:lineRule="exact"/>
            </w:pPr>
          </w:p>
        </w:tc>
      </w:tr>
      <w:tr w:rsidR="000E644A" w:rsidRPr="000863A5" w:rsidTr="00F44E27">
        <w:trPr>
          <w:hidden/>
        </w:trPr>
        <w:tc>
          <w:tcPr>
            <w:tcW w:w="5000" w:type="pct"/>
            <w:tcBorders>
              <w:top w:val="single" w:sz="6" w:space="0" w:color="78A22F" w:themeColor="accent1"/>
              <w:left w:val="nil"/>
              <w:bottom w:val="nil"/>
              <w:right w:val="nil"/>
            </w:tcBorders>
          </w:tcPr>
          <w:p w:rsidR="006C4B07" w:rsidRPr="006C4B07" w:rsidRDefault="006C4B07" w:rsidP="00334F07">
            <w:pPr>
              <w:pStyle w:val="BoxSpaceBelow"/>
              <w:rPr>
                <w:rFonts w:ascii="Times New Roman" w:hAnsi="Times New Roman"/>
                <w:b/>
                <w:vanish/>
                <w:color w:val="FF00FF"/>
              </w:rPr>
            </w:pPr>
          </w:p>
        </w:tc>
      </w:tr>
    </w:tbl>
    <w:p w:rsidR="007D38F4" w:rsidRPr="00457EC9" w:rsidRDefault="006C4B07" w:rsidP="00EF682F">
      <w:pPr>
        <w:pStyle w:val="Heading3"/>
        <w:spacing w:before="400"/>
      </w:pPr>
      <w:r w:rsidRPr="00457EC9">
        <w:t>O</w:t>
      </w:r>
      <w:r w:rsidR="007D38F4" w:rsidRPr="00457EC9">
        <w:t>utcomes</w:t>
      </w:r>
    </w:p>
    <w:p w:rsidR="007D38F4" w:rsidRDefault="007D38F4" w:rsidP="007D38F4">
      <w:pPr>
        <w:pStyle w:val="BodyText"/>
      </w:pPr>
      <w:r>
        <w:t>Outcomes are the impact of services on the status of an individual or group (see chapter</w:t>
      </w:r>
      <w:r w:rsidR="007D1214">
        <w:t> </w:t>
      </w:r>
      <w:r>
        <w:t>1, section</w:t>
      </w:r>
      <w:r w:rsidR="007D1214">
        <w:t> </w:t>
      </w:r>
      <w:r>
        <w:t>1.5).</w:t>
      </w:r>
    </w:p>
    <w:p w:rsidR="007D38F4" w:rsidRPr="00E66BE3" w:rsidRDefault="007D38F4" w:rsidP="00EF682F">
      <w:pPr>
        <w:pStyle w:val="Heading4"/>
        <w:spacing w:before="400"/>
      </w:pPr>
      <w:r w:rsidRPr="00E66BE3">
        <w:t>Amenity/location</w:t>
      </w:r>
    </w:p>
    <w:p w:rsidR="00125CD4" w:rsidRDefault="007D38F4" w:rsidP="00E66BE3">
      <w:pPr>
        <w:pStyle w:val="BodyText"/>
        <w:spacing w:after="240"/>
      </w:pPr>
      <w:r>
        <w:t>‘Amenity/location’ is an indicator of governments’ objective to provide housing assistance that is appropriate to the needs of different households (box</w:t>
      </w:r>
      <w:r w:rsidR="007D1214">
        <w:t> </w:t>
      </w:r>
      <w:r w:rsidR="00463387">
        <w:t>17.</w:t>
      </w:r>
      <w:r w:rsidR="00451C44">
        <w:t>13</w:t>
      </w:r>
      <w:r>
        <w:t>).</w:t>
      </w:r>
      <w:r w:rsidR="00201D3F" w:rsidRPr="00201D3F">
        <w:t xml:space="preserve"> </w:t>
      </w:r>
    </w:p>
    <w:p w:rsidR="00061C68" w:rsidRDefault="00201D3F" w:rsidP="00E66BE3">
      <w:pPr>
        <w:pStyle w:val="BodyText"/>
        <w:spacing w:after="240"/>
      </w:pPr>
      <w:r>
        <w:t xml:space="preserve">Data for amenity/location are sourced from the </w:t>
      </w:r>
      <w:proofErr w:type="spellStart"/>
      <w:r>
        <w:t>NSHS</w:t>
      </w:r>
      <w:proofErr w:type="spellEnd"/>
      <w:r>
        <w:t xml:space="preserve">, </w:t>
      </w:r>
      <w:r w:rsidRPr="00000249">
        <w:t xml:space="preserve">which </w:t>
      </w:r>
      <w:r>
        <w:t xml:space="preserve">measures tenants’ level of satisfaction with services provided by their housing service provider. Public housing, </w:t>
      </w:r>
      <w:bookmarkStart w:id="20" w:name="_GoBack"/>
      <w:bookmarkEnd w:id="20"/>
      <w:r>
        <w:t xml:space="preserve">SOMIH and community housing tenants were asked whether particular aspects of the </w:t>
      </w:r>
      <w:r>
        <w:lastRenderedPageBreak/>
        <w:t xml:space="preserve">amenity and location of their dwellings were important to them and, if so, whether they felt their needs were met. </w:t>
      </w:r>
      <w:r w:rsidR="00C40B3F">
        <w:t>Confidence interval</w:t>
      </w:r>
      <w:r w:rsidR="0090458C">
        <w:t>s</w:t>
      </w:r>
      <w:r w:rsidR="00C40B3F">
        <w:t xml:space="preserve"> and relative standard errors should be considered when interpreting </w:t>
      </w:r>
      <w:proofErr w:type="spellStart"/>
      <w:r w:rsidR="00C40B3F">
        <w:t>NSHS</w:t>
      </w:r>
      <w:proofErr w:type="spellEnd"/>
      <w:r w:rsidR="00C40B3F">
        <w:t xml:space="preserve"> results (tables</w:t>
      </w:r>
      <w:r w:rsidR="007D1214">
        <w:t> </w:t>
      </w:r>
      <w:proofErr w:type="spellStart"/>
      <w:r w:rsidR="00C40B3F" w:rsidRPr="007323F3">
        <w:t>17A.34</w:t>
      </w:r>
      <w:proofErr w:type="spellEnd"/>
      <w:r w:rsidR="00C40B3F" w:rsidRPr="007323F3">
        <w:t>–39).</w:t>
      </w:r>
    </w:p>
    <w:p w:rsidR="00E66BE3" w:rsidRDefault="00E66BE3">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E66BE3" w:rsidTr="00F44E27">
        <w:tc>
          <w:tcPr>
            <w:tcW w:w="5000" w:type="pct"/>
            <w:tcBorders>
              <w:top w:val="single" w:sz="6" w:space="0" w:color="78A22F"/>
              <w:left w:val="nil"/>
              <w:bottom w:val="nil"/>
              <w:right w:val="nil"/>
            </w:tcBorders>
            <w:shd w:val="clear" w:color="auto" w:fill="F2F2F2" w:themeFill="background1" w:themeFillShade="F2"/>
          </w:tcPr>
          <w:p w:rsidR="00E66BE3" w:rsidRDefault="004679A4" w:rsidP="00E66BE3">
            <w:pPr>
              <w:pStyle w:val="BoxTitle"/>
            </w:pPr>
            <w:r>
              <w:rPr>
                <w:b w:val="0"/>
              </w:rPr>
              <w:t>Box 17.13</w:t>
            </w:r>
            <w:r w:rsidR="00E66BE3">
              <w:tab/>
            </w:r>
            <w:r w:rsidR="00E66BE3" w:rsidRPr="00E66BE3">
              <w:t>Amenity/location</w:t>
            </w:r>
          </w:p>
        </w:tc>
      </w:tr>
      <w:tr w:rsidR="00E66BE3" w:rsidTr="00F44E27">
        <w:trPr>
          <w:cantSplit/>
        </w:trPr>
        <w:tc>
          <w:tcPr>
            <w:tcW w:w="5000" w:type="pct"/>
            <w:tcBorders>
              <w:top w:val="nil"/>
              <w:left w:val="nil"/>
              <w:bottom w:val="nil"/>
              <w:right w:val="nil"/>
            </w:tcBorders>
            <w:shd w:val="clear" w:color="auto" w:fill="F2F2F2" w:themeFill="background1" w:themeFillShade="F2"/>
          </w:tcPr>
          <w:p w:rsidR="00E66BE3" w:rsidRPr="00E66BE3" w:rsidRDefault="00E66BE3" w:rsidP="00E66BE3">
            <w:pPr>
              <w:pStyle w:val="Box"/>
            </w:pPr>
            <w:r w:rsidRPr="00E66BE3">
              <w:t>‘Amenity/location’ is defined as the proportion of tenants rating amenity/location aspects as important to their household and me</w:t>
            </w:r>
            <w:r w:rsidR="00F71321">
              <w:t>eting</w:t>
            </w:r>
            <w:r w:rsidRPr="00E66BE3">
              <w:t xml:space="preserve"> their household needs.</w:t>
            </w:r>
            <w:r w:rsidR="00DF040F">
              <w:t xml:space="preserve"> ‘Amenity’ aspects include size of dwelling, modifications for special needs, ease of access and entry, car parking, yard space and fencing, privacy of home, safety/security of home and safety/security of neighbourhood. ‘Location’</w:t>
            </w:r>
            <w:r w:rsidR="00F82333">
              <w:t xml:space="preserve"> aspects of selected facilities and services included: shops and banking, public transport, parks and recreational facilities, emergency services medical services and hospitals, child care facilities, education/training facilities, employment/place of work, community and support services, family and friends.</w:t>
            </w:r>
          </w:p>
          <w:p w:rsidR="00E66BE3" w:rsidRPr="00E66BE3" w:rsidRDefault="00E66BE3" w:rsidP="00E66BE3">
            <w:pPr>
              <w:pStyle w:val="Box"/>
            </w:pPr>
            <w:r w:rsidRPr="00E66BE3">
              <w:t>A high or increasing level of satisfaction with amenity and location suggests that the provision of housing assistance satisfies household needs.</w:t>
            </w:r>
          </w:p>
          <w:p w:rsidR="00E66BE3" w:rsidRPr="00E66BE3" w:rsidRDefault="00E66BE3" w:rsidP="00E66BE3">
            <w:pPr>
              <w:pStyle w:val="Box"/>
            </w:pPr>
            <w:r w:rsidRPr="00E66BE3">
              <w:t>Data for this indicator are reported for public housing</w:t>
            </w:r>
            <w:r w:rsidR="00DD6956">
              <w:t xml:space="preserve">, SOMIH and community housing. </w:t>
            </w:r>
            <w:r w:rsidRPr="00E66BE3">
              <w:t xml:space="preserve">There are no data available for </w:t>
            </w:r>
            <w:proofErr w:type="spellStart"/>
            <w:r w:rsidR="0020345F">
              <w:t>ICH</w:t>
            </w:r>
            <w:proofErr w:type="spellEnd"/>
            <w:r w:rsidRPr="00E66BE3">
              <w:t>.</w:t>
            </w:r>
            <w:r w:rsidR="007257A1">
              <w:t xml:space="preserve"> </w:t>
            </w:r>
            <w:r w:rsidR="007257A1" w:rsidRPr="007257A1">
              <w:t>Data for this measure include 95 per cent confidence intervals</w:t>
            </w:r>
            <w:r w:rsidR="007257A1">
              <w:t xml:space="preserve"> for individual amenity/location aspects.</w:t>
            </w:r>
            <w:r w:rsidR="007257A1" w:rsidRPr="007257A1">
              <w:t xml:space="preserve"> </w:t>
            </w:r>
            <w:r w:rsidRPr="00E66BE3">
              <w:t>Data reported</w:t>
            </w:r>
            <w:r w:rsidR="0020345F">
              <w:t xml:space="preserve"> for this indicator</w:t>
            </w:r>
            <w:r w:rsidRPr="00E66BE3">
              <w:t xml:space="preserve"> are:</w:t>
            </w:r>
          </w:p>
          <w:p w:rsidR="00E66BE3" w:rsidRPr="00E66BE3" w:rsidRDefault="00E66BE3" w:rsidP="00E66BE3">
            <w:pPr>
              <w:pStyle w:val="Box"/>
              <w:numPr>
                <w:ilvl w:val="0"/>
                <w:numId w:val="1"/>
              </w:numPr>
            </w:pPr>
            <w:r w:rsidRPr="00E66BE3">
              <w:t xml:space="preserve">comparable (subject to caveats) across jurisdictions for the current reporting period but are not comparable </w:t>
            </w:r>
            <w:r w:rsidR="003531DF">
              <w:t xml:space="preserve">with </w:t>
            </w:r>
            <w:r w:rsidR="00DD6956">
              <w:t>data for 2010</w:t>
            </w:r>
            <w:r w:rsidRPr="00E66BE3">
              <w:t xml:space="preserve"> and earlier years</w:t>
            </w:r>
          </w:p>
          <w:p w:rsidR="00E66BE3" w:rsidRPr="00E66BE3" w:rsidRDefault="00E66BE3" w:rsidP="00E66BE3">
            <w:pPr>
              <w:pStyle w:val="Box"/>
              <w:numPr>
                <w:ilvl w:val="0"/>
                <w:numId w:val="1"/>
              </w:numPr>
            </w:pPr>
            <w:r w:rsidRPr="00E66BE3">
              <w:t xml:space="preserve">are not comparable across public housing, SOMIH and community housing </w:t>
            </w:r>
            <w:r w:rsidR="00DD6956">
              <w:t>due to the different demographic profile of Aboriginal and Torres Strait Islander tenants and the method of data collection</w:t>
            </w:r>
          </w:p>
          <w:p w:rsidR="00E66BE3" w:rsidRPr="00E66BE3" w:rsidRDefault="00E66BE3" w:rsidP="00E66BE3">
            <w:pPr>
              <w:pStyle w:val="Box"/>
              <w:numPr>
                <w:ilvl w:val="0"/>
                <w:numId w:val="1"/>
              </w:numPr>
            </w:pPr>
            <w:r w:rsidRPr="00E66BE3">
              <w:t>complete for public housing and SOMIH for the current reporting period (subject to caveats). All required 201</w:t>
            </w:r>
            <w:r w:rsidR="008116C5">
              <w:t>4</w:t>
            </w:r>
            <w:r w:rsidRPr="00E66BE3">
              <w:t xml:space="preserve"> data are available for all jurisdictions providing the service</w:t>
            </w:r>
          </w:p>
          <w:p w:rsidR="00E66BE3" w:rsidRPr="00E66BE3" w:rsidRDefault="00E66BE3" w:rsidP="00170215">
            <w:pPr>
              <w:pStyle w:val="BoxListBullet"/>
            </w:pPr>
            <w:r w:rsidRPr="00E66BE3">
              <w:t xml:space="preserve">incomplete for community housing. All required </w:t>
            </w:r>
            <w:r w:rsidR="003531DF">
              <w:t xml:space="preserve">2014 </w:t>
            </w:r>
            <w:r w:rsidRPr="00E66BE3">
              <w:t xml:space="preserve">data were not available for the </w:t>
            </w:r>
            <w:r w:rsidR="0020345F">
              <w:t>NT</w:t>
            </w:r>
            <w:r w:rsidR="00170215">
              <w:t>.</w:t>
            </w:r>
          </w:p>
          <w:p w:rsidR="002F7FC7" w:rsidRDefault="00DD6956" w:rsidP="00E66BE3">
            <w:pPr>
              <w:pStyle w:val="Box"/>
              <w:rPr>
                <w:color w:val="000000"/>
              </w:rPr>
            </w:pPr>
            <w:r>
              <w:rPr>
                <w:color w:val="000000"/>
              </w:rPr>
              <w:t>Data from earlier surveys (2012, 2010 [public housing and community housing] and 2007 [public housing, community housing and SOMIH]) were included in earlier Reports.</w:t>
            </w:r>
          </w:p>
          <w:p w:rsidR="00E66BE3" w:rsidRDefault="00E66BE3" w:rsidP="00E66BE3">
            <w:pPr>
              <w:pStyle w:val="Box"/>
            </w:pPr>
            <w:r w:rsidRPr="00E66BE3">
              <w:t>Data quality information for this indicator</w:t>
            </w:r>
            <w:r w:rsidR="00884651">
              <w:t xml:space="preserve"> is at </w:t>
            </w:r>
            <w:proofErr w:type="spellStart"/>
            <w:r w:rsidR="00884651">
              <w:t>www.pc.gov.au</w:t>
            </w:r>
            <w:proofErr w:type="spellEnd"/>
            <w:r w:rsidR="006039ED">
              <w:t>/</w:t>
            </w:r>
            <w:proofErr w:type="spellStart"/>
            <w:r w:rsidR="006039ED">
              <w:t>rogs</w:t>
            </w:r>
            <w:proofErr w:type="spellEnd"/>
            <w:r w:rsidR="006039ED">
              <w:t>/2016</w:t>
            </w:r>
            <w:r w:rsidRPr="00E66BE3">
              <w:t>.</w:t>
            </w:r>
          </w:p>
        </w:tc>
      </w:tr>
      <w:tr w:rsidR="00E66BE3" w:rsidTr="00F44E27">
        <w:trPr>
          <w:cantSplit/>
        </w:trPr>
        <w:tc>
          <w:tcPr>
            <w:tcW w:w="5000" w:type="pct"/>
            <w:tcBorders>
              <w:top w:val="nil"/>
              <w:left w:val="nil"/>
              <w:bottom w:val="single" w:sz="6" w:space="0" w:color="78A22F"/>
              <w:right w:val="nil"/>
            </w:tcBorders>
            <w:shd w:val="clear" w:color="auto" w:fill="F2F2F2" w:themeFill="background1" w:themeFillShade="F2"/>
          </w:tcPr>
          <w:p w:rsidR="00E66BE3" w:rsidRDefault="00E66BE3">
            <w:pPr>
              <w:pStyle w:val="Box"/>
              <w:spacing w:before="0" w:line="120" w:lineRule="exact"/>
            </w:pPr>
          </w:p>
        </w:tc>
      </w:tr>
      <w:tr w:rsidR="00E66BE3" w:rsidRPr="000863A5" w:rsidTr="00F44E27">
        <w:tc>
          <w:tcPr>
            <w:tcW w:w="5000" w:type="pct"/>
            <w:tcBorders>
              <w:top w:val="single" w:sz="6" w:space="0" w:color="78A22F"/>
              <w:left w:val="nil"/>
              <w:bottom w:val="nil"/>
              <w:right w:val="nil"/>
            </w:tcBorders>
          </w:tcPr>
          <w:p w:rsidR="00E66BE3" w:rsidRPr="00626D32" w:rsidRDefault="00E66BE3" w:rsidP="004237A3">
            <w:pPr>
              <w:pStyle w:val="BoxSpaceBelow"/>
            </w:pPr>
          </w:p>
        </w:tc>
      </w:tr>
    </w:tbl>
    <w:p w:rsidR="00DD6956" w:rsidRDefault="00DD6956" w:rsidP="00DD6956">
      <w:pPr>
        <w:pStyle w:val="BodyText"/>
        <w:rPr>
          <w:color w:val="000000" w:themeColor="text1"/>
        </w:rPr>
      </w:pPr>
      <w:r>
        <w:rPr>
          <w:color w:val="000000" w:themeColor="text1"/>
        </w:rPr>
        <w:t>Nationally in 2014, the majority of social housing respondents</w:t>
      </w:r>
      <w:r w:rsidR="009B34AD">
        <w:rPr>
          <w:color w:val="000000" w:themeColor="text1"/>
        </w:rPr>
        <w:t xml:space="preserve"> indicated that the</w:t>
      </w:r>
      <w:r>
        <w:rPr>
          <w:color w:val="000000" w:themeColor="text1"/>
        </w:rPr>
        <w:t xml:space="preserve"> amenity and location aspects of their d</w:t>
      </w:r>
      <w:r w:rsidR="00CD07C1">
        <w:rPr>
          <w:color w:val="000000" w:themeColor="text1"/>
        </w:rPr>
        <w:t>welling were</w:t>
      </w:r>
      <w:r w:rsidR="009B34AD">
        <w:rPr>
          <w:color w:val="000000" w:themeColor="text1"/>
        </w:rPr>
        <w:t xml:space="preserve"> </w:t>
      </w:r>
      <w:r>
        <w:rPr>
          <w:color w:val="000000" w:themeColor="text1"/>
        </w:rPr>
        <w:t>important and</w:t>
      </w:r>
      <w:r w:rsidR="009B34AD">
        <w:rPr>
          <w:color w:val="000000" w:themeColor="text1"/>
        </w:rPr>
        <w:t xml:space="preserve"> meeting</w:t>
      </w:r>
      <w:r>
        <w:rPr>
          <w:color w:val="000000" w:themeColor="text1"/>
        </w:rPr>
        <w:t xml:space="preserve"> their needs</w:t>
      </w:r>
      <w:r w:rsidR="00201D3F">
        <w:rPr>
          <w:color w:val="000000" w:themeColor="text1"/>
        </w:rPr>
        <w:t>:</w:t>
      </w:r>
    </w:p>
    <w:p w:rsidR="00201D3F" w:rsidRDefault="00F76BB9" w:rsidP="00201D3F">
      <w:pPr>
        <w:pStyle w:val="ListBullet"/>
      </w:pPr>
      <w:r>
        <w:t>p</w:t>
      </w:r>
      <w:r w:rsidR="00201D3F">
        <w:t xml:space="preserve">ublic housing — </w:t>
      </w:r>
      <w:r w:rsidR="00003C92">
        <w:t xml:space="preserve"> for</w:t>
      </w:r>
      <w:r w:rsidR="009B34AD">
        <w:t xml:space="preserve"> </w:t>
      </w:r>
      <w:r>
        <w:t>amenity</w:t>
      </w:r>
      <w:r w:rsidR="00201D3F">
        <w:t xml:space="preserve"> </w:t>
      </w:r>
      <w:r w:rsidR="00770D96">
        <w:t xml:space="preserve">(83.4 per cent) </w:t>
      </w:r>
      <w:r w:rsidR="00201D3F">
        <w:t xml:space="preserve">and </w:t>
      </w:r>
      <w:r>
        <w:t xml:space="preserve">location </w:t>
      </w:r>
      <w:r w:rsidR="00CD07C1">
        <w:t>(88.9 per cent)</w:t>
      </w:r>
    </w:p>
    <w:p w:rsidR="00201D3F" w:rsidRDefault="00201D3F" w:rsidP="00201D3F">
      <w:pPr>
        <w:pStyle w:val="ListBullet"/>
      </w:pPr>
      <w:r>
        <w:t>SOMIH  —</w:t>
      </w:r>
      <w:r w:rsidR="00F76BB9">
        <w:t xml:space="preserve"> </w:t>
      </w:r>
      <w:r w:rsidR="00003C92">
        <w:t xml:space="preserve">for </w:t>
      </w:r>
      <w:r w:rsidR="00F76BB9">
        <w:t xml:space="preserve">amenity </w:t>
      </w:r>
      <w:r w:rsidR="00770D96">
        <w:t xml:space="preserve">(79.0 per cent) </w:t>
      </w:r>
      <w:r w:rsidR="00F76BB9">
        <w:t xml:space="preserve">and location </w:t>
      </w:r>
      <w:r w:rsidR="00CD07C1">
        <w:t>(89.5 per cent)</w:t>
      </w:r>
    </w:p>
    <w:p w:rsidR="009B34AD" w:rsidRDefault="00F76BB9" w:rsidP="009B34AD">
      <w:pPr>
        <w:pStyle w:val="ListBullet"/>
      </w:pPr>
      <w:r>
        <w:t>c</w:t>
      </w:r>
      <w:r w:rsidR="00201D3F">
        <w:t>ommunity housing —</w:t>
      </w:r>
      <w:r>
        <w:t xml:space="preserve"> </w:t>
      </w:r>
      <w:r w:rsidR="00003C92">
        <w:t xml:space="preserve">for </w:t>
      </w:r>
      <w:r>
        <w:t>amenity</w:t>
      </w:r>
      <w:r w:rsidR="00CD07C1">
        <w:t xml:space="preserve"> </w:t>
      </w:r>
      <w:r w:rsidR="00770D96">
        <w:t xml:space="preserve">(85.5 per cent) </w:t>
      </w:r>
      <w:r>
        <w:t>and location</w:t>
      </w:r>
      <w:r w:rsidR="00EA5D53">
        <w:t xml:space="preserve"> </w:t>
      </w:r>
      <w:r w:rsidR="000B7E98">
        <w:t>(87.1 per cent)</w:t>
      </w:r>
      <w:r w:rsidR="00EA5D53">
        <w:t xml:space="preserve"> </w:t>
      </w:r>
      <w:r w:rsidR="000B7E98">
        <w:t>(figure</w:t>
      </w:r>
      <w:r w:rsidR="00770D96">
        <w:t> </w:t>
      </w:r>
      <w:r w:rsidR="000B7E98">
        <w:t>17.9</w:t>
      </w:r>
      <w:r w:rsidR="00451C44">
        <w:t>)</w:t>
      </w:r>
      <w:r>
        <w:t>.</w:t>
      </w:r>
    </w:p>
    <w:p w:rsidR="00C40B3F" w:rsidRDefault="00C40B3F" w:rsidP="00D0217C">
      <w:pPr>
        <w:pStyle w:val="BodyText"/>
      </w:pPr>
      <w:r w:rsidRPr="004A4D9A">
        <w:rPr>
          <w:color w:val="000000" w:themeColor="text1"/>
        </w:rPr>
        <w:t xml:space="preserve">Data </w:t>
      </w:r>
      <w:r>
        <w:rPr>
          <w:color w:val="000000" w:themeColor="text1"/>
        </w:rPr>
        <w:t xml:space="preserve">for households </w:t>
      </w:r>
      <w:r w:rsidRPr="004A4D9A">
        <w:rPr>
          <w:color w:val="000000" w:themeColor="text1"/>
        </w:rPr>
        <w:t xml:space="preserve">with a member with disability </w:t>
      </w:r>
      <w:r>
        <w:rPr>
          <w:color w:val="000000" w:themeColor="text1"/>
        </w:rPr>
        <w:t xml:space="preserve">are </w:t>
      </w:r>
      <w:r w:rsidRPr="004A4D9A">
        <w:rPr>
          <w:color w:val="000000" w:themeColor="text1"/>
        </w:rPr>
        <w:t>available in tables</w:t>
      </w:r>
      <w:r w:rsidR="007D1214">
        <w:rPr>
          <w:color w:val="000000" w:themeColor="text1"/>
        </w:rPr>
        <w:t> </w:t>
      </w:r>
      <w:proofErr w:type="spellStart"/>
      <w:r w:rsidRPr="004A4D9A">
        <w:rPr>
          <w:color w:val="000000" w:themeColor="text1"/>
        </w:rPr>
        <w:t>17A.3</w:t>
      </w:r>
      <w:r w:rsidR="00CF0911">
        <w:rPr>
          <w:color w:val="000000" w:themeColor="text1"/>
        </w:rPr>
        <w:t>4</w:t>
      </w:r>
      <w:proofErr w:type="spellEnd"/>
      <w:r w:rsidRPr="004A4D9A">
        <w:rPr>
          <w:color w:val="000000" w:themeColor="text1"/>
        </w:rPr>
        <w:t>–3</w:t>
      </w:r>
      <w:r w:rsidR="00CF0911">
        <w:rPr>
          <w:color w:val="000000" w:themeColor="text1"/>
        </w:rPr>
        <w:t>9</w:t>
      </w:r>
      <w:r>
        <w:t>.</w:t>
      </w:r>
    </w:p>
    <w:p w:rsidR="004B407E" w:rsidRDefault="004B407E" w:rsidP="0094429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B407E" w:rsidTr="00944296">
        <w:tc>
          <w:tcPr>
            <w:tcW w:w="8771" w:type="dxa"/>
            <w:tcBorders>
              <w:top w:val="single" w:sz="6" w:space="0" w:color="78A22F"/>
              <w:left w:val="nil"/>
              <w:bottom w:val="nil"/>
              <w:right w:val="nil"/>
            </w:tcBorders>
            <w:shd w:val="clear" w:color="auto" w:fill="auto"/>
          </w:tcPr>
          <w:p w:rsidR="004B407E" w:rsidRPr="00176D3F" w:rsidRDefault="004B407E" w:rsidP="004B407E">
            <w:pPr>
              <w:pStyle w:val="FigureTitle"/>
            </w:pPr>
            <w:r w:rsidRPr="00784A05">
              <w:rPr>
                <w:b w:val="0"/>
              </w:rPr>
              <w:t xml:space="preserve">Figure </w:t>
            </w:r>
            <w:r>
              <w:rPr>
                <w:b w:val="0"/>
              </w:rPr>
              <w:t>17.9</w:t>
            </w:r>
            <w:r>
              <w:tab/>
            </w:r>
            <w:r w:rsidRPr="006F68D5">
              <w:t>Proportion of tenants rating amenity and location aspects as important and meeting their needs, 2014</w:t>
            </w:r>
            <w:proofErr w:type="spellStart"/>
            <w:r w:rsidRPr="00903B4C">
              <w:rPr>
                <w:rStyle w:val="NoteLabel"/>
                <w:b/>
              </w:rPr>
              <w:t>a</w:t>
            </w:r>
            <w:r>
              <w:rPr>
                <w:rStyle w:val="NoteLabel"/>
                <w:b/>
              </w:rPr>
              <w:t>,b</w:t>
            </w:r>
            <w:proofErr w:type="spellEnd"/>
          </w:p>
        </w:tc>
      </w:tr>
      <w:tr w:rsidR="004B407E" w:rsidTr="00944296">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4B407E" w:rsidTr="00944296">
              <w:trPr>
                <w:jc w:val="center"/>
              </w:trPr>
              <w:tc>
                <w:tcPr>
                  <w:tcW w:w="5000" w:type="pct"/>
                  <w:tcBorders>
                    <w:top w:val="nil"/>
                    <w:bottom w:val="nil"/>
                  </w:tcBorders>
                </w:tcPr>
                <w:p w:rsidR="004B407E" w:rsidRDefault="00333E05" w:rsidP="00944296">
                  <w:pPr>
                    <w:pStyle w:val="Figure"/>
                    <w:spacing w:before="60" w:after="60"/>
                  </w:pPr>
                  <w:r>
                    <w:rPr>
                      <w:noProof/>
                    </w:rPr>
                    <w:drawing>
                      <wp:inline distT="0" distB="0" distL="0" distR="0">
                        <wp:extent cx="5324475" cy="1933575"/>
                        <wp:effectExtent l="0" t="0" r="9525" b="9525"/>
                        <wp:docPr id="24" name="Picture 24" descr="Figure 17.9 Proportion of tenants rating amenity and location aspects as important and meeting their needs, 2014&#10;&#10;Public housing&#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324475" cy="1933575"/>
                                </a:xfrm>
                                <a:prstGeom prst="rect">
                                  <a:avLst/>
                                </a:prstGeom>
                                <a:noFill/>
                                <a:ln>
                                  <a:noFill/>
                                </a:ln>
                              </pic:spPr>
                            </pic:pic>
                          </a:graphicData>
                        </a:graphic>
                      </wp:inline>
                    </w:drawing>
                  </w:r>
                  <w:r>
                    <w:rPr>
                      <w:noProof/>
                    </w:rPr>
                    <w:drawing>
                      <wp:inline distT="0" distB="0" distL="0" distR="0">
                        <wp:extent cx="5324475" cy="1933575"/>
                        <wp:effectExtent l="0" t="0" r="9525" b="9525"/>
                        <wp:docPr id="25" name="Picture 25" descr="Figure 17.9 Proportion of tenants rating amenity and location aspects as important and meeting their needs, 2014&#10;&#10;SOMIH&#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324475" cy="1933575"/>
                                </a:xfrm>
                                <a:prstGeom prst="rect">
                                  <a:avLst/>
                                </a:prstGeom>
                                <a:noFill/>
                                <a:ln>
                                  <a:noFill/>
                                </a:ln>
                              </pic:spPr>
                            </pic:pic>
                          </a:graphicData>
                        </a:graphic>
                      </wp:inline>
                    </w:drawing>
                  </w:r>
                  <w:r>
                    <w:rPr>
                      <w:noProof/>
                    </w:rPr>
                    <w:drawing>
                      <wp:inline distT="0" distB="0" distL="0" distR="0">
                        <wp:extent cx="5362575" cy="1933575"/>
                        <wp:effectExtent l="0" t="0" r="9525" b="9525"/>
                        <wp:docPr id="26" name="Picture 26" descr="Figure 17.9 Proportion of tenants rating amenity and location aspects as important and meeting their needs, 2014&#10;&#10;Community housing&#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362575" cy="1933575"/>
                                </a:xfrm>
                                <a:prstGeom prst="rect">
                                  <a:avLst/>
                                </a:prstGeom>
                                <a:noFill/>
                                <a:ln>
                                  <a:noFill/>
                                </a:ln>
                              </pic:spPr>
                            </pic:pic>
                          </a:graphicData>
                        </a:graphic>
                      </wp:inline>
                    </w:drawing>
                  </w:r>
                  <w:r>
                    <w:rPr>
                      <w:noProof/>
                    </w:rPr>
                    <w:drawing>
                      <wp:inline distT="0" distB="0" distL="0" distR="0">
                        <wp:extent cx="5362575" cy="314325"/>
                        <wp:effectExtent l="0" t="0" r="9525" b="9525"/>
                        <wp:docPr id="27" name="Picture 27" descr="Legend to Figure 17.9 Proportion of tenants rating amenity and location aspects as important and meeting their needs,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362575" cy="314325"/>
                                </a:xfrm>
                                <a:prstGeom prst="rect">
                                  <a:avLst/>
                                </a:prstGeom>
                                <a:noFill/>
                                <a:ln>
                                  <a:noFill/>
                                </a:ln>
                              </pic:spPr>
                            </pic:pic>
                          </a:graphicData>
                        </a:graphic>
                      </wp:inline>
                    </w:drawing>
                  </w:r>
                </w:p>
              </w:tc>
            </w:tr>
          </w:tbl>
          <w:p w:rsidR="004B407E" w:rsidRDefault="004B407E" w:rsidP="00944296">
            <w:pPr>
              <w:pStyle w:val="Figure"/>
            </w:pPr>
          </w:p>
        </w:tc>
      </w:tr>
      <w:tr w:rsidR="004B407E" w:rsidRPr="00176D3F" w:rsidTr="00944296">
        <w:tc>
          <w:tcPr>
            <w:tcW w:w="8771" w:type="dxa"/>
            <w:tcBorders>
              <w:top w:val="nil"/>
              <w:left w:val="nil"/>
              <w:bottom w:val="nil"/>
              <w:right w:val="nil"/>
            </w:tcBorders>
            <w:shd w:val="clear" w:color="auto" w:fill="auto"/>
          </w:tcPr>
          <w:p w:rsidR="004B407E" w:rsidRPr="00176D3F" w:rsidRDefault="004B407E" w:rsidP="00944296">
            <w:pPr>
              <w:pStyle w:val="Note"/>
            </w:pPr>
            <w:r>
              <w:rPr>
                <w:rStyle w:val="NoteLabel"/>
              </w:rPr>
              <w:t>a</w:t>
            </w:r>
            <w:r>
              <w:t xml:space="preserve"> See box</w:t>
            </w:r>
            <w:r w:rsidR="007D1214">
              <w:t> </w:t>
            </w:r>
            <w:r>
              <w:t>17.13 and tables</w:t>
            </w:r>
            <w:r w:rsidR="007D1214">
              <w:t> </w:t>
            </w:r>
            <w:proofErr w:type="spellStart"/>
            <w:r>
              <w:t>17A.34</w:t>
            </w:r>
            <w:proofErr w:type="spellEnd"/>
            <w:r>
              <w:t xml:space="preserve">–39 for detailed definitions, footnotes and caveats. </w:t>
            </w:r>
            <w:r>
              <w:rPr>
                <w:rStyle w:val="NoteLabel"/>
              </w:rPr>
              <w:t xml:space="preserve">b </w:t>
            </w:r>
            <w:r>
              <w:t>Community housing data are not available for the NT.</w:t>
            </w:r>
          </w:p>
        </w:tc>
      </w:tr>
      <w:tr w:rsidR="004B407E" w:rsidRPr="00176D3F" w:rsidTr="00944296">
        <w:tc>
          <w:tcPr>
            <w:tcW w:w="8771" w:type="dxa"/>
            <w:tcBorders>
              <w:top w:val="nil"/>
              <w:left w:val="nil"/>
              <w:bottom w:val="nil"/>
              <w:right w:val="nil"/>
            </w:tcBorders>
            <w:shd w:val="clear" w:color="auto" w:fill="auto"/>
          </w:tcPr>
          <w:p w:rsidR="004B407E" w:rsidRPr="00176D3F" w:rsidRDefault="004B407E" w:rsidP="00944296">
            <w:pPr>
              <w:pStyle w:val="Source"/>
            </w:pPr>
            <w:r w:rsidRPr="00FC4AB3">
              <w:rPr>
                <w:i/>
              </w:rPr>
              <w:t xml:space="preserve">Source: </w:t>
            </w:r>
            <w:r w:rsidRPr="008411B4">
              <w:t>AIHW (unpublished)</w:t>
            </w:r>
            <w:r w:rsidRPr="00AE0C3F">
              <w:rPr>
                <w:i/>
              </w:rPr>
              <w:t xml:space="preserve"> </w:t>
            </w:r>
            <w:r w:rsidRPr="007D2DA3">
              <w:t xml:space="preserve">National Social Housing Survey </w:t>
            </w:r>
            <w:r w:rsidRPr="008411B4">
              <w:t>2014</w:t>
            </w:r>
            <w:r>
              <w:t>; tables</w:t>
            </w:r>
            <w:r w:rsidR="007D1214">
              <w:t> </w:t>
            </w:r>
            <w:proofErr w:type="spellStart"/>
            <w:r>
              <w:t>17A.34</w:t>
            </w:r>
            <w:proofErr w:type="spellEnd"/>
            <w:r>
              <w:t>–39.</w:t>
            </w:r>
          </w:p>
        </w:tc>
      </w:tr>
      <w:tr w:rsidR="004B407E" w:rsidTr="00944296">
        <w:tc>
          <w:tcPr>
            <w:tcW w:w="8771" w:type="dxa"/>
            <w:tcBorders>
              <w:top w:val="nil"/>
              <w:left w:val="nil"/>
              <w:bottom w:val="single" w:sz="6" w:space="0" w:color="78A22F"/>
              <w:right w:val="nil"/>
            </w:tcBorders>
            <w:shd w:val="clear" w:color="auto" w:fill="auto"/>
          </w:tcPr>
          <w:p w:rsidR="004B407E" w:rsidRDefault="004B407E" w:rsidP="00944296">
            <w:pPr>
              <w:pStyle w:val="Figurespace"/>
            </w:pPr>
          </w:p>
        </w:tc>
      </w:tr>
      <w:tr w:rsidR="004B407E" w:rsidRPr="000863A5" w:rsidTr="00944296">
        <w:tc>
          <w:tcPr>
            <w:tcW w:w="8771" w:type="dxa"/>
            <w:tcBorders>
              <w:top w:val="single" w:sz="6" w:space="0" w:color="78A22F"/>
              <w:left w:val="nil"/>
              <w:bottom w:val="nil"/>
              <w:right w:val="nil"/>
            </w:tcBorders>
          </w:tcPr>
          <w:p w:rsidR="004B407E" w:rsidRPr="00626D32" w:rsidRDefault="004B407E" w:rsidP="00944296">
            <w:pPr>
              <w:pStyle w:val="BoxSpaceBelow"/>
            </w:pPr>
          </w:p>
        </w:tc>
      </w:tr>
    </w:tbl>
    <w:p w:rsidR="00B214D1" w:rsidRPr="006B692D" w:rsidRDefault="00B214D1" w:rsidP="00C40B3F">
      <w:pPr>
        <w:pStyle w:val="Heading4"/>
      </w:pPr>
      <w:r w:rsidRPr="006B692D">
        <w:lastRenderedPageBreak/>
        <w:t>Affordability</w:t>
      </w:r>
    </w:p>
    <w:p w:rsidR="003215AD" w:rsidRDefault="00B17B6A" w:rsidP="00D1668F">
      <w:pPr>
        <w:pStyle w:val="BodyText"/>
      </w:pPr>
      <w:r w:rsidRPr="00DA73E5">
        <w:t>‘</w:t>
      </w:r>
      <w:r w:rsidR="00B214D1" w:rsidRPr="00DA73E5">
        <w:t>Affordability’ is an indicator of governments’ objective to provide affordable housing to assist people who are unable to access suitable housing (box</w:t>
      </w:r>
      <w:r w:rsidR="007D1214">
        <w:t> </w:t>
      </w:r>
      <w:r w:rsidR="00463387">
        <w:t>17.</w:t>
      </w:r>
      <w:r w:rsidR="00451C44">
        <w:t>14</w:t>
      </w:r>
      <w:r w:rsidR="00B214D1" w:rsidRPr="00DA73E5">
        <w:t>).</w:t>
      </w:r>
    </w:p>
    <w:p w:rsidR="00E66BE3" w:rsidRDefault="00E66BE3">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E66BE3" w:rsidTr="00F44E27">
        <w:tc>
          <w:tcPr>
            <w:tcW w:w="5000" w:type="pct"/>
            <w:tcBorders>
              <w:top w:val="single" w:sz="6" w:space="0" w:color="78A22F"/>
              <w:left w:val="nil"/>
              <w:bottom w:val="nil"/>
              <w:right w:val="nil"/>
            </w:tcBorders>
            <w:shd w:val="clear" w:color="auto" w:fill="F2F2F2" w:themeFill="background1" w:themeFillShade="F2"/>
          </w:tcPr>
          <w:p w:rsidR="00E66BE3" w:rsidRDefault="004679A4" w:rsidP="00E66BE3">
            <w:pPr>
              <w:pStyle w:val="BoxTitle"/>
            </w:pPr>
            <w:r>
              <w:rPr>
                <w:b w:val="0"/>
              </w:rPr>
              <w:t>Box 17.14</w:t>
            </w:r>
            <w:r w:rsidR="00E66BE3">
              <w:tab/>
            </w:r>
            <w:r w:rsidR="00E66BE3" w:rsidRPr="00E66BE3">
              <w:t>Affordability</w:t>
            </w:r>
          </w:p>
        </w:tc>
      </w:tr>
      <w:tr w:rsidR="00E66BE3" w:rsidTr="00F44E27">
        <w:trPr>
          <w:cantSplit/>
        </w:trPr>
        <w:tc>
          <w:tcPr>
            <w:tcW w:w="5000" w:type="pct"/>
            <w:tcBorders>
              <w:top w:val="nil"/>
              <w:left w:val="nil"/>
              <w:bottom w:val="nil"/>
              <w:right w:val="nil"/>
            </w:tcBorders>
            <w:shd w:val="clear" w:color="auto" w:fill="F2F2F2" w:themeFill="background1" w:themeFillShade="F2"/>
          </w:tcPr>
          <w:p w:rsidR="00E66BE3" w:rsidRPr="0022319C" w:rsidRDefault="00E66BE3" w:rsidP="00E66BE3">
            <w:pPr>
              <w:pStyle w:val="Box"/>
            </w:pPr>
            <w:r w:rsidRPr="0022319C">
              <w:t>‘Affordability’ is defined as tenants’ financial ability to access suitable housing. Two measures of affordability are reported:</w:t>
            </w:r>
          </w:p>
          <w:p w:rsidR="00E66BE3" w:rsidRPr="0022319C" w:rsidRDefault="00E66BE3" w:rsidP="00E66BE3">
            <w:pPr>
              <w:pStyle w:val="Box"/>
              <w:numPr>
                <w:ilvl w:val="0"/>
                <w:numId w:val="1"/>
              </w:numPr>
            </w:pPr>
            <w:r w:rsidRPr="0022319C">
              <w:t>Average weekly rental subsidy per rebated household</w:t>
            </w:r>
          </w:p>
          <w:p w:rsidR="00E66BE3" w:rsidRPr="0022319C" w:rsidRDefault="00E66BE3" w:rsidP="00E66BE3">
            <w:pPr>
              <w:pStyle w:val="Box"/>
              <w:numPr>
                <w:ilvl w:val="0"/>
                <w:numId w:val="2"/>
              </w:numPr>
            </w:pPr>
            <w:r w:rsidRPr="0022319C">
              <w:t>is calculated as the total rental rebate divided by the total number of rebated households</w:t>
            </w:r>
          </w:p>
          <w:p w:rsidR="00C40B3F" w:rsidRPr="0022319C" w:rsidRDefault="004D2C4B" w:rsidP="00E66BE3">
            <w:pPr>
              <w:pStyle w:val="Box"/>
              <w:numPr>
                <w:ilvl w:val="0"/>
                <w:numId w:val="2"/>
              </w:numPr>
            </w:pPr>
            <w:r w:rsidRPr="0022319C">
              <w:t>t</w:t>
            </w:r>
            <w:r w:rsidR="00E66BE3" w:rsidRPr="0022319C">
              <w:t xml:space="preserve">he amount of a rental rebate is influenced by market rent. High market rents will result in high rental rebates and </w:t>
            </w:r>
            <w:r w:rsidR="00C40B3F" w:rsidRPr="0022319C">
              <w:t>vice versa</w:t>
            </w:r>
            <w:r w:rsidR="00E66BE3" w:rsidRPr="0022319C">
              <w:t xml:space="preserve"> </w:t>
            </w:r>
          </w:p>
          <w:p w:rsidR="00E66BE3" w:rsidRPr="0022319C" w:rsidRDefault="00C40B3F" w:rsidP="00E66BE3">
            <w:pPr>
              <w:pStyle w:val="Box"/>
              <w:numPr>
                <w:ilvl w:val="0"/>
                <w:numId w:val="2"/>
              </w:numPr>
            </w:pPr>
            <w:r w:rsidRPr="0022319C">
              <w:t xml:space="preserve">is reported for public housing and SOMIH. </w:t>
            </w:r>
          </w:p>
          <w:p w:rsidR="00E66BE3" w:rsidRPr="0022319C" w:rsidRDefault="00E66BE3" w:rsidP="00E66BE3">
            <w:pPr>
              <w:pStyle w:val="Box"/>
              <w:numPr>
                <w:ilvl w:val="0"/>
                <w:numId w:val="1"/>
              </w:numPr>
            </w:pPr>
            <w:r w:rsidRPr="0022319C">
              <w:t>Proportion of low income households in social housing spending more than 30 per cent of their gross income on rent</w:t>
            </w:r>
            <w:r w:rsidR="00C40B3F" w:rsidRPr="0022319C">
              <w:t xml:space="preserve"> (</w:t>
            </w:r>
            <w:r w:rsidR="00A505F8" w:rsidRPr="0022319C">
              <w:t>also</w:t>
            </w:r>
            <w:r w:rsidR="00C40B3F" w:rsidRPr="0022319C">
              <w:t xml:space="preserve"> referred to as</w:t>
            </w:r>
            <w:r w:rsidR="00A505F8" w:rsidRPr="0022319C">
              <w:t xml:space="preserve"> households in ‘rental stress’</w:t>
            </w:r>
            <w:r w:rsidR="00C40B3F" w:rsidRPr="0022319C">
              <w:t>)</w:t>
            </w:r>
            <w:r w:rsidR="004D45F2" w:rsidRPr="0022319C">
              <w:t xml:space="preserve"> </w:t>
            </w:r>
          </w:p>
          <w:p w:rsidR="00E66BE3" w:rsidRPr="0022319C" w:rsidRDefault="00E66BE3" w:rsidP="00E66BE3">
            <w:pPr>
              <w:pStyle w:val="Box"/>
              <w:numPr>
                <w:ilvl w:val="0"/>
                <w:numId w:val="2"/>
              </w:numPr>
            </w:pPr>
            <w:r w:rsidRPr="0022319C">
              <w:t xml:space="preserve">is calculated as </w:t>
            </w:r>
            <w:r w:rsidR="00C40B3F" w:rsidRPr="0022319C">
              <w:t xml:space="preserve">the </w:t>
            </w:r>
            <w:r w:rsidRPr="0022319C">
              <w:t>number of low income rental households spending more than 30 per cent of their gross income on rent, divided by the total number of low income rental households</w:t>
            </w:r>
          </w:p>
          <w:p w:rsidR="00E66BE3" w:rsidRPr="0022319C" w:rsidRDefault="00133C0C" w:rsidP="00E66BE3">
            <w:pPr>
              <w:pStyle w:val="Box"/>
              <w:numPr>
                <w:ilvl w:val="0"/>
                <w:numId w:val="2"/>
              </w:numPr>
            </w:pPr>
            <w:r w:rsidRPr="0022319C">
              <w:t>l</w:t>
            </w:r>
            <w:r w:rsidR="00E66BE3" w:rsidRPr="0022319C">
              <w:t>ow income households are defined as those in the bottom 40 per cent of equivalised gross household incomes. Low income households are more likely to be adversely affected by relatively high housing costs than households with higher disposable incomes (Yates and Gabriel 2006; Yates and Milligan 2007)</w:t>
            </w:r>
          </w:p>
          <w:p w:rsidR="00C40B3F" w:rsidRPr="0022319C" w:rsidRDefault="00C40B3F" w:rsidP="00C40B3F">
            <w:pPr>
              <w:pStyle w:val="Box"/>
              <w:numPr>
                <w:ilvl w:val="0"/>
                <w:numId w:val="2"/>
              </w:numPr>
            </w:pPr>
            <w:r w:rsidRPr="0022319C">
              <w:t>is reported for public housing, SOMIH and community housing. H</w:t>
            </w:r>
            <w:r w:rsidR="00E66BE3" w:rsidRPr="0022319C">
              <w:t xml:space="preserve">ouseholds in public housing and SOMIH </w:t>
            </w:r>
            <w:r w:rsidR="00516157" w:rsidRPr="0022319C">
              <w:t xml:space="preserve">that </w:t>
            </w:r>
            <w:r w:rsidR="00E66BE3" w:rsidRPr="0022319C">
              <w:t xml:space="preserve">do not receive rental rebates are included in this measure. </w:t>
            </w:r>
          </w:p>
          <w:p w:rsidR="00E66BE3" w:rsidRPr="0022319C" w:rsidRDefault="00C40B3F" w:rsidP="007D2DA3">
            <w:pPr>
              <w:pStyle w:val="Box"/>
            </w:pPr>
            <w:r w:rsidRPr="0022319C">
              <w:t xml:space="preserve">A high or increasing average weekly rental subsidy might imply that governments are spending more to ensure housing affordability. </w:t>
            </w:r>
            <w:r w:rsidR="00E66BE3" w:rsidRPr="0022319C">
              <w:t>A low or decreasing proportion of households spending more than 30 per cent of their income on rent implies greater housing affordability.</w:t>
            </w:r>
          </w:p>
          <w:p w:rsidR="00E66BE3" w:rsidRPr="0022319C" w:rsidRDefault="00E66BE3" w:rsidP="00E66BE3">
            <w:pPr>
              <w:pStyle w:val="Box"/>
            </w:pPr>
            <w:r w:rsidRPr="0022319C">
              <w:t>Data reported</w:t>
            </w:r>
            <w:r w:rsidR="00770D96" w:rsidRPr="0022319C">
              <w:t xml:space="preserve"> for this indicator</w:t>
            </w:r>
            <w:r w:rsidRPr="0022319C">
              <w:t xml:space="preserve"> are:</w:t>
            </w:r>
          </w:p>
          <w:p w:rsidR="00E66BE3" w:rsidRPr="0022319C" w:rsidRDefault="00E66BE3" w:rsidP="00E66BE3">
            <w:pPr>
              <w:pStyle w:val="Box"/>
              <w:numPr>
                <w:ilvl w:val="0"/>
                <w:numId w:val="1"/>
              </w:numPr>
            </w:pPr>
            <w:r w:rsidRPr="0022319C">
              <w:t xml:space="preserve">comparable (subject to caveats) across jurisdictions </w:t>
            </w:r>
          </w:p>
          <w:p w:rsidR="00E66BE3" w:rsidRPr="0022319C" w:rsidRDefault="00E66BE3" w:rsidP="00E66BE3">
            <w:pPr>
              <w:pStyle w:val="Box"/>
              <w:numPr>
                <w:ilvl w:val="0"/>
                <w:numId w:val="1"/>
              </w:numPr>
            </w:pPr>
            <w:r w:rsidRPr="0022319C">
              <w:t>not comparable across public housing, SOMIH and community housing</w:t>
            </w:r>
          </w:p>
          <w:p w:rsidR="00E66BE3" w:rsidRPr="0022319C" w:rsidRDefault="00E66BE3" w:rsidP="00E66BE3">
            <w:pPr>
              <w:pStyle w:val="Box"/>
              <w:numPr>
                <w:ilvl w:val="0"/>
                <w:numId w:val="1"/>
              </w:numPr>
            </w:pPr>
            <w:r w:rsidRPr="0022319C">
              <w:t>complete for public housing and SOMIH for the current reporting period (subject to caveats). All required 201</w:t>
            </w:r>
            <w:r w:rsidR="00B23387" w:rsidRPr="0022319C">
              <w:t>4</w:t>
            </w:r>
            <w:r w:rsidR="007D1214">
              <w:noBreakHyphen/>
            </w:r>
            <w:r w:rsidRPr="0022319C">
              <w:t>1</w:t>
            </w:r>
            <w:r w:rsidR="00B23387" w:rsidRPr="0022319C">
              <w:t>5</w:t>
            </w:r>
            <w:r w:rsidRPr="0022319C">
              <w:t xml:space="preserve"> data are available for all jurisdictions providing the service</w:t>
            </w:r>
          </w:p>
          <w:p w:rsidR="00C64C78" w:rsidRPr="0022319C" w:rsidRDefault="00E66BE3" w:rsidP="00170215">
            <w:pPr>
              <w:pStyle w:val="BoxListBullet"/>
            </w:pPr>
            <w:r w:rsidRPr="0022319C">
              <w:t xml:space="preserve">incomplete for community housing. All required </w:t>
            </w:r>
            <w:r w:rsidR="00B23387" w:rsidRPr="0022319C">
              <w:t>2014</w:t>
            </w:r>
            <w:r w:rsidR="007D1214">
              <w:noBreakHyphen/>
            </w:r>
            <w:r w:rsidR="00B23387" w:rsidRPr="0022319C">
              <w:t>15</w:t>
            </w:r>
            <w:r w:rsidR="002050F8" w:rsidRPr="0022319C">
              <w:t xml:space="preserve"> </w:t>
            </w:r>
            <w:r w:rsidRPr="0022319C">
              <w:t>data were not available for Q</w:t>
            </w:r>
            <w:r w:rsidR="00770D96" w:rsidRPr="0022319C">
              <w:t>ueenslan</w:t>
            </w:r>
            <w:r w:rsidR="00AC5966" w:rsidRPr="0022319C">
              <w:t>d and the NT.</w:t>
            </w:r>
            <w:r w:rsidR="00C64C78" w:rsidRPr="0022319C">
              <w:t xml:space="preserve"> </w:t>
            </w:r>
          </w:p>
          <w:p w:rsidR="00E66BE3" w:rsidRPr="0022319C" w:rsidRDefault="00C64C78" w:rsidP="0045114E">
            <w:pPr>
              <w:pStyle w:val="Box"/>
            </w:pPr>
            <w:r w:rsidRPr="0022319C">
              <w:t xml:space="preserve">Differences in the treatment of CRA in rent assessment can affect the comparability of the results reported for community housing (CRA should be excluded from household income, but data for some households may include CRA in household income as some community housing providers are unable to exclude CRA from household income or rent). Further information on CRA can be found in the Housing and homelessness </w:t>
            </w:r>
            <w:r w:rsidR="00A0161E">
              <w:t xml:space="preserve">services </w:t>
            </w:r>
            <w:r w:rsidRPr="0022319C">
              <w:t>sector overview</w:t>
            </w:r>
            <w:r w:rsidR="0045114E" w:rsidRPr="0022319C">
              <w:t>.</w:t>
            </w:r>
          </w:p>
          <w:p w:rsidR="00E66BE3" w:rsidRPr="0022319C" w:rsidRDefault="00E66BE3" w:rsidP="00E66BE3">
            <w:pPr>
              <w:pStyle w:val="Box"/>
            </w:pPr>
            <w:r w:rsidRPr="0022319C">
              <w:t>Data quality information for this indicator</w:t>
            </w:r>
            <w:r w:rsidR="00884651" w:rsidRPr="0022319C">
              <w:t xml:space="preserve"> is at </w:t>
            </w:r>
            <w:proofErr w:type="spellStart"/>
            <w:r w:rsidR="00884651" w:rsidRPr="0022319C">
              <w:t>www.pc.gov.au</w:t>
            </w:r>
            <w:proofErr w:type="spellEnd"/>
            <w:r w:rsidR="006039ED" w:rsidRPr="0022319C">
              <w:t>/</w:t>
            </w:r>
            <w:proofErr w:type="spellStart"/>
            <w:r w:rsidR="006039ED" w:rsidRPr="0022319C">
              <w:t>rogs</w:t>
            </w:r>
            <w:proofErr w:type="spellEnd"/>
            <w:r w:rsidR="006039ED" w:rsidRPr="0022319C">
              <w:t>/2016</w:t>
            </w:r>
            <w:r w:rsidRPr="0022319C">
              <w:t>.</w:t>
            </w:r>
          </w:p>
        </w:tc>
      </w:tr>
      <w:tr w:rsidR="00E66BE3" w:rsidTr="00F44E27">
        <w:trPr>
          <w:cantSplit/>
        </w:trPr>
        <w:tc>
          <w:tcPr>
            <w:tcW w:w="5000" w:type="pct"/>
            <w:tcBorders>
              <w:top w:val="nil"/>
              <w:left w:val="nil"/>
              <w:bottom w:val="single" w:sz="6" w:space="0" w:color="78A22F"/>
              <w:right w:val="nil"/>
            </w:tcBorders>
            <w:shd w:val="clear" w:color="auto" w:fill="F2F2F2" w:themeFill="background1" w:themeFillShade="F2"/>
          </w:tcPr>
          <w:p w:rsidR="00E66BE3" w:rsidRPr="0022319C" w:rsidRDefault="00E66BE3">
            <w:pPr>
              <w:pStyle w:val="Box"/>
              <w:spacing w:before="0" w:line="120" w:lineRule="exact"/>
            </w:pPr>
          </w:p>
        </w:tc>
      </w:tr>
      <w:tr w:rsidR="00E66BE3" w:rsidRPr="000863A5" w:rsidTr="00F44E27">
        <w:tc>
          <w:tcPr>
            <w:tcW w:w="5000" w:type="pct"/>
            <w:tcBorders>
              <w:top w:val="single" w:sz="6" w:space="0" w:color="78A22F"/>
              <w:left w:val="nil"/>
              <w:bottom w:val="nil"/>
              <w:right w:val="nil"/>
            </w:tcBorders>
          </w:tcPr>
          <w:p w:rsidR="00E66BE3" w:rsidRPr="0022319C" w:rsidRDefault="00E66BE3" w:rsidP="004237A3">
            <w:pPr>
              <w:pStyle w:val="BoxSpaceBelow"/>
            </w:pPr>
          </w:p>
        </w:tc>
      </w:tr>
    </w:tbl>
    <w:p w:rsidR="00951FFB" w:rsidRPr="00321DEA" w:rsidRDefault="00951FFB" w:rsidP="00170215">
      <w:pPr>
        <w:pStyle w:val="Heading5"/>
        <w:spacing w:before="360"/>
      </w:pPr>
      <w:r w:rsidRPr="00321DEA">
        <w:lastRenderedPageBreak/>
        <w:t>Average weekly rental subsidy</w:t>
      </w:r>
      <w:r w:rsidR="006B692D" w:rsidRPr="00321DEA">
        <w:t xml:space="preserve"> </w:t>
      </w:r>
      <w:r w:rsidR="00892C22">
        <w:t>per rebated household</w:t>
      </w:r>
    </w:p>
    <w:p w:rsidR="0046557A" w:rsidRDefault="007F20AC" w:rsidP="00543E21">
      <w:pPr>
        <w:pStyle w:val="BodyText"/>
        <w:spacing w:after="240"/>
      </w:pPr>
      <w:r w:rsidRPr="00464B55">
        <w:t>N</w:t>
      </w:r>
      <w:r w:rsidR="004C4D69" w:rsidRPr="00464B55">
        <w:t>ationally</w:t>
      </w:r>
      <w:r w:rsidR="00947B36" w:rsidRPr="00464B55">
        <w:t>,</w:t>
      </w:r>
      <w:r w:rsidR="004C4D69" w:rsidRPr="00464B55">
        <w:t xml:space="preserve"> the a</w:t>
      </w:r>
      <w:r w:rsidR="004C4D69" w:rsidRPr="00D65A38">
        <w:rPr>
          <w:color w:val="000000" w:themeColor="text1"/>
        </w:rPr>
        <w:t>verage weekly subsidy per rebated household in public housing was $</w:t>
      </w:r>
      <w:r w:rsidR="00321DEA">
        <w:rPr>
          <w:color w:val="000000" w:themeColor="text1"/>
        </w:rPr>
        <w:t>178</w:t>
      </w:r>
      <w:r w:rsidR="00F1643C" w:rsidRPr="00D65A38">
        <w:rPr>
          <w:color w:val="000000" w:themeColor="text1"/>
        </w:rPr>
        <w:t xml:space="preserve"> a</w:t>
      </w:r>
      <w:r w:rsidR="00781CD1" w:rsidRPr="00D65A38">
        <w:rPr>
          <w:color w:val="000000" w:themeColor="text1"/>
        </w:rPr>
        <w:t>t 30</w:t>
      </w:r>
      <w:r w:rsidR="007D1214">
        <w:rPr>
          <w:color w:val="000000" w:themeColor="text1"/>
        </w:rPr>
        <w:t> </w:t>
      </w:r>
      <w:r w:rsidR="00781CD1" w:rsidRPr="00D65A38">
        <w:rPr>
          <w:color w:val="000000" w:themeColor="text1"/>
        </w:rPr>
        <w:t xml:space="preserve">June </w:t>
      </w:r>
      <w:r w:rsidR="004C4D69" w:rsidRPr="00D65A38">
        <w:rPr>
          <w:color w:val="000000" w:themeColor="text1"/>
        </w:rPr>
        <w:t>201</w:t>
      </w:r>
      <w:r w:rsidR="00321DEA">
        <w:rPr>
          <w:color w:val="000000" w:themeColor="text1"/>
        </w:rPr>
        <w:t>5</w:t>
      </w:r>
      <w:r w:rsidR="0094044B" w:rsidRPr="00D65A38">
        <w:rPr>
          <w:color w:val="000000" w:themeColor="text1"/>
        </w:rPr>
        <w:t>, increasing from $</w:t>
      </w:r>
      <w:r w:rsidR="00321DEA">
        <w:rPr>
          <w:color w:val="000000" w:themeColor="text1"/>
        </w:rPr>
        <w:t>146</w:t>
      </w:r>
      <w:r w:rsidR="003C021E" w:rsidRPr="00D65A38">
        <w:rPr>
          <w:color w:val="000000" w:themeColor="text1"/>
        </w:rPr>
        <w:t xml:space="preserve"> </w:t>
      </w:r>
      <w:r w:rsidR="00321DEA">
        <w:rPr>
          <w:color w:val="000000" w:themeColor="text1"/>
        </w:rPr>
        <w:t>at 30</w:t>
      </w:r>
      <w:r w:rsidR="007D1214">
        <w:rPr>
          <w:color w:val="000000" w:themeColor="text1"/>
        </w:rPr>
        <w:t> </w:t>
      </w:r>
      <w:r w:rsidR="00321DEA">
        <w:rPr>
          <w:color w:val="000000" w:themeColor="text1"/>
        </w:rPr>
        <w:t>June 2011</w:t>
      </w:r>
      <w:r w:rsidR="00FB4851" w:rsidRPr="00D65A38">
        <w:rPr>
          <w:color w:val="000000" w:themeColor="text1"/>
        </w:rPr>
        <w:t xml:space="preserve"> (in </w:t>
      </w:r>
      <w:r w:rsidR="0045114E">
        <w:rPr>
          <w:color w:val="000000" w:themeColor="text1"/>
        </w:rPr>
        <w:t>2014</w:t>
      </w:r>
      <w:r w:rsidR="007D1214">
        <w:rPr>
          <w:color w:val="000000" w:themeColor="text1"/>
        </w:rPr>
        <w:noBreakHyphen/>
      </w:r>
      <w:r w:rsidR="0045114E">
        <w:rPr>
          <w:color w:val="000000" w:themeColor="text1"/>
        </w:rPr>
        <w:t>15 dollars</w:t>
      </w:r>
      <w:r w:rsidR="00C40B3F">
        <w:rPr>
          <w:color w:val="000000" w:themeColor="text1"/>
        </w:rPr>
        <w:t>)</w:t>
      </w:r>
      <w:r w:rsidR="00970A51" w:rsidRPr="00D65A38">
        <w:rPr>
          <w:color w:val="000000" w:themeColor="text1"/>
        </w:rPr>
        <w:t>. For SOMIH, the average weekly subsidy per rebated household was $</w:t>
      </w:r>
      <w:r w:rsidR="00F1643C" w:rsidRPr="00D65A38">
        <w:rPr>
          <w:color w:val="000000" w:themeColor="text1"/>
        </w:rPr>
        <w:t>1</w:t>
      </w:r>
      <w:r w:rsidR="00E01857">
        <w:rPr>
          <w:color w:val="000000" w:themeColor="text1"/>
        </w:rPr>
        <w:t>43</w:t>
      </w:r>
      <w:r w:rsidR="005C3A62" w:rsidRPr="00D65A38">
        <w:rPr>
          <w:color w:val="000000" w:themeColor="text1"/>
        </w:rPr>
        <w:t xml:space="preserve"> at 30 June</w:t>
      </w:r>
      <w:r w:rsidR="007D1214">
        <w:rPr>
          <w:color w:val="000000" w:themeColor="text1"/>
        </w:rPr>
        <w:t xml:space="preserve"> </w:t>
      </w:r>
      <w:r w:rsidR="00947B36" w:rsidRPr="00D65A38">
        <w:rPr>
          <w:color w:val="000000" w:themeColor="text1"/>
        </w:rPr>
        <w:t>201</w:t>
      </w:r>
      <w:r w:rsidR="00E01857">
        <w:rPr>
          <w:color w:val="000000" w:themeColor="text1"/>
        </w:rPr>
        <w:t>5</w:t>
      </w:r>
      <w:r w:rsidR="00D65A38" w:rsidRPr="00D65A38">
        <w:rPr>
          <w:color w:val="000000" w:themeColor="text1"/>
        </w:rPr>
        <w:t xml:space="preserve">, </w:t>
      </w:r>
      <w:r w:rsidR="00E01857">
        <w:rPr>
          <w:color w:val="000000" w:themeColor="text1"/>
        </w:rPr>
        <w:t>same</w:t>
      </w:r>
      <w:r w:rsidR="00D741BD">
        <w:rPr>
          <w:color w:val="000000" w:themeColor="text1"/>
        </w:rPr>
        <w:t xml:space="preserve"> amount</w:t>
      </w:r>
      <w:r w:rsidR="00E01857">
        <w:rPr>
          <w:color w:val="000000" w:themeColor="text1"/>
        </w:rPr>
        <w:t xml:space="preserve"> </w:t>
      </w:r>
      <w:r w:rsidR="00C40B3F">
        <w:rPr>
          <w:color w:val="000000" w:themeColor="text1"/>
        </w:rPr>
        <w:t xml:space="preserve">(in real terms) </w:t>
      </w:r>
      <w:r w:rsidR="00E01857">
        <w:rPr>
          <w:color w:val="000000" w:themeColor="text1"/>
        </w:rPr>
        <w:t xml:space="preserve">as </w:t>
      </w:r>
      <w:r w:rsidR="00602D97" w:rsidRPr="00D65A38">
        <w:rPr>
          <w:color w:val="000000" w:themeColor="text1"/>
        </w:rPr>
        <w:t>at 30</w:t>
      </w:r>
      <w:r w:rsidR="007D1214">
        <w:rPr>
          <w:color w:val="000000" w:themeColor="text1"/>
        </w:rPr>
        <w:t> </w:t>
      </w:r>
      <w:r w:rsidR="00602D97" w:rsidRPr="00D65A38">
        <w:rPr>
          <w:color w:val="000000" w:themeColor="text1"/>
        </w:rPr>
        <w:t>June 2</w:t>
      </w:r>
      <w:r w:rsidR="00E01857">
        <w:rPr>
          <w:color w:val="000000" w:themeColor="text1"/>
        </w:rPr>
        <w:t>011</w:t>
      </w:r>
      <w:r w:rsidR="00602D97" w:rsidRPr="00D65A38">
        <w:rPr>
          <w:color w:val="000000" w:themeColor="text1"/>
        </w:rPr>
        <w:t xml:space="preserve">. </w:t>
      </w:r>
      <w:r w:rsidR="00781CD1" w:rsidRPr="00D65A38">
        <w:rPr>
          <w:color w:val="000000" w:themeColor="text1"/>
        </w:rPr>
        <w:t>These </w:t>
      </w:r>
      <w:r w:rsidR="00C40B3F">
        <w:rPr>
          <w:color w:val="000000" w:themeColor="text1"/>
        </w:rPr>
        <w:t xml:space="preserve">amounts </w:t>
      </w:r>
      <w:r w:rsidR="009C4698" w:rsidRPr="00D65A38">
        <w:rPr>
          <w:color w:val="000000" w:themeColor="text1"/>
        </w:rPr>
        <w:t>var</w:t>
      </w:r>
      <w:r w:rsidR="00DA0165" w:rsidRPr="00D65A38">
        <w:rPr>
          <w:color w:val="000000" w:themeColor="text1"/>
        </w:rPr>
        <w:t>ied</w:t>
      </w:r>
      <w:r w:rsidRPr="00D65A38">
        <w:rPr>
          <w:color w:val="000000" w:themeColor="text1"/>
        </w:rPr>
        <w:t xml:space="preserve"> across jurisdictions</w:t>
      </w:r>
      <w:r w:rsidR="00304DE7">
        <w:rPr>
          <w:color w:val="000000" w:themeColor="text1"/>
        </w:rPr>
        <w:t xml:space="preserve"> (figure 17.10</w:t>
      </w:r>
      <w:r w:rsidR="00602D97" w:rsidRPr="00D65A38">
        <w:rPr>
          <w:color w:val="000000" w:themeColor="text1"/>
        </w:rPr>
        <w:t>).</w:t>
      </w:r>
    </w:p>
    <w:p w:rsidR="0024255E" w:rsidRDefault="0024255E" w:rsidP="007D2DA3">
      <w:pPr>
        <w:pStyle w:val="Figurespace"/>
      </w:pPr>
    </w:p>
    <w:tbl>
      <w:tblPr>
        <w:tblW w:w="4843" w:type="pct"/>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8"/>
      </w:tblGrid>
      <w:tr w:rsidR="0024255E" w:rsidTr="00F44E27">
        <w:tc>
          <w:tcPr>
            <w:tcW w:w="5000" w:type="pct"/>
            <w:tcBorders>
              <w:top w:val="single" w:sz="6" w:space="0" w:color="78A22F"/>
              <w:left w:val="nil"/>
              <w:bottom w:val="nil"/>
              <w:right w:val="nil"/>
            </w:tcBorders>
            <w:shd w:val="clear" w:color="auto" w:fill="auto"/>
          </w:tcPr>
          <w:p w:rsidR="0024255E" w:rsidRPr="00176D3F" w:rsidRDefault="0024255E" w:rsidP="00FE1DE7">
            <w:pPr>
              <w:pStyle w:val="FigureTitle"/>
            </w:pPr>
            <w:r w:rsidRPr="00784A05">
              <w:rPr>
                <w:b w:val="0"/>
              </w:rPr>
              <w:t xml:space="preserve">Figure </w:t>
            </w:r>
            <w:r w:rsidR="00304DE7">
              <w:rPr>
                <w:b w:val="0"/>
              </w:rPr>
              <w:t>17.10</w:t>
            </w:r>
            <w:r>
              <w:tab/>
            </w:r>
            <w:r w:rsidRPr="0024255E">
              <w:t>Average weekly subsidy per rebated household at 30 June (201</w:t>
            </w:r>
            <w:r w:rsidR="00BB3D0A">
              <w:t>4</w:t>
            </w:r>
            <w:r w:rsidR="007D1214">
              <w:noBreakHyphen/>
            </w:r>
            <w:r w:rsidRPr="0024255E">
              <w:t>1</w:t>
            </w:r>
            <w:r w:rsidR="00BB3D0A">
              <w:t>5</w:t>
            </w:r>
            <w:r w:rsidRPr="0024255E">
              <w:t xml:space="preserve"> dollars)</w:t>
            </w:r>
            <w:r w:rsidR="002F4C8D">
              <w:rPr>
                <w:rStyle w:val="NoteLabel"/>
                <w:b/>
              </w:rPr>
              <w:t>a</w:t>
            </w:r>
          </w:p>
        </w:tc>
      </w:tr>
      <w:tr w:rsidR="0024255E" w:rsidTr="00966825">
        <w:tblPrEx>
          <w:tblCellMar>
            <w:left w:w="108" w:type="dxa"/>
            <w:right w:w="108" w:type="dxa"/>
          </w:tblCellMar>
        </w:tblPrEx>
        <w:tc>
          <w:tcPr>
            <w:tcW w:w="5000" w:type="pct"/>
            <w:tcBorders>
              <w:top w:val="nil"/>
              <w:left w:val="nil"/>
              <w:bottom w:val="nil"/>
              <w:right w:val="nil"/>
            </w:tcBorders>
            <w:shd w:val="clear" w:color="auto" w:fill="auto"/>
          </w:tcPr>
          <w:p w:rsidR="0024255E" w:rsidRDefault="008A3CDF" w:rsidP="008A3CDF">
            <w:pPr>
              <w:pStyle w:val="Figure"/>
            </w:pPr>
            <w:r>
              <w:rPr>
                <w:rFonts w:ascii="Arial" w:hAnsi="Arial" w:cs="Arial"/>
                <w:b/>
                <w:noProof/>
                <w:sz w:val="20"/>
              </w:rPr>
              <w:drawing>
                <wp:inline distT="0" distB="0" distL="0" distR="0" wp14:anchorId="61A04E6E" wp14:editId="5DEDABB9">
                  <wp:extent cx="5361940" cy="2524125"/>
                  <wp:effectExtent l="0" t="0" r="0" b="9525"/>
                  <wp:docPr id="4" name="Picture 4" descr="Figure 17.10 Average weekly subsidy per rebated household at 30 June (2014-15 dollars)&#10;&#10;Public housing&#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361940" cy="2524125"/>
                          </a:xfrm>
                          <a:prstGeom prst="rect">
                            <a:avLst/>
                          </a:prstGeom>
                          <a:noFill/>
                        </pic:spPr>
                      </pic:pic>
                    </a:graphicData>
                  </a:graphic>
                </wp:inline>
              </w:drawing>
            </w:r>
            <w:r>
              <w:rPr>
                <w:noProof/>
              </w:rPr>
              <w:drawing>
                <wp:inline distT="0" distB="0" distL="0" distR="0" wp14:anchorId="01E1C947" wp14:editId="4DF35FF1">
                  <wp:extent cx="5401310" cy="2517775"/>
                  <wp:effectExtent l="0" t="0" r="8890" b="0"/>
                  <wp:docPr id="5" name="Picture 5" descr="Figure 17.10 Average weekly subsidy per rebated household at 30 June (2014-15 dollars)&#10;&#10;SOMIH&#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401310" cy="2517775"/>
                          </a:xfrm>
                          <a:prstGeom prst="rect">
                            <a:avLst/>
                          </a:prstGeom>
                          <a:noFill/>
                        </pic:spPr>
                      </pic:pic>
                    </a:graphicData>
                  </a:graphic>
                </wp:inline>
              </w:drawing>
            </w:r>
            <w:r w:rsidR="00333E05">
              <w:rPr>
                <w:noProof/>
              </w:rPr>
              <w:drawing>
                <wp:inline distT="0" distB="0" distL="0" distR="0" wp14:anchorId="0CB46E68" wp14:editId="00FC4BB3">
                  <wp:extent cx="5400675" cy="314325"/>
                  <wp:effectExtent l="0" t="0" r="9525" b="9525"/>
                  <wp:docPr id="28" name="Picture 28" descr="Legend to Figure 17.10 Average weekly subsidy per rebated household at 30 June (2014-15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400675" cy="314325"/>
                          </a:xfrm>
                          <a:prstGeom prst="rect">
                            <a:avLst/>
                          </a:prstGeom>
                          <a:noFill/>
                          <a:ln>
                            <a:noFill/>
                          </a:ln>
                        </pic:spPr>
                      </pic:pic>
                    </a:graphicData>
                  </a:graphic>
                </wp:inline>
              </w:drawing>
            </w:r>
          </w:p>
        </w:tc>
      </w:tr>
      <w:tr w:rsidR="0024255E" w:rsidRPr="00176D3F" w:rsidTr="00F44E27">
        <w:tc>
          <w:tcPr>
            <w:tcW w:w="5000" w:type="pct"/>
            <w:tcBorders>
              <w:top w:val="nil"/>
              <w:left w:val="nil"/>
              <w:bottom w:val="nil"/>
              <w:right w:val="nil"/>
            </w:tcBorders>
            <w:shd w:val="clear" w:color="auto" w:fill="auto"/>
          </w:tcPr>
          <w:p w:rsidR="0024255E" w:rsidRPr="00176D3F" w:rsidRDefault="0024255E" w:rsidP="00BB3D0A">
            <w:pPr>
              <w:pStyle w:val="Note"/>
            </w:pPr>
            <w:r>
              <w:rPr>
                <w:rStyle w:val="NoteLabel"/>
              </w:rPr>
              <w:t>a</w:t>
            </w:r>
            <w:r w:rsidR="00406A10" w:rsidRPr="00621A35">
              <w:t> </w:t>
            </w:r>
            <w:r w:rsidR="00451C44">
              <w:t>See box</w:t>
            </w:r>
            <w:r w:rsidR="007D1214">
              <w:t> </w:t>
            </w:r>
            <w:r w:rsidR="00451C44">
              <w:t>17.14</w:t>
            </w:r>
            <w:r w:rsidR="00BB3D0A">
              <w:t xml:space="preserve"> and tables</w:t>
            </w:r>
            <w:r w:rsidR="007D1214">
              <w:t> </w:t>
            </w:r>
            <w:proofErr w:type="spellStart"/>
            <w:r w:rsidR="00BB3D0A">
              <w:t>17A.40</w:t>
            </w:r>
            <w:proofErr w:type="spellEnd"/>
            <w:r w:rsidR="007D1214">
              <w:noBreakHyphen/>
            </w:r>
            <w:r w:rsidR="00BB3D0A">
              <w:t xml:space="preserve">41 and </w:t>
            </w:r>
            <w:proofErr w:type="spellStart"/>
            <w:r w:rsidR="00BB3D0A">
              <w:t>17A.58</w:t>
            </w:r>
            <w:proofErr w:type="spellEnd"/>
            <w:r w:rsidR="00BB3D0A">
              <w:t xml:space="preserve">  </w:t>
            </w:r>
            <w:r w:rsidR="00AC0EFD">
              <w:t>for detailed definitions, footnotes and caveats.</w:t>
            </w:r>
          </w:p>
        </w:tc>
      </w:tr>
      <w:tr w:rsidR="0024255E" w:rsidRPr="00176D3F" w:rsidTr="00F44E27">
        <w:tc>
          <w:tcPr>
            <w:tcW w:w="5000" w:type="pct"/>
            <w:tcBorders>
              <w:top w:val="nil"/>
              <w:left w:val="nil"/>
              <w:bottom w:val="nil"/>
              <w:right w:val="nil"/>
            </w:tcBorders>
            <w:shd w:val="clear" w:color="auto" w:fill="auto"/>
          </w:tcPr>
          <w:p w:rsidR="0024255E" w:rsidRPr="00176D3F" w:rsidRDefault="0024255E" w:rsidP="00BB3D0A">
            <w:pPr>
              <w:pStyle w:val="Source"/>
            </w:pPr>
            <w:r>
              <w:rPr>
                <w:i/>
              </w:rPr>
              <w:t>S</w:t>
            </w:r>
            <w:r w:rsidRPr="00784A05">
              <w:rPr>
                <w:i/>
              </w:rPr>
              <w:t>ource</w:t>
            </w:r>
            <w:r w:rsidR="00D725AC">
              <w:rPr>
                <w:i/>
              </w:rPr>
              <w:t>:</w:t>
            </w:r>
            <w:r w:rsidR="0078599A" w:rsidRPr="0078599A">
              <w:rPr>
                <w:rFonts w:ascii="Times New Roman" w:hAnsi="Times New Roman"/>
                <w:sz w:val="24"/>
                <w:szCs w:val="24"/>
              </w:rPr>
              <w:t xml:space="preserve"> </w:t>
            </w:r>
            <w:r w:rsidR="0078599A" w:rsidRPr="0078599A">
              <w:t xml:space="preserve">AIHW (unpublished) </w:t>
            </w:r>
            <w:r w:rsidR="00334274" w:rsidRPr="007D2DA3">
              <w:t>National Housing Assistance Data Repository</w:t>
            </w:r>
            <w:r w:rsidR="00E058A4">
              <w:rPr>
                <w:i/>
              </w:rPr>
              <w:t xml:space="preserve">, </w:t>
            </w:r>
            <w:proofErr w:type="spellStart"/>
            <w:r w:rsidR="00E058A4">
              <w:t>17A.40</w:t>
            </w:r>
            <w:proofErr w:type="spellEnd"/>
            <w:r w:rsidR="007D1214">
              <w:noBreakHyphen/>
            </w:r>
            <w:r w:rsidR="00E058A4">
              <w:t>41</w:t>
            </w:r>
            <w:r w:rsidR="00BB3D0A">
              <w:t>.</w:t>
            </w:r>
          </w:p>
        </w:tc>
      </w:tr>
      <w:tr w:rsidR="0024255E" w:rsidTr="00F44E27">
        <w:tc>
          <w:tcPr>
            <w:tcW w:w="5000" w:type="pct"/>
            <w:tcBorders>
              <w:top w:val="nil"/>
              <w:left w:val="nil"/>
              <w:bottom w:val="single" w:sz="6" w:space="0" w:color="78A22F"/>
              <w:right w:val="nil"/>
            </w:tcBorders>
            <w:shd w:val="clear" w:color="auto" w:fill="auto"/>
          </w:tcPr>
          <w:p w:rsidR="0024255E" w:rsidRDefault="0024255E" w:rsidP="004237A3">
            <w:pPr>
              <w:pStyle w:val="Figurespace"/>
            </w:pPr>
          </w:p>
        </w:tc>
      </w:tr>
      <w:tr w:rsidR="0024255E" w:rsidRPr="000863A5" w:rsidTr="00F44E27">
        <w:tc>
          <w:tcPr>
            <w:tcW w:w="5000" w:type="pct"/>
            <w:tcBorders>
              <w:top w:val="single" w:sz="6" w:space="0" w:color="78A22F"/>
              <w:left w:val="nil"/>
              <w:bottom w:val="nil"/>
              <w:right w:val="nil"/>
            </w:tcBorders>
          </w:tcPr>
          <w:p w:rsidR="0024255E" w:rsidRPr="00626D32" w:rsidRDefault="0024255E" w:rsidP="004237A3">
            <w:pPr>
              <w:pStyle w:val="BoxSpaceBelow"/>
            </w:pPr>
          </w:p>
        </w:tc>
      </w:tr>
    </w:tbl>
    <w:p w:rsidR="00AF7C87" w:rsidRPr="00AF7C87" w:rsidRDefault="00AF7C87" w:rsidP="00AF7C87">
      <w:pPr>
        <w:pStyle w:val="Heading5"/>
        <w:spacing w:before="0" w:line="240" w:lineRule="auto"/>
        <w:rPr>
          <w:rFonts w:ascii="Calibri" w:hAnsi="Calibri"/>
          <w:i w:val="0"/>
          <w:sz w:val="16"/>
          <w:szCs w:val="16"/>
        </w:rPr>
      </w:pPr>
      <w:r w:rsidRPr="00AF7C87">
        <w:rPr>
          <w:rFonts w:ascii="Calibri" w:hAnsi="Calibri"/>
          <w:i w:val="0"/>
          <w:sz w:val="16"/>
          <w:szCs w:val="16"/>
        </w:rPr>
        <w:lastRenderedPageBreak/>
        <w:t xml:space="preserve">This page has changed since </w:t>
      </w:r>
      <w:r w:rsidR="00517919">
        <w:rPr>
          <w:rFonts w:ascii="Calibri" w:hAnsi="Calibri"/>
          <w:i w:val="0"/>
          <w:sz w:val="16"/>
          <w:szCs w:val="16"/>
        </w:rPr>
        <w:t xml:space="preserve">an earlier version of </w:t>
      </w:r>
      <w:r w:rsidRPr="00AF7C87">
        <w:rPr>
          <w:rFonts w:ascii="Calibri" w:hAnsi="Calibri"/>
          <w:i w:val="0"/>
          <w:sz w:val="16"/>
          <w:szCs w:val="16"/>
        </w:rPr>
        <w:t xml:space="preserve">the Report. </w:t>
      </w:r>
      <w:r w:rsidR="00226F73">
        <w:rPr>
          <w:rFonts w:ascii="Calibri" w:hAnsi="Calibri"/>
          <w:i w:val="0"/>
          <w:sz w:val="16"/>
          <w:szCs w:val="16"/>
        </w:rPr>
        <w:br/>
      </w:r>
      <w:r w:rsidRPr="00AF7C87">
        <w:rPr>
          <w:rFonts w:ascii="Calibri" w:hAnsi="Calibri"/>
          <w:i w:val="0"/>
          <w:sz w:val="16"/>
          <w:szCs w:val="16"/>
        </w:rPr>
        <w:t>See errata at www.pc.gov.au/research/recurring/report-on</w:t>
      </w:r>
      <w:r>
        <w:rPr>
          <w:rFonts w:ascii="Calibri" w:hAnsi="Calibri"/>
          <w:i w:val="0"/>
          <w:sz w:val="16"/>
          <w:szCs w:val="16"/>
        </w:rPr>
        <w:noBreakHyphen/>
      </w:r>
      <w:r w:rsidRPr="00AF7C87">
        <w:rPr>
          <w:rFonts w:ascii="Calibri" w:hAnsi="Calibri"/>
          <w:i w:val="0"/>
          <w:sz w:val="16"/>
          <w:szCs w:val="16"/>
        </w:rPr>
        <w:t>government-services/201</w:t>
      </w:r>
      <w:r>
        <w:rPr>
          <w:rFonts w:ascii="Calibri" w:hAnsi="Calibri"/>
          <w:i w:val="0"/>
          <w:sz w:val="16"/>
          <w:szCs w:val="16"/>
        </w:rPr>
        <w:t>6</w:t>
      </w:r>
      <w:r w:rsidRPr="00AF7C87">
        <w:rPr>
          <w:rFonts w:ascii="Calibri" w:hAnsi="Calibri"/>
          <w:i w:val="0"/>
          <w:sz w:val="16"/>
          <w:szCs w:val="16"/>
        </w:rPr>
        <w:t>/housing-and-homelessness</w:t>
      </w:r>
      <w:r w:rsidR="00517919">
        <w:rPr>
          <w:rFonts w:ascii="Calibri" w:hAnsi="Calibri"/>
          <w:i w:val="0"/>
          <w:sz w:val="16"/>
          <w:szCs w:val="16"/>
        </w:rPr>
        <w:t>#errata</w:t>
      </w:r>
      <w:r>
        <w:rPr>
          <w:rFonts w:ascii="Calibri" w:hAnsi="Calibri"/>
          <w:i w:val="0"/>
          <w:sz w:val="16"/>
          <w:szCs w:val="16"/>
        </w:rPr>
        <w:t>.</w:t>
      </w:r>
    </w:p>
    <w:p w:rsidR="00B23387" w:rsidRDefault="00014766" w:rsidP="002B11E7">
      <w:pPr>
        <w:pStyle w:val="Heading5"/>
        <w:spacing w:before="240"/>
      </w:pPr>
      <w:r w:rsidRPr="00F13C00">
        <w:t xml:space="preserve">Proportion of low income households </w:t>
      </w:r>
      <w:r w:rsidR="001E3B6B">
        <w:t xml:space="preserve">in social housing </w:t>
      </w:r>
      <w:r w:rsidRPr="00F13C00">
        <w:t xml:space="preserve">spending more than 30 per cent of their </w:t>
      </w:r>
      <w:r w:rsidR="00892C22">
        <w:t xml:space="preserve">gross </w:t>
      </w:r>
      <w:r w:rsidRPr="00F13C00">
        <w:t>income on rent</w:t>
      </w:r>
    </w:p>
    <w:p w:rsidR="00E965D7" w:rsidRDefault="00E965D7" w:rsidP="00A43567">
      <w:pPr>
        <w:pStyle w:val="BodyText"/>
      </w:pPr>
      <w:r w:rsidRPr="00DA73E5">
        <w:t>At 30</w:t>
      </w:r>
      <w:r w:rsidR="007D1214">
        <w:t> </w:t>
      </w:r>
      <w:r w:rsidRPr="00DA73E5">
        <w:t>June 201</w:t>
      </w:r>
      <w:r w:rsidR="00A505F8">
        <w:t>5</w:t>
      </w:r>
      <w:r w:rsidR="00CD07C1">
        <w:t>,</w:t>
      </w:r>
      <w:r w:rsidR="00A505F8">
        <w:t xml:space="preserve"> the majority of all households in social housing were low income households</w:t>
      </w:r>
      <w:r w:rsidR="00B23387">
        <w:t>. Of tho</w:t>
      </w:r>
      <w:r w:rsidR="00A505F8">
        <w:t>se in:</w:t>
      </w:r>
    </w:p>
    <w:p w:rsidR="00E965D7" w:rsidRPr="00E16A86" w:rsidRDefault="00A505F8" w:rsidP="0033431F">
      <w:pPr>
        <w:pStyle w:val="ListBullet"/>
        <w:rPr>
          <w:color w:val="000000" w:themeColor="text1"/>
        </w:rPr>
      </w:pPr>
      <w:r>
        <w:rPr>
          <w:color w:val="000000" w:themeColor="text1"/>
        </w:rPr>
        <w:t xml:space="preserve">public housing </w:t>
      </w:r>
      <w:r>
        <w:rPr>
          <w:rFonts w:ascii="Arial" w:hAnsi="Arial" w:cs="Arial"/>
          <w:color w:val="252525"/>
          <w:sz w:val="21"/>
          <w:szCs w:val="21"/>
          <w:shd w:val="clear" w:color="auto" w:fill="FFFFFF"/>
        </w:rPr>
        <w:t>—</w:t>
      </w:r>
      <w:r>
        <w:rPr>
          <w:color w:val="000000" w:themeColor="text1"/>
        </w:rPr>
        <w:t xml:space="preserve"> </w:t>
      </w:r>
      <w:r w:rsidR="007752F1" w:rsidRPr="00E16A86">
        <w:rPr>
          <w:color w:val="000000" w:themeColor="text1"/>
        </w:rPr>
        <w:t>9</w:t>
      </w:r>
      <w:r w:rsidR="00E16A86">
        <w:rPr>
          <w:color w:val="000000" w:themeColor="text1"/>
        </w:rPr>
        <w:t>7</w:t>
      </w:r>
      <w:r w:rsidR="00A43567">
        <w:rPr>
          <w:color w:val="000000" w:themeColor="text1"/>
        </w:rPr>
        <w:t>.8</w:t>
      </w:r>
      <w:r w:rsidR="00AD1829" w:rsidRPr="00E16A86">
        <w:rPr>
          <w:color w:val="000000" w:themeColor="text1"/>
        </w:rPr>
        <w:t xml:space="preserve"> </w:t>
      </w:r>
      <w:r w:rsidR="00E965D7" w:rsidRPr="00E16A86">
        <w:rPr>
          <w:color w:val="000000" w:themeColor="text1"/>
        </w:rPr>
        <w:t xml:space="preserve">per cent </w:t>
      </w:r>
      <w:r>
        <w:rPr>
          <w:color w:val="000000" w:themeColor="text1"/>
        </w:rPr>
        <w:t>were low income households</w:t>
      </w:r>
      <w:r w:rsidR="00730FBD" w:rsidRPr="00E16A86">
        <w:rPr>
          <w:color w:val="000000" w:themeColor="text1"/>
        </w:rPr>
        <w:t xml:space="preserve">, of which </w:t>
      </w:r>
      <w:r w:rsidR="000B739B" w:rsidRPr="00E16A86">
        <w:rPr>
          <w:color w:val="000000" w:themeColor="text1"/>
        </w:rPr>
        <w:t>0.</w:t>
      </w:r>
      <w:r w:rsidR="00A43567">
        <w:rPr>
          <w:color w:val="000000" w:themeColor="text1"/>
        </w:rPr>
        <w:t>9</w:t>
      </w:r>
      <w:r w:rsidR="005168D0" w:rsidRPr="00E16A86">
        <w:rPr>
          <w:color w:val="000000" w:themeColor="text1"/>
        </w:rPr>
        <w:t xml:space="preserve"> per cent were </w:t>
      </w:r>
      <w:r w:rsidR="00B23387">
        <w:rPr>
          <w:color w:val="000000" w:themeColor="text1"/>
        </w:rPr>
        <w:t>in rental stress</w:t>
      </w:r>
      <w:r w:rsidR="001D120C">
        <w:rPr>
          <w:color w:val="000000" w:themeColor="text1"/>
        </w:rPr>
        <w:t xml:space="preserve"> (0.3</w:t>
      </w:r>
      <w:r w:rsidR="00F15CDA">
        <w:rPr>
          <w:color w:val="000000" w:themeColor="text1"/>
        </w:rPr>
        <w:t xml:space="preserve"> per cent in 2011)</w:t>
      </w:r>
    </w:p>
    <w:p w:rsidR="00E965D7" w:rsidRPr="00E16A86" w:rsidRDefault="00A505F8" w:rsidP="00E965D7">
      <w:pPr>
        <w:pStyle w:val="ListBullet"/>
        <w:rPr>
          <w:color w:val="000000" w:themeColor="text1"/>
        </w:rPr>
      </w:pPr>
      <w:r>
        <w:rPr>
          <w:color w:val="000000" w:themeColor="text1"/>
        </w:rPr>
        <w:t xml:space="preserve">SOMIH </w:t>
      </w:r>
      <w:r>
        <w:rPr>
          <w:rFonts w:ascii="Arial" w:hAnsi="Arial" w:cs="Arial"/>
          <w:color w:val="252525"/>
          <w:sz w:val="21"/>
          <w:szCs w:val="21"/>
          <w:shd w:val="clear" w:color="auto" w:fill="FFFFFF"/>
        </w:rPr>
        <w:t xml:space="preserve">— </w:t>
      </w:r>
      <w:r w:rsidR="00730FBD" w:rsidRPr="00E16A86">
        <w:rPr>
          <w:color w:val="000000" w:themeColor="text1"/>
        </w:rPr>
        <w:t>9</w:t>
      </w:r>
      <w:r w:rsidR="00A43567">
        <w:rPr>
          <w:color w:val="000000" w:themeColor="text1"/>
        </w:rPr>
        <w:t>5.4</w:t>
      </w:r>
      <w:r w:rsidR="00E965D7" w:rsidRPr="00E16A86">
        <w:rPr>
          <w:color w:val="000000" w:themeColor="text1"/>
        </w:rPr>
        <w:t xml:space="preserve"> per cent were low income households</w:t>
      </w:r>
      <w:r w:rsidR="005168D0" w:rsidRPr="00E16A86">
        <w:rPr>
          <w:color w:val="000000" w:themeColor="text1"/>
        </w:rPr>
        <w:t xml:space="preserve">, of which </w:t>
      </w:r>
      <w:r w:rsidR="00730FBD" w:rsidRPr="00E16A86">
        <w:rPr>
          <w:color w:val="000000" w:themeColor="text1"/>
        </w:rPr>
        <w:t>0.</w:t>
      </w:r>
      <w:r w:rsidR="00A43567">
        <w:rPr>
          <w:color w:val="000000" w:themeColor="text1"/>
        </w:rPr>
        <w:t>3</w:t>
      </w:r>
      <w:r w:rsidR="00AC47B6" w:rsidRPr="00E16A86">
        <w:rPr>
          <w:color w:val="000000" w:themeColor="text1"/>
        </w:rPr>
        <w:t> </w:t>
      </w:r>
      <w:r w:rsidR="005168D0" w:rsidRPr="00E16A86">
        <w:rPr>
          <w:color w:val="000000" w:themeColor="text1"/>
        </w:rPr>
        <w:t xml:space="preserve">per cent were </w:t>
      </w:r>
      <w:r w:rsidR="00B23387">
        <w:rPr>
          <w:color w:val="000000" w:themeColor="text1"/>
        </w:rPr>
        <w:t>in rental stress</w:t>
      </w:r>
      <w:r w:rsidR="00F15CDA">
        <w:rPr>
          <w:color w:val="000000" w:themeColor="text1"/>
        </w:rPr>
        <w:t xml:space="preserve"> (0.2 per cent in 2011)</w:t>
      </w:r>
    </w:p>
    <w:p w:rsidR="00E965D7" w:rsidRPr="0022319C" w:rsidRDefault="00A505F8" w:rsidP="0022319C">
      <w:pPr>
        <w:pStyle w:val="ListBullet"/>
      </w:pPr>
      <w:r w:rsidRPr="0022319C">
        <w:t xml:space="preserve">community housing — </w:t>
      </w:r>
      <w:r w:rsidR="000301BC" w:rsidRPr="0022319C">
        <w:t>93.8</w:t>
      </w:r>
      <w:r w:rsidR="000B739B" w:rsidRPr="0022319C">
        <w:t xml:space="preserve"> </w:t>
      </w:r>
      <w:r w:rsidR="00E965D7" w:rsidRPr="0022319C">
        <w:t>per cent were low income households</w:t>
      </w:r>
      <w:r w:rsidR="00BE1C0E" w:rsidRPr="0022319C">
        <w:t>, of whic</w:t>
      </w:r>
      <w:r w:rsidR="00293868" w:rsidRPr="0022319C">
        <w:t xml:space="preserve">h </w:t>
      </w:r>
      <w:r w:rsidR="007C28DB" w:rsidRPr="0022319C">
        <w:t>8.7</w:t>
      </w:r>
      <w:r w:rsidR="00293868" w:rsidRPr="0022319C">
        <w:t xml:space="preserve"> </w:t>
      </w:r>
      <w:r w:rsidR="005168D0" w:rsidRPr="0022319C">
        <w:t xml:space="preserve">per cent were </w:t>
      </w:r>
      <w:r w:rsidR="00B23387" w:rsidRPr="0022319C">
        <w:t>in rental stress</w:t>
      </w:r>
      <w:r w:rsidR="00F15CDA" w:rsidRPr="0022319C">
        <w:t xml:space="preserve"> (</w:t>
      </w:r>
      <w:r w:rsidR="001D120C" w:rsidRPr="0022319C">
        <w:t>12.5</w:t>
      </w:r>
      <w:r w:rsidR="00F15CDA" w:rsidRPr="0022319C">
        <w:t xml:space="preserve"> per</w:t>
      </w:r>
      <w:r w:rsidR="001D120C" w:rsidRPr="0022319C">
        <w:t xml:space="preserve"> cent</w:t>
      </w:r>
      <w:r w:rsidR="00F15CDA" w:rsidRPr="0022319C">
        <w:t xml:space="preserve"> in 2011)</w:t>
      </w:r>
      <w:r w:rsidR="00B23387" w:rsidRPr="0022319C">
        <w:t xml:space="preserve"> </w:t>
      </w:r>
      <w:r w:rsidR="008B555F" w:rsidRPr="0022319C">
        <w:t>(table</w:t>
      </w:r>
      <w:r w:rsidR="008F46D1" w:rsidRPr="0022319C">
        <w:t>s</w:t>
      </w:r>
      <w:r w:rsidR="007D1214">
        <w:t> </w:t>
      </w:r>
      <w:proofErr w:type="spellStart"/>
      <w:r w:rsidR="00B80C21" w:rsidRPr="0022319C">
        <w:t>17A</w:t>
      </w:r>
      <w:r w:rsidR="008B555F" w:rsidRPr="0022319C">
        <w:t>.</w:t>
      </w:r>
      <w:r w:rsidR="00101790" w:rsidRPr="0022319C">
        <w:t>4</w:t>
      </w:r>
      <w:r w:rsidR="00A43567" w:rsidRPr="0022319C">
        <w:t>2</w:t>
      </w:r>
      <w:proofErr w:type="spellEnd"/>
      <w:r w:rsidR="007D1214">
        <w:noBreakHyphen/>
      </w:r>
      <w:r w:rsidR="008F46D1" w:rsidRPr="0022319C">
        <w:t>4</w:t>
      </w:r>
      <w:r w:rsidR="00A43567" w:rsidRPr="0022319C">
        <w:t>3</w:t>
      </w:r>
      <w:r w:rsidR="005168D0" w:rsidRPr="0022319C">
        <w:t xml:space="preserve"> and table </w:t>
      </w:r>
      <w:r w:rsidR="00463387" w:rsidRPr="0022319C">
        <w:t>17.</w:t>
      </w:r>
      <w:r w:rsidR="00DD1057" w:rsidRPr="0022319C">
        <w:t>7</w:t>
      </w:r>
      <w:r w:rsidR="008B555F" w:rsidRPr="0022319C">
        <w:t>)</w:t>
      </w:r>
      <w:r w:rsidR="00E965D7" w:rsidRPr="0022319C">
        <w:t>.</w:t>
      </w:r>
    </w:p>
    <w:p w:rsidR="00E87BC2" w:rsidRPr="00DA73E5" w:rsidRDefault="00E87BC2" w:rsidP="00E87BC2">
      <w:pPr>
        <w:pStyle w:val="BodyText"/>
      </w:pPr>
      <w:r>
        <w:t xml:space="preserve">Further </w:t>
      </w:r>
      <w:r w:rsidRPr="00DA73E5">
        <w:t>information on the proportion of income paid in rent by low income households is provided in tables </w:t>
      </w:r>
      <w:proofErr w:type="spellStart"/>
      <w:r w:rsidR="00B80C21">
        <w:t>17A</w:t>
      </w:r>
      <w:r w:rsidR="003679BA">
        <w:t>.4</w:t>
      </w:r>
      <w:r w:rsidR="00A43567">
        <w:t>4</w:t>
      </w:r>
      <w:proofErr w:type="spellEnd"/>
      <w:r w:rsidR="003679BA">
        <w:t>–</w:t>
      </w:r>
      <w:r>
        <w:t>4</w:t>
      </w:r>
      <w:r w:rsidR="00A43567">
        <w:t>7</w:t>
      </w:r>
      <w:r w:rsidRPr="00DA73E5">
        <w:t>.</w:t>
      </w:r>
    </w:p>
    <w:p w:rsidR="00543E21" w:rsidRDefault="00543E21" w:rsidP="004237A3">
      <w:pPr>
        <w:pStyle w:val="BoxSpaceAbove"/>
      </w:pPr>
    </w:p>
    <w:tbl>
      <w:tblPr>
        <w:tblW w:w="4843" w:type="pct"/>
        <w:tblInd w:w="142"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88"/>
      </w:tblGrid>
      <w:tr w:rsidR="00543E21" w:rsidTr="00F44E27">
        <w:tc>
          <w:tcPr>
            <w:tcW w:w="5000" w:type="pct"/>
            <w:tcBorders>
              <w:top w:val="single" w:sz="6" w:space="0" w:color="78A22F" w:themeColor="accent1"/>
              <w:left w:val="nil"/>
              <w:bottom w:val="nil"/>
              <w:right w:val="nil"/>
            </w:tcBorders>
            <w:shd w:val="clear" w:color="auto" w:fill="auto"/>
          </w:tcPr>
          <w:p w:rsidR="00543E21" w:rsidRPr="00784A05" w:rsidRDefault="00CB5252" w:rsidP="001E3B6B">
            <w:pPr>
              <w:pStyle w:val="TableTitle"/>
            </w:pPr>
            <w:r>
              <w:rPr>
                <w:b w:val="0"/>
              </w:rPr>
              <w:t>Table 17.7</w:t>
            </w:r>
            <w:r w:rsidR="00543E21">
              <w:tab/>
            </w:r>
            <w:r w:rsidR="00543E21" w:rsidRPr="00543E21">
              <w:t xml:space="preserve">Proportion of low income </w:t>
            </w:r>
            <w:r w:rsidR="00543E21" w:rsidRPr="005E340A">
              <w:t>households</w:t>
            </w:r>
            <w:r w:rsidR="0090458C" w:rsidRPr="005E340A">
              <w:t>, in social housing,</w:t>
            </w:r>
            <w:r w:rsidR="00543E21" w:rsidRPr="005E340A">
              <w:t xml:space="preserve"> spending more than 30 per cent of their gross income</w:t>
            </w:r>
            <w:r w:rsidR="00543E21" w:rsidRPr="00543E21">
              <w:t xml:space="preserve"> on rent, at 30 June </w:t>
            </w:r>
            <w:r w:rsidR="001E3B6B">
              <w:t>(</w:t>
            </w:r>
            <w:r w:rsidR="00543E21" w:rsidRPr="00543E21">
              <w:t>per cent)</w:t>
            </w:r>
            <w:r w:rsidR="00543E21" w:rsidRPr="00543E21">
              <w:rPr>
                <w:rStyle w:val="NoteLabel"/>
                <w:b/>
              </w:rPr>
              <w:t>a</w:t>
            </w:r>
          </w:p>
        </w:tc>
      </w:tr>
      <w:tr w:rsidR="00543E21" w:rsidTr="00F44E27">
        <w:trPr>
          <w:cantSplit/>
        </w:trPr>
        <w:tc>
          <w:tcPr>
            <w:tcW w:w="5000" w:type="pct"/>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846"/>
              <w:gridCol w:w="852"/>
              <w:gridCol w:w="852"/>
              <w:gridCol w:w="852"/>
              <w:gridCol w:w="852"/>
              <w:gridCol w:w="852"/>
              <w:gridCol w:w="852"/>
              <w:gridCol w:w="852"/>
              <w:gridCol w:w="852"/>
              <w:gridCol w:w="842"/>
            </w:tblGrid>
            <w:tr w:rsidR="00503E02" w:rsidRPr="00F81A7C" w:rsidTr="00F81A7C">
              <w:tc>
                <w:tcPr>
                  <w:tcW w:w="497" w:type="pct"/>
                  <w:tcBorders>
                    <w:top w:val="single" w:sz="4" w:space="0" w:color="BFBFBF" w:themeColor="background2"/>
                    <w:bottom w:val="single" w:sz="4" w:space="0" w:color="BFBFBF" w:themeColor="background2"/>
                  </w:tcBorders>
                  <w:shd w:val="clear" w:color="auto" w:fill="auto"/>
                  <w:tcMar>
                    <w:top w:w="28" w:type="dxa"/>
                  </w:tcMar>
                </w:tcPr>
                <w:p w:rsidR="00503E02" w:rsidRPr="00F81A7C" w:rsidRDefault="00503E02" w:rsidP="00F81A7C">
                  <w:pPr>
                    <w:pStyle w:val="TableColumnHeading"/>
                    <w:ind w:left="0" w:right="28"/>
                    <w:jc w:val="left"/>
                    <w:rPr>
                      <w:rFonts w:asciiTheme="majorHAnsi" w:hAnsiTheme="majorHAnsi" w:cstheme="majorHAnsi"/>
                      <w:szCs w:val="18"/>
                    </w:rPr>
                  </w:pPr>
                </w:p>
              </w:tc>
              <w:tc>
                <w:tcPr>
                  <w:tcW w:w="501" w:type="pct"/>
                  <w:tcBorders>
                    <w:top w:val="single" w:sz="4" w:space="0" w:color="BFBFBF" w:themeColor="background2"/>
                    <w:bottom w:val="single" w:sz="4" w:space="0" w:color="BFBFBF" w:themeColor="background2"/>
                  </w:tcBorders>
                  <w:shd w:val="clear" w:color="auto" w:fill="auto"/>
                  <w:tcMar>
                    <w:top w:w="28" w:type="dxa"/>
                  </w:tcMar>
                </w:tcPr>
                <w:p w:rsidR="00503E02" w:rsidRPr="00F81A7C" w:rsidRDefault="00503E02" w:rsidP="00F81A7C">
                  <w:pPr>
                    <w:pStyle w:val="TableColumnHeading"/>
                    <w:spacing w:before="140"/>
                    <w:ind w:left="0" w:right="28"/>
                    <w:rPr>
                      <w:rFonts w:asciiTheme="majorHAnsi" w:hAnsiTheme="majorHAnsi" w:cstheme="majorHAnsi"/>
                      <w:szCs w:val="18"/>
                    </w:rPr>
                  </w:pPr>
                  <w:r w:rsidRPr="00F81A7C">
                    <w:rPr>
                      <w:rFonts w:asciiTheme="majorHAnsi" w:hAnsiTheme="majorHAnsi" w:cstheme="majorHAnsi"/>
                      <w:szCs w:val="18"/>
                    </w:rPr>
                    <w:t>NSW</w:t>
                  </w:r>
                </w:p>
              </w:tc>
              <w:tc>
                <w:tcPr>
                  <w:tcW w:w="501" w:type="pct"/>
                  <w:tcBorders>
                    <w:top w:val="single" w:sz="4" w:space="0" w:color="BFBFBF" w:themeColor="background2"/>
                    <w:bottom w:val="single" w:sz="4" w:space="0" w:color="BFBFBF" w:themeColor="background2"/>
                  </w:tcBorders>
                </w:tcPr>
                <w:p w:rsidR="00503E02" w:rsidRPr="00F81A7C" w:rsidRDefault="00503E02" w:rsidP="00F81A7C">
                  <w:pPr>
                    <w:pStyle w:val="TableColumnHeading"/>
                    <w:spacing w:before="140"/>
                    <w:ind w:left="0" w:right="28"/>
                    <w:rPr>
                      <w:rFonts w:asciiTheme="majorHAnsi" w:hAnsiTheme="majorHAnsi" w:cstheme="majorHAnsi"/>
                      <w:szCs w:val="18"/>
                    </w:rPr>
                  </w:pPr>
                  <w:r w:rsidRPr="00F81A7C">
                    <w:rPr>
                      <w:rFonts w:asciiTheme="majorHAnsi" w:hAnsiTheme="majorHAnsi" w:cstheme="majorHAnsi"/>
                      <w:szCs w:val="18"/>
                    </w:rPr>
                    <w:t>Vic</w:t>
                  </w:r>
                </w:p>
              </w:tc>
              <w:tc>
                <w:tcPr>
                  <w:tcW w:w="501" w:type="pct"/>
                  <w:tcBorders>
                    <w:top w:val="single" w:sz="4" w:space="0" w:color="BFBFBF" w:themeColor="background2"/>
                    <w:bottom w:val="single" w:sz="4" w:space="0" w:color="BFBFBF" w:themeColor="background2"/>
                  </w:tcBorders>
                </w:tcPr>
                <w:p w:rsidR="00503E02" w:rsidRPr="00F81A7C" w:rsidRDefault="00503E02" w:rsidP="00F81A7C">
                  <w:pPr>
                    <w:pStyle w:val="TableColumnHeading"/>
                    <w:spacing w:before="140"/>
                    <w:ind w:left="0" w:right="28"/>
                    <w:rPr>
                      <w:rFonts w:asciiTheme="majorHAnsi" w:hAnsiTheme="majorHAnsi" w:cstheme="majorHAnsi"/>
                      <w:szCs w:val="18"/>
                    </w:rPr>
                  </w:pPr>
                  <w:r w:rsidRPr="00F81A7C">
                    <w:rPr>
                      <w:rFonts w:asciiTheme="majorHAnsi" w:hAnsiTheme="majorHAnsi" w:cstheme="majorHAnsi"/>
                      <w:szCs w:val="18"/>
                    </w:rPr>
                    <w:t>Qld</w:t>
                  </w:r>
                </w:p>
              </w:tc>
              <w:tc>
                <w:tcPr>
                  <w:tcW w:w="501" w:type="pct"/>
                  <w:tcBorders>
                    <w:top w:val="single" w:sz="4" w:space="0" w:color="BFBFBF" w:themeColor="background2"/>
                    <w:bottom w:val="single" w:sz="4" w:space="0" w:color="BFBFBF" w:themeColor="background2"/>
                  </w:tcBorders>
                </w:tcPr>
                <w:p w:rsidR="00503E02" w:rsidRPr="00F81A7C" w:rsidRDefault="00503E02" w:rsidP="00F81A7C">
                  <w:pPr>
                    <w:pStyle w:val="TableColumnHeading"/>
                    <w:spacing w:before="140"/>
                    <w:ind w:left="0" w:right="28"/>
                    <w:rPr>
                      <w:rFonts w:asciiTheme="majorHAnsi" w:hAnsiTheme="majorHAnsi" w:cstheme="majorHAnsi"/>
                      <w:szCs w:val="18"/>
                    </w:rPr>
                  </w:pPr>
                  <w:r w:rsidRPr="00F81A7C">
                    <w:rPr>
                      <w:rFonts w:asciiTheme="majorHAnsi" w:hAnsiTheme="majorHAnsi" w:cstheme="majorHAnsi"/>
                      <w:szCs w:val="18"/>
                    </w:rPr>
                    <w:t>WA</w:t>
                  </w:r>
                </w:p>
              </w:tc>
              <w:tc>
                <w:tcPr>
                  <w:tcW w:w="501" w:type="pct"/>
                  <w:tcBorders>
                    <w:top w:val="single" w:sz="4" w:space="0" w:color="BFBFBF" w:themeColor="background2"/>
                    <w:bottom w:val="single" w:sz="4" w:space="0" w:color="BFBFBF" w:themeColor="background2"/>
                  </w:tcBorders>
                </w:tcPr>
                <w:p w:rsidR="00503E02" w:rsidRPr="00F81A7C" w:rsidRDefault="00503E02" w:rsidP="00F81A7C">
                  <w:pPr>
                    <w:pStyle w:val="TableColumnHeading"/>
                    <w:spacing w:before="140"/>
                    <w:ind w:left="0" w:right="28"/>
                    <w:rPr>
                      <w:rFonts w:asciiTheme="majorHAnsi" w:hAnsiTheme="majorHAnsi" w:cstheme="majorHAnsi"/>
                      <w:szCs w:val="18"/>
                    </w:rPr>
                  </w:pPr>
                  <w:r w:rsidRPr="00F81A7C">
                    <w:rPr>
                      <w:rFonts w:asciiTheme="majorHAnsi" w:hAnsiTheme="majorHAnsi" w:cstheme="majorHAnsi"/>
                      <w:szCs w:val="18"/>
                    </w:rPr>
                    <w:t>SA</w:t>
                  </w:r>
                </w:p>
              </w:tc>
              <w:tc>
                <w:tcPr>
                  <w:tcW w:w="501" w:type="pct"/>
                  <w:tcBorders>
                    <w:top w:val="single" w:sz="4" w:space="0" w:color="BFBFBF" w:themeColor="background2"/>
                    <w:bottom w:val="single" w:sz="4" w:space="0" w:color="BFBFBF" w:themeColor="background2"/>
                  </w:tcBorders>
                </w:tcPr>
                <w:p w:rsidR="00503E02" w:rsidRPr="00F81A7C" w:rsidRDefault="00503E02" w:rsidP="00F81A7C">
                  <w:pPr>
                    <w:pStyle w:val="TableColumnHeading"/>
                    <w:spacing w:before="140"/>
                    <w:ind w:left="0" w:right="28"/>
                    <w:rPr>
                      <w:rFonts w:asciiTheme="majorHAnsi" w:hAnsiTheme="majorHAnsi" w:cstheme="majorHAnsi"/>
                      <w:szCs w:val="18"/>
                    </w:rPr>
                  </w:pPr>
                  <w:r w:rsidRPr="00F81A7C">
                    <w:rPr>
                      <w:rFonts w:asciiTheme="majorHAnsi" w:hAnsiTheme="majorHAnsi" w:cstheme="majorHAnsi"/>
                      <w:szCs w:val="18"/>
                    </w:rPr>
                    <w:t>Tas</w:t>
                  </w:r>
                </w:p>
              </w:tc>
              <w:tc>
                <w:tcPr>
                  <w:tcW w:w="501" w:type="pct"/>
                  <w:tcBorders>
                    <w:top w:val="single" w:sz="4" w:space="0" w:color="BFBFBF" w:themeColor="background2"/>
                    <w:bottom w:val="single" w:sz="4" w:space="0" w:color="BFBFBF" w:themeColor="background2"/>
                  </w:tcBorders>
                </w:tcPr>
                <w:p w:rsidR="00503E02" w:rsidRPr="00F81A7C" w:rsidRDefault="00503E02" w:rsidP="00F81A7C">
                  <w:pPr>
                    <w:pStyle w:val="TableColumnHeading"/>
                    <w:spacing w:before="140"/>
                    <w:ind w:left="0" w:right="28"/>
                    <w:rPr>
                      <w:rFonts w:asciiTheme="majorHAnsi" w:hAnsiTheme="majorHAnsi" w:cstheme="majorHAnsi"/>
                      <w:szCs w:val="18"/>
                    </w:rPr>
                  </w:pPr>
                  <w:r w:rsidRPr="00F81A7C">
                    <w:rPr>
                      <w:rFonts w:asciiTheme="majorHAnsi" w:hAnsiTheme="majorHAnsi" w:cstheme="majorHAnsi"/>
                      <w:szCs w:val="18"/>
                    </w:rPr>
                    <w:t>ACT</w:t>
                  </w:r>
                </w:p>
              </w:tc>
              <w:tc>
                <w:tcPr>
                  <w:tcW w:w="501" w:type="pct"/>
                  <w:tcBorders>
                    <w:top w:val="single" w:sz="4" w:space="0" w:color="BFBFBF" w:themeColor="background2"/>
                    <w:bottom w:val="single" w:sz="4" w:space="0" w:color="BFBFBF" w:themeColor="background2"/>
                  </w:tcBorders>
                </w:tcPr>
                <w:p w:rsidR="00503E02" w:rsidRPr="00F81A7C" w:rsidRDefault="00503E02" w:rsidP="00F81A7C">
                  <w:pPr>
                    <w:pStyle w:val="TableColumnHeading"/>
                    <w:spacing w:before="140"/>
                    <w:ind w:left="0" w:right="28"/>
                    <w:rPr>
                      <w:rFonts w:asciiTheme="majorHAnsi" w:hAnsiTheme="majorHAnsi" w:cstheme="majorHAnsi"/>
                      <w:szCs w:val="18"/>
                    </w:rPr>
                  </w:pPr>
                  <w:r w:rsidRPr="00F81A7C">
                    <w:rPr>
                      <w:rFonts w:asciiTheme="majorHAnsi" w:hAnsiTheme="majorHAnsi" w:cstheme="majorHAnsi"/>
                      <w:szCs w:val="18"/>
                    </w:rPr>
                    <w:t>NT</w:t>
                  </w:r>
                </w:p>
              </w:tc>
              <w:tc>
                <w:tcPr>
                  <w:tcW w:w="495" w:type="pct"/>
                  <w:tcBorders>
                    <w:top w:val="single" w:sz="4" w:space="0" w:color="BFBFBF" w:themeColor="background2"/>
                    <w:bottom w:val="single" w:sz="4" w:space="0" w:color="BFBFBF" w:themeColor="background2"/>
                  </w:tcBorders>
                  <w:shd w:val="clear" w:color="auto" w:fill="auto"/>
                  <w:tcMar>
                    <w:top w:w="28" w:type="dxa"/>
                  </w:tcMar>
                </w:tcPr>
                <w:p w:rsidR="00503E02" w:rsidRPr="00F81A7C" w:rsidRDefault="00503E02" w:rsidP="001359AC">
                  <w:pPr>
                    <w:pStyle w:val="TableColumnHeading"/>
                    <w:spacing w:before="140"/>
                    <w:ind w:left="0" w:right="28"/>
                    <w:rPr>
                      <w:rStyle w:val="NoteLabel"/>
                      <w:rFonts w:asciiTheme="majorHAnsi" w:hAnsiTheme="majorHAnsi" w:cstheme="majorHAnsi"/>
                      <w:szCs w:val="18"/>
                    </w:rPr>
                  </w:pPr>
                  <w:r w:rsidRPr="00F81A7C">
                    <w:rPr>
                      <w:rFonts w:asciiTheme="majorHAnsi" w:hAnsiTheme="majorHAnsi" w:cstheme="majorHAnsi"/>
                      <w:szCs w:val="18"/>
                    </w:rPr>
                    <w:t>Aust</w:t>
                  </w:r>
                  <w:r w:rsidR="001359AC">
                    <w:rPr>
                      <w:rFonts w:asciiTheme="majorHAnsi" w:hAnsiTheme="majorHAnsi" w:cstheme="majorHAnsi"/>
                      <w:szCs w:val="18"/>
                    </w:rPr>
                    <w:t>/Total</w:t>
                  </w:r>
                </w:p>
              </w:tc>
            </w:tr>
            <w:tr w:rsidR="00503E02" w:rsidRPr="00F81A7C" w:rsidTr="00F81A7C">
              <w:tc>
                <w:tcPr>
                  <w:tcW w:w="5000" w:type="pct"/>
                  <w:gridSpan w:val="10"/>
                  <w:tcBorders>
                    <w:top w:val="single" w:sz="4" w:space="0" w:color="BFBFBF" w:themeColor="background2"/>
                  </w:tcBorders>
                  <w:vAlign w:val="center"/>
                </w:tcPr>
                <w:p w:rsidR="00503E02" w:rsidRPr="00F81A7C" w:rsidRDefault="00503E02" w:rsidP="00F81A7C">
                  <w:pPr>
                    <w:pStyle w:val="TableColumnHeading"/>
                    <w:spacing w:before="60" w:after="40"/>
                    <w:ind w:left="0" w:right="0"/>
                    <w:jc w:val="left"/>
                    <w:rPr>
                      <w:rFonts w:asciiTheme="majorHAnsi" w:hAnsiTheme="majorHAnsi" w:cstheme="majorHAnsi"/>
                      <w:szCs w:val="18"/>
                    </w:rPr>
                  </w:pPr>
                  <w:r w:rsidRPr="00F81A7C">
                    <w:rPr>
                      <w:rFonts w:asciiTheme="majorHAnsi" w:hAnsiTheme="majorHAnsi" w:cstheme="majorHAnsi"/>
                      <w:szCs w:val="18"/>
                    </w:rPr>
                    <w:t>Public housing</w:t>
                  </w:r>
                </w:p>
              </w:tc>
            </w:tr>
            <w:tr w:rsidR="00F76494" w:rsidRPr="00F81A7C" w:rsidTr="00FE3FD5">
              <w:tc>
                <w:tcPr>
                  <w:tcW w:w="497" w:type="pct"/>
                  <w:shd w:val="clear" w:color="auto" w:fill="auto"/>
                  <w:vAlign w:val="center"/>
                </w:tcPr>
                <w:p w:rsidR="00F76494" w:rsidRPr="00F81A7C" w:rsidRDefault="00F76494" w:rsidP="006B5C6D">
                  <w:pPr>
                    <w:pStyle w:val="TableBodyText"/>
                    <w:ind w:left="0" w:right="0"/>
                    <w:jc w:val="left"/>
                    <w:rPr>
                      <w:rFonts w:asciiTheme="majorHAnsi" w:hAnsiTheme="majorHAnsi" w:cstheme="majorHAnsi"/>
                      <w:szCs w:val="18"/>
                    </w:rPr>
                  </w:pPr>
                  <w:r>
                    <w:rPr>
                      <w:rFonts w:asciiTheme="majorHAnsi" w:hAnsiTheme="majorHAnsi" w:cstheme="majorHAnsi"/>
                      <w:szCs w:val="18"/>
                    </w:rPr>
                    <w:t>2015</w:t>
                  </w:r>
                </w:p>
              </w:tc>
              <w:tc>
                <w:tcPr>
                  <w:tcW w:w="501" w:type="pct"/>
                  <w:shd w:val="clear" w:color="auto" w:fill="auto"/>
                </w:tcPr>
                <w:p w:rsidR="00F76494" w:rsidRPr="0059465A" w:rsidRDefault="00F76494" w:rsidP="00F76494">
                  <w:pPr>
                    <w:pStyle w:val="TableBodyText"/>
                  </w:pPr>
                  <w:r w:rsidRPr="0059465A">
                    <w:t xml:space="preserve">  1.5</w:t>
                  </w:r>
                </w:p>
              </w:tc>
              <w:tc>
                <w:tcPr>
                  <w:tcW w:w="501" w:type="pct"/>
                </w:tcPr>
                <w:p w:rsidR="00F76494" w:rsidRPr="0059465A" w:rsidRDefault="00F76494" w:rsidP="00F76494">
                  <w:pPr>
                    <w:pStyle w:val="TableBodyText"/>
                  </w:pPr>
                  <w:r w:rsidRPr="0059465A">
                    <w:t xml:space="preserve">  0.4</w:t>
                  </w:r>
                </w:p>
              </w:tc>
              <w:tc>
                <w:tcPr>
                  <w:tcW w:w="501" w:type="pct"/>
                </w:tcPr>
                <w:p w:rsidR="00F76494" w:rsidRPr="0059465A" w:rsidRDefault="00F76494" w:rsidP="00F76494">
                  <w:pPr>
                    <w:pStyle w:val="TableBodyText"/>
                  </w:pPr>
                  <w:r w:rsidRPr="0059465A">
                    <w:t xml:space="preserve"> </w:t>
                  </w:r>
                  <w:r w:rsidR="001359AC">
                    <w:t xml:space="preserve"> </w:t>
                  </w:r>
                  <w:r w:rsidR="001359AC" w:rsidRPr="0059465A">
                    <w:t xml:space="preserve"> –</w:t>
                  </w:r>
                </w:p>
              </w:tc>
              <w:tc>
                <w:tcPr>
                  <w:tcW w:w="501" w:type="pct"/>
                </w:tcPr>
                <w:p w:rsidR="00F76494" w:rsidRPr="0059465A" w:rsidRDefault="00F76494" w:rsidP="00F76494">
                  <w:pPr>
                    <w:pStyle w:val="TableBodyText"/>
                  </w:pPr>
                  <w:r w:rsidRPr="0059465A">
                    <w:t xml:space="preserve">  1.5</w:t>
                  </w:r>
                </w:p>
              </w:tc>
              <w:tc>
                <w:tcPr>
                  <w:tcW w:w="501" w:type="pct"/>
                </w:tcPr>
                <w:p w:rsidR="00F76494" w:rsidRPr="0059465A" w:rsidRDefault="00F76494" w:rsidP="00F76494">
                  <w:pPr>
                    <w:pStyle w:val="TableBodyText"/>
                  </w:pPr>
                  <w:r w:rsidRPr="0059465A">
                    <w:t>–</w:t>
                  </w:r>
                </w:p>
              </w:tc>
              <w:tc>
                <w:tcPr>
                  <w:tcW w:w="501" w:type="pct"/>
                </w:tcPr>
                <w:p w:rsidR="00F76494" w:rsidRPr="0059465A" w:rsidRDefault="00F76494" w:rsidP="00F76494">
                  <w:pPr>
                    <w:pStyle w:val="TableBodyText"/>
                  </w:pPr>
                  <w:r w:rsidRPr="0059465A">
                    <w:t xml:space="preserve">  0.1</w:t>
                  </w:r>
                </w:p>
              </w:tc>
              <w:tc>
                <w:tcPr>
                  <w:tcW w:w="501" w:type="pct"/>
                </w:tcPr>
                <w:p w:rsidR="00F76494" w:rsidRPr="0059465A" w:rsidRDefault="00F76494" w:rsidP="00F76494">
                  <w:pPr>
                    <w:pStyle w:val="TableBodyText"/>
                  </w:pPr>
                  <w:r w:rsidRPr="0059465A">
                    <w:t xml:space="preserve">  0.1</w:t>
                  </w:r>
                </w:p>
              </w:tc>
              <w:tc>
                <w:tcPr>
                  <w:tcW w:w="501" w:type="pct"/>
                </w:tcPr>
                <w:p w:rsidR="00F76494" w:rsidRPr="0059465A" w:rsidRDefault="00F76494" w:rsidP="00F76494">
                  <w:pPr>
                    <w:pStyle w:val="TableBodyText"/>
                  </w:pPr>
                  <w:r w:rsidRPr="0059465A">
                    <w:t xml:space="preserve">  7.7</w:t>
                  </w:r>
                </w:p>
              </w:tc>
              <w:tc>
                <w:tcPr>
                  <w:tcW w:w="495" w:type="pct"/>
                  <w:shd w:val="clear" w:color="auto" w:fill="auto"/>
                </w:tcPr>
                <w:p w:rsidR="00F76494" w:rsidRPr="0059465A" w:rsidRDefault="00F76494" w:rsidP="00F76494">
                  <w:pPr>
                    <w:pStyle w:val="TableBodyText"/>
                  </w:pPr>
                  <w:r w:rsidRPr="0059465A">
                    <w:t xml:space="preserve">  0.9</w:t>
                  </w:r>
                </w:p>
              </w:tc>
            </w:tr>
            <w:tr w:rsidR="00F76494" w:rsidRPr="00F81A7C" w:rsidTr="00FE3FD5">
              <w:tc>
                <w:tcPr>
                  <w:tcW w:w="497" w:type="pct"/>
                  <w:shd w:val="clear" w:color="auto" w:fill="auto"/>
                  <w:vAlign w:val="center"/>
                </w:tcPr>
                <w:p w:rsidR="00F76494" w:rsidRPr="00F81A7C" w:rsidRDefault="00F76494" w:rsidP="006B5C6D">
                  <w:pPr>
                    <w:pStyle w:val="TableBodyText"/>
                    <w:ind w:left="0" w:right="0"/>
                    <w:jc w:val="left"/>
                    <w:rPr>
                      <w:rFonts w:asciiTheme="majorHAnsi" w:hAnsiTheme="majorHAnsi" w:cstheme="majorHAnsi"/>
                      <w:szCs w:val="18"/>
                    </w:rPr>
                  </w:pPr>
                  <w:r>
                    <w:rPr>
                      <w:rFonts w:asciiTheme="majorHAnsi" w:hAnsiTheme="majorHAnsi" w:cstheme="majorHAnsi"/>
                      <w:szCs w:val="18"/>
                    </w:rPr>
                    <w:t>2014</w:t>
                  </w:r>
                </w:p>
              </w:tc>
              <w:tc>
                <w:tcPr>
                  <w:tcW w:w="501" w:type="pct"/>
                  <w:shd w:val="clear" w:color="auto" w:fill="auto"/>
                </w:tcPr>
                <w:p w:rsidR="00F76494" w:rsidRPr="0059465A" w:rsidRDefault="00F76494" w:rsidP="00F76494">
                  <w:pPr>
                    <w:pStyle w:val="TableBodyText"/>
                  </w:pPr>
                  <w:r w:rsidRPr="0059465A">
                    <w:t xml:space="preserve">  0.4</w:t>
                  </w:r>
                </w:p>
              </w:tc>
              <w:tc>
                <w:tcPr>
                  <w:tcW w:w="501" w:type="pct"/>
                </w:tcPr>
                <w:p w:rsidR="00F76494" w:rsidRPr="0059465A" w:rsidRDefault="00F76494" w:rsidP="00F76494">
                  <w:pPr>
                    <w:pStyle w:val="TableBodyText"/>
                  </w:pPr>
                  <w:r w:rsidRPr="0059465A">
                    <w:t xml:space="preserve">  0.3</w:t>
                  </w:r>
                </w:p>
              </w:tc>
              <w:tc>
                <w:tcPr>
                  <w:tcW w:w="501" w:type="pct"/>
                </w:tcPr>
                <w:p w:rsidR="00F76494" w:rsidRPr="0059465A" w:rsidRDefault="00F76494" w:rsidP="00F76494">
                  <w:pPr>
                    <w:pStyle w:val="TableBodyText"/>
                  </w:pPr>
                  <w:r w:rsidRPr="0059465A">
                    <w:t xml:space="preserve">  0.1</w:t>
                  </w:r>
                </w:p>
              </w:tc>
              <w:tc>
                <w:tcPr>
                  <w:tcW w:w="501" w:type="pct"/>
                </w:tcPr>
                <w:p w:rsidR="00F76494" w:rsidRPr="0059465A" w:rsidRDefault="00F76494" w:rsidP="00F76494">
                  <w:pPr>
                    <w:pStyle w:val="TableBodyText"/>
                  </w:pPr>
                  <w:r w:rsidRPr="0059465A">
                    <w:t xml:space="preserve">  1.4</w:t>
                  </w:r>
                </w:p>
              </w:tc>
              <w:tc>
                <w:tcPr>
                  <w:tcW w:w="501" w:type="pct"/>
                </w:tcPr>
                <w:p w:rsidR="00F76494" w:rsidRPr="0059465A" w:rsidRDefault="00F76494" w:rsidP="00F76494">
                  <w:pPr>
                    <w:pStyle w:val="TableBodyText"/>
                  </w:pPr>
                  <w:r w:rsidRPr="0059465A">
                    <w:t>–</w:t>
                  </w:r>
                </w:p>
              </w:tc>
              <w:tc>
                <w:tcPr>
                  <w:tcW w:w="501" w:type="pct"/>
                </w:tcPr>
                <w:p w:rsidR="00F76494" w:rsidRPr="0059465A" w:rsidRDefault="00F76494" w:rsidP="00F76494">
                  <w:pPr>
                    <w:pStyle w:val="TableBodyText"/>
                  </w:pPr>
                  <w:r w:rsidRPr="0059465A">
                    <w:t xml:space="preserve">  0.1</w:t>
                  </w:r>
                </w:p>
              </w:tc>
              <w:tc>
                <w:tcPr>
                  <w:tcW w:w="501" w:type="pct"/>
                </w:tcPr>
                <w:p w:rsidR="00F76494" w:rsidRPr="0059465A" w:rsidRDefault="00F76494" w:rsidP="00F76494">
                  <w:pPr>
                    <w:pStyle w:val="TableBodyText"/>
                  </w:pPr>
                  <w:r w:rsidRPr="0059465A">
                    <w:t xml:space="preserve">  0.1</w:t>
                  </w:r>
                </w:p>
              </w:tc>
              <w:tc>
                <w:tcPr>
                  <w:tcW w:w="501" w:type="pct"/>
                </w:tcPr>
                <w:p w:rsidR="00F76494" w:rsidRPr="0059465A" w:rsidRDefault="00F76494" w:rsidP="00F76494">
                  <w:pPr>
                    <w:pStyle w:val="TableBodyText"/>
                  </w:pPr>
                  <w:r w:rsidRPr="0059465A">
                    <w:t xml:space="preserve">  6.9</w:t>
                  </w:r>
                </w:p>
              </w:tc>
              <w:tc>
                <w:tcPr>
                  <w:tcW w:w="495" w:type="pct"/>
                  <w:shd w:val="clear" w:color="auto" w:fill="auto"/>
                </w:tcPr>
                <w:p w:rsidR="00F76494" w:rsidRPr="0059465A" w:rsidRDefault="00F76494" w:rsidP="00F76494">
                  <w:pPr>
                    <w:pStyle w:val="TableBodyText"/>
                  </w:pPr>
                  <w:r w:rsidRPr="0059465A">
                    <w:t xml:space="preserve">  0.5</w:t>
                  </w:r>
                </w:p>
              </w:tc>
            </w:tr>
            <w:tr w:rsidR="00F76494" w:rsidRPr="00F81A7C" w:rsidTr="00FE3FD5">
              <w:tc>
                <w:tcPr>
                  <w:tcW w:w="497" w:type="pct"/>
                  <w:shd w:val="clear" w:color="auto" w:fill="auto"/>
                  <w:vAlign w:val="center"/>
                </w:tcPr>
                <w:p w:rsidR="00F76494" w:rsidRPr="00F81A7C" w:rsidRDefault="00F76494" w:rsidP="006B5C6D">
                  <w:pPr>
                    <w:pStyle w:val="TableBodyText"/>
                    <w:ind w:left="0" w:right="0"/>
                    <w:jc w:val="left"/>
                    <w:rPr>
                      <w:rFonts w:asciiTheme="majorHAnsi" w:hAnsiTheme="majorHAnsi" w:cstheme="majorHAnsi"/>
                      <w:szCs w:val="18"/>
                    </w:rPr>
                  </w:pPr>
                  <w:r>
                    <w:rPr>
                      <w:rFonts w:asciiTheme="majorHAnsi" w:hAnsiTheme="majorHAnsi" w:cstheme="majorHAnsi"/>
                      <w:szCs w:val="18"/>
                    </w:rPr>
                    <w:t>2013</w:t>
                  </w:r>
                </w:p>
              </w:tc>
              <w:tc>
                <w:tcPr>
                  <w:tcW w:w="501" w:type="pct"/>
                  <w:shd w:val="clear" w:color="auto" w:fill="auto"/>
                </w:tcPr>
                <w:p w:rsidR="00F76494" w:rsidRPr="0059465A" w:rsidRDefault="00F76494" w:rsidP="00F76494">
                  <w:pPr>
                    <w:pStyle w:val="TableBodyText"/>
                  </w:pPr>
                  <w:r w:rsidRPr="0059465A">
                    <w:t xml:space="preserve">  0.2</w:t>
                  </w:r>
                </w:p>
              </w:tc>
              <w:tc>
                <w:tcPr>
                  <w:tcW w:w="501" w:type="pct"/>
                </w:tcPr>
                <w:p w:rsidR="00F76494" w:rsidRPr="0059465A" w:rsidRDefault="00F76494" w:rsidP="00F76494">
                  <w:pPr>
                    <w:pStyle w:val="TableBodyText"/>
                  </w:pPr>
                  <w:r w:rsidRPr="0059465A">
                    <w:t xml:space="preserve">  0.4</w:t>
                  </w:r>
                </w:p>
              </w:tc>
              <w:tc>
                <w:tcPr>
                  <w:tcW w:w="501" w:type="pct"/>
                </w:tcPr>
                <w:p w:rsidR="00F76494" w:rsidRPr="0059465A" w:rsidRDefault="00F76494" w:rsidP="00F76494">
                  <w:pPr>
                    <w:pStyle w:val="TableBodyText"/>
                  </w:pPr>
                  <w:r w:rsidRPr="0059465A">
                    <w:t xml:space="preserve">  0.2</w:t>
                  </w:r>
                </w:p>
              </w:tc>
              <w:tc>
                <w:tcPr>
                  <w:tcW w:w="501" w:type="pct"/>
                </w:tcPr>
                <w:p w:rsidR="00F76494" w:rsidRPr="0059465A" w:rsidRDefault="00F76494" w:rsidP="00F76494">
                  <w:pPr>
                    <w:pStyle w:val="TableBodyText"/>
                  </w:pPr>
                  <w:r w:rsidRPr="0059465A">
                    <w:t xml:space="preserve">  1.5</w:t>
                  </w:r>
                </w:p>
              </w:tc>
              <w:tc>
                <w:tcPr>
                  <w:tcW w:w="501" w:type="pct"/>
                </w:tcPr>
                <w:p w:rsidR="00F76494" w:rsidRPr="0059465A" w:rsidRDefault="00F76494" w:rsidP="00F76494">
                  <w:pPr>
                    <w:pStyle w:val="TableBodyText"/>
                  </w:pPr>
                  <w:r w:rsidRPr="0059465A">
                    <w:t>–</w:t>
                  </w:r>
                </w:p>
              </w:tc>
              <w:tc>
                <w:tcPr>
                  <w:tcW w:w="501" w:type="pct"/>
                </w:tcPr>
                <w:p w:rsidR="00F76494" w:rsidRPr="0059465A" w:rsidRDefault="00F76494" w:rsidP="00F76494">
                  <w:pPr>
                    <w:pStyle w:val="TableBodyText"/>
                  </w:pPr>
                  <w:r w:rsidRPr="0059465A">
                    <w:t xml:space="preserve">  0.1</w:t>
                  </w:r>
                </w:p>
              </w:tc>
              <w:tc>
                <w:tcPr>
                  <w:tcW w:w="501" w:type="pct"/>
                </w:tcPr>
                <w:p w:rsidR="00F76494" w:rsidRPr="0059465A" w:rsidRDefault="00F76494" w:rsidP="00F76494">
                  <w:pPr>
                    <w:pStyle w:val="TableBodyText"/>
                  </w:pPr>
                  <w:r w:rsidRPr="0059465A">
                    <w:t xml:space="preserve">  0.4</w:t>
                  </w:r>
                </w:p>
              </w:tc>
              <w:tc>
                <w:tcPr>
                  <w:tcW w:w="501" w:type="pct"/>
                </w:tcPr>
                <w:p w:rsidR="00F76494" w:rsidRPr="0059465A" w:rsidRDefault="00F76494" w:rsidP="00F76494">
                  <w:pPr>
                    <w:pStyle w:val="TableBodyText"/>
                  </w:pPr>
                  <w:r w:rsidRPr="0059465A">
                    <w:t xml:space="preserve">  6.9</w:t>
                  </w:r>
                </w:p>
              </w:tc>
              <w:tc>
                <w:tcPr>
                  <w:tcW w:w="495" w:type="pct"/>
                  <w:shd w:val="clear" w:color="auto" w:fill="auto"/>
                </w:tcPr>
                <w:p w:rsidR="00F76494" w:rsidRPr="0059465A" w:rsidRDefault="00F76494" w:rsidP="00F76494">
                  <w:pPr>
                    <w:pStyle w:val="TableBodyText"/>
                  </w:pPr>
                  <w:r w:rsidRPr="0059465A">
                    <w:t xml:space="preserve">  0.5</w:t>
                  </w:r>
                </w:p>
              </w:tc>
            </w:tr>
            <w:tr w:rsidR="00F76494" w:rsidRPr="00F81A7C" w:rsidTr="006B5C6D">
              <w:tc>
                <w:tcPr>
                  <w:tcW w:w="497" w:type="pct"/>
                  <w:shd w:val="clear" w:color="auto" w:fill="auto"/>
                  <w:vAlign w:val="center"/>
                </w:tcPr>
                <w:p w:rsidR="00F76494" w:rsidRDefault="00F76494" w:rsidP="00F81A7C">
                  <w:pPr>
                    <w:pStyle w:val="TableBodyText"/>
                    <w:ind w:left="0" w:right="0"/>
                    <w:jc w:val="left"/>
                    <w:rPr>
                      <w:rFonts w:asciiTheme="majorHAnsi" w:hAnsiTheme="majorHAnsi" w:cstheme="majorHAnsi"/>
                      <w:szCs w:val="18"/>
                    </w:rPr>
                  </w:pPr>
                  <w:r>
                    <w:rPr>
                      <w:rFonts w:asciiTheme="majorHAnsi" w:hAnsiTheme="majorHAnsi" w:cstheme="majorHAnsi"/>
                      <w:szCs w:val="18"/>
                    </w:rPr>
                    <w:t>2012</w:t>
                  </w:r>
                </w:p>
              </w:tc>
              <w:tc>
                <w:tcPr>
                  <w:tcW w:w="501" w:type="pct"/>
                  <w:shd w:val="clear" w:color="auto" w:fill="auto"/>
                </w:tcPr>
                <w:p w:rsidR="00F76494" w:rsidRPr="0059465A" w:rsidRDefault="00F76494" w:rsidP="00F76494">
                  <w:pPr>
                    <w:pStyle w:val="TableBodyText"/>
                  </w:pPr>
                  <w:r w:rsidRPr="0059465A">
                    <w:t xml:space="preserve">  0.2</w:t>
                  </w:r>
                </w:p>
              </w:tc>
              <w:tc>
                <w:tcPr>
                  <w:tcW w:w="501" w:type="pct"/>
                </w:tcPr>
                <w:p w:rsidR="00F76494" w:rsidRPr="0059465A" w:rsidRDefault="00F76494" w:rsidP="00F76494">
                  <w:pPr>
                    <w:pStyle w:val="TableBodyText"/>
                  </w:pPr>
                  <w:r w:rsidRPr="0059465A">
                    <w:t>–</w:t>
                  </w:r>
                </w:p>
              </w:tc>
              <w:tc>
                <w:tcPr>
                  <w:tcW w:w="501" w:type="pct"/>
                </w:tcPr>
                <w:p w:rsidR="00F76494" w:rsidRPr="0059465A" w:rsidRDefault="00F76494" w:rsidP="00F76494">
                  <w:pPr>
                    <w:pStyle w:val="TableBodyText"/>
                  </w:pPr>
                  <w:r w:rsidRPr="0059465A">
                    <w:t xml:space="preserve">  0.7</w:t>
                  </w:r>
                </w:p>
              </w:tc>
              <w:tc>
                <w:tcPr>
                  <w:tcW w:w="501" w:type="pct"/>
                </w:tcPr>
                <w:p w:rsidR="00F76494" w:rsidRPr="0059465A" w:rsidRDefault="00F76494" w:rsidP="00F76494">
                  <w:pPr>
                    <w:pStyle w:val="TableBodyText"/>
                  </w:pPr>
                  <w:r w:rsidRPr="0059465A">
                    <w:t xml:space="preserve">  1.3</w:t>
                  </w:r>
                </w:p>
              </w:tc>
              <w:tc>
                <w:tcPr>
                  <w:tcW w:w="501" w:type="pct"/>
                </w:tcPr>
                <w:p w:rsidR="00F76494" w:rsidRPr="0059465A" w:rsidRDefault="00F76494" w:rsidP="00F76494">
                  <w:pPr>
                    <w:pStyle w:val="TableBodyText"/>
                  </w:pPr>
                  <w:r w:rsidRPr="0059465A">
                    <w:t>–</w:t>
                  </w:r>
                </w:p>
              </w:tc>
              <w:tc>
                <w:tcPr>
                  <w:tcW w:w="501" w:type="pct"/>
                </w:tcPr>
                <w:p w:rsidR="00F76494" w:rsidRPr="0059465A" w:rsidRDefault="00F76494" w:rsidP="00F76494">
                  <w:pPr>
                    <w:pStyle w:val="TableBodyText"/>
                  </w:pPr>
                  <w:r w:rsidRPr="0059465A">
                    <w:t xml:space="preserve">  0.1</w:t>
                  </w:r>
                </w:p>
              </w:tc>
              <w:tc>
                <w:tcPr>
                  <w:tcW w:w="501" w:type="pct"/>
                </w:tcPr>
                <w:p w:rsidR="00F76494" w:rsidRPr="0059465A" w:rsidRDefault="00F76494" w:rsidP="00F76494">
                  <w:pPr>
                    <w:pStyle w:val="TableBodyText"/>
                  </w:pPr>
                  <w:r w:rsidRPr="0059465A">
                    <w:t xml:space="preserve">  0.7</w:t>
                  </w:r>
                </w:p>
              </w:tc>
              <w:tc>
                <w:tcPr>
                  <w:tcW w:w="501" w:type="pct"/>
                </w:tcPr>
                <w:p w:rsidR="00F76494" w:rsidRPr="0059465A" w:rsidRDefault="00F76494" w:rsidP="00F76494">
                  <w:pPr>
                    <w:pStyle w:val="TableBodyText"/>
                  </w:pPr>
                  <w:r w:rsidRPr="0059465A">
                    <w:t xml:space="preserve">  1.8</w:t>
                  </w:r>
                </w:p>
              </w:tc>
              <w:tc>
                <w:tcPr>
                  <w:tcW w:w="495" w:type="pct"/>
                  <w:shd w:val="clear" w:color="auto" w:fill="auto"/>
                </w:tcPr>
                <w:p w:rsidR="00F76494" w:rsidRPr="0059465A" w:rsidRDefault="00F76494" w:rsidP="00F76494">
                  <w:pPr>
                    <w:pStyle w:val="TableBodyText"/>
                  </w:pPr>
                  <w:r w:rsidRPr="0059465A">
                    <w:t xml:space="preserve">  0.4</w:t>
                  </w:r>
                </w:p>
              </w:tc>
            </w:tr>
            <w:tr w:rsidR="00F76494" w:rsidRPr="00F81A7C" w:rsidTr="006B5C6D">
              <w:tc>
                <w:tcPr>
                  <w:tcW w:w="497" w:type="pct"/>
                  <w:shd w:val="clear" w:color="auto" w:fill="auto"/>
                  <w:vAlign w:val="center"/>
                </w:tcPr>
                <w:p w:rsidR="00F76494" w:rsidRPr="00F81A7C" w:rsidRDefault="00F76494" w:rsidP="00F81A7C">
                  <w:pPr>
                    <w:pStyle w:val="TableBodyText"/>
                    <w:ind w:left="0" w:right="0"/>
                    <w:jc w:val="left"/>
                    <w:rPr>
                      <w:rFonts w:asciiTheme="majorHAnsi" w:hAnsiTheme="majorHAnsi" w:cstheme="majorHAnsi"/>
                      <w:szCs w:val="18"/>
                    </w:rPr>
                  </w:pPr>
                  <w:r>
                    <w:rPr>
                      <w:rFonts w:asciiTheme="majorHAnsi" w:hAnsiTheme="majorHAnsi" w:cstheme="majorHAnsi"/>
                      <w:szCs w:val="18"/>
                    </w:rPr>
                    <w:t>2011</w:t>
                  </w:r>
                </w:p>
              </w:tc>
              <w:tc>
                <w:tcPr>
                  <w:tcW w:w="501" w:type="pct"/>
                  <w:shd w:val="clear" w:color="auto" w:fill="auto"/>
                </w:tcPr>
                <w:p w:rsidR="00F76494" w:rsidRPr="0059465A" w:rsidRDefault="00F76494" w:rsidP="00F76494">
                  <w:pPr>
                    <w:pStyle w:val="TableBodyText"/>
                  </w:pPr>
                  <w:r w:rsidRPr="0059465A">
                    <w:t xml:space="preserve">  0.2</w:t>
                  </w:r>
                </w:p>
              </w:tc>
              <w:tc>
                <w:tcPr>
                  <w:tcW w:w="501" w:type="pct"/>
                </w:tcPr>
                <w:p w:rsidR="00F76494" w:rsidRPr="0059465A" w:rsidRDefault="00F76494" w:rsidP="00F76494">
                  <w:pPr>
                    <w:pStyle w:val="TableBodyText"/>
                  </w:pPr>
                  <w:r w:rsidRPr="0059465A">
                    <w:t>np</w:t>
                  </w:r>
                </w:p>
              </w:tc>
              <w:tc>
                <w:tcPr>
                  <w:tcW w:w="501" w:type="pct"/>
                </w:tcPr>
                <w:p w:rsidR="00F76494" w:rsidRPr="0059465A" w:rsidRDefault="00F76494" w:rsidP="00F76494">
                  <w:pPr>
                    <w:pStyle w:val="TableBodyText"/>
                  </w:pPr>
                  <w:r w:rsidRPr="0059465A">
                    <w:t xml:space="preserve">  0.1</w:t>
                  </w:r>
                </w:p>
              </w:tc>
              <w:tc>
                <w:tcPr>
                  <w:tcW w:w="501" w:type="pct"/>
                </w:tcPr>
                <w:p w:rsidR="00F76494" w:rsidRPr="0059465A" w:rsidRDefault="00F76494" w:rsidP="00F76494">
                  <w:pPr>
                    <w:pStyle w:val="TableBodyText"/>
                  </w:pPr>
                  <w:r w:rsidRPr="0059465A">
                    <w:t xml:space="preserve">  1.4</w:t>
                  </w:r>
                </w:p>
              </w:tc>
              <w:tc>
                <w:tcPr>
                  <w:tcW w:w="501" w:type="pct"/>
                </w:tcPr>
                <w:p w:rsidR="00F76494" w:rsidRPr="0059465A" w:rsidRDefault="00F76494" w:rsidP="00F76494">
                  <w:pPr>
                    <w:pStyle w:val="TableBodyText"/>
                  </w:pPr>
                  <w:r w:rsidRPr="0059465A">
                    <w:t>–</w:t>
                  </w:r>
                </w:p>
              </w:tc>
              <w:tc>
                <w:tcPr>
                  <w:tcW w:w="501" w:type="pct"/>
                </w:tcPr>
                <w:p w:rsidR="00F76494" w:rsidRPr="0059465A" w:rsidRDefault="00F76494" w:rsidP="00F76494">
                  <w:pPr>
                    <w:pStyle w:val="TableBodyText"/>
                  </w:pPr>
                  <w:r w:rsidRPr="0059465A">
                    <w:t>np</w:t>
                  </w:r>
                </w:p>
              </w:tc>
              <w:tc>
                <w:tcPr>
                  <w:tcW w:w="501" w:type="pct"/>
                </w:tcPr>
                <w:p w:rsidR="00F76494" w:rsidRPr="0059465A" w:rsidRDefault="00F76494" w:rsidP="00F76494">
                  <w:pPr>
                    <w:pStyle w:val="TableBodyText"/>
                  </w:pPr>
                  <w:r w:rsidRPr="0059465A">
                    <w:t xml:space="preserve">  0.8</w:t>
                  </w:r>
                </w:p>
              </w:tc>
              <w:tc>
                <w:tcPr>
                  <w:tcW w:w="501" w:type="pct"/>
                </w:tcPr>
                <w:p w:rsidR="00F76494" w:rsidRPr="0059465A" w:rsidRDefault="00F76494" w:rsidP="00F76494">
                  <w:pPr>
                    <w:pStyle w:val="TableBodyText"/>
                  </w:pPr>
                  <w:r w:rsidRPr="0059465A">
                    <w:t xml:space="preserve">  1.8</w:t>
                  </w:r>
                </w:p>
              </w:tc>
              <w:tc>
                <w:tcPr>
                  <w:tcW w:w="495" w:type="pct"/>
                  <w:shd w:val="clear" w:color="auto" w:fill="auto"/>
                </w:tcPr>
                <w:p w:rsidR="00F76494" w:rsidRDefault="00F76494" w:rsidP="00F76494">
                  <w:pPr>
                    <w:pStyle w:val="TableBodyText"/>
                  </w:pPr>
                  <w:r w:rsidRPr="0059465A">
                    <w:t xml:space="preserve">  0.3</w:t>
                  </w:r>
                </w:p>
              </w:tc>
            </w:tr>
            <w:tr w:rsidR="00330E0A" w:rsidRPr="00F81A7C" w:rsidTr="00137B97">
              <w:tc>
                <w:tcPr>
                  <w:tcW w:w="5000" w:type="pct"/>
                  <w:gridSpan w:val="10"/>
                  <w:shd w:val="clear" w:color="auto" w:fill="auto"/>
                  <w:vAlign w:val="center"/>
                </w:tcPr>
                <w:p w:rsidR="00330E0A" w:rsidRPr="00F76494" w:rsidRDefault="00330E0A" w:rsidP="00F76494">
                  <w:pPr>
                    <w:pStyle w:val="TableBodyText"/>
                    <w:jc w:val="left"/>
                    <w:rPr>
                      <w:rFonts w:asciiTheme="majorHAnsi" w:hAnsiTheme="majorHAnsi" w:cstheme="majorHAnsi"/>
                      <w:i/>
                      <w:color w:val="000000" w:themeColor="text1"/>
                      <w:szCs w:val="18"/>
                    </w:rPr>
                  </w:pPr>
                  <w:r w:rsidRPr="00F76494">
                    <w:rPr>
                      <w:rFonts w:asciiTheme="majorHAnsi" w:hAnsiTheme="majorHAnsi" w:cstheme="majorHAnsi"/>
                      <w:i/>
                      <w:color w:val="000000" w:themeColor="text1"/>
                      <w:szCs w:val="18"/>
                    </w:rPr>
                    <w:t>SOMIH</w:t>
                  </w:r>
                </w:p>
              </w:tc>
            </w:tr>
            <w:tr w:rsidR="00F76494" w:rsidRPr="00F81A7C" w:rsidTr="00FE3FD5">
              <w:tc>
                <w:tcPr>
                  <w:tcW w:w="497" w:type="pct"/>
                  <w:shd w:val="clear" w:color="auto" w:fill="auto"/>
                  <w:vAlign w:val="center"/>
                </w:tcPr>
                <w:p w:rsidR="00F76494" w:rsidRPr="00F81A7C" w:rsidRDefault="00F76494" w:rsidP="006B5C6D">
                  <w:pPr>
                    <w:pStyle w:val="TableBodyText"/>
                    <w:ind w:left="0" w:right="0"/>
                    <w:jc w:val="left"/>
                    <w:rPr>
                      <w:rFonts w:asciiTheme="majorHAnsi" w:hAnsiTheme="majorHAnsi" w:cstheme="majorHAnsi"/>
                      <w:color w:val="000000" w:themeColor="text1"/>
                      <w:szCs w:val="18"/>
                    </w:rPr>
                  </w:pPr>
                  <w:r>
                    <w:rPr>
                      <w:rFonts w:asciiTheme="majorHAnsi" w:hAnsiTheme="majorHAnsi" w:cstheme="majorHAnsi"/>
                      <w:color w:val="000000" w:themeColor="text1"/>
                      <w:szCs w:val="18"/>
                    </w:rPr>
                    <w:t>2015</w:t>
                  </w:r>
                </w:p>
              </w:tc>
              <w:tc>
                <w:tcPr>
                  <w:tcW w:w="501" w:type="pct"/>
                  <w:shd w:val="clear" w:color="auto" w:fill="auto"/>
                </w:tcPr>
                <w:p w:rsidR="00F76494" w:rsidRPr="00A734D1" w:rsidRDefault="00F76494" w:rsidP="00F76494">
                  <w:pPr>
                    <w:pStyle w:val="TableBodyText"/>
                  </w:pPr>
                  <w:r w:rsidRPr="00A734D1">
                    <w:t xml:space="preserve">  0.8</w:t>
                  </w:r>
                </w:p>
              </w:tc>
              <w:tc>
                <w:tcPr>
                  <w:tcW w:w="501" w:type="pct"/>
                </w:tcPr>
                <w:p w:rsidR="00F76494" w:rsidRPr="00A734D1" w:rsidRDefault="00F76494" w:rsidP="00F76494">
                  <w:pPr>
                    <w:pStyle w:val="TableBodyText"/>
                  </w:pPr>
                  <w:r w:rsidRPr="00A734D1">
                    <w:t>..</w:t>
                  </w:r>
                </w:p>
              </w:tc>
              <w:tc>
                <w:tcPr>
                  <w:tcW w:w="501" w:type="pct"/>
                </w:tcPr>
                <w:p w:rsidR="00F76494" w:rsidRPr="00A734D1" w:rsidRDefault="00F76494" w:rsidP="00F76494">
                  <w:pPr>
                    <w:pStyle w:val="TableBodyText"/>
                  </w:pPr>
                  <w:r w:rsidRPr="00A734D1">
                    <w:t>–</w:t>
                  </w:r>
                </w:p>
              </w:tc>
              <w:tc>
                <w:tcPr>
                  <w:tcW w:w="501" w:type="pct"/>
                </w:tcPr>
                <w:p w:rsidR="00F76494" w:rsidRPr="00A734D1" w:rsidRDefault="00F76494" w:rsidP="00F76494">
                  <w:pPr>
                    <w:pStyle w:val="TableBodyText"/>
                  </w:pPr>
                  <w:r w:rsidRPr="00A734D1">
                    <w:t>..</w:t>
                  </w:r>
                </w:p>
              </w:tc>
              <w:tc>
                <w:tcPr>
                  <w:tcW w:w="501" w:type="pct"/>
                </w:tcPr>
                <w:p w:rsidR="00F76494" w:rsidRPr="00A734D1" w:rsidRDefault="00F76494" w:rsidP="00F76494">
                  <w:pPr>
                    <w:pStyle w:val="TableBodyText"/>
                  </w:pPr>
                  <w:r w:rsidRPr="00A734D1">
                    <w:t>–</w:t>
                  </w:r>
                </w:p>
              </w:tc>
              <w:tc>
                <w:tcPr>
                  <w:tcW w:w="501" w:type="pct"/>
                </w:tcPr>
                <w:p w:rsidR="00F76494" w:rsidRPr="00A734D1" w:rsidRDefault="00F76494" w:rsidP="00F76494">
                  <w:pPr>
                    <w:pStyle w:val="TableBodyText"/>
                  </w:pPr>
                  <w:r w:rsidRPr="00A734D1">
                    <w:t>–</w:t>
                  </w:r>
                </w:p>
              </w:tc>
              <w:tc>
                <w:tcPr>
                  <w:tcW w:w="501" w:type="pct"/>
                </w:tcPr>
                <w:p w:rsidR="00F76494" w:rsidRPr="00A734D1" w:rsidRDefault="00F76494" w:rsidP="00F76494">
                  <w:pPr>
                    <w:pStyle w:val="TableBodyText"/>
                  </w:pPr>
                  <w:r w:rsidRPr="00A734D1">
                    <w:t>..</w:t>
                  </w:r>
                </w:p>
              </w:tc>
              <w:tc>
                <w:tcPr>
                  <w:tcW w:w="501" w:type="pct"/>
                </w:tcPr>
                <w:p w:rsidR="00F76494" w:rsidRPr="00A734D1" w:rsidRDefault="00F76494" w:rsidP="00F76494">
                  <w:pPr>
                    <w:pStyle w:val="TableBodyText"/>
                  </w:pPr>
                  <w:r w:rsidRPr="00A734D1">
                    <w:t>..</w:t>
                  </w:r>
                </w:p>
              </w:tc>
              <w:tc>
                <w:tcPr>
                  <w:tcW w:w="495" w:type="pct"/>
                  <w:shd w:val="clear" w:color="auto" w:fill="auto"/>
                </w:tcPr>
                <w:p w:rsidR="00F76494" w:rsidRPr="00A734D1" w:rsidRDefault="00F76494" w:rsidP="00F76494">
                  <w:pPr>
                    <w:pStyle w:val="TableBodyText"/>
                  </w:pPr>
                  <w:r w:rsidRPr="00A734D1">
                    <w:t xml:space="preserve">  0.3</w:t>
                  </w:r>
                </w:p>
              </w:tc>
            </w:tr>
            <w:tr w:rsidR="00F76494" w:rsidRPr="00F81A7C" w:rsidTr="00FE3FD5">
              <w:tc>
                <w:tcPr>
                  <w:tcW w:w="497" w:type="pct"/>
                  <w:shd w:val="clear" w:color="auto" w:fill="auto"/>
                  <w:vAlign w:val="center"/>
                </w:tcPr>
                <w:p w:rsidR="00F76494" w:rsidRPr="00F81A7C" w:rsidRDefault="00F76494" w:rsidP="006B5C6D">
                  <w:pPr>
                    <w:pStyle w:val="TableBodyText"/>
                    <w:ind w:left="0" w:right="0"/>
                    <w:jc w:val="left"/>
                    <w:rPr>
                      <w:rFonts w:asciiTheme="majorHAnsi" w:hAnsiTheme="majorHAnsi" w:cstheme="majorHAnsi"/>
                      <w:color w:val="000000" w:themeColor="text1"/>
                      <w:szCs w:val="18"/>
                    </w:rPr>
                  </w:pPr>
                  <w:r>
                    <w:rPr>
                      <w:rFonts w:asciiTheme="majorHAnsi" w:hAnsiTheme="majorHAnsi" w:cstheme="majorHAnsi"/>
                      <w:color w:val="000000" w:themeColor="text1"/>
                      <w:szCs w:val="18"/>
                    </w:rPr>
                    <w:t>2014</w:t>
                  </w:r>
                </w:p>
              </w:tc>
              <w:tc>
                <w:tcPr>
                  <w:tcW w:w="501" w:type="pct"/>
                  <w:shd w:val="clear" w:color="auto" w:fill="auto"/>
                </w:tcPr>
                <w:p w:rsidR="00F76494" w:rsidRPr="00A734D1" w:rsidRDefault="00F76494" w:rsidP="00F76494">
                  <w:pPr>
                    <w:pStyle w:val="TableBodyText"/>
                  </w:pPr>
                  <w:r w:rsidRPr="00A734D1">
                    <w:t xml:space="preserve">  0.5</w:t>
                  </w:r>
                </w:p>
              </w:tc>
              <w:tc>
                <w:tcPr>
                  <w:tcW w:w="501" w:type="pct"/>
                </w:tcPr>
                <w:p w:rsidR="00F76494" w:rsidRPr="00A734D1" w:rsidRDefault="00F76494" w:rsidP="00F76494">
                  <w:pPr>
                    <w:pStyle w:val="TableBodyText"/>
                  </w:pPr>
                  <w:r w:rsidRPr="00A734D1">
                    <w:t>..</w:t>
                  </w:r>
                </w:p>
              </w:tc>
              <w:tc>
                <w:tcPr>
                  <w:tcW w:w="501" w:type="pct"/>
                </w:tcPr>
                <w:p w:rsidR="00F76494" w:rsidRPr="00A734D1" w:rsidRDefault="00F76494" w:rsidP="00F76494">
                  <w:pPr>
                    <w:pStyle w:val="TableBodyText"/>
                  </w:pPr>
                  <w:r w:rsidRPr="00A734D1">
                    <w:t xml:space="preserve">  0.5</w:t>
                  </w:r>
                </w:p>
              </w:tc>
              <w:tc>
                <w:tcPr>
                  <w:tcW w:w="501" w:type="pct"/>
                </w:tcPr>
                <w:p w:rsidR="00F76494" w:rsidRPr="00A734D1" w:rsidRDefault="00F76494" w:rsidP="00F76494">
                  <w:pPr>
                    <w:pStyle w:val="TableBodyText"/>
                  </w:pPr>
                  <w:r w:rsidRPr="00A734D1">
                    <w:t>..</w:t>
                  </w:r>
                </w:p>
              </w:tc>
              <w:tc>
                <w:tcPr>
                  <w:tcW w:w="501" w:type="pct"/>
                </w:tcPr>
                <w:p w:rsidR="00F76494" w:rsidRPr="00A734D1" w:rsidRDefault="00F76494" w:rsidP="00F76494">
                  <w:pPr>
                    <w:pStyle w:val="TableBodyText"/>
                  </w:pPr>
                  <w:r w:rsidRPr="00A734D1">
                    <w:t>–</w:t>
                  </w:r>
                </w:p>
              </w:tc>
              <w:tc>
                <w:tcPr>
                  <w:tcW w:w="501" w:type="pct"/>
                </w:tcPr>
                <w:p w:rsidR="00F76494" w:rsidRPr="00A734D1" w:rsidRDefault="00F76494" w:rsidP="00F76494">
                  <w:pPr>
                    <w:pStyle w:val="TableBodyText"/>
                  </w:pPr>
                  <w:r w:rsidRPr="00A734D1">
                    <w:t>–</w:t>
                  </w:r>
                </w:p>
              </w:tc>
              <w:tc>
                <w:tcPr>
                  <w:tcW w:w="501" w:type="pct"/>
                </w:tcPr>
                <w:p w:rsidR="00F76494" w:rsidRPr="00A734D1" w:rsidRDefault="00F76494" w:rsidP="00F76494">
                  <w:pPr>
                    <w:pStyle w:val="TableBodyText"/>
                  </w:pPr>
                  <w:r w:rsidRPr="00A734D1">
                    <w:t>..</w:t>
                  </w:r>
                </w:p>
              </w:tc>
              <w:tc>
                <w:tcPr>
                  <w:tcW w:w="501" w:type="pct"/>
                </w:tcPr>
                <w:p w:rsidR="00F76494" w:rsidRPr="00A734D1" w:rsidRDefault="00F76494" w:rsidP="00F76494">
                  <w:pPr>
                    <w:pStyle w:val="TableBodyText"/>
                  </w:pPr>
                  <w:r w:rsidRPr="00A734D1">
                    <w:t>..</w:t>
                  </w:r>
                </w:p>
              </w:tc>
              <w:tc>
                <w:tcPr>
                  <w:tcW w:w="495" w:type="pct"/>
                  <w:shd w:val="clear" w:color="auto" w:fill="auto"/>
                </w:tcPr>
                <w:p w:rsidR="00F76494" w:rsidRPr="00A734D1" w:rsidRDefault="00F76494" w:rsidP="00F76494">
                  <w:pPr>
                    <w:pStyle w:val="TableBodyText"/>
                  </w:pPr>
                  <w:r w:rsidRPr="00A734D1">
                    <w:t xml:space="preserve">  0.4</w:t>
                  </w:r>
                </w:p>
              </w:tc>
            </w:tr>
            <w:tr w:rsidR="00F76494" w:rsidRPr="00F81A7C" w:rsidTr="00FE3FD5">
              <w:tc>
                <w:tcPr>
                  <w:tcW w:w="497" w:type="pct"/>
                  <w:shd w:val="clear" w:color="auto" w:fill="auto"/>
                  <w:vAlign w:val="center"/>
                </w:tcPr>
                <w:p w:rsidR="00F76494" w:rsidRPr="00F81A7C" w:rsidRDefault="00F76494" w:rsidP="006B5C6D">
                  <w:pPr>
                    <w:pStyle w:val="TableBodyText"/>
                    <w:ind w:left="0" w:right="0"/>
                    <w:jc w:val="left"/>
                    <w:rPr>
                      <w:rFonts w:asciiTheme="majorHAnsi" w:hAnsiTheme="majorHAnsi" w:cstheme="majorHAnsi"/>
                      <w:color w:val="000000" w:themeColor="text1"/>
                      <w:szCs w:val="18"/>
                    </w:rPr>
                  </w:pPr>
                  <w:r>
                    <w:rPr>
                      <w:rFonts w:asciiTheme="majorHAnsi" w:hAnsiTheme="majorHAnsi" w:cstheme="majorHAnsi"/>
                      <w:color w:val="000000" w:themeColor="text1"/>
                      <w:szCs w:val="18"/>
                    </w:rPr>
                    <w:t>2013</w:t>
                  </w:r>
                </w:p>
              </w:tc>
              <w:tc>
                <w:tcPr>
                  <w:tcW w:w="501" w:type="pct"/>
                  <w:shd w:val="clear" w:color="auto" w:fill="auto"/>
                </w:tcPr>
                <w:p w:rsidR="00F76494" w:rsidRPr="00A734D1" w:rsidRDefault="00F76494" w:rsidP="00F76494">
                  <w:pPr>
                    <w:pStyle w:val="TableBodyText"/>
                  </w:pPr>
                  <w:r w:rsidRPr="00A734D1">
                    <w:t xml:space="preserve">  0.5</w:t>
                  </w:r>
                </w:p>
              </w:tc>
              <w:tc>
                <w:tcPr>
                  <w:tcW w:w="501" w:type="pct"/>
                </w:tcPr>
                <w:p w:rsidR="00F76494" w:rsidRPr="00A734D1" w:rsidRDefault="00F76494" w:rsidP="00F76494">
                  <w:pPr>
                    <w:pStyle w:val="TableBodyText"/>
                  </w:pPr>
                  <w:r w:rsidRPr="00A734D1">
                    <w:t>..</w:t>
                  </w:r>
                </w:p>
              </w:tc>
              <w:tc>
                <w:tcPr>
                  <w:tcW w:w="501" w:type="pct"/>
                </w:tcPr>
                <w:p w:rsidR="00F76494" w:rsidRPr="00A734D1" w:rsidRDefault="00F76494" w:rsidP="00F76494">
                  <w:pPr>
                    <w:pStyle w:val="TableBodyText"/>
                  </w:pPr>
                  <w:r w:rsidRPr="00A734D1">
                    <w:t xml:space="preserve">  0.8</w:t>
                  </w:r>
                </w:p>
              </w:tc>
              <w:tc>
                <w:tcPr>
                  <w:tcW w:w="501" w:type="pct"/>
                </w:tcPr>
                <w:p w:rsidR="00F76494" w:rsidRPr="00A734D1" w:rsidRDefault="00F76494" w:rsidP="00F76494">
                  <w:pPr>
                    <w:pStyle w:val="TableBodyText"/>
                  </w:pPr>
                  <w:r w:rsidRPr="00A734D1">
                    <w:t>..</w:t>
                  </w:r>
                </w:p>
              </w:tc>
              <w:tc>
                <w:tcPr>
                  <w:tcW w:w="501" w:type="pct"/>
                </w:tcPr>
                <w:p w:rsidR="00F76494" w:rsidRPr="00A734D1" w:rsidRDefault="00F76494" w:rsidP="00F76494">
                  <w:pPr>
                    <w:pStyle w:val="TableBodyText"/>
                  </w:pPr>
                  <w:r w:rsidRPr="00A734D1">
                    <w:t>–</w:t>
                  </w:r>
                </w:p>
              </w:tc>
              <w:tc>
                <w:tcPr>
                  <w:tcW w:w="501" w:type="pct"/>
                </w:tcPr>
                <w:p w:rsidR="00F76494" w:rsidRPr="00A734D1" w:rsidRDefault="00F76494" w:rsidP="00F76494">
                  <w:pPr>
                    <w:pStyle w:val="TableBodyText"/>
                  </w:pPr>
                  <w:r w:rsidRPr="00A734D1">
                    <w:t>–</w:t>
                  </w:r>
                </w:p>
              </w:tc>
              <w:tc>
                <w:tcPr>
                  <w:tcW w:w="501" w:type="pct"/>
                </w:tcPr>
                <w:p w:rsidR="00F76494" w:rsidRPr="00A734D1" w:rsidRDefault="00F76494" w:rsidP="00F76494">
                  <w:pPr>
                    <w:pStyle w:val="TableBodyText"/>
                  </w:pPr>
                  <w:r w:rsidRPr="00A734D1">
                    <w:t>..</w:t>
                  </w:r>
                </w:p>
              </w:tc>
              <w:tc>
                <w:tcPr>
                  <w:tcW w:w="501" w:type="pct"/>
                </w:tcPr>
                <w:p w:rsidR="00F76494" w:rsidRPr="00A734D1" w:rsidRDefault="00F76494" w:rsidP="00F76494">
                  <w:pPr>
                    <w:pStyle w:val="TableBodyText"/>
                  </w:pPr>
                  <w:r w:rsidRPr="00A734D1">
                    <w:t>..</w:t>
                  </w:r>
                </w:p>
              </w:tc>
              <w:tc>
                <w:tcPr>
                  <w:tcW w:w="495" w:type="pct"/>
                  <w:shd w:val="clear" w:color="auto" w:fill="auto"/>
                </w:tcPr>
                <w:p w:rsidR="00F76494" w:rsidRPr="00A734D1" w:rsidRDefault="00F76494" w:rsidP="00F76494">
                  <w:pPr>
                    <w:pStyle w:val="TableBodyText"/>
                  </w:pPr>
                  <w:r w:rsidRPr="00A734D1">
                    <w:t xml:space="preserve">  0.5</w:t>
                  </w:r>
                </w:p>
              </w:tc>
            </w:tr>
            <w:tr w:rsidR="00F76494" w:rsidRPr="00F81A7C" w:rsidTr="00FE3FD5">
              <w:tc>
                <w:tcPr>
                  <w:tcW w:w="497" w:type="pct"/>
                  <w:shd w:val="clear" w:color="auto" w:fill="auto"/>
                  <w:vAlign w:val="center"/>
                </w:tcPr>
                <w:p w:rsidR="00F76494" w:rsidRDefault="00F76494" w:rsidP="00F81A7C">
                  <w:pPr>
                    <w:pStyle w:val="TableBodyText"/>
                    <w:ind w:left="0" w:right="0"/>
                    <w:jc w:val="left"/>
                    <w:rPr>
                      <w:rFonts w:asciiTheme="majorHAnsi" w:hAnsiTheme="majorHAnsi" w:cstheme="majorHAnsi"/>
                      <w:color w:val="000000" w:themeColor="text1"/>
                      <w:szCs w:val="18"/>
                    </w:rPr>
                  </w:pPr>
                  <w:r>
                    <w:rPr>
                      <w:rFonts w:asciiTheme="majorHAnsi" w:hAnsiTheme="majorHAnsi" w:cstheme="majorHAnsi"/>
                      <w:color w:val="000000" w:themeColor="text1"/>
                      <w:szCs w:val="18"/>
                    </w:rPr>
                    <w:t>2012</w:t>
                  </w:r>
                </w:p>
              </w:tc>
              <w:tc>
                <w:tcPr>
                  <w:tcW w:w="501" w:type="pct"/>
                  <w:shd w:val="clear" w:color="auto" w:fill="auto"/>
                </w:tcPr>
                <w:p w:rsidR="00F76494" w:rsidRPr="00A734D1" w:rsidRDefault="00F76494" w:rsidP="00F76494">
                  <w:pPr>
                    <w:pStyle w:val="TableBodyText"/>
                  </w:pPr>
                  <w:r w:rsidRPr="00A734D1">
                    <w:t xml:space="preserve">  0.5</w:t>
                  </w:r>
                </w:p>
              </w:tc>
              <w:tc>
                <w:tcPr>
                  <w:tcW w:w="501" w:type="pct"/>
                </w:tcPr>
                <w:p w:rsidR="00F76494" w:rsidRPr="00A734D1" w:rsidRDefault="00F76494" w:rsidP="00F76494">
                  <w:pPr>
                    <w:pStyle w:val="TableBodyText"/>
                  </w:pPr>
                  <w:r w:rsidRPr="00A734D1">
                    <w:t>..</w:t>
                  </w:r>
                </w:p>
              </w:tc>
              <w:tc>
                <w:tcPr>
                  <w:tcW w:w="501" w:type="pct"/>
                </w:tcPr>
                <w:p w:rsidR="00F76494" w:rsidRPr="00A734D1" w:rsidRDefault="00F76494" w:rsidP="00F76494">
                  <w:pPr>
                    <w:pStyle w:val="TableBodyText"/>
                  </w:pPr>
                  <w:r w:rsidRPr="00A734D1">
                    <w:t xml:space="preserve">  1.1</w:t>
                  </w:r>
                </w:p>
              </w:tc>
              <w:tc>
                <w:tcPr>
                  <w:tcW w:w="501" w:type="pct"/>
                </w:tcPr>
                <w:p w:rsidR="00F76494" w:rsidRPr="00A734D1" w:rsidRDefault="00F76494" w:rsidP="00F76494">
                  <w:pPr>
                    <w:pStyle w:val="TableBodyText"/>
                  </w:pPr>
                  <w:r w:rsidRPr="00A734D1">
                    <w:t>..</w:t>
                  </w:r>
                </w:p>
              </w:tc>
              <w:tc>
                <w:tcPr>
                  <w:tcW w:w="501" w:type="pct"/>
                </w:tcPr>
                <w:p w:rsidR="00F76494" w:rsidRPr="00A734D1" w:rsidRDefault="00F76494" w:rsidP="00F76494">
                  <w:pPr>
                    <w:pStyle w:val="TableBodyText"/>
                  </w:pPr>
                  <w:r w:rsidRPr="00A734D1">
                    <w:t>–</w:t>
                  </w:r>
                </w:p>
              </w:tc>
              <w:tc>
                <w:tcPr>
                  <w:tcW w:w="501" w:type="pct"/>
                </w:tcPr>
                <w:p w:rsidR="00F76494" w:rsidRPr="00A734D1" w:rsidRDefault="00F76494" w:rsidP="00F76494">
                  <w:pPr>
                    <w:pStyle w:val="TableBodyText"/>
                  </w:pPr>
                  <w:r w:rsidRPr="00A734D1">
                    <w:t>–</w:t>
                  </w:r>
                </w:p>
              </w:tc>
              <w:tc>
                <w:tcPr>
                  <w:tcW w:w="501" w:type="pct"/>
                </w:tcPr>
                <w:p w:rsidR="00F76494" w:rsidRPr="00A734D1" w:rsidRDefault="00F76494" w:rsidP="00F76494">
                  <w:pPr>
                    <w:pStyle w:val="TableBodyText"/>
                  </w:pPr>
                  <w:r w:rsidRPr="00A734D1">
                    <w:t>..</w:t>
                  </w:r>
                </w:p>
              </w:tc>
              <w:tc>
                <w:tcPr>
                  <w:tcW w:w="501" w:type="pct"/>
                </w:tcPr>
                <w:p w:rsidR="00F76494" w:rsidRPr="00A734D1" w:rsidRDefault="00F76494" w:rsidP="00F76494">
                  <w:pPr>
                    <w:pStyle w:val="TableBodyText"/>
                  </w:pPr>
                  <w:r w:rsidRPr="00A734D1">
                    <w:t>..</w:t>
                  </w:r>
                </w:p>
              </w:tc>
              <w:tc>
                <w:tcPr>
                  <w:tcW w:w="495" w:type="pct"/>
                  <w:shd w:val="clear" w:color="auto" w:fill="auto"/>
                </w:tcPr>
                <w:p w:rsidR="00F76494" w:rsidRPr="00A734D1" w:rsidRDefault="00F76494" w:rsidP="00F76494">
                  <w:pPr>
                    <w:pStyle w:val="TableBodyText"/>
                  </w:pPr>
                  <w:r w:rsidRPr="00A734D1">
                    <w:t xml:space="preserve">  0.7</w:t>
                  </w:r>
                </w:p>
              </w:tc>
            </w:tr>
            <w:tr w:rsidR="00F76494" w:rsidRPr="00F81A7C" w:rsidTr="00FE3FD5">
              <w:tc>
                <w:tcPr>
                  <w:tcW w:w="497" w:type="pct"/>
                  <w:shd w:val="clear" w:color="auto" w:fill="auto"/>
                  <w:vAlign w:val="center"/>
                </w:tcPr>
                <w:p w:rsidR="00F76494" w:rsidRPr="00F81A7C" w:rsidRDefault="00F76494" w:rsidP="00F81A7C">
                  <w:pPr>
                    <w:pStyle w:val="TableBodyText"/>
                    <w:ind w:left="0" w:right="0"/>
                    <w:jc w:val="left"/>
                    <w:rPr>
                      <w:rFonts w:asciiTheme="majorHAnsi" w:hAnsiTheme="majorHAnsi" w:cstheme="majorHAnsi"/>
                      <w:color w:val="000000" w:themeColor="text1"/>
                      <w:szCs w:val="18"/>
                    </w:rPr>
                  </w:pPr>
                  <w:r>
                    <w:rPr>
                      <w:rFonts w:asciiTheme="majorHAnsi" w:hAnsiTheme="majorHAnsi" w:cstheme="majorHAnsi"/>
                      <w:color w:val="000000" w:themeColor="text1"/>
                      <w:szCs w:val="18"/>
                    </w:rPr>
                    <w:t>2011</w:t>
                  </w:r>
                </w:p>
              </w:tc>
              <w:tc>
                <w:tcPr>
                  <w:tcW w:w="501" w:type="pct"/>
                  <w:shd w:val="clear" w:color="auto" w:fill="auto"/>
                </w:tcPr>
                <w:p w:rsidR="00F76494" w:rsidRPr="00A734D1" w:rsidRDefault="00F76494" w:rsidP="00F76494">
                  <w:pPr>
                    <w:pStyle w:val="TableBodyText"/>
                  </w:pPr>
                  <w:r w:rsidRPr="00A734D1">
                    <w:t xml:space="preserve">  0.3</w:t>
                  </w:r>
                </w:p>
              </w:tc>
              <w:tc>
                <w:tcPr>
                  <w:tcW w:w="501" w:type="pct"/>
                </w:tcPr>
                <w:p w:rsidR="00F76494" w:rsidRPr="00A734D1" w:rsidRDefault="00F76494" w:rsidP="00F76494">
                  <w:pPr>
                    <w:pStyle w:val="TableBodyText"/>
                  </w:pPr>
                  <w:r w:rsidRPr="00A734D1">
                    <w:t>..</w:t>
                  </w:r>
                </w:p>
              </w:tc>
              <w:tc>
                <w:tcPr>
                  <w:tcW w:w="501" w:type="pct"/>
                </w:tcPr>
                <w:p w:rsidR="00F76494" w:rsidRPr="00A734D1" w:rsidRDefault="00F76494" w:rsidP="00F76494">
                  <w:pPr>
                    <w:pStyle w:val="TableBodyText"/>
                  </w:pPr>
                  <w:r w:rsidRPr="00A734D1">
                    <w:t xml:space="preserve">  0.2</w:t>
                  </w:r>
                </w:p>
              </w:tc>
              <w:tc>
                <w:tcPr>
                  <w:tcW w:w="501" w:type="pct"/>
                </w:tcPr>
                <w:p w:rsidR="00F76494" w:rsidRPr="00A734D1" w:rsidRDefault="00F76494" w:rsidP="00F76494">
                  <w:pPr>
                    <w:pStyle w:val="TableBodyText"/>
                  </w:pPr>
                  <w:r w:rsidRPr="00A734D1">
                    <w:t>..</w:t>
                  </w:r>
                </w:p>
              </w:tc>
              <w:tc>
                <w:tcPr>
                  <w:tcW w:w="501" w:type="pct"/>
                </w:tcPr>
                <w:p w:rsidR="00F76494" w:rsidRPr="00A734D1" w:rsidRDefault="00F76494" w:rsidP="00F76494">
                  <w:pPr>
                    <w:pStyle w:val="TableBodyText"/>
                  </w:pPr>
                  <w:r w:rsidRPr="00A734D1">
                    <w:t>–</w:t>
                  </w:r>
                </w:p>
              </w:tc>
              <w:tc>
                <w:tcPr>
                  <w:tcW w:w="501" w:type="pct"/>
                </w:tcPr>
                <w:p w:rsidR="00F76494" w:rsidRPr="00A734D1" w:rsidRDefault="00F76494" w:rsidP="00F76494">
                  <w:pPr>
                    <w:pStyle w:val="TableBodyText"/>
                  </w:pPr>
                  <w:r w:rsidRPr="00A734D1">
                    <w:t>–</w:t>
                  </w:r>
                </w:p>
              </w:tc>
              <w:tc>
                <w:tcPr>
                  <w:tcW w:w="501" w:type="pct"/>
                </w:tcPr>
                <w:p w:rsidR="00F76494" w:rsidRPr="00A734D1" w:rsidRDefault="00F76494" w:rsidP="00F76494">
                  <w:pPr>
                    <w:pStyle w:val="TableBodyText"/>
                  </w:pPr>
                  <w:r w:rsidRPr="00A734D1">
                    <w:t>..</w:t>
                  </w:r>
                </w:p>
              </w:tc>
              <w:tc>
                <w:tcPr>
                  <w:tcW w:w="501" w:type="pct"/>
                </w:tcPr>
                <w:p w:rsidR="00F76494" w:rsidRPr="00A734D1" w:rsidRDefault="00F76494" w:rsidP="00F76494">
                  <w:pPr>
                    <w:pStyle w:val="TableBodyText"/>
                  </w:pPr>
                  <w:r w:rsidRPr="00A734D1">
                    <w:t>..</w:t>
                  </w:r>
                </w:p>
              </w:tc>
              <w:tc>
                <w:tcPr>
                  <w:tcW w:w="495" w:type="pct"/>
                  <w:shd w:val="clear" w:color="auto" w:fill="auto"/>
                </w:tcPr>
                <w:p w:rsidR="00F76494" w:rsidRDefault="00F76494" w:rsidP="00F76494">
                  <w:pPr>
                    <w:pStyle w:val="TableBodyText"/>
                  </w:pPr>
                  <w:r w:rsidRPr="00A734D1">
                    <w:t xml:space="preserve">  0.2</w:t>
                  </w:r>
                </w:p>
              </w:tc>
            </w:tr>
            <w:tr w:rsidR="00330E0A" w:rsidRPr="00F81A7C" w:rsidTr="0022319C">
              <w:tc>
                <w:tcPr>
                  <w:tcW w:w="5000" w:type="pct"/>
                  <w:gridSpan w:val="10"/>
                  <w:shd w:val="clear" w:color="auto" w:fill="auto"/>
                  <w:vAlign w:val="center"/>
                </w:tcPr>
                <w:p w:rsidR="00330E0A" w:rsidRPr="00F76494" w:rsidRDefault="00330E0A" w:rsidP="00F76494">
                  <w:pPr>
                    <w:pStyle w:val="TableBodyText"/>
                    <w:jc w:val="left"/>
                    <w:rPr>
                      <w:rStyle w:val="NoteLabel"/>
                      <w:rFonts w:asciiTheme="majorHAnsi" w:hAnsiTheme="majorHAnsi" w:cstheme="majorHAnsi"/>
                      <w:i/>
                      <w:szCs w:val="18"/>
                    </w:rPr>
                  </w:pPr>
                  <w:r w:rsidRPr="00F76494">
                    <w:rPr>
                      <w:rFonts w:asciiTheme="majorHAnsi" w:hAnsiTheme="majorHAnsi" w:cstheme="majorHAnsi"/>
                      <w:i/>
                      <w:color w:val="000000" w:themeColor="text1"/>
                      <w:szCs w:val="18"/>
                    </w:rPr>
                    <w:t>Community housing</w:t>
                  </w:r>
                </w:p>
              </w:tc>
            </w:tr>
            <w:tr w:rsidR="007C28DB" w:rsidRPr="0022319C" w:rsidTr="00C54957">
              <w:tc>
                <w:tcPr>
                  <w:tcW w:w="497" w:type="pct"/>
                  <w:shd w:val="clear" w:color="auto" w:fill="FFFFFF" w:themeFill="background1"/>
                </w:tcPr>
                <w:p w:rsidR="007C28DB" w:rsidRPr="0022319C" w:rsidRDefault="007C28DB" w:rsidP="00F76494">
                  <w:pPr>
                    <w:pStyle w:val="TableBodyText"/>
                    <w:jc w:val="left"/>
                  </w:pPr>
                  <w:r w:rsidRPr="0022319C">
                    <w:t>2015</w:t>
                  </w:r>
                </w:p>
              </w:tc>
              <w:tc>
                <w:tcPr>
                  <w:tcW w:w="501" w:type="pct"/>
                  <w:shd w:val="clear" w:color="auto" w:fill="FFFFFF" w:themeFill="background1"/>
                </w:tcPr>
                <w:p w:rsidR="007C28DB" w:rsidRPr="0022319C" w:rsidRDefault="007C28DB" w:rsidP="007C28DB">
                  <w:pPr>
                    <w:pStyle w:val="TableBodyText"/>
                  </w:pPr>
                  <w:r w:rsidRPr="0022319C">
                    <w:t xml:space="preserve">  7.6</w:t>
                  </w:r>
                </w:p>
              </w:tc>
              <w:tc>
                <w:tcPr>
                  <w:tcW w:w="501" w:type="pct"/>
                  <w:shd w:val="clear" w:color="auto" w:fill="FFFFFF" w:themeFill="background1"/>
                </w:tcPr>
                <w:p w:rsidR="007C28DB" w:rsidRPr="0022319C" w:rsidRDefault="007C28DB" w:rsidP="007C28DB">
                  <w:pPr>
                    <w:pStyle w:val="TableBodyText"/>
                  </w:pPr>
                  <w:r w:rsidRPr="0022319C">
                    <w:t xml:space="preserve">  0.1</w:t>
                  </w:r>
                </w:p>
              </w:tc>
              <w:tc>
                <w:tcPr>
                  <w:tcW w:w="501" w:type="pct"/>
                  <w:shd w:val="clear" w:color="auto" w:fill="FFFFFF" w:themeFill="background1"/>
                </w:tcPr>
                <w:p w:rsidR="007C28DB" w:rsidRPr="0022319C" w:rsidRDefault="007C28DB" w:rsidP="007C28DB">
                  <w:pPr>
                    <w:pStyle w:val="TableBodyText"/>
                  </w:pPr>
                  <w:r w:rsidRPr="0022319C">
                    <w:t>na</w:t>
                  </w:r>
                </w:p>
              </w:tc>
              <w:tc>
                <w:tcPr>
                  <w:tcW w:w="501" w:type="pct"/>
                  <w:shd w:val="clear" w:color="auto" w:fill="FFFFFF" w:themeFill="background1"/>
                </w:tcPr>
                <w:p w:rsidR="007C28DB" w:rsidRPr="0022319C" w:rsidRDefault="007C28DB" w:rsidP="007C28DB">
                  <w:pPr>
                    <w:pStyle w:val="TableBodyText"/>
                  </w:pPr>
                  <w:r w:rsidRPr="0022319C">
                    <w:t xml:space="preserve">  17.7</w:t>
                  </w:r>
                </w:p>
              </w:tc>
              <w:tc>
                <w:tcPr>
                  <w:tcW w:w="501" w:type="pct"/>
                  <w:shd w:val="clear" w:color="auto" w:fill="FFFFFF" w:themeFill="background1"/>
                </w:tcPr>
                <w:p w:rsidR="007C28DB" w:rsidRPr="0022319C" w:rsidRDefault="007C28DB" w:rsidP="007C28DB">
                  <w:pPr>
                    <w:pStyle w:val="TableBodyText"/>
                  </w:pPr>
                  <w:r w:rsidRPr="0022319C">
                    <w:t xml:space="preserve">  9.0</w:t>
                  </w:r>
                </w:p>
              </w:tc>
              <w:tc>
                <w:tcPr>
                  <w:tcW w:w="501" w:type="pct"/>
                  <w:shd w:val="clear" w:color="auto" w:fill="FFFFFF" w:themeFill="background1"/>
                </w:tcPr>
                <w:p w:rsidR="007C28DB" w:rsidRPr="0022319C" w:rsidRDefault="007C28DB" w:rsidP="007C28DB">
                  <w:pPr>
                    <w:pStyle w:val="TableBodyText"/>
                  </w:pPr>
                  <w:r w:rsidRPr="0022319C">
                    <w:t xml:space="preserve">  27.8</w:t>
                  </w:r>
                </w:p>
              </w:tc>
              <w:tc>
                <w:tcPr>
                  <w:tcW w:w="501" w:type="pct"/>
                  <w:shd w:val="clear" w:color="auto" w:fill="FFFFFF" w:themeFill="background1"/>
                </w:tcPr>
                <w:p w:rsidR="007C28DB" w:rsidRPr="0022319C" w:rsidRDefault="007C28DB" w:rsidP="007C28DB">
                  <w:pPr>
                    <w:pStyle w:val="TableBodyText"/>
                  </w:pPr>
                  <w:r w:rsidRPr="0022319C">
                    <w:t xml:space="preserve">  0.4</w:t>
                  </w:r>
                </w:p>
              </w:tc>
              <w:tc>
                <w:tcPr>
                  <w:tcW w:w="501" w:type="pct"/>
                  <w:shd w:val="clear" w:color="auto" w:fill="FFFFFF" w:themeFill="background1"/>
                </w:tcPr>
                <w:p w:rsidR="007C28DB" w:rsidRPr="0022319C" w:rsidRDefault="007C28DB" w:rsidP="007C28DB">
                  <w:pPr>
                    <w:pStyle w:val="TableBodyText"/>
                  </w:pPr>
                  <w:r w:rsidRPr="0022319C">
                    <w:t>na</w:t>
                  </w:r>
                </w:p>
              </w:tc>
              <w:tc>
                <w:tcPr>
                  <w:tcW w:w="495" w:type="pct"/>
                  <w:shd w:val="clear" w:color="auto" w:fill="FFFFFF" w:themeFill="background1"/>
                </w:tcPr>
                <w:p w:rsidR="007C28DB" w:rsidRPr="0022319C" w:rsidRDefault="007C28DB" w:rsidP="007C28DB">
                  <w:pPr>
                    <w:pStyle w:val="TableBodyText"/>
                  </w:pPr>
                  <w:r w:rsidRPr="0022319C">
                    <w:t xml:space="preserve">  8.7</w:t>
                  </w:r>
                </w:p>
              </w:tc>
            </w:tr>
            <w:tr w:rsidR="00F76494" w:rsidRPr="00F81A7C" w:rsidTr="00FE3FD5">
              <w:tc>
                <w:tcPr>
                  <w:tcW w:w="497" w:type="pct"/>
                  <w:shd w:val="clear" w:color="auto" w:fill="auto"/>
                </w:tcPr>
                <w:p w:rsidR="00F76494" w:rsidRPr="00D278D5" w:rsidRDefault="00F76494" w:rsidP="00F76494">
                  <w:pPr>
                    <w:pStyle w:val="TableBodyText"/>
                    <w:jc w:val="left"/>
                  </w:pPr>
                  <w:r>
                    <w:t>2014</w:t>
                  </w:r>
                </w:p>
              </w:tc>
              <w:tc>
                <w:tcPr>
                  <w:tcW w:w="501" w:type="pct"/>
                  <w:shd w:val="clear" w:color="auto" w:fill="auto"/>
                </w:tcPr>
                <w:p w:rsidR="00F76494" w:rsidRPr="00220385" w:rsidRDefault="00F76494" w:rsidP="00F76494">
                  <w:pPr>
                    <w:pStyle w:val="TableBodyText"/>
                  </w:pPr>
                  <w:r w:rsidRPr="00220385">
                    <w:t xml:space="preserve">  10.4</w:t>
                  </w:r>
                </w:p>
              </w:tc>
              <w:tc>
                <w:tcPr>
                  <w:tcW w:w="501" w:type="pct"/>
                </w:tcPr>
                <w:p w:rsidR="00F76494" w:rsidRPr="00220385" w:rsidRDefault="00F76494" w:rsidP="00F76494">
                  <w:pPr>
                    <w:pStyle w:val="TableBodyText"/>
                  </w:pPr>
                  <w:r w:rsidRPr="00220385">
                    <w:t xml:space="preserve">  4.9</w:t>
                  </w:r>
                </w:p>
              </w:tc>
              <w:tc>
                <w:tcPr>
                  <w:tcW w:w="501" w:type="pct"/>
                </w:tcPr>
                <w:p w:rsidR="00F76494" w:rsidRPr="00220385" w:rsidRDefault="00F76494" w:rsidP="00F76494">
                  <w:pPr>
                    <w:pStyle w:val="TableBodyText"/>
                  </w:pPr>
                  <w:r w:rsidRPr="00220385">
                    <w:t>na</w:t>
                  </w:r>
                </w:p>
              </w:tc>
              <w:tc>
                <w:tcPr>
                  <w:tcW w:w="501" w:type="pct"/>
                </w:tcPr>
                <w:p w:rsidR="00F76494" w:rsidRPr="00220385" w:rsidRDefault="00F76494" w:rsidP="00F76494">
                  <w:pPr>
                    <w:pStyle w:val="TableBodyText"/>
                  </w:pPr>
                  <w:r w:rsidRPr="00220385">
                    <w:t xml:space="preserve">  10.4</w:t>
                  </w:r>
                </w:p>
              </w:tc>
              <w:tc>
                <w:tcPr>
                  <w:tcW w:w="501" w:type="pct"/>
                </w:tcPr>
                <w:p w:rsidR="00F76494" w:rsidRPr="00220385" w:rsidRDefault="00F76494" w:rsidP="00F76494">
                  <w:pPr>
                    <w:pStyle w:val="TableBodyText"/>
                  </w:pPr>
                  <w:r w:rsidRPr="00220385">
                    <w:t xml:space="preserve">  3.7</w:t>
                  </w:r>
                </w:p>
              </w:tc>
              <w:tc>
                <w:tcPr>
                  <w:tcW w:w="501" w:type="pct"/>
                </w:tcPr>
                <w:p w:rsidR="00F76494" w:rsidRPr="00220385" w:rsidRDefault="00F76494" w:rsidP="00F76494">
                  <w:pPr>
                    <w:pStyle w:val="TableBodyText"/>
                  </w:pPr>
                  <w:r w:rsidRPr="00220385">
                    <w:t xml:space="preserve">  23.0</w:t>
                  </w:r>
                </w:p>
              </w:tc>
              <w:tc>
                <w:tcPr>
                  <w:tcW w:w="501" w:type="pct"/>
                </w:tcPr>
                <w:p w:rsidR="00F76494" w:rsidRPr="00220385" w:rsidRDefault="00244E28" w:rsidP="00F76494">
                  <w:pPr>
                    <w:pStyle w:val="TableBodyText"/>
                  </w:pPr>
                  <w:r w:rsidRPr="00220385">
                    <w:t>–</w:t>
                  </w:r>
                </w:p>
              </w:tc>
              <w:tc>
                <w:tcPr>
                  <w:tcW w:w="501" w:type="pct"/>
                </w:tcPr>
                <w:p w:rsidR="00F76494" w:rsidRPr="00220385" w:rsidRDefault="00F76494" w:rsidP="00F76494">
                  <w:pPr>
                    <w:pStyle w:val="TableBodyText"/>
                  </w:pPr>
                  <w:r w:rsidRPr="00220385">
                    <w:t>na</w:t>
                  </w:r>
                </w:p>
              </w:tc>
              <w:tc>
                <w:tcPr>
                  <w:tcW w:w="495" w:type="pct"/>
                  <w:shd w:val="clear" w:color="auto" w:fill="auto"/>
                </w:tcPr>
                <w:p w:rsidR="00F76494" w:rsidRPr="00220385" w:rsidRDefault="00F76494" w:rsidP="00F76494">
                  <w:pPr>
                    <w:pStyle w:val="TableBodyText"/>
                  </w:pPr>
                  <w:r w:rsidRPr="00220385">
                    <w:t xml:space="preserve">  9.0</w:t>
                  </w:r>
                </w:p>
              </w:tc>
            </w:tr>
            <w:tr w:rsidR="00F76494" w:rsidRPr="00F81A7C" w:rsidTr="00FE3FD5">
              <w:tc>
                <w:tcPr>
                  <w:tcW w:w="497" w:type="pct"/>
                  <w:shd w:val="clear" w:color="auto" w:fill="auto"/>
                </w:tcPr>
                <w:p w:rsidR="00F76494" w:rsidRPr="00D278D5" w:rsidRDefault="00F76494" w:rsidP="00F76494">
                  <w:pPr>
                    <w:pStyle w:val="TableBodyText"/>
                    <w:jc w:val="left"/>
                  </w:pPr>
                  <w:r>
                    <w:t>2013</w:t>
                  </w:r>
                </w:p>
              </w:tc>
              <w:tc>
                <w:tcPr>
                  <w:tcW w:w="501" w:type="pct"/>
                  <w:shd w:val="clear" w:color="auto" w:fill="auto"/>
                </w:tcPr>
                <w:p w:rsidR="00F76494" w:rsidRPr="00220385" w:rsidRDefault="00F76494" w:rsidP="00F76494">
                  <w:pPr>
                    <w:pStyle w:val="TableBodyText"/>
                  </w:pPr>
                  <w:r w:rsidRPr="00220385">
                    <w:t xml:space="preserve">  8.4</w:t>
                  </w:r>
                </w:p>
              </w:tc>
              <w:tc>
                <w:tcPr>
                  <w:tcW w:w="501" w:type="pct"/>
                </w:tcPr>
                <w:p w:rsidR="00F76494" w:rsidRPr="00220385" w:rsidRDefault="00F76494" w:rsidP="00F76494">
                  <w:pPr>
                    <w:pStyle w:val="TableBodyText"/>
                  </w:pPr>
                  <w:r w:rsidRPr="00220385">
                    <w:t xml:space="preserve">  9.5</w:t>
                  </w:r>
                </w:p>
              </w:tc>
              <w:tc>
                <w:tcPr>
                  <w:tcW w:w="501" w:type="pct"/>
                </w:tcPr>
                <w:p w:rsidR="00F76494" w:rsidRPr="00220385" w:rsidRDefault="00F76494" w:rsidP="00F76494">
                  <w:pPr>
                    <w:pStyle w:val="TableBodyText"/>
                  </w:pPr>
                  <w:r w:rsidRPr="00220385">
                    <w:t>na</w:t>
                  </w:r>
                </w:p>
              </w:tc>
              <w:tc>
                <w:tcPr>
                  <w:tcW w:w="501" w:type="pct"/>
                </w:tcPr>
                <w:p w:rsidR="00F76494" w:rsidRPr="00220385" w:rsidRDefault="00F76494" w:rsidP="00F76494">
                  <w:pPr>
                    <w:pStyle w:val="TableBodyText"/>
                  </w:pPr>
                  <w:r w:rsidRPr="00220385">
                    <w:t xml:space="preserve">  30.4</w:t>
                  </w:r>
                </w:p>
              </w:tc>
              <w:tc>
                <w:tcPr>
                  <w:tcW w:w="501" w:type="pct"/>
                </w:tcPr>
                <w:p w:rsidR="00F76494" w:rsidRPr="00220385" w:rsidRDefault="00F76494" w:rsidP="00F76494">
                  <w:pPr>
                    <w:pStyle w:val="TableBodyText"/>
                  </w:pPr>
                  <w:r w:rsidRPr="00220385">
                    <w:t xml:space="preserve">  6.5</w:t>
                  </w:r>
                </w:p>
              </w:tc>
              <w:tc>
                <w:tcPr>
                  <w:tcW w:w="501" w:type="pct"/>
                </w:tcPr>
                <w:p w:rsidR="00F76494" w:rsidRPr="00220385" w:rsidRDefault="00F76494" w:rsidP="00F76494">
                  <w:pPr>
                    <w:pStyle w:val="TableBodyText"/>
                  </w:pPr>
                  <w:r w:rsidRPr="00220385">
                    <w:t xml:space="preserve">  27.1</w:t>
                  </w:r>
                </w:p>
              </w:tc>
              <w:tc>
                <w:tcPr>
                  <w:tcW w:w="501" w:type="pct"/>
                </w:tcPr>
                <w:p w:rsidR="00F76494" w:rsidRPr="00220385" w:rsidRDefault="00F76494" w:rsidP="00F76494">
                  <w:pPr>
                    <w:pStyle w:val="TableBodyText"/>
                  </w:pPr>
                  <w:r w:rsidRPr="00220385">
                    <w:t xml:space="preserve">  0.6</w:t>
                  </w:r>
                </w:p>
              </w:tc>
              <w:tc>
                <w:tcPr>
                  <w:tcW w:w="501" w:type="pct"/>
                </w:tcPr>
                <w:p w:rsidR="00F76494" w:rsidRPr="00220385" w:rsidRDefault="00F76494" w:rsidP="00F76494">
                  <w:pPr>
                    <w:pStyle w:val="TableBodyText"/>
                  </w:pPr>
                  <w:r w:rsidRPr="00220385">
                    <w:t>na</w:t>
                  </w:r>
                </w:p>
              </w:tc>
              <w:tc>
                <w:tcPr>
                  <w:tcW w:w="495" w:type="pct"/>
                  <w:shd w:val="clear" w:color="auto" w:fill="auto"/>
                </w:tcPr>
                <w:p w:rsidR="00F76494" w:rsidRPr="00220385" w:rsidRDefault="00F76494" w:rsidP="00F76494">
                  <w:pPr>
                    <w:pStyle w:val="TableBodyText"/>
                  </w:pPr>
                  <w:r w:rsidRPr="00220385">
                    <w:t xml:space="preserve">  9.8</w:t>
                  </w:r>
                </w:p>
              </w:tc>
            </w:tr>
            <w:tr w:rsidR="00F76494" w:rsidRPr="008F2728" w:rsidTr="008E7147">
              <w:tc>
                <w:tcPr>
                  <w:tcW w:w="497" w:type="pct"/>
                  <w:shd w:val="clear" w:color="auto" w:fill="auto"/>
                </w:tcPr>
                <w:p w:rsidR="00F76494" w:rsidRPr="00D278D5" w:rsidRDefault="00F76494" w:rsidP="00F76494">
                  <w:pPr>
                    <w:pStyle w:val="TableBodyText"/>
                    <w:jc w:val="left"/>
                  </w:pPr>
                  <w:r>
                    <w:t>2012</w:t>
                  </w:r>
                </w:p>
              </w:tc>
              <w:tc>
                <w:tcPr>
                  <w:tcW w:w="501" w:type="pct"/>
                  <w:shd w:val="clear" w:color="auto" w:fill="auto"/>
                </w:tcPr>
                <w:p w:rsidR="00F76494" w:rsidRPr="00220385" w:rsidRDefault="00F76494" w:rsidP="00F76494">
                  <w:pPr>
                    <w:pStyle w:val="TableBodyText"/>
                  </w:pPr>
                  <w:r w:rsidRPr="00220385">
                    <w:t xml:space="preserve">  3.8</w:t>
                  </w:r>
                </w:p>
              </w:tc>
              <w:tc>
                <w:tcPr>
                  <w:tcW w:w="501" w:type="pct"/>
                  <w:shd w:val="clear" w:color="auto" w:fill="auto"/>
                </w:tcPr>
                <w:p w:rsidR="00F76494" w:rsidRPr="00220385" w:rsidRDefault="00F76494" w:rsidP="00F76494">
                  <w:pPr>
                    <w:pStyle w:val="TableBodyText"/>
                  </w:pPr>
                  <w:r w:rsidRPr="00220385">
                    <w:t>–</w:t>
                  </w:r>
                </w:p>
              </w:tc>
              <w:tc>
                <w:tcPr>
                  <w:tcW w:w="501" w:type="pct"/>
                  <w:shd w:val="clear" w:color="auto" w:fill="auto"/>
                </w:tcPr>
                <w:p w:rsidR="00F76494" w:rsidRPr="00220385" w:rsidRDefault="00F76494" w:rsidP="00F76494">
                  <w:pPr>
                    <w:pStyle w:val="TableBodyText"/>
                  </w:pPr>
                  <w:r w:rsidRPr="00220385">
                    <w:t>na</w:t>
                  </w:r>
                </w:p>
              </w:tc>
              <w:tc>
                <w:tcPr>
                  <w:tcW w:w="501" w:type="pct"/>
                  <w:shd w:val="clear" w:color="auto" w:fill="auto"/>
                </w:tcPr>
                <w:p w:rsidR="00F76494" w:rsidRPr="00220385" w:rsidRDefault="00F76494" w:rsidP="00F76494">
                  <w:pPr>
                    <w:pStyle w:val="TableBodyText"/>
                  </w:pPr>
                  <w:r w:rsidRPr="00220385">
                    <w:t xml:space="preserve">  5.0</w:t>
                  </w:r>
                </w:p>
              </w:tc>
              <w:tc>
                <w:tcPr>
                  <w:tcW w:w="501" w:type="pct"/>
                  <w:shd w:val="clear" w:color="auto" w:fill="auto"/>
                </w:tcPr>
                <w:p w:rsidR="00F76494" w:rsidRPr="00220385" w:rsidRDefault="00F76494" w:rsidP="00F76494">
                  <w:pPr>
                    <w:pStyle w:val="TableBodyText"/>
                  </w:pPr>
                  <w:r w:rsidRPr="00220385">
                    <w:t xml:space="preserve">  3.6</w:t>
                  </w:r>
                </w:p>
              </w:tc>
              <w:tc>
                <w:tcPr>
                  <w:tcW w:w="501" w:type="pct"/>
                  <w:shd w:val="clear" w:color="auto" w:fill="auto"/>
                </w:tcPr>
                <w:p w:rsidR="00F76494" w:rsidRPr="00220385" w:rsidRDefault="00F76494" w:rsidP="00F76494">
                  <w:pPr>
                    <w:pStyle w:val="TableBodyText"/>
                  </w:pPr>
                  <w:r w:rsidRPr="00220385">
                    <w:t xml:space="preserve">  26.5</w:t>
                  </w:r>
                </w:p>
              </w:tc>
              <w:tc>
                <w:tcPr>
                  <w:tcW w:w="501" w:type="pct"/>
                  <w:shd w:val="clear" w:color="auto" w:fill="auto"/>
                </w:tcPr>
                <w:p w:rsidR="00F76494" w:rsidRPr="00220385" w:rsidRDefault="00F76494" w:rsidP="00F76494">
                  <w:pPr>
                    <w:pStyle w:val="TableBodyText"/>
                  </w:pPr>
                  <w:r w:rsidRPr="00220385">
                    <w:t>–</w:t>
                  </w:r>
                </w:p>
              </w:tc>
              <w:tc>
                <w:tcPr>
                  <w:tcW w:w="501" w:type="pct"/>
                  <w:shd w:val="clear" w:color="auto" w:fill="auto"/>
                </w:tcPr>
                <w:p w:rsidR="00F76494" w:rsidRPr="00220385" w:rsidRDefault="00F76494" w:rsidP="00F76494">
                  <w:pPr>
                    <w:pStyle w:val="TableBodyText"/>
                  </w:pPr>
                  <w:r w:rsidRPr="00220385">
                    <w:t>na</w:t>
                  </w:r>
                </w:p>
              </w:tc>
              <w:tc>
                <w:tcPr>
                  <w:tcW w:w="495" w:type="pct"/>
                  <w:shd w:val="clear" w:color="auto" w:fill="auto"/>
                </w:tcPr>
                <w:p w:rsidR="00F76494" w:rsidRPr="00220385" w:rsidRDefault="00F76494" w:rsidP="00F76494">
                  <w:pPr>
                    <w:pStyle w:val="TableBodyText"/>
                  </w:pPr>
                  <w:r w:rsidRPr="00220385">
                    <w:t xml:space="preserve">  3.5</w:t>
                  </w:r>
                </w:p>
              </w:tc>
            </w:tr>
            <w:tr w:rsidR="00F76494" w:rsidRPr="008F2728" w:rsidTr="00FE3FD5">
              <w:tc>
                <w:tcPr>
                  <w:tcW w:w="497" w:type="pct"/>
                  <w:tcBorders>
                    <w:bottom w:val="single" w:sz="4" w:space="0" w:color="BFBFBF" w:themeColor="background2"/>
                  </w:tcBorders>
                  <w:shd w:val="clear" w:color="auto" w:fill="auto"/>
                </w:tcPr>
                <w:p w:rsidR="00F76494" w:rsidRPr="00D278D5" w:rsidRDefault="00F76494" w:rsidP="00F76494">
                  <w:pPr>
                    <w:pStyle w:val="TableBodyText"/>
                    <w:jc w:val="left"/>
                  </w:pPr>
                  <w:r>
                    <w:t>2011</w:t>
                  </w:r>
                </w:p>
              </w:tc>
              <w:tc>
                <w:tcPr>
                  <w:tcW w:w="501" w:type="pct"/>
                  <w:tcBorders>
                    <w:bottom w:val="single" w:sz="4" w:space="0" w:color="BFBFBF" w:themeColor="background2"/>
                  </w:tcBorders>
                  <w:shd w:val="clear" w:color="auto" w:fill="auto"/>
                </w:tcPr>
                <w:p w:rsidR="00F76494" w:rsidRPr="00220385" w:rsidRDefault="00F76494" w:rsidP="00F76494">
                  <w:pPr>
                    <w:pStyle w:val="TableBodyText"/>
                  </w:pPr>
                  <w:r w:rsidRPr="00220385">
                    <w:t xml:space="preserve">  10.8</w:t>
                  </w:r>
                </w:p>
              </w:tc>
              <w:tc>
                <w:tcPr>
                  <w:tcW w:w="501" w:type="pct"/>
                  <w:tcBorders>
                    <w:bottom w:val="single" w:sz="4" w:space="0" w:color="BFBFBF" w:themeColor="background2"/>
                  </w:tcBorders>
                  <w:shd w:val="clear" w:color="auto" w:fill="auto"/>
                </w:tcPr>
                <w:p w:rsidR="00F76494" w:rsidRPr="00220385" w:rsidRDefault="00F76494" w:rsidP="00F76494">
                  <w:pPr>
                    <w:pStyle w:val="TableBodyText"/>
                  </w:pPr>
                  <w:r w:rsidRPr="00220385">
                    <w:t xml:space="preserve">  12.2</w:t>
                  </w:r>
                </w:p>
              </w:tc>
              <w:tc>
                <w:tcPr>
                  <w:tcW w:w="501" w:type="pct"/>
                  <w:tcBorders>
                    <w:bottom w:val="single" w:sz="4" w:space="0" w:color="BFBFBF" w:themeColor="background2"/>
                  </w:tcBorders>
                  <w:shd w:val="clear" w:color="auto" w:fill="auto"/>
                </w:tcPr>
                <w:p w:rsidR="00F76494" w:rsidRPr="00220385" w:rsidRDefault="00F76494" w:rsidP="00F76494">
                  <w:pPr>
                    <w:pStyle w:val="TableBodyText"/>
                  </w:pPr>
                  <w:r w:rsidRPr="00220385">
                    <w:t>na</w:t>
                  </w:r>
                </w:p>
              </w:tc>
              <w:tc>
                <w:tcPr>
                  <w:tcW w:w="501" w:type="pct"/>
                  <w:tcBorders>
                    <w:bottom w:val="single" w:sz="4" w:space="0" w:color="BFBFBF" w:themeColor="background2"/>
                  </w:tcBorders>
                  <w:shd w:val="clear" w:color="auto" w:fill="auto"/>
                </w:tcPr>
                <w:p w:rsidR="00F76494" w:rsidRPr="00220385" w:rsidRDefault="00F76494" w:rsidP="00F76494">
                  <w:pPr>
                    <w:pStyle w:val="TableBodyText"/>
                  </w:pPr>
                  <w:r w:rsidRPr="00220385">
                    <w:t xml:space="preserve">  32.7</w:t>
                  </w:r>
                </w:p>
              </w:tc>
              <w:tc>
                <w:tcPr>
                  <w:tcW w:w="501" w:type="pct"/>
                  <w:tcBorders>
                    <w:bottom w:val="single" w:sz="4" w:space="0" w:color="BFBFBF" w:themeColor="background2"/>
                  </w:tcBorders>
                  <w:shd w:val="clear" w:color="auto" w:fill="auto"/>
                </w:tcPr>
                <w:p w:rsidR="00F76494" w:rsidRPr="00220385" w:rsidRDefault="00F76494" w:rsidP="00F76494">
                  <w:pPr>
                    <w:pStyle w:val="TableBodyText"/>
                  </w:pPr>
                  <w:r w:rsidRPr="00220385">
                    <w:t xml:space="preserve">  1.2</w:t>
                  </w:r>
                </w:p>
              </w:tc>
              <w:tc>
                <w:tcPr>
                  <w:tcW w:w="501" w:type="pct"/>
                  <w:tcBorders>
                    <w:bottom w:val="single" w:sz="4" w:space="0" w:color="BFBFBF" w:themeColor="background2"/>
                  </w:tcBorders>
                  <w:shd w:val="clear" w:color="auto" w:fill="auto"/>
                </w:tcPr>
                <w:p w:rsidR="00F76494" w:rsidRPr="00220385" w:rsidRDefault="00F76494" w:rsidP="00F76494">
                  <w:pPr>
                    <w:pStyle w:val="TableBodyText"/>
                  </w:pPr>
                  <w:r w:rsidRPr="00220385">
                    <w:t xml:space="preserve">  35.5</w:t>
                  </w:r>
                </w:p>
              </w:tc>
              <w:tc>
                <w:tcPr>
                  <w:tcW w:w="501" w:type="pct"/>
                  <w:tcBorders>
                    <w:bottom w:val="single" w:sz="4" w:space="0" w:color="BFBFBF" w:themeColor="background2"/>
                  </w:tcBorders>
                  <w:shd w:val="clear" w:color="auto" w:fill="auto"/>
                </w:tcPr>
                <w:p w:rsidR="00F76494" w:rsidRPr="00220385" w:rsidRDefault="00F76494" w:rsidP="00F76494">
                  <w:pPr>
                    <w:pStyle w:val="TableBodyText"/>
                  </w:pPr>
                  <w:r w:rsidRPr="00220385">
                    <w:t xml:space="preserve">  2.0</w:t>
                  </w:r>
                </w:p>
              </w:tc>
              <w:tc>
                <w:tcPr>
                  <w:tcW w:w="501" w:type="pct"/>
                  <w:tcBorders>
                    <w:bottom w:val="single" w:sz="4" w:space="0" w:color="BFBFBF" w:themeColor="background2"/>
                  </w:tcBorders>
                  <w:shd w:val="clear" w:color="auto" w:fill="auto"/>
                </w:tcPr>
                <w:p w:rsidR="00F76494" w:rsidRPr="00220385" w:rsidRDefault="00F76494" w:rsidP="00F76494">
                  <w:pPr>
                    <w:pStyle w:val="TableBodyText"/>
                  </w:pPr>
                  <w:r w:rsidRPr="00220385">
                    <w:t>na</w:t>
                  </w:r>
                </w:p>
              </w:tc>
              <w:tc>
                <w:tcPr>
                  <w:tcW w:w="495" w:type="pct"/>
                  <w:tcBorders>
                    <w:bottom w:val="single" w:sz="4" w:space="0" w:color="BFBFBF" w:themeColor="background2"/>
                  </w:tcBorders>
                  <w:shd w:val="clear" w:color="auto" w:fill="auto"/>
                </w:tcPr>
                <w:p w:rsidR="00F76494" w:rsidRDefault="006A7E09" w:rsidP="00F76494">
                  <w:pPr>
                    <w:pStyle w:val="TableBodyText"/>
                  </w:pPr>
                  <w:r>
                    <w:t xml:space="preserve">  12.5</w:t>
                  </w:r>
                </w:p>
              </w:tc>
            </w:tr>
          </w:tbl>
          <w:p w:rsidR="00543E21" w:rsidRDefault="00543E21" w:rsidP="004237A3">
            <w:pPr>
              <w:pStyle w:val="Box"/>
            </w:pPr>
          </w:p>
        </w:tc>
      </w:tr>
      <w:tr w:rsidR="00543E21" w:rsidTr="00F44E27">
        <w:trPr>
          <w:cantSplit/>
        </w:trPr>
        <w:tc>
          <w:tcPr>
            <w:tcW w:w="5000" w:type="pct"/>
            <w:tcBorders>
              <w:top w:val="nil"/>
              <w:left w:val="nil"/>
              <w:bottom w:val="nil"/>
              <w:right w:val="nil"/>
            </w:tcBorders>
            <w:shd w:val="clear" w:color="auto" w:fill="auto"/>
          </w:tcPr>
          <w:p w:rsidR="00543E21" w:rsidRDefault="00543E21" w:rsidP="00517919">
            <w:pPr>
              <w:pStyle w:val="Note"/>
              <w:rPr>
                <w:i/>
              </w:rPr>
            </w:pPr>
            <w:r w:rsidRPr="008E77FE">
              <w:rPr>
                <w:rStyle w:val="NoteLabel"/>
              </w:rPr>
              <w:t>a</w:t>
            </w:r>
            <w:r w:rsidR="00603D0A">
              <w:rPr>
                <w:rStyle w:val="NoteLabel"/>
              </w:rPr>
              <w:t> </w:t>
            </w:r>
            <w:r w:rsidR="00451C44">
              <w:t>See box</w:t>
            </w:r>
            <w:r w:rsidR="007D1214">
              <w:t> </w:t>
            </w:r>
            <w:r w:rsidR="00451C44">
              <w:t>17.14</w:t>
            </w:r>
            <w:r w:rsidR="006C2612">
              <w:t xml:space="preserve"> and tables</w:t>
            </w:r>
            <w:r w:rsidR="007D1214">
              <w:t> </w:t>
            </w:r>
            <w:proofErr w:type="spellStart"/>
            <w:r w:rsidR="006C2612">
              <w:t>17A.42</w:t>
            </w:r>
            <w:proofErr w:type="spellEnd"/>
            <w:r w:rsidR="007D1214">
              <w:noBreakHyphen/>
            </w:r>
            <w:r w:rsidR="006C2612">
              <w:t xml:space="preserve">43 </w:t>
            </w:r>
            <w:r w:rsidR="00AC0EFD">
              <w:t>for detailed definitions, footnotes and caveats</w:t>
            </w:r>
            <w:r w:rsidR="00857DD4">
              <w:t xml:space="preserve">. </w:t>
            </w:r>
            <w:r w:rsidR="00FA77C9" w:rsidRPr="00FA77C9">
              <w:rPr>
                <w:b/>
              </w:rPr>
              <w:t>na</w:t>
            </w:r>
            <w:r w:rsidR="00FA77C9" w:rsidRPr="00FA77C9">
              <w:t xml:space="preserve"> Not available. ..</w:t>
            </w:r>
            <w:r w:rsidR="00517919">
              <w:t> </w:t>
            </w:r>
            <w:r w:rsidR="00FA77C9" w:rsidRPr="00FA77C9">
              <w:t xml:space="preserve">Not applicable. – Nil or rounded to zero. </w:t>
            </w:r>
            <w:r w:rsidR="00FA77C9" w:rsidRPr="00FA77C9">
              <w:rPr>
                <w:b/>
              </w:rPr>
              <w:t>np</w:t>
            </w:r>
            <w:r w:rsidR="00FA77C9" w:rsidRPr="00FA77C9">
              <w:t xml:space="preserve"> Not published</w:t>
            </w:r>
            <w:r w:rsidR="00FA77C9">
              <w:t>.</w:t>
            </w:r>
          </w:p>
        </w:tc>
      </w:tr>
      <w:tr w:rsidR="00543E21" w:rsidTr="00F44E27">
        <w:trPr>
          <w:cantSplit/>
        </w:trPr>
        <w:tc>
          <w:tcPr>
            <w:tcW w:w="5000" w:type="pct"/>
            <w:tcBorders>
              <w:top w:val="nil"/>
              <w:left w:val="nil"/>
              <w:bottom w:val="nil"/>
              <w:right w:val="nil"/>
            </w:tcBorders>
            <w:shd w:val="clear" w:color="auto" w:fill="auto"/>
          </w:tcPr>
          <w:p w:rsidR="00543E21" w:rsidRDefault="0078599A" w:rsidP="0078599A">
            <w:pPr>
              <w:pStyle w:val="Source"/>
            </w:pPr>
            <w:r>
              <w:rPr>
                <w:i/>
              </w:rPr>
              <w:t xml:space="preserve">Source: </w:t>
            </w:r>
            <w:r w:rsidRPr="0078599A">
              <w:t xml:space="preserve">AIHW (unpublished) </w:t>
            </w:r>
            <w:r w:rsidR="00334274" w:rsidRPr="00A11155">
              <w:t>National Housing Assistance Data Repository</w:t>
            </w:r>
            <w:r w:rsidR="008E7147">
              <w:rPr>
                <w:i/>
              </w:rPr>
              <w:t>;</w:t>
            </w:r>
            <w:r w:rsidR="008E7147">
              <w:t xml:space="preserve"> tables</w:t>
            </w:r>
            <w:r w:rsidR="007D1214">
              <w:t> </w:t>
            </w:r>
            <w:proofErr w:type="spellStart"/>
            <w:r w:rsidR="008E7147">
              <w:t>17A.42</w:t>
            </w:r>
            <w:proofErr w:type="spellEnd"/>
            <w:r w:rsidR="007D1214">
              <w:noBreakHyphen/>
            </w:r>
            <w:r w:rsidR="008E7147">
              <w:t>43</w:t>
            </w:r>
            <w:r w:rsidR="00FA77C9" w:rsidRPr="00FA77C9">
              <w:t>.</w:t>
            </w:r>
          </w:p>
        </w:tc>
      </w:tr>
      <w:tr w:rsidR="00543E21" w:rsidTr="00F44E27">
        <w:trPr>
          <w:cantSplit/>
        </w:trPr>
        <w:tc>
          <w:tcPr>
            <w:tcW w:w="5000" w:type="pct"/>
            <w:tcBorders>
              <w:top w:val="nil"/>
              <w:left w:val="nil"/>
              <w:bottom w:val="single" w:sz="6" w:space="0" w:color="78A22F" w:themeColor="accent1"/>
              <w:right w:val="nil"/>
            </w:tcBorders>
            <w:shd w:val="clear" w:color="auto" w:fill="auto"/>
          </w:tcPr>
          <w:p w:rsidR="00543E21" w:rsidRDefault="00543E21" w:rsidP="004237A3">
            <w:pPr>
              <w:pStyle w:val="Box"/>
              <w:spacing w:before="0" w:line="120" w:lineRule="exact"/>
            </w:pPr>
          </w:p>
        </w:tc>
      </w:tr>
      <w:tr w:rsidR="00543E21" w:rsidRPr="000863A5" w:rsidTr="00F44E27">
        <w:tc>
          <w:tcPr>
            <w:tcW w:w="5000" w:type="pct"/>
            <w:tcBorders>
              <w:top w:val="single" w:sz="6" w:space="0" w:color="78A22F" w:themeColor="accent1"/>
              <w:left w:val="nil"/>
              <w:bottom w:val="nil"/>
              <w:right w:val="nil"/>
            </w:tcBorders>
          </w:tcPr>
          <w:p w:rsidR="00543E21" w:rsidRPr="00626D32" w:rsidRDefault="00543E21" w:rsidP="004237A3">
            <w:pPr>
              <w:pStyle w:val="BoxSpaceBelow"/>
            </w:pPr>
          </w:p>
        </w:tc>
      </w:tr>
    </w:tbl>
    <w:p w:rsidR="00ED7C88" w:rsidRPr="003430B0" w:rsidRDefault="00ED7C88" w:rsidP="006B692D">
      <w:pPr>
        <w:pStyle w:val="Heading4"/>
      </w:pPr>
      <w:r w:rsidRPr="003430B0">
        <w:lastRenderedPageBreak/>
        <w:t>Match of dwelling to household size</w:t>
      </w:r>
    </w:p>
    <w:p w:rsidR="00217EF3" w:rsidRDefault="00ED7C88" w:rsidP="00E84F5E">
      <w:pPr>
        <w:pStyle w:val="BodyText"/>
        <w:spacing w:after="240"/>
      </w:pPr>
      <w:r w:rsidRPr="00DA73E5">
        <w:t>‘Match of dwelling to household size’ is an indicator of governments’ objective to provide housing assistance that is appropriate to the needs of different households (box</w:t>
      </w:r>
      <w:r w:rsidR="007D1214">
        <w:t> </w:t>
      </w:r>
      <w:r w:rsidR="00463387">
        <w:t>17.</w:t>
      </w:r>
      <w:r w:rsidR="001946E2">
        <w:t>15</w:t>
      </w:r>
      <w:r w:rsidRPr="00DA73E5">
        <w:t>).</w:t>
      </w:r>
      <w:r w:rsidR="00217EF3" w:rsidRPr="00DA73E5">
        <w:t xml:space="preserve"> </w:t>
      </w:r>
      <w:r w:rsidR="00CD07C1">
        <w:t>(</w:t>
      </w:r>
      <w:r w:rsidR="00217EF3" w:rsidRPr="00DA73E5">
        <w:t>The objectives of community housing providers in providing housing assistance may be different to those of governments.</w:t>
      </w:r>
      <w:r w:rsidR="00CD07C1">
        <w:t>)</w:t>
      </w:r>
    </w:p>
    <w:p w:rsidR="007504E5" w:rsidRDefault="007504E5">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7504E5" w:rsidTr="00F44E27">
        <w:tc>
          <w:tcPr>
            <w:tcW w:w="5000" w:type="pct"/>
            <w:tcBorders>
              <w:top w:val="single" w:sz="6" w:space="0" w:color="78A22F"/>
              <w:left w:val="nil"/>
              <w:bottom w:val="nil"/>
              <w:right w:val="nil"/>
            </w:tcBorders>
            <w:shd w:val="clear" w:color="auto" w:fill="F2F2F2" w:themeFill="background1" w:themeFillShade="F2"/>
          </w:tcPr>
          <w:p w:rsidR="007504E5" w:rsidRDefault="004679A4" w:rsidP="007504E5">
            <w:pPr>
              <w:pStyle w:val="BoxTitle"/>
            </w:pPr>
            <w:r>
              <w:rPr>
                <w:b w:val="0"/>
              </w:rPr>
              <w:t>Box 17.15</w:t>
            </w:r>
            <w:r w:rsidR="007504E5">
              <w:tab/>
            </w:r>
            <w:r w:rsidR="007504E5" w:rsidRPr="007504E5">
              <w:t>Match of dwelling to household size</w:t>
            </w:r>
          </w:p>
        </w:tc>
      </w:tr>
      <w:tr w:rsidR="007504E5" w:rsidTr="00F44E27">
        <w:trPr>
          <w:cantSplit/>
        </w:trPr>
        <w:tc>
          <w:tcPr>
            <w:tcW w:w="5000" w:type="pct"/>
            <w:tcBorders>
              <w:top w:val="nil"/>
              <w:left w:val="nil"/>
              <w:bottom w:val="nil"/>
              <w:right w:val="nil"/>
            </w:tcBorders>
            <w:shd w:val="clear" w:color="auto" w:fill="F2F2F2" w:themeFill="background1" w:themeFillShade="F2"/>
          </w:tcPr>
          <w:p w:rsidR="001E3B6B" w:rsidRPr="005E340A" w:rsidRDefault="00E84F5E" w:rsidP="00532280">
            <w:pPr>
              <w:pStyle w:val="Box"/>
            </w:pPr>
            <w:r w:rsidRPr="005E340A">
              <w:t xml:space="preserve">‘Match of dwelling to household size’ is defined as the proportion of households that are overcrowded. </w:t>
            </w:r>
          </w:p>
          <w:p w:rsidR="00E84F5E" w:rsidRPr="005E340A" w:rsidRDefault="00E84F5E" w:rsidP="00E84F5E">
            <w:pPr>
              <w:pStyle w:val="Box"/>
            </w:pPr>
            <w:r w:rsidRPr="005E340A">
              <w:t>Overcrowding is defined and measured using the Canadian National Occupancy Standard (</w:t>
            </w:r>
            <w:proofErr w:type="spellStart"/>
            <w:r w:rsidRPr="005E340A">
              <w:t>CNOS</w:t>
            </w:r>
            <w:proofErr w:type="spellEnd"/>
            <w:r w:rsidRPr="005E340A">
              <w:t>) under which overcrowding is deemed to have occurred if one or more additional bedrooms are required to meet the standard</w:t>
            </w:r>
            <w:r w:rsidR="001E3B6B" w:rsidRPr="005E340A">
              <w:t xml:space="preserve"> (see section</w:t>
            </w:r>
            <w:r w:rsidR="007D1214">
              <w:t> </w:t>
            </w:r>
            <w:r w:rsidR="001E3B6B" w:rsidRPr="005E340A">
              <w:t xml:space="preserve">17.5 for </w:t>
            </w:r>
            <w:proofErr w:type="spellStart"/>
            <w:r w:rsidRPr="005E340A">
              <w:t>CNOS</w:t>
            </w:r>
            <w:proofErr w:type="spellEnd"/>
            <w:r w:rsidR="001E3B6B" w:rsidRPr="005E340A">
              <w:t xml:space="preserve"> definition).</w:t>
            </w:r>
            <w:r w:rsidRPr="005E340A">
              <w:t xml:space="preserve"> </w:t>
            </w:r>
            <w:r w:rsidR="001E3B6B" w:rsidRPr="005E340A">
              <w:t xml:space="preserve">Households living </w:t>
            </w:r>
            <w:r w:rsidRPr="005E340A">
              <w:t>in dwellings where this standard cannot be met are considered to be o</w:t>
            </w:r>
            <w:r w:rsidR="0090458C" w:rsidRPr="005E340A">
              <w:t>vercrowded. State and Territory</w:t>
            </w:r>
            <w:r w:rsidRPr="005E340A">
              <w:t xml:space="preserve"> housing authorities</w:t>
            </w:r>
            <w:r w:rsidR="0090458C" w:rsidRPr="005E340A">
              <w:t>’</w:t>
            </w:r>
            <w:r w:rsidRPr="005E340A">
              <w:t xml:space="preserve"> bedroom entitlement policies may differ from the </w:t>
            </w:r>
            <w:proofErr w:type="spellStart"/>
            <w:r w:rsidRPr="005E340A">
              <w:t>CNOS</w:t>
            </w:r>
            <w:proofErr w:type="spellEnd"/>
            <w:r w:rsidRPr="005E340A">
              <w:t>.</w:t>
            </w:r>
          </w:p>
          <w:p w:rsidR="00677E3E" w:rsidRPr="005E340A" w:rsidRDefault="00892C22" w:rsidP="00677E3E">
            <w:pPr>
              <w:pStyle w:val="Box"/>
            </w:pPr>
            <w:r w:rsidRPr="005E340A">
              <w:t>The agreed method</w:t>
            </w:r>
            <w:r w:rsidR="00677E3E" w:rsidRPr="005E340A">
              <w:t xml:space="preserve"> for determining overcrowding requires the age, sex and relationship status of all tenants within a household to be known, as well as the number of bedrooms within the dwelling. Only households with complete information available are included in the calculation of the indicator.</w:t>
            </w:r>
          </w:p>
          <w:p w:rsidR="00CF0911" w:rsidRPr="005E340A" w:rsidRDefault="00CF0911" w:rsidP="00677E3E">
            <w:pPr>
              <w:pStyle w:val="Box"/>
            </w:pPr>
            <w:r w:rsidRPr="005E340A">
              <w:t>Low or decreasing proportions of households in social housing living in overcrowded conditions is desirable.</w:t>
            </w:r>
          </w:p>
          <w:p w:rsidR="001E3B6B" w:rsidRPr="005E340A" w:rsidRDefault="00E84F5E" w:rsidP="00E84F5E">
            <w:pPr>
              <w:pStyle w:val="Box"/>
            </w:pPr>
            <w:r w:rsidRPr="005E340A">
              <w:t xml:space="preserve">Data for this indicator are reported for public housing, SOMIH, community housing and </w:t>
            </w:r>
            <w:proofErr w:type="spellStart"/>
            <w:r w:rsidR="001E3B6B" w:rsidRPr="005E340A">
              <w:t>ICH</w:t>
            </w:r>
            <w:proofErr w:type="spellEnd"/>
            <w:r w:rsidRPr="005E340A">
              <w:t>.</w:t>
            </w:r>
          </w:p>
          <w:p w:rsidR="00E84F5E" w:rsidRPr="005E340A" w:rsidRDefault="00E84F5E" w:rsidP="00E84F5E">
            <w:pPr>
              <w:pStyle w:val="Box"/>
            </w:pPr>
            <w:r w:rsidRPr="005E340A">
              <w:t>Data reported</w:t>
            </w:r>
            <w:r w:rsidR="001E3B6B" w:rsidRPr="005E340A">
              <w:t xml:space="preserve"> for this indicator</w:t>
            </w:r>
            <w:r w:rsidRPr="005E340A">
              <w:t xml:space="preserve"> are:</w:t>
            </w:r>
          </w:p>
          <w:p w:rsidR="00E84F5E" w:rsidRPr="005E340A" w:rsidRDefault="00E84F5E" w:rsidP="00A11155">
            <w:pPr>
              <w:pStyle w:val="BoxListBullet"/>
            </w:pPr>
            <w:r w:rsidRPr="005E340A">
              <w:t xml:space="preserve">comparable (subject to caveats) across jurisdictions </w:t>
            </w:r>
          </w:p>
          <w:p w:rsidR="00E84F5E" w:rsidRPr="005E340A" w:rsidRDefault="00E84F5E" w:rsidP="00A11155">
            <w:pPr>
              <w:pStyle w:val="BoxListBullet"/>
            </w:pPr>
            <w:r w:rsidRPr="005E340A">
              <w:t>not comparable across public housing, SOMIH</w:t>
            </w:r>
            <w:r w:rsidR="00061D3D" w:rsidRPr="005E340A">
              <w:t xml:space="preserve">, </w:t>
            </w:r>
            <w:r w:rsidRPr="005E340A">
              <w:t>community housing</w:t>
            </w:r>
            <w:r w:rsidR="00061D3D" w:rsidRPr="005E340A">
              <w:t xml:space="preserve"> and </w:t>
            </w:r>
            <w:proofErr w:type="spellStart"/>
            <w:r w:rsidR="00061D3D" w:rsidRPr="005E340A">
              <w:t>ICH</w:t>
            </w:r>
            <w:proofErr w:type="spellEnd"/>
          </w:p>
          <w:p w:rsidR="00E84F5E" w:rsidRPr="005E340A" w:rsidRDefault="00E84F5E" w:rsidP="00A11155">
            <w:pPr>
              <w:pStyle w:val="BoxListBullet"/>
            </w:pPr>
            <w:r w:rsidRPr="005E340A">
              <w:t>complete for public housing and SOMIH for the current reporting period (subject to caveats). All required 201</w:t>
            </w:r>
            <w:r w:rsidR="009B5A03" w:rsidRPr="005E340A">
              <w:t>4</w:t>
            </w:r>
            <w:r w:rsidR="007D1214">
              <w:noBreakHyphen/>
            </w:r>
            <w:r w:rsidRPr="005E340A">
              <w:t>1</w:t>
            </w:r>
            <w:r w:rsidR="009B5A03" w:rsidRPr="005E340A">
              <w:t>5</w:t>
            </w:r>
            <w:r w:rsidRPr="005E340A">
              <w:t xml:space="preserve"> data are available for all jurisdictions providing the service</w:t>
            </w:r>
          </w:p>
          <w:p w:rsidR="00061D3D" w:rsidRPr="005E340A" w:rsidRDefault="00061D3D" w:rsidP="006861A0">
            <w:pPr>
              <w:pStyle w:val="BoxListBullet"/>
            </w:pPr>
            <w:r w:rsidRPr="005E340A">
              <w:t>not comparable across jurisdictions and are incomplete for:</w:t>
            </w:r>
          </w:p>
          <w:p w:rsidR="00061D3D" w:rsidRPr="005E340A" w:rsidRDefault="00061D3D" w:rsidP="006861A0">
            <w:pPr>
              <w:pStyle w:val="BoxListBullet2"/>
            </w:pPr>
            <w:r w:rsidRPr="005E340A">
              <w:t>community housing (all required 2014</w:t>
            </w:r>
            <w:r w:rsidR="007D1214">
              <w:noBreakHyphen/>
            </w:r>
            <w:r w:rsidRPr="005E340A">
              <w:t xml:space="preserve">15 data </w:t>
            </w:r>
            <w:r w:rsidR="0090458C" w:rsidRPr="005E340A">
              <w:t xml:space="preserve">were </w:t>
            </w:r>
            <w:r w:rsidRPr="005E340A">
              <w:t>not available for Queensland and the NT)</w:t>
            </w:r>
          </w:p>
          <w:p w:rsidR="00061D3D" w:rsidRPr="005E340A" w:rsidRDefault="00061D3D">
            <w:pPr>
              <w:pStyle w:val="BoxListBullet2"/>
            </w:pPr>
            <w:proofErr w:type="spellStart"/>
            <w:r w:rsidRPr="005E340A">
              <w:t>ICH</w:t>
            </w:r>
            <w:proofErr w:type="spellEnd"/>
            <w:r w:rsidRPr="005E340A">
              <w:t xml:space="preserve"> (all required 2014 data </w:t>
            </w:r>
            <w:r w:rsidR="0090458C" w:rsidRPr="005E340A">
              <w:t xml:space="preserve">were </w:t>
            </w:r>
            <w:r w:rsidRPr="005E340A">
              <w:t>not available for NSW, Tasmania and the NT).</w:t>
            </w:r>
          </w:p>
          <w:p w:rsidR="007504E5" w:rsidRPr="005E340A" w:rsidRDefault="00E84F5E" w:rsidP="00E84F5E">
            <w:pPr>
              <w:pStyle w:val="Box"/>
            </w:pPr>
            <w:r w:rsidRPr="005E340A">
              <w:t>Data quality information for this indicator</w:t>
            </w:r>
            <w:r w:rsidR="00884651" w:rsidRPr="005E340A">
              <w:t xml:space="preserve"> is at </w:t>
            </w:r>
            <w:proofErr w:type="spellStart"/>
            <w:r w:rsidR="00884651" w:rsidRPr="005E340A">
              <w:t>www.pc.gov.au</w:t>
            </w:r>
            <w:proofErr w:type="spellEnd"/>
            <w:r w:rsidR="006039ED" w:rsidRPr="005E340A">
              <w:t>/</w:t>
            </w:r>
            <w:proofErr w:type="spellStart"/>
            <w:r w:rsidR="006039ED" w:rsidRPr="005E340A">
              <w:t>rogs</w:t>
            </w:r>
            <w:proofErr w:type="spellEnd"/>
            <w:r w:rsidR="006039ED" w:rsidRPr="005E340A">
              <w:t>/2016</w:t>
            </w:r>
            <w:r w:rsidRPr="005E340A">
              <w:t>.</w:t>
            </w:r>
          </w:p>
        </w:tc>
      </w:tr>
      <w:tr w:rsidR="007504E5" w:rsidTr="00F44E27">
        <w:trPr>
          <w:cantSplit/>
        </w:trPr>
        <w:tc>
          <w:tcPr>
            <w:tcW w:w="5000" w:type="pct"/>
            <w:tcBorders>
              <w:top w:val="nil"/>
              <w:left w:val="nil"/>
              <w:bottom w:val="single" w:sz="6" w:space="0" w:color="78A22F"/>
              <w:right w:val="nil"/>
            </w:tcBorders>
            <w:shd w:val="clear" w:color="auto" w:fill="F2F2F2" w:themeFill="background1" w:themeFillShade="F2"/>
          </w:tcPr>
          <w:p w:rsidR="007504E5" w:rsidRDefault="007504E5">
            <w:pPr>
              <w:pStyle w:val="Box"/>
              <w:spacing w:before="0" w:line="120" w:lineRule="exact"/>
            </w:pPr>
          </w:p>
        </w:tc>
      </w:tr>
      <w:tr w:rsidR="007504E5" w:rsidRPr="000863A5" w:rsidTr="00F44E27">
        <w:tc>
          <w:tcPr>
            <w:tcW w:w="5000" w:type="pct"/>
            <w:tcBorders>
              <w:top w:val="single" w:sz="6" w:space="0" w:color="78A22F"/>
              <w:left w:val="nil"/>
              <w:bottom w:val="nil"/>
              <w:right w:val="nil"/>
            </w:tcBorders>
          </w:tcPr>
          <w:p w:rsidR="007504E5" w:rsidRPr="00626D32" w:rsidRDefault="007504E5" w:rsidP="004237A3">
            <w:pPr>
              <w:pStyle w:val="BoxSpaceBelow"/>
            </w:pPr>
          </w:p>
        </w:tc>
      </w:tr>
    </w:tbl>
    <w:p w:rsidR="001A6E67" w:rsidRDefault="00E43471" w:rsidP="006C2B94">
      <w:pPr>
        <w:pStyle w:val="BodyText"/>
        <w:spacing w:after="240"/>
      </w:pPr>
      <w:r w:rsidRPr="00DA73E5">
        <w:t xml:space="preserve">The proportion of overcrowded households </w:t>
      </w:r>
      <w:r w:rsidR="0035010E">
        <w:t>varied</w:t>
      </w:r>
      <w:r w:rsidR="00F00B27" w:rsidRPr="00DA73E5">
        <w:t xml:space="preserve"> across social housing</w:t>
      </w:r>
      <w:r w:rsidR="00B852B6" w:rsidRPr="00DA73E5">
        <w:t xml:space="preserve"> </w:t>
      </w:r>
      <w:r w:rsidR="00D651DF">
        <w:t xml:space="preserve">programs </w:t>
      </w:r>
      <w:r w:rsidR="00B852B6" w:rsidRPr="00DA73E5">
        <w:t>and across jurisdictions</w:t>
      </w:r>
      <w:r w:rsidR="00F00B27" w:rsidRPr="00DA73E5">
        <w:t>.</w:t>
      </w:r>
      <w:r w:rsidR="00BD6FD3" w:rsidRPr="00DA73E5">
        <w:t xml:space="preserve"> At </w:t>
      </w:r>
      <w:r w:rsidR="00523908" w:rsidRPr="00DA73E5">
        <w:t>30</w:t>
      </w:r>
      <w:r w:rsidR="007D1214">
        <w:t> </w:t>
      </w:r>
      <w:r w:rsidR="00523908" w:rsidRPr="00DA73E5">
        <w:t>June 20</w:t>
      </w:r>
      <w:r w:rsidR="00754B8C" w:rsidRPr="00DA73E5">
        <w:t>1</w:t>
      </w:r>
      <w:r w:rsidR="00232FBB">
        <w:t>5</w:t>
      </w:r>
      <w:r w:rsidR="00847A15">
        <w:t xml:space="preserve">, </w:t>
      </w:r>
      <w:r w:rsidR="00232FBB">
        <w:t>4.4</w:t>
      </w:r>
      <w:r w:rsidR="00B66FDC">
        <w:rPr>
          <w:color w:val="000000" w:themeColor="text1"/>
        </w:rPr>
        <w:t xml:space="preserve"> per </w:t>
      </w:r>
      <w:r w:rsidR="00B66FDC" w:rsidRPr="00573CF5">
        <w:rPr>
          <w:color w:val="000000" w:themeColor="text1"/>
        </w:rPr>
        <w:t xml:space="preserve">cent </w:t>
      </w:r>
      <w:r w:rsidR="00523908" w:rsidRPr="00573CF5">
        <w:rPr>
          <w:color w:val="000000" w:themeColor="text1"/>
        </w:rPr>
        <w:t xml:space="preserve">of </w:t>
      </w:r>
      <w:r w:rsidR="00547A12" w:rsidRPr="00573CF5">
        <w:rPr>
          <w:color w:val="000000" w:themeColor="text1"/>
        </w:rPr>
        <w:t xml:space="preserve">households in </w:t>
      </w:r>
      <w:r w:rsidR="00236DE7" w:rsidRPr="00573CF5">
        <w:rPr>
          <w:color w:val="000000" w:themeColor="text1"/>
        </w:rPr>
        <w:t xml:space="preserve">public housing </w:t>
      </w:r>
      <w:r w:rsidR="00C04C9E" w:rsidRPr="00573CF5">
        <w:rPr>
          <w:color w:val="000000" w:themeColor="text1"/>
        </w:rPr>
        <w:t>were overcrowded</w:t>
      </w:r>
      <w:r w:rsidR="006C2B94">
        <w:rPr>
          <w:color w:val="000000" w:themeColor="text1"/>
        </w:rPr>
        <w:t xml:space="preserve"> (similar to 4.3 per cent in 2011)</w:t>
      </w:r>
      <w:r w:rsidR="00C04C9E" w:rsidRPr="00573CF5">
        <w:rPr>
          <w:color w:val="000000" w:themeColor="text1"/>
        </w:rPr>
        <w:t xml:space="preserve">, </w:t>
      </w:r>
      <w:r w:rsidR="00232FBB">
        <w:rPr>
          <w:color w:val="000000" w:themeColor="text1"/>
        </w:rPr>
        <w:t>9</w:t>
      </w:r>
      <w:r w:rsidR="007A3E13" w:rsidRPr="00573CF5">
        <w:rPr>
          <w:color w:val="000000" w:themeColor="text1"/>
        </w:rPr>
        <w:t>.</w:t>
      </w:r>
      <w:r w:rsidR="00232FBB">
        <w:rPr>
          <w:color w:val="000000" w:themeColor="text1"/>
        </w:rPr>
        <w:t>6</w:t>
      </w:r>
      <w:r w:rsidR="00730FBD" w:rsidRPr="00573CF5">
        <w:rPr>
          <w:color w:val="000000" w:themeColor="text1"/>
        </w:rPr>
        <w:t xml:space="preserve"> </w:t>
      </w:r>
      <w:r w:rsidR="00FC760B" w:rsidRPr="00573CF5">
        <w:rPr>
          <w:color w:val="000000" w:themeColor="text1"/>
        </w:rPr>
        <w:t>per cent of SOMIH h</w:t>
      </w:r>
      <w:r w:rsidR="009450F1">
        <w:rPr>
          <w:color w:val="000000" w:themeColor="text1"/>
        </w:rPr>
        <w:t>ouseholds</w:t>
      </w:r>
      <w:r w:rsidR="00760CC3">
        <w:rPr>
          <w:color w:val="000000" w:themeColor="text1"/>
        </w:rPr>
        <w:t xml:space="preserve"> were </w:t>
      </w:r>
      <w:r w:rsidR="00760CC3" w:rsidRPr="0022319C">
        <w:t>overcrowded</w:t>
      </w:r>
      <w:r w:rsidR="006C2B94" w:rsidRPr="0022319C">
        <w:t xml:space="preserve"> (a decrease from 10.3 per cent in 2011)</w:t>
      </w:r>
      <w:r w:rsidR="00E911DF" w:rsidRPr="0022319C">
        <w:t xml:space="preserve"> an</w:t>
      </w:r>
      <w:r w:rsidR="00736F4E" w:rsidRPr="0022319C">
        <w:t>d</w:t>
      </w:r>
      <w:r w:rsidR="00E879E6" w:rsidRPr="0022319C">
        <w:t> </w:t>
      </w:r>
      <w:r w:rsidR="000A6389" w:rsidRPr="0022319C">
        <w:t>3.9</w:t>
      </w:r>
      <w:r w:rsidR="004E2312" w:rsidRPr="0022319C">
        <w:t> </w:t>
      </w:r>
      <w:r w:rsidR="009450F1" w:rsidRPr="0022319C">
        <w:t xml:space="preserve"> </w:t>
      </w:r>
      <w:r w:rsidR="00FC760B" w:rsidRPr="0022319C">
        <w:t>per</w:t>
      </w:r>
      <w:r w:rsidR="004E2312" w:rsidRPr="0022319C">
        <w:t> </w:t>
      </w:r>
      <w:r w:rsidR="00FC760B" w:rsidRPr="0022319C">
        <w:t>cent</w:t>
      </w:r>
      <w:r w:rsidR="0019402D" w:rsidRPr="0022319C">
        <w:t xml:space="preserve"> </w:t>
      </w:r>
      <w:r w:rsidR="00FC760B" w:rsidRPr="0022319C">
        <w:t>of</w:t>
      </w:r>
      <w:r w:rsidR="0019402D" w:rsidRPr="0022319C">
        <w:t xml:space="preserve"> </w:t>
      </w:r>
      <w:r w:rsidR="00760CC3" w:rsidRPr="0022319C">
        <w:t xml:space="preserve">households </w:t>
      </w:r>
      <w:r w:rsidR="00FC760B" w:rsidRPr="0022319C">
        <w:t>in</w:t>
      </w:r>
      <w:r w:rsidR="0019402D" w:rsidRPr="004A4D9A">
        <w:t xml:space="preserve"> </w:t>
      </w:r>
      <w:r w:rsidR="00FC760B" w:rsidRPr="004A4D9A">
        <w:t>community</w:t>
      </w:r>
      <w:r w:rsidR="0019402D" w:rsidRPr="004A4D9A">
        <w:t xml:space="preserve"> </w:t>
      </w:r>
      <w:r w:rsidR="00FC760B" w:rsidRPr="004A4D9A">
        <w:t>housing</w:t>
      </w:r>
      <w:r w:rsidR="008E7147">
        <w:t xml:space="preserve"> were overcrowded</w:t>
      </w:r>
      <w:r w:rsidR="0019402D" w:rsidRPr="004A4D9A">
        <w:t xml:space="preserve"> </w:t>
      </w:r>
      <w:r w:rsidR="006C2B94">
        <w:t>(an increase from 1.8 per cent in 2011)</w:t>
      </w:r>
      <w:r w:rsidR="00C04C9E" w:rsidRPr="004A4D9A">
        <w:t xml:space="preserve"> </w:t>
      </w:r>
      <w:r w:rsidR="00347335" w:rsidRPr="004A4D9A">
        <w:t>(figure</w:t>
      </w:r>
      <w:r w:rsidR="002929FD" w:rsidRPr="004A4D9A">
        <w:t> </w:t>
      </w:r>
      <w:r w:rsidR="00463387" w:rsidRPr="004A4D9A">
        <w:t>17.</w:t>
      </w:r>
      <w:r w:rsidR="00C55602" w:rsidRPr="004A4D9A">
        <w:t>1</w:t>
      </w:r>
      <w:r w:rsidR="00304DE7">
        <w:t>1</w:t>
      </w:r>
      <w:r w:rsidR="00347335" w:rsidRPr="004A4D9A">
        <w:t>)</w:t>
      </w:r>
      <w:r w:rsidR="001D3533" w:rsidRPr="004A4D9A">
        <w:t>.</w:t>
      </w:r>
      <w:r w:rsidR="009450F1">
        <w:t xml:space="preserve"> </w:t>
      </w:r>
      <w:proofErr w:type="spellStart"/>
      <w:r w:rsidR="00061D3D">
        <w:t>ICH</w:t>
      </w:r>
      <w:proofErr w:type="spellEnd"/>
      <w:r w:rsidR="00061D3D">
        <w:t xml:space="preserve"> data are show</w:t>
      </w:r>
      <w:r w:rsidR="00532280">
        <w:t>n</w:t>
      </w:r>
      <w:r w:rsidR="00DD1057">
        <w:t xml:space="preserve"> in table</w:t>
      </w:r>
      <w:r w:rsidR="007D1214">
        <w:t> </w:t>
      </w:r>
      <w:r w:rsidR="00DD1057">
        <w:t>17.8</w:t>
      </w:r>
      <w:r w:rsidR="00061D3D">
        <w:t>.</w:t>
      </w:r>
    </w:p>
    <w:p w:rsidR="00E84F5E" w:rsidRDefault="00E84F5E" w:rsidP="00677E3E">
      <w:pPr>
        <w:pStyle w:val="BoxSpaceAbove"/>
        <w:spacing w:before="240"/>
      </w:pPr>
    </w:p>
    <w:tbl>
      <w:tblPr>
        <w:tblW w:w="4843" w:type="pct"/>
        <w:tblInd w:w="142" w:type="dxa"/>
        <w:shd w:val="clear" w:color="auto" w:fill="FFFFFF" w:themeFill="background1"/>
        <w:tblCellMar>
          <w:left w:w="142" w:type="dxa"/>
          <w:right w:w="142" w:type="dxa"/>
        </w:tblCellMar>
        <w:tblLook w:val="0000" w:firstRow="0" w:lastRow="0" w:firstColumn="0" w:lastColumn="0" w:noHBand="0" w:noVBand="0"/>
      </w:tblPr>
      <w:tblGrid>
        <w:gridCol w:w="8788"/>
      </w:tblGrid>
      <w:tr w:rsidR="00E84F5E" w:rsidTr="00B6576C">
        <w:tc>
          <w:tcPr>
            <w:tcW w:w="5000" w:type="pct"/>
            <w:tcBorders>
              <w:top w:val="single" w:sz="4" w:space="0" w:color="78A22F"/>
            </w:tcBorders>
            <w:shd w:val="clear" w:color="auto" w:fill="FFFFFF" w:themeFill="background1"/>
          </w:tcPr>
          <w:p w:rsidR="00E84F5E" w:rsidRPr="00E62304" w:rsidRDefault="00E84F5E" w:rsidP="00061D3D">
            <w:pPr>
              <w:pStyle w:val="FigureTitle"/>
            </w:pPr>
            <w:r w:rsidRPr="00E62304">
              <w:rPr>
                <w:b w:val="0"/>
              </w:rPr>
              <w:t>Figure 17.1</w:t>
            </w:r>
            <w:r w:rsidR="00304DE7" w:rsidRPr="00E62304">
              <w:rPr>
                <w:b w:val="0"/>
              </w:rPr>
              <w:t>1</w:t>
            </w:r>
            <w:r w:rsidRPr="00E62304">
              <w:tab/>
              <w:t>Overcrowded households, at 30 June</w:t>
            </w:r>
            <w:r w:rsidRPr="00E62304">
              <w:rPr>
                <w:rStyle w:val="NoteLabel"/>
                <w:b/>
              </w:rPr>
              <w:t>a</w:t>
            </w:r>
          </w:p>
        </w:tc>
      </w:tr>
      <w:tr w:rsidR="00E84F5E" w:rsidTr="00173A16">
        <w:tblPrEx>
          <w:tblCellMar>
            <w:left w:w="108" w:type="dxa"/>
            <w:right w:w="108" w:type="dxa"/>
          </w:tblCellMar>
        </w:tblPrEx>
        <w:tc>
          <w:tcPr>
            <w:tcW w:w="5000" w:type="pct"/>
            <w:shd w:val="clear" w:color="auto" w:fill="FFFFFF" w:themeFill="background1"/>
          </w:tcPr>
          <w:p w:rsidR="00E84F5E" w:rsidRPr="00E62304" w:rsidRDefault="00575FAD" w:rsidP="002E079A">
            <w:pPr>
              <w:pStyle w:val="Figure"/>
            </w:pPr>
            <w:r>
              <w:rPr>
                <w:noProof/>
              </w:rPr>
              <w:drawing>
                <wp:inline distT="0" distB="0" distL="0" distR="0" wp14:anchorId="2C81F164">
                  <wp:extent cx="5401310" cy="1798320"/>
                  <wp:effectExtent l="0" t="0" r="8890" b="0"/>
                  <wp:docPr id="34" name="Picture 34" descr="Figure 17.11 Overcrowded households, at 30 June&#10;&#10;Public housing&#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401310" cy="1798320"/>
                          </a:xfrm>
                          <a:prstGeom prst="rect">
                            <a:avLst/>
                          </a:prstGeom>
                          <a:noFill/>
                        </pic:spPr>
                      </pic:pic>
                    </a:graphicData>
                  </a:graphic>
                </wp:inline>
              </w:drawing>
            </w:r>
            <w:r w:rsidR="00333E05">
              <w:rPr>
                <w:rFonts w:ascii="Arial" w:hAnsi="Arial" w:cs="Arial"/>
                <w:b/>
                <w:noProof/>
                <w:sz w:val="20"/>
              </w:rPr>
              <w:drawing>
                <wp:inline distT="0" distB="0" distL="0" distR="0">
                  <wp:extent cx="5391150" cy="1790700"/>
                  <wp:effectExtent l="0" t="0" r="0" b="0"/>
                  <wp:docPr id="29" name="Picture 29" descr="Figure 17.11 Overcrowded households, at 30 June&#10;&#10;SOMIH&#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391150" cy="1790700"/>
                          </a:xfrm>
                          <a:prstGeom prst="rect">
                            <a:avLst/>
                          </a:prstGeom>
                          <a:noFill/>
                          <a:ln>
                            <a:noFill/>
                          </a:ln>
                        </pic:spPr>
                      </pic:pic>
                    </a:graphicData>
                  </a:graphic>
                </wp:inline>
              </w:drawing>
            </w:r>
            <w:r w:rsidR="00333E05">
              <w:rPr>
                <w:noProof/>
              </w:rPr>
              <w:drawing>
                <wp:inline distT="0" distB="0" distL="0" distR="0">
                  <wp:extent cx="5391150" cy="1790700"/>
                  <wp:effectExtent l="0" t="0" r="0" b="0"/>
                  <wp:docPr id="30" name="Picture 30" descr="Figure 17.11 Overcrowded households, at 30 June&#10;&#10;Community housing&#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391150" cy="1790700"/>
                          </a:xfrm>
                          <a:prstGeom prst="rect">
                            <a:avLst/>
                          </a:prstGeom>
                          <a:noFill/>
                          <a:ln>
                            <a:noFill/>
                          </a:ln>
                        </pic:spPr>
                      </pic:pic>
                    </a:graphicData>
                  </a:graphic>
                </wp:inline>
              </w:drawing>
            </w:r>
            <w:r w:rsidR="00333E05">
              <w:rPr>
                <w:noProof/>
              </w:rPr>
              <w:drawing>
                <wp:inline distT="0" distB="0" distL="0" distR="0">
                  <wp:extent cx="5400675" cy="314325"/>
                  <wp:effectExtent l="0" t="0" r="9525" b="9525"/>
                  <wp:docPr id="31" name="Picture 31" descr="Legend to Figure 17.11 Overcrowded households, at 30 June&#10;&#10;More details can be founding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400675" cy="314325"/>
                          </a:xfrm>
                          <a:prstGeom prst="rect">
                            <a:avLst/>
                          </a:prstGeom>
                          <a:noFill/>
                          <a:ln>
                            <a:noFill/>
                          </a:ln>
                        </pic:spPr>
                      </pic:pic>
                    </a:graphicData>
                  </a:graphic>
                </wp:inline>
              </w:drawing>
            </w:r>
          </w:p>
        </w:tc>
      </w:tr>
      <w:tr w:rsidR="00E84F5E" w:rsidRPr="00176D3F" w:rsidTr="00B6576C">
        <w:tc>
          <w:tcPr>
            <w:tcW w:w="5000" w:type="pct"/>
            <w:shd w:val="clear" w:color="auto" w:fill="FFFFFF" w:themeFill="background1"/>
          </w:tcPr>
          <w:p w:rsidR="00E84F5E" w:rsidRPr="00E02C3B" w:rsidRDefault="00E84F5E" w:rsidP="00232FBB">
            <w:pPr>
              <w:pStyle w:val="Note"/>
              <w:rPr>
                <w:b/>
              </w:rPr>
            </w:pPr>
            <w:r w:rsidRPr="00E62304">
              <w:rPr>
                <w:rStyle w:val="NoteLabel"/>
              </w:rPr>
              <w:t>a</w:t>
            </w:r>
            <w:r w:rsidRPr="00E62304">
              <w:t xml:space="preserve"> </w:t>
            </w:r>
            <w:r w:rsidR="001946E2" w:rsidRPr="00E62304">
              <w:t>See box</w:t>
            </w:r>
            <w:r w:rsidR="007D1214">
              <w:t> </w:t>
            </w:r>
            <w:r w:rsidR="001946E2" w:rsidRPr="00E62304">
              <w:t>17.15</w:t>
            </w:r>
            <w:r w:rsidR="00232FBB" w:rsidRPr="00E62304">
              <w:t xml:space="preserve"> and tables</w:t>
            </w:r>
            <w:r w:rsidR="007D1214">
              <w:t> </w:t>
            </w:r>
            <w:proofErr w:type="spellStart"/>
            <w:r w:rsidR="00232FBB" w:rsidRPr="00E62304">
              <w:t>17A.48</w:t>
            </w:r>
            <w:proofErr w:type="spellEnd"/>
            <w:r w:rsidR="00061D3D" w:rsidRPr="00E62304">
              <w:t>–</w:t>
            </w:r>
            <w:r w:rsidR="00232FBB" w:rsidRPr="00E62304">
              <w:t xml:space="preserve">50 </w:t>
            </w:r>
            <w:r w:rsidR="00AC0EFD" w:rsidRPr="00E62304">
              <w:t>for detailed definitions, footnotes and caveats.</w:t>
            </w:r>
            <w:r w:rsidR="005C4523">
              <w:rPr>
                <w:rStyle w:val="NoteLabel"/>
              </w:rPr>
              <w:t xml:space="preserve"> b </w:t>
            </w:r>
            <w:r w:rsidR="005C4523">
              <w:t>The SOMIH program does note operate in Vic, WA, ACT and NT.</w:t>
            </w:r>
            <w:r w:rsidR="00E02C3B">
              <w:t xml:space="preserve"> </w:t>
            </w:r>
            <w:r w:rsidR="005C4523">
              <w:rPr>
                <w:rStyle w:val="NoteLabel"/>
              </w:rPr>
              <w:t>c</w:t>
            </w:r>
            <w:r w:rsidR="00E02C3B">
              <w:rPr>
                <w:rStyle w:val="NoteLabel"/>
              </w:rPr>
              <w:t xml:space="preserve"> </w:t>
            </w:r>
            <w:r w:rsidR="00E02C3B">
              <w:t>Community housing data for Queensland and NT are not available.</w:t>
            </w:r>
          </w:p>
        </w:tc>
      </w:tr>
      <w:tr w:rsidR="00E84F5E" w:rsidRPr="00176D3F" w:rsidTr="00B6576C">
        <w:tc>
          <w:tcPr>
            <w:tcW w:w="5000" w:type="pct"/>
            <w:shd w:val="clear" w:color="auto" w:fill="FFFFFF" w:themeFill="background1"/>
          </w:tcPr>
          <w:p w:rsidR="00E84F5E" w:rsidRPr="00E62304" w:rsidRDefault="00E84F5E" w:rsidP="00A46B60">
            <w:pPr>
              <w:pStyle w:val="Source"/>
            </w:pPr>
            <w:r w:rsidRPr="00E62304">
              <w:rPr>
                <w:i/>
              </w:rPr>
              <w:t>Source</w:t>
            </w:r>
            <w:r w:rsidRPr="00E62304">
              <w:t xml:space="preserve">: </w:t>
            </w:r>
            <w:r w:rsidR="00BD0A6A" w:rsidRPr="00E62304">
              <w:t xml:space="preserve">AIHW (unpublished) </w:t>
            </w:r>
            <w:r w:rsidR="00334274" w:rsidRPr="00A11155">
              <w:t>National Housing Assistance Data Repository</w:t>
            </w:r>
            <w:r w:rsidR="00692E3A" w:rsidRPr="00E62304">
              <w:rPr>
                <w:i/>
              </w:rPr>
              <w:t xml:space="preserve">; </w:t>
            </w:r>
            <w:r w:rsidR="00692E3A" w:rsidRPr="00E62304">
              <w:t>tables</w:t>
            </w:r>
            <w:r w:rsidR="007D1214">
              <w:t> </w:t>
            </w:r>
            <w:proofErr w:type="spellStart"/>
            <w:r w:rsidR="00692E3A" w:rsidRPr="00E62304">
              <w:t>17A.48</w:t>
            </w:r>
            <w:proofErr w:type="spellEnd"/>
            <w:r w:rsidR="00061D3D" w:rsidRPr="00E62304">
              <w:t>–</w:t>
            </w:r>
            <w:r w:rsidR="00692E3A" w:rsidRPr="00E62304">
              <w:t>50</w:t>
            </w:r>
            <w:r w:rsidR="00232FBB" w:rsidRPr="00E62304">
              <w:t>.</w:t>
            </w:r>
          </w:p>
        </w:tc>
      </w:tr>
      <w:tr w:rsidR="00E84F5E" w:rsidTr="00B6576C">
        <w:tc>
          <w:tcPr>
            <w:tcW w:w="5000" w:type="pct"/>
            <w:tcBorders>
              <w:bottom w:val="single" w:sz="4" w:space="0" w:color="78A22F"/>
            </w:tcBorders>
            <w:shd w:val="clear" w:color="auto" w:fill="FFFFFF" w:themeFill="background1"/>
          </w:tcPr>
          <w:p w:rsidR="00E84F5E" w:rsidRPr="00E62304" w:rsidRDefault="00E84F5E" w:rsidP="004237A3">
            <w:pPr>
              <w:pStyle w:val="Figurespace"/>
            </w:pPr>
          </w:p>
        </w:tc>
      </w:tr>
      <w:tr w:rsidR="00E84F5E" w:rsidRPr="000863A5" w:rsidTr="00B6576C">
        <w:tc>
          <w:tcPr>
            <w:tcW w:w="5000" w:type="pct"/>
            <w:tcBorders>
              <w:top w:val="single" w:sz="4" w:space="0" w:color="78A22F"/>
            </w:tcBorders>
            <w:shd w:val="clear" w:color="auto" w:fill="FFFFFF" w:themeFill="background1"/>
          </w:tcPr>
          <w:p w:rsidR="00E84F5E" w:rsidRPr="00E62304" w:rsidRDefault="00E84F5E" w:rsidP="004237A3">
            <w:pPr>
              <w:pStyle w:val="BoxSpaceBelow"/>
            </w:pPr>
          </w:p>
        </w:tc>
      </w:tr>
    </w:tbl>
    <w:p w:rsidR="00CA70D4" w:rsidRDefault="00CA70D4" w:rsidP="00532280">
      <w:pPr>
        <w:pStyle w:val="BoxSpace"/>
      </w:pPr>
    </w:p>
    <w:tbl>
      <w:tblPr>
        <w:tblW w:w="4843" w:type="pct"/>
        <w:tblInd w:w="142"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88"/>
      </w:tblGrid>
      <w:tr w:rsidR="00CA70D4" w:rsidTr="00F44E27">
        <w:tc>
          <w:tcPr>
            <w:tcW w:w="5000" w:type="pct"/>
            <w:tcBorders>
              <w:top w:val="single" w:sz="6" w:space="0" w:color="78A22F" w:themeColor="accent1"/>
              <w:left w:val="nil"/>
              <w:bottom w:val="nil"/>
              <w:right w:val="nil"/>
            </w:tcBorders>
            <w:shd w:val="clear" w:color="auto" w:fill="auto"/>
          </w:tcPr>
          <w:p w:rsidR="00CA70D4" w:rsidRPr="00784A05" w:rsidRDefault="00CB5252" w:rsidP="006861A0">
            <w:pPr>
              <w:pStyle w:val="TableTitle"/>
            </w:pPr>
            <w:r>
              <w:rPr>
                <w:b w:val="0"/>
              </w:rPr>
              <w:t>Table 17.8</w:t>
            </w:r>
            <w:r w:rsidR="00CA70D4">
              <w:tab/>
            </w:r>
            <w:r w:rsidR="00CA70D4" w:rsidRPr="00CA70D4">
              <w:t xml:space="preserve">Proportion of overcrowded households in </w:t>
            </w:r>
            <w:proofErr w:type="spellStart"/>
            <w:r w:rsidR="006861A0">
              <w:t>ICH</w:t>
            </w:r>
            <w:proofErr w:type="spellEnd"/>
            <w:r w:rsidR="00CA70D4" w:rsidRPr="00CA70D4">
              <w:t xml:space="preserve"> (per cent)</w:t>
            </w:r>
            <w:r w:rsidR="00244CF6">
              <w:rPr>
                <w:rStyle w:val="NoteLabel"/>
                <w:b/>
              </w:rPr>
              <w:t>a</w:t>
            </w:r>
          </w:p>
        </w:tc>
      </w:tr>
      <w:tr w:rsidR="00CA70D4" w:rsidTr="00C30F3E">
        <w:trPr>
          <w:cantSplit/>
        </w:trPr>
        <w:tc>
          <w:tcPr>
            <w:tcW w:w="5000" w:type="pct"/>
            <w:tcBorders>
              <w:top w:val="nil"/>
              <w:left w:val="nil"/>
              <w:bottom w:val="nil"/>
              <w:right w:val="nil"/>
            </w:tcBorders>
            <w:shd w:val="clear" w:color="auto" w:fill="auto"/>
          </w:tcPr>
          <w:tbl>
            <w:tblPr>
              <w:tblW w:w="5000" w:type="pct"/>
              <w:tblBorders>
                <w:top w:val="single" w:sz="4" w:space="0" w:color="BFBFBF" w:themeColor="background2"/>
                <w:bottom w:val="single" w:sz="4" w:space="0" w:color="BFBFBF" w:themeColor="background2"/>
              </w:tblBorders>
              <w:tblCellMar>
                <w:top w:w="28" w:type="dxa"/>
                <w:left w:w="0" w:type="dxa"/>
                <w:right w:w="0" w:type="dxa"/>
              </w:tblCellMar>
              <w:tblLook w:val="0000" w:firstRow="0" w:lastRow="0" w:firstColumn="0" w:lastColumn="0" w:noHBand="0" w:noVBand="0"/>
            </w:tblPr>
            <w:tblGrid>
              <w:gridCol w:w="768"/>
              <w:gridCol w:w="768"/>
              <w:gridCol w:w="770"/>
              <w:gridCol w:w="767"/>
              <w:gridCol w:w="765"/>
              <w:gridCol w:w="765"/>
              <w:gridCol w:w="722"/>
              <w:gridCol w:w="700"/>
              <w:gridCol w:w="701"/>
              <w:gridCol w:w="939"/>
              <w:gridCol w:w="839"/>
            </w:tblGrid>
            <w:tr w:rsidR="00BE5555" w:rsidTr="00C30F3E">
              <w:tc>
                <w:tcPr>
                  <w:tcW w:w="457" w:type="pct"/>
                  <w:tcBorders>
                    <w:top w:val="single" w:sz="4" w:space="0" w:color="BFBFBF" w:themeColor="background2"/>
                    <w:bottom w:val="single" w:sz="4" w:space="0" w:color="BFBFBF" w:themeColor="background2"/>
                  </w:tcBorders>
                  <w:shd w:val="clear" w:color="auto" w:fill="auto"/>
                  <w:tcMar>
                    <w:top w:w="28" w:type="dxa"/>
                  </w:tcMar>
                </w:tcPr>
                <w:p w:rsidR="00BE5555" w:rsidRPr="00C30F3E" w:rsidRDefault="00BE5555" w:rsidP="004237A3">
                  <w:pPr>
                    <w:pStyle w:val="TableColumnHeading"/>
                    <w:jc w:val="left"/>
                    <w:rPr>
                      <w:rFonts w:asciiTheme="majorHAnsi" w:hAnsiTheme="majorHAnsi" w:cstheme="majorHAnsi"/>
                      <w:color w:val="000000" w:themeColor="text1"/>
                      <w:szCs w:val="18"/>
                    </w:rPr>
                  </w:pPr>
                </w:p>
              </w:tc>
              <w:tc>
                <w:tcPr>
                  <w:tcW w:w="457" w:type="pct"/>
                  <w:tcBorders>
                    <w:top w:val="single" w:sz="4" w:space="0" w:color="BFBFBF" w:themeColor="background2"/>
                    <w:bottom w:val="single" w:sz="4" w:space="0" w:color="BFBFBF" w:themeColor="background2"/>
                  </w:tcBorders>
                  <w:shd w:val="clear" w:color="auto" w:fill="auto"/>
                  <w:tcMar>
                    <w:top w:w="28" w:type="dxa"/>
                  </w:tcMar>
                </w:tcPr>
                <w:p w:rsidR="00BE5555" w:rsidRPr="00C30F3E" w:rsidRDefault="00BE5555" w:rsidP="00C30F3E">
                  <w:pPr>
                    <w:pStyle w:val="TableColumnHeading"/>
                    <w:ind w:left="0" w:right="28"/>
                    <w:rPr>
                      <w:rFonts w:asciiTheme="majorHAnsi" w:hAnsiTheme="majorHAnsi" w:cstheme="majorHAnsi"/>
                      <w:color w:val="000000" w:themeColor="text1"/>
                      <w:szCs w:val="18"/>
                    </w:rPr>
                  </w:pPr>
                  <w:r w:rsidRPr="00C30F3E">
                    <w:rPr>
                      <w:rFonts w:asciiTheme="majorHAnsi" w:hAnsiTheme="majorHAnsi" w:cstheme="majorHAnsi"/>
                      <w:color w:val="000000" w:themeColor="text1"/>
                      <w:szCs w:val="18"/>
                    </w:rPr>
                    <w:t>NSW</w:t>
                  </w:r>
                </w:p>
              </w:tc>
              <w:tc>
                <w:tcPr>
                  <w:tcW w:w="458" w:type="pct"/>
                  <w:tcBorders>
                    <w:top w:val="single" w:sz="4" w:space="0" w:color="BFBFBF" w:themeColor="background2"/>
                    <w:bottom w:val="single" w:sz="4" w:space="0" w:color="BFBFBF" w:themeColor="background2"/>
                  </w:tcBorders>
                </w:tcPr>
                <w:p w:rsidR="00BE5555" w:rsidRPr="00C30F3E" w:rsidRDefault="00BE5555" w:rsidP="00C30F3E">
                  <w:pPr>
                    <w:pStyle w:val="TableColumnHeading"/>
                    <w:ind w:left="0" w:right="28"/>
                    <w:rPr>
                      <w:rFonts w:asciiTheme="majorHAnsi" w:hAnsiTheme="majorHAnsi" w:cstheme="majorHAnsi"/>
                      <w:color w:val="000000" w:themeColor="text1"/>
                      <w:szCs w:val="18"/>
                    </w:rPr>
                  </w:pPr>
                  <w:r w:rsidRPr="00C30F3E">
                    <w:rPr>
                      <w:rFonts w:asciiTheme="majorHAnsi" w:hAnsiTheme="majorHAnsi" w:cstheme="majorHAnsi"/>
                      <w:color w:val="000000" w:themeColor="text1"/>
                      <w:szCs w:val="18"/>
                    </w:rPr>
                    <w:t>Vic</w:t>
                  </w:r>
                </w:p>
              </w:tc>
              <w:tc>
                <w:tcPr>
                  <w:tcW w:w="456" w:type="pct"/>
                  <w:tcBorders>
                    <w:top w:val="single" w:sz="4" w:space="0" w:color="BFBFBF" w:themeColor="background2"/>
                    <w:bottom w:val="single" w:sz="4" w:space="0" w:color="BFBFBF" w:themeColor="background2"/>
                  </w:tcBorders>
                </w:tcPr>
                <w:p w:rsidR="00BE5555" w:rsidRPr="00C30F3E" w:rsidRDefault="00BE5555" w:rsidP="00C30F3E">
                  <w:pPr>
                    <w:pStyle w:val="TableColumnHeading"/>
                    <w:ind w:left="0" w:right="28"/>
                    <w:rPr>
                      <w:rFonts w:asciiTheme="majorHAnsi" w:hAnsiTheme="majorHAnsi" w:cstheme="majorHAnsi"/>
                      <w:color w:val="000000" w:themeColor="text1"/>
                      <w:szCs w:val="18"/>
                    </w:rPr>
                  </w:pPr>
                  <w:r w:rsidRPr="00C30F3E">
                    <w:rPr>
                      <w:rFonts w:asciiTheme="majorHAnsi" w:hAnsiTheme="majorHAnsi" w:cstheme="majorHAnsi"/>
                      <w:color w:val="000000" w:themeColor="text1"/>
                      <w:szCs w:val="18"/>
                    </w:rPr>
                    <w:t>Qld</w:t>
                  </w:r>
                </w:p>
              </w:tc>
              <w:tc>
                <w:tcPr>
                  <w:tcW w:w="455" w:type="pct"/>
                  <w:tcBorders>
                    <w:top w:val="single" w:sz="4" w:space="0" w:color="BFBFBF" w:themeColor="background2"/>
                    <w:bottom w:val="single" w:sz="4" w:space="0" w:color="BFBFBF" w:themeColor="background2"/>
                  </w:tcBorders>
                </w:tcPr>
                <w:p w:rsidR="00BE5555" w:rsidRPr="00C30F3E" w:rsidRDefault="00BE5555" w:rsidP="00C30F3E">
                  <w:pPr>
                    <w:pStyle w:val="TableColumnHeading"/>
                    <w:ind w:left="0" w:right="28"/>
                    <w:rPr>
                      <w:rFonts w:asciiTheme="majorHAnsi" w:hAnsiTheme="majorHAnsi" w:cstheme="majorHAnsi"/>
                      <w:color w:val="000000" w:themeColor="text1"/>
                      <w:szCs w:val="18"/>
                    </w:rPr>
                  </w:pPr>
                  <w:r w:rsidRPr="00C30F3E">
                    <w:rPr>
                      <w:rFonts w:asciiTheme="majorHAnsi" w:hAnsiTheme="majorHAnsi" w:cstheme="majorHAnsi"/>
                      <w:color w:val="000000" w:themeColor="text1"/>
                      <w:szCs w:val="18"/>
                    </w:rPr>
                    <w:t>WA</w:t>
                  </w:r>
                </w:p>
              </w:tc>
              <w:tc>
                <w:tcPr>
                  <w:tcW w:w="455" w:type="pct"/>
                  <w:tcBorders>
                    <w:top w:val="single" w:sz="4" w:space="0" w:color="BFBFBF" w:themeColor="background2"/>
                    <w:bottom w:val="single" w:sz="4" w:space="0" w:color="BFBFBF" w:themeColor="background2"/>
                  </w:tcBorders>
                </w:tcPr>
                <w:p w:rsidR="00BE5555" w:rsidRPr="00C30F3E" w:rsidRDefault="00BE5555" w:rsidP="00C30F3E">
                  <w:pPr>
                    <w:pStyle w:val="TableColumnHeading"/>
                    <w:ind w:left="0" w:right="28"/>
                    <w:rPr>
                      <w:rFonts w:asciiTheme="majorHAnsi" w:hAnsiTheme="majorHAnsi" w:cstheme="majorHAnsi"/>
                      <w:color w:val="000000" w:themeColor="text1"/>
                      <w:szCs w:val="18"/>
                    </w:rPr>
                  </w:pPr>
                  <w:r w:rsidRPr="00C30F3E">
                    <w:rPr>
                      <w:rFonts w:asciiTheme="majorHAnsi" w:hAnsiTheme="majorHAnsi" w:cstheme="majorHAnsi"/>
                      <w:color w:val="000000" w:themeColor="text1"/>
                      <w:szCs w:val="18"/>
                    </w:rPr>
                    <w:t>SA</w:t>
                  </w:r>
                </w:p>
              </w:tc>
              <w:tc>
                <w:tcPr>
                  <w:tcW w:w="429" w:type="pct"/>
                  <w:tcBorders>
                    <w:top w:val="single" w:sz="4" w:space="0" w:color="BFBFBF" w:themeColor="background2"/>
                    <w:bottom w:val="single" w:sz="4" w:space="0" w:color="BFBFBF" w:themeColor="background2"/>
                  </w:tcBorders>
                </w:tcPr>
                <w:p w:rsidR="00BE5555" w:rsidRPr="00C30F3E" w:rsidRDefault="00BE5555" w:rsidP="00C30F3E">
                  <w:pPr>
                    <w:pStyle w:val="TableColumnHeading"/>
                    <w:ind w:left="0" w:right="28"/>
                    <w:rPr>
                      <w:rFonts w:asciiTheme="majorHAnsi" w:hAnsiTheme="majorHAnsi" w:cstheme="majorHAnsi"/>
                      <w:color w:val="000000" w:themeColor="text1"/>
                      <w:szCs w:val="18"/>
                    </w:rPr>
                  </w:pPr>
                  <w:r w:rsidRPr="00C30F3E">
                    <w:rPr>
                      <w:rFonts w:asciiTheme="majorHAnsi" w:hAnsiTheme="majorHAnsi" w:cstheme="majorHAnsi"/>
                      <w:color w:val="000000" w:themeColor="text1"/>
                      <w:szCs w:val="18"/>
                    </w:rPr>
                    <w:t>Tas</w:t>
                  </w:r>
                </w:p>
              </w:tc>
              <w:tc>
                <w:tcPr>
                  <w:tcW w:w="416" w:type="pct"/>
                  <w:tcBorders>
                    <w:top w:val="single" w:sz="4" w:space="0" w:color="BFBFBF" w:themeColor="background2"/>
                    <w:bottom w:val="single" w:sz="4" w:space="0" w:color="BFBFBF" w:themeColor="background2"/>
                  </w:tcBorders>
                </w:tcPr>
                <w:p w:rsidR="00BE5555" w:rsidRPr="00C30F3E" w:rsidRDefault="00BE5555" w:rsidP="00C30F3E">
                  <w:pPr>
                    <w:pStyle w:val="TableColumnHeading"/>
                    <w:ind w:left="0" w:right="28"/>
                    <w:rPr>
                      <w:rFonts w:asciiTheme="majorHAnsi" w:hAnsiTheme="majorHAnsi" w:cstheme="majorHAnsi"/>
                      <w:color w:val="000000" w:themeColor="text1"/>
                      <w:szCs w:val="18"/>
                    </w:rPr>
                  </w:pPr>
                  <w:r w:rsidRPr="00C30F3E">
                    <w:rPr>
                      <w:rFonts w:asciiTheme="majorHAnsi" w:hAnsiTheme="majorHAnsi" w:cstheme="majorHAnsi"/>
                      <w:color w:val="000000" w:themeColor="text1"/>
                      <w:szCs w:val="18"/>
                    </w:rPr>
                    <w:t>ACT</w:t>
                  </w:r>
                </w:p>
              </w:tc>
              <w:tc>
                <w:tcPr>
                  <w:tcW w:w="417" w:type="pct"/>
                  <w:tcBorders>
                    <w:top w:val="single" w:sz="4" w:space="0" w:color="BFBFBF" w:themeColor="background2"/>
                    <w:bottom w:val="single" w:sz="4" w:space="0" w:color="BFBFBF" w:themeColor="background2"/>
                  </w:tcBorders>
                </w:tcPr>
                <w:p w:rsidR="00BE5555" w:rsidRPr="00C30F3E" w:rsidRDefault="00BE5555" w:rsidP="00C30F3E">
                  <w:pPr>
                    <w:pStyle w:val="TableColumnHeading"/>
                    <w:ind w:left="0" w:right="28"/>
                    <w:rPr>
                      <w:rFonts w:asciiTheme="majorHAnsi" w:hAnsiTheme="majorHAnsi" w:cstheme="majorHAnsi"/>
                      <w:color w:val="000000" w:themeColor="text1"/>
                      <w:szCs w:val="18"/>
                    </w:rPr>
                  </w:pPr>
                  <w:r w:rsidRPr="00C30F3E">
                    <w:rPr>
                      <w:rFonts w:asciiTheme="majorHAnsi" w:hAnsiTheme="majorHAnsi" w:cstheme="majorHAnsi"/>
                      <w:color w:val="000000" w:themeColor="text1"/>
                      <w:szCs w:val="18"/>
                    </w:rPr>
                    <w:t>NT</w:t>
                  </w:r>
                </w:p>
              </w:tc>
              <w:tc>
                <w:tcPr>
                  <w:tcW w:w="557" w:type="pct"/>
                  <w:tcBorders>
                    <w:top w:val="single" w:sz="4" w:space="0" w:color="BFBFBF" w:themeColor="background2"/>
                    <w:bottom w:val="single" w:sz="4" w:space="0" w:color="BFBFBF" w:themeColor="background2"/>
                  </w:tcBorders>
                </w:tcPr>
                <w:p w:rsidR="00BE5555" w:rsidRPr="00C30F3E" w:rsidRDefault="00BE5555" w:rsidP="00C30F3E">
                  <w:pPr>
                    <w:pStyle w:val="TableColumnHeading"/>
                    <w:ind w:left="0" w:right="28"/>
                    <w:rPr>
                      <w:rFonts w:asciiTheme="majorHAnsi" w:hAnsiTheme="majorHAnsi" w:cstheme="majorHAnsi"/>
                      <w:color w:val="000000" w:themeColor="text1"/>
                      <w:szCs w:val="18"/>
                    </w:rPr>
                  </w:pPr>
                  <w:r w:rsidRPr="00C30F3E">
                    <w:rPr>
                      <w:rFonts w:asciiTheme="majorHAnsi" w:hAnsiTheme="majorHAnsi" w:cstheme="majorHAnsi"/>
                      <w:color w:val="000000" w:themeColor="text1"/>
                      <w:szCs w:val="18"/>
                    </w:rPr>
                    <w:t>Aus Gov</w:t>
                  </w:r>
                </w:p>
              </w:tc>
              <w:tc>
                <w:tcPr>
                  <w:tcW w:w="443" w:type="pct"/>
                  <w:tcBorders>
                    <w:top w:val="single" w:sz="4" w:space="0" w:color="BFBFBF" w:themeColor="background2"/>
                    <w:bottom w:val="single" w:sz="4" w:space="0" w:color="BFBFBF" w:themeColor="background2"/>
                  </w:tcBorders>
                  <w:shd w:val="clear" w:color="auto" w:fill="auto"/>
                  <w:tcMar>
                    <w:top w:w="28" w:type="dxa"/>
                  </w:tcMar>
                </w:tcPr>
                <w:p w:rsidR="00BE5555" w:rsidRPr="00C30F3E" w:rsidRDefault="00BE5555" w:rsidP="00C30F3E">
                  <w:pPr>
                    <w:pStyle w:val="TableColumnHeading"/>
                    <w:ind w:left="0" w:right="28"/>
                    <w:rPr>
                      <w:rFonts w:asciiTheme="majorHAnsi" w:hAnsiTheme="majorHAnsi" w:cstheme="majorHAnsi"/>
                      <w:color w:val="000000" w:themeColor="text1"/>
                      <w:szCs w:val="18"/>
                    </w:rPr>
                  </w:pPr>
                  <w:r w:rsidRPr="00C30F3E">
                    <w:rPr>
                      <w:rFonts w:asciiTheme="majorHAnsi" w:hAnsiTheme="majorHAnsi" w:cstheme="majorHAnsi"/>
                      <w:color w:val="000000" w:themeColor="text1"/>
                      <w:szCs w:val="18"/>
                    </w:rPr>
                    <w:t>Aust</w:t>
                  </w:r>
                  <w:r w:rsidR="001359AC">
                    <w:rPr>
                      <w:rFonts w:asciiTheme="majorHAnsi" w:hAnsiTheme="majorHAnsi" w:cstheme="majorHAnsi"/>
                      <w:color w:val="000000" w:themeColor="text1"/>
                      <w:szCs w:val="18"/>
                    </w:rPr>
                    <w:t>/Total</w:t>
                  </w:r>
                </w:p>
              </w:tc>
            </w:tr>
            <w:tr w:rsidR="00777290" w:rsidTr="00FE3FD5">
              <w:tc>
                <w:tcPr>
                  <w:tcW w:w="457" w:type="pct"/>
                  <w:tcBorders>
                    <w:top w:val="single" w:sz="4" w:space="0" w:color="BFBFBF" w:themeColor="background2"/>
                  </w:tcBorders>
                  <w:vAlign w:val="center"/>
                </w:tcPr>
                <w:p w:rsidR="00777290" w:rsidRPr="00C30F3E" w:rsidRDefault="00777290" w:rsidP="006B5C6D">
                  <w:pPr>
                    <w:pStyle w:val="TableBodyText"/>
                    <w:ind w:left="0" w:right="0"/>
                    <w:jc w:val="left"/>
                    <w:rPr>
                      <w:rFonts w:asciiTheme="majorHAnsi" w:hAnsiTheme="majorHAnsi" w:cstheme="majorHAnsi"/>
                      <w:color w:val="000000" w:themeColor="text1"/>
                      <w:szCs w:val="18"/>
                    </w:rPr>
                  </w:pPr>
                  <w:r>
                    <w:rPr>
                      <w:rFonts w:asciiTheme="majorHAnsi" w:hAnsiTheme="majorHAnsi" w:cstheme="majorHAnsi"/>
                      <w:color w:val="000000" w:themeColor="text1"/>
                      <w:szCs w:val="18"/>
                    </w:rPr>
                    <w:t>2014</w:t>
                  </w:r>
                </w:p>
              </w:tc>
              <w:tc>
                <w:tcPr>
                  <w:tcW w:w="457" w:type="pct"/>
                  <w:tcBorders>
                    <w:top w:val="single" w:sz="4" w:space="0" w:color="BFBFBF" w:themeColor="background2"/>
                  </w:tcBorders>
                </w:tcPr>
                <w:p w:rsidR="00777290" w:rsidRPr="00A4149F" w:rsidRDefault="00777290" w:rsidP="00777290">
                  <w:pPr>
                    <w:pStyle w:val="TableBodyText"/>
                  </w:pPr>
                  <w:r w:rsidRPr="00A4149F">
                    <w:t>na</w:t>
                  </w:r>
                </w:p>
              </w:tc>
              <w:tc>
                <w:tcPr>
                  <w:tcW w:w="458" w:type="pct"/>
                  <w:tcBorders>
                    <w:top w:val="single" w:sz="4" w:space="0" w:color="BFBFBF" w:themeColor="background2"/>
                  </w:tcBorders>
                </w:tcPr>
                <w:p w:rsidR="00777290" w:rsidRPr="00A4149F" w:rsidRDefault="00777290" w:rsidP="00777290">
                  <w:pPr>
                    <w:pStyle w:val="TableBodyText"/>
                  </w:pPr>
                  <w:r w:rsidRPr="00A4149F">
                    <w:t xml:space="preserve">  6.1</w:t>
                  </w:r>
                </w:p>
              </w:tc>
              <w:tc>
                <w:tcPr>
                  <w:tcW w:w="456" w:type="pct"/>
                  <w:tcBorders>
                    <w:top w:val="single" w:sz="4" w:space="0" w:color="BFBFBF" w:themeColor="background2"/>
                  </w:tcBorders>
                </w:tcPr>
                <w:p w:rsidR="00777290" w:rsidRPr="00A4149F" w:rsidRDefault="00777290" w:rsidP="00777290">
                  <w:pPr>
                    <w:pStyle w:val="TableBodyText"/>
                  </w:pPr>
                  <w:r w:rsidRPr="00A4149F">
                    <w:t xml:space="preserve">  28.0</w:t>
                  </w:r>
                </w:p>
              </w:tc>
              <w:tc>
                <w:tcPr>
                  <w:tcW w:w="455" w:type="pct"/>
                  <w:tcBorders>
                    <w:top w:val="single" w:sz="4" w:space="0" w:color="BFBFBF" w:themeColor="background2"/>
                  </w:tcBorders>
                </w:tcPr>
                <w:p w:rsidR="00777290" w:rsidRPr="00A4149F" w:rsidRDefault="00777290" w:rsidP="00777290">
                  <w:pPr>
                    <w:pStyle w:val="TableBodyText"/>
                  </w:pPr>
                  <w:r w:rsidRPr="00A4149F">
                    <w:t xml:space="preserve">  20.1</w:t>
                  </w:r>
                </w:p>
              </w:tc>
              <w:tc>
                <w:tcPr>
                  <w:tcW w:w="455" w:type="pct"/>
                  <w:tcBorders>
                    <w:top w:val="single" w:sz="4" w:space="0" w:color="BFBFBF" w:themeColor="background2"/>
                  </w:tcBorders>
                </w:tcPr>
                <w:p w:rsidR="00777290" w:rsidRPr="00A4149F" w:rsidRDefault="00777290" w:rsidP="00777290">
                  <w:pPr>
                    <w:pStyle w:val="TableBodyText"/>
                  </w:pPr>
                  <w:r w:rsidRPr="00A4149F">
                    <w:t>na</w:t>
                  </w:r>
                </w:p>
              </w:tc>
              <w:tc>
                <w:tcPr>
                  <w:tcW w:w="429" w:type="pct"/>
                  <w:tcBorders>
                    <w:top w:val="single" w:sz="4" w:space="0" w:color="BFBFBF" w:themeColor="background2"/>
                  </w:tcBorders>
                </w:tcPr>
                <w:p w:rsidR="00777290" w:rsidRPr="00A4149F" w:rsidRDefault="00777290" w:rsidP="00777290">
                  <w:pPr>
                    <w:pStyle w:val="TableBodyText"/>
                  </w:pPr>
                  <w:r w:rsidRPr="00A4149F">
                    <w:t>na</w:t>
                  </w:r>
                </w:p>
              </w:tc>
              <w:tc>
                <w:tcPr>
                  <w:tcW w:w="416" w:type="pct"/>
                  <w:tcBorders>
                    <w:top w:val="single" w:sz="4" w:space="0" w:color="BFBFBF" w:themeColor="background2"/>
                  </w:tcBorders>
                </w:tcPr>
                <w:p w:rsidR="00777290" w:rsidRPr="00A4149F" w:rsidRDefault="00777290" w:rsidP="00777290">
                  <w:pPr>
                    <w:pStyle w:val="TableBodyText"/>
                  </w:pPr>
                  <w:r w:rsidRPr="00A4149F">
                    <w:t>..</w:t>
                  </w:r>
                </w:p>
              </w:tc>
              <w:tc>
                <w:tcPr>
                  <w:tcW w:w="417" w:type="pct"/>
                  <w:tcBorders>
                    <w:top w:val="single" w:sz="4" w:space="0" w:color="BFBFBF" w:themeColor="background2"/>
                  </w:tcBorders>
                </w:tcPr>
                <w:p w:rsidR="00777290" w:rsidRPr="00A4149F" w:rsidRDefault="00777290" w:rsidP="00777290">
                  <w:pPr>
                    <w:pStyle w:val="TableBodyText"/>
                  </w:pPr>
                  <w:r w:rsidRPr="00A4149F">
                    <w:t>na</w:t>
                  </w:r>
                </w:p>
              </w:tc>
              <w:tc>
                <w:tcPr>
                  <w:tcW w:w="557" w:type="pct"/>
                  <w:tcBorders>
                    <w:top w:val="single" w:sz="4" w:space="0" w:color="BFBFBF" w:themeColor="background2"/>
                  </w:tcBorders>
                </w:tcPr>
                <w:p w:rsidR="00777290" w:rsidRPr="00A4149F" w:rsidRDefault="00777290" w:rsidP="00777290">
                  <w:pPr>
                    <w:pStyle w:val="TableBodyText"/>
                  </w:pPr>
                  <w:r w:rsidRPr="00A4149F">
                    <w:t>..</w:t>
                  </w:r>
                </w:p>
              </w:tc>
              <w:tc>
                <w:tcPr>
                  <w:tcW w:w="443" w:type="pct"/>
                  <w:tcBorders>
                    <w:top w:val="single" w:sz="4" w:space="0" w:color="BFBFBF" w:themeColor="background2"/>
                  </w:tcBorders>
                </w:tcPr>
                <w:p w:rsidR="00777290" w:rsidRPr="00A4149F" w:rsidRDefault="00777290" w:rsidP="00777290">
                  <w:pPr>
                    <w:pStyle w:val="TableBodyText"/>
                  </w:pPr>
                  <w:r w:rsidRPr="00A4149F">
                    <w:t>na</w:t>
                  </w:r>
                </w:p>
              </w:tc>
            </w:tr>
            <w:tr w:rsidR="00777290" w:rsidTr="00FE3FD5">
              <w:tc>
                <w:tcPr>
                  <w:tcW w:w="457" w:type="pct"/>
                  <w:shd w:val="clear" w:color="auto" w:fill="auto"/>
                  <w:vAlign w:val="center"/>
                </w:tcPr>
                <w:p w:rsidR="00777290" w:rsidRPr="00C30F3E" w:rsidRDefault="00777290" w:rsidP="006B5C6D">
                  <w:pPr>
                    <w:pStyle w:val="TableBodyText"/>
                    <w:ind w:left="0" w:right="0"/>
                    <w:jc w:val="left"/>
                    <w:rPr>
                      <w:rFonts w:asciiTheme="majorHAnsi" w:hAnsiTheme="majorHAnsi" w:cstheme="majorHAnsi"/>
                      <w:color w:val="000000" w:themeColor="text1"/>
                      <w:szCs w:val="18"/>
                    </w:rPr>
                  </w:pPr>
                  <w:r>
                    <w:rPr>
                      <w:rFonts w:asciiTheme="majorHAnsi" w:hAnsiTheme="majorHAnsi" w:cstheme="majorHAnsi"/>
                      <w:color w:val="000000" w:themeColor="text1"/>
                      <w:szCs w:val="18"/>
                    </w:rPr>
                    <w:t>2013</w:t>
                  </w:r>
                </w:p>
              </w:tc>
              <w:tc>
                <w:tcPr>
                  <w:tcW w:w="457" w:type="pct"/>
                  <w:shd w:val="clear" w:color="auto" w:fill="auto"/>
                </w:tcPr>
                <w:p w:rsidR="00777290" w:rsidRPr="00A4149F" w:rsidRDefault="00777290" w:rsidP="00777290">
                  <w:pPr>
                    <w:pStyle w:val="TableBodyText"/>
                  </w:pPr>
                  <w:r w:rsidRPr="00A4149F">
                    <w:t>na</w:t>
                  </w:r>
                </w:p>
              </w:tc>
              <w:tc>
                <w:tcPr>
                  <w:tcW w:w="458" w:type="pct"/>
                </w:tcPr>
                <w:p w:rsidR="00777290" w:rsidRPr="00A4149F" w:rsidRDefault="00777290" w:rsidP="00777290">
                  <w:pPr>
                    <w:pStyle w:val="TableBodyText"/>
                  </w:pPr>
                  <w:r w:rsidRPr="00A4149F">
                    <w:t xml:space="preserve">  9.9</w:t>
                  </w:r>
                </w:p>
              </w:tc>
              <w:tc>
                <w:tcPr>
                  <w:tcW w:w="456" w:type="pct"/>
                </w:tcPr>
                <w:p w:rsidR="00777290" w:rsidRPr="00A4149F" w:rsidRDefault="00777290" w:rsidP="00777290">
                  <w:pPr>
                    <w:pStyle w:val="TableBodyText"/>
                  </w:pPr>
                  <w:r w:rsidRPr="00A4149F">
                    <w:t xml:space="preserve">  31.9</w:t>
                  </w:r>
                </w:p>
              </w:tc>
              <w:tc>
                <w:tcPr>
                  <w:tcW w:w="455" w:type="pct"/>
                </w:tcPr>
                <w:p w:rsidR="00777290" w:rsidRPr="00A4149F" w:rsidRDefault="00777290" w:rsidP="00777290">
                  <w:pPr>
                    <w:pStyle w:val="TableBodyText"/>
                  </w:pPr>
                  <w:r w:rsidRPr="00A4149F">
                    <w:t xml:space="preserve">  27.4</w:t>
                  </w:r>
                </w:p>
              </w:tc>
              <w:tc>
                <w:tcPr>
                  <w:tcW w:w="455" w:type="pct"/>
                </w:tcPr>
                <w:p w:rsidR="00777290" w:rsidRPr="00A4149F" w:rsidRDefault="00777290" w:rsidP="00777290">
                  <w:pPr>
                    <w:pStyle w:val="TableBodyText"/>
                  </w:pPr>
                  <w:r w:rsidRPr="00A4149F">
                    <w:t>na</w:t>
                  </w:r>
                </w:p>
              </w:tc>
              <w:tc>
                <w:tcPr>
                  <w:tcW w:w="429" w:type="pct"/>
                </w:tcPr>
                <w:p w:rsidR="00777290" w:rsidRPr="00A4149F" w:rsidRDefault="00777290" w:rsidP="00777290">
                  <w:pPr>
                    <w:pStyle w:val="TableBodyText"/>
                  </w:pPr>
                  <w:r w:rsidRPr="00A4149F">
                    <w:t>na</w:t>
                  </w:r>
                </w:p>
              </w:tc>
              <w:tc>
                <w:tcPr>
                  <w:tcW w:w="416" w:type="pct"/>
                </w:tcPr>
                <w:p w:rsidR="00777290" w:rsidRPr="00A4149F" w:rsidRDefault="00777290" w:rsidP="00777290">
                  <w:pPr>
                    <w:pStyle w:val="TableBodyText"/>
                  </w:pPr>
                  <w:r w:rsidRPr="00A4149F">
                    <w:t>na</w:t>
                  </w:r>
                </w:p>
              </w:tc>
              <w:tc>
                <w:tcPr>
                  <w:tcW w:w="417" w:type="pct"/>
                </w:tcPr>
                <w:p w:rsidR="00777290" w:rsidRPr="00A4149F" w:rsidRDefault="00777290" w:rsidP="00777290">
                  <w:pPr>
                    <w:pStyle w:val="TableBodyText"/>
                  </w:pPr>
                  <w:r w:rsidRPr="00A4149F">
                    <w:t>na</w:t>
                  </w:r>
                </w:p>
              </w:tc>
              <w:tc>
                <w:tcPr>
                  <w:tcW w:w="557" w:type="pct"/>
                </w:tcPr>
                <w:p w:rsidR="00777290" w:rsidRPr="00A4149F" w:rsidRDefault="00777290" w:rsidP="00777290">
                  <w:pPr>
                    <w:pStyle w:val="TableBodyText"/>
                  </w:pPr>
                  <w:r w:rsidRPr="00A4149F">
                    <w:t>na</w:t>
                  </w:r>
                </w:p>
              </w:tc>
              <w:tc>
                <w:tcPr>
                  <w:tcW w:w="443" w:type="pct"/>
                  <w:shd w:val="clear" w:color="auto" w:fill="auto"/>
                </w:tcPr>
                <w:p w:rsidR="00777290" w:rsidRPr="00A4149F" w:rsidRDefault="00777290" w:rsidP="00777290">
                  <w:pPr>
                    <w:pStyle w:val="TableBodyText"/>
                  </w:pPr>
                  <w:r w:rsidRPr="00A4149F">
                    <w:t>na</w:t>
                  </w:r>
                </w:p>
              </w:tc>
            </w:tr>
            <w:tr w:rsidR="00777290" w:rsidTr="00FE3FD5">
              <w:tc>
                <w:tcPr>
                  <w:tcW w:w="457" w:type="pct"/>
                  <w:shd w:val="clear" w:color="auto" w:fill="auto"/>
                  <w:vAlign w:val="center"/>
                </w:tcPr>
                <w:p w:rsidR="00777290" w:rsidRPr="00C30F3E" w:rsidRDefault="00777290" w:rsidP="006B5C6D">
                  <w:pPr>
                    <w:pStyle w:val="TableBodyText"/>
                    <w:ind w:left="0" w:right="0"/>
                    <w:jc w:val="left"/>
                    <w:rPr>
                      <w:rFonts w:asciiTheme="majorHAnsi" w:hAnsiTheme="majorHAnsi" w:cstheme="majorHAnsi"/>
                      <w:color w:val="000000" w:themeColor="text1"/>
                      <w:szCs w:val="18"/>
                    </w:rPr>
                  </w:pPr>
                  <w:r w:rsidRPr="00C30F3E">
                    <w:rPr>
                      <w:rFonts w:asciiTheme="majorHAnsi" w:hAnsiTheme="majorHAnsi" w:cstheme="majorHAnsi"/>
                      <w:color w:val="000000" w:themeColor="text1"/>
                      <w:szCs w:val="18"/>
                    </w:rPr>
                    <w:t>2012</w:t>
                  </w:r>
                </w:p>
              </w:tc>
              <w:tc>
                <w:tcPr>
                  <w:tcW w:w="457" w:type="pct"/>
                  <w:shd w:val="clear" w:color="auto" w:fill="auto"/>
                </w:tcPr>
                <w:p w:rsidR="00777290" w:rsidRPr="00A4149F" w:rsidRDefault="00777290" w:rsidP="00777290">
                  <w:pPr>
                    <w:pStyle w:val="TableBodyText"/>
                  </w:pPr>
                  <w:r w:rsidRPr="00A4149F">
                    <w:t>na</w:t>
                  </w:r>
                </w:p>
              </w:tc>
              <w:tc>
                <w:tcPr>
                  <w:tcW w:w="458" w:type="pct"/>
                </w:tcPr>
                <w:p w:rsidR="00777290" w:rsidRPr="00A4149F" w:rsidRDefault="00777290" w:rsidP="00777290">
                  <w:pPr>
                    <w:pStyle w:val="TableBodyText"/>
                  </w:pPr>
                  <w:r w:rsidRPr="00A4149F">
                    <w:t xml:space="preserve">  9.7</w:t>
                  </w:r>
                </w:p>
              </w:tc>
              <w:tc>
                <w:tcPr>
                  <w:tcW w:w="456" w:type="pct"/>
                </w:tcPr>
                <w:p w:rsidR="00777290" w:rsidRPr="00A4149F" w:rsidRDefault="00777290" w:rsidP="00777290">
                  <w:pPr>
                    <w:pStyle w:val="TableBodyText"/>
                  </w:pPr>
                  <w:r w:rsidRPr="00A4149F">
                    <w:t xml:space="preserve">  33.3</w:t>
                  </w:r>
                </w:p>
              </w:tc>
              <w:tc>
                <w:tcPr>
                  <w:tcW w:w="455" w:type="pct"/>
                </w:tcPr>
                <w:p w:rsidR="00777290" w:rsidRPr="00A4149F" w:rsidRDefault="00777290" w:rsidP="00777290">
                  <w:pPr>
                    <w:pStyle w:val="TableBodyText"/>
                  </w:pPr>
                  <w:r w:rsidRPr="00A4149F">
                    <w:t xml:space="preserve">  30.3</w:t>
                  </w:r>
                </w:p>
              </w:tc>
              <w:tc>
                <w:tcPr>
                  <w:tcW w:w="455" w:type="pct"/>
                </w:tcPr>
                <w:p w:rsidR="00777290" w:rsidRPr="00A4149F" w:rsidRDefault="00777290" w:rsidP="00777290">
                  <w:pPr>
                    <w:pStyle w:val="TableBodyText"/>
                  </w:pPr>
                  <w:r w:rsidRPr="00A4149F">
                    <w:t xml:space="preserve">  31.7</w:t>
                  </w:r>
                </w:p>
              </w:tc>
              <w:tc>
                <w:tcPr>
                  <w:tcW w:w="429" w:type="pct"/>
                </w:tcPr>
                <w:p w:rsidR="00777290" w:rsidRPr="00A4149F" w:rsidRDefault="00777290" w:rsidP="00777290">
                  <w:pPr>
                    <w:pStyle w:val="TableBodyText"/>
                  </w:pPr>
                  <w:r w:rsidRPr="00A4149F">
                    <w:t>na</w:t>
                  </w:r>
                </w:p>
              </w:tc>
              <w:tc>
                <w:tcPr>
                  <w:tcW w:w="416" w:type="pct"/>
                </w:tcPr>
                <w:p w:rsidR="00777290" w:rsidRPr="00A4149F" w:rsidRDefault="00777290" w:rsidP="00777290">
                  <w:pPr>
                    <w:pStyle w:val="TableBodyText"/>
                  </w:pPr>
                  <w:r w:rsidRPr="00A4149F">
                    <w:t>na</w:t>
                  </w:r>
                </w:p>
              </w:tc>
              <w:tc>
                <w:tcPr>
                  <w:tcW w:w="417" w:type="pct"/>
                </w:tcPr>
                <w:p w:rsidR="00777290" w:rsidRPr="00A4149F" w:rsidRDefault="00777290" w:rsidP="00777290">
                  <w:pPr>
                    <w:pStyle w:val="TableBodyText"/>
                  </w:pPr>
                  <w:r w:rsidRPr="00A4149F">
                    <w:t>na</w:t>
                  </w:r>
                </w:p>
              </w:tc>
              <w:tc>
                <w:tcPr>
                  <w:tcW w:w="557" w:type="pct"/>
                </w:tcPr>
                <w:p w:rsidR="00777290" w:rsidRPr="00A4149F" w:rsidRDefault="00777290" w:rsidP="00777290">
                  <w:pPr>
                    <w:pStyle w:val="TableBodyText"/>
                  </w:pPr>
                  <w:r w:rsidRPr="00A4149F">
                    <w:t>..</w:t>
                  </w:r>
                </w:p>
              </w:tc>
              <w:tc>
                <w:tcPr>
                  <w:tcW w:w="443" w:type="pct"/>
                  <w:shd w:val="clear" w:color="auto" w:fill="auto"/>
                </w:tcPr>
                <w:p w:rsidR="00777290" w:rsidRPr="00A4149F" w:rsidRDefault="00D456F9" w:rsidP="00777290">
                  <w:pPr>
                    <w:pStyle w:val="TableBodyText"/>
                  </w:pPr>
                  <w:r>
                    <w:t>26.1</w:t>
                  </w:r>
                </w:p>
              </w:tc>
            </w:tr>
            <w:tr w:rsidR="00777290" w:rsidTr="00FE3FD5">
              <w:tc>
                <w:tcPr>
                  <w:tcW w:w="457" w:type="pct"/>
                  <w:shd w:val="clear" w:color="auto" w:fill="auto"/>
                  <w:vAlign w:val="center"/>
                </w:tcPr>
                <w:p w:rsidR="00777290" w:rsidRPr="00C30F3E" w:rsidRDefault="00777290" w:rsidP="006B5C6D">
                  <w:pPr>
                    <w:pStyle w:val="TableBodyText"/>
                    <w:ind w:left="0" w:right="0"/>
                    <w:jc w:val="left"/>
                    <w:rPr>
                      <w:rFonts w:asciiTheme="majorHAnsi" w:hAnsiTheme="majorHAnsi" w:cstheme="majorHAnsi"/>
                      <w:color w:val="000000" w:themeColor="text1"/>
                      <w:szCs w:val="18"/>
                    </w:rPr>
                  </w:pPr>
                  <w:r>
                    <w:rPr>
                      <w:rFonts w:asciiTheme="majorHAnsi" w:hAnsiTheme="majorHAnsi" w:cstheme="majorHAnsi"/>
                      <w:color w:val="000000" w:themeColor="text1"/>
                      <w:szCs w:val="18"/>
                    </w:rPr>
                    <w:t>2011</w:t>
                  </w:r>
                </w:p>
              </w:tc>
              <w:tc>
                <w:tcPr>
                  <w:tcW w:w="457" w:type="pct"/>
                  <w:shd w:val="clear" w:color="auto" w:fill="auto"/>
                </w:tcPr>
                <w:p w:rsidR="00777290" w:rsidRPr="00A4149F" w:rsidRDefault="00777290" w:rsidP="00777290">
                  <w:pPr>
                    <w:pStyle w:val="TableBodyText"/>
                  </w:pPr>
                  <w:r w:rsidRPr="00A4149F">
                    <w:t>na</w:t>
                  </w:r>
                </w:p>
              </w:tc>
              <w:tc>
                <w:tcPr>
                  <w:tcW w:w="458" w:type="pct"/>
                </w:tcPr>
                <w:p w:rsidR="00777290" w:rsidRPr="00A4149F" w:rsidRDefault="00777290" w:rsidP="00777290">
                  <w:pPr>
                    <w:pStyle w:val="TableBodyText"/>
                  </w:pPr>
                  <w:r w:rsidRPr="00A4149F">
                    <w:t xml:space="preserve">  5.7</w:t>
                  </w:r>
                </w:p>
              </w:tc>
              <w:tc>
                <w:tcPr>
                  <w:tcW w:w="456" w:type="pct"/>
                </w:tcPr>
                <w:p w:rsidR="00777290" w:rsidRPr="00A4149F" w:rsidRDefault="00777290" w:rsidP="00777290">
                  <w:pPr>
                    <w:pStyle w:val="TableBodyText"/>
                  </w:pPr>
                  <w:r w:rsidRPr="00A4149F">
                    <w:t xml:space="preserve">  34.3</w:t>
                  </w:r>
                </w:p>
              </w:tc>
              <w:tc>
                <w:tcPr>
                  <w:tcW w:w="455" w:type="pct"/>
                </w:tcPr>
                <w:p w:rsidR="00777290" w:rsidRPr="00A4149F" w:rsidRDefault="00777290" w:rsidP="00777290">
                  <w:pPr>
                    <w:pStyle w:val="TableBodyText"/>
                  </w:pPr>
                  <w:r w:rsidRPr="00A4149F">
                    <w:t xml:space="preserve">  32.9</w:t>
                  </w:r>
                </w:p>
              </w:tc>
              <w:tc>
                <w:tcPr>
                  <w:tcW w:w="455" w:type="pct"/>
                </w:tcPr>
                <w:p w:rsidR="00777290" w:rsidRPr="00A4149F" w:rsidRDefault="00777290" w:rsidP="00777290">
                  <w:pPr>
                    <w:pStyle w:val="TableBodyText"/>
                  </w:pPr>
                  <w:r w:rsidRPr="00A4149F">
                    <w:t xml:space="preserve">  52.0</w:t>
                  </w:r>
                </w:p>
              </w:tc>
              <w:tc>
                <w:tcPr>
                  <w:tcW w:w="429" w:type="pct"/>
                </w:tcPr>
                <w:p w:rsidR="00777290" w:rsidRPr="00A4149F" w:rsidRDefault="00777290" w:rsidP="00777290">
                  <w:pPr>
                    <w:pStyle w:val="TableBodyText"/>
                  </w:pPr>
                  <w:r w:rsidRPr="00A4149F">
                    <w:t>na</w:t>
                  </w:r>
                </w:p>
              </w:tc>
              <w:tc>
                <w:tcPr>
                  <w:tcW w:w="416" w:type="pct"/>
                </w:tcPr>
                <w:p w:rsidR="00777290" w:rsidRPr="00A4149F" w:rsidRDefault="00777290" w:rsidP="00777290">
                  <w:pPr>
                    <w:pStyle w:val="TableBodyText"/>
                  </w:pPr>
                  <w:r w:rsidRPr="00A4149F">
                    <w:t>na</w:t>
                  </w:r>
                </w:p>
              </w:tc>
              <w:tc>
                <w:tcPr>
                  <w:tcW w:w="417" w:type="pct"/>
                </w:tcPr>
                <w:p w:rsidR="00777290" w:rsidRPr="00A4149F" w:rsidRDefault="00777290" w:rsidP="00777290">
                  <w:pPr>
                    <w:pStyle w:val="TableBodyText"/>
                  </w:pPr>
                  <w:r w:rsidRPr="00A4149F">
                    <w:t>na</w:t>
                  </w:r>
                </w:p>
              </w:tc>
              <w:tc>
                <w:tcPr>
                  <w:tcW w:w="557" w:type="pct"/>
                </w:tcPr>
                <w:p w:rsidR="00777290" w:rsidRPr="00A4149F" w:rsidRDefault="00777290" w:rsidP="00777290">
                  <w:pPr>
                    <w:pStyle w:val="TableBodyText"/>
                  </w:pPr>
                  <w:r w:rsidRPr="00A4149F">
                    <w:t>..</w:t>
                  </w:r>
                </w:p>
              </w:tc>
              <w:tc>
                <w:tcPr>
                  <w:tcW w:w="443" w:type="pct"/>
                  <w:shd w:val="clear" w:color="auto" w:fill="auto"/>
                </w:tcPr>
                <w:p w:rsidR="00777290" w:rsidRPr="00A4149F" w:rsidRDefault="00777290" w:rsidP="00777290">
                  <w:pPr>
                    <w:pStyle w:val="TableBodyText"/>
                  </w:pPr>
                  <w:r w:rsidRPr="00A4149F">
                    <w:t xml:space="preserve">  30.8</w:t>
                  </w:r>
                </w:p>
              </w:tc>
            </w:tr>
            <w:tr w:rsidR="00777290" w:rsidTr="00FE3FD5">
              <w:tc>
                <w:tcPr>
                  <w:tcW w:w="457" w:type="pct"/>
                  <w:shd w:val="clear" w:color="auto" w:fill="auto"/>
                  <w:vAlign w:val="center"/>
                </w:tcPr>
                <w:p w:rsidR="00777290" w:rsidRPr="00C30F3E" w:rsidRDefault="00777290" w:rsidP="00C30F3E">
                  <w:pPr>
                    <w:pStyle w:val="TableBodyText"/>
                    <w:ind w:left="0" w:right="0"/>
                    <w:jc w:val="left"/>
                    <w:rPr>
                      <w:rFonts w:asciiTheme="majorHAnsi" w:hAnsiTheme="majorHAnsi" w:cstheme="majorHAnsi"/>
                      <w:color w:val="000000" w:themeColor="text1"/>
                      <w:szCs w:val="18"/>
                    </w:rPr>
                  </w:pPr>
                  <w:r>
                    <w:rPr>
                      <w:rFonts w:asciiTheme="majorHAnsi" w:hAnsiTheme="majorHAnsi" w:cstheme="majorHAnsi"/>
                      <w:color w:val="000000" w:themeColor="text1"/>
                      <w:szCs w:val="18"/>
                    </w:rPr>
                    <w:t>2010</w:t>
                  </w:r>
                </w:p>
              </w:tc>
              <w:tc>
                <w:tcPr>
                  <w:tcW w:w="457" w:type="pct"/>
                  <w:shd w:val="clear" w:color="auto" w:fill="auto"/>
                </w:tcPr>
                <w:p w:rsidR="00777290" w:rsidRPr="00A4149F" w:rsidRDefault="00777290" w:rsidP="00777290">
                  <w:pPr>
                    <w:pStyle w:val="TableBodyText"/>
                  </w:pPr>
                  <w:r w:rsidRPr="00A4149F">
                    <w:t>na</w:t>
                  </w:r>
                </w:p>
              </w:tc>
              <w:tc>
                <w:tcPr>
                  <w:tcW w:w="458" w:type="pct"/>
                </w:tcPr>
                <w:p w:rsidR="00777290" w:rsidRPr="00A4149F" w:rsidRDefault="00777290" w:rsidP="00777290">
                  <w:pPr>
                    <w:pStyle w:val="TableBodyText"/>
                  </w:pPr>
                  <w:r w:rsidRPr="00A4149F">
                    <w:t xml:space="preserve">  6.3</w:t>
                  </w:r>
                </w:p>
              </w:tc>
              <w:tc>
                <w:tcPr>
                  <w:tcW w:w="456" w:type="pct"/>
                </w:tcPr>
                <w:p w:rsidR="00777290" w:rsidRPr="00A4149F" w:rsidRDefault="00777290" w:rsidP="00777290">
                  <w:pPr>
                    <w:pStyle w:val="TableBodyText"/>
                  </w:pPr>
                  <w:r w:rsidRPr="00A4149F">
                    <w:t xml:space="preserve">  43.8</w:t>
                  </w:r>
                </w:p>
              </w:tc>
              <w:tc>
                <w:tcPr>
                  <w:tcW w:w="455" w:type="pct"/>
                </w:tcPr>
                <w:p w:rsidR="00777290" w:rsidRPr="00A4149F" w:rsidRDefault="00777290" w:rsidP="00777290">
                  <w:pPr>
                    <w:pStyle w:val="TableBodyText"/>
                  </w:pPr>
                  <w:r w:rsidRPr="00A4149F">
                    <w:t xml:space="preserve">  28.4</w:t>
                  </w:r>
                </w:p>
              </w:tc>
              <w:tc>
                <w:tcPr>
                  <w:tcW w:w="455" w:type="pct"/>
                </w:tcPr>
                <w:p w:rsidR="00777290" w:rsidRPr="00A4149F" w:rsidRDefault="00777290" w:rsidP="00777290">
                  <w:pPr>
                    <w:pStyle w:val="TableBodyText"/>
                  </w:pPr>
                  <w:r w:rsidRPr="00A4149F">
                    <w:t xml:space="preserve">  48.4</w:t>
                  </w:r>
                </w:p>
              </w:tc>
              <w:tc>
                <w:tcPr>
                  <w:tcW w:w="429" w:type="pct"/>
                </w:tcPr>
                <w:p w:rsidR="00777290" w:rsidRPr="00A4149F" w:rsidRDefault="00777290" w:rsidP="00777290">
                  <w:pPr>
                    <w:pStyle w:val="TableBodyText"/>
                  </w:pPr>
                  <w:r w:rsidRPr="00A4149F">
                    <w:t>na</w:t>
                  </w:r>
                </w:p>
              </w:tc>
              <w:tc>
                <w:tcPr>
                  <w:tcW w:w="416" w:type="pct"/>
                </w:tcPr>
                <w:p w:rsidR="00777290" w:rsidRPr="00A4149F" w:rsidRDefault="00777290" w:rsidP="00777290">
                  <w:pPr>
                    <w:pStyle w:val="TableBodyText"/>
                  </w:pPr>
                  <w:r w:rsidRPr="00A4149F">
                    <w:t>na</w:t>
                  </w:r>
                </w:p>
              </w:tc>
              <w:tc>
                <w:tcPr>
                  <w:tcW w:w="417" w:type="pct"/>
                </w:tcPr>
                <w:p w:rsidR="00777290" w:rsidRPr="00A4149F" w:rsidRDefault="00777290" w:rsidP="00777290">
                  <w:pPr>
                    <w:pStyle w:val="TableBodyText"/>
                  </w:pPr>
                  <w:r w:rsidRPr="00A4149F">
                    <w:t>na</w:t>
                  </w:r>
                </w:p>
              </w:tc>
              <w:tc>
                <w:tcPr>
                  <w:tcW w:w="557" w:type="pct"/>
                </w:tcPr>
                <w:p w:rsidR="00777290" w:rsidRPr="00A4149F" w:rsidRDefault="00777290" w:rsidP="00777290">
                  <w:pPr>
                    <w:pStyle w:val="TableBodyText"/>
                  </w:pPr>
                  <w:r w:rsidRPr="00A4149F">
                    <w:t>..</w:t>
                  </w:r>
                </w:p>
              </w:tc>
              <w:tc>
                <w:tcPr>
                  <w:tcW w:w="443" w:type="pct"/>
                  <w:shd w:val="clear" w:color="auto" w:fill="auto"/>
                </w:tcPr>
                <w:p w:rsidR="00777290" w:rsidRDefault="00777290" w:rsidP="00777290">
                  <w:pPr>
                    <w:pStyle w:val="TableBodyText"/>
                  </w:pPr>
                  <w:r w:rsidRPr="00A4149F">
                    <w:t xml:space="preserve">  28.5</w:t>
                  </w:r>
                </w:p>
              </w:tc>
            </w:tr>
          </w:tbl>
          <w:p w:rsidR="00CA70D4" w:rsidRDefault="00CA70D4" w:rsidP="004237A3">
            <w:pPr>
              <w:pStyle w:val="Box"/>
            </w:pPr>
          </w:p>
        </w:tc>
      </w:tr>
      <w:tr w:rsidR="00CA70D4" w:rsidTr="00C30F3E">
        <w:trPr>
          <w:cantSplit/>
        </w:trPr>
        <w:tc>
          <w:tcPr>
            <w:tcW w:w="5000" w:type="pct"/>
            <w:tcBorders>
              <w:top w:val="nil"/>
              <w:left w:val="nil"/>
              <w:bottom w:val="nil"/>
              <w:right w:val="nil"/>
            </w:tcBorders>
            <w:shd w:val="clear" w:color="auto" w:fill="auto"/>
          </w:tcPr>
          <w:p w:rsidR="00CA70D4" w:rsidRDefault="00CA70D4" w:rsidP="00DE4FB4">
            <w:pPr>
              <w:pStyle w:val="Note"/>
              <w:rPr>
                <w:i/>
              </w:rPr>
            </w:pPr>
            <w:r w:rsidRPr="008E77FE">
              <w:rPr>
                <w:rStyle w:val="NoteLabel"/>
              </w:rPr>
              <w:t>a</w:t>
            </w:r>
            <w:r>
              <w:t xml:space="preserve"> </w:t>
            </w:r>
            <w:r w:rsidR="001946E2">
              <w:t>See box</w:t>
            </w:r>
            <w:r w:rsidR="007D1214">
              <w:t> </w:t>
            </w:r>
            <w:r w:rsidR="001946E2">
              <w:t>17.15</w:t>
            </w:r>
            <w:r w:rsidR="00DE4FB4">
              <w:t xml:space="preserve"> and table</w:t>
            </w:r>
            <w:r w:rsidR="007D1214">
              <w:t> </w:t>
            </w:r>
            <w:r w:rsidR="00DE4FB4">
              <w:t xml:space="preserve">17A.51 </w:t>
            </w:r>
            <w:r w:rsidR="00AC0EFD">
              <w:t>for detailed definitions, footnotes and caveats.</w:t>
            </w:r>
            <w:r w:rsidR="00BE5555" w:rsidRPr="00BE5555">
              <w:t xml:space="preserve">. </w:t>
            </w:r>
            <w:r w:rsidR="00BE5555" w:rsidRPr="00BE5555">
              <w:rPr>
                <w:b/>
              </w:rPr>
              <w:t>na</w:t>
            </w:r>
            <w:r w:rsidR="00BE5555" w:rsidRPr="00BE5555">
              <w:t xml:space="preserve"> Not available. </w:t>
            </w:r>
            <w:r w:rsidR="00BE5555" w:rsidRPr="00BE5555">
              <w:rPr>
                <w:b/>
              </w:rPr>
              <w:t xml:space="preserve">.. </w:t>
            </w:r>
            <w:r w:rsidR="00BE5555" w:rsidRPr="00BE5555">
              <w:t>not applicable</w:t>
            </w:r>
            <w:r w:rsidR="00BE5555">
              <w:t>.</w:t>
            </w:r>
          </w:p>
        </w:tc>
      </w:tr>
      <w:tr w:rsidR="00CA70D4" w:rsidTr="00F44E27">
        <w:trPr>
          <w:cantSplit/>
        </w:trPr>
        <w:tc>
          <w:tcPr>
            <w:tcW w:w="5000" w:type="pct"/>
            <w:tcBorders>
              <w:top w:val="nil"/>
              <w:left w:val="nil"/>
              <w:bottom w:val="nil"/>
              <w:right w:val="nil"/>
            </w:tcBorders>
            <w:shd w:val="clear" w:color="auto" w:fill="auto"/>
          </w:tcPr>
          <w:p w:rsidR="00CA70D4" w:rsidRDefault="00CA70D4" w:rsidP="00A46B60">
            <w:pPr>
              <w:pStyle w:val="Source"/>
            </w:pPr>
            <w:r>
              <w:rPr>
                <w:i/>
              </w:rPr>
              <w:t>Source</w:t>
            </w:r>
            <w:r w:rsidRPr="00167F06">
              <w:t xml:space="preserve">: </w:t>
            </w:r>
            <w:r w:rsidR="00BD0A6A" w:rsidRPr="00BD0A6A">
              <w:t xml:space="preserve">AIHW (unpublished) </w:t>
            </w:r>
            <w:r w:rsidR="00334274" w:rsidRPr="00532280">
              <w:t>National Housing Assistance Data Repository</w:t>
            </w:r>
            <w:r w:rsidR="00AC459C">
              <w:t>; table 17A.51</w:t>
            </w:r>
            <w:r w:rsidR="00BE5555">
              <w:t>.</w:t>
            </w:r>
          </w:p>
        </w:tc>
      </w:tr>
      <w:tr w:rsidR="00CA70D4" w:rsidTr="00F44E27">
        <w:trPr>
          <w:cantSplit/>
        </w:trPr>
        <w:tc>
          <w:tcPr>
            <w:tcW w:w="5000" w:type="pct"/>
            <w:tcBorders>
              <w:top w:val="nil"/>
              <w:left w:val="nil"/>
              <w:bottom w:val="single" w:sz="6" w:space="0" w:color="78A22F" w:themeColor="accent1"/>
              <w:right w:val="nil"/>
            </w:tcBorders>
            <w:shd w:val="clear" w:color="auto" w:fill="auto"/>
          </w:tcPr>
          <w:p w:rsidR="00CA70D4" w:rsidRDefault="00CA70D4" w:rsidP="004237A3">
            <w:pPr>
              <w:pStyle w:val="Box"/>
              <w:spacing w:before="0" w:line="120" w:lineRule="exact"/>
            </w:pPr>
          </w:p>
        </w:tc>
      </w:tr>
      <w:tr w:rsidR="00CA70D4" w:rsidRPr="000863A5" w:rsidTr="00F44E27">
        <w:tc>
          <w:tcPr>
            <w:tcW w:w="5000" w:type="pct"/>
            <w:tcBorders>
              <w:top w:val="single" w:sz="6" w:space="0" w:color="78A22F" w:themeColor="accent1"/>
              <w:left w:val="nil"/>
              <w:bottom w:val="nil"/>
              <w:right w:val="nil"/>
            </w:tcBorders>
          </w:tcPr>
          <w:p w:rsidR="00CA70D4" w:rsidRPr="00626D32" w:rsidRDefault="00CA70D4" w:rsidP="004237A3">
            <w:pPr>
              <w:pStyle w:val="BoxSpaceBelow"/>
            </w:pPr>
          </w:p>
        </w:tc>
      </w:tr>
    </w:tbl>
    <w:p w:rsidR="006C2B94" w:rsidRPr="00DA73E5" w:rsidRDefault="00FD79CD" w:rsidP="00FD79CD">
      <w:pPr>
        <w:pStyle w:val="BodyText"/>
        <w:spacing w:after="240"/>
      </w:pPr>
      <w:r>
        <w:t xml:space="preserve">Overcrowding in public housing and SOMIH, disaggregated by remoteness are presented in </w:t>
      </w:r>
      <w:r w:rsidR="00466CEF" w:rsidRPr="00DA73E5">
        <w:t>table</w:t>
      </w:r>
      <w:r w:rsidR="00721581">
        <w:t>s</w:t>
      </w:r>
      <w:r w:rsidR="001D664B">
        <w:t> </w:t>
      </w:r>
      <w:proofErr w:type="spellStart"/>
      <w:r w:rsidR="00B80C21">
        <w:t>17A</w:t>
      </w:r>
      <w:r w:rsidR="00466CEF" w:rsidRPr="00DA73E5">
        <w:t>.</w:t>
      </w:r>
      <w:r w:rsidR="00A34198">
        <w:t>5</w:t>
      </w:r>
      <w:r w:rsidR="00A46B60">
        <w:t>0</w:t>
      </w:r>
      <w:proofErr w:type="spellEnd"/>
      <w:r w:rsidR="007D1214">
        <w:noBreakHyphen/>
      </w:r>
      <w:r w:rsidR="00A34198">
        <w:t>5</w:t>
      </w:r>
      <w:r w:rsidR="00A46B60">
        <w:t>1</w:t>
      </w:r>
      <w:r w:rsidR="00AF5F1A">
        <w:t>, with data for Aboriginal and Torres Strait Islander households in tables</w:t>
      </w:r>
      <w:r w:rsidR="007D1214">
        <w:t> </w:t>
      </w:r>
      <w:proofErr w:type="spellStart"/>
      <w:r w:rsidR="00AF5F1A">
        <w:t>17A.52</w:t>
      </w:r>
      <w:proofErr w:type="spellEnd"/>
      <w:r w:rsidR="007D1214">
        <w:noBreakHyphen/>
      </w:r>
      <w:r w:rsidR="00AF5F1A">
        <w:t>53</w:t>
      </w:r>
      <w:r>
        <w:t>.</w:t>
      </w:r>
      <w:r w:rsidR="00DE220D">
        <w:t xml:space="preserve"> </w:t>
      </w:r>
      <w:r w:rsidR="006C2B94">
        <w:t xml:space="preserve">Information on underutilisation in public housing, SOMIH and community </w:t>
      </w:r>
      <w:r w:rsidR="00171D01">
        <w:t>housing dwellings is reported in</w:t>
      </w:r>
      <w:r w:rsidR="00A94C2B">
        <w:t xml:space="preserve"> table </w:t>
      </w:r>
      <w:proofErr w:type="spellStart"/>
      <w:r w:rsidR="00A94C2B" w:rsidRPr="007323F3">
        <w:t>17A.54</w:t>
      </w:r>
      <w:proofErr w:type="spellEnd"/>
      <w:r w:rsidR="006C2B94" w:rsidRPr="007323F3">
        <w:t>.</w:t>
      </w:r>
    </w:p>
    <w:p w:rsidR="00FC0CC5" w:rsidRPr="00BE5555" w:rsidRDefault="00FC0CC5" w:rsidP="006B692D">
      <w:pPr>
        <w:pStyle w:val="Heading4"/>
      </w:pPr>
      <w:r w:rsidRPr="00BE5555">
        <w:t>Customer satisfaction</w:t>
      </w:r>
    </w:p>
    <w:p w:rsidR="00236DE7" w:rsidRDefault="00FC0CC5" w:rsidP="003F7A73">
      <w:pPr>
        <w:pStyle w:val="BodyText"/>
        <w:spacing w:after="240"/>
        <w:rPr>
          <w:szCs w:val="24"/>
        </w:rPr>
      </w:pPr>
      <w:r w:rsidRPr="00462933">
        <w:t xml:space="preserve">‘Customer satisfaction’ is an indicator of governments’ objective to provide housing </w:t>
      </w:r>
      <w:r w:rsidRPr="00462933">
        <w:rPr>
          <w:szCs w:val="24"/>
        </w:rPr>
        <w:t>assistance that is appropriate for different households (box</w:t>
      </w:r>
      <w:r w:rsidR="007D1214">
        <w:rPr>
          <w:szCs w:val="24"/>
        </w:rPr>
        <w:t> </w:t>
      </w:r>
      <w:r w:rsidR="00463387" w:rsidRPr="00462933">
        <w:rPr>
          <w:szCs w:val="24"/>
        </w:rPr>
        <w:t>17.</w:t>
      </w:r>
      <w:r w:rsidR="001946E2">
        <w:rPr>
          <w:szCs w:val="24"/>
        </w:rPr>
        <w:t>16</w:t>
      </w:r>
      <w:r w:rsidRPr="00462933">
        <w:rPr>
          <w:szCs w:val="24"/>
        </w:rPr>
        <w:t>).</w:t>
      </w:r>
    </w:p>
    <w:p w:rsidR="00153CFD" w:rsidRDefault="00153CFD">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153CFD" w:rsidTr="00F44E27">
        <w:tc>
          <w:tcPr>
            <w:tcW w:w="5000" w:type="pct"/>
            <w:tcBorders>
              <w:top w:val="single" w:sz="6" w:space="0" w:color="78A22F"/>
              <w:left w:val="nil"/>
              <w:bottom w:val="nil"/>
              <w:right w:val="nil"/>
            </w:tcBorders>
            <w:shd w:val="clear" w:color="auto" w:fill="F2F2F2" w:themeFill="background1" w:themeFillShade="F2"/>
          </w:tcPr>
          <w:p w:rsidR="00153CFD" w:rsidRDefault="004679A4" w:rsidP="00153CFD">
            <w:pPr>
              <w:pStyle w:val="BoxTitle"/>
            </w:pPr>
            <w:r>
              <w:rPr>
                <w:b w:val="0"/>
              </w:rPr>
              <w:t>Box 17.16</w:t>
            </w:r>
            <w:r w:rsidR="00153CFD">
              <w:tab/>
            </w:r>
            <w:r w:rsidR="00153CFD" w:rsidRPr="00153CFD">
              <w:t>Customer satisfaction</w:t>
            </w:r>
          </w:p>
        </w:tc>
      </w:tr>
      <w:tr w:rsidR="00153CFD" w:rsidTr="00F44E27">
        <w:trPr>
          <w:cantSplit/>
        </w:trPr>
        <w:tc>
          <w:tcPr>
            <w:tcW w:w="5000" w:type="pct"/>
            <w:tcBorders>
              <w:top w:val="nil"/>
              <w:left w:val="nil"/>
              <w:bottom w:val="nil"/>
              <w:right w:val="nil"/>
            </w:tcBorders>
            <w:shd w:val="clear" w:color="auto" w:fill="F2F2F2" w:themeFill="background1" w:themeFillShade="F2"/>
          </w:tcPr>
          <w:p w:rsidR="004F0EC5" w:rsidRPr="004F0EC5" w:rsidRDefault="004F0EC5" w:rsidP="004F0EC5">
            <w:pPr>
              <w:pStyle w:val="Box"/>
            </w:pPr>
            <w:r w:rsidRPr="004F0EC5">
              <w:t>‘Customer satisfaction’ is defined as the proportion of tenants in social housing who said they were satisfied or very satisfied with the overall service provided by their housing service provider.</w:t>
            </w:r>
          </w:p>
          <w:p w:rsidR="004F0EC5" w:rsidRPr="004F0EC5" w:rsidRDefault="004F0EC5" w:rsidP="004F0EC5">
            <w:pPr>
              <w:pStyle w:val="Box"/>
            </w:pPr>
            <w:r w:rsidRPr="004F0EC5">
              <w:t>A high or increasing percentage for customer satisfaction can imply better housing assistance provision.</w:t>
            </w:r>
          </w:p>
          <w:p w:rsidR="004F0EC5" w:rsidRPr="004F0EC5" w:rsidRDefault="004F0EC5" w:rsidP="004F0EC5">
            <w:pPr>
              <w:pStyle w:val="Box"/>
            </w:pPr>
            <w:r w:rsidRPr="004F0EC5">
              <w:t xml:space="preserve">Data are reported for public housing, SOMIH and community housing. There were no data available for </w:t>
            </w:r>
            <w:proofErr w:type="spellStart"/>
            <w:r w:rsidR="00AF5F1A">
              <w:t>ICH</w:t>
            </w:r>
            <w:proofErr w:type="spellEnd"/>
            <w:r w:rsidRPr="004F0EC5">
              <w:t>.</w:t>
            </w:r>
            <w:r w:rsidR="007257A1">
              <w:t xml:space="preserve"> </w:t>
            </w:r>
            <w:r w:rsidR="007257A1" w:rsidRPr="007257A1">
              <w:t>Data for this measure include 95 per cent confidence intervals (in the form of error bars in figures).</w:t>
            </w:r>
          </w:p>
          <w:p w:rsidR="004F0EC5" w:rsidRPr="004F0EC5" w:rsidRDefault="004F0EC5" w:rsidP="004F0EC5">
            <w:pPr>
              <w:pStyle w:val="Box"/>
            </w:pPr>
            <w:r w:rsidRPr="004F0EC5">
              <w:t>Data reported</w:t>
            </w:r>
            <w:r w:rsidR="00AF5F1A">
              <w:t xml:space="preserve"> for this indicator</w:t>
            </w:r>
            <w:r w:rsidRPr="004F0EC5">
              <w:t xml:space="preserve"> are: </w:t>
            </w:r>
          </w:p>
          <w:p w:rsidR="004F0EC5" w:rsidRPr="004F0EC5" w:rsidRDefault="004F0EC5" w:rsidP="004F0EC5">
            <w:pPr>
              <w:pStyle w:val="Box"/>
              <w:numPr>
                <w:ilvl w:val="0"/>
                <w:numId w:val="1"/>
              </w:numPr>
            </w:pPr>
            <w:r w:rsidRPr="004F0EC5">
              <w:t xml:space="preserve">comparable (subject to caveats) across jurisdictions for the current reporting period but are not comparable </w:t>
            </w:r>
            <w:r w:rsidR="00B66924">
              <w:t xml:space="preserve">with </w:t>
            </w:r>
            <w:r w:rsidRPr="004F0EC5">
              <w:t>data for 201</w:t>
            </w:r>
            <w:r w:rsidR="000779DA">
              <w:t>2</w:t>
            </w:r>
            <w:r w:rsidRPr="004F0EC5">
              <w:t xml:space="preserve"> and earlier</w:t>
            </w:r>
            <w:r w:rsidR="000779DA">
              <w:t xml:space="preserve"> surveys</w:t>
            </w:r>
          </w:p>
          <w:p w:rsidR="004F0EC5" w:rsidRPr="004F0EC5" w:rsidRDefault="004F0EC5" w:rsidP="004F0EC5">
            <w:pPr>
              <w:pStyle w:val="Box"/>
              <w:numPr>
                <w:ilvl w:val="0"/>
                <w:numId w:val="1"/>
              </w:numPr>
            </w:pPr>
            <w:r w:rsidRPr="004F0EC5">
              <w:t xml:space="preserve">not comparable across public housing, SOMIH and community housing </w:t>
            </w:r>
          </w:p>
          <w:p w:rsidR="004F0EC5" w:rsidRPr="004F0EC5" w:rsidRDefault="004F0EC5" w:rsidP="004F0EC5">
            <w:pPr>
              <w:pStyle w:val="Box"/>
              <w:numPr>
                <w:ilvl w:val="0"/>
                <w:numId w:val="1"/>
              </w:numPr>
            </w:pPr>
            <w:r w:rsidRPr="004F0EC5">
              <w:t>complete for public housing and SOMIH for the current reporting period (subject to caveats). All required 201</w:t>
            </w:r>
            <w:r w:rsidR="00C01F80">
              <w:t>4</w:t>
            </w:r>
            <w:r w:rsidRPr="004F0EC5">
              <w:t xml:space="preserve"> data are available for all jurisdictions providing the service</w:t>
            </w:r>
          </w:p>
          <w:p w:rsidR="004F0EC5" w:rsidRPr="004F0EC5" w:rsidRDefault="004F0EC5" w:rsidP="00532280">
            <w:pPr>
              <w:pStyle w:val="BoxListBullet"/>
            </w:pPr>
            <w:r w:rsidRPr="004F0EC5">
              <w:t xml:space="preserve">incomplete for community housing. All required </w:t>
            </w:r>
            <w:r w:rsidR="00B66924">
              <w:t xml:space="preserve">2014 </w:t>
            </w:r>
            <w:r w:rsidRPr="004F0EC5">
              <w:t xml:space="preserve">data were not available for the </w:t>
            </w:r>
            <w:r w:rsidR="00AF5F1A">
              <w:t>NT</w:t>
            </w:r>
            <w:r w:rsidRPr="004F0EC5">
              <w:t>.</w:t>
            </w:r>
          </w:p>
          <w:p w:rsidR="00153CFD" w:rsidRDefault="00B00A3A" w:rsidP="004F0EC5">
            <w:pPr>
              <w:pStyle w:val="Box"/>
            </w:pPr>
            <w:r>
              <w:rPr>
                <w:color w:val="000000"/>
              </w:rPr>
              <w:t xml:space="preserve">Data from earlier surveys (2012, 2010 and 2007) were included in earlier reports. </w:t>
            </w:r>
            <w:r w:rsidR="004F0EC5" w:rsidRPr="004F0EC5">
              <w:t>Data quality information for this indicator</w:t>
            </w:r>
            <w:r w:rsidR="00884651">
              <w:t xml:space="preserve"> is at </w:t>
            </w:r>
            <w:proofErr w:type="spellStart"/>
            <w:r w:rsidR="00884651">
              <w:t>www.pc.gov.au</w:t>
            </w:r>
            <w:proofErr w:type="spellEnd"/>
            <w:r w:rsidR="006039ED">
              <w:t>/</w:t>
            </w:r>
            <w:proofErr w:type="spellStart"/>
            <w:r w:rsidR="006039ED">
              <w:t>rogs</w:t>
            </w:r>
            <w:proofErr w:type="spellEnd"/>
            <w:r w:rsidR="006039ED">
              <w:t>/2016</w:t>
            </w:r>
            <w:r w:rsidR="004F0EC5" w:rsidRPr="004F0EC5">
              <w:t>.</w:t>
            </w:r>
          </w:p>
        </w:tc>
      </w:tr>
      <w:tr w:rsidR="00153CFD" w:rsidTr="00F44E27">
        <w:trPr>
          <w:cantSplit/>
        </w:trPr>
        <w:tc>
          <w:tcPr>
            <w:tcW w:w="5000" w:type="pct"/>
            <w:tcBorders>
              <w:top w:val="nil"/>
              <w:left w:val="nil"/>
              <w:bottom w:val="single" w:sz="6" w:space="0" w:color="78A22F"/>
              <w:right w:val="nil"/>
            </w:tcBorders>
            <w:shd w:val="clear" w:color="auto" w:fill="F2F2F2" w:themeFill="background1" w:themeFillShade="F2"/>
          </w:tcPr>
          <w:p w:rsidR="00153CFD" w:rsidRDefault="00153CFD">
            <w:pPr>
              <w:pStyle w:val="Box"/>
              <w:spacing w:before="0" w:line="120" w:lineRule="exact"/>
            </w:pPr>
          </w:p>
        </w:tc>
      </w:tr>
      <w:tr w:rsidR="00153CFD" w:rsidRPr="000863A5" w:rsidTr="00F44E27">
        <w:tc>
          <w:tcPr>
            <w:tcW w:w="5000" w:type="pct"/>
            <w:tcBorders>
              <w:top w:val="single" w:sz="6" w:space="0" w:color="78A22F"/>
              <w:left w:val="nil"/>
              <w:bottom w:val="nil"/>
              <w:right w:val="nil"/>
            </w:tcBorders>
          </w:tcPr>
          <w:p w:rsidR="00153CFD" w:rsidRPr="00626D32" w:rsidRDefault="00153CFD" w:rsidP="004237A3">
            <w:pPr>
              <w:pStyle w:val="BoxSpaceBelow"/>
            </w:pPr>
          </w:p>
        </w:tc>
      </w:tr>
    </w:tbl>
    <w:p w:rsidR="00AF5F1A" w:rsidRDefault="00F33DD0" w:rsidP="00AF5F1A">
      <w:pPr>
        <w:pStyle w:val="BodyText"/>
        <w:spacing w:after="240"/>
      </w:pPr>
      <w:r w:rsidRPr="008B1C4C">
        <w:lastRenderedPageBreak/>
        <w:t xml:space="preserve">Data </w:t>
      </w:r>
      <w:r w:rsidR="00502752" w:rsidRPr="008B1C4C">
        <w:t xml:space="preserve">for this indicator are </w:t>
      </w:r>
      <w:r w:rsidRPr="008B1C4C">
        <w:t xml:space="preserve">sourced from the </w:t>
      </w:r>
      <w:proofErr w:type="spellStart"/>
      <w:r w:rsidR="002C7CFA" w:rsidRPr="00A65CF7">
        <w:t>NSHS</w:t>
      </w:r>
      <w:proofErr w:type="spellEnd"/>
      <w:r w:rsidR="00AF5F1A" w:rsidRPr="00A65CF7">
        <w:t xml:space="preserve">, with </w:t>
      </w:r>
      <w:r w:rsidR="00AF5F1A" w:rsidRPr="005E340A">
        <w:t>2014</w:t>
      </w:r>
      <w:r w:rsidR="00A94C2B" w:rsidRPr="005E340A">
        <w:t xml:space="preserve"> data</w:t>
      </w:r>
      <w:r w:rsidR="003876E0" w:rsidRPr="005E340A">
        <w:t xml:space="preserve"> </w:t>
      </w:r>
      <w:r w:rsidR="00AF5F1A" w:rsidRPr="005E340A">
        <w:t>r</w:t>
      </w:r>
      <w:r w:rsidR="003876E0" w:rsidRPr="005E340A">
        <w:t>eported</w:t>
      </w:r>
      <w:r w:rsidR="003876E0" w:rsidRPr="00DB6206">
        <w:rPr>
          <w:color w:val="000000"/>
        </w:rPr>
        <w:t xml:space="preserve"> for public</w:t>
      </w:r>
      <w:r w:rsidR="00171D01">
        <w:rPr>
          <w:color w:val="000000"/>
        </w:rPr>
        <w:t>, SOMIH</w:t>
      </w:r>
      <w:r w:rsidR="003876E0" w:rsidRPr="00DB6206">
        <w:rPr>
          <w:color w:val="000000"/>
        </w:rPr>
        <w:t xml:space="preserve"> and community housing.</w:t>
      </w:r>
      <w:r w:rsidR="00991609">
        <w:rPr>
          <w:color w:val="000000"/>
        </w:rPr>
        <w:t xml:space="preserve"> </w:t>
      </w:r>
      <w:r w:rsidR="00AF5F1A">
        <w:t>Confidence interval</w:t>
      </w:r>
      <w:r w:rsidR="0090458C">
        <w:t>s</w:t>
      </w:r>
      <w:r w:rsidR="00AF5F1A">
        <w:t xml:space="preserve"> and relative standard errors should be considered when interpreting </w:t>
      </w:r>
      <w:proofErr w:type="spellStart"/>
      <w:r w:rsidR="00AF5F1A">
        <w:t>NSHS</w:t>
      </w:r>
      <w:proofErr w:type="spellEnd"/>
      <w:r w:rsidR="00AF5F1A">
        <w:t xml:space="preserve"> results (tables</w:t>
      </w:r>
      <w:r w:rsidR="007D1214">
        <w:t> </w:t>
      </w:r>
      <w:proofErr w:type="spellStart"/>
      <w:r w:rsidR="00AF5F1A">
        <w:t>17A.55</w:t>
      </w:r>
      <w:proofErr w:type="spellEnd"/>
      <w:r w:rsidR="00AF5F1A">
        <w:t>–57).</w:t>
      </w:r>
    </w:p>
    <w:p w:rsidR="00AF5F1A" w:rsidRDefault="00141C95" w:rsidP="00B00A3A">
      <w:pPr>
        <w:pStyle w:val="BodyText"/>
      </w:pPr>
      <w:r>
        <w:t>Nationally in 201</w:t>
      </w:r>
      <w:r w:rsidR="00466AAF">
        <w:t>4</w:t>
      </w:r>
      <w:r>
        <w:t xml:space="preserve">, the </w:t>
      </w:r>
      <w:r w:rsidR="00F731A0">
        <w:t xml:space="preserve">majority of </w:t>
      </w:r>
      <w:r w:rsidR="00AF5F1A">
        <w:t xml:space="preserve">social housing </w:t>
      </w:r>
      <w:r w:rsidR="00F731A0">
        <w:t xml:space="preserve">tenants were satisfied </w:t>
      </w:r>
      <w:r w:rsidR="008049BB">
        <w:t xml:space="preserve">or very satisfied </w:t>
      </w:r>
      <w:r w:rsidR="00F731A0">
        <w:t>with</w:t>
      </w:r>
      <w:r w:rsidR="00985396">
        <w:t xml:space="preserve"> the overall service provided by</w:t>
      </w:r>
      <w:r w:rsidR="00F731A0">
        <w:t xml:space="preserve"> their housing provider</w:t>
      </w:r>
      <w:r w:rsidR="008049BB">
        <w:t xml:space="preserve"> (</w:t>
      </w:r>
      <w:r w:rsidR="008049BB" w:rsidRPr="00F731A0">
        <w:t xml:space="preserve">72.7 </w:t>
      </w:r>
      <w:r w:rsidR="008049BB">
        <w:t xml:space="preserve">per cent for public housing, 58.3 per cent for </w:t>
      </w:r>
      <w:r w:rsidR="008049BB" w:rsidRPr="008F2728">
        <w:t>SOMIH, and 79.7 per cent for community housing)</w:t>
      </w:r>
      <w:r w:rsidR="00AF5F1A">
        <w:t>.</w:t>
      </w:r>
      <w:r w:rsidR="00304DE7">
        <w:t xml:space="preserve"> </w:t>
      </w:r>
      <w:r w:rsidR="0090458C">
        <w:t>The proportion of social housing tenants who were satisfied or very satisfied</w:t>
      </w:r>
      <w:r w:rsidR="009C7370">
        <w:t xml:space="preserve"> varied across jurisdictions</w:t>
      </w:r>
      <w:r w:rsidR="00AF5F1A">
        <w:t xml:space="preserve"> (figure 17.12</w:t>
      </w:r>
      <w:r w:rsidR="00AF5F1A" w:rsidRPr="008F2728">
        <w:t>).</w:t>
      </w:r>
    </w:p>
    <w:p w:rsidR="00171D01" w:rsidRDefault="00AF5F1A" w:rsidP="00B00A3A">
      <w:pPr>
        <w:pStyle w:val="BodyText"/>
      </w:pPr>
      <w:r w:rsidRPr="00C93CD9">
        <w:rPr>
          <w:color w:val="000000" w:themeColor="text1"/>
        </w:rPr>
        <w:t>Data for households with a member w</w:t>
      </w:r>
      <w:r>
        <w:rPr>
          <w:color w:val="000000" w:themeColor="text1"/>
        </w:rPr>
        <w:t xml:space="preserve">ith disability </w:t>
      </w:r>
      <w:r w:rsidRPr="00C93CD9">
        <w:rPr>
          <w:color w:val="000000" w:themeColor="text1"/>
        </w:rPr>
        <w:t>are available in tables</w:t>
      </w:r>
      <w:r w:rsidR="007D1214">
        <w:rPr>
          <w:color w:val="000000" w:themeColor="text1"/>
        </w:rPr>
        <w:t> </w:t>
      </w:r>
      <w:proofErr w:type="spellStart"/>
      <w:r w:rsidRPr="00C93CD9">
        <w:rPr>
          <w:color w:val="000000" w:themeColor="text1"/>
        </w:rPr>
        <w:t>17A.5</w:t>
      </w:r>
      <w:r>
        <w:rPr>
          <w:color w:val="000000" w:themeColor="text1"/>
        </w:rPr>
        <w:t>5</w:t>
      </w:r>
      <w:proofErr w:type="spellEnd"/>
      <w:r w:rsidR="007D1214">
        <w:rPr>
          <w:color w:val="000000" w:themeColor="text1"/>
        </w:rPr>
        <w:noBreakHyphen/>
      </w:r>
      <w:r w:rsidRPr="00C93CD9">
        <w:rPr>
          <w:color w:val="000000" w:themeColor="text1"/>
        </w:rPr>
        <w:t>5</w:t>
      </w:r>
      <w:r>
        <w:rPr>
          <w:color w:val="000000" w:themeColor="text1"/>
        </w:rPr>
        <w:t>6</w:t>
      </w:r>
      <w:r w:rsidRPr="00C93CD9">
        <w:rPr>
          <w:color w:val="000000" w:themeColor="text1"/>
        </w:rPr>
        <w:t>.</w:t>
      </w:r>
      <w:r>
        <w:rPr>
          <w:color w:val="000000" w:themeColor="text1"/>
        </w:rPr>
        <w:t xml:space="preserve"> </w:t>
      </w:r>
    </w:p>
    <w:p w:rsidR="004C46FA" w:rsidRDefault="004C46FA" w:rsidP="005F73B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C46FA" w:rsidTr="005F73B1">
        <w:tc>
          <w:tcPr>
            <w:tcW w:w="8771" w:type="dxa"/>
            <w:tcBorders>
              <w:top w:val="single" w:sz="6" w:space="0" w:color="78A22F"/>
              <w:left w:val="nil"/>
              <w:bottom w:val="nil"/>
              <w:right w:val="nil"/>
            </w:tcBorders>
            <w:shd w:val="clear" w:color="auto" w:fill="auto"/>
          </w:tcPr>
          <w:p w:rsidR="004C46FA" w:rsidRPr="00805950" w:rsidRDefault="004C46FA" w:rsidP="00FE1DE7">
            <w:pPr>
              <w:pStyle w:val="FigureTitle"/>
              <w:rPr>
                <w:rStyle w:val="NoteLabel"/>
              </w:rPr>
            </w:pPr>
            <w:r w:rsidRPr="00784A05">
              <w:rPr>
                <w:b w:val="0"/>
              </w:rPr>
              <w:t xml:space="preserve">Figure </w:t>
            </w:r>
            <w:r>
              <w:rPr>
                <w:b w:val="0"/>
              </w:rPr>
              <w:t>17.1</w:t>
            </w:r>
            <w:r w:rsidR="00304DE7">
              <w:rPr>
                <w:b w:val="0"/>
              </w:rPr>
              <w:t>2</w:t>
            </w:r>
            <w:r w:rsidR="00801A2E">
              <w:tab/>
              <w:t>Proportion of tenants either satisfied or very satisfied with the service provided by the State or Territory housing authority, 2014</w:t>
            </w:r>
            <w:r w:rsidR="00244CF6">
              <w:rPr>
                <w:rStyle w:val="NoteLabel"/>
                <w:b/>
              </w:rPr>
              <w:t>a</w:t>
            </w:r>
            <w:r w:rsidR="00697901">
              <w:rPr>
                <w:rStyle w:val="NoteLabel"/>
                <w:b/>
              </w:rPr>
              <w:t>,</w:t>
            </w:r>
            <w:r w:rsidR="006861A0">
              <w:rPr>
                <w:rStyle w:val="NoteLabel"/>
                <w:b/>
              </w:rPr>
              <w:t xml:space="preserve"> </w:t>
            </w:r>
            <w:r w:rsidR="00697901">
              <w:rPr>
                <w:rStyle w:val="NoteLabel"/>
                <w:b/>
              </w:rPr>
              <w:t>b</w:t>
            </w:r>
          </w:p>
        </w:tc>
      </w:tr>
      <w:tr w:rsidR="004C46FA" w:rsidTr="005F73B1">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shd w:val="clear" w:color="auto" w:fill="92D050"/>
              <w:tblLayout w:type="fixed"/>
              <w:tblCellMar>
                <w:top w:w="28" w:type="dxa"/>
                <w:left w:w="0" w:type="dxa"/>
                <w:right w:w="0" w:type="dxa"/>
              </w:tblCellMar>
              <w:tblLook w:val="0000" w:firstRow="0" w:lastRow="0" w:firstColumn="0" w:lastColumn="0" w:noHBand="0" w:noVBand="0"/>
            </w:tblPr>
            <w:tblGrid>
              <w:gridCol w:w="8504"/>
            </w:tblGrid>
            <w:tr w:rsidR="004C46FA" w:rsidTr="00117DFD">
              <w:trPr>
                <w:jc w:val="center"/>
              </w:trPr>
              <w:tc>
                <w:tcPr>
                  <w:tcW w:w="5000" w:type="pct"/>
                  <w:tcBorders>
                    <w:top w:val="nil"/>
                    <w:bottom w:val="nil"/>
                  </w:tcBorders>
                  <w:shd w:val="clear" w:color="auto" w:fill="auto"/>
                </w:tcPr>
                <w:p w:rsidR="004C46FA" w:rsidRDefault="00333E05" w:rsidP="005F73B1">
                  <w:pPr>
                    <w:pStyle w:val="Figure"/>
                    <w:spacing w:before="60" w:after="60"/>
                  </w:pPr>
                  <w:r>
                    <w:rPr>
                      <w:noProof/>
                    </w:rPr>
                    <w:drawing>
                      <wp:inline distT="0" distB="0" distL="0" distR="0">
                        <wp:extent cx="5391150" cy="2676525"/>
                        <wp:effectExtent l="0" t="0" r="0" b="9525"/>
                        <wp:docPr id="32" name="Picture 32" descr="Figure 17.12 Proportion of tenants either satisfied or very satisfied with the service provided by the State or Territory housing authority,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391150" cy="2676525"/>
                                </a:xfrm>
                                <a:prstGeom prst="rect">
                                  <a:avLst/>
                                </a:prstGeom>
                                <a:noFill/>
                                <a:ln>
                                  <a:noFill/>
                                </a:ln>
                              </pic:spPr>
                            </pic:pic>
                          </a:graphicData>
                        </a:graphic>
                      </wp:inline>
                    </w:drawing>
                  </w:r>
                </w:p>
              </w:tc>
            </w:tr>
          </w:tbl>
          <w:p w:rsidR="004C46FA" w:rsidRDefault="004C46FA" w:rsidP="005F73B1">
            <w:pPr>
              <w:pStyle w:val="Figure"/>
            </w:pPr>
          </w:p>
        </w:tc>
      </w:tr>
      <w:tr w:rsidR="004C46FA" w:rsidRPr="00176D3F" w:rsidTr="005F73B1">
        <w:tc>
          <w:tcPr>
            <w:tcW w:w="8771" w:type="dxa"/>
            <w:tcBorders>
              <w:top w:val="nil"/>
              <w:left w:val="nil"/>
              <w:bottom w:val="nil"/>
              <w:right w:val="nil"/>
            </w:tcBorders>
            <w:shd w:val="clear" w:color="auto" w:fill="auto"/>
          </w:tcPr>
          <w:p w:rsidR="004C46FA" w:rsidRPr="00176D3F" w:rsidRDefault="00801A2E" w:rsidP="00AF5F1A">
            <w:pPr>
              <w:pStyle w:val="Note"/>
            </w:pPr>
            <w:r>
              <w:rPr>
                <w:rStyle w:val="NoteLabel"/>
              </w:rPr>
              <w:t>a</w:t>
            </w:r>
            <w:r>
              <w:t xml:space="preserve"> </w:t>
            </w:r>
            <w:r w:rsidR="001946E2">
              <w:t>See box</w:t>
            </w:r>
            <w:r w:rsidR="007D1214">
              <w:t> </w:t>
            </w:r>
            <w:r w:rsidR="001946E2">
              <w:t>17.16</w:t>
            </w:r>
            <w:r w:rsidR="00A2445B">
              <w:t xml:space="preserve"> and tables</w:t>
            </w:r>
            <w:r w:rsidR="007D1214">
              <w:t> </w:t>
            </w:r>
            <w:proofErr w:type="spellStart"/>
            <w:r w:rsidR="00A2445B">
              <w:t>17A.55</w:t>
            </w:r>
            <w:proofErr w:type="spellEnd"/>
            <w:r w:rsidR="00AF5F1A">
              <w:t>–</w:t>
            </w:r>
            <w:r w:rsidR="00A2445B">
              <w:t>57</w:t>
            </w:r>
            <w:r w:rsidR="005B365D">
              <w:t xml:space="preserve"> </w:t>
            </w:r>
            <w:r w:rsidR="00AC0EFD">
              <w:t>for detailed definitions, footnotes and caveats.</w:t>
            </w:r>
            <w:r w:rsidR="00E5761F">
              <w:rPr>
                <w:rStyle w:val="NoteLabel"/>
              </w:rPr>
              <w:t xml:space="preserve"> b </w:t>
            </w:r>
            <w:r w:rsidR="00E5761F" w:rsidRPr="00E178F8">
              <w:t xml:space="preserve">There are no SOMIH data </w:t>
            </w:r>
            <w:r w:rsidR="00AF5F1A">
              <w:t>in</w:t>
            </w:r>
            <w:r w:rsidR="00E5761F" w:rsidRPr="00E178F8">
              <w:t xml:space="preserve"> Victoria</w:t>
            </w:r>
            <w:r w:rsidR="00E5761F">
              <w:t xml:space="preserve">, WA, ACT and the NT, and community housing </w:t>
            </w:r>
            <w:r w:rsidR="00AF5F1A">
              <w:t>data are not available</w:t>
            </w:r>
            <w:r w:rsidR="00E5761F">
              <w:t xml:space="preserve"> for the NT.</w:t>
            </w:r>
          </w:p>
        </w:tc>
      </w:tr>
      <w:tr w:rsidR="004C46FA" w:rsidRPr="00176D3F" w:rsidTr="005F73B1">
        <w:tc>
          <w:tcPr>
            <w:tcW w:w="8771" w:type="dxa"/>
            <w:tcBorders>
              <w:top w:val="nil"/>
              <w:left w:val="nil"/>
              <w:bottom w:val="nil"/>
              <w:right w:val="nil"/>
            </w:tcBorders>
            <w:shd w:val="clear" w:color="auto" w:fill="auto"/>
          </w:tcPr>
          <w:p w:rsidR="004C46FA" w:rsidRPr="00176D3F" w:rsidRDefault="00FC277B" w:rsidP="005B365D">
            <w:pPr>
              <w:pStyle w:val="Source"/>
            </w:pPr>
            <w:r>
              <w:rPr>
                <w:i/>
              </w:rPr>
              <w:t xml:space="preserve">Source: </w:t>
            </w:r>
            <w:r w:rsidR="00AE0C3F" w:rsidRPr="004F3198">
              <w:t>AIHW (unpublished)</w:t>
            </w:r>
            <w:r w:rsidR="00AE0C3F" w:rsidRPr="00AE0C3F">
              <w:rPr>
                <w:i/>
              </w:rPr>
              <w:t xml:space="preserve"> </w:t>
            </w:r>
            <w:r w:rsidR="00AE0C3F" w:rsidRPr="00532280">
              <w:t>National Social Housing Survey</w:t>
            </w:r>
            <w:r w:rsidR="004F3198">
              <w:rPr>
                <w:i/>
              </w:rPr>
              <w:t xml:space="preserve"> </w:t>
            </w:r>
            <w:r w:rsidR="00AE0C3F" w:rsidRPr="004F3198">
              <w:t>2014</w:t>
            </w:r>
            <w:r w:rsidR="00E4640D">
              <w:t>; tables</w:t>
            </w:r>
            <w:r w:rsidR="007D1214">
              <w:t> </w:t>
            </w:r>
            <w:proofErr w:type="spellStart"/>
            <w:r w:rsidR="00E4640D">
              <w:t>17A.55</w:t>
            </w:r>
            <w:proofErr w:type="spellEnd"/>
            <w:r w:rsidR="00AF5F1A">
              <w:t>–</w:t>
            </w:r>
            <w:r w:rsidR="00E4640D">
              <w:t>57</w:t>
            </w:r>
            <w:r w:rsidR="005B365D">
              <w:t>.</w:t>
            </w:r>
          </w:p>
        </w:tc>
      </w:tr>
      <w:tr w:rsidR="004C46FA" w:rsidTr="005F73B1">
        <w:tc>
          <w:tcPr>
            <w:tcW w:w="8771" w:type="dxa"/>
            <w:tcBorders>
              <w:top w:val="nil"/>
              <w:left w:val="nil"/>
              <w:bottom w:val="single" w:sz="6" w:space="0" w:color="78A22F"/>
              <w:right w:val="nil"/>
            </w:tcBorders>
            <w:shd w:val="clear" w:color="auto" w:fill="auto"/>
          </w:tcPr>
          <w:p w:rsidR="004C46FA" w:rsidRDefault="004C46FA" w:rsidP="005F73B1">
            <w:pPr>
              <w:pStyle w:val="Figurespace"/>
            </w:pPr>
          </w:p>
        </w:tc>
      </w:tr>
      <w:tr w:rsidR="004C46FA" w:rsidRPr="000863A5" w:rsidTr="005F73B1">
        <w:tc>
          <w:tcPr>
            <w:tcW w:w="8771" w:type="dxa"/>
            <w:tcBorders>
              <w:top w:val="single" w:sz="6" w:space="0" w:color="78A22F"/>
              <w:left w:val="nil"/>
              <w:bottom w:val="nil"/>
              <w:right w:val="nil"/>
            </w:tcBorders>
          </w:tcPr>
          <w:p w:rsidR="004C46FA" w:rsidRPr="00626D32" w:rsidRDefault="004C46FA" w:rsidP="005F73B1">
            <w:pPr>
              <w:pStyle w:val="BoxSpaceBelow"/>
            </w:pPr>
          </w:p>
        </w:tc>
      </w:tr>
    </w:tbl>
    <w:p w:rsidR="00D4038B" w:rsidRDefault="00463387" w:rsidP="00D4038B">
      <w:pPr>
        <w:pStyle w:val="Heading2"/>
      </w:pPr>
      <w:bookmarkStart w:id="21" w:name="_Toc314211350"/>
      <w:bookmarkStart w:id="22" w:name="_Toc396143033"/>
      <w:bookmarkStart w:id="23" w:name="_Toc435724833"/>
      <w:r>
        <w:t>17.</w:t>
      </w:r>
      <w:r w:rsidR="00D4038B" w:rsidRPr="00494CB0">
        <w:rPr>
          <w:noProof/>
        </w:rPr>
        <w:t>4</w:t>
      </w:r>
      <w:r w:rsidR="00D4038B" w:rsidRPr="00494CB0">
        <w:tab/>
        <w:t>Future directions in performance reporting</w:t>
      </w:r>
      <w:bookmarkEnd w:id="18"/>
      <w:bookmarkEnd w:id="21"/>
      <w:bookmarkEnd w:id="22"/>
      <w:bookmarkEnd w:id="23"/>
    </w:p>
    <w:p w:rsidR="00B43E8F" w:rsidRPr="007D1214" w:rsidRDefault="00AF5F1A" w:rsidP="00904B58">
      <w:pPr>
        <w:pStyle w:val="BodyText"/>
      </w:pPr>
      <w:r>
        <w:t>Key d</w:t>
      </w:r>
      <w:r w:rsidR="00CF7950" w:rsidRPr="007A000D">
        <w:t xml:space="preserve">evelopment work </w:t>
      </w:r>
      <w:r>
        <w:t>for future reporting includes the following</w:t>
      </w:r>
      <w:r w:rsidR="00B43E8F" w:rsidRPr="007A000D">
        <w:t>:</w:t>
      </w:r>
    </w:p>
    <w:p w:rsidR="00B43E8F" w:rsidRDefault="00EF540C" w:rsidP="00B43E8F">
      <w:pPr>
        <w:pStyle w:val="ListBullet"/>
      </w:pPr>
      <w:r w:rsidRPr="00B43E8F">
        <w:t xml:space="preserve">reporting on </w:t>
      </w:r>
      <w:r w:rsidR="00CD0EBD">
        <w:t xml:space="preserve">all </w:t>
      </w:r>
      <w:r w:rsidRPr="00B43E8F">
        <w:t xml:space="preserve">Indigenous </w:t>
      </w:r>
      <w:r w:rsidR="00B43E8F" w:rsidRPr="00B43E8F">
        <w:t>remote</w:t>
      </w:r>
      <w:r w:rsidR="00B43E8F">
        <w:t xml:space="preserve"> public housing</w:t>
      </w:r>
      <w:r w:rsidR="00B43E8F" w:rsidRPr="00B43E8F">
        <w:t xml:space="preserve"> dwellings in the NT</w:t>
      </w:r>
      <w:r w:rsidR="00AF5F1A">
        <w:t xml:space="preserve"> (currently not available)</w:t>
      </w:r>
      <w:r w:rsidR="00B43E8F">
        <w:t>, which impacts the majority of indicators reported in this chapter</w:t>
      </w:r>
      <w:r w:rsidR="00CD0EBD">
        <w:t xml:space="preserve"> (box</w:t>
      </w:r>
      <w:r w:rsidR="007D1214">
        <w:t> </w:t>
      </w:r>
      <w:r w:rsidR="00CD0EBD">
        <w:t>17.4)</w:t>
      </w:r>
    </w:p>
    <w:p w:rsidR="00CF7950" w:rsidRDefault="003212B5" w:rsidP="00B43E8F">
      <w:pPr>
        <w:pStyle w:val="ListBullet"/>
      </w:pPr>
      <w:r>
        <w:t>improv</w:t>
      </w:r>
      <w:r w:rsidR="00AF5F1A">
        <w:t>ing</w:t>
      </w:r>
      <w:r>
        <w:t xml:space="preserve"> </w:t>
      </w:r>
      <w:r w:rsidR="008E50AD">
        <w:t>data comparability and completeness</w:t>
      </w:r>
      <w:r w:rsidR="00B43E8F">
        <w:t xml:space="preserve"> </w:t>
      </w:r>
      <w:r>
        <w:t>for</w:t>
      </w:r>
      <w:r w:rsidR="00B43E8F">
        <w:t xml:space="preserve"> the turnaround time efficiency indicator</w:t>
      </w:r>
      <w:r w:rsidR="00AF5F1A">
        <w:t>.</w:t>
      </w:r>
    </w:p>
    <w:p w:rsidR="006131F2" w:rsidRPr="00FD1E41" w:rsidRDefault="006131F2" w:rsidP="009F2584">
      <w:pPr>
        <w:pStyle w:val="Heading2"/>
        <w:numPr>
          <w:ilvl w:val="1"/>
          <w:numId w:val="20"/>
        </w:numPr>
      </w:pPr>
      <w:bookmarkStart w:id="24" w:name="_Toc314211352"/>
      <w:bookmarkStart w:id="25" w:name="_Toc396143035"/>
      <w:bookmarkStart w:id="26" w:name="_Toc435724834"/>
      <w:r w:rsidRPr="00FD1E41">
        <w:lastRenderedPageBreak/>
        <w:t xml:space="preserve">Definitions of key </w:t>
      </w:r>
      <w:bookmarkEnd w:id="19"/>
      <w:r w:rsidR="00B76882" w:rsidRPr="00FD1E41">
        <w:t>terms</w:t>
      </w:r>
      <w:bookmarkEnd w:id="24"/>
      <w:bookmarkEnd w:id="25"/>
      <w:bookmarkEnd w:id="26"/>
    </w:p>
    <w:p w:rsidR="00AF5F1A" w:rsidRPr="007D1214" w:rsidRDefault="00AF5F1A" w:rsidP="00532280">
      <w:pPr>
        <w:pStyle w:val="Figurespace"/>
      </w:pPr>
    </w:p>
    <w:tbl>
      <w:tblPr>
        <w:tblW w:w="0" w:type="auto"/>
        <w:tblInd w:w="-5" w:type="dxa"/>
        <w:tblLayout w:type="fixed"/>
        <w:tblCellMar>
          <w:left w:w="0" w:type="dxa"/>
          <w:right w:w="0" w:type="dxa"/>
        </w:tblCellMar>
        <w:tblLook w:val="00A0" w:firstRow="1" w:lastRow="0" w:firstColumn="1" w:lastColumn="0" w:noHBand="0" w:noVBand="0"/>
      </w:tblPr>
      <w:tblGrid>
        <w:gridCol w:w="2410"/>
        <w:gridCol w:w="6379"/>
      </w:tblGrid>
      <w:tr w:rsidR="00C61DC6" w:rsidRPr="002576C5">
        <w:tc>
          <w:tcPr>
            <w:tcW w:w="2410" w:type="dxa"/>
          </w:tcPr>
          <w:p w:rsidR="00C61DC6" w:rsidRPr="002576C5" w:rsidRDefault="00C61DC6" w:rsidP="00705266">
            <w:pPr>
              <w:pStyle w:val="TableBodyText"/>
              <w:spacing w:before="120" w:after="120"/>
              <w:jc w:val="left"/>
            </w:pPr>
            <w:r w:rsidRPr="002576C5">
              <w:rPr>
                <w:b/>
              </w:rPr>
              <w:t>Aboriginal and Torres Strait Islander household</w:t>
            </w:r>
          </w:p>
        </w:tc>
        <w:tc>
          <w:tcPr>
            <w:tcW w:w="6379" w:type="dxa"/>
          </w:tcPr>
          <w:p w:rsidR="00C61DC6" w:rsidRPr="002576C5" w:rsidRDefault="00C61DC6" w:rsidP="00705266">
            <w:pPr>
              <w:pStyle w:val="TableBodyText"/>
              <w:spacing w:before="120" w:after="120"/>
              <w:jc w:val="both"/>
            </w:pPr>
            <w:r w:rsidRPr="002576C5">
              <w:t>A household with one or more members (including children) who identify as Aboriginal and/or Torres Strait Islander.</w:t>
            </w:r>
          </w:p>
        </w:tc>
      </w:tr>
      <w:tr w:rsidR="00B76882" w:rsidRPr="002576C5">
        <w:tc>
          <w:tcPr>
            <w:tcW w:w="2410" w:type="dxa"/>
          </w:tcPr>
          <w:p w:rsidR="00B76882" w:rsidRPr="002576C5" w:rsidRDefault="00B76882" w:rsidP="00DD2E7E">
            <w:pPr>
              <w:pStyle w:val="TableBodyText"/>
              <w:spacing w:before="120" w:after="120"/>
              <w:jc w:val="left"/>
            </w:pPr>
            <w:r w:rsidRPr="002576C5">
              <w:rPr>
                <w:b/>
              </w:rPr>
              <w:t>Administration costs</w:t>
            </w:r>
          </w:p>
        </w:tc>
        <w:tc>
          <w:tcPr>
            <w:tcW w:w="6379" w:type="dxa"/>
          </w:tcPr>
          <w:p w:rsidR="00B76882" w:rsidRPr="002576C5" w:rsidRDefault="00B76882" w:rsidP="00DD2E7E">
            <w:pPr>
              <w:pStyle w:val="TableBodyText"/>
              <w:spacing w:before="120" w:after="120"/>
              <w:jc w:val="both"/>
            </w:pPr>
            <w:r w:rsidRPr="002576C5">
              <w:t>Those costs associated with the administration offices of the property manager and tenancy manager. They include the general accounting and personnel function costs relating to:</w:t>
            </w:r>
          </w:p>
          <w:p w:rsidR="00B76882" w:rsidRPr="002576C5" w:rsidRDefault="00B76882" w:rsidP="00DD2E7E">
            <w:pPr>
              <w:pStyle w:val="TableBullet"/>
              <w:spacing w:before="120" w:after="120"/>
              <w:jc w:val="both"/>
            </w:pPr>
            <w:r w:rsidRPr="002576C5">
              <w:t>employee expenses (for example, superannuation, compensation, accrued leave and training)</w:t>
            </w:r>
          </w:p>
          <w:p w:rsidR="00B76882" w:rsidRPr="002576C5" w:rsidRDefault="00B76882" w:rsidP="00DD2E7E">
            <w:pPr>
              <w:pStyle w:val="TableBullet"/>
              <w:spacing w:before="120" w:after="120"/>
              <w:jc w:val="both"/>
            </w:pPr>
            <w:r w:rsidRPr="002576C5">
              <w:t>supplies and services expenses (including stationery, postage, telephone, office equipment, information systems and vehicle expenses)</w:t>
            </w:r>
          </w:p>
          <w:p w:rsidR="00B76882" w:rsidRPr="002576C5" w:rsidRDefault="00B76882" w:rsidP="00DD2E7E">
            <w:pPr>
              <w:pStyle w:val="TableBullet"/>
              <w:spacing w:before="120" w:after="120"/>
              <w:jc w:val="both"/>
            </w:pPr>
            <w:r w:rsidRPr="002576C5">
              <w:t>rent</w:t>
            </w:r>
          </w:p>
          <w:p w:rsidR="00B76882" w:rsidRPr="002576C5" w:rsidRDefault="00B76882" w:rsidP="00DD2E7E">
            <w:pPr>
              <w:pStyle w:val="TableBullet"/>
              <w:spacing w:before="120" w:after="120"/>
              <w:jc w:val="both"/>
            </w:pPr>
            <w:r w:rsidRPr="002576C5">
              <w:t>grants and subsidies (excluding rental subsidies)</w:t>
            </w:r>
          </w:p>
          <w:p w:rsidR="00B76882" w:rsidRPr="002576C5" w:rsidRDefault="00B76882" w:rsidP="00DD2E7E">
            <w:pPr>
              <w:pStyle w:val="TableBullet"/>
              <w:spacing w:before="120" w:after="120"/>
              <w:jc w:val="both"/>
            </w:pPr>
            <w:r w:rsidRPr="002576C5">
              <w:t>expenditure incurred by other government agencies on behalf of the public housing agency</w:t>
            </w:r>
          </w:p>
          <w:p w:rsidR="00B76882" w:rsidRPr="002576C5" w:rsidRDefault="00B76882" w:rsidP="00DD2E7E">
            <w:pPr>
              <w:pStyle w:val="TableBullet"/>
              <w:spacing w:before="120" w:after="120"/>
              <w:jc w:val="both"/>
            </w:pPr>
            <w:r w:rsidRPr="002576C5">
              <w:t>contracted public housing management services.</w:t>
            </w:r>
          </w:p>
        </w:tc>
      </w:tr>
      <w:tr w:rsidR="00B76882" w:rsidRPr="002576C5">
        <w:tc>
          <w:tcPr>
            <w:tcW w:w="2410" w:type="dxa"/>
          </w:tcPr>
          <w:p w:rsidR="00B76882" w:rsidRPr="002576C5" w:rsidRDefault="00B76882" w:rsidP="00DD2E7E">
            <w:pPr>
              <w:pStyle w:val="TableBodyText"/>
              <w:spacing w:before="120" w:after="120"/>
              <w:jc w:val="left"/>
            </w:pPr>
            <w:r w:rsidRPr="002576C5">
              <w:rPr>
                <w:b/>
              </w:rPr>
              <w:t>Assessable income</w:t>
            </w:r>
          </w:p>
        </w:tc>
        <w:tc>
          <w:tcPr>
            <w:tcW w:w="6379" w:type="dxa"/>
          </w:tcPr>
          <w:p w:rsidR="00B76882" w:rsidRPr="002576C5" w:rsidRDefault="00B76882" w:rsidP="00DD2E7E">
            <w:pPr>
              <w:pStyle w:val="TableBodyText"/>
              <w:spacing w:before="120" w:after="120"/>
              <w:jc w:val="both"/>
            </w:pPr>
            <w:r w:rsidRPr="002576C5">
              <w:t>The income used to assess eligibility for housing assistance and to calculate the rental housing rebate that allows a household to pay a rent lower than the market rent. Definition may vary across jurisdictions.</w:t>
            </w:r>
          </w:p>
        </w:tc>
      </w:tr>
      <w:tr w:rsidR="00B76882" w:rsidRPr="002576C5">
        <w:tc>
          <w:tcPr>
            <w:tcW w:w="2410" w:type="dxa"/>
          </w:tcPr>
          <w:p w:rsidR="00B76882" w:rsidRPr="002576C5" w:rsidRDefault="00B76882" w:rsidP="00DD2E7E">
            <w:pPr>
              <w:pStyle w:val="TableBodyText"/>
              <w:spacing w:before="120" w:after="120"/>
              <w:jc w:val="left"/>
              <w:rPr>
                <w:b/>
              </w:rPr>
            </w:pPr>
            <w:r w:rsidRPr="002576C5">
              <w:rPr>
                <w:b/>
              </w:rPr>
              <w:t>Canadian National Occupancy Standard (</w:t>
            </w:r>
            <w:proofErr w:type="spellStart"/>
            <w:r w:rsidRPr="002576C5">
              <w:rPr>
                <w:b/>
              </w:rPr>
              <w:t>CNOS</w:t>
            </w:r>
            <w:proofErr w:type="spellEnd"/>
            <w:r w:rsidRPr="002576C5">
              <w:rPr>
                <w:b/>
              </w:rPr>
              <w:t>)</w:t>
            </w:r>
          </w:p>
        </w:tc>
        <w:tc>
          <w:tcPr>
            <w:tcW w:w="6379" w:type="dxa"/>
          </w:tcPr>
          <w:p w:rsidR="005509E2" w:rsidRPr="002576C5" w:rsidRDefault="005509E2" w:rsidP="00DD2E7E">
            <w:pPr>
              <w:pStyle w:val="TableBodyText"/>
              <w:spacing w:before="120" w:after="120"/>
              <w:jc w:val="both"/>
            </w:pPr>
            <w:r w:rsidRPr="002576C5">
              <w:t>A standardised measure of housing utilisation and overcrowding. This measure assesses a household</w:t>
            </w:r>
            <w:r w:rsidR="007D1214">
              <w:t>’</w:t>
            </w:r>
            <w:r w:rsidRPr="002576C5">
              <w:t>s bedroom requirements by specifying that:</w:t>
            </w:r>
          </w:p>
          <w:p w:rsidR="005509E2" w:rsidRPr="002576C5" w:rsidRDefault="005509E2" w:rsidP="00DD2E7E">
            <w:pPr>
              <w:pStyle w:val="TableBullet"/>
              <w:spacing w:before="120" w:after="120"/>
            </w:pPr>
            <w:r w:rsidRPr="002576C5">
              <w:t>there should be no more than two people per bedroom</w:t>
            </w:r>
          </w:p>
          <w:p w:rsidR="005509E2" w:rsidRPr="002576C5" w:rsidRDefault="005509E2" w:rsidP="00DD2E7E">
            <w:pPr>
              <w:pStyle w:val="TableBullet"/>
              <w:spacing w:before="120" w:after="120"/>
            </w:pPr>
            <w:r w:rsidRPr="002576C5">
              <w:t>a household of one unattached individual may reasonably occupy a bed</w:t>
            </w:r>
            <w:r w:rsidR="0012329D" w:rsidRPr="002576C5">
              <w:t>–</w:t>
            </w:r>
            <w:r w:rsidRPr="002576C5">
              <w:t>sit (i.e. have no bedroom)</w:t>
            </w:r>
          </w:p>
          <w:p w:rsidR="005509E2" w:rsidRPr="002576C5" w:rsidRDefault="005509E2" w:rsidP="00DD2E7E">
            <w:pPr>
              <w:pStyle w:val="TableBullet"/>
              <w:spacing w:before="120" w:after="120"/>
            </w:pPr>
            <w:r w:rsidRPr="002576C5">
              <w:t>couples and parents should have a separate bedroom</w:t>
            </w:r>
          </w:p>
          <w:p w:rsidR="005509E2" w:rsidRPr="002576C5" w:rsidRDefault="005509E2" w:rsidP="00DD2E7E">
            <w:pPr>
              <w:pStyle w:val="TableBullet"/>
              <w:spacing w:before="120" w:after="120"/>
            </w:pPr>
            <w:r w:rsidRPr="002576C5">
              <w:t>children less than five years of age, of different sexes, may reasonably share a bedroom</w:t>
            </w:r>
          </w:p>
          <w:p w:rsidR="005509E2" w:rsidRPr="002576C5" w:rsidRDefault="005509E2" w:rsidP="00DD2E7E">
            <w:pPr>
              <w:pStyle w:val="TableBullet"/>
              <w:spacing w:before="120" w:after="120"/>
            </w:pPr>
            <w:r w:rsidRPr="002576C5">
              <w:t>children five years of age or over, of the opposite sex, should not share a bedroom</w:t>
            </w:r>
          </w:p>
          <w:p w:rsidR="005509E2" w:rsidRPr="002576C5" w:rsidRDefault="005509E2" w:rsidP="00DD2E7E">
            <w:pPr>
              <w:pStyle w:val="TableBullet"/>
              <w:spacing w:before="120" w:after="120"/>
            </w:pPr>
            <w:r w:rsidRPr="002576C5">
              <w:t>children less than 18 years of age and of the same sex may reasonably share a bedroom; and</w:t>
            </w:r>
          </w:p>
          <w:p w:rsidR="00B76882" w:rsidRPr="002576C5" w:rsidRDefault="005509E2" w:rsidP="00DD2E7E">
            <w:pPr>
              <w:pStyle w:val="TableBullet"/>
              <w:spacing w:before="120" w:after="120"/>
            </w:pPr>
            <w:r w:rsidRPr="002576C5">
              <w:t>single household members aged 18 years or over should have a separate bedroom</w:t>
            </w:r>
            <w:r w:rsidR="00B76882" w:rsidRPr="002576C5">
              <w:t>.</w:t>
            </w:r>
          </w:p>
        </w:tc>
      </w:tr>
      <w:tr w:rsidR="00BB24B7" w:rsidRPr="002576C5" w:rsidTr="00117DFD">
        <w:tc>
          <w:tcPr>
            <w:tcW w:w="2410" w:type="dxa"/>
            <w:shd w:val="clear" w:color="auto" w:fill="auto"/>
          </w:tcPr>
          <w:p w:rsidR="00BB24B7" w:rsidRPr="002576C5" w:rsidRDefault="00BB24B7" w:rsidP="00DD2E7E">
            <w:pPr>
              <w:pStyle w:val="TableBodyText"/>
              <w:spacing w:before="120" w:after="120"/>
              <w:jc w:val="left"/>
              <w:rPr>
                <w:b/>
              </w:rPr>
            </w:pPr>
            <w:r w:rsidRPr="002576C5">
              <w:rPr>
                <w:b/>
              </w:rPr>
              <w:t>Comparability</w:t>
            </w:r>
          </w:p>
        </w:tc>
        <w:tc>
          <w:tcPr>
            <w:tcW w:w="6379" w:type="dxa"/>
            <w:shd w:val="clear" w:color="auto" w:fill="auto"/>
          </w:tcPr>
          <w:p w:rsidR="00BB24B7" w:rsidRPr="002576C5" w:rsidRDefault="002F21A9" w:rsidP="00DD2E7E">
            <w:pPr>
              <w:pStyle w:val="TableBodyText"/>
              <w:spacing w:before="120" w:after="120"/>
              <w:jc w:val="both"/>
            </w:pPr>
            <w:r w:rsidRPr="002576C5">
              <w:t>Data are considered comparable if (subject to caveats) they can be used to inform an assessment of comparative performance. Typically, data are considered comparable when they are collected in the same way and in accordance with the same definitions. For comparable indicators or measures, significant differences in reported results allow an assessment of differences in performance, rather than being the result of anomalies in the data.</w:t>
            </w:r>
          </w:p>
        </w:tc>
      </w:tr>
      <w:tr w:rsidR="00BB24B7" w:rsidRPr="002576C5" w:rsidTr="00117DFD">
        <w:tc>
          <w:tcPr>
            <w:tcW w:w="2410" w:type="dxa"/>
            <w:shd w:val="clear" w:color="auto" w:fill="auto"/>
          </w:tcPr>
          <w:p w:rsidR="00BB24B7" w:rsidRPr="002576C5" w:rsidRDefault="00BB24B7" w:rsidP="00DD2E7E">
            <w:pPr>
              <w:pStyle w:val="TableBodyText"/>
              <w:spacing w:before="120" w:after="120"/>
              <w:jc w:val="left"/>
              <w:rPr>
                <w:b/>
              </w:rPr>
            </w:pPr>
            <w:r w:rsidRPr="002576C5">
              <w:rPr>
                <w:b/>
              </w:rPr>
              <w:t>Completeness</w:t>
            </w:r>
          </w:p>
        </w:tc>
        <w:tc>
          <w:tcPr>
            <w:tcW w:w="6379" w:type="dxa"/>
            <w:shd w:val="clear" w:color="auto" w:fill="auto"/>
          </w:tcPr>
          <w:p w:rsidR="00BB24B7" w:rsidRPr="002576C5" w:rsidRDefault="00997F64" w:rsidP="00DD2E7E">
            <w:pPr>
              <w:pStyle w:val="TableBodyText"/>
              <w:spacing w:before="120" w:after="120"/>
              <w:jc w:val="both"/>
            </w:pPr>
            <w:r w:rsidRPr="002576C5">
              <w:t>Data are considered complete if all required data are available for all jurisdictions that provide the service</w:t>
            </w:r>
            <w:r w:rsidR="00BB24B7" w:rsidRPr="002576C5">
              <w:t>.</w:t>
            </w:r>
          </w:p>
        </w:tc>
      </w:tr>
      <w:tr w:rsidR="00643D88" w:rsidRPr="002576C5">
        <w:tc>
          <w:tcPr>
            <w:tcW w:w="2410" w:type="dxa"/>
          </w:tcPr>
          <w:p w:rsidR="00643D88" w:rsidRPr="002576C5" w:rsidRDefault="00643D88" w:rsidP="00DD2E7E">
            <w:pPr>
              <w:pStyle w:val="TableBodyText"/>
              <w:spacing w:before="120" w:after="120"/>
              <w:jc w:val="left"/>
              <w:rPr>
                <w:b/>
              </w:rPr>
            </w:pPr>
            <w:r w:rsidRPr="002576C5">
              <w:rPr>
                <w:b/>
              </w:rPr>
              <w:t xml:space="preserve">Confidence intervals </w:t>
            </w:r>
          </w:p>
        </w:tc>
        <w:tc>
          <w:tcPr>
            <w:tcW w:w="6379" w:type="dxa"/>
          </w:tcPr>
          <w:p w:rsidR="00643D88" w:rsidRPr="002576C5" w:rsidRDefault="00643D88" w:rsidP="00E21823">
            <w:pPr>
              <w:pStyle w:val="TableBodyText"/>
              <w:spacing w:before="120" w:after="120"/>
              <w:jc w:val="both"/>
            </w:pPr>
            <w:r w:rsidRPr="002576C5">
              <w:t xml:space="preserve">Survey data, for example data from the </w:t>
            </w:r>
            <w:proofErr w:type="spellStart"/>
            <w:r w:rsidRPr="002576C5">
              <w:t>NSH</w:t>
            </w:r>
            <w:r w:rsidR="00E21823" w:rsidRPr="002576C5">
              <w:t>S</w:t>
            </w:r>
            <w:proofErr w:type="spellEnd"/>
            <w:r w:rsidRPr="002576C5">
              <w:t>, are subject to sampling error because they are based on samples of the total population. Where survey data are shown in charts in this report, error bars are included, showing 95 per cent confidence intervals. There is a 95 per cent chance that the true value of the data item lies within the interval shown by the error bars.</w:t>
            </w:r>
          </w:p>
        </w:tc>
      </w:tr>
      <w:tr w:rsidR="00B76882" w:rsidRPr="002576C5">
        <w:tc>
          <w:tcPr>
            <w:tcW w:w="2410" w:type="dxa"/>
          </w:tcPr>
          <w:p w:rsidR="00B76882" w:rsidRPr="002576C5" w:rsidRDefault="00B76882" w:rsidP="00DD2E7E">
            <w:pPr>
              <w:pStyle w:val="TableBodyText"/>
              <w:spacing w:before="120" w:after="120"/>
              <w:jc w:val="left"/>
            </w:pPr>
            <w:r w:rsidRPr="002576C5">
              <w:rPr>
                <w:b/>
              </w:rPr>
              <w:t>Depreciation costs</w:t>
            </w:r>
          </w:p>
        </w:tc>
        <w:tc>
          <w:tcPr>
            <w:tcW w:w="6379" w:type="dxa"/>
          </w:tcPr>
          <w:p w:rsidR="00B76882" w:rsidRPr="002576C5" w:rsidRDefault="00B76882" w:rsidP="00DD2E7E">
            <w:pPr>
              <w:pStyle w:val="TableBodyText"/>
              <w:spacing w:before="120" w:after="120"/>
              <w:jc w:val="both"/>
            </w:pPr>
            <w:r w:rsidRPr="002576C5">
              <w:rPr>
                <w:snapToGrid w:val="0"/>
                <w:lang w:val="en-US"/>
              </w:rPr>
              <w:t>Depreciation calculated on a straight</w:t>
            </w:r>
            <w:r w:rsidR="0012329D" w:rsidRPr="002576C5">
              <w:rPr>
                <w:snapToGrid w:val="0"/>
                <w:lang w:val="en-US"/>
              </w:rPr>
              <w:t>–</w:t>
            </w:r>
            <w:r w:rsidRPr="002576C5">
              <w:rPr>
                <w:snapToGrid w:val="0"/>
                <w:lang w:val="en-US"/>
              </w:rPr>
              <w:t xml:space="preserve">line basis at a rate that realistically </w:t>
            </w:r>
            <w:r w:rsidRPr="002576C5">
              <w:rPr>
                <w:snapToGrid w:val="0"/>
                <w:lang w:val="en-US"/>
              </w:rPr>
              <w:lastRenderedPageBreak/>
              <w:t>represents the useful life of the asset (as per the Australian Accounting Standards 13–17).</w:t>
            </w:r>
          </w:p>
        </w:tc>
      </w:tr>
      <w:tr w:rsidR="00B76882" w:rsidRPr="002576C5" w:rsidTr="00133541">
        <w:tc>
          <w:tcPr>
            <w:tcW w:w="2410" w:type="dxa"/>
            <w:shd w:val="clear" w:color="auto" w:fill="auto"/>
          </w:tcPr>
          <w:p w:rsidR="00B76882" w:rsidRPr="002576C5" w:rsidRDefault="007F1650" w:rsidP="00DD2E7E">
            <w:pPr>
              <w:pStyle w:val="TableBodyText"/>
              <w:spacing w:before="120" w:after="120"/>
              <w:jc w:val="left"/>
              <w:rPr>
                <w:snapToGrid w:val="0"/>
                <w:lang w:val="en-US"/>
              </w:rPr>
            </w:pPr>
            <w:r w:rsidRPr="002576C5">
              <w:rPr>
                <w:b/>
                <w:snapToGrid w:val="0"/>
              </w:rPr>
              <w:lastRenderedPageBreak/>
              <w:t>Disability</w:t>
            </w:r>
          </w:p>
        </w:tc>
        <w:tc>
          <w:tcPr>
            <w:tcW w:w="6379" w:type="dxa"/>
            <w:shd w:val="clear" w:color="auto" w:fill="auto"/>
          </w:tcPr>
          <w:p w:rsidR="00B76882" w:rsidRPr="002576C5" w:rsidRDefault="00B30269" w:rsidP="00B30269">
            <w:pPr>
              <w:pStyle w:val="TableBodyText"/>
              <w:spacing w:before="120" w:after="120"/>
              <w:jc w:val="left"/>
              <w:rPr>
                <w:snapToGrid w:val="0"/>
              </w:rPr>
            </w:pPr>
            <w:r w:rsidRPr="002576C5">
              <w:rPr>
                <w:snapToGrid w:val="0"/>
              </w:rPr>
              <w:t>Households with a member with disability are defined as h</w:t>
            </w:r>
            <w:r w:rsidR="00C723BB" w:rsidRPr="002576C5">
              <w:rPr>
                <w:snapToGrid w:val="0"/>
              </w:rPr>
              <w:t>ouseholds in which at least one member always or sometimes needs assistance with self</w:t>
            </w:r>
            <w:r w:rsidR="007D1214">
              <w:rPr>
                <w:snapToGrid w:val="0"/>
              </w:rPr>
              <w:noBreakHyphen/>
            </w:r>
            <w:r w:rsidR="00C723BB" w:rsidRPr="002576C5">
              <w:rPr>
                <w:snapToGrid w:val="0"/>
              </w:rPr>
              <w:t>care activities, body movement activities or communicatio</w:t>
            </w:r>
            <w:r w:rsidR="008B68D3" w:rsidRPr="002576C5">
              <w:rPr>
                <w:snapToGrid w:val="0"/>
              </w:rPr>
              <w:t xml:space="preserve">n, </w:t>
            </w:r>
            <w:r w:rsidR="00C723BB" w:rsidRPr="002576C5">
              <w:rPr>
                <w:snapToGrid w:val="0"/>
              </w:rPr>
              <w:t>and the reason for needing assistance is either ‘long</w:t>
            </w:r>
            <w:r w:rsidR="00F04761" w:rsidRPr="002576C5">
              <w:rPr>
                <w:snapToGrid w:val="0"/>
              </w:rPr>
              <w:noBreakHyphen/>
            </w:r>
            <w:r w:rsidR="00C723BB" w:rsidRPr="002576C5">
              <w:rPr>
                <w:snapToGrid w:val="0"/>
              </w:rPr>
              <w:t>term health condition lasting six months or more’ or ‘disability’.</w:t>
            </w:r>
          </w:p>
        </w:tc>
      </w:tr>
      <w:tr w:rsidR="00B76882" w:rsidRPr="002576C5">
        <w:tc>
          <w:tcPr>
            <w:tcW w:w="2410" w:type="dxa"/>
          </w:tcPr>
          <w:p w:rsidR="00B76882" w:rsidRPr="002576C5" w:rsidRDefault="00B76882" w:rsidP="00DD2E7E">
            <w:pPr>
              <w:pStyle w:val="TableBodyText"/>
              <w:spacing w:before="120" w:after="120"/>
              <w:jc w:val="left"/>
              <w:rPr>
                <w:rFonts w:ascii="Times New Roman" w:hAnsi="Times New Roman"/>
              </w:rPr>
            </w:pPr>
            <w:r w:rsidRPr="002576C5">
              <w:br w:type="page"/>
            </w:r>
            <w:r w:rsidRPr="002576C5">
              <w:rPr>
                <w:rFonts w:ascii="Times New Roman" w:hAnsi="Times New Roman"/>
              </w:rPr>
              <w:br w:type="page"/>
            </w:r>
            <w:r w:rsidRPr="002576C5">
              <w:rPr>
                <w:b/>
              </w:rPr>
              <w:t>Dwelling</w:t>
            </w:r>
          </w:p>
        </w:tc>
        <w:tc>
          <w:tcPr>
            <w:tcW w:w="6379" w:type="dxa"/>
          </w:tcPr>
          <w:p w:rsidR="007E40C3" w:rsidRPr="002576C5" w:rsidRDefault="007E40C3" w:rsidP="00DD2E7E">
            <w:pPr>
              <w:pStyle w:val="TableBodyText"/>
              <w:spacing w:before="120" w:after="120"/>
              <w:jc w:val="both"/>
            </w:pPr>
            <w:r w:rsidRPr="002576C5">
              <w:t>A structure or a discrete space within a structure intended for people to live in or where a person or group of people live. Thus, a structure that people actually live in is a dwelling regardless of its intended purpose, but a vacant structure is a dwelling only if intended for human residence. A dwelling may include one or more rooms that is/are used as an office or workshop, provided the dwelling is in residential use. Dwelling types include:</w:t>
            </w:r>
          </w:p>
          <w:p w:rsidR="007E40C3" w:rsidRPr="002576C5" w:rsidRDefault="007E40C3" w:rsidP="00DD2E7E">
            <w:pPr>
              <w:pStyle w:val="TableBullet"/>
              <w:spacing w:before="120" w:after="120"/>
            </w:pPr>
            <w:r w:rsidRPr="002576C5">
              <w:t>a separate house</w:t>
            </w:r>
          </w:p>
          <w:p w:rsidR="007E40C3" w:rsidRPr="002576C5" w:rsidRDefault="007E40C3" w:rsidP="00DD2E7E">
            <w:pPr>
              <w:pStyle w:val="TableBullet"/>
              <w:spacing w:before="120" w:after="120"/>
            </w:pPr>
            <w:r w:rsidRPr="002576C5">
              <w:t>a semi</w:t>
            </w:r>
            <w:r w:rsidR="00A17B9A" w:rsidRPr="002576C5">
              <w:t>–</w:t>
            </w:r>
            <w:r w:rsidRPr="002576C5">
              <w:t>detached, row or terrace house, townhouse, etc.</w:t>
            </w:r>
          </w:p>
          <w:p w:rsidR="007E40C3" w:rsidRPr="002576C5" w:rsidRDefault="007E40C3" w:rsidP="00DD2E7E">
            <w:pPr>
              <w:pStyle w:val="TableBullet"/>
              <w:spacing w:before="120" w:after="120"/>
            </w:pPr>
            <w:r w:rsidRPr="002576C5">
              <w:t>a flat, unit or apartment; caravan, tent, cabin etc. either in or not in a caravan park; houseboat in marina, etc.</w:t>
            </w:r>
          </w:p>
          <w:p w:rsidR="007E40C3" w:rsidRPr="002576C5" w:rsidRDefault="007E40C3" w:rsidP="00DD2E7E">
            <w:pPr>
              <w:pStyle w:val="TableBullet"/>
              <w:spacing w:before="120" w:after="120"/>
            </w:pPr>
            <w:r w:rsidRPr="002576C5">
              <w:t>an improvised home, tent, camper</w:t>
            </w:r>
          </w:p>
          <w:p w:rsidR="007E40C3" w:rsidRPr="002576C5" w:rsidRDefault="007E40C3" w:rsidP="00DD2E7E">
            <w:pPr>
              <w:pStyle w:val="TableBullet"/>
              <w:spacing w:before="120" w:after="120"/>
            </w:pPr>
            <w:r w:rsidRPr="002576C5">
              <w:t>a house or flat attached to a shop, office, etc.</w:t>
            </w:r>
          </w:p>
          <w:p w:rsidR="00B76882" w:rsidRPr="002576C5" w:rsidRDefault="007E40C3" w:rsidP="00DD2E7E">
            <w:pPr>
              <w:pStyle w:val="TableBullet"/>
              <w:spacing w:before="120" w:after="120"/>
            </w:pPr>
            <w:r w:rsidRPr="002576C5">
              <w:t>a boarding/rooming house unit</w:t>
            </w:r>
            <w:r w:rsidR="00B76882" w:rsidRPr="002576C5">
              <w:t>.</w:t>
            </w:r>
          </w:p>
        </w:tc>
      </w:tr>
      <w:tr w:rsidR="00DC793F" w:rsidRPr="002576C5">
        <w:tc>
          <w:tcPr>
            <w:tcW w:w="2410" w:type="dxa"/>
          </w:tcPr>
          <w:p w:rsidR="00DC793F" w:rsidRPr="002576C5" w:rsidRDefault="00DC793F" w:rsidP="00DD2E7E">
            <w:pPr>
              <w:pStyle w:val="TableBodyText"/>
              <w:spacing w:before="120" w:after="120"/>
              <w:jc w:val="left"/>
              <w:rPr>
                <w:b/>
              </w:rPr>
            </w:pPr>
            <w:proofErr w:type="spellStart"/>
            <w:r w:rsidRPr="002576C5">
              <w:rPr>
                <w:b/>
              </w:rPr>
              <w:t>Equivalisation</w:t>
            </w:r>
            <w:proofErr w:type="spellEnd"/>
          </w:p>
        </w:tc>
        <w:tc>
          <w:tcPr>
            <w:tcW w:w="6379" w:type="dxa"/>
          </w:tcPr>
          <w:p w:rsidR="00DC793F" w:rsidRPr="002576C5" w:rsidRDefault="00DC793F" w:rsidP="00DD2E7E">
            <w:pPr>
              <w:pStyle w:val="TableBodyText"/>
              <w:spacing w:before="120" w:after="120"/>
              <w:jc w:val="both"/>
            </w:pPr>
            <w:r w:rsidRPr="002576C5">
              <w:t xml:space="preserve">As household size increases, consumption needs also increase but there are economies of scale. An equivalence scale is used to adjust household incomes to take account of the economies that flow from sharing resources and enable more meaningful comparisons across different types of households. </w:t>
            </w:r>
          </w:p>
        </w:tc>
      </w:tr>
      <w:tr w:rsidR="00B76882" w:rsidRPr="002576C5">
        <w:tc>
          <w:tcPr>
            <w:tcW w:w="2410" w:type="dxa"/>
          </w:tcPr>
          <w:p w:rsidR="00B76882" w:rsidRPr="002576C5" w:rsidRDefault="00B76882" w:rsidP="00DD2E7E">
            <w:pPr>
              <w:pStyle w:val="TableBodyText"/>
              <w:spacing w:before="120" w:after="120"/>
              <w:jc w:val="left"/>
            </w:pPr>
            <w:r w:rsidRPr="002576C5">
              <w:rPr>
                <w:b/>
              </w:rPr>
              <w:t>Greatest need</w:t>
            </w:r>
          </w:p>
        </w:tc>
        <w:tc>
          <w:tcPr>
            <w:tcW w:w="6379" w:type="dxa"/>
          </w:tcPr>
          <w:p w:rsidR="002160C7" w:rsidRPr="002576C5" w:rsidRDefault="004D507C" w:rsidP="00DD2E7E">
            <w:pPr>
              <w:pStyle w:val="TableBodyText"/>
              <w:spacing w:before="120" w:after="120"/>
              <w:jc w:val="both"/>
            </w:pPr>
            <w:r w:rsidRPr="002576C5">
              <w:t xml:space="preserve">Applies to </w:t>
            </w:r>
            <w:r w:rsidR="002160C7" w:rsidRPr="002576C5">
              <w:t>low</w:t>
            </w:r>
            <w:r w:rsidR="00A17B9A" w:rsidRPr="002576C5">
              <w:t>–</w:t>
            </w:r>
            <w:r w:rsidR="002160C7" w:rsidRPr="002576C5">
              <w:t>income household</w:t>
            </w:r>
            <w:r w:rsidRPr="002576C5">
              <w:t>s</w:t>
            </w:r>
            <w:r w:rsidR="002160C7" w:rsidRPr="002576C5">
              <w:t xml:space="preserve"> if, at the time of allocation, household members were subject to one or more of the following circumstances:</w:t>
            </w:r>
          </w:p>
          <w:p w:rsidR="002160C7" w:rsidRPr="002576C5" w:rsidRDefault="002160C7" w:rsidP="00DD2E7E">
            <w:pPr>
              <w:pStyle w:val="TableBullet"/>
              <w:spacing w:before="120" w:after="120"/>
            </w:pPr>
            <w:r w:rsidRPr="002576C5">
              <w:t>they were homeless</w:t>
            </w:r>
          </w:p>
          <w:p w:rsidR="002160C7" w:rsidRPr="002576C5" w:rsidRDefault="002160C7" w:rsidP="00DD2E7E">
            <w:pPr>
              <w:pStyle w:val="TableBullet"/>
              <w:spacing w:before="120" w:after="120"/>
            </w:pPr>
            <w:r w:rsidRPr="002576C5">
              <w:t>their life or safety was at risk in their accommodation</w:t>
            </w:r>
          </w:p>
          <w:p w:rsidR="002160C7" w:rsidRPr="002576C5" w:rsidRDefault="002160C7" w:rsidP="00DD2E7E">
            <w:pPr>
              <w:pStyle w:val="TableBullet"/>
              <w:spacing w:before="120" w:after="120"/>
            </w:pPr>
            <w:r w:rsidRPr="002576C5">
              <w:t>their health condition was aggravated by their housing</w:t>
            </w:r>
          </w:p>
          <w:p w:rsidR="002160C7" w:rsidRPr="002576C5" w:rsidRDefault="002160C7" w:rsidP="00DD2E7E">
            <w:pPr>
              <w:pStyle w:val="TableBullet"/>
              <w:spacing w:before="120" w:after="120"/>
            </w:pPr>
            <w:r w:rsidRPr="002576C5">
              <w:t>their housing was inappropriate to their needs</w:t>
            </w:r>
          </w:p>
          <w:p w:rsidR="002160C7" w:rsidRPr="002576C5" w:rsidRDefault="002160C7" w:rsidP="00DD2E7E">
            <w:pPr>
              <w:pStyle w:val="TableBullet"/>
              <w:spacing w:before="120" w:after="120"/>
            </w:pPr>
            <w:r w:rsidRPr="002576C5">
              <w:t>they had very high rental housing costs.</w:t>
            </w:r>
          </w:p>
          <w:p w:rsidR="00B76882" w:rsidRPr="002576C5" w:rsidRDefault="002160C7" w:rsidP="00DD2E7E">
            <w:pPr>
              <w:pStyle w:val="TableBodyText"/>
              <w:spacing w:before="120" w:after="120"/>
              <w:jc w:val="both"/>
            </w:pPr>
            <w:r w:rsidRPr="002576C5">
              <w:t>A low</w:t>
            </w:r>
            <w:r w:rsidR="00A17B9A" w:rsidRPr="002576C5">
              <w:t>–</w:t>
            </w:r>
            <w:r w:rsidRPr="002576C5">
              <w:t>income household for the greatest need definition is a household that satisfies an eligibility test to receive housing assistance</w:t>
            </w:r>
            <w:r w:rsidR="00B76882" w:rsidRPr="002576C5">
              <w:t>.</w:t>
            </w:r>
          </w:p>
        </w:tc>
      </w:tr>
      <w:tr w:rsidR="00B76882" w:rsidRPr="002576C5">
        <w:tc>
          <w:tcPr>
            <w:tcW w:w="2410" w:type="dxa"/>
          </w:tcPr>
          <w:p w:rsidR="00B76882" w:rsidRPr="002576C5" w:rsidRDefault="00B76882" w:rsidP="00DD2E7E">
            <w:pPr>
              <w:pStyle w:val="TableBodyText"/>
              <w:spacing w:before="120" w:after="120"/>
              <w:jc w:val="left"/>
            </w:pPr>
            <w:r w:rsidRPr="002576C5">
              <w:rPr>
                <w:b/>
              </w:rPr>
              <w:t>Household</w:t>
            </w:r>
          </w:p>
        </w:tc>
        <w:tc>
          <w:tcPr>
            <w:tcW w:w="6379" w:type="dxa"/>
          </w:tcPr>
          <w:p w:rsidR="00364CF8" w:rsidRPr="002576C5" w:rsidRDefault="00AB582F" w:rsidP="00AB582F">
            <w:pPr>
              <w:pStyle w:val="TableBodyText"/>
              <w:spacing w:before="120" w:after="120"/>
              <w:jc w:val="both"/>
            </w:pPr>
            <w:r w:rsidRPr="002576C5">
              <w:t xml:space="preserve">The grouping of people living in a dwelling. Household composition is based on couple and parent–child relationships. A </w:t>
            </w:r>
            <w:r w:rsidRPr="002576C5">
              <w:rPr>
                <w:i/>
                <w:iCs/>
              </w:rPr>
              <w:t>single</w:t>
            </w:r>
            <w:r w:rsidR="007D1214">
              <w:rPr>
                <w:i/>
                <w:iCs/>
              </w:rPr>
              <w:noBreakHyphen/>
            </w:r>
            <w:r w:rsidRPr="002576C5">
              <w:rPr>
                <w:i/>
                <w:iCs/>
              </w:rPr>
              <w:t xml:space="preserve">family </w:t>
            </w:r>
            <w:r w:rsidRPr="002576C5">
              <w:t xml:space="preserve">household contains a main tenant only, or a main tenant residing with a partner and/or the main tenant’s children. </w:t>
            </w:r>
            <w:r w:rsidRPr="002576C5">
              <w:rPr>
                <w:i/>
                <w:iCs/>
              </w:rPr>
              <w:t xml:space="preserve">Group households </w:t>
            </w:r>
            <w:r w:rsidRPr="002576C5">
              <w:t xml:space="preserve">consist of 2 or more tenants aged 16 or over who are not in a couple or parent–child relationship. </w:t>
            </w:r>
            <w:r w:rsidRPr="002576C5">
              <w:rPr>
                <w:i/>
                <w:iCs/>
              </w:rPr>
              <w:t xml:space="preserve">Mixed households </w:t>
            </w:r>
            <w:r w:rsidRPr="002576C5">
              <w:t>are households not described by the other two types</w:t>
            </w:r>
            <w:r w:rsidR="007D1214">
              <w:t xml:space="preserve"> </w:t>
            </w:r>
            <w:r w:rsidRPr="002576C5">
              <w:t>—</w:t>
            </w:r>
            <w:r w:rsidR="007D1214">
              <w:t xml:space="preserve"> </w:t>
            </w:r>
            <w:r w:rsidRPr="002576C5">
              <w:t>for example, multiple single</w:t>
            </w:r>
            <w:r w:rsidR="007D1214">
              <w:noBreakHyphen/>
            </w:r>
            <w:r w:rsidRPr="002576C5">
              <w:t>family households.</w:t>
            </w:r>
          </w:p>
          <w:p w:rsidR="00B76882" w:rsidRPr="002576C5" w:rsidRDefault="00B76882" w:rsidP="00AF7B70">
            <w:pPr>
              <w:pStyle w:val="TableBodyText"/>
              <w:spacing w:before="120" w:after="120"/>
              <w:jc w:val="both"/>
            </w:pPr>
            <w:r w:rsidRPr="002576C5">
              <w:t>For the purpose of the public</w:t>
            </w:r>
            <w:r w:rsidR="00AF7B70" w:rsidRPr="002576C5">
              <w:t xml:space="preserve"> housing, SOMIH and community and Indigenous community housing c</w:t>
            </w:r>
            <w:r w:rsidRPr="002576C5">
              <w:t>ollections, the number of tenancy agreements is the proxy for counting the number of households. A tenancy agreement is defined as a formal written agreement between a household (a person or group of people) and a housing provider, specifying details of a tenancy for a particular dwelling.</w:t>
            </w:r>
          </w:p>
        </w:tc>
      </w:tr>
      <w:tr w:rsidR="00B76882" w:rsidRPr="002576C5">
        <w:tc>
          <w:tcPr>
            <w:tcW w:w="2410" w:type="dxa"/>
          </w:tcPr>
          <w:p w:rsidR="00B76882" w:rsidRPr="002576C5" w:rsidRDefault="00B76882" w:rsidP="00DD2E7E">
            <w:pPr>
              <w:pStyle w:val="TableBodyText"/>
              <w:spacing w:before="120" w:after="120"/>
              <w:jc w:val="left"/>
            </w:pPr>
            <w:r w:rsidRPr="002576C5">
              <w:rPr>
                <w:b/>
              </w:rPr>
              <w:t>Low income household</w:t>
            </w:r>
          </w:p>
        </w:tc>
        <w:tc>
          <w:tcPr>
            <w:tcW w:w="6379" w:type="dxa"/>
          </w:tcPr>
          <w:p w:rsidR="00B76882" w:rsidRPr="002576C5" w:rsidRDefault="00897C4B" w:rsidP="00897C4B">
            <w:pPr>
              <w:pStyle w:val="TableBodyText"/>
              <w:spacing w:before="120" w:after="120"/>
              <w:jc w:val="both"/>
            </w:pPr>
            <w:r w:rsidRPr="002576C5">
              <w:t>A household whose equivalised gross income falls in the bottom two</w:t>
            </w:r>
            <w:r w:rsidR="007D1214">
              <w:noBreakHyphen/>
            </w:r>
            <w:r w:rsidRPr="002576C5">
              <w:t>fifths (40%) of the population. This measure does not necessarily indicate eligibility for government assistance targeted at low</w:t>
            </w:r>
            <w:r w:rsidR="007D1214">
              <w:noBreakHyphen/>
            </w:r>
            <w:r w:rsidRPr="002576C5">
              <w:t xml:space="preserve">income households, and assistance </w:t>
            </w:r>
            <w:r w:rsidRPr="002576C5">
              <w:lastRenderedPageBreak/>
              <w:t>may also be provided to households that do not meet this definition. This definition differs from that used by the ABS; it uses different definitions of low income for different purposes.</w:t>
            </w:r>
          </w:p>
        </w:tc>
      </w:tr>
      <w:tr w:rsidR="00B76882" w:rsidRPr="002576C5">
        <w:tc>
          <w:tcPr>
            <w:tcW w:w="2410" w:type="dxa"/>
          </w:tcPr>
          <w:p w:rsidR="00B76882" w:rsidRPr="002576C5" w:rsidRDefault="00B76882" w:rsidP="00DD2E7E">
            <w:pPr>
              <w:pStyle w:val="TableBodyText"/>
              <w:spacing w:before="120" w:after="120"/>
              <w:jc w:val="left"/>
            </w:pPr>
            <w:r w:rsidRPr="002576C5">
              <w:rPr>
                <w:b/>
              </w:rPr>
              <w:lastRenderedPageBreak/>
              <w:t>Maintenance costs</w:t>
            </w:r>
          </w:p>
        </w:tc>
        <w:tc>
          <w:tcPr>
            <w:tcW w:w="6379" w:type="dxa"/>
          </w:tcPr>
          <w:p w:rsidR="00B76882" w:rsidRPr="002576C5" w:rsidRDefault="00B76882" w:rsidP="00DD2E7E">
            <w:pPr>
              <w:pStyle w:val="TableBodyText"/>
              <w:spacing w:before="120" w:after="120"/>
              <w:jc w:val="both"/>
            </w:pPr>
            <w:r w:rsidRPr="002576C5">
              <w:t>Costs incurred to maintain the value of the asset or to restore an asset to its original condition. The definition includes day</w:t>
            </w:r>
            <w:r w:rsidR="0012329D" w:rsidRPr="002576C5">
              <w:t>–</w:t>
            </w:r>
            <w:r w:rsidRPr="002576C5">
              <w:t>to</w:t>
            </w:r>
            <w:r w:rsidR="0012329D" w:rsidRPr="002576C5">
              <w:t>–</w:t>
            </w:r>
            <w:r w:rsidRPr="002576C5">
              <w:t>day maintenance reflecting general wear and tear, cyclical maintenance, performed as part of a planned maintenance program and other maintenance, such as repairs as a result of vandalism.</w:t>
            </w:r>
          </w:p>
        </w:tc>
      </w:tr>
      <w:tr w:rsidR="00B76882" w:rsidRPr="002576C5" w:rsidTr="0033431F">
        <w:tc>
          <w:tcPr>
            <w:tcW w:w="2410" w:type="dxa"/>
          </w:tcPr>
          <w:p w:rsidR="00B76882" w:rsidRPr="002576C5" w:rsidRDefault="00B76882" w:rsidP="00DD2E7E">
            <w:pPr>
              <w:pStyle w:val="TableBodyText"/>
              <w:spacing w:before="120" w:after="120"/>
              <w:jc w:val="left"/>
            </w:pPr>
            <w:r w:rsidRPr="002576C5">
              <w:rPr>
                <w:b/>
              </w:rPr>
              <w:t>Market rent</w:t>
            </w:r>
          </w:p>
        </w:tc>
        <w:tc>
          <w:tcPr>
            <w:tcW w:w="6379" w:type="dxa"/>
          </w:tcPr>
          <w:p w:rsidR="00B76882" w:rsidRPr="002576C5" w:rsidRDefault="00B76882" w:rsidP="00DD2E7E">
            <w:pPr>
              <w:pStyle w:val="TableBodyText"/>
              <w:spacing w:before="120" w:after="120"/>
              <w:jc w:val="both"/>
            </w:pPr>
            <w:r w:rsidRPr="002576C5">
              <w:t>Aggregate market rent that would be collected if the public rental housing properties were available in the private market.</w:t>
            </w:r>
          </w:p>
        </w:tc>
      </w:tr>
      <w:tr w:rsidR="00B76882" w:rsidRPr="002576C5" w:rsidTr="0033431F">
        <w:tc>
          <w:tcPr>
            <w:tcW w:w="2410" w:type="dxa"/>
          </w:tcPr>
          <w:p w:rsidR="00B76882" w:rsidRPr="002576C5" w:rsidRDefault="00B76882" w:rsidP="00DD2E7E">
            <w:pPr>
              <w:pStyle w:val="TableBodyText"/>
              <w:spacing w:before="120" w:after="120"/>
              <w:jc w:val="left"/>
            </w:pPr>
            <w:r w:rsidRPr="002576C5">
              <w:rPr>
                <w:rFonts w:ascii="Times New Roman" w:hAnsi="Times New Roman"/>
              </w:rPr>
              <w:br w:type="page"/>
            </w:r>
            <w:r w:rsidRPr="002576C5">
              <w:rPr>
                <w:b/>
              </w:rPr>
              <w:t>New household</w:t>
            </w:r>
          </w:p>
        </w:tc>
        <w:tc>
          <w:tcPr>
            <w:tcW w:w="6379" w:type="dxa"/>
          </w:tcPr>
          <w:p w:rsidR="00B76882" w:rsidRPr="002576C5" w:rsidRDefault="00B76882" w:rsidP="00DD2E7E">
            <w:pPr>
              <w:pStyle w:val="TableBodyText"/>
              <w:spacing w:before="120" w:after="120"/>
              <w:jc w:val="both"/>
            </w:pPr>
            <w:r w:rsidRPr="002576C5">
              <w:t xml:space="preserve">Households that commence receiving assistance </w:t>
            </w:r>
            <w:r w:rsidR="007A0227" w:rsidRPr="002576C5">
              <w:t>during the relevant reporting period (financial year)</w:t>
            </w:r>
            <w:r w:rsidRPr="002576C5">
              <w:t>.</w:t>
            </w:r>
            <w:r w:rsidR="004121F9" w:rsidRPr="002576C5">
              <w:t xml:space="preserve"> A new household is recorded if the composition of the household changes i.e. if someone enters or leaves the household.</w:t>
            </w:r>
          </w:p>
        </w:tc>
      </w:tr>
      <w:tr w:rsidR="00B76882" w:rsidRPr="002576C5">
        <w:tc>
          <w:tcPr>
            <w:tcW w:w="2410" w:type="dxa"/>
          </w:tcPr>
          <w:p w:rsidR="00B76882" w:rsidRPr="002576C5" w:rsidRDefault="00B76882" w:rsidP="00DD2E7E">
            <w:pPr>
              <w:pStyle w:val="TableBodyText"/>
              <w:spacing w:before="120" w:after="120"/>
              <w:jc w:val="left"/>
            </w:pPr>
            <w:r w:rsidRPr="002576C5">
              <w:rPr>
                <w:rFonts w:ascii="Times New Roman" w:hAnsi="Times New Roman"/>
              </w:rPr>
              <w:br w:type="page"/>
            </w:r>
            <w:r w:rsidRPr="002576C5">
              <w:rPr>
                <w:b/>
              </w:rPr>
              <w:t>Occupancy rate</w:t>
            </w:r>
          </w:p>
        </w:tc>
        <w:tc>
          <w:tcPr>
            <w:tcW w:w="6379" w:type="dxa"/>
          </w:tcPr>
          <w:p w:rsidR="00B76882" w:rsidRPr="002576C5" w:rsidRDefault="002A4F70" w:rsidP="00DD2E7E">
            <w:pPr>
              <w:pStyle w:val="TableBodyText"/>
              <w:spacing w:before="120" w:after="120"/>
              <w:jc w:val="both"/>
            </w:pPr>
            <w:r w:rsidRPr="002576C5">
              <w:t>The number of dwellings occupied as a proportion of total dwellings.</w:t>
            </w:r>
          </w:p>
        </w:tc>
      </w:tr>
      <w:tr w:rsidR="00B76882" w:rsidRPr="002576C5">
        <w:tc>
          <w:tcPr>
            <w:tcW w:w="2410" w:type="dxa"/>
          </w:tcPr>
          <w:p w:rsidR="00B76882" w:rsidRPr="002576C5" w:rsidRDefault="00B76882" w:rsidP="00DD2E7E">
            <w:pPr>
              <w:pStyle w:val="TableBodyText"/>
              <w:spacing w:before="120" w:after="120"/>
              <w:jc w:val="left"/>
            </w:pPr>
            <w:r w:rsidRPr="002576C5">
              <w:rPr>
                <w:b/>
              </w:rPr>
              <w:t>Occupied dwelling</w:t>
            </w:r>
          </w:p>
        </w:tc>
        <w:tc>
          <w:tcPr>
            <w:tcW w:w="6379" w:type="dxa"/>
          </w:tcPr>
          <w:p w:rsidR="00B76882" w:rsidRPr="002576C5" w:rsidRDefault="00B76882" w:rsidP="00DD2E7E">
            <w:pPr>
              <w:pStyle w:val="TableBodyText"/>
              <w:spacing w:before="120" w:after="120"/>
              <w:jc w:val="both"/>
            </w:pPr>
            <w:r w:rsidRPr="002576C5">
              <w:t>Dwellings occupied by tenants who have a tenancy agreement with the relevant housing authority.</w:t>
            </w:r>
          </w:p>
        </w:tc>
      </w:tr>
      <w:tr w:rsidR="00B76882" w:rsidRPr="002576C5">
        <w:tc>
          <w:tcPr>
            <w:tcW w:w="2410" w:type="dxa"/>
          </w:tcPr>
          <w:p w:rsidR="00B76882" w:rsidRPr="002576C5" w:rsidRDefault="00B76882" w:rsidP="00DD2E7E">
            <w:pPr>
              <w:pStyle w:val="TableBodyText"/>
              <w:spacing w:before="120" w:after="120"/>
              <w:jc w:val="left"/>
            </w:pPr>
            <w:r w:rsidRPr="002576C5">
              <w:br w:type="page"/>
            </w:r>
            <w:r w:rsidRPr="002576C5">
              <w:rPr>
                <w:b/>
              </w:rPr>
              <w:t>Overcrowding</w:t>
            </w:r>
          </w:p>
        </w:tc>
        <w:tc>
          <w:tcPr>
            <w:tcW w:w="6379" w:type="dxa"/>
          </w:tcPr>
          <w:p w:rsidR="00B76882" w:rsidRPr="002576C5" w:rsidRDefault="002D590D" w:rsidP="00DD2E7E">
            <w:pPr>
              <w:pStyle w:val="TableBodyText"/>
              <w:spacing w:before="120" w:after="120"/>
              <w:jc w:val="both"/>
            </w:pPr>
            <w:r w:rsidRPr="002576C5">
              <w:rPr>
                <w:rFonts w:cs="Arial"/>
              </w:rPr>
              <w:t>A situation in a dwelling when one or more additional bedrooms are required to meet the Canadian National Occupancy Standard</w:t>
            </w:r>
            <w:r w:rsidR="00B76882" w:rsidRPr="002576C5">
              <w:rPr>
                <w:rFonts w:cs="Arial"/>
              </w:rPr>
              <w:t>.</w:t>
            </w:r>
          </w:p>
        </w:tc>
      </w:tr>
      <w:tr w:rsidR="00B76882" w:rsidRPr="002576C5">
        <w:tc>
          <w:tcPr>
            <w:tcW w:w="2410" w:type="dxa"/>
          </w:tcPr>
          <w:p w:rsidR="00B76882" w:rsidRPr="002576C5" w:rsidRDefault="00B76882" w:rsidP="00DD2E7E">
            <w:pPr>
              <w:pStyle w:val="TableBodyText"/>
              <w:spacing w:before="120" w:after="120"/>
              <w:jc w:val="left"/>
            </w:pPr>
            <w:r w:rsidRPr="002576C5">
              <w:rPr>
                <w:b/>
              </w:rPr>
              <w:t>Priority access to those in greatest need</w:t>
            </w:r>
          </w:p>
        </w:tc>
        <w:tc>
          <w:tcPr>
            <w:tcW w:w="6379" w:type="dxa"/>
          </w:tcPr>
          <w:p w:rsidR="00B76882" w:rsidRPr="002576C5" w:rsidRDefault="00B76882" w:rsidP="00DD2E7E">
            <w:pPr>
              <w:pStyle w:val="TableBodyText"/>
              <w:spacing w:before="120" w:after="120"/>
              <w:jc w:val="both"/>
            </w:pPr>
            <w:r w:rsidRPr="002576C5">
              <w:t>Allocation processes to ensure those in greatest need have first access to housing. This is measured as the proportion of new allocations to those in greatest need.</w:t>
            </w:r>
          </w:p>
        </w:tc>
      </w:tr>
      <w:tr w:rsidR="00B76882" w:rsidRPr="002576C5">
        <w:tc>
          <w:tcPr>
            <w:tcW w:w="2410" w:type="dxa"/>
          </w:tcPr>
          <w:p w:rsidR="00B76882" w:rsidRPr="002576C5" w:rsidRDefault="00B76882" w:rsidP="00DD2E7E">
            <w:pPr>
              <w:pStyle w:val="TableBodyText"/>
              <w:spacing w:before="120" w:after="120"/>
              <w:jc w:val="left"/>
            </w:pPr>
            <w:r w:rsidRPr="002576C5">
              <w:rPr>
                <w:b/>
              </w:rPr>
              <w:t>Principal tenant</w:t>
            </w:r>
          </w:p>
        </w:tc>
        <w:tc>
          <w:tcPr>
            <w:tcW w:w="6379" w:type="dxa"/>
          </w:tcPr>
          <w:p w:rsidR="00B76882" w:rsidRPr="002576C5" w:rsidRDefault="00B76882" w:rsidP="00DD2E7E">
            <w:pPr>
              <w:pStyle w:val="TableBodyText"/>
              <w:spacing w:before="120" w:after="120"/>
              <w:jc w:val="both"/>
            </w:pPr>
            <w:r w:rsidRPr="002576C5">
              <w:t>The person whose name appears on the tenancy agreement. Where this is not clear, it should be the person who is responsible for rental payments.</w:t>
            </w:r>
          </w:p>
        </w:tc>
      </w:tr>
      <w:tr w:rsidR="00986CD9" w:rsidRPr="002576C5">
        <w:tc>
          <w:tcPr>
            <w:tcW w:w="2410" w:type="dxa"/>
          </w:tcPr>
          <w:p w:rsidR="00986CD9" w:rsidRPr="002576C5" w:rsidRDefault="00986CD9" w:rsidP="00DD2E7E">
            <w:pPr>
              <w:pStyle w:val="TableBodyText"/>
              <w:spacing w:before="120" w:after="120"/>
              <w:jc w:val="left"/>
              <w:rPr>
                <w:b/>
              </w:rPr>
            </w:pPr>
            <w:r w:rsidRPr="002576C5">
              <w:rPr>
                <w:b/>
              </w:rPr>
              <w:t>Rebated household</w:t>
            </w:r>
          </w:p>
        </w:tc>
        <w:tc>
          <w:tcPr>
            <w:tcW w:w="6379" w:type="dxa"/>
          </w:tcPr>
          <w:p w:rsidR="00986CD9" w:rsidRPr="002576C5" w:rsidRDefault="008C6D75" w:rsidP="00DD2E7E">
            <w:pPr>
              <w:pStyle w:val="TableBodyText"/>
              <w:spacing w:before="120" w:after="120"/>
              <w:jc w:val="both"/>
            </w:pPr>
            <w:r w:rsidRPr="002576C5">
              <w:t xml:space="preserve">A household that receives housing assistance </w:t>
            </w:r>
            <w:r w:rsidR="00D414A2" w:rsidRPr="002576C5">
              <w:t xml:space="preserve">and </w:t>
            </w:r>
            <w:r w:rsidRPr="002576C5">
              <w:t>pay</w:t>
            </w:r>
            <w:r w:rsidR="00D414A2" w:rsidRPr="002576C5">
              <w:t>s</w:t>
            </w:r>
            <w:r w:rsidRPr="002576C5">
              <w:t xml:space="preserve"> less than the market rent value for the dwelling.</w:t>
            </w:r>
          </w:p>
        </w:tc>
      </w:tr>
      <w:tr w:rsidR="00F15B1D" w:rsidRPr="002576C5">
        <w:tc>
          <w:tcPr>
            <w:tcW w:w="2410" w:type="dxa"/>
          </w:tcPr>
          <w:p w:rsidR="00F15B1D" w:rsidRPr="002576C5" w:rsidRDefault="00F15B1D" w:rsidP="00DD2E7E">
            <w:pPr>
              <w:pStyle w:val="TableBodyText"/>
              <w:spacing w:before="120" w:after="120"/>
              <w:jc w:val="left"/>
              <w:rPr>
                <w:b/>
              </w:rPr>
            </w:pPr>
            <w:r w:rsidRPr="002576C5">
              <w:rPr>
                <w:b/>
              </w:rPr>
              <w:t>Remoteness areas</w:t>
            </w:r>
          </w:p>
        </w:tc>
        <w:tc>
          <w:tcPr>
            <w:tcW w:w="6379" w:type="dxa"/>
          </w:tcPr>
          <w:p w:rsidR="00F15B1D" w:rsidRPr="002576C5" w:rsidRDefault="00F15B1D" w:rsidP="00DD2E7E">
            <w:pPr>
              <w:pStyle w:val="TableBodyText"/>
              <w:spacing w:before="120" w:after="120"/>
              <w:jc w:val="both"/>
            </w:pPr>
            <w:r w:rsidRPr="002576C5">
              <w:t>An aggregation of non</w:t>
            </w:r>
            <w:r w:rsidR="007D1214">
              <w:noBreakHyphen/>
            </w:r>
            <w:r w:rsidRPr="002576C5">
              <w:t>continuous geographical areas which share common characteristics of remoteness. The delimitation criteria for remoteness areas (RAs) are based on the Accessibility/Remoteness Index or Australia (ARIA+) which measures the remoteness of a point based on the road distance to the nearest urban centre. Within the Australian Statistical Geography Standard, each RA is created from a grouping of Statistical Areas Level 1 having a particular degree of remoteness.</w:t>
            </w:r>
          </w:p>
          <w:p w:rsidR="00F15B1D" w:rsidRPr="002576C5" w:rsidRDefault="00F15B1D" w:rsidP="00DD2E7E">
            <w:pPr>
              <w:pStyle w:val="TableBodyText"/>
              <w:spacing w:before="120" w:after="120"/>
              <w:jc w:val="both"/>
            </w:pPr>
            <w:r w:rsidRPr="002576C5">
              <w:t>Remoteness areas comprise the following six categories:</w:t>
            </w:r>
          </w:p>
          <w:p w:rsidR="00F15B1D" w:rsidRPr="002576C5" w:rsidRDefault="00F15B1D" w:rsidP="00DD2E7E">
            <w:pPr>
              <w:pStyle w:val="TableBullet"/>
              <w:numPr>
                <w:ilvl w:val="0"/>
                <w:numId w:val="28"/>
              </w:numPr>
              <w:spacing w:before="120" w:after="120"/>
              <w:ind w:left="284" w:hanging="284"/>
              <w:jc w:val="both"/>
            </w:pPr>
            <w:r w:rsidRPr="002576C5">
              <w:t xml:space="preserve">major cities of Australia </w:t>
            </w:r>
          </w:p>
          <w:p w:rsidR="00F15B1D" w:rsidRPr="002576C5" w:rsidRDefault="00F15B1D" w:rsidP="00DD2E7E">
            <w:pPr>
              <w:pStyle w:val="TableBullet"/>
              <w:numPr>
                <w:ilvl w:val="0"/>
                <w:numId w:val="28"/>
              </w:numPr>
              <w:spacing w:before="120" w:after="120"/>
              <w:ind w:left="284" w:hanging="284"/>
              <w:jc w:val="both"/>
            </w:pPr>
            <w:r w:rsidRPr="002576C5">
              <w:t xml:space="preserve">inner regional Australia </w:t>
            </w:r>
          </w:p>
          <w:p w:rsidR="00F15B1D" w:rsidRPr="002576C5" w:rsidRDefault="00F15B1D" w:rsidP="00DD2E7E">
            <w:pPr>
              <w:pStyle w:val="TableBullet"/>
              <w:numPr>
                <w:ilvl w:val="0"/>
                <w:numId w:val="28"/>
              </w:numPr>
              <w:spacing w:before="120" w:after="120"/>
              <w:ind w:left="284" w:hanging="284"/>
              <w:jc w:val="both"/>
            </w:pPr>
            <w:r w:rsidRPr="002576C5">
              <w:t xml:space="preserve">outer regional Australia </w:t>
            </w:r>
          </w:p>
          <w:p w:rsidR="00F15B1D" w:rsidRPr="002576C5" w:rsidRDefault="00F15B1D" w:rsidP="00DD2E7E">
            <w:pPr>
              <w:pStyle w:val="TableBullet"/>
              <w:numPr>
                <w:ilvl w:val="0"/>
                <w:numId w:val="28"/>
              </w:numPr>
              <w:spacing w:before="120" w:after="120"/>
              <w:ind w:left="284" w:hanging="284"/>
              <w:jc w:val="both"/>
            </w:pPr>
            <w:r w:rsidRPr="002576C5">
              <w:t xml:space="preserve">remote Australia </w:t>
            </w:r>
          </w:p>
          <w:p w:rsidR="00F15B1D" w:rsidRPr="002576C5" w:rsidRDefault="00F15B1D" w:rsidP="00DD2E7E">
            <w:pPr>
              <w:pStyle w:val="TableBullet"/>
              <w:numPr>
                <w:ilvl w:val="0"/>
                <w:numId w:val="28"/>
              </w:numPr>
              <w:spacing w:before="120" w:after="120"/>
              <w:ind w:left="284" w:hanging="284"/>
              <w:jc w:val="both"/>
              <w:rPr>
                <w:szCs w:val="24"/>
              </w:rPr>
            </w:pPr>
            <w:r w:rsidRPr="002576C5">
              <w:t xml:space="preserve">very remote Australia </w:t>
            </w:r>
          </w:p>
          <w:p w:rsidR="00F15B1D" w:rsidRPr="002576C5" w:rsidRDefault="00F15B1D" w:rsidP="00DD2E7E">
            <w:pPr>
              <w:pStyle w:val="TableBullet"/>
              <w:numPr>
                <w:ilvl w:val="0"/>
                <w:numId w:val="28"/>
              </w:numPr>
              <w:spacing w:before="120" w:after="120"/>
              <w:ind w:left="284" w:hanging="284"/>
              <w:jc w:val="both"/>
              <w:rPr>
                <w:szCs w:val="24"/>
              </w:rPr>
            </w:pPr>
            <w:r w:rsidRPr="002576C5">
              <w:t xml:space="preserve">migratory — </w:t>
            </w:r>
            <w:proofErr w:type="spellStart"/>
            <w:r w:rsidRPr="002576C5">
              <w:t>off</w:t>
            </w:r>
            <w:r w:rsidR="007D1214">
              <w:noBreakHyphen/>
            </w:r>
            <w:r w:rsidRPr="002576C5">
              <w:t>shore</w:t>
            </w:r>
            <w:proofErr w:type="spellEnd"/>
            <w:r w:rsidRPr="002576C5">
              <w:t xml:space="preserve"> — shipping.</w:t>
            </w:r>
          </w:p>
        </w:tc>
      </w:tr>
      <w:tr w:rsidR="00B76882" w:rsidRPr="002576C5">
        <w:tc>
          <w:tcPr>
            <w:tcW w:w="2410" w:type="dxa"/>
          </w:tcPr>
          <w:p w:rsidR="00B76882" w:rsidRPr="002576C5" w:rsidRDefault="00B76882" w:rsidP="00DD2E7E">
            <w:pPr>
              <w:pStyle w:val="TableBodyText"/>
              <w:spacing w:before="120" w:after="120"/>
              <w:jc w:val="left"/>
            </w:pPr>
            <w:r w:rsidRPr="002576C5">
              <w:rPr>
                <w:b/>
              </w:rPr>
              <w:t>Rent charged</w:t>
            </w:r>
          </w:p>
        </w:tc>
        <w:tc>
          <w:tcPr>
            <w:tcW w:w="6379" w:type="dxa"/>
          </w:tcPr>
          <w:p w:rsidR="00B76882" w:rsidRPr="002576C5" w:rsidRDefault="00B76882" w:rsidP="00DD2E7E">
            <w:pPr>
              <w:pStyle w:val="TableBodyText"/>
              <w:spacing w:before="120" w:after="120"/>
              <w:jc w:val="both"/>
            </w:pPr>
            <w:r w:rsidRPr="002576C5">
              <w:t>The amount in dollars that households are charged based on the rents they are expected to pay. The rents charged to tenants may or may not have been received.</w:t>
            </w:r>
          </w:p>
        </w:tc>
      </w:tr>
      <w:tr w:rsidR="00B76882" w:rsidRPr="002576C5">
        <w:tc>
          <w:tcPr>
            <w:tcW w:w="2410" w:type="dxa"/>
          </w:tcPr>
          <w:p w:rsidR="00B76882" w:rsidRPr="002576C5" w:rsidRDefault="00B76882" w:rsidP="00DD2E7E">
            <w:pPr>
              <w:pStyle w:val="TableBodyText"/>
              <w:spacing w:before="120" w:after="120"/>
              <w:jc w:val="left"/>
            </w:pPr>
            <w:r w:rsidRPr="002576C5">
              <w:rPr>
                <w:b/>
              </w:rPr>
              <w:t>Special needs household</w:t>
            </w:r>
          </w:p>
        </w:tc>
        <w:tc>
          <w:tcPr>
            <w:tcW w:w="6379" w:type="dxa"/>
          </w:tcPr>
          <w:p w:rsidR="00E619E9" w:rsidRPr="002576C5" w:rsidRDefault="0084357A" w:rsidP="00DD2E7E">
            <w:pPr>
              <w:pStyle w:val="TableBodyText"/>
              <w:spacing w:before="120" w:after="120"/>
              <w:jc w:val="both"/>
            </w:pPr>
            <w:r w:rsidRPr="002576C5">
              <w:t>Households that have a member with</w:t>
            </w:r>
            <w:r w:rsidR="00DC793F" w:rsidRPr="002576C5">
              <w:t xml:space="preserve"> disability, a main tenant aged </w:t>
            </w:r>
            <w:r w:rsidRPr="002576C5">
              <w:t>under 25 or 75 and over, or households defined as Indigenous households. Indigenous households in SOMIH are not considered special needs households, as SOMIH is an Indigenous</w:t>
            </w:r>
            <w:r w:rsidR="0012329D" w:rsidRPr="002576C5">
              <w:t>–</w:t>
            </w:r>
            <w:r w:rsidRPr="002576C5">
              <w:t xml:space="preserve">targeted program. </w:t>
            </w:r>
            <w:r w:rsidR="00E619E9" w:rsidRPr="002576C5">
              <w:t xml:space="preserve">For SOMIH, special needs households are those that have either a household member with disability or a </w:t>
            </w:r>
            <w:r w:rsidR="00E619E9" w:rsidRPr="002576C5">
              <w:lastRenderedPageBreak/>
              <w:t>principal tenant aged 24 years or under, or 50 years or over.</w:t>
            </w:r>
          </w:p>
        </w:tc>
      </w:tr>
      <w:tr w:rsidR="00B76882" w:rsidRPr="002576C5">
        <w:tc>
          <w:tcPr>
            <w:tcW w:w="2410" w:type="dxa"/>
          </w:tcPr>
          <w:p w:rsidR="00B76882" w:rsidRPr="002576C5" w:rsidRDefault="00B76882" w:rsidP="00DD2E7E">
            <w:pPr>
              <w:pStyle w:val="TableBodyText"/>
              <w:spacing w:before="120" w:after="120"/>
              <w:jc w:val="left"/>
              <w:rPr>
                <w:snapToGrid w:val="0"/>
                <w:lang w:val="en-US"/>
              </w:rPr>
            </w:pPr>
            <w:r w:rsidRPr="002576C5">
              <w:rPr>
                <w:b/>
              </w:rPr>
              <w:lastRenderedPageBreak/>
              <w:t xml:space="preserve">Tenancy </w:t>
            </w:r>
            <w:r w:rsidR="004111E4" w:rsidRPr="002576C5">
              <w:rPr>
                <w:b/>
              </w:rPr>
              <w:t>(</w:t>
            </w:r>
            <w:r w:rsidRPr="002576C5">
              <w:rPr>
                <w:b/>
              </w:rPr>
              <w:t>rental</w:t>
            </w:r>
            <w:r w:rsidR="004111E4" w:rsidRPr="002576C5">
              <w:rPr>
                <w:b/>
              </w:rPr>
              <w:t>)</w:t>
            </w:r>
            <w:r w:rsidRPr="002576C5">
              <w:rPr>
                <w:b/>
              </w:rPr>
              <w:t xml:space="preserve"> unit</w:t>
            </w:r>
          </w:p>
        </w:tc>
        <w:tc>
          <w:tcPr>
            <w:tcW w:w="6379" w:type="dxa"/>
          </w:tcPr>
          <w:p w:rsidR="00B76882" w:rsidRPr="002576C5" w:rsidRDefault="004111E4" w:rsidP="00DD2E7E">
            <w:pPr>
              <w:pStyle w:val="TableBodyText"/>
              <w:spacing w:before="120" w:after="120"/>
              <w:jc w:val="both"/>
              <w:rPr>
                <w:snapToGrid w:val="0"/>
                <w:lang w:val="en-US"/>
              </w:rPr>
            </w:pPr>
            <w:r w:rsidRPr="002576C5">
              <w:t>A tenancy (rental) unit is the unit of accommodation for which a rental agreement can be made. In the majority of cases, there will be only one tenancy (rental) unit within a dwelling; in a small number of cases (for example, boarding houses, special group homes, semi</w:t>
            </w:r>
            <w:r w:rsidR="0012329D" w:rsidRPr="002576C5">
              <w:t>–</w:t>
            </w:r>
            <w:r w:rsidRPr="002576C5">
              <w:t>institutional dwellings), there may be more than one tenancy (rental) unit</w:t>
            </w:r>
            <w:r w:rsidR="00B76882" w:rsidRPr="002576C5">
              <w:t>.</w:t>
            </w:r>
          </w:p>
        </w:tc>
      </w:tr>
      <w:tr w:rsidR="00B76882" w:rsidRPr="002576C5">
        <w:tc>
          <w:tcPr>
            <w:tcW w:w="2410" w:type="dxa"/>
          </w:tcPr>
          <w:p w:rsidR="00B76882" w:rsidRPr="002576C5" w:rsidRDefault="00B76882" w:rsidP="00DD2E7E">
            <w:pPr>
              <w:pStyle w:val="TableBodyText"/>
              <w:spacing w:before="120" w:after="120"/>
              <w:jc w:val="left"/>
            </w:pPr>
            <w:r w:rsidRPr="002576C5">
              <w:rPr>
                <w:b/>
              </w:rPr>
              <w:t>Tenantable dwelling</w:t>
            </w:r>
          </w:p>
        </w:tc>
        <w:tc>
          <w:tcPr>
            <w:tcW w:w="6379" w:type="dxa"/>
          </w:tcPr>
          <w:p w:rsidR="00B76882" w:rsidRPr="002576C5" w:rsidRDefault="00B76882" w:rsidP="00DD2E7E">
            <w:pPr>
              <w:pStyle w:val="TableBodyText"/>
              <w:spacing w:before="120" w:after="120"/>
              <w:jc w:val="both"/>
            </w:pPr>
            <w:r w:rsidRPr="002576C5">
              <w:t>A dwelling where maintenance has been completed, whether occupied or unoccupied at 30 June. All occupied dwellings are tenantable.</w:t>
            </w:r>
          </w:p>
        </w:tc>
      </w:tr>
      <w:tr w:rsidR="00B76882" w:rsidRPr="002576C5" w:rsidTr="0033431F">
        <w:tc>
          <w:tcPr>
            <w:tcW w:w="2410" w:type="dxa"/>
          </w:tcPr>
          <w:p w:rsidR="00B76882" w:rsidRPr="002576C5" w:rsidRDefault="00B76882" w:rsidP="00DD2E7E">
            <w:pPr>
              <w:pStyle w:val="TableBodyText"/>
              <w:spacing w:before="120" w:after="120"/>
              <w:jc w:val="left"/>
            </w:pPr>
            <w:r w:rsidRPr="002576C5">
              <w:rPr>
                <w:b/>
              </w:rPr>
              <w:t>Total gross household income</w:t>
            </w:r>
          </w:p>
        </w:tc>
        <w:tc>
          <w:tcPr>
            <w:tcW w:w="6379" w:type="dxa"/>
          </w:tcPr>
          <w:p w:rsidR="00B76882" w:rsidRPr="002576C5" w:rsidRDefault="00B76882" w:rsidP="00DD2E7E">
            <w:pPr>
              <w:pStyle w:val="TableBodyText"/>
              <w:spacing w:before="120" w:after="120"/>
              <w:jc w:val="both"/>
            </w:pPr>
            <w:r w:rsidRPr="002576C5">
              <w:t>The value of gross weekly income from all sources (before deductions for income tax, superannuation etc.) for all household members, expressed as dollars per week. The main components of gross income are current usual wages and salary; income derived from self</w:t>
            </w:r>
            <w:r w:rsidR="0012329D" w:rsidRPr="002576C5">
              <w:t>–</w:t>
            </w:r>
            <w:r w:rsidRPr="002576C5">
              <w:t>employment, government pensions, benefits and allowances; and other income comprising investments and other regular income.</w:t>
            </w:r>
            <w:r w:rsidR="00A41EEE" w:rsidRPr="002576C5">
              <w:t xml:space="preserve"> C</w:t>
            </w:r>
            <w:r w:rsidR="002B3DB8" w:rsidRPr="002576C5">
              <w:t>RA</w:t>
            </w:r>
            <w:r w:rsidR="00F83F2F" w:rsidRPr="002576C5">
              <w:t xml:space="preserve"> </w:t>
            </w:r>
            <w:r w:rsidR="00A41EEE" w:rsidRPr="002576C5">
              <w:t>payments are not included</w:t>
            </w:r>
            <w:r w:rsidR="006125A0" w:rsidRPr="002576C5">
              <w:t xml:space="preserve"> as income</w:t>
            </w:r>
            <w:r w:rsidR="00A41EEE" w:rsidRPr="002576C5">
              <w:t>.</w:t>
            </w:r>
          </w:p>
        </w:tc>
      </w:tr>
      <w:tr w:rsidR="00B76882" w:rsidRPr="002576C5" w:rsidTr="0033431F">
        <w:tc>
          <w:tcPr>
            <w:tcW w:w="2410" w:type="dxa"/>
          </w:tcPr>
          <w:p w:rsidR="00B76882" w:rsidRPr="002576C5" w:rsidRDefault="00B76882" w:rsidP="00DD2E7E">
            <w:pPr>
              <w:pStyle w:val="TableBodyText"/>
              <w:spacing w:before="120" w:after="120"/>
              <w:jc w:val="left"/>
            </w:pPr>
            <w:r w:rsidRPr="002576C5">
              <w:rPr>
                <w:b/>
              </w:rPr>
              <w:t>Transfer household</w:t>
            </w:r>
          </w:p>
        </w:tc>
        <w:tc>
          <w:tcPr>
            <w:tcW w:w="6379" w:type="dxa"/>
          </w:tcPr>
          <w:p w:rsidR="00B76882" w:rsidRPr="002576C5" w:rsidRDefault="00B76882" w:rsidP="00DD2E7E">
            <w:pPr>
              <w:pStyle w:val="TableBodyText"/>
              <w:spacing w:before="120" w:after="120"/>
              <w:jc w:val="both"/>
            </w:pPr>
            <w:r w:rsidRPr="002576C5">
              <w:t xml:space="preserve">A household, either rebated or market renting, that relocates (transfers) from </w:t>
            </w:r>
            <w:r w:rsidR="00642D65" w:rsidRPr="002576C5">
              <w:t xml:space="preserve">one </w:t>
            </w:r>
            <w:r w:rsidRPr="002576C5">
              <w:t>dwelling to another</w:t>
            </w:r>
            <w:r w:rsidR="00642D65" w:rsidRPr="002576C5">
              <w:t xml:space="preserve"> within the same</w:t>
            </w:r>
            <w:r w:rsidR="00D02C38" w:rsidRPr="002576C5">
              <w:t xml:space="preserve"> social housing </w:t>
            </w:r>
            <w:r w:rsidR="00642D65" w:rsidRPr="002576C5">
              <w:t>program</w:t>
            </w:r>
            <w:r w:rsidRPr="002576C5">
              <w:t>.</w:t>
            </w:r>
            <w:r w:rsidR="00005B2C" w:rsidRPr="002576C5">
              <w:t xml:space="preserve"> In the community housing data collection, a transfer household is a household that transfers within a single community housing organisation’s portfolio (not across the sector). This leads to under</w:t>
            </w:r>
            <w:r w:rsidR="007D1214">
              <w:noBreakHyphen/>
            </w:r>
            <w:r w:rsidR="00005B2C" w:rsidRPr="002576C5">
              <w:t>reporting of transfers.</w:t>
            </w:r>
          </w:p>
        </w:tc>
      </w:tr>
      <w:tr w:rsidR="00B76882" w:rsidRPr="002576C5" w:rsidTr="0033431F">
        <w:tc>
          <w:tcPr>
            <w:tcW w:w="2410" w:type="dxa"/>
          </w:tcPr>
          <w:p w:rsidR="00B76882" w:rsidRPr="002576C5" w:rsidRDefault="00B76882" w:rsidP="00DD2E7E">
            <w:pPr>
              <w:pStyle w:val="TableBodyText"/>
              <w:spacing w:before="120" w:after="120"/>
              <w:jc w:val="left"/>
            </w:pPr>
            <w:r w:rsidRPr="002576C5">
              <w:rPr>
                <w:b/>
              </w:rPr>
              <w:t>Turnaround time</w:t>
            </w:r>
          </w:p>
        </w:tc>
        <w:tc>
          <w:tcPr>
            <w:tcW w:w="6379" w:type="dxa"/>
          </w:tcPr>
          <w:p w:rsidR="00B76882" w:rsidRPr="002576C5" w:rsidRDefault="00B76882" w:rsidP="00DD2E7E">
            <w:pPr>
              <w:pStyle w:val="TableBodyText"/>
              <w:spacing w:before="120" w:after="120"/>
              <w:jc w:val="both"/>
            </w:pPr>
            <w:r w:rsidRPr="002576C5">
              <w:t xml:space="preserve">The average </w:t>
            </w:r>
            <w:r w:rsidR="00D02C38" w:rsidRPr="002576C5">
              <w:t xml:space="preserve">time taken in days for </w:t>
            </w:r>
            <w:r w:rsidRPr="002576C5">
              <w:t>vacant dwellings</w:t>
            </w:r>
            <w:r w:rsidR="00D02C38" w:rsidRPr="002576C5">
              <w:t>,</w:t>
            </w:r>
            <w:r w:rsidR="00DC793F" w:rsidRPr="002576C5">
              <w:t xml:space="preserve"> which are available for letting</w:t>
            </w:r>
            <w:r w:rsidR="00D02C38" w:rsidRPr="002576C5">
              <w:t>,</w:t>
            </w:r>
            <w:r w:rsidRPr="002576C5">
              <w:t xml:space="preserve"> to be occupied.</w:t>
            </w:r>
          </w:p>
        </w:tc>
      </w:tr>
      <w:tr w:rsidR="00B76882" w:rsidRPr="002576C5" w:rsidTr="0033431F">
        <w:tc>
          <w:tcPr>
            <w:tcW w:w="2410" w:type="dxa"/>
          </w:tcPr>
          <w:p w:rsidR="00B76882" w:rsidRPr="002576C5" w:rsidRDefault="00B76882" w:rsidP="00DD2E7E">
            <w:pPr>
              <w:pStyle w:val="TableBodyText"/>
              <w:spacing w:before="120" w:after="120"/>
              <w:jc w:val="left"/>
            </w:pPr>
            <w:r w:rsidRPr="002576C5">
              <w:rPr>
                <w:b/>
              </w:rPr>
              <w:t>Underutilisation</w:t>
            </w:r>
          </w:p>
        </w:tc>
        <w:tc>
          <w:tcPr>
            <w:tcW w:w="6379" w:type="dxa"/>
          </w:tcPr>
          <w:p w:rsidR="00B514C4" w:rsidRPr="002576C5" w:rsidRDefault="000C73E9" w:rsidP="00DD2E7E">
            <w:pPr>
              <w:pStyle w:val="TableBodyText"/>
              <w:spacing w:before="120" w:after="120"/>
              <w:jc w:val="both"/>
              <w:rPr>
                <w:rStyle w:val="DraftingNote"/>
                <w:b w:val="0"/>
                <w:color w:val="auto"/>
                <w:sz w:val="20"/>
                <w:u w:val="none"/>
              </w:rPr>
            </w:pPr>
            <w:r w:rsidRPr="002576C5">
              <w:t xml:space="preserve">A situation where a dwelling contains </w:t>
            </w:r>
            <w:r w:rsidR="0088043D" w:rsidRPr="002576C5">
              <w:t xml:space="preserve">two </w:t>
            </w:r>
            <w:r w:rsidRPr="002576C5">
              <w:t>or more bedrooms surplus to the needs of the household occupying it, according to the Canadian National Occupancy Standard</w:t>
            </w:r>
            <w:r w:rsidR="00B76882" w:rsidRPr="002576C5">
              <w:t>.</w:t>
            </w:r>
          </w:p>
        </w:tc>
      </w:tr>
      <w:tr w:rsidR="00B76882" w:rsidRPr="002576C5">
        <w:tc>
          <w:tcPr>
            <w:tcW w:w="2410" w:type="dxa"/>
          </w:tcPr>
          <w:p w:rsidR="00B76882" w:rsidRPr="002576C5" w:rsidRDefault="00B76882" w:rsidP="00DD2E7E">
            <w:pPr>
              <w:pStyle w:val="TableBodyText"/>
              <w:spacing w:before="120" w:after="120"/>
              <w:jc w:val="left"/>
            </w:pPr>
            <w:proofErr w:type="spellStart"/>
            <w:r w:rsidRPr="002576C5">
              <w:rPr>
                <w:b/>
              </w:rPr>
              <w:t>Untenantable</w:t>
            </w:r>
            <w:proofErr w:type="spellEnd"/>
            <w:r w:rsidRPr="002576C5">
              <w:rPr>
                <w:b/>
              </w:rPr>
              <w:t xml:space="preserve"> dwelling</w:t>
            </w:r>
          </w:p>
        </w:tc>
        <w:tc>
          <w:tcPr>
            <w:tcW w:w="6379" w:type="dxa"/>
          </w:tcPr>
          <w:p w:rsidR="00B76882" w:rsidRPr="002576C5" w:rsidRDefault="00B76882" w:rsidP="00DD2E7E">
            <w:pPr>
              <w:pStyle w:val="TableBodyText"/>
              <w:spacing w:before="120" w:after="120"/>
              <w:jc w:val="both"/>
            </w:pPr>
            <w:r w:rsidRPr="002576C5">
              <w:t>A dwelling not currently occupied by a tenant, where maintenance has been either deferred or not completed at 30 June.</w:t>
            </w:r>
          </w:p>
        </w:tc>
      </w:tr>
    </w:tbl>
    <w:p w:rsidR="006131F2" w:rsidRPr="00430FB3" w:rsidRDefault="00722980" w:rsidP="000A0716">
      <w:pPr>
        <w:pStyle w:val="Heading2"/>
        <w:spacing w:before="120"/>
      </w:pPr>
      <w:r w:rsidRPr="002047FD">
        <w:rPr>
          <w:color w:val="FF0000"/>
        </w:rPr>
        <w:br w:type="page"/>
      </w:r>
      <w:bookmarkStart w:id="27" w:name="_Toc314211353"/>
      <w:bookmarkStart w:id="28" w:name="_Toc396143036"/>
      <w:bookmarkStart w:id="29" w:name="_Toc435724835"/>
      <w:r w:rsidR="00463387" w:rsidRPr="00FD1E41">
        <w:lastRenderedPageBreak/>
        <w:t>17.</w:t>
      </w:r>
      <w:r w:rsidR="009F2584" w:rsidRPr="00FD1E41">
        <w:t>6</w:t>
      </w:r>
      <w:r w:rsidR="006131F2" w:rsidRPr="00FD1E41">
        <w:tab/>
      </w:r>
      <w:r w:rsidR="001372CC" w:rsidRPr="00FD1E41">
        <w:t>List of a</w:t>
      </w:r>
      <w:r w:rsidR="006131F2" w:rsidRPr="00FD1E41">
        <w:t>ttachment tables</w:t>
      </w:r>
      <w:bookmarkEnd w:id="27"/>
      <w:bookmarkEnd w:id="28"/>
      <w:bookmarkEnd w:id="29"/>
    </w:p>
    <w:p w:rsidR="00801C91" w:rsidRPr="00430FB3" w:rsidRDefault="006131F2" w:rsidP="006131F2">
      <w:pPr>
        <w:pStyle w:val="BodyText"/>
      </w:pPr>
      <w:r w:rsidRPr="00430FB3">
        <w:t>Attachment tables are identified in references thro</w:t>
      </w:r>
      <w:r w:rsidR="00801C91" w:rsidRPr="00430FB3">
        <w:t>ughout this chapter by a</w:t>
      </w:r>
      <w:r w:rsidR="00A94DCA" w:rsidRPr="00430FB3">
        <w:t xml:space="preserve"> ‘</w:t>
      </w:r>
      <w:proofErr w:type="spellStart"/>
      <w:r w:rsidR="00B80C21" w:rsidRPr="00430FB3">
        <w:t>17A</w:t>
      </w:r>
      <w:proofErr w:type="spellEnd"/>
      <w:r w:rsidR="00A94DCA" w:rsidRPr="00430FB3">
        <w:t>’ </w:t>
      </w:r>
      <w:r w:rsidR="00457C2D" w:rsidRPr="00430FB3">
        <w:t>pre</w:t>
      </w:r>
      <w:r w:rsidR="00801C91" w:rsidRPr="00430FB3">
        <w:t>fix (for example, table</w:t>
      </w:r>
      <w:r w:rsidR="007D1214">
        <w:t> </w:t>
      </w:r>
      <w:proofErr w:type="spellStart"/>
      <w:r w:rsidR="00B80C21" w:rsidRPr="00430FB3">
        <w:t>17A</w:t>
      </w:r>
      <w:r w:rsidR="00801C91" w:rsidRPr="00430FB3">
        <w:t>.1</w:t>
      </w:r>
      <w:proofErr w:type="spellEnd"/>
      <w:r w:rsidRPr="00430FB3">
        <w:t xml:space="preserve">). Attachment tables are </w:t>
      </w:r>
      <w:r w:rsidR="00801C91" w:rsidRPr="00430FB3">
        <w:t>available</w:t>
      </w:r>
      <w:r w:rsidRPr="00430FB3">
        <w:t xml:space="preserve"> on the website </w:t>
      </w:r>
      <w:r w:rsidR="000A0716" w:rsidRPr="00430FB3">
        <w:t>(</w:t>
      </w:r>
      <w:proofErr w:type="spellStart"/>
      <w:r w:rsidR="000A0716" w:rsidRPr="00430FB3">
        <w:t>www.pc.gov.au</w:t>
      </w:r>
      <w:proofErr w:type="spellEnd"/>
      <w:r w:rsidR="000A0716" w:rsidRPr="00430FB3">
        <w:t>/</w:t>
      </w:r>
      <w:proofErr w:type="spellStart"/>
      <w:r w:rsidR="006861A0">
        <w:t>rogs</w:t>
      </w:r>
      <w:proofErr w:type="spellEnd"/>
      <w:r w:rsidR="006861A0">
        <w:t>/2016</w:t>
      </w:r>
      <w:r w:rsidR="000A0716" w:rsidRPr="00430FB3">
        <w:t>).</w:t>
      </w:r>
    </w:p>
    <w:p w:rsidR="000A0716" w:rsidRPr="00430FB3" w:rsidRDefault="000A0716" w:rsidP="00CA102E">
      <w:pPr>
        <w:pStyle w:val="BodyText"/>
        <w:spacing w:before="0"/>
      </w:pPr>
    </w:p>
    <w:tbl>
      <w:tblPr>
        <w:tblW w:w="8789" w:type="dxa"/>
        <w:tblInd w:w="108" w:type="dxa"/>
        <w:tblLook w:val="04A0" w:firstRow="1" w:lastRow="0" w:firstColumn="1" w:lastColumn="0" w:noHBand="0" w:noVBand="1"/>
      </w:tblPr>
      <w:tblGrid>
        <w:gridCol w:w="1456"/>
        <w:gridCol w:w="7333"/>
      </w:tblGrid>
      <w:tr w:rsidR="00A1707B" w:rsidRPr="00430FB3" w:rsidTr="00F44E27">
        <w:trPr>
          <w:trHeight w:val="357"/>
        </w:trPr>
        <w:tc>
          <w:tcPr>
            <w:tcW w:w="1456" w:type="dxa"/>
            <w:tcBorders>
              <w:left w:val="nil"/>
              <w:bottom w:val="nil"/>
              <w:right w:val="nil"/>
            </w:tcBorders>
            <w:shd w:val="clear" w:color="auto" w:fill="auto"/>
            <w:noWrap/>
            <w:hideMark/>
          </w:tcPr>
          <w:p w:rsidR="00A1707B" w:rsidRPr="00430FB3" w:rsidRDefault="00A1707B" w:rsidP="00513E19">
            <w:pPr>
              <w:spacing w:before="60" w:after="60"/>
              <w:rPr>
                <w:rFonts w:ascii="Arial" w:hAnsi="Arial" w:cs="Arial"/>
                <w:b/>
                <w:bCs/>
                <w:sz w:val="20"/>
                <w:szCs w:val="20"/>
              </w:rPr>
            </w:pPr>
            <w:r w:rsidRPr="00430FB3">
              <w:rPr>
                <w:rFonts w:ascii="Arial" w:hAnsi="Arial" w:cs="Arial"/>
                <w:b/>
                <w:bCs/>
                <w:sz w:val="20"/>
                <w:szCs w:val="20"/>
              </w:rPr>
              <w:t>Table</w:t>
            </w:r>
            <w:r w:rsidR="007D1214">
              <w:rPr>
                <w:rFonts w:ascii="Arial" w:hAnsi="Arial" w:cs="Arial"/>
                <w:b/>
                <w:bCs/>
                <w:sz w:val="20"/>
                <w:szCs w:val="20"/>
              </w:rPr>
              <w:t> </w:t>
            </w:r>
            <w:r w:rsidRPr="00430FB3">
              <w:rPr>
                <w:rFonts w:ascii="Arial" w:hAnsi="Arial" w:cs="Arial"/>
                <w:b/>
                <w:bCs/>
                <w:sz w:val="20"/>
                <w:szCs w:val="20"/>
              </w:rPr>
              <w:t>17A.1</w:t>
            </w:r>
          </w:p>
        </w:tc>
        <w:tc>
          <w:tcPr>
            <w:tcW w:w="7333" w:type="dxa"/>
            <w:tcBorders>
              <w:left w:val="nil"/>
              <w:bottom w:val="nil"/>
              <w:right w:val="nil"/>
            </w:tcBorders>
            <w:shd w:val="clear" w:color="auto" w:fill="auto"/>
            <w:hideMark/>
          </w:tcPr>
          <w:p w:rsidR="00A1707B" w:rsidRDefault="00A1707B">
            <w:pPr>
              <w:jc w:val="both"/>
              <w:rPr>
                <w:rFonts w:ascii="Arial" w:hAnsi="Arial" w:cs="Arial"/>
                <w:sz w:val="20"/>
                <w:szCs w:val="20"/>
              </w:rPr>
            </w:pPr>
            <w:r>
              <w:rPr>
                <w:rFonts w:ascii="Arial" w:hAnsi="Arial" w:cs="Arial"/>
                <w:sz w:val="20"/>
                <w:szCs w:val="20"/>
              </w:rPr>
              <w:t>State and Territory Government nominal expenditure on social housing</w:t>
            </w:r>
          </w:p>
        </w:tc>
      </w:tr>
      <w:tr w:rsidR="00A1707B" w:rsidRPr="00430FB3" w:rsidTr="00F44E27">
        <w:trPr>
          <w:trHeight w:val="357"/>
        </w:trPr>
        <w:tc>
          <w:tcPr>
            <w:tcW w:w="1456" w:type="dxa"/>
            <w:tcBorders>
              <w:top w:val="nil"/>
              <w:left w:val="nil"/>
              <w:bottom w:val="nil"/>
              <w:right w:val="nil"/>
            </w:tcBorders>
            <w:shd w:val="clear" w:color="auto" w:fill="auto"/>
            <w:noWrap/>
            <w:hideMark/>
          </w:tcPr>
          <w:p w:rsidR="00A1707B" w:rsidRPr="00430FB3" w:rsidRDefault="00A1707B" w:rsidP="00513E19">
            <w:pPr>
              <w:spacing w:before="60" w:after="60"/>
              <w:rPr>
                <w:rFonts w:ascii="Arial" w:hAnsi="Arial" w:cs="Arial"/>
                <w:b/>
                <w:bCs/>
                <w:sz w:val="20"/>
                <w:szCs w:val="20"/>
              </w:rPr>
            </w:pPr>
            <w:r w:rsidRPr="00430FB3">
              <w:rPr>
                <w:rFonts w:ascii="Arial" w:hAnsi="Arial" w:cs="Arial"/>
                <w:b/>
                <w:bCs/>
                <w:sz w:val="20"/>
                <w:szCs w:val="20"/>
              </w:rPr>
              <w:t>Table</w:t>
            </w:r>
            <w:r w:rsidR="007D1214">
              <w:rPr>
                <w:rFonts w:ascii="Arial" w:hAnsi="Arial" w:cs="Arial"/>
                <w:b/>
                <w:bCs/>
                <w:sz w:val="20"/>
                <w:szCs w:val="20"/>
              </w:rPr>
              <w:t> </w:t>
            </w:r>
            <w:proofErr w:type="spellStart"/>
            <w:r w:rsidRPr="00430FB3">
              <w:rPr>
                <w:rFonts w:ascii="Arial" w:hAnsi="Arial" w:cs="Arial"/>
                <w:b/>
                <w:bCs/>
                <w:sz w:val="20"/>
                <w:szCs w:val="20"/>
              </w:rPr>
              <w:t>17A.2</w:t>
            </w:r>
            <w:proofErr w:type="spellEnd"/>
          </w:p>
        </w:tc>
        <w:tc>
          <w:tcPr>
            <w:tcW w:w="7333" w:type="dxa"/>
            <w:tcBorders>
              <w:top w:val="nil"/>
              <w:left w:val="nil"/>
              <w:bottom w:val="nil"/>
              <w:right w:val="nil"/>
            </w:tcBorders>
            <w:shd w:val="clear" w:color="auto" w:fill="auto"/>
            <w:hideMark/>
          </w:tcPr>
          <w:p w:rsidR="00A1707B" w:rsidRDefault="00A1707B">
            <w:pPr>
              <w:jc w:val="both"/>
              <w:rPr>
                <w:rFonts w:ascii="Arial" w:hAnsi="Arial" w:cs="Arial"/>
                <w:sz w:val="20"/>
                <w:szCs w:val="20"/>
              </w:rPr>
            </w:pPr>
            <w:r>
              <w:rPr>
                <w:rFonts w:ascii="Arial" w:hAnsi="Arial" w:cs="Arial"/>
                <w:sz w:val="20"/>
                <w:szCs w:val="20"/>
              </w:rPr>
              <w:t>State and Territory Government real expenditure on social housing (2014</w:t>
            </w:r>
            <w:r w:rsidR="007D1214">
              <w:rPr>
                <w:rFonts w:ascii="Arial" w:hAnsi="Arial" w:cs="Arial"/>
                <w:sz w:val="20"/>
                <w:szCs w:val="20"/>
              </w:rPr>
              <w:noBreakHyphen/>
            </w:r>
            <w:r>
              <w:rPr>
                <w:rFonts w:ascii="Arial" w:hAnsi="Arial" w:cs="Arial"/>
                <w:sz w:val="20"/>
                <w:szCs w:val="20"/>
              </w:rPr>
              <w:t xml:space="preserve">15 dollars) </w:t>
            </w:r>
          </w:p>
        </w:tc>
      </w:tr>
      <w:tr w:rsidR="00A1707B" w:rsidRPr="00430FB3" w:rsidTr="00F44E27">
        <w:trPr>
          <w:trHeight w:val="357"/>
        </w:trPr>
        <w:tc>
          <w:tcPr>
            <w:tcW w:w="1456" w:type="dxa"/>
            <w:tcBorders>
              <w:top w:val="nil"/>
              <w:left w:val="nil"/>
              <w:bottom w:val="nil"/>
              <w:right w:val="nil"/>
            </w:tcBorders>
            <w:shd w:val="clear" w:color="auto" w:fill="auto"/>
            <w:noWrap/>
            <w:hideMark/>
          </w:tcPr>
          <w:p w:rsidR="00A1707B" w:rsidRPr="00430FB3" w:rsidRDefault="00A1707B" w:rsidP="00513E19">
            <w:pPr>
              <w:spacing w:before="60" w:after="60"/>
              <w:rPr>
                <w:rFonts w:ascii="Arial" w:hAnsi="Arial" w:cs="Arial"/>
                <w:b/>
                <w:bCs/>
                <w:sz w:val="20"/>
                <w:szCs w:val="20"/>
              </w:rPr>
            </w:pPr>
            <w:r w:rsidRPr="00430FB3">
              <w:rPr>
                <w:rFonts w:ascii="Arial" w:hAnsi="Arial" w:cs="Arial"/>
                <w:b/>
                <w:bCs/>
                <w:sz w:val="20"/>
                <w:szCs w:val="20"/>
              </w:rPr>
              <w:t>Table</w:t>
            </w:r>
            <w:r w:rsidR="007D1214">
              <w:rPr>
                <w:rFonts w:ascii="Arial" w:hAnsi="Arial" w:cs="Arial"/>
                <w:b/>
                <w:bCs/>
                <w:sz w:val="20"/>
                <w:szCs w:val="20"/>
              </w:rPr>
              <w:t> </w:t>
            </w:r>
            <w:proofErr w:type="spellStart"/>
            <w:r w:rsidRPr="00430FB3">
              <w:rPr>
                <w:rFonts w:ascii="Arial" w:hAnsi="Arial" w:cs="Arial"/>
                <w:b/>
                <w:bCs/>
                <w:sz w:val="20"/>
                <w:szCs w:val="20"/>
              </w:rPr>
              <w:t>17A.3</w:t>
            </w:r>
            <w:proofErr w:type="spellEnd"/>
          </w:p>
        </w:tc>
        <w:tc>
          <w:tcPr>
            <w:tcW w:w="7333" w:type="dxa"/>
            <w:tcBorders>
              <w:top w:val="nil"/>
              <w:left w:val="nil"/>
              <w:bottom w:val="nil"/>
              <w:right w:val="nil"/>
            </w:tcBorders>
            <w:shd w:val="clear" w:color="auto" w:fill="auto"/>
            <w:hideMark/>
          </w:tcPr>
          <w:p w:rsidR="00A1707B" w:rsidRDefault="00A1707B">
            <w:pPr>
              <w:jc w:val="both"/>
              <w:rPr>
                <w:rFonts w:ascii="Arial" w:hAnsi="Arial" w:cs="Arial"/>
                <w:sz w:val="20"/>
                <w:szCs w:val="20"/>
              </w:rPr>
            </w:pPr>
            <w:r>
              <w:rPr>
                <w:rFonts w:ascii="Arial" w:hAnsi="Arial" w:cs="Arial"/>
                <w:sz w:val="20"/>
                <w:szCs w:val="20"/>
              </w:rPr>
              <w:t xml:space="preserve">Descriptive data ― number of social housing dwellings, at 30 June  </w:t>
            </w:r>
          </w:p>
        </w:tc>
      </w:tr>
      <w:tr w:rsidR="00A1707B" w:rsidRPr="00430FB3" w:rsidTr="00F44E27">
        <w:trPr>
          <w:trHeight w:val="357"/>
        </w:trPr>
        <w:tc>
          <w:tcPr>
            <w:tcW w:w="1456" w:type="dxa"/>
            <w:tcBorders>
              <w:top w:val="nil"/>
              <w:left w:val="nil"/>
              <w:bottom w:val="nil"/>
              <w:right w:val="nil"/>
            </w:tcBorders>
            <w:shd w:val="clear" w:color="auto" w:fill="auto"/>
            <w:noWrap/>
            <w:hideMark/>
          </w:tcPr>
          <w:p w:rsidR="00A1707B" w:rsidRPr="00430FB3" w:rsidRDefault="00A1707B" w:rsidP="00513E19">
            <w:pPr>
              <w:spacing w:before="60" w:after="60"/>
              <w:rPr>
                <w:rFonts w:ascii="Arial" w:hAnsi="Arial" w:cs="Arial"/>
                <w:b/>
                <w:bCs/>
                <w:sz w:val="20"/>
                <w:szCs w:val="20"/>
              </w:rPr>
            </w:pPr>
            <w:r w:rsidRPr="00430FB3">
              <w:rPr>
                <w:rFonts w:ascii="Arial" w:hAnsi="Arial" w:cs="Arial"/>
                <w:b/>
                <w:bCs/>
                <w:sz w:val="20"/>
                <w:szCs w:val="20"/>
              </w:rPr>
              <w:t>Table</w:t>
            </w:r>
            <w:r w:rsidR="007D1214">
              <w:rPr>
                <w:rFonts w:ascii="Arial" w:hAnsi="Arial" w:cs="Arial"/>
                <w:b/>
                <w:bCs/>
                <w:sz w:val="20"/>
                <w:szCs w:val="20"/>
              </w:rPr>
              <w:t> </w:t>
            </w:r>
            <w:proofErr w:type="spellStart"/>
            <w:r w:rsidRPr="00430FB3">
              <w:rPr>
                <w:rFonts w:ascii="Arial" w:hAnsi="Arial" w:cs="Arial"/>
                <w:b/>
                <w:bCs/>
                <w:sz w:val="20"/>
                <w:szCs w:val="20"/>
              </w:rPr>
              <w:t>17A.4</w:t>
            </w:r>
            <w:proofErr w:type="spellEnd"/>
          </w:p>
        </w:tc>
        <w:tc>
          <w:tcPr>
            <w:tcW w:w="7333" w:type="dxa"/>
            <w:tcBorders>
              <w:top w:val="nil"/>
              <w:left w:val="nil"/>
              <w:bottom w:val="nil"/>
              <w:right w:val="nil"/>
            </w:tcBorders>
            <w:shd w:val="clear" w:color="auto" w:fill="auto"/>
            <w:hideMark/>
          </w:tcPr>
          <w:p w:rsidR="00A1707B" w:rsidRDefault="00A1707B">
            <w:pPr>
              <w:jc w:val="both"/>
              <w:rPr>
                <w:rFonts w:ascii="Arial" w:hAnsi="Arial" w:cs="Arial"/>
                <w:sz w:val="20"/>
                <w:szCs w:val="20"/>
              </w:rPr>
            </w:pPr>
            <w:r>
              <w:rPr>
                <w:rFonts w:ascii="Arial" w:hAnsi="Arial" w:cs="Arial"/>
                <w:sz w:val="20"/>
                <w:szCs w:val="20"/>
              </w:rPr>
              <w:t xml:space="preserve">Descriptive data ― number of households in social housing, at 30 June  </w:t>
            </w:r>
          </w:p>
        </w:tc>
      </w:tr>
      <w:tr w:rsidR="00A1707B" w:rsidRPr="00430FB3" w:rsidTr="00F44E27">
        <w:trPr>
          <w:trHeight w:val="357"/>
        </w:trPr>
        <w:tc>
          <w:tcPr>
            <w:tcW w:w="1456" w:type="dxa"/>
            <w:tcBorders>
              <w:top w:val="nil"/>
              <w:left w:val="nil"/>
              <w:bottom w:val="nil"/>
              <w:right w:val="nil"/>
            </w:tcBorders>
            <w:shd w:val="clear" w:color="auto" w:fill="auto"/>
            <w:noWrap/>
            <w:hideMark/>
          </w:tcPr>
          <w:p w:rsidR="00A1707B" w:rsidRPr="00430FB3" w:rsidRDefault="00A1707B" w:rsidP="00513E19">
            <w:pPr>
              <w:spacing w:before="60" w:after="60"/>
              <w:rPr>
                <w:rFonts w:ascii="Arial" w:hAnsi="Arial" w:cs="Arial"/>
                <w:b/>
                <w:bCs/>
                <w:sz w:val="20"/>
                <w:szCs w:val="20"/>
              </w:rPr>
            </w:pPr>
            <w:r w:rsidRPr="00430FB3">
              <w:rPr>
                <w:rFonts w:ascii="Arial" w:hAnsi="Arial" w:cs="Arial"/>
                <w:b/>
                <w:bCs/>
                <w:sz w:val="20"/>
                <w:szCs w:val="20"/>
              </w:rPr>
              <w:t>Table</w:t>
            </w:r>
            <w:r w:rsidR="007D1214">
              <w:rPr>
                <w:rFonts w:ascii="Arial" w:hAnsi="Arial" w:cs="Arial"/>
                <w:b/>
                <w:bCs/>
                <w:sz w:val="20"/>
                <w:szCs w:val="20"/>
              </w:rPr>
              <w:t> </w:t>
            </w:r>
            <w:proofErr w:type="spellStart"/>
            <w:r w:rsidRPr="00430FB3">
              <w:rPr>
                <w:rFonts w:ascii="Arial" w:hAnsi="Arial" w:cs="Arial"/>
                <w:b/>
                <w:bCs/>
                <w:sz w:val="20"/>
                <w:szCs w:val="20"/>
              </w:rPr>
              <w:t>17A.5</w:t>
            </w:r>
            <w:proofErr w:type="spellEnd"/>
          </w:p>
        </w:tc>
        <w:tc>
          <w:tcPr>
            <w:tcW w:w="7333" w:type="dxa"/>
            <w:tcBorders>
              <w:top w:val="nil"/>
              <w:left w:val="nil"/>
              <w:bottom w:val="nil"/>
              <w:right w:val="nil"/>
            </w:tcBorders>
            <w:shd w:val="clear" w:color="auto" w:fill="auto"/>
            <w:hideMark/>
          </w:tcPr>
          <w:p w:rsidR="00A1707B" w:rsidRDefault="00A1707B">
            <w:pPr>
              <w:jc w:val="both"/>
              <w:rPr>
                <w:rFonts w:ascii="Arial" w:hAnsi="Arial" w:cs="Arial"/>
                <w:sz w:val="20"/>
                <w:szCs w:val="20"/>
              </w:rPr>
            </w:pPr>
            <w:r>
              <w:rPr>
                <w:rFonts w:ascii="Arial" w:hAnsi="Arial" w:cs="Arial"/>
                <w:sz w:val="20"/>
                <w:szCs w:val="20"/>
              </w:rPr>
              <w:t xml:space="preserve">Descriptive data ― public housing, at 30 June  </w:t>
            </w:r>
          </w:p>
        </w:tc>
      </w:tr>
      <w:tr w:rsidR="00A1707B" w:rsidRPr="00430FB3" w:rsidTr="00F44E27">
        <w:trPr>
          <w:trHeight w:val="357"/>
        </w:trPr>
        <w:tc>
          <w:tcPr>
            <w:tcW w:w="1456" w:type="dxa"/>
            <w:tcBorders>
              <w:top w:val="nil"/>
              <w:left w:val="nil"/>
              <w:bottom w:val="nil"/>
              <w:right w:val="nil"/>
            </w:tcBorders>
            <w:shd w:val="clear" w:color="auto" w:fill="auto"/>
            <w:noWrap/>
            <w:hideMark/>
          </w:tcPr>
          <w:p w:rsidR="00A1707B" w:rsidRPr="00430FB3" w:rsidRDefault="00A1707B" w:rsidP="00513E19">
            <w:pPr>
              <w:spacing w:before="60" w:after="60"/>
              <w:rPr>
                <w:rFonts w:ascii="Arial" w:hAnsi="Arial" w:cs="Arial"/>
                <w:b/>
                <w:bCs/>
                <w:sz w:val="20"/>
                <w:szCs w:val="20"/>
              </w:rPr>
            </w:pPr>
            <w:r w:rsidRPr="00430FB3">
              <w:rPr>
                <w:rFonts w:ascii="Arial" w:hAnsi="Arial" w:cs="Arial"/>
                <w:b/>
                <w:bCs/>
                <w:sz w:val="20"/>
                <w:szCs w:val="20"/>
              </w:rPr>
              <w:t>Table</w:t>
            </w:r>
            <w:r w:rsidR="007D1214">
              <w:rPr>
                <w:rFonts w:ascii="Arial" w:hAnsi="Arial" w:cs="Arial"/>
                <w:b/>
                <w:bCs/>
                <w:sz w:val="20"/>
                <w:szCs w:val="20"/>
              </w:rPr>
              <w:t> </w:t>
            </w:r>
            <w:proofErr w:type="spellStart"/>
            <w:r w:rsidRPr="00430FB3">
              <w:rPr>
                <w:rFonts w:ascii="Arial" w:hAnsi="Arial" w:cs="Arial"/>
                <w:b/>
                <w:bCs/>
                <w:sz w:val="20"/>
                <w:szCs w:val="20"/>
              </w:rPr>
              <w:t>17A.6</w:t>
            </w:r>
            <w:proofErr w:type="spellEnd"/>
          </w:p>
        </w:tc>
        <w:tc>
          <w:tcPr>
            <w:tcW w:w="7333" w:type="dxa"/>
            <w:tcBorders>
              <w:top w:val="nil"/>
              <w:left w:val="nil"/>
              <w:bottom w:val="nil"/>
              <w:right w:val="nil"/>
            </w:tcBorders>
            <w:shd w:val="clear" w:color="auto" w:fill="auto"/>
            <w:hideMark/>
          </w:tcPr>
          <w:p w:rsidR="00A1707B" w:rsidRDefault="00A1707B">
            <w:pPr>
              <w:jc w:val="both"/>
              <w:rPr>
                <w:rFonts w:ascii="Arial" w:hAnsi="Arial" w:cs="Arial"/>
                <w:sz w:val="20"/>
                <w:szCs w:val="20"/>
              </w:rPr>
            </w:pPr>
            <w:r>
              <w:rPr>
                <w:rFonts w:ascii="Arial" w:hAnsi="Arial" w:cs="Arial"/>
                <w:sz w:val="20"/>
                <w:szCs w:val="20"/>
              </w:rPr>
              <w:t xml:space="preserve">Descriptive data ― State owned and managed Indigenous housing, at 30 June  </w:t>
            </w:r>
          </w:p>
        </w:tc>
      </w:tr>
      <w:tr w:rsidR="00A1707B" w:rsidRPr="00430FB3" w:rsidTr="00F44E27">
        <w:trPr>
          <w:trHeight w:val="357"/>
        </w:trPr>
        <w:tc>
          <w:tcPr>
            <w:tcW w:w="1456" w:type="dxa"/>
            <w:tcBorders>
              <w:top w:val="nil"/>
              <w:left w:val="nil"/>
              <w:bottom w:val="nil"/>
              <w:right w:val="nil"/>
            </w:tcBorders>
            <w:shd w:val="clear" w:color="auto" w:fill="auto"/>
            <w:noWrap/>
            <w:hideMark/>
          </w:tcPr>
          <w:p w:rsidR="00A1707B" w:rsidRPr="00430FB3" w:rsidRDefault="00A1707B" w:rsidP="00513E19">
            <w:pPr>
              <w:spacing w:before="60" w:after="60"/>
              <w:rPr>
                <w:rFonts w:ascii="Arial" w:hAnsi="Arial" w:cs="Arial"/>
                <w:b/>
                <w:bCs/>
                <w:sz w:val="20"/>
                <w:szCs w:val="20"/>
              </w:rPr>
            </w:pPr>
            <w:r w:rsidRPr="00430FB3">
              <w:rPr>
                <w:rFonts w:ascii="Arial" w:hAnsi="Arial" w:cs="Arial"/>
                <w:b/>
                <w:bCs/>
                <w:sz w:val="20"/>
                <w:szCs w:val="20"/>
              </w:rPr>
              <w:t>Table</w:t>
            </w:r>
            <w:r w:rsidR="007D1214">
              <w:rPr>
                <w:rFonts w:ascii="Arial" w:hAnsi="Arial" w:cs="Arial"/>
                <w:b/>
                <w:bCs/>
                <w:sz w:val="20"/>
                <w:szCs w:val="20"/>
              </w:rPr>
              <w:t> </w:t>
            </w:r>
            <w:proofErr w:type="spellStart"/>
            <w:r w:rsidRPr="00430FB3">
              <w:rPr>
                <w:rFonts w:ascii="Arial" w:hAnsi="Arial" w:cs="Arial"/>
                <w:b/>
                <w:bCs/>
                <w:sz w:val="20"/>
                <w:szCs w:val="20"/>
              </w:rPr>
              <w:t>17A.7</w:t>
            </w:r>
            <w:proofErr w:type="spellEnd"/>
          </w:p>
        </w:tc>
        <w:tc>
          <w:tcPr>
            <w:tcW w:w="7333" w:type="dxa"/>
            <w:tcBorders>
              <w:top w:val="nil"/>
              <w:left w:val="nil"/>
              <w:bottom w:val="nil"/>
              <w:right w:val="nil"/>
            </w:tcBorders>
            <w:shd w:val="clear" w:color="auto" w:fill="auto"/>
            <w:hideMark/>
          </w:tcPr>
          <w:p w:rsidR="00A1707B" w:rsidRDefault="00A1707B">
            <w:pPr>
              <w:jc w:val="both"/>
              <w:rPr>
                <w:rFonts w:ascii="Arial" w:hAnsi="Arial" w:cs="Arial"/>
                <w:sz w:val="20"/>
                <w:szCs w:val="20"/>
              </w:rPr>
            </w:pPr>
            <w:r>
              <w:rPr>
                <w:rFonts w:ascii="Arial" w:hAnsi="Arial" w:cs="Arial"/>
                <w:sz w:val="20"/>
                <w:szCs w:val="20"/>
              </w:rPr>
              <w:t xml:space="preserve">Descriptive data ― community housing, at 30 June </w:t>
            </w:r>
          </w:p>
        </w:tc>
      </w:tr>
      <w:tr w:rsidR="00A1707B" w:rsidRPr="00430FB3" w:rsidTr="00F44E27">
        <w:trPr>
          <w:trHeight w:val="357"/>
        </w:trPr>
        <w:tc>
          <w:tcPr>
            <w:tcW w:w="1456" w:type="dxa"/>
            <w:tcBorders>
              <w:top w:val="nil"/>
              <w:left w:val="nil"/>
              <w:bottom w:val="nil"/>
              <w:right w:val="nil"/>
            </w:tcBorders>
            <w:shd w:val="clear" w:color="auto" w:fill="auto"/>
            <w:noWrap/>
            <w:hideMark/>
          </w:tcPr>
          <w:p w:rsidR="00A1707B" w:rsidRPr="00430FB3" w:rsidRDefault="00A1707B" w:rsidP="00513E19">
            <w:pPr>
              <w:spacing w:before="60" w:after="60"/>
              <w:rPr>
                <w:rFonts w:ascii="Arial" w:hAnsi="Arial" w:cs="Arial"/>
                <w:b/>
                <w:bCs/>
                <w:sz w:val="20"/>
                <w:szCs w:val="20"/>
              </w:rPr>
            </w:pPr>
            <w:r w:rsidRPr="00430FB3">
              <w:rPr>
                <w:rFonts w:ascii="Arial" w:hAnsi="Arial" w:cs="Arial"/>
                <w:b/>
                <w:bCs/>
                <w:sz w:val="20"/>
                <w:szCs w:val="20"/>
              </w:rPr>
              <w:t>Table</w:t>
            </w:r>
            <w:r w:rsidR="007D1214">
              <w:rPr>
                <w:rFonts w:ascii="Arial" w:hAnsi="Arial" w:cs="Arial"/>
                <w:b/>
                <w:bCs/>
                <w:sz w:val="20"/>
                <w:szCs w:val="20"/>
              </w:rPr>
              <w:t> </w:t>
            </w:r>
            <w:proofErr w:type="spellStart"/>
            <w:r w:rsidRPr="00430FB3">
              <w:rPr>
                <w:rFonts w:ascii="Arial" w:hAnsi="Arial" w:cs="Arial"/>
                <w:b/>
                <w:bCs/>
                <w:sz w:val="20"/>
                <w:szCs w:val="20"/>
              </w:rPr>
              <w:t>17A.8</w:t>
            </w:r>
            <w:proofErr w:type="spellEnd"/>
          </w:p>
        </w:tc>
        <w:tc>
          <w:tcPr>
            <w:tcW w:w="7333" w:type="dxa"/>
            <w:tcBorders>
              <w:top w:val="nil"/>
              <w:left w:val="nil"/>
              <w:bottom w:val="nil"/>
              <w:right w:val="nil"/>
            </w:tcBorders>
            <w:shd w:val="clear" w:color="auto" w:fill="auto"/>
            <w:hideMark/>
          </w:tcPr>
          <w:p w:rsidR="00A1707B" w:rsidRDefault="00A1707B">
            <w:pPr>
              <w:jc w:val="both"/>
              <w:rPr>
                <w:rFonts w:ascii="Arial" w:hAnsi="Arial" w:cs="Arial"/>
                <w:sz w:val="20"/>
                <w:szCs w:val="20"/>
              </w:rPr>
            </w:pPr>
            <w:r>
              <w:rPr>
                <w:rFonts w:ascii="Arial" w:hAnsi="Arial" w:cs="Arial"/>
                <w:sz w:val="20"/>
                <w:szCs w:val="20"/>
              </w:rPr>
              <w:t xml:space="preserve">Descriptive data ― Indigenous community housing, at 30 June     </w:t>
            </w:r>
          </w:p>
        </w:tc>
      </w:tr>
      <w:tr w:rsidR="00A1707B" w:rsidRPr="00430FB3" w:rsidTr="00F44E27">
        <w:trPr>
          <w:trHeight w:val="612"/>
        </w:trPr>
        <w:tc>
          <w:tcPr>
            <w:tcW w:w="1456" w:type="dxa"/>
            <w:tcBorders>
              <w:top w:val="nil"/>
              <w:left w:val="nil"/>
              <w:bottom w:val="nil"/>
              <w:right w:val="nil"/>
            </w:tcBorders>
            <w:shd w:val="clear" w:color="auto" w:fill="auto"/>
            <w:noWrap/>
            <w:hideMark/>
          </w:tcPr>
          <w:p w:rsidR="00A1707B" w:rsidRPr="00430FB3" w:rsidRDefault="00A1707B" w:rsidP="00513E19">
            <w:pPr>
              <w:spacing w:before="60" w:after="60"/>
              <w:rPr>
                <w:rFonts w:ascii="Arial" w:hAnsi="Arial" w:cs="Arial"/>
                <w:b/>
                <w:bCs/>
                <w:sz w:val="20"/>
                <w:szCs w:val="20"/>
              </w:rPr>
            </w:pPr>
            <w:r w:rsidRPr="00430FB3">
              <w:rPr>
                <w:rFonts w:ascii="Arial" w:hAnsi="Arial" w:cs="Arial"/>
                <w:b/>
                <w:bCs/>
                <w:sz w:val="20"/>
                <w:szCs w:val="20"/>
              </w:rPr>
              <w:t>Table</w:t>
            </w:r>
            <w:r w:rsidR="007D1214">
              <w:rPr>
                <w:rFonts w:ascii="Arial" w:hAnsi="Arial" w:cs="Arial"/>
                <w:b/>
                <w:bCs/>
                <w:sz w:val="20"/>
                <w:szCs w:val="20"/>
              </w:rPr>
              <w:t> </w:t>
            </w:r>
            <w:proofErr w:type="spellStart"/>
            <w:r w:rsidRPr="00430FB3">
              <w:rPr>
                <w:rFonts w:ascii="Arial" w:hAnsi="Arial" w:cs="Arial"/>
                <w:b/>
                <w:bCs/>
                <w:sz w:val="20"/>
                <w:szCs w:val="20"/>
              </w:rPr>
              <w:t>17A.9</w:t>
            </w:r>
            <w:proofErr w:type="spellEnd"/>
          </w:p>
        </w:tc>
        <w:tc>
          <w:tcPr>
            <w:tcW w:w="7333" w:type="dxa"/>
            <w:tcBorders>
              <w:top w:val="nil"/>
              <w:left w:val="nil"/>
              <w:bottom w:val="nil"/>
              <w:right w:val="nil"/>
            </w:tcBorders>
            <w:shd w:val="clear" w:color="auto" w:fill="auto"/>
            <w:hideMark/>
          </w:tcPr>
          <w:p w:rsidR="00A1707B" w:rsidRDefault="00A1707B">
            <w:pPr>
              <w:jc w:val="both"/>
              <w:rPr>
                <w:rFonts w:ascii="Arial" w:hAnsi="Arial" w:cs="Arial"/>
                <w:sz w:val="20"/>
                <w:szCs w:val="20"/>
              </w:rPr>
            </w:pPr>
            <w:r>
              <w:rPr>
                <w:rFonts w:ascii="Arial" w:hAnsi="Arial" w:cs="Arial"/>
                <w:sz w:val="20"/>
                <w:szCs w:val="20"/>
              </w:rPr>
              <w:t xml:space="preserve">Greatest need allocations as a proportion of all new allocations — public housing (per cent) </w:t>
            </w:r>
          </w:p>
        </w:tc>
      </w:tr>
      <w:tr w:rsidR="00A1707B" w:rsidRPr="00430FB3" w:rsidTr="00F44E27">
        <w:trPr>
          <w:trHeight w:val="612"/>
        </w:trPr>
        <w:tc>
          <w:tcPr>
            <w:tcW w:w="1456" w:type="dxa"/>
            <w:tcBorders>
              <w:top w:val="nil"/>
              <w:left w:val="nil"/>
              <w:bottom w:val="nil"/>
              <w:right w:val="nil"/>
            </w:tcBorders>
            <w:shd w:val="clear" w:color="auto" w:fill="auto"/>
            <w:noWrap/>
            <w:hideMark/>
          </w:tcPr>
          <w:p w:rsidR="00A1707B" w:rsidRPr="00430FB3" w:rsidRDefault="00A1707B" w:rsidP="00513E19">
            <w:pPr>
              <w:spacing w:before="60" w:after="60"/>
              <w:rPr>
                <w:rFonts w:ascii="Arial" w:hAnsi="Arial" w:cs="Arial"/>
                <w:b/>
                <w:bCs/>
                <w:sz w:val="20"/>
                <w:szCs w:val="20"/>
              </w:rPr>
            </w:pPr>
            <w:r w:rsidRPr="00430FB3">
              <w:rPr>
                <w:rFonts w:ascii="Arial" w:hAnsi="Arial" w:cs="Arial"/>
                <w:b/>
                <w:bCs/>
                <w:sz w:val="20"/>
                <w:szCs w:val="20"/>
              </w:rPr>
              <w:t>Table</w:t>
            </w:r>
            <w:r w:rsidR="007D1214">
              <w:rPr>
                <w:rFonts w:ascii="Arial" w:hAnsi="Arial" w:cs="Arial"/>
                <w:b/>
                <w:bCs/>
                <w:sz w:val="20"/>
                <w:szCs w:val="20"/>
              </w:rPr>
              <w:t> </w:t>
            </w:r>
            <w:proofErr w:type="spellStart"/>
            <w:r w:rsidRPr="00430FB3">
              <w:rPr>
                <w:rFonts w:ascii="Arial" w:hAnsi="Arial" w:cs="Arial"/>
                <w:b/>
                <w:bCs/>
                <w:sz w:val="20"/>
                <w:szCs w:val="20"/>
              </w:rPr>
              <w:t>17A.10</w:t>
            </w:r>
            <w:proofErr w:type="spellEnd"/>
          </w:p>
        </w:tc>
        <w:tc>
          <w:tcPr>
            <w:tcW w:w="7333" w:type="dxa"/>
            <w:tcBorders>
              <w:top w:val="nil"/>
              <w:left w:val="nil"/>
              <w:bottom w:val="nil"/>
              <w:right w:val="nil"/>
            </w:tcBorders>
            <w:shd w:val="clear" w:color="auto" w:fill="auto"/>
            <w:hideMark/>
          </w:tcPr>
          <w:p w:rsidR="00A1707B" w:rsidRDefault="00A1707B">
            <w:pPr>
              <w:jc w:val="both"/>
              <w:rPr>
                <w:rFonts w:ascii="Arial" w:hAnsi="Arial" w:cs="Arial"/>
                <w:sz w:val="20"/>
                <w:szCs w:val="20"/>
              </w:rPr>
            </w:pPr>
            <w:r>
              <w:rPr>
                <w:rFonts w:ascii="Arial" w:hAnsi="Arial" w:cs="Arial"/>
                <w:sz w:val="20"/>
                <w:szCs w:val="20"/>
              </w:rPr>
              <w:t xml:space="preserve">Greatest need allocations as a proportion of all new allocations — SOMIH (per cent) </w:t>
            </w:r>
          </w:p>
        </w:tc>
      </w:tr>
      <w:tr w:rsidR="00A1707B" w:rsidRPr="00430FB3" w:rsidTr="00F44E27">
        <w:trPr>
          <w:trHeight w:val="612"/>
        </w:trPr>
        <w:tc>
          <w:tcPr>
            <w:tcW w:w="1456" w:type="dxa"/>
            <w:tcBorders>
              <w:top w:val="nil"/>
              <w:left w:val="nil"/>
              <w:bottom w:val="nil"/>
              <w:right w:val="nil"/>
            </w:tcBorders>
            <w:shd w:val="clear" w:color="auto" w:fill="auto"/>
            <w:noWrap/>
            <w:hideMark/>
          </w:tcPr>
          <w:p w:rsidR="00A1707B" w:rsidRPr="00430FB3" w:rsidRDefault="00A1707B" w:rsidP="00513E19">
            <w:pPr>
              <w:spacing w:before="60" w:after="60"/>
              <w:rPr>
                <w:rFonts w:ascii="Arial" w:hAnsi="Arial" w:cs="Arial"/>
                <w:b/>
                <w:bCs/>
                <w:sz w:val="20"/>
                <w:szCs w:val="20"/>
              </w:rPr>
            </w:pPr>
            <w:r w:rsidRPr="00430FB3">
              <w:rPr>
                <w:rFonts w:ascii="Arial" w:hAnsi="Arial" w:cs="Arial"/>
                <w:b/>
                <w:bCs/>
                <w:sz w:val="20"/>
                <w:szCs w:val="20"/>
              </w:rPr>
              <w:t>Table</w:t>
            </w:r>
            <w:r w:rsidR="007D1214">
              <w:rPr>
                <w:rFonts w:ascii="Arial" w:hAnsi="Arial" w:cs="Arial"/>
                <w:b/>
                <w:bCs/>
                <w:sz w:val="20"/>
                <w:szCs w:val="20"/>
              </w:rPr>
              <w:t> </w:t>
            </w:r>
            <w:proofErr w:type="spellStart"/>
            <w:r w:rsidRPr="00430FB3">
              <w:rPr>
                <w:rFonts w:ascii="Arial" w:hAnsi="Arial" w:cs="Arial"/>
                <w:b/>
                <w:bCs/>
                <w:sz w:val="20"/>
                <w:szCs w:val="20"/>
              </w:rPr>
              <w:t>17A.11</w:t>
            </w:r>
            <w:proofErr w:type="spellEnd"/>
          </w:p>
        </w:tc>
        <w:tc>
          <w:tcPr>
            <w:tcW w:w="7333" w:type="dxa"/>
            <w:tcBorders>
              <w:top w:val="nil"/>
              <w:left w:val="nil"/>
              <w:bottom w:val="nil"/>
              <w:right w:val="nil"/>
            </w:tcBorders>
            <w:shd w:val="clear" w:color="auto" w:fill="auto"/>
            <w:hideMark/>
          </w:tcPr>
          <w:p w:rsidR="00A1707B" w:rsidRDefault="00A1707B">
            <w:pPr>
              <w:jc w:val="both"/>
              <w:rPr>
                <w:rFonts w:ascii="Arial" w:hAnsi="Arial" w:cs="Arial"/>
                <w:sz w:val="20"/>
                <w:szCs w:val="20"/>
              </w:rPr>
            </w:pPr>
            <w:r>
              <w:rPr>
                <w:rFonts w:ascii="Arial" w:hAnsi="Arial" w:cs="Arial"/>
                <w:sz w:val="20"/>
                <w:szCs w:val="20"/>
              </w:rPr>
              <w:t xml:space="preserve">Greatest need allocations as a proportion of all new allocations — community housing (per cent) </w:t>
            </w:r>
          </w:p>
        </w:tc>
      </w:tr>
      <w:tr w:rsidR="00A1707B" w:rsidRPr="00430FB3" w:rsidTr="00F44E27">
        <w:trPr>
          <w:trHeight w:val="612"/>
        </w:trPr>
        <w:tc>
          <w:tcPr>
            <w:tcW w:w="1456" w:type="dxa"/>
            <w:tcBorders>
              <w:top w:val="nil"/>
              <w:left w:val="nil"/>
              <w:bottom w:val="nil"/>
              <w:right w:val="nil"/>
            </w:tcBorders>
            <w:shd w:val="clear" w:color="auto" w:fill="auto"/>
            <w:noWrap/>
            <w:hideMark/>
          </w:tcPr>
          <w:p w:rsidR="00A1707B" w:rsidRPr="00430FB3" w:rsidRDefault="00A1707B" w:rsidP="00513E19">
            <w:pPr>
              <w:spacing w:before="60" w:after="60"/>
              <w:rPr>
                <w:rFonts w:ascii="Arial" w:hAnsi="Arial" w:cs="Arial"/>
                <w:b/>
                <w:bCs/>
                <w:sz w:val="20"/>
                <w:szCs w:val="20"/>
              </w:rPr>
            </w:pPr>
            <w:r w:rsidRPr="00430FB3">
              <w:rPr>
                <w:rFonts w:ascii="Arial" w:hAnsi="Arial" w:cs="Arial"/>
                <w:b/>
                <w:bCs/>
                <w:sz w:val="20"/>
                <w:szCs w:val="20"/>
              </w:rPr>
              <w:t>Table</w:t>
            </w:r>
            <w:r w:rsidR="007D1214">
              <w:rPr>
                <w:rFonts w:ascii="Arial" w:hAnsi="Arial" w:cs="Arial"/>
                <w:b/>
                <w:bCs/>
                <w:sz w:val="20"/>
                <w:szCs w:val="20"/>
              </w:rPr>
              <w:t> </w:t>
            </w:r>
            <w:proofErr w:type="spellStart"/>
            <w:r w:rsidRPr="00430FB3">
              <w:rPr>
                <w:rFonts w:ascii="Arial" w:hAnsi="Arial" w:cs="Arial"/>
                <w:b/>
                <w:bCs/>
                <w:sz w:val="20"/>
                <w:szCs w:val="20"/>
              </w:rPr>
              <w:t>17A.12</w:t>
            </w:r>
            <w:proofErr w:type="spellEnd"/>
          </w:p>
        </w:tc>
        <w:tc>
          <w:tcPr>
            <w:tcW w:w="7333" w:type="dxa"/>
            <w:tcBorders>
              <w:top w:val="nil"/>
              <w:left w:val="nil"/>
              <w:bottom w:val="nil"/>
              <w:right w:val="nil"/>
            </w:tcBorders>
            <w:shd w:val="clear" w:color="auto" w:fill="auto"/>
            <w:hideMark/>
          </w:tcPr>
          <w:p w:rsidR="00A1707B" w:rsidRDefault="00A1707B">
            <w:pPr>
              <w:jc w:val="both"/>
              <w:rPr>
                <w:rFonts w:ascii="Arial" w:hAnsi="Arial" w:cs="Arial"/>
                <w:sz w:val="20"/>
                <w:szCs w:val="20"/>
              </w:rPr>
            </w:pPr>
            <w:r>
              <w:rPr>
                <w:rFonts w:ascii="Arial" w:hAnsi="Arial" w:cs="Arial"/>
                <w:sz w:val="20"/>
                <w:szCs w:val="20"/>
              </w:rPr>
              <w:t xml:space="preserve">Proportion of new tenancies allocated to households with special needs —  public housing (per cent)  </w:t>
            </w:r>
          </w:p>
        </w:tc>
      </w:tr>
      <w:tr w:rsidR="00A1707B" w:rsidRPr="00430FB3" w:rsidTr="00F44E27">
        <w:trPr>
          <w:trHeight w:val="357"/>
        </w:trPr>
        <w:tc>
          <w:tcPr>
            <w:tcW w:w="1456" w:type="dxa"/>
            <w:tcBorders>
              <w:top w:val="nil"/>
              <w:left w:val="nil"/>
              <w:bottom w:val="nil"/>
              <w:right w:val="nil"/>
            </w:tcBorders>
            <w:shd w:val="clear" w:color="auto" w:fill="auto"/>
            <w:noWrap/>
            <w:hideMark/>
          </w:tcPr>
          <w:p w:rsidR="00A1707B" w:rsidRPr="00430FB3" w:rsidRDefault="00A1707B" w:rsidP="00513E19">
            <w:pPr>
              <w:spacing w:before="60" w:after="60"/>
              <w:rPr>
                <w:rFonts w:ascii="Arial" w:hAnsi="Arial" w:cs="Arial"/>
                <w:b/>
                <w:bCs/>
                <w:sz w:val="20"/>
                <w:szCs w:val="20"/>
              </w:rPr>
            </w:pPr>
            <w:r w:rsidRPr="00430FB3">
              <w:rPr>
                <w:rFonts w:ascii="Arial" w:hAnsi="Arial" w:cs="Arial"/>
                <w:b/>
                <w:bCs/>
                <w:sz w:val="20"/>
                <w:szCs w:val="20"/>
              </w:rPr>
              <w:t>Table</w:t>
            </w:r>
            <w:r w:rsidR="007D1214">
              <w:rPr>
                <w:rFonts w:ascii="Arial" w:hAnsi="Arial" w:cs="Arial"/>
                <w:b/>
                <w:bCs/>
                <w:sz w:val="20"/>
                <w:szCs w:val="20"/>
              </w:rPr>
              <w:t> </w:t>
            </w:r>
            <w:proofErr w:type="spellStart"/>
            <w:r w:rsidRPr="00430FB3">
              <w:rPr>
                <w:rFonts w:ascii="Arial" w:hAnsi="Arial" w:cs="Arial"/>
                <w:b/>
                <w:bCs/>
                <w:sz w:val="20"/>
                <w:szCs w:val="20"/>
              </w:rPr>
              <w:t>17A.13</w:t>
            </w:r>
            <w:proofErr w:type="spellEnd"/>
          </w:p>
        </w:tc>
        <w:tc>
          <w:tcPr>
            <w:tcW w:w="7333" w:type="dxa"/>
            <w:tcBorders>
              <w:top w:val="nil"/>
              <w:left w:val="nil"/>
              <w:bottom w:val="nil"/>
              <w:right w:val="nil"/>
            </w:tcBorders>
            <w:shd w:val="clear" w:color="auto" w:fill="auto"/>
            <w:hideMark/>
          </w:tcPr>
          <w:p w:rsidR="00A1707B" w:rsidRDefault="00A1707B">
            <w:pPr>
              <w:jc w:val="both"/>
              <w:rPr>
                <w:rFonts w:ascii="Arial" w:hAnsi="Arial" w:cs="Arial"/>
                <w:sz w:val="20"/>
                <w:szCs w:val="20"/>
              </w:rPr>
            </w:pPr>
            <w:r>
              <w:rPr>
                <w:rFonts w:ascii="Arial" w:hAnsi="Arial" w:cs="Arial"/>
                <w:sz w:val="20"/>
                <w:szCs w:val="20"/>
              </w:rPr>
              <w:t xml:space="preserve">Proportion of new tenancies allocated to households with special needs — SOMIH (per cent)  </w:t>
            </w:r>
          </w:p>
        </w:tc>
      </w:tr>
      <w:tr w:rsidR="00A1707B" w:rsidRPr="00430FB3" w:rsidTr="00F44E27">
        <w:trPr>
          <w:trHeight w:val="612"/>
        </w:trPr>
        <w:tc>
          <w:tcPr>
            <w:tcW w:w="1456" w:type="dxa"/>
            <w:tcBorders>
              <w:top w:val="nil"/>
              <w:left w:val="nil"/>
              <w:bottom w:val="nil"/>
              <w:right w:val="nil"/>
            </w:tcBorders>
            <w:shd w:val="clear" w:color="auto" w:fill="auto"/>
            <w:noWrap/>
            <w:hideMark/>
          </w:tcPr>
          <w:p w:rsidR="00A1707B" w:rsidRPr="00430FB3" w:rsidRDefault="00A1707B" w:rsidP="00513E19">
            <w:pPr>
              <w:spacing w:before="60" w:after="60"/>
              <w:rPr>
                <w:rFonts w:ascii="Arial" w:hAnsi="Arial" w:cs="Arial"/>
                <w:b/>
                <w:bCs/>
                <w:sz w:val="20"/>
                <w:szCs w:val="20"/>
              </w:rPr>
            </w:pPr>
            <w:r w:rsidRPr="00430FB3">
              <w:rPr>
                <w:rFonts w:ascii="Arial" w:hAnsi="Arial" w:cs="Arial"/>
                <w:b/>
                <w:bCs/>
                <w:sz w:val="20"/>
                <w:szCs w:val="20"/>
              </w:rPr>
              <w:t>Table</w:t>
            </w:r>
            <w:r w:rsidR="007D1214">
              <w:rPr>
                <w:rFonts w:ascii="Arial" w:hAnsi="Arial" w:cs="Arial"/>
                <w:b/>
                <w:bCs/>
                <w:sz w:val="20"/>
                <w:szCs w:val="20"/>
              </w:rPr>
              <w:t> </w:t>
            </w:r>
            <w:proofErr w:type="spellStart"/>
            <w:r w:rsidRPr="00430FB3">
              <w:rPr>
                <w:rFonts w:ascii="Arial" w:hAnsi="Arial" w:cs="Arial"/>
                <w:b/>
                <w:bCs/>
                <w:sz w:val="20"/>
                <w:szCs w:val="20"/>
              </w:rPr>
              <w:t>17A.14</w:t>
            </w:r>
            <w:proofErr w:type="spellEnd"/>
          </w:p>
        </w:tc>
        <w:tc>
          <w:tcPr>
            <w:tcW w:w="7333" w:type="dxa"/>
            <w:tcBorders>
              <w:top w:val="nil"/>
              <w:left w:val="nil"/>
              <w:bottom w:val="nil"/>
              <w:right w:val="nil"/>
            </w:tcBorders>
            <w:shd w:val="clear" w:color="auto" w:fill="auto"/>
            <w:hideMark/>
          </w:tcPr>
          <w:p w:rsidR="00A1707B" w:rsidRDefault="00A1707B">
            <w:pPr>
              <w:jc w:val="both"/>
              <w:rPr>
                <w:rFonts w:ascii="Arial" w:hAnsi="Arial" w:cs="Arial"/>
                <w:sz w:val="20"/>
                <w:szCs w:val="20"/>
              </w:rPr>
            </w:pPr>
            <w:r>
              <w:rPr>
                <w:rFonts w:ascii="Arial" w:hAnsi="Arial" w:cs="Arial"/>
                <w:sz w:val="20"/>
                <w:szCs w:val="20"/>
              </w:rPr>
              <w:t xml:space="preserve">Proportion of new tenancies allocated to households with special needs — community housing (per cent)    </w:t>
            </w:r>
          </w:p>
        </w:tc>
      </w:tr>
      <w:tr w:rsidR="00A1707B" w:rsidRPr="00430FB3" w:rsidTr="00F44E27">
        <w:trPr>
          <w:trHeight w:val="357"/>
        </w:trPr>
        <w:tc>
          <w:tcPr>
            <w:tcW w:w="1456" w:type="dxa"/>
            <w:tcBorders>
              <w:top w:val="nil"/>
              <w:left w:val="nil"/>
              <w:bottom w:val="nil"/>
              <w:right w:val="nil"/>
            </w:tcBorders>
            <w:shd w:val="clear" w:color="auto" w:fill="auto"/>
            <w:noWrap/>
            <w:hideMark/>
          </w:tcPr>
          <w:p w:rsidR="00A1707B" w:rsidRPr="00430FB3" w:rsidRDefault="00A1707B" w:rsidP="00513E19">
            <w:pPr>
              <w:spacing w:before="60" w:after="60"/>
              <w:rPr>
                <w:rFonts w:ascii="Arial" w:hAnsi="Arial" w:cs="Arial"/>
                <w:b/>
                <w:bCs/>
                <w:sz w:val="20"/>
                <w:szCs w:val="20"/>
              </w:rPr>
            </w:pPr>
            <w:r w:rsidRPr="00430FB3">
              <w:rPr>
                <w:rFonts w:ascii="Arial" w:hAnsi="Arial" w:cs="Arial"/>
                <w:b/>
                <w:bCs/>
                <w:sz w:val="20"/>
                <w:szCs w:val="20"/>
              </w:rPr>
              <w:t>Table</w:t>
            </w:r>
            <w:r w:rsidR="007D1214">
              <w:rPr>
                <w:rFonts w:ascii="Arial" w:hAnsi="Arial" w:cs="Arial"/>
                <w:b/>
                <w:bCs/>
                <w:sz w:val="20"/>
                <w:szCs w:val="20"/>
              </w:rPr>
              <w:t> </w:t>
            </w:r>
            <w:proofErr w:type="spellStart"/>
            <w:r w:rsidRPr="00430FB3">
              <w:rPr>
                <w:rFonts w:ascii="Arial" w:hAnsi="Arial" w:cs="Arial"/>
                <w:b/>
                <w:bCs/>
                <w:sz w:val="20"/>
                <w:szCs w:val="20"/>
              </w:rPr>
              <w:t>17A.15</w:t>
            </w:r>
            <w:proofErr w:type="spellEnd"/>
          </w:p>
        </w:tc>
        <w:tc>
          <w:tcPr>
            <w:tcW w:w="7333" w:type="dxa"/>
            <w:tcBorders>
              <w:top w:val="nil"/>
              <w:left w:val="nil"/>
              <w:bottom w:val="nil"/>
              <w:right w:val="nil"/>
            </w:tcBorders>
            <w:shd w:val="clear" w:color="auto" w:fill="auto"/>
            <w:hideMark/>
          </w:tcPr>
          <w:p w:rsidR="00A1707B" w:rsidRDefault="00A1707B">
            <w:pPr>
              <w:jc w:val="both"/>
              <w:rPr>
                <w:rFonts w:ascii="Arial" w:hAnsi="Arial" w:cs="Arial"/>
                <w:sz w:val="20"/>
                <w:szCs w:val="20"/>
              </w:rPr>
            </w:pPr>
            <w:r>
              <w:rPr>
                <w:rFonts w:ascii="Arial" w:hAnsi="Arial" w:cs="Arial"/>
                <w:sz w:val="20"/>
                <w:szCs w:val="20"/>
              </w:rPr>
              <w:t xml:space="preserve">Dwelling condition, public housing, 2014 (per cent)   </w:t>
            </w:r>
          </w:p>
        </w:tc>
      </w:tr>
      <w:tr w:rsidR="00A1707B" w:rsidRPr="00430FB3" w:rsidTr="00F44E27">
        <w:trPr>
          <w:trHeight w:val="357"/>
        </w:trPr>
        <w:tc>
          <w:tcPr>
            <w:tcW w:w="1456" w:type="dxa"/>
            <w:tcBorders>
              <w:top w:val="nil"/>
              <w:left w:val="nil"/>
              <w:bottom w:val="nil"/>
              <w:right w:val="nil"/>
            </w:tcBorders>
            <w:shd w:val="clear" w:color="auto" w:fill="auto"/>
            <w:noWrap/>
            <w:hideMark/>
          </w:tcPr>
          <w:p w:rsidR="00A1707B" w:rsidRPr="00430FB3" w:rsidRDefault="00A1707B" w:rsidP="00513E19">
            <w:pPr>
              <w:spacing w:before="60" w:after="60"/>
              <w:rPr>
                <w:rFonts w:ascii="Arial" w:hAnsi="Arial" w:cs="Arial"/>
                <w:b/>
                <w:bCs/>
                <w:sz w:val="20"/>
                <w:szCs w:val="20"/>
              </w:rPr>
            </w:pPr>
            <w:r w:rsidRPr="00430FB3">
              <w:rPr>
                <w:rFonts w:ascii="Arial" w:hAnsi="Arial" w:cs="Arial"/>
                <w:b/>
                <w:bCs/>
                <w:sz w:val="20"/>
                <w:szCs w:val="20"/>
              </w:rPr>
              <w:t>Table</w:t>
            </w:r>
            <w:r w:rsidR="007D1214">
              <w:rPr>
                <w:rFonts w:ascii="Arial" w:hAnsi="Arial" w:cs="Arial"/>
                <w:b/>
                <w:bCs/>
                <w:sz w:val="20"/>
                <w:szCs w:val="20"/>
              </w:rPr>
              <w:t> </w:t>
            </w:r>
            <w:proofErr w:type="spellStart"/>
            <w:r w:rsidRPr="00430FB3">
              <w:rPr>
                <w:rFonts w:ascii="Arial" w:hAnsi="Arial" w:cs="Arial"/>
                <w:b/>
                <w:bCs/>
                <w:sz w:val="20"/>
                <w:szCs w:val="20"/>
              </w:rPr>
              <w:t>17A.16</w:t>
            </w:r>
            <w:proofErr w:type="spellEnd"/>
          </w:p>
        </w:tc>
        <w:tc>
          <w:tcPr>
            <w:tcW w:w="7333" w:type="dxa"/>
            <w:tcBorders>
              <w:top w:val="nil"/>
              <w:left w:val="nil"/>
              <w:bottom w:val="nil"/>
              <w:right w:val="nil"/>
            </w:tcBorders>
            <w:shd w:val="clear" w:color="auto" w:fill="auto"/>
            <w:hideMark/>
          </w:tcPr>
          <w:p w:rsidR="00A1707B" w:rsidRDefault="00A1707B">
            <w:pPr>
              <w:jc w:val="both"/>
              <w:rPr>
                <w:rFonts w:ascii="Arial" w:hAnsi="Arial" w:cs="Arial"/>
                <w:sz w:val="20"/>
                <w:szCs w:val="20"/>
              </w:rPr>
            </w:pPr>
            <w:r>
              <w:rPr>
                <w:rFonts w:ascii="Arial" w:hAnsi="Arial" w:cs="Arial"/>
                <w:sz w:val="20"/>
                <w:szCs w:val="20"/>
              </w:rPr>
              <w:t xml:space="preserve">Dwelling condition, SOMIH, 2014 (per cent)    </w:t>
            </w:r>
          </w:p>
        </w:tc>
      </w:tr>
      <w:tr w:rsidR="00A1707B" w:rsidRPr="00430FB3" w:rsidTr="00F44E27">
        <w:trPr>
          <w:trHeight w:val="357"/>
        </w:trPr>
        <w:tc>
          <w:tcPr>
            <w:tcW w:w="1456" w:type="dxa"/>
            <w:tcBorders>
              <w:top w:val="nil"/>
              <w:left w:val="nil"/>
              <w:bottom w:val="nil"/>
              <w:right w:val="nil"/>
            </w:tcBorders>
            <w:shd w:val="clear" w:color="auto" w:fill="auto"/>
            <w:noWrap/>
            <w:hideMark/>
          </w:tcPr>
          <w:p w:rsidR="00A1707B" w:rsidRPr="00430FB3" w:rsidRDefault="00A1707B" w:rsidP="00513E19">
            <w:pPr>
              <w:spacing w:before="60" w:after="60"/>
              <w:rPr>
                <w:rFonts w:ascii="Arial" w:hAnsi="Arial" w:cs="Arial"/>
                <w:b/>
                <w:bCs/>
                <w:sz w:val="20"/>
                <w:szCs w:val="20"/>
              </w:rPr>
            </w:pPr>
            <w:r w:rsidRPr="00430FB3">
              <w:rPr>
                <w:rFonts w:ascii="Arial" w:hAnsi="Arial" w:cs="Arial"/>
                <w:b/>
                <w:bCs/>
                <w:sz w:val="20"/>
                <w:szCs w:val="20"/>
              </w:rPr>
              <w:t>Table</w:t>
            </w:r>
            <w:r w:rsidR="007D1214">
              <w:rPr>
                <w:rFonts w:ascii="Arial" w:hAnsi="Arial" w:cs="Arial"/>
                <w:b/>
                <w:bCs/>
                <w:sz w:val="20"/>
                <w:szCs w:val="20"/>
              </w:rPr>
              <w:t> </w:t>
            </w:r>
            <w:proofErr w:type="spellStart"/>
            <w:r w:rsidRPr="00430FB3">
              <w:rPr>
                <w:rFonts w:ascii="Arial" w:hAnsi="Arial" w:cs="Arial"/>
                <w:b/>
                <w:bCs/>
                <w:sz w:val="20"/>
                <w:szCs w:val="20"/>
              </w:rPr>
              <w:t>17A.17</w:t>
            </w:r>
            <w:proofErr w:type="spellEnd"/>
          </w:p>
        </w:tc>
        <w:tc>
          <w:tcPr>
            <w:tcW w:w="7333" w:type="dxa"/>
            <w:tcBorders>
              <w:top w:val="nil"/>
              <w:left w:val="nil"/>
              <w:bottom w:val="nil"/>
              <w:right w:val="nil"/>
            </w:tcBorders>
            <w:shd w:val="clear" w:color="auto" w:fill="auto"/>
            <w:hideMark/>
          </w:tcPr>
          <w:p w:rsidR="00A1707B" w:rsidRDefault="00A1707B">
            <w:pPr>
              <w:jc w:val="both"/>
              <w:rPr>
                <w:rFonts w:ascii="Arial" w:hAnsi="Arial" w:cs="Arial"/>
                <w:sz w:val="20"/>
                <w:szCs w:val="20"/>
              </w:rPr>
            </w:pPr>
            <w:r>
              <w:rPr>
                <w:rFonts w:ascii="Arial" w:hAnsi="Arial" w:cs="Arial"/>
                <w:sz w:val="20"/>
                <w:szCs w:val="20"/>
              </w:rPr>
              <w:t xml:space="preserve">Dwelling condition, community housing, 2014 (per cent)   </w:t>
            </w:r>
          </w:p>
        </w:tc>
      </w:tr>
      <w:tr w:rsidR="00A1707B" w:rsidRPr="00430FB3" w:rsidTr="00F44E27">
        <w:trPr>
          <w:trHeight w:val="612"/>
        </w:trPr>
        <w:tc>
          <w:tcPr>
            <w:tcW w:w="1456" w:type="dxa"/>
            <w:tcBorders>
              <w:top w:val="nil"/>
              <w:left w:val="nil"/>
              <w:bottom w:val="nil"/>
              <w:right w:val="nil"/>
            </w:tcBorders>
            <w:shd w:val="clear" w:color="auto" w:fill="auto"/>
            <w:noWrap/>
            <w:hideMark/>
          </w:tcPr>
          <w:p w:rsidR="00A1707B" w:rsidRPr="00430FB3" w:rsidRDefault="00A1707B" w:rsidP="00513E19">
            <w:pPr>
              <w:spacing w:before="60" w:after="60"/>
              <w:rPr>
                <w:rFonts w:ascii="Arial" w:hAnsi="Arial" w:cs="Arial"/>
                <w:b/>
                <w:bCs/>
                <w:sz w:val="20"/>
                <w:szCs w:val="20"/>
              </w:rPr>
            </w:pPr>
            <w:r w:rsidRPr="00430FB3">
              <w:rPr>
                <w:rFonts w:ascii="Arial" w:hAnsi="Arial" w:cs="Arial"/>
                <w:b/>
                <w:bCs/>
                <w:sz w:val="20"/>
                <w:szCs w:val="20"/>
              </w:rPr>
              <w:t>Table</w:t>
            </w:r>
            <w:r w:rsidR="007D1214">
              <w:rPr>
                <w:rFonts w:ascii="Arial" w:hAnsi="Arial" w:cs="Arial"/>
                <w:b/>
                <w:bCs/>
                <w:sz w:val="20"/>
                <w:szCs w:val="20"/>
              </w:rPr>
              <w:t> </w:t>
            </w:r>
            <w:proofErr w:type="spellStart"/>
            <w:r w:rsidRPr="00430FB3">
              <w:rPr>
                <w:rFonts w:ascii="Arial" w:hAnsi="Arial" w:cs="Arial"/>
                <w:b/>
                <w:bCs/>
                <w:sz w:val="20"/>
                <w:szCs w:val="20"/>
              </w:rPr>
              <w:t>17A.18</w:t>
            </w:r>
            <w:proofErr w:type="spellEnd"/>
          </w:p>
        </w:tc>
        <w:tc>
          <w:tcPr>
            <w:tcW w:w="7333" w:type="dxa"/>
            <w:tcBorders>
              <w:top w:val="nil"/>
              <w:left w:val="nil"/>
              <w:bottom w:val="nil"/>
              <w:right w:val="nil"/>
            </w:tcBorders>
            <w:shd w:val="clear" w:color="auto" w:fill="auto"/>
            <w:hideMark/>
          </w:tcPr>
          <w:p w:rsidR="00A1707B" w:rsidRDefault="00A1707B">
            <w:pPr>
              <w:jc w:val="both"/>
              <w:rPr>
                <w:rFonts w:ascii="Arial" w:hAnsi="Arial" w:cs="Arial"/>
                <w:sz w:val="20"/>
                <w:szCs w:val="20"/>
              </w:rPr>
            </w:pPr>
            <w:r>
              <w:rPr>
                <w:rFonts w:ascii="Arial" w:hAnsi="Arial" w:cs="Arial"/>
                <w:sz w:val="20"/>
                <w:szCs w:val="20"/>
              </w:rPr>
              <w:t>Dwelling condition, Indigenous community housing, 2012</w:t>
            </w:r>
            <w:r w:rsidR="007D1214">
              <w:rPr>
                <w:rFonts w:ascii="Arial" w:hAnsi="Arial" w:cs="Arial"/>
                <w:sz w:val="20"/>
                <w:szCs w:val="20"/>
              </w:rPr>
              <w:noBreakHyphen/>
            </w:r>
            <w:r>
              <w:rPr>
                <w:rFonts w:ascii="Arial" w:hAnsi="Arial" w:cs="Arial"/>
                <w:sz w:val="20"/>
                <w:szCs w:val="20"/>
              </w:rPr>
              <w:t xml:space="preserve">13 (per cent)    </w:t>
            </w:r>
          </w:p>
        </w:tc>
      </w:tr>
      <w:tr w:rsidR="00A1707B" w:rsidRPr="00430FB3" w:rsidTr="00F44E27">
        <w:trPr>
          <w:trHeight w:val="612"/>
        </w:trPr>
        <w:tc>
          <w:tcPr>
            <w:tcW w:w="1456" w:type="dxa"/>
            <w:tcBorders>
              <w:top w:val="nil"/>
              <w:left w:val="nil"/>
              <w:bottom w:val="nil"/>
              <w:right w:val="nil"/>
            </w:tcBorders>
            <w:shd w:val="clear" w:color="auto" w:fill="auto"/>
            <w:noWrap/>
            <w:hideMark/>
          </w:tcPr>
          <w:p w:rsidR="00A1707B" w:rsidRPr="00430FB3" w:rsidRDefault="00A1707B" w:rsidP="00513E19">
            <w:pPr>
              <w:spacing w:before="60" w:after="60"/>
              <w:rPr>
                <w:rFonts w:ascii="Arial" w:hAnsi="Arial" w:cs="Arial"/>
                <w:b/>
                <w:bCs/>
                <w:sz w:val="20"/>
                <w:szCs w:val="20"/>
              </w:rPr>
            </w:pPr>
            <w:r w:rsidRPr="00430FB3">
              <w:rPr>
                <w:rFonts w:ascii="Arial" w:hAnsi="Arial" w:cs="Arial"/>
                <w:b/>
                <w:bCs/>
                <w:sz w:val="20"/>
                <w:szCs w:val="20"/>
              </w:rPr>
              <w:t>Table</w:t>
            </w:r>
            <w:r w:rsidR="007D1214">
              <w:rPr>
                <w:rFonts w:ascii="Arial" w:hAnsi="Arial" w:cs="Arial"/>
                <w:b/>
                <w:bCs/>
                <w:sz w:val="20"/>
                <w:szCs w:val="20"/>
              </w:rPr>
              <w:t> </w:t>
            </w:r>
            <w:proofErr w:type="spellStart"/>
            <w:r w:rsidRPr="00430FB3">
              <w:rPr>
                <w:rFonts w:ascii="Arial" w:hAnsi="Arial" w:cs="Arial"/>
                <w:b/>
                <w:bCs/>
                <w:sz w:val="20"/>
                <w:szCs w:val="20"/>
              </w:rPr>
              <w:t>17A.19</w:t>
            </w:r>
            <w:proofErr w:type="spellEnd"/>
          </w:p>
        </w:tc>
        <w:tc>
          <w:tcPr>
            <w:tcW w:w="7333" w:type="dxa"/>
            <w:tcBorders>
              <w:top w:val="nil"/>
              <w:left w:val="nil"/>
              <w:bottom w:val="nil"/>
              <w:right w:val="nil"/>
            </w:tcBorders>
            <w:shd w:val="clear" w:color="auto" w:fill="auto"/>
            <w:hideMark/>
          </w:tcPr>
          <w:p w:rsidR="00A1707B" w:rsidRDefault="00A1707B">
            <w:pPr>
              <w:jc w:val="both"/>
              <w:rPr>
                <w:rFonts w:ascii="Arial" w:hAnsi="Arial" w:cs="Arial"/>
                <w:sz w:val="20"/>
                <w:szCs w:val="20"/>
              </w:rPr>
            </w:pPr>
            <w:r>
              <w:rPr>
                <w:rFonts w:ascii="Arial" w:hAnsi="Arial" w:cs="Arial"/>
                <w:sz w:val="20"/>
                <w:szCs w:val="20"/>
              </w:rPr>
              <w:t>Nominal government expenditure on public housing, 2005</w:t>
            </w:r>
            <w:r w:rsidR="007D1214">
              <w:rPr>
                <w:rFonts w:ascii="Arial" w:hAnsi="Arial" w:cs="Arial"/>
                <w:sz w:val="20"/>
                <w:szCs w:val="20"/>
              </w:rPr>
              <w:noBreakHyphen/>
            </w:r>
            <w:r>
              <w:rPr>
                <w:rFonts w:ascii="Arial" w:hAnsi="Arial" w:cs="Arial"/>
                <w:sz w:val="20"/>
                <w:szCs w:val="20"/>
              </w:rPr>
              <w:t>06 to 2014</w:t>
            </w:r>
            <w:r w:rsidR="007D1214">
              <w:rPr>
                <w:rFonts w:ascii="Arial" w:hAnsi="Arial" w:cs="Arial"/>
                <w:sz w:val="20"/>
                <w:szCs w:val="20"/>
              </w:rPr>
              <w:noBreakHyphen/>
            </w:r>
            <w:r>
              <w:rPr>
                <w:rFonts w:ascii="Arial" w:hAnsi="Arial" w:cs="Arial"/>
                <w:sz w:val="20"/>
                <w:szCs w:val="20"/>
              </w:rPr>
              <w:t xml:space="preserve">15 ($ per dwelling)  </w:t>
            </w:r>
          </w:p>
        </w:tc>
      </w:tr>
      <w:tr w:rsidR="00A1707B" w:rsidRPr="00430FB3" w:rsidTr="00F44E27">
        <w:trPr>
          <w:trHeight w:val="612"/>
        </w:trPr>
        <w:tc>
          <w:tcPr>
            <w:tcW w:w="1456" w:type="dxa"/>
            <w:tcBorders>
              <w:top w:val="nil"/>
              <w:left w:val="nil"/>
              <w:bottom w:val="nil"/>
              <w:right w:val="nil"/>
            </w:tcBorders>
            <w:shd w:val="clear" w:color="auto" w:fill="auto"/>
            <w:noWrap/>
            <w:hideMark/>
          </w:tcPr>
          <w:p w:rsidR="00A1707B" w:rsidRPr="00430FB3" w:rsidRDefault="00A1707B" w:rsidP="00513E19">
            <w:pPr>
              <w:spacing w:before="60" w:after="60"/>
              <w:rPr>
                <w:rFonts w:ascii="Arial" w:hAnsi="Arial" w:cs="Arial"/>
                <w:b/>
                <w:bCs/>
                <w:sz w:val="20"/>
                <w:szCs w:val="20"/>
              </w:rPr>
            </w:pPr>
            <w:r w:rsidRPr="00430FB3">
              <w:rPr>
                <w:rFonts w:ascii="Arial" w:hAnsi="Arial" w:cs="Arial"/>
                <w:b/>
                <w:bCs/>
                <w:sz w:val="20"/>
                <w:szCs w:val="20"/>
              </w:rPr>
              <w:t>Table</w:t>
            </w:r>
            <w:r w:rsidR="007D1214">
              <w:rPr>
                <w:rFonts w:ascii="Arial" w:hAnsi="Arial" w:cs="Arial"/>
                <w:b/>
                <w:bCs/>
                <w:sz w:val="20"/>
                <w:szCs w:val="20"/>
              </w:rPr>
              <w:t> </w:t>
            </w:r>
            <w:proofErr w:type="spellStart"/>
            <w:r w:rsidRPr="00430FB3">
              <w:rPr>
                <w:rFonts w:ascii="Arial" w:hAnsi="Arial" w:cs="Arial"/>
                <w:b/>
                <w:bCs/>
                <w:sz w:val="20"/>
                <w:szCs w:val="20"/>
              </w:rPr>
              <w:t>17A.20</w:t>
            </w:r>
            <w:proofErr w:type="spellEnd"/>
          </w:p>
        </w:tc>
        <w:tc>
          <w:tcPr>
            <w:tcW w:w="7333" w:type="dxa"/>
            <w:tcBorders>
              <w:top w:val="nil"/>
              <w:left w:val="nil"/>
              <w:bottom w:val="nil"/>
              <w:right w:val="nil"/>
            </w:tcBorders>
            <w:shd w:val="clear" w:color="auto" w:fill="auto"/>
            <w:hideMark/>
          </w:tcPr>
          <w:p w:rsidR="00A1707B" w:rsidRDefault="00A1707B">
            <w:pPr>
              <w:jc w:val="both"/>
              <w:rPr>
                <w:rFonts w:ascii="Arial" w:hAnsi="Arial" w:cs="Arial"/>
                <w:sz w:val="20"/>
                <w:szCs w:val="20"/>
              </w:rPr>
            </w:pPr>
            <w:r>
              <w:rPr>
                <w:rFonts w:ascii="Arial" w:hAnsi="Arial" w:cs="Arial"/>
                <w:sz w:val="20"/>
                <w:szCs w:val="20"/>
              </w:rPr>
              <w:t>Real government expenditure on public housing, 2005</w:t>
            </w:r>
            <w:r w:rsidR="007D1214">
              <w:rPr>
                <w:rFonts w:ascii="Arial" w:hAnsi="Arial" w:cs="Arial"/>
                <w:sz w:val="20"/>
                <w:szCs w:val="20"/>
              </w:rPr>
              <w:noBreakHyphen/>
            </w:r>
            <w:r>
              <w:rPr>
                <w:rFonts w:ascii="Arial" w:hAnsi="Arial" w:cs="Arial"/>
                <w:sz w:val="20"/>
                <w:szCs w:val="20"/>
              </w:rPr>
              <w:t>06 to 2014</w:t>
            </w:r>
            <w:r w:rsidR="007D1214">
              <w:rPr>
                <w:rFonts w:ascii="Arial" w:hAnsi="Arial" w:cs="Arial"/>
                <w:sz w:val="20"/>
                <w:szCs w:val="20"/>
              </w:rPr>
              <w:noBreakHyphen/>
            </w:r>
            <w:r>
              <w:rPr>
                <w:rFonts w:ascii="Arial" w:hAnsi="Arial" w:cs="Arial"/>
                <w:sz w:val="20"/>
                <w:szCs w:val="20"/>
              </w:rPr>
              <w:t>15 ($ per dwelling) (2014</w:t>
            </w:r>
            <w:r w:rsidR="007D1214">
              <w:rPr>
                <w:rFonts w:ascii="Arial" w:hAnsi="Arial" w:cs="Arial"/>
                <w:sz w:val="20"/>
                <w:szCs w:val="20"/>
              </w:rPr>
              <w:noBreakHyphen/>
            </w:r>
            <w:r>
              <w:rPr>
                <w:rFonts w:ascii="Arial" w:hAnsi="Arial" w:cs="Arial"/>
                <w:sz w:val="20"/>
                <w:szCs w:val="20"/>
              </w:rPr>
              <w:t xml:space="preserve">15 dollars)  </w:t>
            </w:r>
          </w:p>
        </w:tc>
      </w:tr>
      <w:tr w:rsidR="00A1707B" w:rsidRPr="00430FB3" w:rsidTr="00F44E27">
        <w:trPr>
          <w:trHeight w:val="357"/>
        </w:trPr>
        <w:tc>
          <w:tcPr>
            <w:tcW w:w="1456" w:type="dxa"/>
            <w:tcBorders>
              <w:top w:val="nil"/>
              <w:left w:val="nil"/>
              <w:bottom w:val="nil"/>
              <w:right w:val="nil"/>
            </w:tcBorders>
            <w:shd w:val="clear" w:color="auto" w:fill="auto"/>
            <w:noWrap/>
            <w:hideMark/>
          </w:tcPr>
          <w:p w:rsidR="00A1707B" w:rsidRPr="00430FB3" w:rsidRDefault="00A1707B" w:rsidP="00513E19">
            <w:pPr>
              <w:spacing w:before="60" w:after="60"/>
              <w:rPr>
                <w:rFonts w:ascii="Arial" w:hAnsi="Arial" w:cs="Arial"/>
                <w:b/>
                <w:bCs/>
                <w:sz w:val="20"/>
                <w:szCs w:val="20"/>
              </w:rPr>
            </w:pPr>
            <w:r w:rsidRPr="00430FB3">
              <w:rPr>
                <w:rFonts w:ascii="Arial" w:hAnsi="Arial" w:cs="Arial"/>
                <w:b/>
                <w:bCs/>
                <w:sz w:val="20"/>
                <w:szCs w:val="20"/>
              </w:rPr>
              <w:t>Table</w:t>
            </w:r>
            <w:r w:rsidR="007D1214">
              <w:rPr>
                <w:rFonts w:ascii="Arial" w:hAnsi="Arial" w:cs="Arial"/>
                <w:b/>
                <w:bCs/>
                <w:sz w:val="20"/>
                <w:szCs w:val="20"/>
              </w:rPr>
              <w:t> </w:t>
            </w:r>
            <w:proofErr w:type="spellStart"/>
            <w:r w:rsidRPr="00430FB3">
              <w:rPr>
                <w:rFonts w:ascii="Arial" w:hAnsi="Arial" w:cs="Arial"/>
                <w:b/>
                <w:bCs/>
                <w:sz w:val="20"/>
                <w:szCs w:val="20"/>
              </w:rPr>
              <w:t>17A.21</w:t>
            </w:r>
            <w:proofErr w:type="spellEnd"/>
          </w:p>
        </w:tc>
        <w:tc>
          <w:tcPr>
            <w:tcW w:w="7333" w:type="dxa"/>
            <w:tcBorders>
              <w:top w:val="nil"/>
              <w:left w:val="nil"/>
              <w:bottom w:val="nil"/>
              <w:right w:val="nil"/>
            </w:tcBorders>
            <w:shd w:val="clear" w:color="auto" w:fill="auto"/>
            <w:hideMark/>
          </w:tcPr>
          <w:p w:rsidR="00A1707B" w:rsidRDefault="00A1707B">
            <w:pPr>
              <w:jc w:val="both"/>
              <w:rPr>
                <w:rFonts w:ascii="Arial" w:hAnsi="Arial" w:cs="Arial"/>
                <w:sz w:val="20"/>
                <w:szCs w:val="20"/>
              </w:rPr>
            </w:pPr>
            <w:r>
              <w:rPr>
                <w:rFonts w:ascii="Arial" w:hAnsi="Arial" w:cs="Arial"/>
                <w:sz w:val="20"/>
                <w:szCs w:val="20"/>
              </w:rPr>
              <w:t xml:space="preserve">Net recurrent cost of providing assistance per dwelling (excluding the cost of capital) — SOMIH ($ per dwelling)  </w:t>
            </w:r>
          </w:p>
        </w:tc>
      </w:tr>
      <w:tr w:rsidR="00A1707B" w:rsidRPr="00430FB3" w:rsidTr="00F44E27">
        <w:trPr>
          <w:trHeight w:val="357"/>
        </w:trPr>
        <w:tc>
          <w:tcPr>
            <w:tcW w:w="1456" w:type="dxa"/>
            <w:tcBorders>
              <w:top w:val="nil"/>
              <w:left w:val="nil"/>
              <w:bottom w:val="nil"/>
              <w:right w:val="nil"/>
            </w:tcBorders>
            <w:shd w:val="clear" w:color="auto" w:fill="auto"/>
            <w:noWrap/>
            <w:hideMark/>
          </w:tcPr>
          <w:p w:rsidR="00A1707B" w:rsidRPr="00430FB3" w:rsidRDefault="00A1707B" w:rsidP="00513E19">
            <w:pPr>
              <w:spacing w:before="60" w:after="60"/>
              <w:rPr>
                <w:rFonts w:ascii="Arial" w:hAnsi="Arial" w:cs="Arial"/>
                <w:b/>
                <w:bCs/>
                <w:sz w:val="20"/>
                <w:szCs w:val="20"/>
              </w:rPr>
            </w:pPr>
            <w:r w:rsidRPr="00430FB3">
              <w:rPr>
                <w:rFonts w:ascii="Arial" w:hAnsi="Arial" w:cs="Arial"/>
                <w:b/>
                <w:bCs/>
                <w:sz w:val="20"/>
                <w:szCs w:val="20"/>
              </w:rPr>
              <w:t>Table</w:t>
            </w:r>
            <w:r w:rsidR="007D1214">
              <w:rPr>
                <w:rFonts w:ascii="Arial" w:hAnsi="Arial" w:cs="Arial"/>
                <w:b/>
                <w:bCs/>
                <w:sz w:val="20"/>
                <w:szCs w:val="20"/>
              </w:rPr>
              <w:t> </w:t>
            </w:r>
            <w:proofErr w:type="spellStart"/>
            <w:r w:rsidRPr="00430FB3">
              <w:rPr>
                <w:rFonts w:ascii="Arial" w:hAnsi="Arial" w:cs="Arial"/>
                <w:b/>
                <w:bCs/>
                <w:sz w:val="20"/>
                <w:szCs w:val="20"/>
              </w:rPr>
              <w:t>17A.22</w:t>
            </w:r>
            <w:proofErr w:type="spellEnd"/>
          </w:p>
        </w:tc>
        <w:tc>
          <w:tcPr>
            <w:tcW w:w="7333" w:type="dxa"/>
            <w:tcBorders>
              <w:top w:val="nil"/>
              <w:left w:val="nil"/>
              <w:bottom w:val="nil"/>
              <w:right w:val="nil"/>
            </w:tcBorders>
            <w:shd w:val="clear" w:color="auto" w:fill="auto"/>
            <w:hideMark/>
          </w:tcPr>
          <w:p w:rsidR="00A1707B" w:rsidRDefault="00A1707B">
            <w:pPr>
              <w:jc w:val="both"/>
              <w:rPr>
                <w:rFonts w:ascii="Arial" w:hAnsi="Arial" w:cs="Arial"/>
                <w:sz w:val="20"/>
                <w:szCs w:val="20"/>
              </w:rPr>
            </w:pPr>
            <w:r>
              <w:rPr>
                <w:rFonts w:ascii="Arial" w:hAnsi="Arial" w:cs="Arial"/>
                <w:sz w:val="20"/>
                <w:szCs w:val="20"/>
              </w:rPr>
              <w:t xml:space="preserve">Net recurrent cost per tenancy — community housing ($ per dwelling)    </w:t>
            </w:r>
          </w:p>
        </w:tc>
      </w:tr>
      <w:tr w:rsidR="00A1707B" w:rsidRPr="00430FB3" w:rsidTr="00F44E27">
        <w:trPr>
          <w:trHeight w:val="357"/>
        </w:trPr>
        <w:tc>
          <w:tcPr>
            <w:tcW w:w="1456" w:type="dxa"/>
            <w:tcBorders>
              <w:top w:val="nil"/>
              <w:left w:val="nil"/>
              <w:bottom w:val="nil"/>
              <w:right w:val="nil"/>
            </w:tcBorders>
            <w:shd w:val="clear" w:color="auto" w:fill="auto"/>
            <w:noWrap/>
            <w:hideMark/>
          </w:tcPr>
          <w:p w:rsidR="00A1707B" w:rsidRPr="00430FB3" w:rsidRDefault="00A1707B" w:rsidP="00513E19">
            <w:pPr>
              <w:spacing w:before="60" w:after="60"/>
              <w:rPr>
                <w:rFonts w:ascii="Arial" w:hAnsi="Arial" w:cs="Arial"/>
                <w:b/>
                <w:bCs/>
                <w:sz w:val="20"/>
                <w:szCs w:val="20"/>
              </w:rPr>
            </w:pPr>
            <w:r w:rsidRPr="00430FB3">
              <w:rPr>
                <w:rFonts w:ascii="Arial" w:hAnsi="Arial" w:cs="Arial"/>
                <w:b/>
                <w:bCs/>
                <w:sz w:val="20"/>
                <w:szCs w:val="20"/>
              </w:rPr>
              <w:t>Table</w:t>
            </w:r>
            <w:r w:rsidR="007D1214">
              <w:rPr>
                <w:rFonts w:ascii="Arial" w:hAnsi="Arial" w:cs="Arial"/>
                <w:b/>
                <w:bCs/>
                <w:sz w:val="20"/>
                <w:szCs w:val="20"/>
              </w:rPr>
              <w:t> </w:t>
            </w:r>
            <w:proofErr w:type="spellStart"/>
            <w:r w:rsidRPr="00430FB3">
              <w:rPr>
                <w:rFonts w:ascii="Arial" w:hAnsi="Arial" w:cs="Arial"/>
                <w:b/>
                <w:bCs/>
                <w:sz w:val="20"/>
                <w:szCs w:val="20"/>
              </w:rPr>
              <w:t>17A.23</w:t>
            </w:r>
            <w:proofErr w:type="spellEnd"/>
          </w:p>
        </w:tc>
        <w:tc>
          <w:tcPr>
            <w:tcW w:w="7333" w:type="dxa"/>
            <w:tcBorders>
              <w:top w:val="nil"/>
              <w:left w:val="nil"/>
              <w:bottom w:val="nil"/>
              <w:right w:val="nil"/>
            </w:tcBorders>
            <w:shd w:val="clear" w:color="auto" w:fill="auto"/>
            <w:hideMark/>
          </w:tcPr>
          <w:p w:rsidR="00A1707B" w:rsidRDefault="00A1707B">
            <w:pPr>
              <w:jc w:val="both"/>
              <w:rPr>
                <w:rFonts w:ascii="Arial" w:hAnsi="Arial" w:cs="Arial"/>
                <w:sz w:val="20"/>
                <w:szCs w:val="20"/>
              </w:rPr>
            </w:pPr>
            <w:r>
              <w:rPr>
                <w:rFonts w:ascii="Arial" w:hAnsi="Arial" w:cs="Arial"/>
                <w:sz w:val="20"/>
                <w:szCs w:val="20"/>
              </w:rPr>
              <w:t>Net recurrent cost per dwelling — Indigenous community housing (2013</w:t>
            </w:r>
            <w:r w:rsidR="007D1214">
              <w:rPr>
                <w:rFonts w:ascii="Arial" w:hAnsi="Arial" w:cs="Arial"/>
                <w:sz w:val="20"/>
                <w:szCs w:val="20"/>
              </w:rPr>
              <w:noBreakHyphen/>
            </w:r>
            <w:r>
              <w:rPr>
                <w:rFonts w:ascii="Arial" w:hAnsi="Arial" w:cs="Arial"/>
                <w:sz w:val="20"/>
                <w:szCs w:val="20"/>
              </w:rPr>
              <w:t xml:space="preserve">14 dollars)   </w:t>
            </w:r>
          </w:p>
        </w:tc>
      </w:tr>
      <w:tr w:rsidR="00A1707B" w:rsidRPr="00430FB3" w:rsidTr="00F44E27">
        <w:trPr>
          <w:trHeight w:val="357"/>
        </w:trPr>
        <w:tc>
          <w:tcPr>
            <w:tcW w:w="1456" w:type="dxa"/>
            <w:tcBorders>
              <w:top w:val="nil"/>
              <w:left w:val="nil"/>
              <w:bottom w:val="nil"/>
              <w:right w:val="nil"/>
            </w:tcBorders>
            <w:shd w:val="clear" w:color="auto" w:fill="auto"/>
            <w:noWrap/>
            <w:hideMark/>
          </w:tcPr>
          <w:p w:rsidR="00A1707B" w:rsidRPr="00430FB3" w:rsidRDefault="00A1707B" w:rsidP="00513E19">
            <w:pPr>
              <w:spacing w:before="60" w:after="60"/>
              <w:rPr>
                <w:rFonts w:ascii="Arial" w:hAnsi="Arial" w:cs="Arial"/>
                <w:b/>
                <w:bCs/>
                <w:sz w:val="20"/>
                <w:szCs w:val="20"/>
              </w:rPr>
            </w:pPr>
            <w:r w:rsidRPr="00430FB3">
              <w:rPr>
                <w:rFonts w:ascii="Arial" w:hAnsi="Arial" w:cs="Arial"/>
                <w:b/>
                <w:bCs/>
                <w:sz w:val="20"/>
                <w:szCs w:val="20"/>
              </w:rPr>
              <w:t>Table</w:t>
            </w:r>
            <w:r w:rsidR="007D1214">
              <w:rPr>
                <w:rFonts w:ascii="Arial" w:hAnsi="Arial" w:cs="Arial"/>
                <w:b/>
                <w:bCs/>
                <w:sz w:val="20"/>
                <w:szCs w:val="20"/>
              </w:rPr>
              <w:t> </w:t>
            </w:r>
            <w:proofErr w:type="spellStart"/>
            <w:r w:rsidRPr="00430FB3">
              <w:rPr>
                <w:rFonts w:ascii="Arial" w:hAnsi="Arial" w:cs="Arial"/>
                <w:b/>
                <w:bCs/>
                <w:sz w:val="20"/>
                <w:szCs w:val="20"/>
              </w:rPr>
              <w:t>17A.24</w:t>
            </w:r>
            <w:proofErr w:type="spellEnd"/>
          </w:p>
        </w:tc>
        <w:tc>
          <w:tcPr>
            <w:tcW w:w="7333" w:type="dxa"/>
            <w:tcBorders>
              <w:top w:val="nil"/>
              <w:left w:val="nil"/>
              <w:bottom w:val="nil"/>
              <w:right w:val="nil"/>
            </w:tcBorders>
            <w:shd w:val="clear" w:color="auto" w:fill="auto"/>
            <w:hideMark/>
          </w:tcPr>
          <w:p w:rsidR="00A1707B" w:rsidRDefault="00A1707B">
            <w:pPr>
              <w:jc w:val="both"/>
              <w:rPr>
                <w:rFonts w:ascii="Arial" w:hAnsi="Arial" w:cs="Arial"/>
                <w:sz w:val="20"/>
                <w:szCs w:val="20"/>
              </w:rPr>
            </w:pPr>
            <w:r>
              <w:rPr>
                <w:rFonts w:ascii="Arial" w:hAnsi="Arial" w:cs="Arial"/>
                <w:sz w:val="20"/>
                <w:szCs w:val="20"/>
              </w:rPr>
              <w:t xml:space="preserve">Public housing occupancy rates as at 30 June (per cent)  </w:t>
            </w:r>
          </w:p>
        </w:tc>
      </w:tr>
      <w:tr w:rsidR="00A1707B" w:rsidRPr="00430FB3" w:rsidTr="00F44E27">
        <w:trPr>
          <w:trHeight w:val="357"/>
        </w:trPr>
        <w:tc>
          <w:tcPr>
            <w:tcW w:w="1456" w:type="dxa"/>
            <w:tcBorders>
              <w:top w:val="nil"/>
              <w:left w:val="nil"/>
              <w:bottom w:val="nil"/>
              <w:right w:val="nil"/>
            </w:tcBorders>
            <w:shd w:val="clear" w:color="auto" w:fill="auto"/>
            <w:noWrap/>
            <w:hideMark/>
          </w:tcPr>
          <w:p w:rsidR="00A1707B" w:rsidRPr="00430FB3" w:rsidRDefault="00A1707B" w:rsidP="00513E19">
            <w:pPr>
              <w:spacing w:before="60" w:after="60"/>
              <w:rPr>
                <w:rFonts w:ascii="Arial" w:hAnsi="Arial" w:cs="Arial"/>
                <w:b/>
                <w:bCs/>
                <w:sz w:val="20"/>
                <w:szCs w:val="20"/>
              </w:rPr>
            </w:pPr>
            <w:r w:rsidRPr="00430FB3">
              <w:rPr>
                <w:rFonts w:ascii="Arial" w:hAnsi="Arial" w:cs="Arial"/>
                <w:b/>
                <w:bCs/>
                <w:sz w:val="20"/>
                <w:szCs w:val="20"/>
              </w:rPr>
              <w:t>Table</w:t>
            </w:r>
            <w:r w:rsidR="007D1214">
              <w:rPr>
                <w:rFonts w:ascii="Arial" w:hAnsi="Arial" w:cs="Arial"/>
                <w:b/>
                <w:bCs/>
                <w:sz w:val="20"/>
                <w:szCs w:val="20"/>
              </w:rPr>
              <w:t> </w:t>
            </w:r>
            <w:proofErr w:type="spellStart"/>
            <w:r w:rsidRPr="00430FB3">
              <w:rPr>
                <w:rFonts w:ascii="Arial" w:hAnsi="Arial" w:cs="Arial"/>
                <w:b/>
                <w:bCs/>
                <w:sz w:val="20"/>
                <w:szCs w:val="20"/>
              </w:rPr>
              <w:t>17A.25</w:t>
            </w:r>
            <w:proofErr w:type="spellEnd"/>
          </w:p>
        </w:tc>
        <w:tc>
          <w:tcPr>
            <w:tcW w:w="7333" w:type="dxa"/>
            <w:tcBorders>
              <w:top w:val="nil"/>
              <w:left w:val="nil"/>
              <w:bottom w:val="nil"/>
              <w:right w:val="nil"/>
            </w:tcBorders>
            <w:shd w:val="clear" w:color="auto" w:fill="auto"/>
            <w:hideMark/>
          </w:tcPr>
          <w:p w:rsidR="00A1707B" w:rsidRDefault="00A1707B">
            <w:pPr>
              <w:jc w:val="both"/>
              <w:rPr>
                <w:rFonts w:ascii="Arial" w:hAnsi="Arial" w:cs="Arial"/>
                <w:sz w:val="20"/>
                <w:szCs w:val="20"/>
              </w:rPr>
            </w:pPr>
            <w:r>
              <w:rPr>
                <w:rFonts w:ascii="Arial" w:hAnsi="Arial" w:cs="Arial"/>
                <w:sz w:val="20"/>
                <w:szCs w:val="20"/>
              </w:rPr>
              <w:t xml:space="preserve">SOMIH occupancy rates as at 30 June (per cent)  </w:t>
            </w:r>
          </w:p>
        </w:tc>
      </w:tr>
      <w:tr w:rsidR="00A1707B" w:rsidRPr="00430FB3" w:rsidTr="00F44E27">
        <w:trPr>
          <w:trHeight w:val="357"/>
        </w:trPr>
        <w:tc>
          <w:tcPr>
            <w:tcW w:w="1456" w:type="dxa"/>
            <w:tcBorders>
              <w:top w:val="nil"/>
              <w:left w:val="nil"/>
              <w:bottom w:val="nil"/>
              <w:right w:val="nil"/>
            </w:tcBorders>
            <w:shd w:val="clear" w:color="auto" w:fill="auto"/>
            <w:noWrap/>
            <w:hideMark/>
          </w:tcPr>
          <w:p w:rsidR="00A1707B" w:rsidRPr="00430FB3" w:rsidRDefault="00A1707B" w:rsidP="00513E19">
            <w:pPr>
              <w:spacing w:before="60" w:after="60"/>
              <w:rPr>
                <w:rFonts w:ascii="Arial" w:hAnsi="Arial" w:cs="Arial"/>
                <w:b/>
                <w:bCs/>
                <w:sz w:val="20"/>
                <w:szCs w:val="20"/>
              </w:rPr>
            </w:pPr>
            <w:r w:rsidRPr="00430FB3">
              <w:rPr>
                <w:rFonts w:ascii="Arial" w:hAnsi="Arial" w:cs="Arial"/>
                <w:b/>
                <w:bCs/>
                <w:sz w:val="20"/>
                <w:szCs w:val="20"/>
              </w:rPr>
              <w:lastRenderedPageBreak/>
              <w:t>Table</w:t>
            </w:r>
            <w:r w:rsidR="007D1214">
              <w:rPr>
                <w:rFonts w:ascii="Arial" w:hAnsi="Arial" w:cs="Arial"/>
                <w:b/>
                <w:bCs/>
                <w:sz w:val="20"/>
                <w:szCs w:val="20"/>
              </w:rPr>
              <w:t> </w:t>
            </w:r>
            <w:proofErr w:type="spellStart"/>
            <w:r w:rsidRPr="00430FB3">
              <w:rPr>
                <w:rFonts w:ascii="Arial" w:hAnsi="Arial" w:cs="Arial"/>
                <w:b/>
                <w:bCs/>
                <w:sz w:val="20"/>
                <w:szCs w:val="20"/>
              </w:rPr>
              <w:t>17A.26</w:t>
            </w:r>
            <w:proofErr w:type="spellEnd"/>
          </w:p>
        </w:tc>
        <w:tc>
          <w:tcPr>
            <w:tcW w:w="7333" w:type="dxa"/>
            <w:tcBorders>
              <w:top w:val="nil"/>
              <w:left w:val="nil"/>
              <w:bottom w:val="nil"/>
              <w:right w:val="nil"/>
            </w:tcBorders>
            <w:shd w:val="clear" w:color="auto" w:fill="auto"/>
            <w:hideMark/>
          </w:tcPr>
          <w:p w:rsidR="00A1707B" w:rsidRDefault="00A1707B">
            <w:pPr>
              <w:jc w:val="both"/>
              <w:rPr>
                <w:rFonts w:ascii="Arial" w:hAnsi="Arial" w:cs="Arial"/>
                <w:sz w:val="20"/>
                <w:szCs w:val="20"/>
              </w:rPr>
            </w:pPr>
            <w:r>
              <w:rPr>
                <w:rFonts w:ascii="Arial" w:hAnsi="Arial" w:cs="Arial"/>
                <w:sz w:val="20"/>
                <w:szCs w:val="20"/>
              </w:rPr>
              <w:t xml:space="preserve">Community housing occupancy rates at 30 June (per cent) </w:t>
            </w:r>
          </w:p>
        </w:tc>
      </w:tr>
      <w:tr w:rsidR="00A1707B" w:rsidRPr="00430FB3" w:rsidTr="00F44E27">
        <w:trPr>
          <w:trHeight w:val="357"/>
        </w:trPr>
        <w:tc>
          <w:tcPr>
            <w:tcW w:w="1456" w:type="dxa"/>
            <w:tcBorders>
              <w:top w:val="nil"/>
              <w:left w:val="nil"/>
              <w:bottom w:val="nil"/>
              <w:right w:val="nil"/>
            </w:tcBorders>
            <w:shd w:val="clear" w:color="auto" w:fill="auto"/>
            <w:noWrap/>
            <w:hideMark/>
          </w:tcPr>
          <w:p w:rsidR="00A1707B" w:rsidRPr="00430FB3" w:rsidRDefault="00A1707B" w:rsidP="00513E19">
            <w:pPr>
              <w:spacing w:before="60" w:after="60"/>
              <w:rPr>
                <w:rFonts w:ascii="Arial" w:hAnsi="Arial" w:cs="Arial"/>
                <w:b/>
                <w:bCs/>
                <w:sz w:val="20"/>
                <w:szCs w:val="20"/>
              </w:rPr>
            </w:pPr>
            <w:r w:rsidRPr="00430FB3">
              <w:rPr>
                <w:rFonts w:ascii="Arial" w:hAnsi="Arial" w:cs="Arial"/>
                <w:b/>
                <w:bCs/>
                <w:sz w:val="20"/>
                <w:szCs w:val="20"/>
              </w:rPr>
              <w:t>Table</w:t>
            </w:r>
            <w:r w:rsidR="007D1214">
              <w:rPr>
                <w:rFonts w:ascii="Arial" w:hAnsi="Arial" w:cs="Arial"/>
                <w:b/>
                <w:bCs/>
                <w:sz w:val="20"/>
                <w:szCs w:val="20"/>
              </w:rPr>
              <w:t> </w:t>
            </w:r>
            <w:proofErr w:type="spellStart"/>
            <w:r w:rsidRPr="00430FB3">
              <w:rPr>
                <w:rFonts w:ascii="Arial" w:hAnsi="Arial" w:cs="Arial"/>
                <w:b/>
                <w:bCs/>
                <w:sz w:val="20"/>
                <w:szCs w:val="20"/>
              </w:rPr>
              <w:t>17A.27</w:t>
            </w:r>
            <w:proofErr w:type="spellEnd"/>
          </w:p>
        </w:tc>
        <w:tc>
          <w:tcPr>
            <w:tcW w:w="7333" w:type="dxa"/>
            <w:tcBorders>
              <w:top w:val="nil"/>
              <w:left w:val="nil"/>
              <w:bottom w:val="nil"/>
              <w:right w:val="nil"/>
            </w:tcBorders>
            <w:shd w:val="clear" w:color="auto" w:fill="auto"/>
            <w:hideMark/>
          </w:tcPr>
          <w:p w:rsidR="00A1707B" w:rsidRDefault="00A1707B">
            <w:pPr>
              <w:jc w:val="both"/>
              <w:rPr>
                <w:rFonts w:ascii="Arial" w:hAnsi="Arial" w:cs="Arial"/>
                <w:sz w:val="20"/>
                <w:szCs w:val="20"/>
              </w:rPr>
            </w:pPr>
            <w:r>
              <w:rPr>
                <w:rFonts w:ascii="Arial" w:hAnsi="Arial" w:cs="Arial"/>
                <w:sz w:val="20"/>
                <w:szCs w:val="20"/>
              </w:rPr>
              <w:t xml:space="preserve">Indigenous community housing occupancy rates (per cent)    </w:t>
            </w:r>
          </w:p>
        </w:tc>
      </w:tr>
      <w:tr w:rsidR="00A1707B" w:rsidRPr="00430FB3" w:rsidTr="00F44E27">
        <w:trPr>
          <w:trHeight w:val="357"/>
        </w:trPr>
        <w:tc>
          <w:tcPr>
            <w:tcW w:w="1456" w:type="dxa"/>
            <w:tcBorders>
              <w:top w:val="nil"/>
              <w:left w:val="nil"/>
              <w:bottom w:val="nil"/>
              <w:right w:val="nil"/>
            </w:tcBorders>
            <w:shd w:val="clear" w:color="auto" w:fill="auto"/>
            <w:noWrap/>
            <w:hideMark/>
          </w:tcPr>
          <w:p w:rsidR="00A1707B" w:rsidRPr="00430FB3" w:rsidRDefault="00A1707B" w:rsidP="00513E19">
            <w:pPr>
              <w:spacing w:before="60" w:after="60"/>
              <w:rPr>
                <w:rFonts w:ascii="Arial" w:hAnsi="Arial" w:cs="Arial"/>
                <w:b/>
                <w:bCs/>
                <w:sz w:val="20"/>
                <w:szCs w:val="20"/>
              </w:rPr>
            </w:pPr>
            <w:r w:rsidRPr="00430FB3">
              <w:rPr>
                <w:rFonts w:ascii="Arial" w:hAnsi="Arial" w:cs="Arial"/>
                <w:b/>
                <w:bCs/>
                <w:sz w:val="20"/>
                <w:szCs w:val="20"/>
              </w:rPr>
              <w:t>Table</w:t>
            </w:r>
            <w:r w:rsidR="007D1214">
              <w:rPr>
                <w:rFonts w:ascii="Arial" w:hAnsi="Arial" w:cs="Arial"/>
                <w:b/>
                <w:bCs/>
                <w:sz w:val="20"/>
                <w:szCs w:val="20"/>
              </w:rPr>
              <w:t> </w:t>
            </w:r>
            <w:proofErr w:type="spellStart"/>
            <w:r w:rsidRPr="00430FB3">
              <w:rPr>
                <w:rFonts w:ascii="Arial" w:hAnsi="Arial" w:cs="Arial"/>
                <w:b/>
                <w:bCs/>
                <w:sz w:val="20"/>
                <w:szCs w:val="20"/>
              </w:rPr>
              <w:t>17A.28</w:t>
            </w:r>
            <w:proofErr w:type="spellEnd"/>
          </w:p>
        </w:tc>
        <w:tc>
          <w:tcPr>
            <w:tcW w:w="7333" w:type="dxa"/>
            <w:tcBorders>
              <w:top w:val="nil"/>
              <w:left w:val="nil"/>
              <w:bottom w:val="nil"/>
              <w:right w:val="nil"/>
            </w:tcBorders>
            <w:shd w:val="clear" w:color="auto" w:fill="auto"/>
            <w:hideMark/>
          </w:tcPr>
          <w:p w:rsidR="00A1707B" w:rsidRDefault="00A1707B">
            <w:pPr>
              <w:jc w:val="both"/>
              <w:rPr>
                <w:rFonts w:ascii="Arial" w:hAnsi="Arial" w:cs="Arial"/>
                <w:sz w:val="20"/>
                <w:szCs w:val="20"/>
              </w:rPr>
            </w:pPr>
            <w:r>
              <w:rPr>
                <w:rFonts w:ascii="Arial" w:hAnsi="Arial" w:cs="Arial"/>
                <w:sz w:val="20"/>
                <w:szCs w:val="20"/>
              </w:rPr>
              <w:t xml:space="preserve">Average turnaround times for vacant stock — public housing  (days) </w:t>
            </w:r>
          </w:p>
        </w:tc>
      </w:tr>
      <w:tr w:rsidR="00A1707B" w:rsidRPr="00430FB3" w:rsidTr="00F44E27">
        <w:trPr>
          <w:trHeight w:val="357"/>
        </w:trPr>
        <w:tc>
          <w:tcPr>
            <w:tcW w:w="1456" w:type="dxa"/>
            <w:tcBorders>
              <w:top w:val="nil"/>
              <w:left w:val="nil"/>
              <w:bottom w:val="nil"/>
              <w:right w:val="nil"/>
            </w:tcBorders>
            <w:shd w:val="clear" w:color="auto" w:fill="auto"/>
            <w:noWrap/>
            <w:hideMark/>
          </w:tcPr>
          <w:p w:rsidR="00A1707B" w:rsidRPr="00430FB3" w:rsidRDefault="00A1707B" w:rsidP="00513E19">
            <w:pPr>
              <w:spacing w:before="60" w:after="60"/>
              <w:rPr>
                <w:rFonts w:ascii="Arial" w:hAnsi="Arial" w:cs="Arial"/>
                <w:b/>
                <w:bCs/>
                <w:sz w:val="20"/>
                <w:szCs w:val="20"/>
              </w:rPr>
            </w:pPr>
            <w:r w:rsidRPr="00430FB3">
              <w:rPr>
                <w:rFonts w:ascii="Arial" w:hAnsi="Arial" w:cs="Arial"/>
                <w:b/>
                <w:bCs/>
                <w:sz w:val="20"/>
                <w:szCs w:val="20"/>
              </w:rPr>
              <w:t>Table</w:t>
            </w:r>
            <w:r w:rsidR="007D1214">
              <w:rPr>
                <w:rFonts w:ascii="Arial" w:hAnsi="Arial" w:cs="Arial"/>
                <w:b/>
                <w:bCs/>
                <w:sz w:val="20"/>
                <w:szCs w:val="20"/>
              </w:rPr>
              <w:t> </w:t>
            </w:r>
            <w:proofErr w:type="spellStart"/>
            <w:r w:rsidRPr="00430FB3">
              <w:rPr>
                <w:rFonts w:ascii="Arial" w:hAnsi="Arial" w:cs="Arial"/>
                <w:b/>
                <w:bCs/>
                <w:sz w:val="20"/>
                <w:szCs w:val="20"/>
              </w:rPr>
              <w:t>17A.29</w:t>
            </w:r>
            <w:proofErr w:type="spellEnd"/>
          </w:p>
        </w:tc>
        <w:tc>
          <w:tcPr>
            <w:tcW w:w="7333" w:type="dxa"/>
            <w:tcBorders>
              <w:top w:val="nil"/>
              <w:left w:val="nil"/>
              <w:bottom w:val="nil"/>
              <w:right w:val="nil"/>
            </w:tcBorders>
            <w:shd w:val="clear" w:color="auto" w:fill="auto"/>
            <w:hideMark/>
          </w:tcPr>
          <w:p w:rsidR="00A1707B" w:rsidRDefault="00A1707B">
            <w:pPr>
              <w:jc w:val="both"/>
              <w:rPr>
                <w:rFonts w:ascii="Arial" w:hAnsi="Arial" w:cs="Arial"/>
                <w:sz w:val="20"/>
                <w:szCs w:val="20"/>
              </w:rPr>
            </w:pPr>
            <w:r>
              <w:rPr>
                <w:rFonts w:ascii="Arial" w:hAnsi="Arial" w:cs="Arial"/>
                <w:sz w:val="20"/>
                <w:szCs w:val="20"/>
              </w:rPr>
              <w:t xml:space="preserve">Average turnaround times for vacant stock — SOMIH (days) </w:t>
            </w:r>
          </w:p>
        </w:tc>
      </w:tr>
      <w:tr w:rsidR="00A1707B" w:rsidRPr="00430FB3" w:rsidTr="00F44E27">
        <w:trPr>
          <w:trHeight w:val="357"/>
        </w:trPr>
        <w:tc>
          <w:tcPr>
            <w:tcW w:w="1456" w:type="dxa"/>
            <w:tcBorders>
              <w:top w:val="nil"/>
              <w:left w:val="nil"/>
              <w:bottom w:val="nil"/>
              <w:right w:val="nil"/>
            </w:tcBorders>
            <w:shd w:val="clear" w:color="auto" w:fill="auto"/>
            <w:noWrap/>
            <w:hideMark/>
          </w:tcPr>
          <w:p w:rsidR="00A1707B" w:rsidRPr="00430FB3" w:rsidRDefault="00A1707B" w:rsidP="00513E19">
            <w:pPr>
              <w:spacing w:before="60" w:after="60"/>
              <w:rPr>
                <w:rFonts w:ascii="Arial" w:hAnsi="Arial" w:cs="Arial"/>
                <w:b/>
                <w:bCs/>
                <w:sz w:val="20"/>
                <w:szCs w:val="20"/>
              </w:rPr>
            </w:pPr>
            <w:r w:rsidRPr="00430FB3">
              <w:rPr>
                <w:rFonts w:ascii="Arial" w:hAnsi="Arial" w:cs="Arial"/>
                <w:b/>
                <w:bCs/>
                <w:sz w:val="20"/>
                <w:szCs w:val="20"/>
              </w:rPr>
              <w:t>Table</w:t>
            </w:r>
            <w:r w:rsidR="007D1214">
              <w:rPr>
                <w:rFonts w:ascii="Arial" w:hAnsi="Arial" w:cs="Arial"/>
                <w:b/>
                <w:bCs/>
                <w:sz w:val="20"/>
                <w:szCs w:val="20"/>
              </w:rPr>
              <w:t> </w:t>
            </w:r>
            <w:proofErr w:type="spellStart"/>
            <w:r w:rsidRPr="00430FB3">
              <w:rPr>
                <w:rFonts w:ascii="Arial" w:hAnsi="Arial" w:cs="Arial"/>
                <w:b/>
                <w:bCs/>
                <w:sz w:val="20"/>
                <w:szCs w:val="20"/>
              </w:rPr>
              <w:t>17A.30</w:t>
            </w:r>
            <w:proofErr w:type="spellEnd"/>
          </w:p>
        </w:tc>
        <w:tc>
          <w:tcPr>
            <w:tcW w:w="7333" w:type="dxa"/>
            <w:tcBorders>
              <w:top w:val="nil"/>
              <w:left w:val="nil"/>
              <w:bottom w:val="nil"/>
              <w:right w:val="nil"/>
            </w:tcBorders>
            <w:shd w:val="clear" w:color="auto" w:fill="auto"/>
            <w:hideMark/>
          </w:tcPr>
          <w:p w:rsidR="00A1707B" w:rsidRDefault="00A1707B">
            <w:pPr>
              <w:jc w:val="both"/>
              <w:rPr>
                <w:rFonts w:ascii="Arial" w:hAnsi="Arial" w:cs="Arial"/>
                <w:sz w:val="20"/>
                <w:szCs w:val="20"/>
              </w:rPr>
            </w:pPr>
            <w:r>
              <w:rPr>
                <w:rFonts w:ascii="Arial" w:hAnsi="Arial" w:cs="Arial"/>
                <w:sz w:val="20"/>
                <w:szCs w:val="20"/>
              </w:rPr>
              <w:t xml:space="preserve">Public housing rent collection rate (per cent)    </w:t>
            </w:r>
          </w:p>
        </w:tc>
      </w:tr>
      <w:tr w:rsidR="00A1707B" w:rsidRPr="00430FB3" w:rsidTr="00F44E27">
        <w:trPr>
          <w:trHeight w:val="357"/>
        </w:trPr>
        <w:tc>
          <w:tcPr>
            <w:tcW w:w="1456" w:type="dxa"/>
            <w:tcBorders>
              <w:top w:val="nil"/>
              <w:left w:val="nil"/>
              <w:bottom w:val="nil"/>
              <w:right w:val="nil"/>
            </w:tcBorders>
            <w:shd w:val="clear" w:color="auto" w:fill="auto"/>
            <w:noWrap/>
            <w:hideMark/>
          </w:tcPr>
          <w:p w:rsidR="00A1707B" w:rsidRPr="00430FB3" w:rsidRDefault="00A1707B" w:rsidP="00513E19">
            <w:pPr>
              <w:spacing w:before="60" w:after="60"/>
              <w:rPr>
                <w:rFonts w:ascii="Arial" w:hAnsi="Arial" w:cs="Arial"/>
                <w:b/>
                <w:bCs/>
                <w:sz w:val="20"/>
                <w:szCs w:val="20"/>
              </w:rPr>
            </w:pPr>
            <w:r w:rsidRPr="00430FB3">
              <w:rPr>
                <w:rFonts w:ascii="Arial" w:hAnsi="Arial" w:cs="Arial"/>
                <w:b/>
                <w:bCs/>
                <w:sz w:val="20"/>
                <w:szCs w:val="20"/>
              </w:rPr>
              <w:t>Table</w:t>
            </w:r>
            <w:r w:rsidR="007D1214">
              <w:rPr>
                <w:rFonts w:ascii="Arial" w:hAnsi="Arial" w:cs="Arial"/>
                <w:b/>
                <w:bCs/>
                <w:sz w:val="20"/>
                <w:szCs w:val="20"/>
              </w:rPr>
              <w:t> </w:t>
            </w:r>
            <w:proofErr w:type="spellStart"/>
            <w:r w:rsidRPr="00430FB3">
              <w:rPr>
                <w:rFonts w:ascii="Arial" w:hAnsi="Arial" w:cs="Arial"/>
                <w:b/>
                <w:bCs/>
                <w:sz w:val="20"/>
                <w:szCs w:val="20"/>
              </w:rPr>
              <w:t>17A.31</w:t>
            </w:r>
            <w:proofErr w:type="spellEnd"/>
          </w:p>
        </w:tc>
        <w:tc>
          <w:tcPr>
            <w:tcW w:w="7333" w:type="dxa"/>
            <w:tcBorders>
              <w:top w:val="nil"/>
              <w:left w:val="nil"/>
              <w:bottom w:val="nil"/>
              <w:right w:val="nil"/>
            </w:tcBorders>
            <w:shd w:val="clear" w:color="auto" w:fill="auto"/>
            <w:hideMark/>
          </w:tcPr>
          <w:p w:rsidR="00A1707B" w:rsidRDefault="00A1707B">
            <w:pPr>
              <w:jc w:val="both"/>
              <w:rPr>
                <w:rFonts w:ascii="Arial" w:hAnsi="Arial" w:cs="Arial"/>
                <w:sz w:val="20"/>
                <w:szCs w:val="20"/>
              </w:rPr>
            </w:pPr>
            <w:r>
              <w:rPr>
                <w:rFonts w:ascii="Arial" w:hAnsi="Arial" w:cs="Arial"/>
                <w:sz w:val="20"/>
                <w:szCs w:val="20"/>
              </w:rPr>
              <w:t xml:space="preserve">SOMIH rent collection rate (per cent)    </w:t>
            </w:r>
          </w:p>
        </w:tc>
      </w:tr>
      <w:tr w:rsidR="00A1707B" w:rsidRPr="00430FB3" w:rsidTr="00F44E27">
        <w:trPr>
          <w:trHeight w:val="357"/>
        </w:trPr>
        <w:tc>
          <w:tcPr>
            <w:tcW w:w="1456" w:type="dxa"/>
            <w:tcBorders>
              <w:top w:val="nil"/>
              <w:left w:val="nil"/>
              <w:bottom w:val="nil"/>
              <w:right w:val="nil"/>
            </w:tcBorders>
            <w:shd w:val="clear" w:color="auto" w:fill="auto"/>
            <w:noWrap/>
            <w:hideMark/>
          </w:tcPr>
          <w:p w:rsidR="00A1707B" w:rsidRPr="00430FB3" w:rsidRDefault="00A1707B" w:rsidP="00513E19">
            <w:pPr>
              <w:spacing w:before="60" w:after="60"/>
              <w:rPr>
                <w:rFonts w:ascii="Arial" w:hAnsi="Arial" w:cs="Arial"/>
                <w:b/>
                <w:bCs/>
                <w:sz w:val="20"/>
                <w:szCs w:val="20"/>
              </w:rPr>
            </w:pPr>
            <w:r w:rsidRPr="00430FB3">
              <w:rPr>
                <w:rFonts w:ascii="Arial" w:hAnsi="Arial" w:cs="Arial"/>
                <w:b/>
                <w:bCs/>
                <w:sz w:val="20"/>
                <w:szCs w:val="20"/>
              </w:rPr>
              <w:t>Table</w:t>
            </w:r>
            <w:r w:rsidR="007D1214">
              <w:rPr>
                <w:rFonts w:ascii="Arial" w:hAnsi="Arial" w:cs="Arial"/>
                <w:b/>
                <w:bCs/>
                <w:sz w:val="20"/>
                <w:szCs w:val="20"/>
              </w:rPr>
              <w:t> </w:t>
            </w:r>
            <w:proofErr w:type="spellStart"/>
            <w:r w:rsidRPr="00430FB3">
              <w:rPr>
                <w:rFonts w:ascii="Arial" w:hAnsi="Arial" w:cs="Arial"/>
                <w:b/>
                <w:bCs/>
                <w:sz w:val="20"/>
                <w:szCs w:val="20"/>
              </w:rPr>
              <w:t>17A.32</w:t>
            </w:r>
            <w:proofErr w:type="spellEnd"/>
          </w:p>
        </w:tc>
        <w:tc>
          <w:tcPr>
            <w:tcW w:w="7333" w:type="dxa"/>
            <w:tcBorders>
              <w:top w:val="nil"/>
              <w:left w:val="nil"/>
              <w:bottom w:val="nil"/>
              <w:right w:val="nil"/>
            </w:tcBorders>
            <w:shd w:val="clear" w:color="auto" w:fill="auto"/>
            <w:hideMark/>
          </w:tcPr>
          <w:p w:rsidR="00A1707B" w:rsidRDefault="00A1707B">
            <w:pPr>
              <w:jc w:val="both"/>
              <w:rPr>
                <w:rFonts w:ascii="Arial" w:hAnsi="Arial" w:cs="Arial"/>
                <w:sz w:val="20"/>
                <w:szCs w:val="20"/>
              </w:rPr>
            </w:pPr>
            <w:r>
              <w:rPr>
                <w:rFonts w:ascii="Arial" w:hAnsi="Arial" w:cs="Arial"/>
                <w:sz w:val="20"/>
                <w:szCs w:val="20"/>
              </w:rPr>
              <w:t xml:space="preserve">Community housing rent collection rate (per cent)   </w:t>
            </w:r>
          </w:p>
        </w:tc>
      </w:tr>
      <w:tr w:rsidR="00A1707B" w:rsidRPr="00430FB3" w:rsidTr="00F44E27">
        <w:trPr>
          <w:trHeight w:val="612"/>
        </w:trPr>
        <w:tc>
          <w:tcPr>
            <w:tcW w:w="1456" w:type="dxa"/>
            <w:tcBorders>
              <w:top w:val="nil"/>
              <w:left w:val="nil"/>
              <w:bottom w:val="nil"/>
              <w:right w:val="nil"/>
            </w:tcBorders>
            <w:shd w:val="clear" w:color="auto" w:fill="auto"/>
            <w:noWrap/>
            <w:hideMark/>
          </w:tcPr>
          <w:p w:rsidR="00A1707B" w:rsidRPr="00430FB3" w:rsidRDefault="00A1707B" w:rsidP="00513E19">
            <w:pPr>
              <w:spacing w:before="60" w:after="60"/>
              <w:rPr>
                <w:rFonts w:ascii="Arial" w:hAnsi="Arial" w:cs="Arial"/>
                <w:b/>
                <w:bCs/>
                <w:sz w:val="20"/>
                <w:szCs w:val="20"/>
              </w:rPr>
            </w:pPr>
            <w:r w:rsidRPr="00430FB3">
              <w:rPr>
                <w:rFonts w:ascii="Arial" w:hAnsi="Arial" w:cs="Arial"/>
                <w:b/>
                <w:bCs/>
                <w:sz w:val="20"/>
                <w:szCs w:val="20"/>
              </w:rPr>
              <w:t>Table</w:t>
            </w:r>
            <w:r w:rsidR="007D1214">
              <w:rPr>
                <w:rFonts w:ascii="Arial" w:hAnsi="Arial" w:cs="Arial"/>
                <w:b/>
                <w:bCs/>
                <w:sz w:val="20"/>
                <w:szCs w:val="20"/>
              </w:rPr>
              <w:t> </w:t>
            </w:r>
            <w:proofErr w:type="spellStart"/>
            <w:r w:rsidRPr="00430FB3">
              <w:rPr>
                <w:rFonts w:ascii="Arial" w:hAnsi="Arial" w:cs="Arial"/>
                <w:b/>
                <w:bCs/>
                <w:sz w:val="20"/>
                <w:szCs w:val="20"/>
              </w:rPr>
              <w:t>17A.33</w:t>
            </w:r>
            <w:proofErr w:type="spellEnd"/>
          </w:p>
        </w:tc>
        <w:tc>
          <w:tcPr>
            <w:tcW w:w="7333" w:type="dxa"/>
            <w:tcBorders>
              <w:top w:val="nil"/>
              <w:left w:val="nil"/>
              <w:bottom w:val="nil"/>
              <w:right w:val="nil"/>
            </w:tcBorders>
            <w:shd w:val="clear" w:color="auto" w:fill="auto"/>
            <w:hideMark/>
          </w:tcPr>
          <w:p w:rsidR="00A1707B" w:rsidRDefault="00A1707B">
            <w:pPr>
              <w:jc w:val="both"/>
              <w:rPr>
                <w:rFonts w:ascii="Arial" w:hAnsi="Arial" w:cs="Arial"/>
                <w:sz w:val="20"/>
                <w:szCs w:val="20"/>
              </w:rPr>
            </w:pPr>
            <w:r>
              <w:rPr>
                <w:rFonts w:ascii="Arial" w:hAnsi="Arial" w:cs="Arial"/>
                <w:sz w:val="20"/>
                <w:szCs w:val="20"/>
              </w:rPr>
              <w:t xml:space="preserve">Indigenous community housing rent collection rate (per cent)    </w:t>
            </w:r>
          </w:p>
        </w:tc>
      </w:tr>
      <w:tr w:rsidR="00A1707B" w:rsidRPr="00430FB3" w:rsidTr="00F44E27">
        <w:trPr>
          <w:trHeight w:val="612"/>
        </w:trPr>
        <w:tc>
          <w:tcPr>
            <w:tcW w:w="1456" w:type="dxa"/>
            <w:tcBorders>
              <w:top w:val="nil"/>
              <w:left w:val="nil"/>
              <w:bottom w:val="nil"/>
              <w:right w:val="nil"/>
            </w:tcBorders>
            <w:shd w:val="clear" w:color="auto" w:fill="auto"/>
            <w:noWrap/>
            <w:hideMark/>
          </w:tcPr>
          <w:p w:rsidR="00A1707B" w:rsidRPr="00430FB3" w:rsidRDefault="00A1707B" w:rsidP="00513E19">
            <w:pPr>
              <w:spacing w:before="60" w:after="60"/>
              <w:rPr>
                <w:rFonts w:ascii="Arial" w:hAnsi="Arial" w:cs="Arial"/>
                <w:b/>
                <w:bCs/>
                <w:sz w:val="20"/>
                <w:szCs w:val="20"/>
              </w:rPr>
            </w:pPr>
            <w:r w:rsidRPr="00430FB3">
              <w:rPr>
                <w:rFonts w:ascii="Arial" w:hAnsi="Arial" w:cs="Arial"/>
                <w:b/>
                <w:bCs/>
                <w:sz w:val="20"/>
                <w:szCs w:val="20"/>
              </w:rPr>
              <w:t>Table</w:t>
            </w:r>
            <w:r w:rsidR="007D1214">
              <w:rPr>
                <w:rFonts w:ascii="Arial" w:hAnsi="Arial" w:cs="Arial"/>
                <w:b/>
                <w:bCs/>
                <w:sz w:val="20"/>
                <w:szCs w:val="20"/>
              </w:rPr>
              <w:t> </w:t>
            </w:r>
            <w:proofErr w:type="spellStart"/>
            <w:r w:rsidRPr="00430FB3">
              <w:rPr>
                <w:rFonts w:ascii="Arial" w:hAnsi="Arial" w:cs="Arial"/>
                <w:b/>
                <w:bCs/>
                <w:sz w:val="20"/>
                <w:szCs w:val="20"/>
              </w:rPr>
              <w:t>17A.34</w:t>
            </w:r>
            <w:proofErr w:type="spellEnd"/>
          </w:p>
        </w:tc>
        <w:tc>
          <w:tcPr>
            <w:tcW w:w="7333" w:type="dxa"/>
            <w:tcBorders>
              <w:top w:val="nil"/>
              <w:left w:val="nil"/>
              <w:bottom w:val="nil"/>
              <w:right w:val="nil"/>
            </w:tcBorders>
            <w:shd w:val="clear" w:color="auto" w:fill="auto"/>
            <w:hideMark/>
          </w:tcPr>
          <w:p w:rsidR="00A1707B" w:rsidRDefault="00A1707B">
            <w:pPr>
              <w:jc w:val="both"/>
              <w:rPr>
                <w:rFonts w:ascii="Arial" w:hAnsi="Arial" w:cs="Arial"/>
                <w:sz w:val="20"/>
                <w:szCs w:val="20"/>
              </w:rPr>
            </w:pPr>
            <w:r>
              <w:rPr>
                <w:rFonts w:ascii="Arial" w:hAnsi="Arial" w:cs="Arial"/>
                <w:sz w:val="20"/>
                <w:szCs w:val="20"/>
              </w:rPr>
              <w:t xml:space="preserve">Proportion of public housing tenants rating amenity aspects as important and meeting their needs, 2014   </w:t>
            </w:r>
          </w:p>
        </w:tc>
      </w:tr>
      <w:tr w:rsidR="00A1707B" w:rsidRPr="00430FB3" w:rsidTr="00F44E27">
        <w:trPr>
          <w:trHeight w:val="357"/>
        </w:trPr>
        <w:tc>
          <w:tcPr>
            <w:tcW w:w="1456" w:type="dxa"/>
            <w:tcBorders>
              <w:top w:val="nil"/>
              <w:left w:val="nil"/>
              <w:bottom w:val="nil"/>
              <w:right w:val="nil"/>
            </w:tcBorders>
            <w:shd w:val="clear" w:color="auto" w:fill="auto"/>
            <w:noWrap/>
            <w:hideMark/>
          </w:tcPr>
          <w:p w:rsidR="00A1707B" w:rsidRPr="00430FB3" w:rsidRDefault="00A1707B" w:rsidP="00513E19">
            <w:pPr>
              <w:spacing w:before="60" w:after="60"/>
              <w:rPr>
                <w:rFonts w:ascii="Arial" w:hAnsi="Arial" w:cs="Arial"/>
                <w:b/>
                <w:bCs/>
                <w:sz w:val="20"/>
                <w:szCs w:val="20"/>
              </w:rPr>
            </w:pPr>
            <w:r w:rsidRPr="00430FB3">
              <w:rPr>
                <w:rFonts w:ascii="Arial" w:hAnsi="Arial" w:cs="Arial"/>
                <w:b/>
                <w:bCs/>
                <w:sz w:val="20"/>
                <w:szCs w:val="20"/>
              </w:rPr>
              <w:t>Table</w:t>
            </w:r>
            <w:r w:rsidR="007D1214">
              <w:rPr>
                <w:rFonts w:ascii="Arial" w:hAnsi="Arial" w:cs="Arial"/>
                <w:b/>
                <w:bCs/>
                <w:sz w:val="20"/>
                <w:szCs w:val="20"/>
              </w:rPr>
              <w:t> </w:t>
            </w:r>
            <w:proofErr w:type="spellStart"/>
            <w:r w:rsidRPr="00430FB3">
              <w:rPr>
                <w:rFonts w:ascii="Arial" w:hAnsi="Arial" w:cs="Arial"/>
                <w:b/>
                <w:bCs/>
                <w:sz w:val="20"/>
                <w:szCs w:val="20"/>
              </w:rPr>
              <w:t>17A.35</w:t>
            </w:r>
            <w:proofErr w:type="spellEnd"/>
          </w:p>
        </w:tc>
        <w:tc>
          <w:tcPr>
            <w:tcW w:w="7333" w:type="dxa"/>
            <w:tcBorders>
              <w:top w:val="nil"/>
              <w:left w:val="nil"/>
              <w:bottom w:val="nil"/>
              <w:right w:val="nil"/>
            </w:tcBorders>
            <w:shd w:val="clear" w:color="auto" w:fill="auto"/>
            <w:hideMark/>
          </w:tcPr>
          <w:p w:rsidR="00A1707B" w:rsidRDefault="00A1707B">
            <w:pPr>
              <w:jc w:val="both"/>
              <w:rPr>
                <w:rFonts w:ascii="Arial" w:hAnsi="Arial" w:cs="Arial"/>
                <w:sz w:val="20"/>
                <w:szCs w:val="20"/>
              </w:rPr>
            </w:pPr>
            <w:r>
              <w:rPr>
                <w:rFonts w:ascii="Arial" w:hAnsi="Arial" w:cs="Arial"/>
                <w:sz w:val="20"/>
                <w:szCs w:val="20"/>
              </w:rPr>
              <w:t xml:space="preserve">Proportion of public housing tenants rating location aspects as important and meeting their needs, 2014 (per cent)   </w:t>
            </w:r>
          </w:p>
        </w:tc>
      </w:tr>
      <w:tr w:rsidR="00A1707B" w:rsidRPr="00430FB3" w:rsidTr="00F44E27">
        <w:trPr>
          <w:trHeight w:val="612"/>
        </w:trPr>
        <w:tc>
          <w:tcPr>
            <w:tcW w:w="1456" w:type="dxa"/>
            <w:tcBorders>
              <w:top w:val="nil"/>
              <w:left w:val="nil"/>
              <w:bottom w:val="nil"/>
              <w:right w:val="nil"/>
            </w:tcBorders>
            <w:shd w:val="clear" w:color="auto" w:fill="auto"/>
            <w:noWrap/>
            <w:hideMark/>
          </w:tcPr>
          <w:p w:rsidR="00A1707B" w:rsidRPr="00430FB3" w:rsidRDefault="00A1707B" w:rsidP="00513E19">
            <w:pPr>
              <w:spacing w:before="60" w:after="60"/>
              <w:rPr>
                <w:rFonts w:ascii="Arial" w:hAnsi="Arial" w:cs="Arial"/>
                <w:b/>
                <w:bCs/>
                <w:sz w:val="20"/>
                <w:szCs w:val="20"/>
              </w:rPr>
            </w:pPr>
            <w:r w:rsidRPr="00430FB3">
              <w:rPr>
                <w:rFonts w:ascii="Arial" w:hAnsi="Arial" w:cs="Arial"/>
                <w:b/>
                <w:bCs/>
                <w:sz w:val="20"/>
                <w:szCs w:val="20"/>
              </w:rPr>
              <w:t>Table</w:t>
            </w:r>
            <w:r w:rsidR="007D1214">
              <w:rPr>
                <w:rFonts w:ascii="Arial" w:hAnsi="Arial" w:cs="Arial"/>
                <w:b/>
                <w:bCs/>
                <w:sz w:val="20"/>
                <w:szCs w:val="20"/>
              </w:rPr>
              <w:t> </w:t>
            </w:r>
            <w:proofErr w:type="spellStart"/>
            <w:r w:rsidRPr="00430FB3">
              <w:rPr>
                <w:rFonts w:ascii="Arial" w:hAnsi="Arial" w:cs="Arial"/>
                <w:b/>
                <w:bCs/>
                <w:sz w:val="20"/>
                <w:szCs w:val="20"/>
              </w:rPr>
              <w:t>17A.36</w:t>
            </w:r>
            <w:proofErr w:type="spellEnd"/>
          </w:p>
        </w:tc>
        <w:tc>
          <w:tcPr>
            <w:tcW w:w="7333" w:type="dxa"/>
            <w:tcBorders>
              <w:top w:val="nil"/>
              <w:left w:val="nil"/>
              <w:bottom w:val="nil"/>
              <w:right w:val="nil"/>
            </w:tcBorders>
            <w:shd w:val="clear" w:color="auto" w:fill="auto"/>
            <w:hideMark/>
          </w:tcPr>
          <w:p w:rsidR="00A1707B" w:rsidRDefault="00A1707B">
            <w:pPr>
              <w:jc w:val="both"/>
              <w:rPr>
                <w:rFonts w:ascii="Arial" w:hAnsi="Arial" w:cs="Arial"/>
                <w:sz w:val="20"/>
                <w:szCs w:val="20"/>
              </w:rPr>
            </w:pPr>
            <w:r>
              <w:rPr>
                <w:rFonts w:ascii="Arial" w:hAnsi="Arial" w:cs="Arial"/>
                <w:sz w:val="20"/>
                <w:szCs w:val="20"/>
              </w:rPr>
              <w:t xml:space="preserve">Proportion of SOMIH tenants rating amenity aspects as important and meeting their needs, 2014   </w:t>
            </w:r>
          </w:p>
        </w:tc>
      </w:tr>
      <w:tr w:rsidR="00A1707B" w:rsidRPr="00430FB3" w:rsidTr="00F44E27">
        <w:trPr>
          <w:trHeight w:val="612"/>
        </w:trPr>
        <w:tc>
          <w:tcPr>
            <w:tcW w:w="1456" w:type="dxa"/>
            <w:tcBorders>
              <w:top w:val="nil"/>
              <w:left w:val="nil"/>
              <w:bottom w:val="nil"/>
              <w:right w:val="nil"/>
            </w:tcBorders>
            <w:shd w:val="clear" w:color="auto" w:fill="auto"/>
            <w:noWrap/>
            <w:hideMark/>
          </w:tcPr>
          <w:p w:rsidR="00A1707B" w:rsidRPr="00430FB3" w:rsidRDefault="00A1707B" w:rsidP="00513E19">
            <w:pPr>
              <w:spacing w:before="60" w:after="60"/>
              <w:rPr>
                <w:rFonts w:ascii="Arial" w:hAnsi="Arial" w:cs="Arial"/>
                <w:b/>
                <w:bCs/>
                <w:sz w:val="20"/>
                <w:szCs w:val="20"/>
              </w:rPr>
            </w:pPr>
            <w:r w:rsidRPr="00430FB3">
              <w:rPr>
                <w:rFonts w:ascii="Arial" w:hAnsi="Arial" w:cs="Arial"/>
                <w:b/>
                <w:bCs/>
                <w:sz w:val="20"/>
                <w:szCs w:val="20"/>
              </w:rPr>
              <w:t>Table</w:t>
            </w:r>
            <w:r w:rsidR="007D1214">
              <w:rPr>
                <w:rFonts w:ascii="Arial" w:hAnsi="Arial" w:cs="Arial"/>
                <w:b/>
                <w:bCs/>
                <w:sz w:val="20"/>
                <w:szCs w:val="20"/>
              </w:rPr>
              <w:t> </w:t>
            </w:r>
            <w:proofErr w:type="spellStart"/>
            <w:r w:rsidRPr="00430FB3">
              <w:rPr>
                <w:rFonts w:ascii="Arial" w:hAnsi="Arial" w:cs="Arial"/>
                <w:b/>
                <w:bCs/>
                <w:sz w:val="20"/>
                <w:szCs w:val="20"/>
              </w:rPr>
              <w:t>17A.37</w:t>
            </w:r>
            <w:proofErr w:type="spellEnd"/>
          </w:p>
        </w:tc>
        <w:tc>
          <w:tcPr>
            <w:tcW w:w="7333" w:type="dxa"/>
            <w:tcBorders>
              <w:top w:val="nil"/>
              <w:left w:val="nil"/>
              <w:bottom w:val="nil"/>
              <w:right w:val="nil"/>
            </w:tcBorders>
            <w:shd w:val="clear" w:color="auto" w:fill="auto"/>
            <w:hideMark/>
          </w:tcPr>
          <w:p w:rsidR="00A1707B" w:rsidRDefault="00A1707B">
            <w:pPr>
              <w:jc w:val="both"/>
              <w:rPr>
                <w:rFonts w:ascii="Arial" w:hAnsi="Arial" w:cs="Arial"/>
                <w:sz w:val="20"/>
                <w:szCs w:val="20"/>
              </w:rPr>
            </w:pPr>
            <w:r>
              <w:rPr>
                <w:rFonts w:ascii="Arial" w:hAnsi="Arial" w:cs="Arial"/>
                <w:sz w:val="20"/>
                <w:szCs w:val="20"/>
              </w:rPr>
              <w:t xml:space="preserve">Proportion of SOMIH tenants rating location aspects as important and meeting their needs, 2014 (per cent)   </w:t>
            </w:r>
          </w:p>
        </w:tc>
      </w:tr>
      <w:tr w:rsidR="00A1707B" w:rsidRPr="00430FB3" w:rsidTr="00F44E27">
        <w:trPr>
          <w:trHeight w:val="612"/>
        </w:trPr>
        <w:tc>
          <w:tcPr>
            <w:tcW w:w="1456" w:type="dxa"/>
            <w:tcBorders>
              <w:top w:val="nil"/>
              <w:left w:val="nil"/>
              <w:bottom w:val="nil"/>
              <w:right w:val="nil"/>
            </w:tcBorders>
            <w:shd w:val="clear" w:color="auto" w:fill="auto"/>
            <w:noWrap/>
            <w:hideMark/>
          </w:tcPr>
          <w:p w:rsidR="00A1707B" w:rsidRPr="00430FB3" w:rsidRDefault="00A1707B" w:rsidP="00513E19">
            <w:pPr>
              <w:spacing w:before="60" w:after="60"/>
              <w:rPr>
                <w:rFonts w:ascii="Arial" w:hAnsi="Arial" w:cs="Arial"/>
                <w:b/>
                <w:bCs/>
                <w:sz w:val="20"/>
                <w:szCs w:val="20"/>
              </w:rPr>
            </w:pPr>
            <w:r w:rsidRPr="00430FB3">
              <w:rPr>
                <w:rFonts w:ascii="Arial" w:hAnsi="Arial" w:cs="Arial"/>
                <w:b/>
                <w:bCs/>
                <w:sz w:val="20"/>
                <w:szCs w:val="20"/>
              </w:rPr>
              <w:t>Table</w:t>
            </w:r>
            <w:r w:rsidR="007D1214">
              <w:rPr>
                <w:rFonts w:ascii="Arial" w:hAnsi="Arial" w:cs="Arial"/>
                <w:b/>
                <w:bCs/>
                <w:sz w:val="20"/>
                <w:szCs w:val="20"/>
              </w:rPr>
              <w:t> </w:t>
            </w:r>
            <w:proofErr w:type="spellStart"/>
            <w:r w:rsidRPr="00430FB3">
              <w:rPr>
                <w:rFonts w:ascii="Arial" w:hAnsi="Arial" w:cs="Arial"/>
                <w:b/>
                <w:bCs/>
                <w:sz w:val="20"/>
                <w:szCs w:val="20"/>
              </w:rPr>
              <w:t>17A.38</w:t>
            </w:r>
            <w:proofErr w:type="spellEnd"/>
          </w:p>
        </w:tc>
        <w:tc>
          <w:tcPr>
            <w:tcW w:w="7333" w:type="dxa"/>
            <w:tcBorders>
              <w:top w:val="nil"/>
              <w:left w:val="nil"/>
              <w:bottom w:val="nil"/>
              <w:right w:val="nil"/>
            </w:tcBorders>
            <w:shd w:val="clear" w:color="auto" w:fill="auto"/>
            <w:hideMark/>
          </w:tcPr>
          <w:p w:rsidR="00A1707B" w:rsidRDefault="00A1707B">
            <w:pPr>
              <w:jc w:val="both"/>
              <w:rPr>
                <w:rFonts w:ascii="Arial" w:hAnsi="Arial" w:cs="Arial"/>
                <w:sz w:val="20"/>
                <w:szCs w:val="20"/>
              </w:rPr>
            </w:pPr>
            <w:r>
              <w:rPr>
                <w:rFonts w:ascii="Arial" w:hAnsi="Arial" w:cs="Arial"/>
                <w:sz w:val="20"/>
                <w:szCs w:val="20"/>
              </w:rPr>
              <w:t xml:space="preserve">Proportion of community housing tenants rating amenity aspects as important and meeting their needs, 2014   </w:t>
            </w:r>
          </w:p>
        </w:tc>
      </w:tr>
      <w:tr w:rsidR="00A1707B" w:rsidRPr="00430FB3" w:rsidTr="00F44E27">
        <w:trPr>
          <w:trHeight w:val="357"/>
        </w:trPr>
        <w:tc>
          <w:tcPr>
            <w:tcW w:w="1456" w:type="dxa"/>
            <w:tcBorders>
              <w:top w:val="nil"/>
              <w:left w:val="nil"/>
              <w:bottom w:val="nil"/>
              <w:right w:val="nil"/>
            </w:tcBorders>
            <w:shd w:val="clear" w:color="auto" w:fill="auto"/>
            <w:noWrap/>
            <w:hideMark/>
          </w:tcPr>
          <w:p w:rsidR="00A1707B" w:rsidRPr="00430FB3" w:rsidRDefault="00A1707B" w:rsidP="00513E19">
            <w:pPr>
              <w:spacing w:before="60" w:after="60"/>
              <w:rPr>
                <w:rFonts w:ascii="Arial" w:hAnsi="Arial" w:cs="Arial"/>
                <w:b/>
                <w:bCs/>
                <w:sz w:val="20"/>
                <w:szCs w:val="20"/>
              </w:rPr>
            </w:pPr>
            <w:r w:rsidRPr="00430FB3">
              <w:rPr>
                <w:rFonts w:ascii="Arial" w:hAnsi="Arial" w:cs="Arial"/>
                <w:b/>
                <w:bCs/>
                <w:sz w:val="20"/>
                <w:szCs w:val="20"/>
              </w:rPr>
              <w:t>Table</w:t>
            </w:r>
            <w:r w:rsidR="007D1214">
              <w:rPr>
                <w:rFonts w:ascii="Arial" w:hAnsi="Arial" w:cs="Arial"/>
                <w:b/>
                <w:bCs/>
                <w:sz w:val="20"/>
                <w:szCs w:val="20"/>
              </w:rPr>
              <w:t> </w:t>
            </w:r>
            <w:proofErr w:type="spellStart"/>
            <w:r w:rsidRPr="00430FB3">
              <w:rPr>
                <w:rFonts w:ascii="Arial" w:hAnsi="Arial" w:cs="Arial"/>
                <w:b/>
                <w:bCs/>
                <w:sz w:val="20"/>
                <w:szCs w:val="20"/>
              </w:rPr>
              <w:t>17A.39</w:t>
            </w:r>
            <w:proofErr w:type="spellEnd"/>
          </w:p>
        </w:tc>
        <w:tc>
          <w:tcPr>
            <w:tcW w:w="7333" w:type="dxa"/>
            <w:tcBorders>
              <w:top w:val="nil"/>
              <w:left w:val="nil"/>
              <w:bottom w:val="nil"/>
              <w:right w:val="nil"/>
            </w:tcBorders>
            <w:shd w:val="clear" w:color="auto" w:fill="auto"/>
            <w:hideMark/>
          </w:tcPr>
          <w:p w:rsidR="00A1707B" w:rsidRDefault="00A1707B">
            <w:pPr>
              <w:jc w:val="both"/>
              <w:rPr>
                <w:rFonts w:ascii="Arial" w:hAnsi="Arial" w:cs="Arial"/>
                <w:sz w:val="20"/>
                <w:szCs w:val="20"/>
              </w:rPr>
            </w:pPr>
            <w:r>
              <w:rPr>
                <w:rFonts w:ascii="Arial" w:hAnsi="Arial" w:cs="Arial"/>
                <w:sz w:val="20"/>
                <w:szCs w:val="20"/>
              </w:rPr>
              <w:t xml:space="preserve">Proportion of community housing tenants rating location aspects as important and meeting their needs, 2014 (per cent)   </w:t>
            </w:r>
          </w:p>
        </w:tc>
      </w:tr>
      <w:tr w:rsidR="00A1707B" w:rsidRPr="00430FB3" w:rsidTr="00F44E27">
        <w:trPr>
          <w:trHeight w:val="357"/>
        </w:trPr>
        <w:tc>
          <w:tcPr>
            <w:tcW w:w="1456" w:type="dxa"/>
            <w:tcBorders>
              <w:top w:val="nil"/>
              <w:left w:val="nil"/>
              <w:bottom w:val="nil"/>
              <w:right w:val="nil"/>
            </w:tcBorders>
            <w:shd w:val="clear" w:color="auto" w:fill="auto"/>
            <w:noWrap/>
            <w:hideMark/>
          </w:tcPr>
          <w:p w:rsidR="00A1707B" w:rsidRPr="00430FB3" w:rsidRDefault="00A1707B" w:rsidP="00513E19">
            <w:pPr>
              <w:spacing w:before="60" w:after="60"/>
              <w:rPr>
                <w:rFonts w:ascii="Arial" w:hAnsi="Arial" w:cs="Arial"/>
                <w:b/>
                <w:bCs/>
                <w:sz w:val="20"/>
                <w:szCs w:val="20"/>
              </w:rPr>
            </w:pPr>
            <w:r w:rsidRPr="00430FB3">
              <w:rPr>
                <w:rFonts w:ascii="Arial" w:hAnsi="Arial" w:cs="Arial"/>
                <w:b/>
                <w:bCs/>
                <w:sz w:val="20"/>
                <w:szCs w:val="20"/>
              </w:rPr>
              <w:t>Table</w:t>
            </w:r>
            <w:r w:rsidR="007D1214">
              <w:rPr>
                <w:rFonts w:ascii="Arial" w:hAnsi="Arial" w:cs="Arial"/>
                <w:b/>
                <w:bCs/>
                <w:sz w:val="20"/>
                <w:szCs w:val="20"/>
              </w:rPr>
              <w:t> </w:t>
            </w:r>
            <w:proofErr w:type="spellStart"/>
            <w:r w:rsidRPr="00430FB3">
              <w:rPr>
                <w:rFonts w:ascii="Arial" w:hAnsi="Arial" w:cs="Arial"/>
                <w:b/>
                <w:bCs/>
                <w:sz w:val="20"/>
                <w:szCs w:val="20"/>
              </w:rPr>
              <w:t>17A.40</w:t>
            </w:r>
            <w:proofErr w:type="spellEnd"/>
          </w:p>
        </w:tc>
        <w:tc>
          <w:tcPr>
            <w:tcW w:w="7333" w:type="dxa"/>
            <w:tcBorders>
              <w:top w:val="nil"/>
              <w:left w:val="nil"/>
              <w:bottom w:val="nil"/>
              <w:right w:val="nil"/>
            </w:tcBorders>
            <w:shd w:val="clear" w:color="auto" w:fill="auto"/>
            <w:hideMark/>
          </w:tcPr>
          <w:p w:rsidR="00A1707B" w:rsidRDefault="00A1707B">
            <w:pPr>
              <w:jc w:val="both"/>
              <w:rPr>
                <w:rFonts w:ascii="Arial" w:hAnsi="Arial" w:cs="Arial"/>
                <w:sz w:val="20"/>
                <w:szCs w:val="20"/>
              </w:rPr>
            </w:pPr>
            <w:r>
              <w:rPr>
                <w:rFonts w:ascii="Arial" w:hAnsi="Arial" w:cs="Arial"/>
                <w:sz w:val="20"/>
                <w:szCs w:val="20"/>
              </w:rPr>
              <w:t xml:space="preserve">Average weekly subsidy per rebated household, at 30 June — public housing ($ per week) </w:t>
            </w:r>
          </w:p>
        </w:tc>
      </w:tr>
      <w:tr w:rsidR="00A1707B" w:rsidRPr="00430FB3" w:rsidTr="00F44E27">
        <w:trPr>
          <w:trHeight w:val="612"/>
        </w:trPr>
        <w:tc>
          <w:tcPr>
            <w:tcW w:w="1456" w:type="dxa"/>
            <w:tcBorders>
              <w:top w:val="nil"/>
              <w:left w:val="nil"/>
              <w:bottom w:val="nil"/>
              <w:right w:val="nil"/>
            </w:tcBorders>
            <w:shd w:val="clear" w:color="auto" w:fill="auto"/>
            <w:noWrap/>
            <w:hideMark/>
          </w:tcPr>
          <w:p w:rsidR="00A1707B" w:rsidRPr="00430FB3" w:rsidRDefault="00A1707B" w:rsidP="00513E19">
            <w:pPr>
              <w:spacing w:before="60" w:after="60"/>
              <w:rPr>
                <w:rFonts w:ascii="Arial" w:hAnsi="Arial" w:cs="Arial"/>
                <w:b/>
                <w:bCs/>
                <w:sz w:val="20"/>
                <w:szCs w:val="20"/>
              </w:rPr>
            </w:pPr>
            <w:r w:rsidRPr="00430FB3">
              <w:rPr>
                <w:rFonts w:ascii="Arial" w:hAnsi="Arial" w:cs="Arial"/>
                <w:b/>
                <w:bCs/>
                <w:sz w:val="20"/>
                <w:szCs w:val="20"/>
              </w:rPr>
              <w:t>Table</w:t>
            </w:r>
            <w:r w:rsidR="007D1214">
              <w:rPr>
                <w:rFonts w:ascii="Arial" w:hAnsi="Arial" w:cs="Arial"/>
                <w:b/>
                <w:bCs/>
                <w:sz w:val="20"/>
                <w:szCs w:val="20"/>
              </w:rPr>
              <w:t> </w:t>
            </w:r>
            <w:proofErr w:type="spellStart"/>
            <w:r w:rsidRPr="00430FB3">
              <w:rPr>
                <w:rFonts w:ascii="Arial" w:hAnsi="Arial" w:cs="Arial"/>
                <w:b/>
                <w:bCs/>
                <w:sz w:val="20"/>
                <w:szCs w:val="20"/>
              </w:rPr>
              <w:t>17A.41</w:t>
            </w:r>
            <w:proofErr w:type="spellEnd"/>
          </w:p>
        </w:tc>
        <w:tc>
          <w:tcPr>
            <w:tcW w:w="7333" w:type="dxa"/>
            <w:tcBorders>
              <w:top w:val="nil"/>
              <w:left w:val="nil"/>
              <w:bottom w:val="nil"/>
              <w:right w:val="nil"/>
            </w:tcBorders>
            <w:shd w:val="clear" w:color="auto" w:fill="auto"/>
            <w:hideMark/>
          </w:tcPr>
          <w:p w:rsidR="00A1707B" w:rsidRDefault="00A1707B">
            <w:pPr>
              <w:jc w:val="both"/>
              <w:rPr>
                <w:rFonts w:ascii="Arial" w:hAnsi="Arial" w:cs="Arial"/>
                <w:sz w:val="20"/>
                <w:szCs w:val="20"/>
              </w:rPr>
            </w:pPr>
            <w:r>
              <w:rPr>
                <w:rFonts w:ascii="Arial" w:hAnsi="Arial" w:cs="Arial"/>
                <w:sz w:val="20"/>
                <w:szCs w:val="20"/>
              </w:rPr>
              <w:t xml:space="preserve">Average weekly subsidy per rebated household, at 30 June — SOMIH ($ per week) </w:t>
            </w:r>
          </w:p>
        </w:tc>
      </w:tr>
      <w:tr w:rsidR="00A1707B" w:rsidRPr="00430FB3" w:rsidTr="00F44E27">
        <w:trPr>
          <w:trHeight w:val="612"/>
        </w:trPr>
        <w:tc>
          <w:tcPr>
            <w:tcW w:w="1456" w:type="dxa"/>
            <w:tcBorders>
              <w:top w:val="nil"/>
              <w:left w:val="nil"/>
              <w:bottom w:val="nil"/>
              <w:right w:val="nil"/>
            </w:tcBorders>
            <w:shd w:val="clear" w:color="auto" w:fill="auto"/>
            <w:noWrap/>
            <w:hideMark/>
          </w:tcPr>
          <w:p w:rsidR="00A1707B" w:rsidRPr="00430FB3" w:rsidRDefault="00A1707B" w:rsidP="00513E19">
            <w:pPr>
              <w:spacing w:before="60" w:after="60"/>
              <w:rPr>
                <w:rFonts w:ascii="Arial" w:hAnsi="Arial" w:cs="Arial"/>
                <w:b/>
                <w:bCs/>
                <w:sz w:val="20"/>
                <w:szCs w:val="20"/>
              </w:rPr>
            </w:pPr>
            <w:r w:rsidRPr="00430FB3">
              <w:rPr>
                <w:rFonts w:ascii="Arial" w:hAnsi="Arial" w:cs="Arial"/>
                <w:b/>
                <w:bCs/>
                <w:sz w:val="20"/>
                <w:szCs w:val="20"/>
              </w:rPr>
              <w:t>Table</w:t>
            </w:r>
            <w:r w:rsidR="007D1214">
              <w:rPr>
                <w:rFonts w:ascii="Arial" w:hAnsi="Arial" w:cs="Arial"/>
                <w:b/>
                <w:bCs/>
                <w:sz w:val="20"/>
                <w:szCs w:val="20"/>
              </w:rPr>
              <w:t> </w:t>
            </w:r>
            <w:proofErr w:type="spellStart"/>
            <w:r w:rsidRPr="00430FB3">
              <w:rPr>
                <w:rFonts w:ascii="Arial" w:hAnsi="Arial" w:cs="Arial"/>
                <w:b/>
                <w:bCs/>
                <w:sz w:val="20"/>
                <w:szCs w:val="20"/>
              </w:rPr>
              <w:t>17A.42</w:t>
            </w:r>
            <w:proofErr w:type="spellEnd"/>
          </w:p>
        </w:tc>
        <w:tc>
          <w:tcPr>
            <w:tcW w:w="7333" w:type="dxa"/>
            <w:tcBorders>
              <w:top w:val="nil"/>
              <w:left w:val="nil"/>
              <w:bottom w:val="nil"/>
              <w:right w:val="nil"/>
            </w:tcBorders>
            <w:shd w:val="clear" w:color="auto" w:fill="auto"/>
            <w:hideMark/>
          </w:tcPr>
          <w:p w:rsidR="00A1707B" w:rsidRDefault="00A1707B">
            <w:pPr>
              <w:jc w:val="both"/>
              <w:rPr>
                <w:rFonts w:ascii="Arial" w:hAnsi="Arial" w:cs="Arial"/>
                <w:sz w:val="20"/>
                <w:szCs w:val="20"/>
              </w:rPr>
            </w:pPr>
            <w:r>
              <w:rPr>
                <w:rFonts w:ascii="Arial" w:hAnsi="Arial" w:cs="Arial"/>
                <w:sz w:val="20"/>
                <w:szCs w:val="20"/>
              </w:rPr>
              <w:t xml:space="preserve">Low income households in social housing, at 30 June    </w:t>
            </w:r>
          </w:p>
        </w:tc>
      </w:tr>
      <w:tr w:rsidR="00A1707B" w:rsidRPr="00430FB3" w:rsidTr="00F44E27">
        <w:trPr>
          <w:trHeight w:val="612"/>
        </w:trPr>
        <w:tc>
          <w:tcPr>
            <w:tcW w:w="1456" w:type="dxa"/>
            <w:tcBorders>
              <w:top w:val="nil"/>
              <w:left w:val="nil"/>
              <w:bottom w:val="nil"/>
              <w:right w:val="nil"/>
            </w:tcBorders>
            <w:shd w:val="clear" w:color="auto" w:fill="auto"/>
            <w:noWrap/>
            <w:hideMark/>
          </w:tcPr>
          <w:p w:rsidR="00A1707B" w:rsidRPr="00430FB3" w:rsidRDefault="00A1707B" w:rsidP="00513E19">
            <w:pPr>
              <w:spacing w:before="60" w:after="60"/>
              <w:rPr>
                <w:rFonts w:ascii="Arial" w:hAnsi="Arial" w:cs="Arial"/>
                <w:b/>
                <w:bCs/>
                <w:sz w:val="20"/>
                <w:szCs w:val="20"/>
              </w:rPr>
            </w:pPr>
            <w:r w:rsidRPr="00430FB3">
              <w:rPr>
                <w:rFonts w:ascii="Arial" w:hAnsi="Arial" w:cs="Arial"/>
                <w:b/>
                <w:bCs/>
                <w:sz w:val="20"/>
                <w:szCs w:val="20"/>
              </w:rPr>
              <w:t>Table</w:t>
            </w:r>
            <w:r w:rsidR="007D1214">
              <w:rPr>
                <w:rFonts w:ascii="Arial" w:hAnsi="Arial" w:cs="Arial"/>
                <w:b/>
                <w:bCs/>
                <w:sz w:val="20"/>
                <w:szCs w:val="20"/>
              </w:rPr>
              <w:t> </w:t>
            </w:r>
            <w:r w:rsidRPr="00430FB3">
              <w:rPr>
                <w:rFonts w:ascii="Arial" w:hAnsi="Arial" w:cs="Arial"/>
                <w:b/>
                <w:bCs/>
                <w:sz w:val="20"/>
                <w:szCs w:val="20"/>
              </w:rPr>
              <w:t>17A.43</w:t>
            </w:r>
          </w:p>
        </w:tc>
        <w:tc>
          <w:tcPr>
            <w:tcW w:w="7333" w:type="dxa"/>
            <w:tcBorders>
              <w:top w:val="nil"/>
              <w:left w:val="nil"/>
              <w:bottom w:val="nil"/>
              <w:right w:val="nil"/>
            </w:tcBorders>
            <w:shd w:val="clear" w:color="auto" w:fill="auto"/>
            <w:hideMark/>
          </w:tcPr>
          <w:p w:rsidR="00A1707B" w:rsidRDefault="00A1707B">
            <w:pPr>
              <w:jc w:val="both"/>
              <w:rPr>
                <w:rFonts w:ascii="Arial" w:hAnsi="Arial" w:cs="Arial"/>
                <w:sz w:val="20"/>
                <w:szCs w:val="20"/>
              </w:rPr>
            </w:pPr>
            <w:r>
              <w:rPr>
                <w:rFonts w:ascii="Arial" w:hAnsi="Arial" w:cs="Arial"/>
                <w:sz w:val="20"/>
                <w:szCs w:val="20"/>
              </w:rPr>
              <w:t xml:space="preserve">Proportion of low income households in social housing spending more than 30 per cent of their gross income on rent, at 30 June (per cent)    </w:t>
            </w:r>
          </w:p>
        </w:tc>
      </w:tr>
      <w:tr w:rsidR="00A1707B" w:rsidRPr="00430FB3" w:rsidTr="00F44E27">
        <w:trPr>
          <w:trHeight w:val="612"/>
        </w:trPr>
        <w:tc>
          <w:tcPr>
            <w:tcW w:w="1456" w:type="dxa"/>
            <w:tcBorders>
              <w:top w:val="nil"/>
              <w:left w:val="nil"/>
              <w:bottom w:val="nil"/>
              <w:right w:val="nil"/>
            </w:tcBorders>
            <w:shd w:val="clear" w:color="auto" w:fill="auto"/>
            <w:noWrap/>
            <w:hideMark/>
          </w:tcPr>
          <w:p w:rsidR="00A1707B" w:rsidRPr="00430FB3" w:rsidRDefault="00A1707B" w:rsidP="00513E19">
            <w:pPr>
              <w:spacing w:before="60" w:after="60"/>
              <w:rPr>
                <w:rFonts w:ascii="Arial" w:hAnsi="Arial" w:cs="Arial"/>
                <w:b/>
                <w:bCs/>
                <w:sz w:val="20"/>
                <w:szCs w:val="20"/>
              </w:rPr>
            </w:pPr>
            <w:r w:rsidRPr="00430FB3">
              <w:rPr>
                <w:rFonts w:ascii="Arial" w:hAnsi="Arial" w:cs="Arial"/>
                <w:b/>
                <w:bCs/>
                <w:sz w:val="20"/>
                <w:szCs w:val="20"/>
              </w:rPr>
              <w:t>Table</w:t>
            </w:r>
            <w:r w:rsidR="007D1214">
              <w:rPr>
                <w:rFonts w:ascii="Arial" w:hAnsi="Arial" w:cs="Arial"/>
                <w:b/>
                <w:bCs/>
                <w:sz w:val="20"/>
                <w:szCs w:val="20"/>
              </w:rPr>
              <w:t> </w:t>
            </w:r>
            <w:proofErr w:type="spellStart"/>
            <w:r w:rsidRPr="00430FB3">
              <w:rPr>
                <w:rFonts w:ascii="Arial" w:hAnsi="Arial" w:cs="Arial"/>
                <w:b/>
                <w:bCs/>
                <w:sz w:val="20"/>
                <w:szCs w:val="20"/>
              </w:rPr>
              <w:t>17A.44</w:t>
            </w:r>
            <w:proofErr w:type="spellEnd"/>
          </w:p>
        </w:tc>
        <w:tc>
          <w:tcPr>
            <w:tcW w:w="7333" w:type="dxa"/>
            <w:tcBorders>
              <w:top w:val="nil"/>
              <w:left w:val="nil"/>
              <w:bottom w:val="nil"/>
              <w:right w:val="nil"/>
            </w:tcBorders>
            <w:shd w:val="clear" w:color="auto" w:fill="auto"/>
            <w:hideMark/>
          </w:tcPr>
          <w:p w:rsidR="00A1707B" w:rsidRDefault="00A1707B">
            <w:pPr>
              <w:jc w:val="both"/>
              <w:rPr>
                <w:rFonts w:ascii="Arial" w:hAnsi="Arial" w:cs="Arial"/>
                <w:sz w:val="20"/>
                <w:szCs w:val="20"/>
              </w:rPr>
            </w:pPr>
            <w:r>
              <w:rPr>
                <w:rFonts w:ascii="Arial" w:hAnsi="Arial" w:cs="Arial"/>
                <w:sz w:val="20"/>
                <w:szCs w:val="20"/>
              </w:rPr>
              <w:t xml:space="preserve">Proportion of income remaining after paying rent, as at 30 June — community housing (per cent)     </w:t>
            </w:r>
          </w:p>
        </w:tc>
      </w:tr>
      <w:tr w:rsidR="00A1707B" w:rsidRPr="00430FB3" w:rsidTr="00F44E27">
        <w:trPr>
          <w:trHeight w:val="612"/>
        </w:trPr>
        <w:tc>
          <w:tcPr>
            <w:tcW w:w="1456" w:type="dxa"/>
            <w:tcBorders>
              <w:top w:val="nil"/>
              <w:left w:val="nil"/>
              <w:bottom w:val="nil"/>
              <w:right w:val="nil"/>
            </w:tcBorders>
            <w:shd w:val="clear" w:color="auto" w:fill="auto"/>
            <w:noWrap/>
            <w:hideMark/>
          </w:tcPr>
          <w:p w:rsidR="00A1707B" w:rsidRPr="00430FB3" w:rsidRDefault="00A1707B" w:rsidP="00513E19">
            <w:pPr>
              <w:spacing w:before="60" w:after="60"/>
              <w:rPr>
                <w:rFonts w:ascii="Arial" w:hAnsi="Arial" w:cs="Arial"/>
                <w:b/>
                <w:bCs/>
                <w:sz w:val="20"/>
                <w:szCs w:val="20"/>
              </w:rPr>
            </w:pPr>
            <w:r w:rsidRPr="00430FB3">
              <w:rPr>
                <w:rFonts w:ascii="Arial" w:hAnsi="Arial" w:cs="Arial"/>
                <w:b/>
                <w:bCs/>
                <w:sz w:val="20"/>
                <w:szCs w:val="20"/>
              </w:rPr>
              <w:t>Table</w:t>
            </w:r>
            <w:r w:rsidR="007D1214">
              <w:rPr>
                <w:rFonts w:ascii="Arial" w:hAnsi="Arial" w:cs="Arial"/>
                <w:b/>
                <w:bCs/>
                <w:sz w:val="20"/>
                <w:szCs w:val="20"/>
              </w:rPr>
              <w:t> </w:t>
            </w:r>
            <w:proofErr w:type="spellStart"/>
            <w:r w:rsidRPr="00430FB3">
              <w:rPr>
                <w:rFonts w:ascii="Arial" w:hAnsi="Arial" w:cs="Arial"/>
                <w:b/>
                <w:bCs/>
                <w:sz w:val="20"/>
                <w:szCs w:val="20"/>
              </w:rPr>
              <w:t>17A.45</w:t>
            </w:r>
            <w:proofErr w:type="spellEnd"/>
          </w:p>
        </w:tc>
        <w:tc>
          <w:tcPr>
            <w:tcW w:w="7333" w:type="dxa"/>
            <w:tcBorders>
              <w:top w:val="nil"/>
              <w:left w:val="nil"/>
              <w:bottom w:val="nil"/>
              <w:right w:val="nil"/>
            </w:tcBorders>
            <w:shd w:val="clear" w:color="auto" w:fill="auto"/>
            <w:hideMark/>
          </w:tcPr>
          <w:p w:rsidR="00A1707B" w:rsidRDefault="00A1707B">
            <w:pPr>
              <w:jc w:val="both"/>
              <w:rPr>
                <w:rFonts w:ascii="Arial" w:hAnsi="Arial" w:cs="Arial"/>
                <w:sz w:val="20"/>
                <w:szCs w:val="20"/>
              </w:rPr>
            </w:pPr>
            <w:r>
              <w:rPr>
                <w:rFonts w:ascii="Arial" w:hAnsi="Arial" w:cs="Arial"/>
                <w:sz w:val="20"/>
                <w:szCs w:val="20"/>
              </w:rPr>
              <w:t xml:space="preserve">Proportion of household gross income spent on rent — low income households in public housing, at 30 June (per cent)  </w:t>
            </w:r>
          </w:p>
        </w:tc>
      </w:tr>
      <w:tr w:rsidR="00A1707B" w:rsidRPr="00430FB3" w:rsidTr="00F44E27">
        <w:trPr>
          <w:trHeight w:val="357"/>
        </w:trPr>
        <w:tc>
          <w:tcPr>
            <w:tcW w:w="1456" w:type="dxa"/>
            <w:tcBorders>
              <w:top w:val="nil"/>
              <w:left w:val="nil"/>
              <w:bottom w:val="nil"/>
              <w:right w:val="nil"/>
            </w:tcBorders>
            <w:shd w:val="clear" w:color="auto" w:fill="auto"/>
            <w:noWrap/>
            <w:hideMark/>
          </w:tcPr>
          <w:p w:rsidR="00A1707B" w:rsidRPr="00430FB3" w:rsidRDefault="00A1707B" w:rsidP="00513E19">
            <w:pPr>
              <w:spacing w:before="60" w:after="60"/>
              <w:rPr>
                <w:rFonts w:ascii="Arial" w:hAnsi="Arial" w:cs="Arial"/>
                <w:b/>
                <w:bCs/>
                <w:sz w:val="20"/>
                <w:szCs w:val="20"/>
              </w:rPr>
            </w:pPr>
            <w:r w:rsidRPr="00430FB3">
              <w:rPr>
                <w:rFonts w:ascii="Arial" w:hAnsi="Arial" w:cs="Arial"/>
                <w:b/>
                <w:bCs/>
                <w:sz w:val="20"/>
                <w:szCs w:val="20"/>
              </w:rPr>
              <w:t>Table</w:t>
            </w:r>
            <w:r w:rsidR="007D1214">
              <w:rPr>
                <w:rFonts w:ascii="Arial" w:hAnsi="Arial" w:cs="Arial"/>
                <w:b/>
                <w:bCs/>
                <w:sz w:val="20"/>
                <w:szCs w:val="20"/>
              </w:rPr>
              <w:t> </w:t>
            </w:r>
            <w:proofErr w:type="spellStart"/>
            <w:r w:rsidRPr="00430FB3">
              <w:rPr>
                <w:rFonts w:ascii="Arial" w:hAnsi="Arial" w:cs="Arial"/>
                <w:b/>
                <w:bCs/>
                <w:sz w:val="20"/>
                <w:szCs w:val="20"/>
              </w:rPr>
              <w:t>17A.46</w:t>
            </w:r>
            <w:proofErr w:type="spellEnd"/>
          </w:p>
        </w:tc>
        <w:tc>
          <w:tcPr>
            <w:tcW w:w="7333" w:type="dxa"/>
            <w:tcBorders>
              <w:top w:val="nil"/>
              <w:left w:val="nil"/>
              <w:bottom w:val="nil"/>
              <w:right w:val="nil"/>
            </w:tcBorders>
            <w:shd w:val="clear" w:color="auto" w:fill="auto"/>
            <w:hideMark/>
          </w:tcPr>
          <w:p w:rsidR="00A1707B" w:rsidRDefault="00A1707B">
            <w:pPr>
              <w:jc w:val="both"/>
              <w:rPr>
                <w:rFonts w:ascii="Arial" w:hAnsi="Arial" w:cs="Arial"/>
                <w:sz w:val="20"/>
                <w:szCs w:val="20"/>
              </w:rPr>
            </w:pPr>
            <w:r>
              <w:rPr>
                <w:rFonts w:ascii="Arial" w:hAnsi="Arial" w:cs="Arial"/>
                <w:sz w:val="20"/>
                <w:szCs w:val="20"/>
              </w:rPr>
              <w:t xml:space="preserve">Proportion of household gross income spent on rent — low income households in SOMIH, at 30 June (per cent)  </w:t>
            </w:r>
          </w:p>
        </w:tc>
      </w:tr>
      <w:tr w:rsidR="00A1707B" w:rsidRPr="00430FB3" w:rsidTr="00F44E27">
        <w:trPr>
          <w:trHeight w:val="612"/>
        </w:trPr>
        <w:tc>
          <w:tcPr>
            <w:tcW w:w="1456" w:type="dxa"/>
            <w:tcBorders>
              <w:top w:val="nil"/>
              <w:left w:val="nil"/>
              <w:bottom w:val="nil"/>
              <w:right w:val="nil"/>
            </w:tcBorders>
            <w:shd w:val="clear" w:color="auto" w:fill="auto"/>
            <w:noWrap/>
            <w:hideMark/>
          </w:tcPr>
          <w:p w:rsidR="00A1707B" w:rsidRPr="00430FB3" w:rsidRDefault="00A1707B" w:rsidP="00513E19">
            <w:pPr>
              <w:spacing w:before="60" w:after="60"/>
              <w:rPr>
                <w:rFonts w:ascii="Arial" w:hAnsi="Arial" w:cs="Arial"/>
                <w:b/>
                <w:bCs/>
                <w:sz w:val="20"/>
                <w:szCs w:val="20"/>
              </w:rPr>
            </w:pPr>
            <w:r w:rsidRPr="00430FB3">
              <w:rPr>
                <w:rFonts w:ascii="Arial" w:hAnsi="Arial" w:cs="Arial"/>
                <w:b/>
                <w:bCs/>
                <w:sz w:val="20"/>
                <w:szCs w:val="20"/>
              </w:rPr>
              <w:t>Table</w:t>
            </w:r>
            <w:r w:rsidR="007D1214">
              <w:rPr>
                <w:rFonts w:ascii="Arial" w:hAnsi="Arial" w:cs="Arial"/>
                <w:b/>
                <w:bCs/>
                <w:sz w:val="20"/>
                <w:szCs w:val="20"/>
              </w:rPr>
              <w:t> </w:t>
            </w:r>
            <w:r w:rsidRPr="00430FB3">
              <w:rPr>
                <w:rFonts w:ascii="Arial" w:hAnsi="Arial" w:cs="Arial"/>
                <w:b/>
                <w:bCs/>
                <w:sz w:val="20"/>
                <w:szCs w:val="20"/>
              </w:rPr>
              <w:t>17A.47</w:t>
            </w:r>
          </w:p>
        </w:tc>
        <w:tc>
          <w:tcPr>
            <w:tcW w:w="7333" w:type="dxa"/>
            <w:tcBorders>
              <w:top w:val="nil"/>
              <w:left w:val="nil"/>
              <w:bottom w:val="nil"/>
              <w:right w:val="nil"/>
            </w:tcBorders>
            <w:shd w:val="clear" w:color="auto" w:fill="auto"/>
            <w:hideMark/>
          </w:tcPr>
          <w:p w:rsidR="00A1707B" w:rsidRDefault="00A1707B">
            <w:pPr>
              <w:jc w:val="both"/>
              <w:rPr>
                <w:rFonts w:ascii="Arial" w:hAnsi="Arial" w:cs="Arial"/>
                <w:sz w:val="20"/>
                <w:szCs w:val="20"/>
              </w:rPr>
            </w:pPr>
            <w:r>
              <w:rPr>
                <w:rFonts w:ascii="Arial" w:hAnsi="Arial" w:cs="Arial"/>
                <w:sz w:val="20"/>
                <w:szCs w:val="20"/>
              </w:rPr>
              <w:t xml:space="preserve">Proportion of household income spent on rent — low income households in community housing, at 30 June (per cent)   </w:t>
            </w:r>
          </w:p>
        </w:tc>
      </w:tr>
      <w:tr w:rsidR="00A1707B" w:rsidRPr="00430FB3" w:rsidTr="00F44E27">
        <w:trPr>
          <w:trHeight w:val="357"/>
        </w:trPr>
        <w:tc>
          <w:tcPr>
            <w:tcW w:w="1456" w:type="dxa"/>
            <w:tcBorders>
              <w:top w:val="nil"/>
              <w:left w:val="nil"/>
              <w:bottom w:val="nil"/>
              <w:right w:val="nil"/>
            </w:tcBorders>
            <w:shd w:val="clear" w:color="auto" w:fill="auto"/>
            <w:noWrap/>
            <w:hideMark/>
          </w:tcPr>
          <w:p w:rsidR="00A1707B" w:rsidRPr="00430FB3" w:rsidRDefault="00A1707B" w:rsidP="00513E19">
            <w:pPr>
              <w:spacing w:before="60" w:after="60"/>
              <w:rPr>
                <w:rFonts w:ascii="Arial" w:hAnsi="Arial" w:cs="Arial"/>
                <w:b/>
                <w:bCs/>
                <w:sz w:val="20"/>
                <w:szCs w:val="20"/>
              </w:rPr>
            </w:pPr>
            <w:r w:rsidRPr="00430FB3">
              <w:rPr>
                <w:rFonts w:ascii="Arial" w:hAnsi="Arial" w:cs="Arial"/>
                <w:b/>
                <w:bCs/>
                <w:sz w:val="20"/>
                <w:szCs w:val="20"/>
              </w:rPr>
              <w:t>Table</w:t>
            </w:r>
            <w:r w:rsidR="007D1214">
              <w:rPr>
                <w:rFonts w:ascii="Arial" w:hAnsi="Arial" w:cs="Arial"/>
                <w:b/>
                <w:bCs/>
                <w:sz w:val="20"/>
                <w:szCs w:val="20"/>
              </w:rPr>
              <w:t> </w:t>
            </w:r>
            <w:proofErr w:type="spellStart"/>
            <w:r w:rsidRPr="00430FB3">
              <w:rPr>
                <w:rFonts w:ascii="Arial" w:hAnsi="Arial" w:cs="Arial"/>
                <w:b/>
                <w:bCs/>
                <w:sz w:val="20"/>
                <w:szCs w:val="20"/>
              </w:rPr>
              <w:t>17A.48</w:t>
            </w:r>
            <w:proofErr w:type="spellEnd"/>
          </w:p>
        </w:tc>
        <w:tc>
          <w:tcPr>
            <w:tcW w:w="7333" w:type="dxa"/>
            <w:tcBorders>
              <w:top w:val="nil"/>
              <w:left w:val="nil"/>
              <w:bottom w:val="nil"/>
              <w:right w:val="nil"/>
            </w:tcBorders>
            <w:shd w:val="clear" w:color="auto" w:fill="auto"/>
            <w:hideMark/>
          </w:tcPr>
          <w:p w:rsidR="00A1707B" w:rsidRDefault="00A1707B">
            <w:pPr>
              <w:jc w:val="both"/>
              <w:rPr>
                <w:rFonts w:ascii="Arial" w:hAnsi="Arial" w:cs="Arial"/>
                <w:sz w:val="20"/>
                <w:szCs w:val="20"/>
              </w:rPr>
            </w:pPr>
            <w:r>
              <w:rPr>
                <w:rFonts w:ascii="Arial" w:hAnsi="Arial" w:cs="Arial"/>
                <w:sz w:val="20"/>
                <w:szCs w:val="20"/>
              </w:rPr>
              <w:t xml:space="preserve">Proportion of overcrowded households at 30 June — public housing (per cent)  </w:t>
            </w:r>
          </w:p>
        </w:tc>
      </w:tr>
      <w:tr w:rsidR="00A1707B" w:rsidRPr="00430FB3" w:rsidTr="00F44E27">
        <w:trPr>
          <w:trHeight w:val="357"/>
        </w:trPr>
        <w:tc>
          <w:tcPr>
            <w:tcW w:w="1456" w:type="dxa"/>
            <w:tcBorders>
              <w:top w:val="nil"/>
              <w:left w:val="nil"/>
              <w:bottom w:val="nil"/>
              <w:right w:val="nil"/>
            </w:tcBorders>
            <w:shd w:val="clear" w:color="auto" w:fill="auto"/>
            <w:noWrap/>
            <w:hideMark/>
          </w:tcPr>
          <w:p w:rsidR="00A1707B" w:rsidRPr="00430FB3" w:rsidRDefault="00A1707B" w:rsidP="00513E19">
            <w:pPr>
              <w:spacing w:before="60" w:after="60"/>
              <w:rPr>
                <w:rFonts w:ascii="Arial" w:hAnsi="Arial" w:cs="Arial"/>
                <w:b/>
                <w:bCs/>
                <w:sz w:val="20"/>
                <w:szCs w:val="20"/>
              </w:rPr>
            </w:pPr>
            <w:r w:rsidRPr="00430FB3">
              <w:rPr>
                <w:rFonts w:ascii="Arial" w:hAnsi="Arial" w:cs="Arial"/>
                <w:b/>
                <w:bCs/>
                <w:sz w:val="20"/>
                <w:szCs w:val="20"/>
              </w:rPr>
              <w:t>Table</w:t>
            </w:r>
            <w:r w:rsidR="007D1214">
              <w:rPr>
                <w:rFonts w:ascii="Arial" w:hAnsi="Arial" w:cs="Arial"/>
                <w:b/>
                <w:bCs/>
                <w:sz w:val="20"/>
                <w:szCs w:val="20"/>
              </w:rPr>
              <w:t> </w:t>
            </w:r>
            <w:r w:rsidRPr="00430FB3">
              <w:rPr>
                <w:rFonts w:ascii="Arial" w:hAnsi="Arial" w:cs="Arial"/>
                <w:b/>
                <w:bCs/>
                <w:sz w:val="20"/>
                <w:szCs w:val="20"/>
              </w:rPr>
              <w:t>17A.49</w:t>
            </w:r>
          </w:p>
        </w:tc>
        <w:tc>
          <w:tcPr>
            <w:tcW w:w="7333" w:type="dxa"/>
            <w:tcBorders>
              <w:top w:val="nil"/>
              <w:left w:val="nil"/>
              <w:bottom w:val="nil"/>
              <w:right w:val="nil"/>
            </w:tcBorders>
            <w:shd w:val="clear" w:color="auto" w:fill="auto"/>
            <w:hideMark/>
          </w:tcPr>
          <w:p w:rsidR="00A1707B" w:rsidRDefault="00A1707B">
            <w:pPr>
              <w:jc w:val="both"/>
              <w:rPr>
                <w:rFonts w:ascii="Arial" w:hAnsi="Arial" w:cs="Arial"/>
                <w:sz w:val="20"/>
                <w:szCs w:val="20"/>
              </w:rPr>
            </w:pPr>
            <w:r>
              <w:rPr>
                <w:rFonts w:ascii="Arial" w:hAnsi="Arial" w:cs="Arial"/>
                <w:sz w:val="20"/>
                <w:szCs w:val="20"/>
              </w:rPr>
              <w:t xml:space="preserve">Proportion of overcrowded households at 30 June — SOMIH </w:t>
            </w:r>
            <w:r>
              <w:rPr>
                <w:rFonts w:ascii="Arial" w:hAnsi="Arial" w:cs="Arial"/>
                <w:sz w:val="20"/>
                <w:szCs w:val="20"/>
              </w:rPr>
              <w:br/>
              <w:t xml:space="preserve">(per cent)  </w:t>
            </w:r>
          </w:p>
        </w:tc>
      </w:tr>
      <w:tr w:rsidR="00A1707B" w:rsidRPr="00430FB3" w:rsidTr="00F44E27">
        <w:trPr>
          <w:trHeight w:val="612"/>
        </w:trPr>
        <w:tc>
          <w:tcPr>
            <w:tcW w:w="1456" w:type="dxa"/>
            <w:tcBorders>
              <w:top w:val="nil"/>
              <w:left w:val="nil"/>
              <w:bottom w:val="nil"/>
              <w:right w:val="nil"/>
            </w:tcBorders>
            <w:shd w:val="clear" w:color="auto" w:fill="auto"/>
            <w:noWrap/>
            <w:hideMark/>
          </w:tcPr>
          <w:p w:rsidR="00A1707B" w:rsidRPr="00430FB3" w:rsidRDefault="00A1707B" w:rsidP="00513E19">
            <w:pPr>
              <w:spacing w:before="60" w:after="60"/>
              <w:rPr>
                <w:rFonts w:ascii="Arial" w:hAnsi="Arial" w:cs="Arial"/>
                <w:b/>
                <w:bCs/>
                <w:sz w:val="20"/>
                <w:szCs w:val="20"/>
              </w:rPr>
            </w:pPr>
            <w:r w:rsidRPr="00430FB3">
              <w:rPr>
                <w:rFonts w:ascii="Arial" w:hAnsi="Arial" w:cs="Arial"/>
                <w:b/>
                <w:bCs/>
                <w:sz w:val="20"/>
                <w:szCs w:val="20"/>
              </w:rPr>
              <w:t>Table</w:t>
            </w:r>
            <w:r w:rsidR="007D1214">
              <w:rPr>
                <w:rFonts w:ascii="Arial" w:hAnsi="Arial" w:cs="Arial"/>
                <w:b/>
                <w:bCs/>
                <w:sz w:val="20"/>
                <w:szCs w:val="20"/>
              </w:rPr>
              <w:t> </w:t>
            </w:r>
            <w:proofErr w:type="spellStart"/>
            <w:r w:rsidRPr="00430FB3">
              <w:rPr>
                <w:rFonts w:ascii="Arial" w:hAnsi="Arial" w:cs="Arial"/>
                <w:b/>
                <w:bCs/>
                <w:sz w:val="20"/>
                <w:szCs w:val="20"/>
              </w:rPr>
              <w:t>17A.50</w:t>
            </w:r>
            <w:proofErr w:type="spellEnd"/>
          </w:p>
        </w:tc>
        <w:tc>
          <w:tcPr>
            <w:tcW w:w="7333" w:type="dxa"/>
            <w:tcBorders>
              <w:top w:val="nil"/>
              <w:left w:val="nil"/>
              <w:bottom w:val="nil"/>
              <w:right w:val="nil"/>
            </w:tcBorders>
            <w:shd w:val="clear" w:color="auto" w:fill="auto"/>
            <w:hideMark/>
          </w:tcPr>
          <w:p w:rsidR="00A1707B" w:rsidRDefault="00A1707B">
            <w:pPr>
              <w:jc w:val="both"/>
              <w:rPr>
                <w:rFonts w:ascii="Arial" w:hAnsi="Arial" w:cs="Arial"/>
                <w:sz w:val="20"/>
                <w:szCs w:val="20"/>
              </w:rPr>
            </w:pPr>
            <w:r>
              <w:rPr>
                <w:rFonts w:ascii="Arial" w:hAnsi="Arial" w:cs="Arial"/>
                <w:sz w:val="20"/>
                <w:szCs w:val="20"/>
              </w:rPr>
              <w:t xml:space="preserve">Proportion of overcrowded households at 30 June — community housing (per cent)  </w:t>
            </w:r>
          </w:p>
        </w:tc>
      </w:tr>
      <w:tr w:rsidR="00A1707B" w:rsidRPr="00430FB3" w:rsidTr="00F44E27">
        <w:trPr>
          <w:trHeight w:val="612"/>
        </w:trPr>
        <w:tc>
          <w:tcPr>
            <w:tcW w:w="1456" w:type="dxa"/>
            <w:tcBorders>
              <w:top w:val="nil"/>
              <w:left w:val="nil"/>
              <w:bottom w:val="nil"/>
              <w:right w:val="nil"/>
            </w:tcBorders>
            <w:shd w:val="clear" w:color="auto" w:fill="auto"/>
            <w:noWrap/>
            <w:hideMark/>
          </w:tcPr>
          <w:p w:rsidR="00A1707B" w:rsidRPr="00430FB3" w:rsidRDefault="00A1707B" w:rsidP="00513E19">
            <w:pPr>
              <w:spacing w:before="60" w:after="60"/>
              <w:rPr>
                <w:rFonts w:ascii="Arial" w:hAnsi="Arial" w:cs="Arial"/>
                <w:b/>
                <w:bCs/>
                <w:sz w:val="20"/>
                <w:szCs w:val="20"/>
              </w:rPr>
            </w:pPr>
            <w:r w:rsidRPr="00430FB3">
              <w:rPr>
                <w:rFonts w:ascii="Arial" w:hAnsi="Arial" w:cs="Arial"/>
                <w:b/>
                <w:bCs/>
                <w:sz w:val="20"/>
                <w:szCs w:val="20"/>
              </w:rPr>
              <w:t>Table</w:t>
            </w:r>
            <w:r w:rsidR="007D1214">
              <w:rPr>
                <w:rFonts w:ascii="Arial" w:hAnsi="Arial" w:cs="Arial"/>
                <w:b/>
                <w:bCs/>
                <w:sz w:val="20"/>
                <w:szCs w:val="20"/>
              </w:rPr>
              <w:t> </w:t>
            </w:r>
            <w:r w:rsidRPr="00430FB3">
              <w:rPr>
                <w:rFonts w:ascii="Arial" w:hAnsi="Arial" w:cs="Arial"/>
                <w:b/>
                <w:bCs/>
                <w:sz w:val="20"/>
                <w:szCs w:val="20"/>
              </w:rPr>
              <w:t>17A.51</w:t>
            </w:r>
          </w:p>
        </w:tc>
        <w:tc>
          <w:tcPr>
            <w:tcW w:w="7333" w:type="dxa"/>
            <w:tcBorders>
              <w:top w:val="nil"/>
              <w:left w:val="nil"/>
              <w:bottom w:val="nil"/>
              <w:right w:val="nil"/>
            </w:tcBorders>
            <w:shd w:val="clear" w:color="auto" w:fill="auto"/>
            <w:hideMark/>
          </w:tcPr>
          <w:p w:rsidR="00A1707B" w:rsidRDefault="00A1707B">
            <w:pPr>
              <w:jc w:val="both"/>
              <w:rPr>
                <w:rFonts w:ascii="Arial" w:hAnsi="Arial" w:cs="Arial"/>
                <w:sz w:val="20"/>
                <w:szCs w:val="20"/>
              </w:rPr>
            </w:pPr>
            <w:r>
              <w:rPr>
                <w:rFonts w:ascii="Arial" w:hAnsi="Arial" w:cs="Arial"/>
                <w:sz w:val="20"/>
                <w:szCs w:val="20"/>
              </w:rPr>
              <w:t xml:space="preserve">Proportion of overcrowded households in Indigenous community housing (per cent) </w:t>
            </w:r>
          </w:p>
        </w:tc>
      </w:tr>
      <w:tr w:rsidR="00A1707B" w:rsidRPr="00430FB3" w:rsidTr="00F44E27">
        <w:trPr>
          <w:trHeight w:val="612"/>
        </w:trPr>
        <w:tc>
          <w:tcPr>
            <w:tcW w:w="1456" w:type="dxa"/>
            <w:tcBorders>
              <w:top w:val="nil"/>
              <w:left w:val="nil"/>
              <w:bottom w:val="nil"/>
              <w:right w:val="nil"/>
            </w:tcBorders>
            <w:shd w:val="clear" w:color="auto" w:fill="auto"/>
            <w:noWrap/>
            <w:hideMark/>
          </w:tcPr>
          <w:p w:rsidR="00A1707B" w:rsidRPr="00430FB3" w:rsidRDefault="00A1707B" w:rsidP="00513E19">
            <w:pPr>
              <w:spacing w:before="60" w:after="60"/>
              <w:rPr>
                <w:rFonts w:ascii="Arial" w:hAnsi="Arial" w:cs="Arial"/>
                <w:b/>
                <w:bCs/>
                <w:sz w:val="20"/>
                <w:szCs w:val="20"/>
              </w:rPr>
            </w:pPr>
            <w:r w:rsidRPr="00430FB3">
              <w:rPr>
                <w:rFonts w:ascii="Arial" w:hAnsi="Arial" w:cs="Arial"/>
                <w:b/>
                <w:bCs/>
                <w:sz w:val="20"/>
                <w:szCs w:val="20"/>
              </w:rPr>
              <w:lastRenderedPageBreak/>
              <w:t>Table</w:t>
            </w:r>
            <w:r w:rsidR="007D1214">
              <w:rPr>
                <w:rFonts w:ascii="Arial" w:hAnsi="Arial" w:cs="Arial"/>
                <w:b/>
                <w:bCs/>
                <w:sz w:val="20"/>
                <w:szCs w:val="20"/>
              </w:rPr>
              <w:t> </w:t>
            </w:r>
            <w:proofErr w:type="spellStart"/>
            <w:r w:rsidRPr="00430FB3">
              <w:rPr>
                <w:rFonts w:ascii="Arial" w:hAnsi="Arial" w:cs="Arial"/>
                <w:b/>
                <w:bCs/>
                <w:sz w:val="20"/>
                <w:szCs w:val="20"/>
              </w:rPr>
              <w:t>17A.52</w:t>
            </w:r>
            <w:proofErr w:type="spellEnd"/>
          </w:p>
        </w:tc>
        <w:tc>
          <w:tcPr>
            <w:tcW w:w="7333" w:type="dxa"/>
            <w:tcBorders>
              <w:top w:val="nil"/>
              <w:left w:val="nil"/>
              <w:bottom w:val="nil"/>
              <w:right w:val="nil"/>
            </w:tcBorders>
            <w:shd w:val="clear" w:color="auto" w:fill="auto"/>
            <w:hideMark/>
          </w:tcPr>
          <w:p w:rsidR="00A1707B" w:rsidRDefault="00A1707B">
            <w:pPr>
              <w:jc w:val="both"/>
              <w:rPr>
                <w:rFonts w:ascii="Arial" w:hAnsi="Arial" w:cs="Arial"/>
                <w:sz w:val="20"/>
                <w:szCs w:val="20"/>
              </w:rPr>
            </w:pPr>
            <w:r>
              <w:rPr>
                <w:rFonts w:ascii="Arial" w:hAnsi="Arial" w:cs="Arial"/>
                <w:sz w:val="20"/>
                <w:szCs w:val="20"/>
              </w:rPr>
              <w:t xml:space="preserve">Proportion of Aboriginal and Torres Strait Islander households in public housing living in overcrowded conditions, by remoteness (per cent)   </w:t>
            </w:r>
          </w:p>
        </w:tc>
      </w:tr>
      <w:tr w:rsidR="00A1707B" w:rsidRPr="00430FB3" w:rsidTr="00F44E27">
        <w:trPr>
          <w:trHeight w:val="330"/>
        </w:trPr>
        <w:tc>
          <w:tcPr>
            <w:tcW w:w="1456" w:type="dxa"/>
            <w:tcBorders>
              <w:top w:val="nil"/>
              <w:left w:val="nil"/>
              <w:bottom w:val="nil"/>
              <w:right w:val="nil"/>
            </w:tcBorders>
            <w:shd w:val="clear" w:color="auto" w:fill="auto"/>
            <w:noWrap/>
            <w:hideMark/>
          </w:tcPr>
          <w:p w:rsidR="00A1707B" w:rsidRPr="00430FB3" w:rsidRDefault="00A1707B" w:rsidP="00513E19">
            <w:pPr>
              <w:spacing w:before="60" w:after="60"/>
              <w:rPr>
                <w:rFonts w:ascii="Arial" w:hAnsi="Arial" w:cs="Arial"/>
                <w:b/>
                <w:bCs/>
                <w:sz w:val="20"/>
                <w:szCs w:val="20"/>
              </w:rPr>
            </w:pPr>
            <w:r w:rsidRPr="00430FB3">
              <w:rPr>
                <w:rFonts w:ascii="Arial" w:hAnsi="Arial" w:cs="Arial"/>
                <w:b/>
                <w:bCs/>
                <w:sz w:val="20"/>
                <w:szCs w:val="20"/>
              </w:rPr>
              <w:t>Table</w:t>
            </w:r>
            <w:r w:rsidR="007D1214">
              <w:rPr>
                <w:rFonts w:ascii="Arial" w:hAnsi="Arial" w:cs="Arial"/>
                <w:b/>
                <w:bCs/>
                <w:sz w:val="20"/>
                <w:szCs w:val="20"/>
              </w:rPr>
              <w:t> </w:t>
            </w:r>
            <w:proofErr w:type="spellStart"/>
            <w:r w:rsidRPr="00430FB3">
              <w:rPr>
                <w:rFonts w:ascii="Arial" w:hAnsi="Arial" w:cs="Arial"/>
                <w:b/>
                <w:bCs/>
                <w:sz w:val="20"/>
                <w:szCs w:val="20"/>
              </w:rPr>
              <w:t>17A.53</w:t>
            </w:r>
            <w:proofErr w:type="spellEnd"/>
          </w:p>
        </w:tc>
        <w:tc>
          <w:tcPr>
            <w:tcW w:w="7333" w:type="dxa"/>
            <w:tcBorders>
              <w:top w:val="nil"/>
              <w:left w:val="nil"/>
              <w:bottom w:val="nil"/>
              <w:right w:val="nil"/>
            </w:tcBorders>
            <w:shd w:val="clear" w:color="auto" w:fill="auto"/>
            <w:hideMark/>
          </w:tcPr>
          <w:p w:rsidR="00A1707B" w:rsidRDefault="00A1707B">
            <w:pPr>
              <w:jc w:val="both"/>
              <w:rPr>
                <w:rFonts w:ascii="Arial" w:hAnsi="Arial" w:cs="Arial"/>
                <w:sz w:val="20"/>
                <w:szCs w:val="20"/>
              </w:rPr>
            </w:pPr>
            <w:r>
              <w:rPr>
                <w:rFonts w:ascii="Arial" w:hAnsi="Arial" w:cs="Arial"/>
                <w:sz w:val="20"/>
                <w:szCs w:val="20"/>
              </w:rPr>
              <w:t xml:space="preserve">Proportion of Aboriginal and Torres Strait Islander households in SOMIH living in overcrowded conditions, by remoteness (per cent)  </w:t>
            </w:r>
          </w:p>
        </w:tc>
      </w:tr>
      <w:tr w:rsidR="00A1707B" w:rsidRPr="00430FB3" w:rsidTr="00F44E27">
        <w:trPr>
          <w:trHeight w:val="330"/>
        </w:trPr>
        <w:tc>
          <w:tcPr>
            <w:tcW w:w="1456" w:type="dxa"/>
            <w:tcBorders>
              <w:top w:val="nil"/>
              <w:left w:val="nil"/>
              <w:bottom w:val="nil"/>
              <w:right w:val="nil"/>
            </w:tcBorders>
            <w:shd w:val="clear" w:color="auto" w:fill="auto"/>
            <w:noWrap/>
            <w:hideMark/>
          </w:tcPr>
          <w:p w:rsidR="00A1707B" w:rsidRPr="00430FB3" w:rsidRDefault="00A1707B" w:rsidP="00513E19">
            <w:pPr>
              <w:spacing w:before="60" w:after="60"/>
              <w:rPr>
                <w:rFonts w:ascii="Arial" w:hAnsi="Arial" w:cs="Arial"/>
                <w:b/>
                <w:bCs/>
                <w:sz w:val="20"/>
                <w:szCs w:val="20"/>
              </w:rPr>
            </w:pPr>
            <w:r w:rsidRPr="00430FB3">
              <w:rPr>
                <w:rFonts w:ascii="Arial" w:hAnsi="Arial" w:cs="Arial"/>
                <w:b/>
                <w:bCs/>
                <w:sz w:val="20"/>
                <w:szCs w:val="20"/>
              </w:rPr>
              <w:t>Table</w:t>
            </w:r>
            <w:r w:rsidR="007D1214">
              <w:rPr>
                <w:rFonts w:ascii="Arial" w:hAnsi="Arial" w:cs="Arial"/>
                <w:b/>
                <w:bCs/>
                <w:sz w:val="20"/>
                <w:szCs w:val="20"/>
              </w:rPr>
              <w:t> </w:t>
            </w:r>
            <w:proofErr w:type="spellStart"/>
            <w:r w:rsidRPr="00430FB3">
              <w:rPr>
                <w:rFonts w:ascii="Arial" w:hAnsi="Arial" w:cs="Arial"/>
                <w:b/>
                <w:bCs/>
                <w:sz w:val="20"/>
                <w:szCs w:val="20"/>
              </w:rPr>
              <w:t>17A.54</w:t>
            </w:r>
            <w:proofErr w:type="spellEnd"/>
          </w:p>
        </w:tc>
        <w:tc>
          <w:tcPr>
            <w:tcW w:w="7333" w:type="dxa"/>
            <w:tcBorders>
              <w:top w:val="nil"/>
              <w:left w:val="nil"/>
              <w:bottom w:val="nil"/>
              <w:right w:val="nil"/>
            </w:tcBorders>
            <w:shd w:val="clear" w:color="auto" w:fill="auto"/>
            <w:hideMark/>
          </w:tcPr>
          <w:p w:rsidR="00A1707B" w:rsidRDefault="00A1707B">
            <w:pPr>
              <w:jc w:val="both"/>
              <w:rPr>
                <w:rFonts w:ascii="Arial" w:hAnsi="Arial" w:cs="Arial"/>
                <w:sz w:val="20"/>
                <w:szCs w:val="20"/>
              </w:rPr>
            </w:pPr>
            <w:r>
              <w:rPr>
                <w:rFonts w:ascii="Arial" w:hAnsi="Arial" w:cs="Arial"/>
                <w:sz w:val="20"/>
                <w:szCs w:val="20"/>
              </w:rPr>
              <w:t xml:space="preserve">Underutilisation in social housing at 30 June (per cent)    </w:t>
            </w:r>
          </w:p>
        </w:tc>
      </w:tr>
      <w:tr w:rsidR="00A1707B" w:rsidRPr="00430FB3" w:rsidTr="00F44E27">
        <w:trPr>
          <w:trHeight w:val="285"/>
        </w:trPr>
        <w:tc>
          <w:tcPr>
            <w:tcW w:w="1456" w:type="dxa"/>
            <w:tcBorders>
              <w:top w:val="nil"/>
              <w:left w:val="nil"/>
              <w:bottom w:val="nil"/>
              <w:right w:val="nil"/>
            </w:tcBorders>
            <w:shd w:val="clear" w:color="auto" w:fill="auto"/>
            <w:noWrap/>
            <w:hideMark/>
          </w:tcPr>
          <w:p w:rsidR="00A1707B" w:rsidRPr="00430FB3" w:rsidRDefault="00A1707B" w:rsidP="00513E19">
            <w:pPr>
              <w:spacing w:before="60" w:after="60"/>
              <w:rPr>
                <w:rFonts w:ascii="Arial" w:hAnsi="Arial" w:cs="Arial"/>
                <w:b/>
                <w:bCs/>
                <w:sz w:val="20"/>
                <w:szCs w:val="20"/>
              </w:rPr>
            </w:pPr>
            <w:r w:rsidRPr="00430FB3">
              <w:rPr>
                <w:rFonts w:ascii="Arial" w:hAnsi="Arial" w:cs="Arial"/>
                <w:b/>
                <w:bCs/>
                <w:sz w:val="20"/>
                <w:szCs w:val="20"/>
              </w:rPr>
              <w:t>Table</w:t>
            </w:r>
            <w:r w:rsidR="007D1214">
              <w:rPr>
                <w:rFonts w:ascii="Arial" w:hAnsi="Arial" w:cs="Arial"/>
                <w:b/>
                <w:bCs/>
                <w:sz w:val="20"/>
                <w:szCs w:val="20"/>
              </w:rPr>
              <w:t> </w:t>
            </w:r>
            <w:proofErr w:type="spellStart"/>
            <w:r w:rsidRPr="00430FB3">
              <w:rPr>
                <w:rFonts w:ascii="Arial" w:hAnsi="Arial" w:cs="Arial"/>
                <w:b/>
                <w:bCs/>
                <w:sz w:val="20"/>
                <w:szCs w:val="20"/>
              </w:rPr>
              <w:t>17A.55</w:t>
            </w:r>
            <w:proofErr w:type="spellEnd"/>
          </w:p>
        </w:tc>
        <w:tc>
          <w:tcPr>
            <w:tcW w:w="7333" w:type="dxa"/>
            <w:tcBorders>
              <w:top w:val="nil"/>
              <w:left w:val="nil"/>
              <w:bottom w:val="nil"/>
              <w:right w:val="nil"/>
            </w:tcBorders>
            <w:shd w:val="clear" w:color="auto" w:fill="auto"/>
            <w:hideMark/>
          </w:tcPr>
          <w:p w:rsidR="00A1707B" w:rsidRDefault="00A1707B">
            <w:pPr>
              <w:jc w:val="both"/>
              <w:rPr>
                <w:rFonts w:ascii="Arial" w:hAnsi="Arial" w:cs="Arial"/>
                <w:sz w:val="20"/>
                <w:szCs w:val="20"/>
              </w:rPr>
            </w:pPr>
            <w:r>
              <w:rPr>
                <w:rFonts w:ascii="Arial" w:hAnsi="Arial" w:cs="Arial"/>
                <w:sz w:val="20"/>
                <w:szCs w:val="20"/>
              </w:rPr>
              <w:t xml:space="preserve">Customer satisfaction — public housing    </w:t>
            </w:r>
          </w:p>
        </w:tc>
      </w:tr>
      <w:tr w:rsidR="00A1707B" w:rsidRPr="00430FB3" w:rsidTr="00F44E27">
        <w:trPr>
          <w:trHeight w:val="330"/>
        </w:trPr>
        <w:tc>
          <w:tcPr>
            <w:tcW w:w="1456" w:type="dxa"/>
            <w:tcBorders>
              <w:top w:val="nil"/>
              <w:left w:val="nil"/>
              <w:bottom w:val="nil"/>
              <w:right w:val="nil"/>
            </w:tcBorders>
            <w:shd w:val="clear" w:color="auto" w:fill="auto"/>
            <w:noWrap/>
            <w:hideMark/>
          </w:tcPr>
          <w:p w:rsidR="00A1707B" w:rsidRPr="00430FB3" w:rsidRDefault="00A1707B" w:rsidP="00513E19">
            <w:pPr>
              <w:spacing w:before="60" w:after="60"/>
              <w:rPr>
                <w:rFonts w:ascii="Arial" w:hAnsi="Arial" w:cs="Arial"/>
                <w:b/>
                <w:bCs/>
                <w:sz w:val="20"/>
                <w:szCs w:val="20"/>
              </w:rPr>
            </w:pPr>
            <w:r w:rsidRPr="00430FB3">
              <w:rPr>
                <w:rFonts w:ascii="Arial" w:hAnsi="Arial" w:cs="Arial"/>
                <w:b/>
                <w:bCs/>
                <w:sz w:val="20"/>
                <w:szCs w:val="20"/>
              </w:rPr>
              <w:t>Table</w:t>
            </w:r>
            <w:r w:rsidR="007D1214">
              <w:rPr>
                <w:rFonts w:ascii="Arial" w:hAnsi="Arial" w:cs="Arial"/>
                <w:b/>
                <w:bCs/>
                <w:sz w:val="20"/>
                <w:szCs w:val="20"/>
              </w:rPr>
              <w:t> </w:t>
            </w:r>
            <w:r w:rsidRPr="00430FB3">
              <w:rPr>
                <w:rFonts w:ascii="Arial" w:hAnsi="Arial" w:cs="Arial"/>
                <w:b/>
                <w:bCs/>
                <w:sz w:val="20"/>
                <w:szCs w:val="20"/>
              </w:rPr>
              <w:t>17A.56</w:t>
            </w:r>
          </w:p>
        </w:tc>
        <w:tc>
          <w:tcPr>
            <w:tcW w:w="7333" w:type="dxa"/>
            <w:tcBorders>
              <w:top w:val="nil"/>
              <w:left w:val="nil"/>
              <w:bottom w:val="nil"/>
              <w:right w:val="nil"/>
            </w:tcBorders>
            <w:shd w:val="clear" w:color="auto" w:fill="auto"/>
            <w:noWrap/>
            <w:hideMark/>
          </w:tcPr>
          <w:p w:rsidR="00A1707B" w:rsidRDefault="00A1707B">
            <w:pPr>
              <w:jc w:val="both"/>
              <w:rPr>
                <w:rFonts w:ascii="Arial" w:hAnsi="Arial" w:cs="Arial"/>
                <w:sz w:val="20"/>
                <w:szCs w:val="20"/>
              </w:rPr>
            </w:pPr>
            <w:r>
              <w:rPr>
                <w:rFonts w:ascii="Arial" w:hAnsi="Arial" w:cs="Arial"/>
                <w:sz w:val="20"/>
                <w:szCs w:val="20"/>
              </w:rPr>
              <w:t xml:space="preserve">Customer satisfaction  — SOMIH, 2014 (per cent)    </w:t>
            </w:r>
          </w:p>
        </w:tc>
      </w:tr>
      <w:tr w:rsidR="00A1707B" w:rsidRPr="00430FB3" w:rsidTr="00F44E27">
        <w:trPr>
          <w:trHeight w:val="330"/>
        </w:trPr>
        <w:tc>
          <w:tcPr>
            <w:tcW w:w="1456" w:type="dxa"/>
            <w:tcBorders>
              <w:top w:val="nil"/>
              <w:left w:val="nil"/>
              <w:bottom w:val="nil"/>
              <w:right w:val="nil"/>
            </w:tcBorders>
            <w:shd w:val="clear" w:color="auto" w:fill="auto"/>
            <w:noWrap/>
            <w:hideMark/>
          </w:tcPr>
          <w:p w:rsidR="00A1707B" w:rsidRPr="00430FB3" w:rsidRDefault="00A1707B" w:rsidP="00513E19">
            <w:pPr>
              <w:spacing w:before="60" w:after="60"/>
              <w:rPr>
                <w:rFonts w:ascii="Arial" w:hAnsi="Arial" w:cs="Arial"/>
                <w:b/>
                <w:bCs/>
                <w:sz w:val="20"/>
                <w:szCs w:val="20"/>
              </w:rPr>
            </w:pPr>
            <w:r w:rsidRPr="00430FB3">
              <w:rPr>
                <w:rFonts w:ascii="Arial" w:hAnsi="Arial" w:cs="Arial"/>
                <w:b/>
                <w:bCs/>
                <w:sz w:val="20"/>
                <w:szCs w:val="20"/>
              </w:rPr>
              <w:t>Table</w:t>
            </w:r>
            <w:r w:rsidR="007D1214">
              <w:rPr>
                <w:rFonts w:ascii="Arial" w:hAnsi="Arial" w:cs="Arial"/>
                <w:b/>
                <w:bCs/>
                <w:sz w:val="20"/>
                <w:szCs w:val="20"/>
              </w:rPr>
              <w:t> </w:t>
            </w:r>
            <w:proofErr w:type="spellStart"/>
            <w:r w:rsidRPr="00430FB3">
              <w:rPr>
                <w:rFonts w:ascii="Arial" w:hAnsi="Arial" w:cs="Arial"/>
                <w:b/>
                <w:bCs/>
                <w:sz w:val="20"/>
                <w:szCs w:val="20"/>
              </w:rPr>
              <w:t>17A.57</w:t>
            </w:r>
            <w:proofErr w:type="spellEnd"/>
          </w:p>
        </w:tc>
        <w:tc>
          <w:tcPr>
            <w:tcW w:w="7333" w:type="dxa"/>
            <w:tcBorders>
              <w:top w:val="nil"/>
              <w:left w:val="nil"/>
              <w:bottom w:val="nil"/>
              <w:right w:val="nil"/>
            </w:tcBorders>
            <w:shd w:val="clear" w:color="auto" w:fill="auto"/>
            <w:noWrap/>
            <w:hideMark/>
          </w:tcPr>
          <w:p w:rsidR="00A1707B" w:rsidRDefault="00A1707B">
            <w:pPr>
              <w:jc w:val="both"/>
              <w:rPr>
                <w:rFonts w:ascii="Arial" w:hAnsi="Arial" w:cs="Arial"/>
                <w:sz w:val="20"/>
                <w:szCs w:val="20"/>
              </w:rPr>
            </w:pPr>
            <w:r>
              <w:rPr>
                <w:rFonts w:ascii="Arial" w:hAnsi="Arial" w:cs="Arial"/>
                <w:sz w:val="20"/>
                <w:szCs w:val="20"/>
              </w:rPr>
              <w:t xml:space="preserve">Customer satisfaction — community housing </w:t>
            </w:r>
          </w:p>
        </w:tc>
      </w:tr>
      <w:tr w:rsidR="00A1707B" w:rsidRPr="00430FB3" w:rsidTr="00F44E27">
        <w:trPr>
          <w:trHeight w:val="330"/>
        </w:trPr>
        <w:tc>
          <w:tcPr>
            <w:tcW w:w="1456" w:type="dxa"/>
            <w:tcBorders>
              <w:top w:val="nil"/>
              <w:left w:val="nil"/>
              <w:bottom w:val="nil"/>
              <w:right w:val="nil"/>
            </w:tcBorders>
            <w:shd w:val="clear" w:color="auto" w:fill="auto"/>
            <w:noWrap/>
            <w:hideMark/>
          </w:tcPr>
          <w:p w:rsidR="00A1707B" w:rsidRPr="00430FB3" w:rsidRDefault="00A1707B" w:rsidP="00513E19">
            <w:pPr>
              <w:spacing w:before="60" w:after="60"/>
              <w:rPr>
                <w:rFonts w:ascii="Arial" w:hAnsi="Arial" w:cs="Arial"/>
                <w:b/>
                <w:bCs/>
                <w:sz w:val="20"/>
                <w:szCs w:val="20"/>
              </w:rPr>
            </w:pPr>
            <w:r w:rsidRPr="00430FB3">
              <w:rPr>
                <w:rFonts w:ascii="Arial" w:hAnsi="Arial" w:cs="Arial"/>
                <w:b/>
                <w:bCs/>
                <w:sz w:val="20"/>
                <w:szCs w:val="20"/>
              </w:rPr>
              <w:t>Table</w:t>
            </w:r>
            <w:r w:rsidR="007D1214">
              <w:rPr>
                <w:rFonts w:ascii="Arial" w:hAnsi="Arial" w:cs="Arial"/>
                <w:b/>
                <w:bCs/>
                <w:sz w:val="20"/>
                <w:szCs w:val="20"/>
              </w:rPr>
              <w:t> </w:t>
            </w:r>
            <w:r w:rsidRPr="00430FB3">
              <w:rPr>
                <w:rFonts w:ascii="Arial" w:hAnsi="Arial" w:cs="Arial"/>
                <w:b/>
                <w:bCs/>
                <w:sz w:val="20"/>
                <w:szCs w:val="20"/>
              </w:rPr>
              <w:t>17A.58</w:t>
            </w:r>
          </w:p>
        </w:tc>
        <w:tc>
          <w:tcPr>
            <w:tcW w:w="7333" w:type="dxa"/>
            <w:tcBorders>
              <w:top w:val="nil"/>
              <w:left w:val="nil"/>
              <w:bottom w:val="nil"/>
              <w:right w:val="nil"/>
            </w:tcBorders>
            <w:shd w:val="clear" w:color="auto" w:fill="auto"/>
            <w:noWrap/>
            <w:hideMark/>
          </w:tcPr>
          <w:p w:rsidR="00A1707B" w:rsidRDefault="00A1707B">
            <w:pPr>
              <w:jc w:val="both"/>
              <w:rPr>
                <w:rFonts w:ascii="Arial" w:hAnsi="Arial" w:cs="Arial"/>
                <w:sz w:val="20"/>
                <w:szCs w:val="20"/>
              </w:rPr>
            </w:pPr>
            <w:r>
              <w:rPr>
                <w:rFonts w:ascii="Arial" w:hAnsi="Arial" w:cs="Arial"/>
                <w:sz w:val="20"/>
                <w:szCs w:val="20"/>
              </w:rPr>
              <w:t>General Government Final Consumption Expenditure (GGFCE) chain price deflator (index)</w:t>
            </w:r>
          </w:p>
        </w:tc>
      </w:tr>
      <w:tr w:rsidR="003F4524" w:rsidRPr="00430FB3" w:rsidTr="00F44E27">
        <w:trPr>
          <w:trHeight w:val="330"/>
        </w:trPr>
        <w:tc>
          <w:tcPr>
            <w:tcW w:w="1456" w:type="dxa"/>
            <w:tcBorders>
              <w:top w:val="nil"/>
              <w:left w:val="nil"/>
              <w:bottom w:val="nil"/>
              <w:right w:val="nil"/>
            </w:tcBorders>
            <w:shd w:val="clear" w:color="auto" w:fill="auto"/>
            <w:noWrap/>
            <w:hideMark/>
          </w:tcPr>
          <w:p w:rsidR="003F4524" w:rsidRPr="00430FB3" w:rsidRDefault="003F4524" w:rsidP="00513E19">
            <w:pPr>
              <w:spacing w:before="60" w:after="60"/>
              <w:rPr>
                <w:rFonts w:ascii="Arial" w:hAnsi="Arial" w:cs="Arial"/>
                <w:b/>
                <w:bCs/>
                <w:sz w:val="20"/>
                <w:szCs w:val="20"/>
              </w:rPr>
            </w:pPr>
            <w:r w:rsidRPr="00430FB3">
              <w:rPr>
                <w:rFonts w:ascii="Arial" w:hAnsi="Arial" w:cs="Arial"/>
                <w:b/>
                <w:bCs/>
                <w:sz w:val="20"/>
                <w:szCs w:val="20"/>
              </w:rPr>
              <w:t>Table</w:t>
            </w:r>
            <w:r w:rsidR="007D1214">
              <w:rPr>
                <w:rFonts w:ascii="Arial" w:hAnsi="Arial" w:cs="Arial"/>
                <w:b/>
                <w:bCs/>
                <w:sz w:val="20"/>
                <w:szCs w:val="20"/>
              </w:rPr>
              <w:t> </w:t>
            </w:r>
            <w:r w:rsidRPr="00430FB3">
              <w:rPr>
                <w:rFonts w:ascii="Arial" w:hAnsi="Arial" w:cs="Arial"/>
                <w:b/>
                <w:bCs/>
                <w:sz w:val="20"/>
                <w:szCs w:val="20"/>
              </w:rPr>
              <w:t>17A.59</w:t>
            </w:r>
          </w:p>
        </w:tc>
        <w:tc>
          <w:tcPr>
            <w:tcW w:w="7333" w:type="dxa"/>
            <w:tcBorders>
              <w:top w:val="nil"/>
              <w:left w:val="nil"/>
              <w:bottom w:val="nil"/>
              <w:right w:val="nil"/>
            </w:tcBorders>
            <w:shd w:val="clear" w:color="auto" w:fill="auto"/>
            <w:noWrap/>
            <w:hideMark/>
          </w:tcPr>
          <w:p w:rsidR="003F4524" w:rsidRPr="00430FB3" w:rsidRDefault="00A1707B" w:rsidP="00A1707B">
            <w:pPr>
              <w:spacing w:before="60" w:after="60"/>
              <w:rPr>
                <w:rFonts w:ascii="Arial" w:hAnsi="Arial" w:cs="Arial"/>
                <w:sz w:val="20"/>
                <w:szCs w:val="20"/>
              </w:rPr>
            </w:pPr>
            <w:r>
              <w:rPr>
                <w:rFonts w:ascii="Arial" w:hAnsi="Arial" w:cs="Arial"/>
                <w:sz w:val="20"/>
                <w:szCs w:val="20"/>
              </w:rPr>
              <w:t>Housing composition by tenure type (per cent)</w:t>
            </w:r>
          </w:p>
        </w:tc>
      </w:tr>
      <w:tr w:rsidR="003F4524" w:rsidRPr="00430FB3" w:rsidTr="00F44E27">
        <w:trPr>
          <w:trHeight w:val="330"/>
        </w:trPr>
        <w:tc>
          <w:tcPr>
            <w:tcW w:w="1456" w:type="dxa"/>
            <w:tcBorders>
              <w:top w:val="nil"/>
              <w:left w:val="nil"/>
              <w:bottom w:val="nil"/>
              <w:right w:val="nil"/>
            </w:tcBorders>
            <w:shd w:val="clear" w:color="auto" w:fill="auto"/>
            <w:noWrap/>
            <w:hideMark/>
          </w:tcPr>
          <w:p w:rsidR="003F4524" w:rsidRPr="00430FB3" w:rsidRDefault="003F4524" w:rsidP="00513E19">
            <w:pPr>
              <w:spacing w:before="60" w:after="60"/>
              <w:rPr>
                <w:rFonts w:ascii="Arial" w:hAnsi="Arial" w:cs="Arial"/>
                <w:b/>
                <w:bCs/>
                <w:sz w:val="20"/>
                <w:szCs w:val="20"/>
              </w:rPr>
            </w:pPr>
            <w:r w:rsidRPr="00430FB3">
              <w:rPr>
                <w:rFonts w:ascii="Arial" w:hAnsi="Arial" w:cs="Arial"/>
                <w:b/>
                <w:bCs/>
                <w:sz w:val="20"/>
                <w:szCs w:val="20"/>
              </w:rPr>
              <w:t>Table</w:t>
            </w:r>
            <w:r w:rsidR="007D1214">
              <w:rPr>
                <w:rFonts w:ascii="Arial" w:hAnsi="Arial" w:cs="Arial"/>
                <w:b/>
                <w:bCs/>
                <w:sz w:val="20"/>
                <w:szCs w:val="20"/>
              </w:rPr>
              <w:t> </w:t>
            </w:r>
            <w:proofErr w:type="spellStart"/>
            <w:r w:rsidRPr="00430FB3">
              <w:rPr>
                <w:rFonts w:ascii="Arial" w:hAnsi="Arial" w:cs="Arial"/>
                <w:b/>
                <w:bCs/>
                <w:sz w:val="20"/>
                <w:szCs w:val="20"/>
              </w:rPr>
              <w:t>17A.60</w:t>
            </w:r>
            <w:proofErr w:type="spellEnd"/>
          </w:p>
        </w:tc>
        <w:tc>
          <w:tcPr>
            <w:tcW w:w="7333" w:type="dxa"/>
            <w:tcBorders>
              <w:top w:val="nil"/>
              <w:left w:val="nil"/>
              <w:bottom w:val="nil"/>
              <w:right w:val="nil"/>
            </w:tcBorders>
            <w:shd w:val="clear" w:color="auto" w:fill="auto"/>
            <w:noWrap/>
            <w:hideMark/>
          </w:tcPr>
          <w:p w:rsidR="003F4524" w:rsidRPr="00430FB3" w:rsidRDefault="00A1707B" w:rsidP="00513E19">
            <w:pPr>
              <w:spacing w:before="60" w:after="60"/>
              <w:rPr>
                <w:rFonts w:ascii="Arial" w:hAnsi="Arial" w:cs="Arial"/>
                <w:sz w:val="20"/>
                <w:szCs w:val="20"/>
              </w:rPr>
            </w:pPr>
            <w:r>
              <w:rPr>
                <w:rFonts w:ascii="Arial" w:hAnsi="Arial" w:cs="Arial"/>
                <w:sz w:val="20"/>
                <w:szCs w:val="20"/>
              </w:rPr>
              <w:t>Households residing in public housing (per cent)</w:t>
            </w:r>
          </w:p>
        </w:tc>
      </w:tr>
      <w:tr w:rsidR="003F4524" w:rsidRPr="00430FB3" w:rsidTr="00F44E27">
        <w:trPr>
          <w:trHeight w:val="330"/>
        </w:trPr>
        <w:tc>
          <w:tcPr>
            <w:tcW w:w="1456" w:type="dxa"/>
            <w:tcBorders>
              <w:top w:val="nil"/>
              <w:left w:val="nil"/>
              <w:bottom w:val="nil"/>
              <w:right w:val="nil"/>
            </w:tcBorders>
            <w:shd w:val="clear" w:color="auto" w:fill="auto"/>
            <w:noWrap/>
            <w:hideMark/>
          </w:tcPr>
          <w:p w:rsidR="003F4524" w:rsidRPr="00430FB3" w:rsidRDefault="003F4524" w:rsidP="00513E19">
            <w:pPr>
              <w:spacing w:before="60" w:after="60"/>
              <w:rPr>
                <w:rFonts w:ascii="Arial" w:hAnsi="Arial" w:cs="Arial"/>
                <w:b/>
                <w:bCs/>
                <w:sz w:val="20"/>
                <w:szCs w:val="20"/>
              </w:rPr>
            </w:pPr>
            <w:r w:rsidRPr="00430FB3">
              <w:rPr>
                <w:rFonts w:ascii="Arial" w:hAnsi="Arial" w:cs="Arial"/>
                <w:b/>
                <w:bCs/>
                <w:sz w:val="20"/>
                <w:szCs w:val="20"/>
              </w:rPr>
              <w:t>Table</w:t>
            </w:r>
            <w:r w:rsidR="007D1214">
              <w:rPr>
                <w:rFonts w:ascii="Arial" w:hAnsi="Arial" w:cs="Arial"/>
                <w:b/>
                <w:bCs/>
                <w:sz w:val="20"/>
                <w:szCs w:val="20"/>
              </w:rPr>
              <w:t> </w:t>
            </w:r>
            <w:proofErr w:type="spellStart"/>
            <w:r w:rsidRPr="00430FB3">
              <w:rPr>
                <w:rFonts w:ascii="Arial" w:hAnsi="Arial" w:cs="Arial"/>
                <w:b/>
                <w:bCs/>
                <w:sz w:val="20"/>
                <w:szCs w:val="20"/>
              </w:rPr>
              <w:t>17A.61</w:t>
            </w:r>
            <w:proofErr w:type="spellEnd"/>
          </w:p>
        </w:tc>
        <w:tc>
          <w:tcPr>
            <w:tcW w:w="7333" w:type="dxa"/>
            <w:tcBorders>
              <w:top w:val="nil"/>
              <w:left w:val="nil"/>
              <w:bottom w:val="nil"/>
              <w:right w:val="nil"/>
            </w:tcBorders>
            <w:shd w:val="clear" w:color="auto" w:fill="auto"/>
            <w:noWrap/>
            <w:hideMark/>
          </w:tcPr>
          <w:p w:rsidR="003F4524" w:rsidRPr="00430FB3" w:rsidRDefault="00A1707B" w:rsidP="00A1707B">
            <w:pPr>
              <w:spacing w:before="60" w:after="60"/>
              <w:rPr>
                <w:rFonts w:ascii="Arial" w:hAnsi="Arial" w:cs="Arial"/>
                <w:sz w:val="20"/>
                <w:szCs w:val="20"/>
              </w:rPr>
            </w:pPr>
            <w:r>
              <w:rPr>
                <w:rFonts w:ascii="Arial" w:hAnsi="Arial" w:cs="Arial"/>
                <w:sz w:val="20"/>
                <w:szCs w:val="20"/>
              </w:rPr>
              <w:t>Households residing in community housing (per cent)</w:t>
            </w:r>
          </w:p>
        </w:tc>
      </w:tr>
      <w:tr w:rsidR="003F4524" w:rsidRPr="00430FB3" w:rsidTr="00F44E27">
        <w:trPr>
          <w:trHeight w:val="330"/>
        </w:trPr>
        <w:tc>
          <w:tcPr>
            <w:tcW w:w="1456" w:type="dxa"/>
            <w:tcBorders>
              <w:top w:val="nil"/>
              <w:left w:val="nil"/>
              <w:bottom w:val="nil"/>
              <w:right w:val="nil"/>
            </w:tcBorders>
            <w:shd w:val="clear" w:color="auto" w:fill="auto"/>
            <w:noWrap/>
            <w:hideMark/>
          </w:tcPr>
          <w:p w:rsidR="003F4524" w:rsidRPr="00430FB3" w:rsidRDefault="003F4524" w:rsidP="00513E19">
            <w:pPr>
              <w:spacing w:before="60" w:after="60"/>
              <w:rPr>
                <w:rFonts w:ascii="Arial" w:hAnsi="Arial" w:cs="Arial"/>
                <w:b/>
                <w:bCs/>
                <w:sz w:val="20"/>
                <w:szCs w:val="20"/>
              </w:rPr>
            </w:pPr>
            <w:r w:rsidRPr="00430FB3">
              <w:rPr>
                <w:rFonts w:ascii="Arial" w:hAnsi="Arial" w:cs="Arial"/>
                <w:b/>
                <w:bCs/>
                <w:sz w:val="20"/>
                <w:szCs w:val="20"/>
              </w:rPr>
              <w:t>Table</w:t>
            </w:r>
            <w:r w:rsidR="007D1214">
              <w:rPr>
                <w:rFonts w:ascii="Arial" w:hAnsi="Arial" w:cs="Arial"/>
                <w:b/>
                <w:bCs/>
                <w:sz w:val="20"/>
                <w:szCs w:val="20"/>
              </w:rPr>
              <w:t> </w:t>
            </w:r>
            <w:proofErr w:type="spellStart"/>
            <w:r w:rsidRPr="00430FB3">
              <w:rPr>
                <w:rFonts w:ascii="Arial" w:hAnsi="Arial" w:cs="Arial"/>
                <w:b/>
                <w:bCs/>
                <w:sz w:val="20"/>
                <w:szCs w:val="20"/>
              </w:rPr>
              <w:t>17A.62</w:t>
            </w:r>
            <w:proofErr w:type="spellEnd"/>
          </w:p>
        </w:tc>
        <w:tc>
          <w:tcPr>
            <w:tcW w:w="7333" w:type="dxa"/>
            <w:tcBorders>
              <w:top w:val="nil"/>
              <w:left w:val="nil"/>
              <w:bottom w:val="nil"/>
              <w:right w:val="nil"/>
            </w:tcBorders>
            <w:shd w:val="clear" w:color="auto" w:fill="auto"/>
            <w:noWrap/>
            <w:hideMark/>
          </w:tcPr>
          <w:p w:rsidR="003F4524" w:rsidRPr="00430FB3" w:rsidRDefault="00A1707B" w:rsidP="00513E19">
            <w:pPr>
              <w:spacing w:before="60" w:after="60"/>
              <w:rPr>
                <w:rFonts w:ascii="Arial" w:hAnsi="Arial" w:cs="Arial"/>
                <w:sz w:val="20"/>
                <w:szCs w:val="20"/>
              </w:rPr>
            </w:pPr>
            <w:r>
              <w:rPr>
                <w:rFonts w:ascii="Arial" w:hAnsi="Arial" w:cs="Arial"/>
                <w:sz w:val="20"/>
                <w:szCs w:val="20"/>
              </w:rPr>
              <w:t>Public housing policy context, 2015</w:t>
            </w:r>
          </w:p>
        </w:tc>
      </w:tr>
      <w:tr w:rsidR="003F4524" w:rsidRPr="00430FB3" w:rsidTr="00A1707B">
        <w:trPr>
          <w:trHeight w:val="330"/>
        </w:trPr>
        <w:tc>
          <w:tcPr>
            <w:tcW w:w="1456" w:type="dxa"/>
            <w:tcBorders>
              <w:top w:val="nil"/>
              <w:left w:val="nil"/>
              <w:bottom w:val="nil"/>
              <w:right w:val="nil"/>
            </w:tcBorders>
            <w:shd w:val="clear" w:color="auto" w:fill="auto"/>
            <w:noWrap/>
            <w:hideMark/>
          </w:tcPr>
          <w:p w:rsidR="003F4524" w:rsidRPr="00430FB3" w:rsidRDefault="003F4524" w:rsidP="00513E19">
            <w:pPr>
              <w:spacing w:before="60" w:after="60"/>
              <w:rPr>
                <w:rFonts w:ascii="Arial" w:hAnsi="Arial" w:cs="Arial"/>
                <w:b/>
                <w:bCs/>
                <w:sz w:val="20"/>
                <w:szCs w:val="20"/>
              </w:rPr>
            </w:pPr>
            <w:r w:rsidRPr="00430FB3">
              <w:rPr>
                <w:rFonts w:ascii="Arial" w:hAnsi="Arial" w:cs="Arial"/>
                <w:b/>
                <w:bCs/>
                <w:sz w:val="20"/>
                <w:szCs w:val="20"/>
              </w:rPr>
              <w:t>Table</w:t>
            </w:r>
            <w:r w:rsidR="007D1214">
              <w:rPr>
                <w:rFonts w:ascii="Arial" w:hAnsi="Arial" w:cs="Arial"/>
                <w:b/>
                <w:bCs/>
                <w:sz w:val="20"/>
                <w:szCs w:val="20"/>
              </w:rPr>
              <w:t> </w:t>
            </w:r>
            <w:proofErr w:type="spellStart"/>
            <w:r w:rsidRPr="00430FB3">
              <w:rPr>
                <w:rFonts w:ascii="Arial" w:hAnsi="Arial" w:cs="Arial"/>
                <w:b/>
                <w:bCs/>
                <w:sz w:val="20"/>
                <w:szCs w:val="20"/>
              </w:rPr>
              <w:t>17A.63</w:t>
            </w:r>
            <w:proofErr w:type="spellEnd"/>
          </w:p>
        </w:tc>
        <w:tc>
          <w:tcPr>
            <w:tcW w:w="7333" w:type="dxa"/>
            <w:tcBorders>
              <w:top w:val="nil"/>
              <w:left w:val="nil"/>
              <w:bottom w:val="nil"/>
              <w:right w:val="nil"/>
            </w:tcBorders>
            <w:shd w:val="clear" w:color="auto" w:fill="auto"/>
            <w:noWrap/>
          </w:tcPr>
          <w:p w:rsidR="003F4524" w:rsidRPr="00430FB3" w:rsidRDefault="00A1707B" w:rsidP="00513E19">
            <w:pPr>
              <w:spacing w:before="60" w:after="60"/>
              <w:rPr>
                <w:rFonts w:ascii="Arial" w:hAnsi="Arial" w:cs="Arial"/>
                <w:sz w:val="20"/>
                <w:szCs w:val="20"/>
              </w:rPr>
            </w:pPr>
            <w:r>
              <w:rPr>
                <w:rFonts w:ascii="Arial" w:hAnsi="Arial" w:cs="Arial"/>
                <w:sz w:val="20"/>
                <w:szCs w:val="20"/>
              </w:rPr>
              <w:t>SOMIH housing policy context, 2015</w:t>
            </w:r>
          </w:p>
        </w:tc>
      </w:tr>
      <w:tr w:rsidR="003F4524" w:rsidRPr="00430FB3" w:rsidTr="00A1707B">
        <w:trPr>
          <w:trHeight w:val="330"/>
        </w:trPr>
        <w:tc>
          <w:tcPr>
            <w:tcW w:w="1456" w:type="dxa"/>
            <w:tcBorders>
              <w:top w:val="nil"/>
              <w:left w:val="nil"/>
              <w:bottom w:val="nil"/>
              <w:right w:val="nil"/>
            </w:tcBorders>
            <w:shd w:val="clear" w:color="auto" w:fill="auto"/>
            <w:noWrap/>
            <w:hideMark/>
          </w:tcPr>
          <w:p w:rsidR="003F4524" w:rsidRPr="00430FB3" w:rsidRDefault="003F4524" w:rsidP="00513E19">
            <w:pPr>
              <w:spacing w:before="60" w:after="60"/>
              <w:rPr>
                <w:rFonts w:ascii="Arial" w:hAnsi="Arial" w:cs="Arial"/>
                <w:b/>
                <w:bCs/>
                <w:sz w:val="20"/>
                <w:szCs w:val="20"/>
              </w:rPr>
            </w:pPr>
            <w:r w:rsidRPr="00430FB3">
              <w:rPr>
                <w:rFonts w:ascii="Arial" w:hAnsi="Arial" w:cs="Arial"/>
                <w:b/>
                <w:bCs/>
                <w:sz w:val="20"/>
                <w:szCs w:val="20"/>
              </w:rPr>
              <w:t>Table</w:t>
            </w:r>
            <w:r w:rsidR="007D1214">
              <w:rPr>
                <w:rFonts w:ascii="Arial" w:hAnsi="Arial" w:cs="Arial"/>
                <w:b/>
                <w:bCs/>
                <w:sz w:val="20"/>
                <w:szCs w:val="20"/>
              </w:rPr>
              <w:t> </w:t>
            </w:r>
            <w:r w:rsidRPr="00430FB3">
              <w:rPr>
                <w:rFonts w:ascii="Arial" w:hAnsi="Arial" w:cs="Arial"/>
                <w:b/>
                <w:bCs/>
                <w:sz w:val="20"/>
                <w:szCs w:val="20"/>
              </w:rPr>
              <w:t>17A.64</w:t>
            </w:r>
          </w:p>
        </w:tc>
        <w:tc>
          <w:tcPr>
            <w:tcW w:w="7333" w:type="dxa"/>
            <w:tcBorders>
              <w:top w:val="nil"/>
              <w:left w:val="nil"/>
              <w:bottom w:val="nil"/>
              <w:right w:val="nil"/>
            </w:tcBorders>
            <w:shd w:val="clear" w:color="auto" w:fill="auto"/>
            <w:noWrap/>
          </w:tcPr>
          <w:p w:rsidR="003F4524" w:rsidRPr="00430FB3" w:rsidRDefault="00A1707B" w:rsidP="00513E19">
            <w:pPr>
              <w:spacing w:before="60" w:after="60"/>
              <w:rPr>
                <w:rFonts w:ascii="Arial" w:hAnsi="Arial" w:cs="Arial"/>
                <w:sz w:val="20"/>
                <w:szCs w:val="20"/>
              </w:rPr>
            </w:pPr>
            <w:r>
              <w:rPr>
                <w:rFonts w:ascii="Arial" w:hAnsi="Arial" w:cs="Arial"/>
                <w:sz w:val="20"/>
                <w:szCs w:val="20"/>
              </w:rPr>
              <w:t>Community housing policy context, 2015</w:t>
            </w:r>
          </w:p>
        </w:tc>
      </w:tr>
      <w:tr w:rsidR="00A1707B" w:rsidRPr="00430FB3" w:rsidTr="00F44E27">
        <w:trPr>
          <w:trHeight w:val="330"/>
        </w:trPr>
        <w:tc>
          <w:tcPr>
            <w:tcW w:w="1456" w:type="dxa"/>
            <w:tcBorders>
              <w:top w:val="nil"/>
              <w:left w:val="nil"/>
              <w:bottom w:val="nil"/>
              <w:right w:val="nil"/>
            </w:tcBorders>
            <w:shd w:val="clear" w:color="auto" w:fill="auto"/>
            <w:noWrap/>
          </w:tcPr>
          <w:p w:rsidR="00A1707B" w:rsidRPr="00430FB3" w:rsidRDefault="00A1707B" w:rsidP="00513E19">
            <w:pPr>
              <w:spacing w:before="60" w:after="60"/>
              <w:rPr>
                <w:rFonts w:ascii="Arial" w:hAnsi="Arial" w:cs="Arial"/>
                <w:b/>
                <w:bCs/>
                <w:sz w:val="20"/>
                <w:szCs w:val="20"/>
              </w:rPr>
            </w:pPr>
            <w:r>
              <w:rPr>
                <w:rFonts w:ascii="Arial" w:hAnsi="Arial" w:cs="Arial"/>
                <w:b/>
                <w:bCs/>
                <w:sz w:val="20"/>
                <w:szCs w:val="20"/>
              </w:rPr>
              <w:t>Table</w:t>
            </w:r>
            <w:r w:rsidR="007D1214">
              <w:rPr>
                <w:rFonts w:ascii="Arial" w:hAnsi="Arial" w:cs="Arial"/>
                <w:b/>
                <w:bCs/>
                <w:sz w:val="20"/>
                <w:szCs w:val="20"/>
              </w:rPr>
              <w:t> </w:t>
            </w:r>
            <w:proofErr w:type="spellStart"/>
            <w:r>
              <w:rPr>
                <w:rFonts w:ascii="Arial" w:hAnsi="Arial" w:cs="Arial"/>
                <w:b/>
                <w:bCs/>
                <w:sz w:val="20"/>
                <w:szCs w:val="20"/>
              </w:rPr>
              <w:t>17A.65</w:t>
            </w:r>
            <w:proofErr w:type="spellEnd"/>
          </w:p>
        </w:tc>
        <w:tc>
          <w:tcPr>
            <w:tcW w:w="7333" w:type="dxa"/>
            <w:tcBorders>
              <w:top w:val="nil"/>
              <w:left w:val="nil"/>
              <w:bottom w:val="nil"/>
              <w:right w:val="nil"/>
            </w:tcBorders>
            <w:shd w:val="clear" w:color="auto" w:fill="auto"/>
            <w:noWrap/>
          </w:tcPr>
          <w:p w:rsidR="00A1707B" w:rsidRPr="00430FB3" w:rsidRDefault="00A1707B" w:rsidP="00513E19">
            <w:pPr>
              <w:spacing w:before="60" w:after="60"/>
              <w:rPr>
                <w:rFonts w:ascii="Arial" w:hAnsi="Arial" w:cs="Arial"/>
                <w:sz w:val="20"/>
                <w:szCs w:val="20"/>
              </w:rPr>
            </w:pPr>
            <w:r>
              <w:rPr>
                <w:rFonts w:ascii="Arial" w:hAnsi="Arial" w:cs="Arial"/>
                <w:sz w:val="20"/>
                <w:szCs w:val="20"/>
              </w:rPr>
              <w:t>State and Territory programs included in the community housing data collection, 2014</w:t>
            </w:r>
            <w:r w:rsidR="007D1214">
              <w:rPr>
                <w:rFonts w:ascii="Arial" w:hAnsi="Arial" w:cs="Arial"/>
                <w:sz w:val="20"/>
                <w:szCs w:val="20"/>
              </w:rPr>
              <w:noBreakHyphen/>
            </w:r>
            <w:r>
              <w:rPr>
                <w:rFonts w:ascii="Arial" w:hAnsi="Arial" w:cs="Arial"/>
                <w:sz w:val="20"/>
                <w:szCs w:val="20"/>
              </w:rPr>
              <w:t>15</w:t>
            </w:r>
          </w:p>
        </w:tc>
      </w:tr>
      <w:tr w:rsidR="00A1707B" w:rsidRPr="00430FB3" w:rsidTr="00F44E27">
        <w:trPr>
          <w:trHeight w:val="330"/>
        </w:trPr>
        <w:tc>
          <w:tcPr>
            <w:tcW w:w="1456" w:type="dxa"/>
            <w:tcBorders>
              <w:top w:val="nil"/>
              <w:left w:val="nil"/>
              <w:bottom w:val="nil"/>
              <w:right w:val="nil"/>
            </w:tcBorders>
            <w:shd w:val="clear" w:color="auto" w:fill="auto"/>
            <w:noWrap/>
          </w:tcPr>
          <w:p w:rsidR="00A1707B" w:rsidRPr="00430FB3" w:rsidRDefault="00A1707B" w:rsidP="00513E19">
            <w:pPr>
              <w:spacing w:before="60" w:after="60"/>
              <w:rPr>
                <w:rFonts w:ascii="Arial" w:hAnsi="Arial" w:cs="Arial"/>
                <w:b/>
                <w:bCs/>
                <w:sz w:val="20"/>
                <w:szCs w:val="20"/>
              </w:rPr>
            </w:pPr>
            <w:r>
              <w:rPr>
                <w:rFonts w:ascii="Arial" w:hAnsi="Arial" w:cs="Arial"/>
                <w:b/>
                <w:bCs/>
                <w:sz w:val="20"/>
                <w:szCs w:val="20"/>
              </w:rPr>
              <w:t>Table</w:t>
            </w:r>
            <w:r w:rsidR="007D1214">
              <w:rPr>
                <w:rFonts w:ascii="Arial" w:hAnsi="Arial" w:cs="Arial"/>
                <w:b/>
                <w:bCs/>
                <w:sz w:val="20"/>
                <w:szCs w:val="20"/>
              </w:rPr>
              <w:t> </w:t>
            </w:r>
            <w:proofErr w:type="spellStart"/>
            <w:r>
              <w:rPr>
                <w:rFonts w:ascii="Arial" w:hAnsi="Arial" w:cs="Arial"/>
                <w:b/>
                <w:bCs/>
                <w:sz w:val="20"/>
                <w:szCs w:val="20"/>
              </w:rPr>
              <w:t>17A.66</w:t>
            </w:r>
            <w:proofErr w:type="spellEnd"/>
          </w:p>
        </w:tc>
        <w:tc>
          <w:tcPr>
            <w:tcW w:w="7333" w:type="dxa"/>
            <w:tcBorders>
              <w:top w:val="nil"/>
              <w:left w:val="nil"/>
              <w:bottom w:val="nil"/>
              <w:right w:val="nil"/>
            </w:tcBorders>
            <w:shd w:val="clear" w:color="auto" w:fill="auto"/>
            <w:noWrap/>
          </w:tcPr>
          <w:p w:rsidR="00A1707B" w:rsidRPr="00430FB3" w:rsidRDefault="00A1707B" w:rsidP="00883293">
            <w:pPr>
              <w:spacing w:before="60" w:after="60"/>
              <w:rPr>
                <w:rFonts w:ascii="Arial" w:hAnsi="Arial" w:cs="Arial"/>
                <w:sz w:val="20"/>
                <w:szCs w:val="20"/>
              </w:rPr>
            </w:pPr>
            <w:r w:rsidRPr="00430FB3">
              <w:rPr>
                <w:rFonts w:ascii="Arial" w:hAnsi="Arial" w:cs="Arial"/>
                <w:sz w:val="20"/>
                <w:szCs w:val="20"/>
              </w:rPr>
              <w:t xml:space="preserve">Treatment of </w:t>
            </w:r>
            <w:r>
              <w:rPr>
                <w:rFonts w:ascii="Arial" w:hAnsi="Arial" w:cs="Arial"/>
                <w:sz w:val="20"/>
                <w:szCs w:val="20"/>
              </w:rPr>
              <w:t>assets by housing agencies, 2014–15</w:t>
            </w:r>
          </w:p>
        </w:tc>
      </w:tr>
      <w:tr w:rsidR="00A1707B" w:rsidRPr="00430FB3" w:rsidTr="00F44E27">
        <w:trPr>
          <w:trHeight w:val="330"/>
        </w:trPr>
        <w:tc>
          <w:tcPr>
            <w:tcW w:w="1456" w:type="dxa"/>
            <w:tcBorders>
              <w:top w:val="nil"/>
              <w:left w:val="nil"/>
              <w:bottom w:val="nil"/>
              <w:right w:val="nil"/>
            </w:tcBorders>
            <w:shd w:val="clear" w:color="auto" w:fill="auto"/>
            <w:noWrap/>
          </w:tcPr>
          <w:p w:rsidR="00A1707B" w:rsidRPr="00430FB3" w:rsidRDefault="00A1707B" w:rsidP="00513E19">
            <w:pPr>
              <w:spacing w:before="60" w:after="60"/>
              <w:rPr>
                <w:rFonts w:ascii="Arial" w:hAnsi="Arial" w:cs="Arial"/>
                <w:b/>
                <w:bCs/>
                <w:sz w:val="20"/>
                <w:szCs w:val="20"/>
              </w:rPr>
            </w:pPr>
            <w:r>
              <w:rPr>
                <w:rFonts w:ascii="Arial" w:hAnsi="Arial" w:cs="Arial"/>
                <w:b/>
                <w:bCs/>
                <w:sz w:val="20"/>
                <w:szCs w:val="20"/>
              </w:rPr>
              <w:t>Table</w:t>
            </w:r>
            <w:r w:rsidR="007D1214">
              <w:rPr>
                <w:rFonts w:ascii="Arial" w:hAnsi="Arial" w:cs="Arial"/>
                <w:b/>
                <w:bCs/>
                <w:sz w:val="20"/>
                <w:szCs w:val="20"/>
              </w:rPr>
              <w:t> </w:t>
            </w:r>
            <w:proofErr w:type="spellStart"/>
            <w:r>
              <w:rPr>
                <w:rFonts w:ascii="Arial" w:hAnsi="Arial" w:cs="Arial"/>
                <w:b/>
                <w:bCs/>
                <w:sz w:val="20"/>
                <w:szCs w:val="20"/>
              </w:rPr>
              <w:t>17A.67</w:t>
            </w:r>
            <w:proofErr w:type="spellEnd"/>
          </w:p>
        </w:tc>
        <w:tc>
          <w:tcPr>
            <w:tcW w:w="7333" w:type="dxa"/>
            <w:tcBorders>
              <w:top w:val="nil"/>
              <w:left w:val="nil"/>
              <w:bottom w:val="nil"/>
              <w:right w:val="nil"/>
            </w:tcBorders>
            <w:shd w:val="clear" w:color="auto" w:fill="auto"/>
            <w:noWrap/>
          </w:tcPr>
          <w:p w:rsidR="00A1707B" w:rsidRPr="00430FB3" w:rsidRDefault="00A1707B" w:rsidP="00883293">
            <w:pPr>
              <w:spacing w:before="60" w:after="60"/>
              <w:rPr>
                <w:rFonts w:ascii="Arial" w:hAnsi="Arial" w:cs="Arial"/>
                <w:sz w:val="20"/>
                <w:szCs w:val="20"/>
              </w:rPr>
            </w:pPr>
            <w:r w:rsidRPr="00430FB3">
              <w:rPr>
                <w:rFonts w:ascii="Arial" w:hAnsi="Arial" w:cs="Arial"/>
                <w:sz w:val="20"/>
                <w:szCs w:val="20"/>
              </w:rPr>
              <w:t xml:space="preserve">Community housing survey response rates and associated information </w:t>
            </w:r>
          </w:p>
        </w:tc>
      </w:tr>
    </w:tbl>
    <w:p w:rsidR="00DF4A29" w:rsidRPr="00430FB3" w:rsidRDefault="00DF4A29"/>
    <w:p w:rsidR="002D1CAE" w:rsidRPr="008F2728" w:rsidRDefault="00B73107" w:rsidP="00B73107">
      <w:pPr>
        <w:pStyle w:val="Heading2"/>
        <w:spacing w:before="120"/>
      </w:pPr>
      <w:bookmarkStart w:id="30" w:name="_Toc314211354"/>
      <w:bookmarkStart w:id="31" w:name="_Toc396143037"/>
      <w:bookmarkStart w:id="32" w:name="_Toc435724836"/>
      <w:r w:rsidRPr="00FD1E41">
        <w:t>17.</w:t>
      </w:r>
      <w:r w:rsidR="009F2584" w:rsidRPr="00FD1E41">
        <w:t>7</w:t>
      </w:r>
      <w:r w:rsidRPr="00FD1E41">
        <w:tab/>
      </w:r>
      <w:r w:rsidR="002D1CAE" w:rsidRPr="00FD1E41">
        <w:t>References</w:t>
      </w:r>
      <w:bookmarkEnd w:id="30"/>
      <w:bookmarkEnd w:id="31"/>
      <w:bookmarkEnd w:id="32"/>
    </w:p>
    <w:p w:rsidR="00C32C28" w:rsidRPr="00426197" w:rsidRDefault="002D1CAE" w:rsidP="00C36F3C">
      <w:pPr>
        <w:pStyle w:val="Reference"/>
        <w:jc w:val="left"/>
      </w:pPr>
      <w:r w:rsidRPr="00426197">
        <w:t>ABS (Australian Bureau of Statistics) 20</w:t>
      </w:r>
      <w:r w:rsidR="00351478" w:rsidRPr="00426197">
        <w:t>12</w:t>
      </w:r>
      <w:r w:rsidR="00FF1BCC" w:rsidRPr="00426197">
        <w:t xml:space="preserve">, </w:t>
      </w:r>
      <w:r w:rsidR="00FF1BCC" w:rsidRPr="00426197">
        <w:rPr>
          <w:i/>
        </w:rPr>
        <w:t xml:space="preserve">2011 </w:t>
      </w:r>
      <w:r w:rsidR="00C32C28" w:rsidRPr="00426197">
        <w:rPr>
          <w:i/>
        </w:rPr>
        <w:t>Census of Population and Housin</w:t>
      </w:r>
      <w:r w:rsidR="00FF1BCC" w:rsidRPr="00426197">
        <w:rPr>
          <w:i/>
        </w:rPr>
        <w:t xml:space="preserve">g — Basic Community Profile, </w:t>
      </w:r>
      <w:r w:rsidR="00C32C28" w:rsidRPr="00426197">
        <w:t>Cat no. 200</w:t>
      </w:r>
      <w:r w:rsidR="00FF1BCC" w:rsidRPr="00426197">
        <w:t>1</w:t>
      </w:r>
      <w:r w:rsidR="00C32C28" w:rsidRPr="00426197">
        <w:t>.0 </w:t>
      </w:r>
      <w:r w:rsidR="00A043C1" w:rsidRPr="00426197">
        <w:t>Canberra</w:t>
      </w:r>
      <w:r w:rsidR="00FA189C">
        <w:t>.</w:t>
      </w:r>
    </w:p>
    <w:p w:rsidR="001E6561" w:rsidRPr="002047FD" w:rsidRDefault="00F86A95" w:rsidP="00C36F3C">
      <w:pPr>
        <w:pStyle w:val="Reference"/>
        <w:jc w:val="left"/>
        <w:rPr>
          <w:color w:val="FF0000"/>
        </w:rPr>
      </w:pPr>
      <w:r w:rsidRPr="003468D0">
        <w:t xml:space="preserve">—— </w:t>
      </w:r>
      <w:r w:rsidR="003468D0" w:rsidRPr="003468D0">
        <w:t>2015,</w:t>
      </w:r>
      <w:r w:rsidR="003468D0" w:rsidRPr="003468D0">
        <w:rPr>
          <w:i/>
        </w:rPr>
        <w:t xml:space="preserve"> Household Income and Wealth, Australia 2013</w:t>
      </w:r>
      <w:r w:rsidR="007D1214">
        <w:rPr>
          <w:i/>
        </w:rPr>
        <w:noBreakHyphen/>
      </w:r>
      <w:r w:rsidR="003468D0" w:rsidRPr="003468D0">
        <w:rPr>
          <w:i/>
        </w:rPr>
        <w:t>14</w:t>
      </w:r>
      <w:r w:rsidR="001E6561" w:rsidRPr="003468D0">
        <w:t>, Cat.</w:t>
      </w:r>
      <w:r w:rsidR="00D15A54" w:rsidRPr="003468D0">
        <w:t> </w:t>
      </w:r>
      <w:r w:rsidR="001E6561" w:rsidRPr="003468D0">
        <w:t>no. 6523.0, Canberra</w:t>
      </w:r>
      <w:r w:rsidR="00FA189C">
        <w:rPr>
          <w:color w:val="FF0000"/>
        </w:rPr>
        <w:t>.</w:t>
      </w:r>
      <w:r w:rsidR="00C36F3C">
        <w:rPr>
          <w:color w:val="FF0000"/>
        </w:rPr>
        <w:t xml:space="preserve"> </w:t>
      </w:r>
    </w:p>
    <w:p w:rsidR="0058332F" w:rsidRDefault="0058332F" w:rsidP="00C36F3C">
      <w:pPr>
        <w:pStyle w:val="Reference"/>
        <w:jc w:val="left"/>
      </w:pPr>
      <w:r w:rsidRPr="0058332F">
        <w:t>AIHW (</w:t>
      </w:r>
      <w:r>
        <w:t xml:space="preserve">Australian Institute of Health and Welfare) 2015, </w:t>
      </w:r>
      <w:r w:rsidRPr="00C36F3C">
        <w:rPr>
          <w:i/>
        </w:rPr>
        <w:t>Housing assistance in Australia</w:t>
      </w:r>
      <w:r>
        <w:t xml:space="preserve">, </w:t>
      </w:r>
      <w:r w:rsidR="00EB182B" w:rsidRPr="00C36F3C">
        <w:t>http://</w:t>
      </w:r>
      <w:proofErr w:type="spellStart"/>
      <w:r w:rsidR="00EB182B" w:rsidRPr="00C36F3C">
        <w:t>www.aihw.gov.au</w:t>
      </w:r>
      <w:proofErr w:type="spellEnd"/>
      <w:r w:rsidR="00EB182B" w:rsidRPr="00C36F3C">
        <w:t>/housing</w:t>
      </w:r>
      <w:r w:rsidR="007D1214">
        <w:noBreakHyphen/>
      </w:r>
      <w:r w:rsidR="00EB182B" w:rsidRPr="00C36F3C">
        <w:t>assistance/</w:t>
      </w:r>
      <w:proofErr w:type="spellStart"/>
      <w:r w:rsidR="00EB182B" w:rsidRPr="00C36F3C">
        <w:t>haa</w:t>
      </w:r>
      <w:proofErr w:type="spellEnd"/>
      <w:r w:rsidR="00EB182B" w:rsidRPr="00C36F3C">
        <w:t>/2015/</w:t>
      </w:r>
    </w:p>
    <w:p w:rsidR="00EB182B" w:rsidRPr="0058332F" w:rsidRDefault="00EB182B" w:rsidP="00C36F3C">
      <w:pPr>
        <w:pStyle w:val="Reference"/>
        <w:jc w:val="left"/>
      </w:pPr>
      <w:r w:rsidRPr="00C36F3C">
        <w:t xml:space="preserve">—— </w:t>
      </w:r>
      <w:proofErr w:type="spellStart"/>
      <w:r w:rsidRPr="00C36F3C">
        <w:t>2015b</w:t>
      </w:r>
      <w:proofErr w:type="spellEnd"/>
      <w:r w:rsidRPr="00C36F3C">
        <w:t xml:space="preserve">, </w:t>
      </w:r>
      <w:r w:rsidRPr="00C36F3C">
        <w:rPr>
          <w:i/>
        </w:rPr>
        <w:t>National Social Housing Surve</w:t>
      </w:r>
      <w:r w:rsidR="00C36F3C" w:rsidRPr="00C36F3C">
        <w:rPr>
          <w:i/>
        </w:rPr>
        <w:t>y</w:t>
      </w:r>
      <w:r w:rsidR="00C36F3C">
        <w:t xml:space="preserve">: detailed results 2014. Cat. no. </w:t>
      </w:r>
      <w:proofErr w:type="spellStart"/>
      <w:r w:rsidR="00C36F3C">
        <w:t>HOU</w:t>
      </w:r>
      <w:proofErr w:type="spellEnd"/>
      <w:r w:rsidR="007D1214">
        <w:noBreakHyphen/>
      </w:r>
      <w:r w:rsidR="00C36F3C">
        <w:t>278, Canberra</w:t>
      </w:r>
      <w:r w:rsidR="00FA189C">
        <w:t>.</w:t>
      </w:r>
    </w:p>
    <w:p w:rsidR="002D1CAE" w:rsidRDefault="00C36F3C" w:rsidP="00C36F3C">
      <w:pPr>
        <w:pStyle w:val="Reference"/>
        <w:jc w:val="left"/>
      </w:pPr>
      <w:r w:rsidRPr="00C36F3C">
        <w:t>—</w:t>
      </w:r>
      <w:r>
        <w:t xml:space="preserve">— </w:t>
      </w:r>
      <w:r w:rsidR="0058332F" w:rsidRPr="0058332F">
        <w:t>2013</w:t>
      </w:r>
      <w:r w:rsidR="002D1CAE" w:rsidRPr="0058332F">
        <w:t xml:space="preserve">, </w:t>
      </w:r>
      <w:r w:rsidR="002D1CAE" w:rsidRPr="0058332F">
        <w:rPr>
          <w:i/>
        </w:rPr>
        <w:t xml:space="preserve">National Housing </w:t>
      </w:r>
      <w:r w:rsidR="0058332F">
        <w:rPr>
          <w:i/>
        </w:rPr>
        <w:t>and Homelessness</w:t>
      </w:r>
      <w:r w:rsidR="002D1CAE" w:rsidRPr="0058332F">
        <w:rPr>
          <w:i/>
        </w:rPr>
        <w:t xml:space="preserve"> Data Dictionary Version</w:t>
      </w:r>
      <w:r w:rsidR="00F44E27" w:rsidRPr="0058332F">
        <w:rPr>
          <w:i/>
        </w:rPr>
        <w:t> </w:t>
      </w:r>
      <w:r w:rsidR="0058332F" w:rsidRPr="0058332F">
        <w:rPr>
          <w:i/>
        </w:rPr>
        <w:t>1</w:t>
      </w:r>
      <w:r w:rsidR="00F44E27" w:rsidRPr="0058332F">
        <w:t>, Cat. </w:t>
      </w:r>
      <w:r w:rsidR="00A043C1" w:rsidRPr="0058332F">
        <w:t>no.</w:t>
      </w:r>
      <w:r w:rsidR="00F44E27" w:rsidRPr="0058332F">
        <w:t> </w:t>
      </w:r>
      <w:proofErr w:type="spellStart"/>
      <w:r w:rsidR="00A043C1" w:rsidRPr="0058332F">
        <w:t>HOU</w:t>
      </w:r>
      <w:proofErr w:type="spellEnd"/>
      <w:r w:rsidR="007D1214">
        <w:noBreakHyphen/>
      </w:r>
      <w:r w:rsidR="0058332F">
        <w:t>269</w:t>
      </w:r>
      <w:r w:rsidR="00A043C1" w:rsidRPr="0058332F">
        <w:t>, Canberra</w:t>
      </w:r>
      <w:r w:rsidR="00FA189C">
        <w:t>.</w:t>
      </w:r>
    </w:p>
    <w:p w:rsidR="008502FB" w:rsidRPr="0058332F" w:rsidRDefault="00C36F3C" w:rsidP="00C36F3C">
      <w:pPr>
        <w:pStyle w:val="Reference"/>
        <w:jc w:val="left"/>
      </w:pPr>
      <w:r w:rsidRPr="00C36F3C">
        <w:t>—</w:t>
      </w:r>
      <w:r>
        <w:t xml:space="preserve">— </w:t>
      </w:r>
      <w:r w:rsidR="008502FB">
        <w:t xml:space="preserve">2010, </w:t>
      </w:r>
      <w:r w:rsidR="008502FB" w:rsidRPr="00C36F3C">
        <w:rPr>
          <w:i/>
        </w:rPr>
        <w:t>A profile of social housing in Australia</w:t>
      </w:r>
      <w:r>
        <w:t xml:space="preserve">, Cat. no. </w:t>
      </w:r>
      <w:proofErr w:type="spellStart"/>
      <w:r>
        <w:t>HOU</w:t>
      </w:r>
      <w:proofErr w:type="spellEnd"/>
      <w:r>
        <w:t xml:space="preserve">  232, Canberra</w:t>
      </w:r>
      <w:r w:rsidR="00FA189C">
        <w:t>.</w:t>
      </w:r>
    </w:p>
    <w:p w:rsidR="002D1CAE" w:rsidRPr="00426197" w:rsidRDefault="002D1CAE" w:rsidP="00C36F3C">
      <w:pPr>
        <w:pStyle w:val="Reference"/>
        <w:jc w:val="left"/>
      </w:pPr>
      <w:r w:rsidRPr="00426197">
        <w:t xml:space="preserve">—— </w:t>
      </w:r>
      <w:r w:rsidR="008A69A5" w:rsidRPr="00426197">
        <w:t>v</w:t>
      </w:r>
      <w:r w:rsidR="00055D4E" w:rsidRPr="00426197">
        <w:t xml:space="preserve">arious years, </w:t>
      </w:r>
      <w:r w:rsidR="002803F8" w:rsidRPr="00426197">
        <w:rPr>
          <w:i/>
        </w:rPr>
        <w:t>National Housing Assistance Data Repository</w:t>
      </w:r>
      <w:r w:rsidR="002803F8" w:rsidRPr="00426197">
        <w:t xml:space="preserve">, </w:t>
      </w:r>
      <w:r w:rsidRPr="00426197">
        <w:t>Canberra</w:t>
      </w:r>
      <w:r w:rsidR="00FA189C">
        <w:t>.</w:t>
      </w:r>
    </w:p>
    <w:p w:rsidR="002D1CAE" w:rsidRDefault="002D1CAE" w:rsidP="00C36F3C">
      <w:pPr>
        <w:pStyle w:val="Reference"/>
        <w:jc w:val="left"/>
      </w:pPr>
      <w:r w:rsidRPr="00426197">
        <w:t>COAG (Council</w:t>
      </w:r>
      <w:r w:rsidR="00426197" w:rsidRPr="00426197">
        <w:t xml:space="preserve"> of Australian Governments) 2012</w:t>
      </w:r>
      <w:r w:rsidRPr="00426197">
        <w:t xml:space="preserve">, </w:t>
      </w:r>
      <w:r w:rsidRPr="00426197">
        <w:rPr>
          <w:i/>
        </w:rPr>
        <w:t>National Affordable Housing Agreement</w:t>
      </w:r>
      <w:r w:rsidRPr="00426197">
        <w:t>, Intergovernmental Agreement on Federal Financial Relations, Australian Government, Council of Australian Gove</w:t>
      </w:r>
      <w:r w:rsidR="00A043C1" w:rsidRPr="00426197">
        <w:t>rnments, Canberra</w:t>
      </w:r>
      <w:r w:rsidR="00FA189C">
        <w:t>.</w:t>
      </w:r>
    </w:p>
    <w:p w:rsidR="00426197" w:rsidRPr="00426197" w:rsidRDefault="00426197" w:rsidP="00C36F3C">
      <w:pPr>
        <w:pStyle w:val="Reference"/>
        <w:jc w:val="left"/>
      </w:pPr>
      <w:r>
        <w:t xml:space="preserve">Commonwealth of Australia 2014, </w:t>
      </w:r>
      <w:r w:rsidRPr="00426197">
        <w:rPr>
          <w:i/>
        </w:rPr>
        <w:t>Reform of the Federation White Paper</w:t>
      </w:r>
      <w:r>
        <w:t xml:space="preserve">, </w:t>
      </w:r>
      <w:r w:rsidRPr="00426197">
        <w:t>http://</w:t>
      </w:r>
      <w:proofErr w:type="spellStart"/>
      <w:r w:rsidRPr="00426197">
        <w:t>federation.dpmc.gov.au</w:t>
      </w:r>
      <w:proofErr w:type="spellEnd"/>
      <w:r w:rsidRPr="00426197">
        <w:t>/</w:t>
      </w:r>
      <w:r>
        <w:t xml:space="preserve"> (accessed 15</w:t>
      </w:r>
      <w:r w:rsidR="007D1214">
        <w:t> </w:t>
      </w:r>
      <w:r>
        <w:t xml:space="preserve">September 2015). </w:t>
      </w:r>
    </w:p>
    <w:p w:rsidR="00F03EB1" w:rsidRPr="00AC1B57" w:rsidRDefault="00F03EB1" w:rsidP="00C36F3C">
      <w:pPr>
        <w:pStyle w:val="Reference"/>
        <w:jc w:val="left"/>
      </w:pPr>
      <w:r>
        <w:lastRenderedPageBreak/>
        <w:t xml:space="preserve">Pawson, H. Milligan, V. Wiesel, I. and Hulse, K. 2013, </w:t>
      </w:r>
      <w:r w:rsidRPr="00F03EB1">
        <w:rPr>
          <w:i/>
        </w:rPr>
        <w:t>Public housing transfers: past, present and prospective</w:t>
      </w:r>
      <w:r>
        <w:t>,</w:t>
      </w:r>
      <w:r w:rsidRPr="00F03EB1">
        <w:t xml:space="preserve"> </w:t>
      </w:r>
      <w:proofErr w:type="spellStart"/>
      <w:r>
        <w:t>AHURI</w:t>
      </w:r>
      <w:proofErr w:type="spellEnd"/>
      <w:r>
        <w:t xml:space="preserve"> Final Report No .215. Melbourne: Australian Housing and Urban Research Institute.</w:t>
      </w:r>
    </w:p>
    <w:p w:rsidR="00316E68" w:rsidRDefault="00316E68" w:rsidP="00C36F3C">
      <w:pPr>
        <w:pStyle w:val="Reference"/>
        <w:jc w:val="left"/>
      </w:pPr>
      <w:r w:rsidRPr="00316E68">
        <w:t xml:space="preserve">Productivity Commission, 2010, ‘Appendix I: A case study of social housing’, </w:t>
      </w:r>
      <w:r w:rsidRPr="00316E68">
        <w:rPr>
          <w:i/>
        </w:rPr>
        <w:t>Contribution of the Not–for–Profit Sector</w:t>
      </w:r>
      <w:r w:rsidRPr="00316E68">
        <w:t>, Research Report, Canberra.</w:t>
      </w:r>
    </w:p>
    <w:p w:rsidR="002D1CAE" w:rsidRPr="00F13C00" w:rsidRDefault="002D1CAE" w:rsidP="00C36F3C">
      <w:pPr>
        <w:pStyle w:val="Reference"/>
        <w:jc w:val="left"/>
      </w:pPr>
      <w:r w:rsidRPr="00F13C00">
        <w:t xml:space="preserve">Yates, J. and Gabriel, M. 2006, </w:t>
      </w:r>
      <w:r w:rsidRPr="00F13C00">
        <w:rPr>
          <w:i/>
        </w:rPr>
        <w:t>Housing Affordability in Australia</w:t>
      </w:r>
      <w:r w:rsidR="00F44E27" w:rsidRPr="00F13C00">
        <w:t>, Research Paper No. </w:t>
      </w:r>
      <w:r w:rsidRPr="00F13C00">
        <w:t>3, Australian Housing and Urba</w:t>
      </w:r>
      <w:r w:rsidR="00A043C1" w:rsidRPr="00F13C00">
        <w:t>n Research Institute, Melbourne</w:t>
      </w:r>
      <w:r w:rsidR="00FA189C">
        <w:t>.</w:t>
      </w:r>
    </w:p>
    <w:p w:rsidR="000005B8" w:rsidRPr="00F13C00" w:rsidRDefault="002D1CAE" w:rsidP="00C36F3C">
      <w:pPr>
        <w:pStyle w:val="Reference"/>
        <w:jc w:val="left"/>
      </w:pPr>
      <w:r w:rsidRPr="00F13C00">
        <w:t xml:space="preserve">Yates, J. and Milligan, V. 2007, </w:t>
      </w:r>
      <w:r w:rsidRPr="00F13C00">
        <w:rPr>
          <w:i/>
        </w:rPr>
        <w:t>Housing affordability: a 21st century problem</w:t>
      </w:r>
      <w:r w:rsidR="00F44E27" w:rsidRPr="00F13C00">
        <w:t>, Final Report No. </w:t>
      </w:r>
      <w:r w:rsidRPr="00F13C00">
        <w:t>105, Australian Housing and Urban Research Institute, Melbourne.</w:t>
      </w:r>
    </w:p>
    <w:p w:rsidR="00F03EB1" w:rsidRPr="00F13C00" w:rsidRDefault="00F03EB1">
      <w:pPr>
        <w:pStyle w:val="Reference"/>
      </w:pPr>
    </w:p>
    <w:sectPr w:rsidR="00F03EB1" w:rsidRPr="00F13C00" w:rsidSect="00E62304">
      <w:headerReference w:type="even" r:id="rId40"/>
      <w:headerReference w:type="default" r:id="rId41"/>
      <w:footerReference w:type="even" r:id="rId42"/>
      <w:footerReference w:type="default" r:id="rId43"/>
      <w:pgSz w:w="11907" w:h="16840" w:code="9"/>
      <w:pgMar w:top="1984" w:right="1304" w:bottom="1247" w:left="1814" w:header="1701" w:footer="397" w:gutter="0"/>
      <w:pgNumType w:start="1" w:chapSep="period"/>
      <w:cols w:space="720"/>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1BEC" w:rsidRDefault="00181BEC">
      <w:r>
        <w:separator/>
      </w:r>
    </w:p>
  </w:endnote>
  <w:endnote w:type="continuationSeparator" w:id="0">
    <w:p w:rsidR="00181BEC" w:rsidRDefault="00181B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T Extra">
    <w:panose1 w:val="05050102010205020202"/>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181BEC" w:rsidTr="00AE5190">
      <w:trPr>
        <w:trHeight w:hRule="exact" w:val="567"/>
      </w:trPr>
      <w:tc>
        <w:tcPr>
          <w:tcW w:w="510" w:type="dxa"/>
        </w:tcPr>
        <w:p w:rsidR="00181BEC" w:rsidRPr="00A24443" w:rsidRDefault="00181BEC" w:rsidP="0019293B">
          <w:pPr>
            <w:pStyle w:val="Footer"/>
            <w:tabs>
              <w:tab w:val="left" w:pos="0"/>
            </w:tabs>
            <w:ind w:right="0"/>
            <w:rPr>
              <w:rStyle w:val="PageNumber"/>
              <w:caps w:val="0"/>
            </w:rPr>
          </w:pPr>
          <w:r>
            <w:rPr>
              <w:rStyle w:val="PageNumber"/>
              <w:caps w:val="0"/>
            </w:rPr>
            <w:t>17.</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EF682F">
            <w:rPr>
              <w:rStyle w:val="PageNumber"/>
              <w:caps w:val="0"/>
              <w:noProof/>
            </w:rPr>
            <w:t>28</w:t>
          </w:r>
          <w:r w:rsidRPr="00A24443">
            <w:rPr>
              <w:rStyle w:val="PageNumber"/>
              <w:caps w:val="0"/>
            </w:rPr>
            <w:fldChar w:fldCharType="end"/>
          </w:r>
        </w:p>
      </w:tc>
      <w:tc>
        <w:tcPr>
          <w:tcW w:w="7767" w:type="dxa"/>
        </w:tcPr>
        <w:p w:rsidR="00181BEC" w:rsidRPr="0013739A" w:rsidRDefault="00181BEC" w:rsidP="00AE5190">
          <w:pPr>
            <w:pStyle w:val="Footer"/>
            <w:rPr>
              <w:rFonts w:cs="Arial"/>
            </w:rPr>
          </w:pPr>
          <w:r>
            <w:rPr>
              <w:rFonts w:cs="Arial"/>
            </w:rPr>
            <w:t>Report on Government Services 2016</w:t>
          </w:r>
          <w:bookmarkStart w:id="33" w:name="DraftReportEven"/>
          <w:bookmarkEnd w:id="33"/>
        </w:p>
      </w:tc>
      <w:tc>
        <w:tcPr>
          <w:tcW w:w="510" w:type="dxa"/>
        </w:tcPr>
        <w:p w:rsidR="00181BEC" w:rsidRDefault="00181BEC" w:rsidP="0019293B">
          <w:pPr>
            <w:pStyle w:val="Footer"/>
          </w:pPr>
        </w:p>
      </w:tc>
    </w:tr>
  </w:tbl>
  <w:p w:rsidR="00181BEC" w:rsidRDefault="00181BEC" w:rsidP="0019293B">
    <w:pPr>
      <w:pStyle w:val="FooterEnd"/>
    </w:pPr>
  </w:p>
  <w:p w:rsidR="00181BEC" w:rsidRDefault="00181BEC"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181BEC" w:rsidTr="00AE5190">
      <w:trPr>
        <w:trHeight w:hRule="exact" w:val="567"/>
      </w:trPr>
      <w:tc>
        <w:tcPr>
          <w:tcW w:w="510" w:type="dxa"/>
        </w:tcPr>
        <w:p w:rsidR="00181BEC" w:rsidRDefault="00181BEC">
          <w:pPr>
            <w:pStyle w:val="Footer"/>
            <w:ind w:right="360" w:firstLine="360"/>
          </w:pPr>
        </w:p>
      </w:tc>
      <w:tc>
        <w:tcPr>
          <w:tcW w:w="7767" w:type="dxa"/>
        </w:tcPr>
        <w:p w:rsidR="00181BEC" w:rsidRPr="00BA5B14" w:rsidRDefault="00181BEC" w:rsidP="00AE5190">
          <w:pPr>
            <w:pStyle w:val="Footer"/>
            <w:jc w:val="right"/>
            <w:rPr>
              <w:rFonts w:cs="Arial"/>
            </w:rPr>
          </w:pPr>
          <w:r>
            <w:rPr>
              <w:rFonts w:cs="Arial"/>
            </w:rPr>
            <w:t>Housing</w:t>
          </w:r>
        </w:p>
      </w:tc>
      <w:tc>
        <w:tcPr>
          <w:tcW w:w="510" w:type="dxa"/>
        </w:tcPr>
        <w:p w:rsidR="00181BEC" w:rsidRPr="00A24443" w:rsidRDefault="00181BEC">
          <w:pPr>
            <w:pStyle w:val="Footer"/>
            <w:jc w:val="right"/>
            <w:rPr>
              <w:caps w:val="0"/>
            </w:rPr>
          </w:pPr>
          <w:r>
            <w:rPr>
              <w:rStyle w:val="PageNumber"/>
              <w:caps w:val="0"/>
            </w:rPr>
            <w:t>17.</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EF682F">
            <w:rPr>
              <w:rStyle w:val="PageNumber"/>
              <w:caps w:val="0"/>
              <w:noProof/>
            </w:rPr>
            <w:t>29</w:t>
          </w:r>
          <w:r w:rsidRPr="00A24443">
            <w:rPr>
              <w:rStyle w:val="PageNumber"/>
              <w:caps w:val="0"/>
            </w:rPr>
            <w:fldChar w:fldCharType="end"/>
          </w:r>
        </w:p>
      </w:tc>
    </w:tr>
  </w:tbl>
  <w:p w:rsidR="00181BEC" w:rsidRDefault="00181BEC">
    <w:pPr>
      <w:pStyle w:val="FooterEnd"/>
    </w:pPr>
  </w:p>
  <w:p w:rsidR="00181BEC" w:rsidRDefault="00181BEC" w:rsidP="003666CD">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1BEC" w:rsidRDefault="00181BEC">
      <w:r>
        <w:separator/>
      </w:r>
    </w:p>
  </w:footnote>
  <w:footnote w:type="continuationSeparator" w:id="0">
    <w:p w:rsidR="00181BEC" w:rsidRDefault="00181B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9" w:type="dxa"/>
      <w:tblLayout w:type="fixed"/>
      <w:tblCellMar>
        <w:left w:w="0" w:type="dxa"/>
        <w:right w:w="0" w:type="dxa"/>
      </w:tblCellMar>
      <w:tblLook w:val="0000" w:firstRow="0" w:lastRow="0" w:firstColumn="0" w:lastColumn="0" w:noHBand="0" w:noVBand="0"/>
    </w:tblPr>
    <w:tblGrid>
      <w:gridCol w:w="2155"/>
      <w:gridCol w:w="6634"/>
    </w:tblGrid>
    <w:tr w:rsidR="00181BEC" w:rsidTr="00110D9E">
      <w:tc>
        <w:tcPr>
          <w:tcW w:w="2155" w:type="dxa"/>
          <w:tcBorders>
            <w:top w:val="single" w:sz="24" w:space="0" w:color="auto"/>
          </w:tcBorders>
        </w:tcPr>
        <w:p w:rsidR="00181BEC" w:rsidRDefault="00181BEC" w:rsidP="00110D9E">
          <w:pPr>
            <w:pStyle w:val="HeaderEven"/>
            <w:jc w:val="right"/>
          </w:pPr>
        </w:p>
      </w:tc>
      <w:tc>
        <w:tcPr>
          <w:tcW w:w="6634" w:type="dxa"/>
          <w:tcBorders>
            <w:top w:val="single" w:sz="6" w:space="0" w:color="auto"/>
          </w:tcBorders>
        </w:tcPr>
        <w:p w:rsidR="00181BEC" w:rsidRDefault="00181BEC" w:rsidP="00771488">
          <w:pPr>
            <w:pStyle w:val="HeaderEven"/>
            <w:jc w:val="right"/>
          </w:pPr>
        </w:p>
      </w:tc>
    </w:tr>
  </w:tbl>
  <w:p w:rsidR="00181BEC" w:rsidRDefault="00181BEC" w:rsidP="00110D9E">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81BEC" w:rsidTr="006C0D79">
      <w:tc>
        <w:tcPr>
          <w:tcW w:w="6634" w:type="dxa"/>
          <w:tcBorders>
            <w:top w:val="single" w:sz="6" w:space="0" w:color="auto"/>
          </w:tcBorders>
        </w:tcPr>
        <w:p w:rsidR="00181BEC" w:rsidRDefault="00181BEC" w:rsidP="006C0D79">
          <w:pPr>
            <w:pStyle w:val="HeaderOdd"/>
          </w:pPr>
        </w:p>
      </w:tc>
      <w:tc>
        <w:tcPr>
          <w:tcW w:w="2155" w:type="dxa"/>
          <w:tcBorders>
            <w:top w:val="single" w:sz="24" w:space="0" w:color="auto"/>
          </w:tcBorders>
        </w:tcPr>
        <w:p w:rsidR="00181BEC" w:rsidRDefault="00181BEC" w:rsidP="00110D9E">
          <w:pPr>
            <w:pStyle w:val="HeaderOdd"/>
            <w:jc w:val="right"/>
          </w:pPr>
        </w:p>
      </w:tc>
    </w:tr>
  </w:tbl>
  <w:p w:rsidR="00181BEC" w:rsidRDefault="00181BEC" w:rsidP="00110D9E">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88"/>
    <w:multiLevelType w:val="singleLevel"/>
    <w:tmpl w:val="0B5AF1CA"/>
    <w:lvl w:ilvl="0">
      <w:start w:val="1"/>
      <w:numFmt w:val="decimal"/>
      <w:lvlText w:val="%1."/>
      <w:lvlJc w:val="left"/>
      <w:pPr>
        <w:tabs>
          <w:tab w:val="num" w:pos="360"/>
        </w:tabs>
        <w:ind w:left="360" w:hanging="360"/>
      </w:pPr>
    </w:lvl>
  </w:abstractNum>
  <w:abstractNum w:abstractNumId="2">
    <w:nsid w:val="FFFFFF89"/>
    <w:multiLevelType w:val="singleLevel"/>
    <w:tmpl w:val="521C75D6"/>
    <w:lvl w:ilvl="0">
      <w:start w:val="1"/>
      <w:numFmt w:val="bullet"/>
      <w:lvlText w:val=""/>
      <w:lvlJc w:val="left"/>
      <w:pPr>
        <w:tabs>
          <w:tab w:val="num" w:pos="360"/>
        </w:tabs>
        <w:ind w:left="360" w:hanging="360"/>
      </w:pPr>
      <w:rPr>
        <w:rFonts w:ascii="Symbol" w:hAnsi="Symbol" w:hint="default"/>
      </w:rPr>
    </w:lvl>
  </w:abstractNum>
  <w:abstractNum w:abstractNumId="3">
    <w:nsid w:val="FFFFFFFE"/>
    <w:multiLevelType w:val="singleLevel"/>
    <w:tmpl w:val="FFFFFFFF"/>
    <w:lvl w:ilvl="0">
      <w:numFmt w:val="decimal"/>
      <w:lvlText w:val="*"/>
      <w:lvlJc w:val="left"/>
    </w:lvl>
  </w:abstractNum>
  <w:abstractNum w:abstractNumId="4">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6">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7">
    <w:nsid w:val="0BE3422D"/>
    <w:multiLevelType w:val="hybridMultilevel"/>
    <w:tmpl w:val="FD7E8178"/>
    <w:lvl w:ilvl="0" w:tplc="A0B4C768">
      <w:start w:val="1"/>
      <w:numFmt w:val="bullet"/>
      <w:pStyle w:val="DHSBulletText"/>
      <w:lvlText w:val=""/>
      <w:lvlJc w:val="left"/>
      <w:pPr>
        <w:tabs>
          <w:tab w:val="num" w:pos="360"/>
        </w:tabs>
        <w:ind w:left="340" w:hanging="34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C6D56DC"/>
    <w:multiLevelType w:val="hybridMultilevel"/>
    <w:tmpl w:val="F6FE027C"/>
    <w:lvl w:ilvl="0" w:tplc="029C98D6">
      <w:start w:val="17"/>
      <w:numFmt w:val="bullet"/>
      <w:lvlText w:val="—"/>
      <w:lvlJc w:val="left"/>
      <w:pPr>
        <w:ind w:left="840" w:hanging="48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3">
    <w:nsid w:val="14B179C9"/>
    <w:multiLevelType w:val="hybridMultilevel"/>
    <w:tmpl w:val="00A0676C"/>
    <w:lvl w:ilvl="0" w:tplc="251C1690">
      <w:start w:val="17"/>
      <w:numFmt w:val="bullet"/>
      <w:lvlText w:val="—"/>
      <w:lvlJc w:val="left"/>
      <w:pPr>
        <w:ind w:left="1834" w:hanging="360"/>
      </w:pPr>
      <w:rPr>
        <w:rFonts w:ascii="Arial" w:eastAsia="Times New Roman" w:hAnsi="Arial" w:cs="Arial" w:hint="default"/>
        <w:b/>
        <w:sz w:val="24"/>
      </w:rPr>
    </w:lvl>
    <w:lvl w:ilvl="1" w:tplc="0C090003" w:tentative="1">
      <w:start w:val="1"/>
      <w:numFmt w:val="bullet"/>
      <w:lvlText w:val="o"/>
      <w:lvlJc w:val="left"/>
      <w:pPr>
        <w:ind w:left="2554" w:hanging="360"/>
      </w:pPr>
      <w:rPr>
        <w:rFonts w:ascii="Courier New" w:hAnsi="Courier New" w:cs="Courier New" w:hint="default"/>
      </w:rPr>
    </w:lvl>
    <w:lvl w:ilvl="2" w:tplc="0C090005" w:tentative="1">
      <w:start w:val="1"/>
      <w:numFmt w:val="bullet"/>
      <w:lvlText w:val=""/>
      <w:lvlJc w:val="left"/>
      <w:pPr>
        <w:ind w:left="3274" w:hanging="360"/>
      </w:pPr>
      <w:rPr>
        <w:rFonts w:ascii="Wingdings" w:hAnsi="Wingdings" w:hint="default"/>
      </w:rPr>
    </w:lvl>
    <w:lvl w:ilvl="3" w:tplc="0C090001" w:tentative="1">
      <w:start w:val="1"/>
      <w:numFmt w:val="bullet"/>
      <w:lvlText w:val=""/>
      <w:lvlJc w:val="left"/>
      <w:pPr>
        <w:ind w:left="3994" w:hanging="360"/>
      </w:pPr>
      <w:rPr>
        <w:rFonts w:ascii="Symbol" w:hAnsi="Symbol" w:hint="default"/>
      </w:rPr>
    </w:lvl>
    <w:lvl w:ilvl="4" w:tplc="0C090003" w:tentative="1">
      <w:start w:val="1"/>
      <w:numFmt w:val="bullet"/>
      <w:lvlText w:val="o"/>
      <w:lvlJc w:val="left"/>
      <w:pPr>
        <w:ind w:left="4714" w:hanging="360"/>
      </w:pPr>
      <w:rPr>
        <w:rFonts w:ascii="Courier New" w:hAnsi="Courier New" w:cs="Courier New" w:hint="default"/>
      </w:rPr>
    </w:lvl>
    <w:lvl w:ilvl="5" w:tplc="0C090005" w:tentative="1">
      <w:start w:val="1"/>
      <w:numFmt w:val="bullet"/>
      <w:lvlText w:val=""/>
      <w:lvlJc w:val="left"/>
      <w:pPr>
        <w:ind w:left="5434" w:hanging="360"/>
      </w:pPr>
      <w:rPr>
        <w:rFonts w:ascii="Wingdings" w:hAnsi="Wingdings" w:hint="default"/>
      </w:rPr>
    </w:lvl>
    <w:lvl w:ilvl="6" w:tplc="0C090001" w:tentative="1">
      <w:start w:val="1"/>
      <w:numFmt w:val="bullet"/>
      <w:lvlText w:val=""/>
      <w:lvlJc w:val="left"/>
      <w:pPr>
        <w:ind w:left="6154" w:hanging="360"/>
      </w:pPr>
      <w:rPr>
        <w:rFonts w:ascii="Symbol" w:hAnsi="Symbol" w:hint="default"/>
      </w:rPr>
    </w:lvl>
    <w:lvl w:ilvl="7" w:tplc="0C090003" w:tentative="1">
      <w:start w:val="1"/>
      <w:numFmt w:val="bullet"/>
      <w:lvlText w:val="o"/>
      <w:lvlJc w:val="left"/>
      <w:pPr>
        <w:ind w:left="6874" w:hanging="360"/>
      </w:pPr>
      <w:rPr>
        <w:rFonts w:ascii="Courier New" w:hAnsi="Courier New" w:cs="Courier New" w:hint="default"/>
      </w:rPr>
    </w:lvl>
    <w:lvl w:ilvl="8" w:tplc="0C090005" w:tentative="1">
      <w:start w:val="1"/>
      <w:numFmt w:val="bullet"/>
      <w:lvlText w:val=""/>
      <w:lvlJc w:val="left"/>
      <w:pPr>
        <w:ind w:left="7594" w:hanging="360"/>
      </w:pPr>
      <w:rPr>
        <w:rFonts w:ascii="Wingdings" w:hAnsi="Wingdings" w:hint="default"/>
      </w:rPr>
    </w:lvl>
  </w:abstractNum>
  <w:abstractNum w:abstractNumId="14">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5">
    <w:nsid w:val="28B720D8"/>
    <w:multiLevelType w:val="multilevel"/>
    <w:tmpl w:val="4DA8762E"/>
    <w:lvl w:ilvl="0">
      <w:start w:val="17"/>
      <w:numFmt w:val="decimal"/>
      <w:lvlText w:val="%1"/>
      <w:lvlJc w:val="left"/>
      <w:pPr>
        <w:ind w:left="630" w:hanging="63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6">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7">
    <w:nsid w:val="2C853038"/>
    <w:multiLevelType w:val="hybridMultilevel"/>
    <w:tmpl w:val="387AED8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9">
    <w:nsid w:val="32EA78BD"/>
    <w:multiLevelType w:val="hybridMultilevel"/>
    <w:tmpl w:val="E3FE3906"/>
    <w:lvl w:ilvl="0" w:tplc="129E802E">
      <w:start w:val="17"/>
      <w:numFmt w:val="bullet"/>
      <w:lvlText w:val="—"/>
      <w:lvlJc w:val="left"/>
      <w:pPr>
        <w:ind w:left="840" w:hanging="48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4AA2766C"/>
    <w:multiLevelType w:val="hybridMultilevel"/>
    <w:tmpl w:val="75AA8E5A"/>
    <w:lvl w:ilvl="0" w:tplc="63C0438A">
      <w:start w:val="17"/>
      <w:numFmt w:val="bullet"/>
      <w:lvlText w:val="—"/>
      <w:lvlJc w:val="left"/>
      <w:pPr>
        <w:ind w:left="840" w:hanging="48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4BB21FD3"/>
    <w:multiLevelType w:val="hybridMultilevel"/>
    <w:tmpl w:val="1F7A12A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9">
    <w:nsid w:val="6D6B5FCB"/>
    <w:multiLevelType w:val="hybridMultilevel"/>
    <w:tmpl w:val="7A22EA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31">
    <w:nsid w:val="7B147C3B"/>
    <w:multiLevelType w:val="multilevel"/>
    <w:tmpl w:val="8F0AE852"/>
    <w:lvl w:ilvl="0">
      <w:start w:val="17"/>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2">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8"/>
  </w:num>
  <w:num w:numId="2">
    <w:abstractNumId w:val="6"/>
  </w:num>
  <w:num w:numId="3">
    <w:abstractNumId w:val="30"/>
  </w:num>
  <w:num w:numId="4">
    <w:abstractNumId w:val="4"/>
  </w:num>
  <w:num w:numId="5">
    <w:abstractNumId w:val="23"/>
  </w:num>
  <w:num w:numId="6">
    <w:abstractNumId w:val="5"/>
  </w:num>
  <w:num w:numId="7">
    <w:abstractNumId w:val="28"/>
  </w:num>
  <w:num w:numId="8">
    <w:abstractNumId w:val="25"/>
  </w:num>
  <w:num w:numId="9">
    <w:abstractNumId w:val="32"/>
  </w:num>
  <w:num w:numId="10">
    <w:abstractNumId w:val="14"/>
  </w:num>
  <w:num w:numId="11">
    <w:abstractNumId w:val="11"/>
  </w:num>
  <w:num w:numId="12">
    <w:abstractNumId w:val="24"/>
  </w:num>
  <w:num w:numId="13">
    <w:abstractNumId w:val="10"/>
  </w:num>
  <w:num w:numId="14">
    <w:abstractNumId w:val="9"/>
  </w:num>
  <w:num w:numId="15">
    <w:abstractNumId w:val="3"/>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6">
    <w:abstractNumId w:val="16"/>
  </w:num>
  <w:num w:numId="17">
    <w:abstractNumId w:val="22"/>
  </w:num>
  <w:num w:numId="18">
    <w:abstractNumId w:val="26"/>
  </w:num>
  <w:num w:numId="19">
    <w:abstractNumId w:val="31"/>
  </w:num>
  <w:num w:numId="20">
    <w:abstractNumId w:val="15"/>
  </w:num>
  <w:num w:numId="21">
    <w:abstractNumId w:val="7"/>
  </w:num>
  <w:num w:numId="22">
    <w:abstractNumId w:val="27"/>
  </w:num>
  <w:num w:numId="23">
    <w:abstractNumId w:val="12"/>
  </w:num>
  <w:num w:numId="24">
    <w:abstractNumId w:val="0"/>
  </w:num>
  <w:num w:numId="25">
    <w:abstractNumId w:val="2"/>
  </w:num>
  <w:num w:numId="26">
    <w:abstractNumId w:val="3"/>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27">
    <w:abstractNumId w:val="1"/>
  </w:num>
  <w:num w:numId="28">
    <w:abstractNumId w:val="29"/>
  </w:num>
  <w:num w:numId="29">
    <w:abstractNumId w:val="21"/>
  </w:num>
  <w:num w:numId="30">
    <w:abstractNumId w:val="17"/>
  </w:num>
  <w:num w:numId="31">
    <w:abstractNumId w:val="20"/>
  </w:num>
  <w:num w:numId="32">
    <w:abstractNumId w:val="8"/>
  </w:num>
  <w:num w:numId="33">
    <w:abstractNumId w:val="19"/>
  </w:num>
  <w:num w:numId="34">
    <w:abstractNumId w:val="13"/>
  </w:num>
  <w:num w:numId="35">
    <w:abstractNumId w:val="2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146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Housing"/>
    <w:docVar w:name="ShortReportTitle" w:val="Report on Government Services 2012"/>
  </w:docVars>
  <w:rsids>
    <w:rsidRoot w:val="00337686"/>
    <w:rsid w:val="00000249"/>
    <w:rsid w:val="000005B8"/>
    <w:rsid w:val="000005F8"/>
    <w:rsid w:val="0000153C"/>
    <w:rsid w:val="000016AA"/>
    <w:rsid w:val="000016B2"/>
    <w:rsid w:val="00001B30"/>
    <w:rsid w:val="00001F48"/>
    <w:rsid w:val="00002763"/>
    <w:rsid w:val="00002B56"/>
    <w:rsid w:val="00002C75"/>
    <w:rsid w:val="00002DCA"/>
    <w:rsid w:val="00002E51"/>
    <w:rsid w:val="00002ED2"/>
    <w:rsid w:val="00002F04"/>
    <w:rsid w:val="00003478"/>
    <w:rsid w:val="0000350F"/>
    <w:rsid w:val="0000376F"/>
    <w:rsid w:val="00003C92"/>
    <w:rsid w:val="00003D7B"/>
    <w:rsid w:val="00003F92"/>
    <w:rsid w:val="00004660"/>
    <w:rsid w:val="0000473A"/>
    <w:rsid w:val="00004874"/>
    <w:rsid w:val="00004BDD"/>
    <w:rsid w:val="00004FBF"/>
    <w:rsid w:val="00005071"/>
    <w:rsid w:val="00005643"/>
    <w:rsid w:val="00005B2C"/>
    <w:rsid w:val="00006088"/>
    <w:rsid w:val="00006B39"/>
    <w:rsid w:val="0000797A"/>
    <w:rsid w:val="00010249"/>
    <w:rsid w:val="00010257"/>
    <w:rsid w:val="000104D2"/>
    <w:rsid w:val="0001078A"/>
    <w:rsid w:val="00010E1B"/>
    <w:rsid w:val="00011143"/>
    <w:rsid w:val="000112BA"/>
    <w:rsid w:val="000114B6"/>
    <w:rsid w:val="000114CE"/>
    <w:rsid w:val="000115D7"/>
    <w:rsid w:val="00011654"/>
    <w:rsid w:val="000119F4"/>
    <w:rsid w:val="00012263"/>
    <w:rsid w:val="000124DA"/>
    <w:rsid w:val="000124EE"/>
    <w:rsid w:val="00012561"/>
    <w:rsid w:val="0001289E"/>
    <w:rsid w:val="00012AAF"/>
    <w:rsid w:val="00012AFA"/>
    <w:rsid w:val="00012BAE"/>
    <w:rsid w:val="00012E95"/>
    <w:rsid w:val="00013467"/>
    <w:rsid w:val="0001387A"/>
    <w:rsid w:val="000142C6"/>
    <w:rsid w:val="00014766"/>
    <w:rsid w:val="00014850"/>
    <w:rsid w:val="0001494A"/>
    <w:rsid w:val="00015146"/>
    <w:rsid w:val="00015408"/>
    <w:rsid w:val="0001544C"/>
    <w:rsid w:val="00015CC2"/>
    <w:rsid w:val="00016028"/>
    <w:rsid w:val="00016056"/>
    <w:rsid w:val="000160B3"/>
    <w:rsid w:val="00016391"/>
    <w:rsid w:val="0001694A"/>
    <w:rsid w:val="00016B7F"/>
    <w:rsid w:val="00017323"/>
    <w:rsid w:val="0001745F"/>
    <w:rsid w:val="00017B79"/>
    <w:rsid w:val="00017E6D"/>
    <w:rsid w:val="00020B0A"/>
    <w:rsid w:val="00020CBB"/>
    <w:rsid w:val="00020F6B"/>
    <w:rsid w:val="00021212"/>
    <w:rsid w:val="0002126F"/>
    <w:rsid w:val="00021A17"/>
    <w:rsid w:val="00021B0F"/>
    <w:rsid w:val="000222ED"/>
    <w:rsid w:val="0002281E"/>
    <w:rsid w:val="000229AE"/>
    <w:rsid w:val="00023053"/>
    <w:rsid w:val="000232BE"/>
    <w:rsid w:val="0002377E"/>
    <w:rsid w:val="000238B8"/>
    <w:rsid w:val="00023CD6"/>
    <w:rsid w:val="00023FE1"/>
    <w:rsid w:val="000240E0"/>
    <w:rsid w:val="0002426B"/>
    <w:rsid w:val="00024406"/>
    <w:rsid w:val="00024AC8"/>
    <w:rsid w:val="00024BA2"/>
    <w:rsid w:val="00024D24"/>
    <w:rsid w:val="00024F8B"/>
    <w:rsid w:val="00025506"/>
    <w:rsid w:val="00025580"/>
    <w:rsid w:val="0002564A"/>
    <w:rsid w:val="00025C85"/>
    <w:rsid w:val="00025ED3"/>
    <w:rsid w:val="00025EF4"/>
    <w:rsid w:val="00026187"/>
    <w:rsid w:val="000275D4"/>
    <w:rsid w:val="00027BC9"/>
    <w:rsid w:val="000301BC"/>
    <w:rsid w:val="00030255"/>
    <w:rsid w:val="000302FA"/>
    <w:rsid w:val="000305D7"/>
    <w:rsid w:val="00030693"/>
    <w:rsid w:val="00030E5B"/>
    <w:rsid w:val="00030EEC"/>
    <w:rsid w:val="00031BB6"/>
    <w:rsid w:val="000326D8"/>
    <w:rsid w:val="00032710"/>
    <w:rsid w:val="000329EA"/>
    <w:rsid w:val="00032C95"/>
    <w:rsid w:val="00032E86"/>
    <w:rsid w:val="00032ED8"/>
    <w:rsid w:val="00033266"/>
    <w:rsid w:val="0003375C"/>
    <w:rsid w:val="000337AA"/>
    <w:rsid w:val="00034A91"/>
    <w:rsid w:val="00034D6C"/>
    <w:rsid w:val="0003504C"/>
    <w:rsid w:val="000352C6"/>
    <w:rsid w:val="00035C82"/>
    <w:rsid w:val="00036428"/>
    <w:rsid w:val="0003664B"/>
    <w:rsid w:val="000366E7"/>
    <w:rsid w:val="00036A0E"/>
    <w:rsid w:val="00036B00"/>
    <w:rsid w:val="00037B75"/>
    <w:rsid w:val="00037D23"/>
    <w:rsid w:val="00037FC5"/>
    <w:rsid w:val="000404D8"/>
    <w:rsid w:val="000405EE"/>
    <w:rsid w:val="00040955"/>
    <w:rsid w:val="00040D7C"/>
    <w:rsid w:val="00040EF4"/>
    <w:rsid w:val="000410FF"/>
    <w:rsid w:val="0004111F"/>
    <w:rsid w:val="00041329"/>
    <w:rsid w:val="00041C41"/>
    <w:rsid w:val="000420F9"/>
    <w:rsid w:val="0004243F"/>
    <w:rsid w:val="00042A5A"/>
    <w:rsid w:val="00042BC9"/>
    <w:rsid w:val="00042C82"/>
    <w:rsid w:val="00043169"/>
    <w:rsid w:val="00043270"/>
    <w:rsid w:val="0004347B"/>
    <w:rsid w:val="00044269"/>
    <w:rsid w:val="00044529"/>
    <w:rsid w:val="00044610"/>
    <w:rsid w:val="000447CD"/>
    <w:rsid w:val="00044D16"/>
    <w:rsid w:val="000451AD"/>
    <w:rsid w:val="0004527B"/>
    <w:rsid w:val="000466CA"/>
    <w:rsid w:val="00046841"/>
    <w:rsid w:val="00046AC3"/>
    <w:rsid w:val="00046F24"/>
    <w:rsid w:val="00046FF4"/>
    <w:rsid w:val="000475F2"/>
    <w:rsid w:val="000500CB"/>
    <w:rsid w:val="0005039D"/>
    <w:rsid w:val="000506F5"/>
    <w:rsid w:val="000508CB"/>
    <w:rsid w:val="000513A7"/>
    <w:rsid w:val="00051663"/>
    <w:rsid w:val="0005258C"/>
    <w:rsid w:val="000527F0"/>
    <w:rsid w:val="00052944"/>
    <w:rsid w:val="00052B29"/>
    <w:rsid w:val="00052D8D"/>
    <w:rsid w:val="000530C2"/>
    <w:rsid w:val="000534E4"/>
    <w:rsid w:val="000535B7"/>
    <w:rsid w:val="000538C3"/>
    <w:rsid w:val="00053C73"/>
    <w:rsid w:val="00053E71"/>
    <w:rsid w:val="00053F78"/>
    <w:rsid w:val="000544F8"/>
    <w:rsid w:val="000546FD"/>
    <w:rsid w:val="00054841"/>
    <w:rsid w:val="000549E8"/>
    <w:rsid w:val="00054AAF"/>
    <w:rsid w:val="00054CE2"/>
    <w:rsid w:val="000553FB"/>
    <w:rsid w:val="0005549B"/>
    <w:rsid w:val="000558C3"/>
    <w:rsid w:val="00055D4E"/>
    <w:rsid w:val="000561BC"/>
    <w:rsid w:val="00056FE4"/>
    <w:rsid w:val="00056FE5"/>
    <w:rsid w:val="00057016"/>
    <w:rsid w:val="00057056"/>
    <w:rsid w:val="0005728A"/>
    <w:rsid w:val="00057FB8"/>
    <w:rsid w:val="00057FC1"/>
    <w:rsid w:val="00060531"/>
    <w:rsid w:val="000617DB"/>
    <w:rsid w:val="00061C68"/>
    <w:rsid w:val="00061D3D"/>
    <w:rsid w:val="00061ECB"/>
    <w:rsid w:val="00062144"/>
    <w:rsid w:val="000625A0"/>
    <w:rsid w:val="000626E5"/>
    <w:rsid w:val="000627F9"/>
    <w:rsid w:val="00062951"/>
    <w:rsid w:val="00062CE1"/>
    <w:rsid w:val="000631DB"/>
    <w:rsid w:val="00063911"/>
    <w:rsid w:val="00064188"/>
    <w:rsid w:val="00064204"/>
    <w:rsid w:val="00065068"/>
    <w:rsid w:val="00065086"/>
    <w:rsid w:val="000653BD"/>
    <w:rsid w:val="00065872"/>
    <w:rsid w:val="00065ACD"/>
    <w:rsid w:val="00065B0B"/>
    <w:rsid w:val="000662C9"/>
    <w:rsid w:val="00066CF5"/>
    <w:rsid w:val="000673F6"/>
    <w:rsid w:val="00067512"/>
    <w:rsid w:val="000677FF"/>
    <w:rsid w:val="00070A4E"/>
    <w:rsid w:val="00070D9C"/>
    <w:rsid w:val="00070F7A"/>
    <w:rsid w:val="000710B7"/>
    <w:rsid w:val="0007150B"/>
    <w:rsid w:val="00071B79"/>
    <w:rsid w:val="00071EC6"/>
    <w:rsid w:val="00072B72"/>
    <w:rsid w:val="00072D3A"/>
    <w:rsid w:val="0007349E"/>
    <w:rsid w:val="000735EA"/>
    <w:rsid w:val="000736E1"/>
    <w:rsid w:val="000737C4"/>
    <w:rsid w:val="00073BB9"/>
    <w:rsid w:val="00074739"/>
    <w:rsid w:val="000748D5"/>
    <w:rsid w:val="00074A47"/>
    <w:rsid w:val="00074DB9"/>
    <w:rsid w:val="000758DA"/>
    <w:rsid w:val="00076302"/>
    <w:rsid w:val="0007680E"/>
    <w:rsid w:val="0007716B"/>
    <w:rsid w:val="000772C9"/>
    <w:rsid w:val="0007796F"/>
    <w:rsid w:val="000779DA"/>
    <w:rsid w:val="00077C3B"/>
    <w:rsid w:val="00077D4F"/>
    <w:rsid w:val="00077E7D"/>
    <w:rsid w:val="0008018E"/>
    <w:rsid w:val="00080FFB"/>
    <w:rsid w:val="00081024"/>
    <w:rsid w:val="00081296"/>
    <w:rsid w:val="000812CB"/>
    <w:rsid w:val="00081787"/>
    <w:rsid w:val="000817B5"/>
    <w:rsid w:val="00081EB9"/>
    <w:rsid w:val="0008233B"/>
    <w:rsid w:val="0008249A"/>
    <w:rsid w:val="00082519"/>
    <w:rsid w:val="00082A03"/>
    <w:rsid w:val="00082CEB"/>
    <w:rsid w:val="0008416B"/>
    <w:rsid w:val="0008423F"/>
    <w:rsid w:val="00084413"/>
    <w:rsid w:val="0008455A"/>
    <w:rsid w:val="0008480F"/>
    <w:rsid w:val="00084844"/>
    <w:rsid w:val="00084DD1"/>
    <w:rsid w:val="00084EEB"/>
    <w:rsid w:val="000854D1"/>
    <w:rsid w:val="00085928"/>
    <w:rsid w:val="000859C2"/>
    <w:rsid w:val="00085AD4"/>
    <w:rsid w:val="00085E9E"/>
    <w:rsid w:val="00086233"/>
    <w:rsid w:val="00086605"/>
    <w:rsid w:val="00087119"/>
    <w:rsid w:val="00087268"/>
    <w:rsid w:val="0008731C"/>
    <w:rsid w:val="00087481"/>
    <w:rsid w:val="00087741"/>
    <w:rsid w:val="00087994"/>
    <w:rsid w:val="00087A91"/>
    <w:rsid w:val="00087BD7"/>
    <w:rsid w:val="00087F87"/>
    <w:rsid w:val="00090414"/>
    <w:rsid w:val="000904F1"/>
    <w:rsid w:val="00090ABF"/>
    <w:rsid w:val="00090F97"/>
    <w:rsid w:val="000910DF"/>
    <w:rsid w:val="00091C19"/>
    <w:rsid w:val="00091D00"/>
    <w:rsid w:val="000920E3"/>
    <w:rsid w:val="00092D60"/>
    <w:rsid w:val="0009307C"/>
    <w:rsid w:val="000931B6"/>
    <w:rsid w:val="000937EA"/>
    <w:rsid w:val="000938F5"/>
    <w:rsid w:val="000958E6"/>
    <w:rsid w:val="00096575"/>
    <w:rsid w:val="00096B56"/>
    <w:rsid w:val="000970DF"/>
    <w:rsid w:val="0009722E"/>
    <w:rsid w:val="00097753"/>
    <w:rsid w:val="00097C85"/>
    <w:rsid w:val="00097EF8"/>
    <w:rsid w:val="00097F34"/>
    <w:rsid w:val="000A00AC"/>
    <w:rsid w:val="000A02FD"/>
    <w:rsid w:val="000A04F2"/>
    <w:rsid w:val="000A063D"/>
    <w:rsid w:val="000A06B1"/>
    <w:rsid w:val="000A0716"/>
    <w:rsid w:val="000A09B2"/>
    <w:rsid w:val="000A0AA7"/>
    <w:rsid w:val="000A0D02"/>
    <w:rsid w:val="000A0D33"/>
    <w:rsid w:val="000A10D4"/>
    <w:rsid w:val="000A152B"/>
    <w:rsid w:val="000A1DDC"/>
    <w:rsid w:val="000A2123"/>
    <w:rsid w:val="000A2259"/>
    <w:rsid w:val="000A22C2"/>
    <w:rsid w:val="000A273A"/>
    <w:rsid w:val="000A2CD9"/>
    <w:rsid w:val="000A2F10"/>
    <w:rsid w:val="000A2FE2"/>
    <w:rsid w:val="000A3D47"/>
    <w:rsid w:val="000A3D61"/>
    <w:rsid w:val="000A3DCC"/>
    <w:rsid w:val="000A4093"/>
    <w:rsid w:val="000A4207"/>
    <w:rsid w:val="000A4576"/>
    <w:rsid w:val="000A4E9D"/>
    <w:rsid w:val="000A4F99"/>
    <w:rsid w:val="000A52EB"/>
    <w:rsid w:val="000A5406"/>
    <w:rsid w:val="000A5DDB"/>
    <w:rsid w:val="000A6389"/>
    <w:rsid w:val="000A6752"/>
    <w:rsid w:val="000A6AAE"/>
    <w:rsid w:val="000A6D9F"/>
    <w:rsid w:val="000A7B4E"/>
    <w:rsid w:val="000B0586"/>
    <w:rsid w:val="000B0CB9"/>
    <w:rsid w:val="000B1355"/>
    <w:rsid w:val="000B1B4C"/>
    <w:rsid w:val="000B1E28"/>
    <w:rsid w:val="000B2205"/>
    <w:rsid w:val="000B257B"/>
    <w:rsid w:val="000B2B72"/>
    <w:rsid w:val="000B2DD1"/>
    <w:rsid w:val="000B30AE"/>
    <w:rsid w:val="000B344E"/>
    <w:rsid w:val="000B36F5"/>
    <w:rsid w:val="000B3B28"/>
    <w:rsid w:val="000B3D36"/>
    <w:rsid w:val="000B4232"/>
    <w:rsid w:val="000B4367"/>
    <w:rsid w:val="000B497A"/>
    <w:rsid w:val="000B4C83"/>
    <w:rsid w:val="000B4D9B"/>
    <w:rsid w:val="000B4FF4"/>
    <w:rsid w:val="000B542D"/>
    <w:rsid w:val="000B5512"/>
    <w:rsid w:val="000B5515"/>
    <w:rsid w:val="000B588E"/>
    <w:rsid w:val="000B5B0D"/>
    <w:rsid w:val="000B5BE9"/>
    <w:rsid w:val="000B5BF1"/>
    <w:rsid w:val="000B5F00"/>
    <w:rsid w:val="000B601B"/>
    <w:rsid w:val="000B6C96"/>
    <w:rsid w:val="000B6DF5"/>
    <w:rsid w:val="000B7223"/>
    <w:rsid w:val="000B739B"/>
    <w:rsid w:val="000B75B4"/>
    <w:rsid w:val="000B7DEC"/>
    <w:rsid w:val="000B7E82"/>
    <w:rsid w:val="000B7E98"/>
    <w:rsid w:val="000C00BA"/>
    <w:rsid w:val="000C0126"/>
    <w:rsid w:val="000C0320"/>
    <w:rsid w:val="000C0A69"/>
    <w:rsid w:val="000C18CC"/>
    <w:rsid w:val="000C207E"/>
    <w:rsid w:val="000C215C"/>
    <w:rsid w:val="000C3144"/>
    <w:rsid w:val="000C35CC"/>
    <w:rsid w:val="000C38EC"/>
    <w:rsid w:val="000C39DB"/>
    <w:rsid w:val="000C3DF9"/>
    <w:rsid w:val="000C4A43"/>
    <w:rsid w:val="000C4D74"/>
    <w:rsid w:val="000C4DFF"/>
    <w:rsid w:val="000C51A4"/>
    <w:rsid w:val="000C5568"/>
    <w:rsid w:val="000C573A"/>
    <w:rsid w:val="000C5F5B"/>
    <w:rsid w:val="000C64FF"/>
    <w:rsid w:val="000C69C3"/>
    <w:rsid w:val="000C6CF1"/>
    <w:rsid w:val="000C6CF8"/>
    <w:rsid w:val="000C73E9"/>
    <w:rsid w:val="000C73F4"/>
    <w:rsid w:val="000C741A"/>
    <w:rsid w:val="000C7D91"/>
    <w:rsid w:val="000C7F2A"/>
    <w:rsid w:val="000D04FA"/>
    <w:rsid w:val="000D056C"/>
    <w:rsid w:val="000D0C6F"/>
    <w:rsid w:val="000D110C"/>
    <w:rsid w:val="000D18AE"/>
    <w:rsid w:val="000D1B2E"/>
    <w:rsid w:val="000D1CC9"/>
    <w:rsid w:val="000D2055"/>
    <w:rsid w:val="000D223E"/>
    <w:rsid w:val="000D265E"/>
    <w:rsid w:val="000D2A00"/>
    <w:rsid w:val="000D2AF9"/>
    <w:rsid w:val="000D33B1"/>
    <w:rsid w:val="000D37AC"/>
    <w:rsid w:val="000D4042"/>
    <w:rsid w:val="000D4120"/>
    <w:rsid w:val="000D4A8C"/>
    <w:rsid w:val="000D4C9C"/>
    <w:rsid w:val="000D4DB8"/>
    <w:rsid w:val="000D4F60"/>
    <w:rsid w:val="000D5006"/>
    <w:rsid w:val="000D5AD9"/>
    <w:rsid w:val="000D5DCD"/>
    <w:rsid w:val="000D6255"/>
    <w:rsid w:val="000D654F"/>
    <w:rsid w:val="000D6E88"/>
    <w:rsid w:val="000D788D"/>
    <w:rsid w:val="000D79BA"/>
    <w:rsid w:val="000D79F2"/>
    <w:rsid w:val="000D7CFC"/>
    <w:rsid w:val="000D7E15"/>
    <w:rsid w:val="000D7FA9"/>
    <w:rsid w:val="000E0114"/>
    <w:rsid w:val="000E02F8"/>
    <w:rsid w:val="000E07C3"/>
    <w:rsid w:val="000E09CC"/>
    <w:rsid w:val="000E152D"/>
    <w:rsid w:val="000E168B"/>
    <w:rsid w:val="000E19B6"/>
    <w:rsid w:val="000E2139"/>
    <w:rsid w:val="000E25AE"/>
    <w:rsid w:val="000E26D7"/>
    <w:rsid w:val="000E27F6"/>
    <w:rsid w:val="000E29C7"/>
    <w:rsid w:val="000E2C91"/>
    <w:rsid w:val="000E2EA2"/>
    <w:rsid w:val="000E39C7"/>
    <w:rsid w:val="000E4402"/>
    <w:rsid w:val="000E4426"/>
    <w:rsid w:val="000E4457"/>
    <w:rsid w:val="000E4754"/>
    <w:rsid w:val="000E482B"/>
    <w:rsid w:val="000E49EF"/>
    <w:rsid w:val="000E49F4"/>
    <w:rsid w:val="000E4AD6"/>
    <w:rsid w:val="000E582C"/>
    <w:rsid w:val="000E58EB"/>
    <w:rsid w:val="000E5A49"/>
    <w:rsid w:val="000E5C2C"/>
    <w:rsid w:val="000E5F84"/>
    <w:rsid w:val="000E644A"/>
    <w:rsid w:val="000E65EC"/>
    <w:rsid w:val="000E71D5"/>
    <w:rsid w:val="000E7211"/>
    <w:rsid w:val="000E7A5A"/>
    <w:rsid w:val="000E7B1A"/>
    <w:rsid w:val="000E7B33"/>
    <w:rsid w:val="000E7E52"/>
    <w:rsid w:val="000F0098"/>
    <w:rsid w:val="000F1054"/>
    <w:rsid w:val="000F1064"/>
    <w:rsid w:val="000F1824"/>
    <w:rsid w:val="000F217E"/>
    <w:rsid w:val="000F21B5"/>
    <w:rsid w:val="000F28AE"/>
    <w:rsid w:val="000F3408"/>
    <w:rsid w:val="000F3A42"/>
    <w:rsid w:val="000F3A46"/>
    <w:rsid w:val="000F3A82"/>
    <w:rsid w:val="000F3B84"/>
    <w:rsid w:val="000F3C72"/>
    <w:rsid w:val="000F3D06"/>
    <w:rsid w:val="000F3E2F"/>
    <w:rsid w:val="000F4045"/>
    <w:rsid w:val="000F46A8"/>
    <w:rsid w:val="000F494E"/>
    <w:rsid w:val="000F58E4"/>
    <w:rsid w:val="000F5C71"/>
    <w:rsid w:val="000F64E1"/>
    <w:rsid w:val="000F6521"/>
    <w:rsid w:val="000F6678"/>
    <w:rsid w:val="000F6968"/>
    <w:rsid w:val="000F6B8B"/>
    <w:rsid w:val="000F6C0F"/>
    <w:rsid w:val="000F6DD6"/>
    <w:rsid w:val="000F6DE1"/>
    <w:rsid w:val="000F6E23"/>
    <w:rsid w:val="000F706A"/>
    <w:rsid w:val="000F71AC"/>
    <w:rsid w:val="000F7A62"/>
    <w:rsid w:val="000F7F7B"/>
    <w:rsid w:val="001007EB"/>
    <w:rsid w:val="00100EA7"/>
    <w:rsid w:val="00100EEB"/>
    <w:rsid w:val="00101790"/>
    <w:rsid w:val="00101A99"/>
    <w:rsid w:val="00101B80"/>
    <w:rsid w:val="00101C2B"/>
    <w:rsid w:val="00101D1E"/>
    <w:rsid w:val="0010218A"/>
    <w:rsid w:val="00102A7D"/>
    <w:rsid w:val="0010353C"/>
    <w:rsid w:val="0010361E"/>
    <w:rsid w:val="001037FB"/>
    <w:rsid w:val="00103E02"/>
    <w:rsid w:val="0010401B"/>
    <w:rsid w:val="0010445B"/>
    <w:rsid w:val="0010489E"/>
    <w:rsid w:val="00104FBA"/>
    <w:rsid w:val="001054E5"/>
    <w:rsid w:val="001054FB"/>
    <w:rsid w:val="00105BE0"/>
    <w:rsid w:val="00105EFD"/>
    <w:rsid w:val="00106F5B"/>
    <w:rsid w:val="00107296"/>
    <w:rsid w:val="0010734B"/>
    <w:rsid w:val="001076B4"/>
    <w:rsid w:val="001077A2"/>
    <w:rsid w:val="00107ACE"/>
    <w:rsid w:val="00110116"/>
    <w:rsid w:val="00110466"/>
    <w:rsid w:val="00110D9E"/>
    <w:rsid w:val="001116D9"/>
    <w:rsid w:val="001118F8"/>
    <w:rsid w:val="00111968"/>
    <w:rsid w:val="00111CA3"/>
    <w:rsid w:val="00112639"/>
    <w:rsid w:val="0011274E"/>
    <w:rsid w:val="00112AEA"/>
    <w:rsid w:val="00112DFB"/>
    <w:rsid w:val="001130D1"/>
    <w:rsid w:val="001135D2"/>
    <w:rsid w:val="00114108"/>
    <w:rsid w:val="001141AB"/>
    <w:rsid w:val="001146AC"/>
    <w:rsid w:val="001147DF"/>
    <w:rsid w:val="00114B88"/>
    <w:rsid w:val="00115080"/>
    <w:rsid w:val="00115291"/>
    <w:rsid w:val="001155BE"/>
    <w:rsid w:val="0011598E"/>
    <w:rsid w:val="00115CF8"/>
    <w:rsid w:val="00116F71"/>
    <w:rsid w:val="001171BA"/>
    <w:rsid w:val="001175C8"/>
    <w:rsid w:val="00117A0C"/>
    <w:rsid w:val="00117A73"/>
    <w:rsid w:val="00117DFD"/>
    <w:rsid w:val="001204D9"/>
    <w:rsid w:val="0012087E"/>
    <w:rsid w:val="001209BF"/>
    <w:rsid w:val="001213F0"/>
    <w:rsid w:val="0012148B"/>
    <w:rsid w:val="00121885"/>
    <w:rsid w:val="00121CE2"/>
    <w:rsid w:val="00122175"/>
    <w:rsid w:val="001224B3"/>
    <w:rsid w:val="00122ED8"/>
    <w:rsid w:val="0012329D"/>
    <w:rsid w:val="0012332F"/>
    <w:rsid w:val="00123A48"/>
    <w:rsid w:val="00123C38"/>
    <w:rsid w:val="00123CFE"/>
    <w:rsid w:val="00123F5D"/>
    <w:rsid w:val="001240A7"/>
    <w:rsid w:val="0012441B"/>
    <w:rsid w:val="00124927"/>
    <w:rsid w:val="00124C56"/>
    <w:rsid w:val="00125B59"/>
    <w:rsid w:val="00125CD4"/>
    <w:rsid w:val="00125FE9"/>
    <w:rsid w:val="0012631E"/>
    <w:rsid w:val="0012658E"/>
    <w:rsid w:val="00126650"/>
    <w:rsid w:val="001269E6"/>
    <w:rsid w:val="00126EB8"/>
    <w:rsid w:val="001271FB"/>
    <w:rsid w:val="00127672"/>
    <w:rsid w:val="00127B0B"/>
    <w:rsid w:val="00127C94"/>
    <w:rsid w:val="00127CD2"/>
    <w:rsid w:val="00130407"/>
    <w:rsid w:val="00131182"/>
    <w:rsid w:val="001313D5"/>
    <w:rsid w:val="001322CD"/>
    <w:rsid w:val="001322EB"/>
    <w:rsid w:val="001323E0"/>
    <w:rsid w:val="00132F95"/>
    <w:rsid w:val="00133288"/>
    <w:rsid w:val="001334B7"/>
    <w:rsid w:val="00133541"/>
    <w:rsid w:val="00133C0C"/>
    <w:rsid w:val="00133D14"/>
    <w:rsid w:val="001340ED"/>
    <w:rsid w:val="00134720"/>
    <w:rsid w:val="00134EDB"/>
    <w:rsid w:val="001350A0"/>
    <w:rsid w:val="001351F5"/>
    <w:rsid w:val="001354F6"/>
    <w:rsid w:val="00135840"/>
    <w:rsid w:val="001359AC"/>
    <w:rsid w:val="00135D78"/>
    <w:rsid w:val="001363AA"/>
    <w:rsid w:val="001363B3"/>
    <w:rsid w:val="001363DF"/>
    <w:rsid w:val="0013665B"/>
    <w:rsid w:val="00136941"/>
    <w:rsid w:val="00136F4A"/>
    <w:rsid w:val="001372CC"/>
    <w:rsid w:val="00137702"/>
    <w:rsid w:val="001379EE"/>
    <w:rsid w:val="00137A01"/>
    <w:rsid w:val="00137B97"/>
    <w:rsid w:val="00140700"/>
    <w:rsid w:val="001415F0"/>
    <w:rsid w:val="00141734"/>
    <w:rsid w:val="00141A40"/>
    <w:rsid w:val="00141C57"/>
    <w:rsid w:val="00141C95"/>
    <w:rsid w:val="00141CF1"/>
    <w:rsid w:val="00142827"/>
    <w:rsid w:val="001430AE"/>
    <w:rsid w:val="00143193"/>
    <w:rsid w:val="00143246"/>
    <w:rsid w:val="0014337C"/>
    <w:rsid w:val="00143730"/>
    <w:rsid w:val="00143848"/>
    <w:rsid w:val="001438AA"/>
    <w:rsid w:val="00143CAB"/>
    <w:rsid w:val="00143CC9"/>
    <w:rsid w:val="00143E12"/>
    <w:rsid w:val="00144043"/>
    <w:rsid w:val="0014407F"/>
    <w:rsid w:val="00144097"/>
    <w:rsid w:val="0014426C"/>
    <w:rsid w:val="00144297"/>
    <w:rsid w:val="001448F4"/>
    <w:rsid w:val="00144C16"/>
    <w:rsid w:val="00144C1F"/>
    <w:rsid w:val="00145E3B"/>
    <w:rsid w:val="00145E6A"/>
    <w:rsid w:val="00145FBA"/>
    <w:rsid w:val="00146424"/>
    <w:rsid w:val="001469A9"/>
    <w:rsid w:val="00146D1B"/>
    <w:rsid w:val="00146DC9"/>
    <w:rsid w:val="00147493"/>
    <w:rsid w:val="001477AD"/>
    <w:rsid w:val="001478F8"/>
    <w:rsid w:val="00147D49"/>
    <w:rsid w:val="00147E3C"/>
    <w:rsid w:val="0015048A"/>
    <w:rsid w:val="001505D7"/>
    <w:rsid w:val="001514D3"/>
    <w:rsid w:val="0015152C"/>
    <w:rsid w:val="00151A02"/>
    <w:rsid w:val="00151C46"/>
    <w:rsid w:val="00151D93"/>
    <w:rsid w:val="00152771"/>
    <w:rsid w:val="00152DFC"/>
    <w:rsid w:val="00152E8E"/>
    <w:rsid w:val="0015342B"/>
    <w:rsid w:val="00153A66"/>
    <w:rsid w:val="00153C3C"/>
    <w:rsid w:val="00153CFD"/>
    <w:rsid w:val="001545F1"/>
    <w:rsid w:val="00154675"/>
    <w:rsid w:val="00154F0C"/>
    <w:rsid w:val="0015518A"/>
    <w:rsid w:val="001553C4"/>
    <w:rsid w:val="00155AFB"/>
    <w:rsid w:val="001560D7"/>
    <w:rsid w:val="0015673A"/>
    <w:rsid w:val="00156754"/>
    <w:rsid w:val="001570BE"/>
    <w:rsid w:val="001572ED"/>
    <w:rsid w:val="001573EB"/>
    <w:rsid w:val="00157ABC"/>
    <w:rsid w:val="00157EF2"/>
    <w:rsid w:val="00160184"/>
    <w:rsid w:val="0016048C"/>
    <w:rsid w:val="001607FA"/>
    <w:rsid w:val="001609E8"/>
    <w:rsid w:val="00160EFC"/>
    <w:rsid w:val="001610D3"/>
    <w:rsid w:val="00161994"/>
    <w:rsid w:val="00161A56"/>
    <w:rsid w:val="00161C37"/>
    <w:rsid w:val="0016221A"/>
    <w:rsid w:val="001627E2"/>
    <w:rsid w:val="00162ABC"/>
    <w:rsid w:val="00162C94"/>
    <w:rsid w:val="00163F2B"/>
    <w:rsid w:val="001642C0"/>
    <w:rsid w:val="001646DC"/>
    <w:rsid w:val="0016487F"/>
    <w:rsid w:val="0016499A"/>
    <w:rsid w:val="00164A5F"/>
    <w:rsid w:val="00164C2F"/>
    <w:rsid w:val="001650FD"/>
    <w:rsid w:val="001651A9"/>
    <w:rsid w:val="0016521B"/>
    <w:rsid w:val="001652C4"/>
    <w:rsid w:val="0016539C"/>
    <w:rsid w:val="001659B3"/>
    <w:rsid w:val="00165FDE"/>
    <w:rsid w:val="0016660A"/>
    <w:rsid w:val="00166831"/>
    <w:rsid w:val="001668C7"/>
    <w:rsid w:val="00167324"/>
    <w:rsid w:val="001674BE"/>
    <w:rsid w:val="001677EF"/>
    <w:rsid w:val="00167BD9"/>
    <w:rsid w:val="00167C4B"/>
    <w:rsid w:val="001701BA"/>
    <w:rsid w:val="00170215"/>
    <w:rsid w:val="001708D5"/>
    <w:rsid w:val="00170945"/>
    <w:rsid w:val="00170C93"/>
    <w:rsid w:val="0017117E"/>
    <w:rsid w:val="001711E0"/>
    <w:rsid w:val="001713F2"/>
    <w:rsid w:val="0017167A"/>
    <w:rsid w:val="001716DB"/>
    <w:rsid w:val="001719AB"/>
    <w:rsid w:val="00171D01"/>
    <w:rsid w:val="00171D2F"/>
    <w:rsid w:val="00171F9A"/>
    <w:rsid w:val="00171FCB"/>
    <w:rsid w:val="001726BF"/>
    <w:rsid w:val="00172865"/>
    <w:rsid w:val="00172B44"/>
    <w:rsid w:val="00173A16"/>
    <w:rsid w:val="00173D65"/>
    <w:rsid w:val="001742B2"/>
    <w:rsid w:val="00174D0E"/>
    <w:rsid w:val="00174D27"/>
    <w:rsid w:val="001752D3"/>
    <w:rsid w:val="00175361"/>
    <w:rsid w:val="00175AE9"/>
    <w:rsid w:val="0017602F"/>
    <w:rsid w:val="0017632B"/>
    <w:rsid w:val="001764D0"/>
    <w:rsid w:val="0017667D"/>
    <w:rsid w:val="001770E3"/>
    <w:rsid w:val="001779E0"/>
    <w:rsid w:val="00177D4B"/>
    <w:rsid w:val="0018024D"/>
    <w:rsid w:val="00180AEE"/>
    <w:rsid w:val="00180BF5"/>
    <w:rsid w:val="00180F30"/>
    <w:rsid w:val="00181281"/>
    <w:rsid w:val="001817DA"/>
    <w:rsid w:val="00181BEC"/>
    <w:rsid w:val="00182069"/>
    <w:rsid w:val="00182348"/>
    <w:rsid w:val="001830C9"/>
    <w:rsid w:val="0018393B"/>
    <w:rsid w:val="0018396E"/>
    <w:rsid w:val="0018403D"/>
    <w:rsid w:val="00184675"/>
    <w:rsid w:val="0018468B"/>
    <w:rsid w:val="00184A42"/>
    <w:rsid w:val="00184C75"/>
    <w:rsid w:val="00184EB9"/>
    <w:rsid w:val="001851FB"/>
    <w:rsid w:val="00185364"/>
    <w:rsid w:val="00185EED"/>
    <w:rsid w:val="00185F20"/>
    <w:rsid w:val="0018644B"/>
    <w:rsid w:val="00186500"/>
    <w:rsid w:val="00186616"/>
    <w:rsid w:val="001867F0"/>
    <w:rsid w:val="00186832"/>
    <w:rsid w:val="00187CAF"/>
    <w:rsid w:val="00187DBF"/>
    <w:rsid w:val="00187FEA"/>
    <w:rsid w:val="00190D32"/>
    <w:rsid w:val="00191412"/>
    <w:rsid w:val="0019199D"/>
    <w:rsid w:val="00191CCF"/>
    <w:rsid w:val="00191D57"/>
    <w:rsid w:val="00192312"/>
    <w:rsid w:val="0019293B"/>
    <w:rsid w:val="0019331C"/>
    <w:rsid w:val="001935A1"/>
    <w:rsid w:val="00193930"/>
    <w:rsid w:val="00193D26"/>
    <w:rsid w:val="00193E33"/>
    <w:rsid w:val="00193E40"/>
    <w:rsid w:val="00193EAA"/>
    <w:rsid w:val="0019402D"/>
    <w:rsid w:val="001941AD"/>
    <w:rsid w:val="001941E9"/>
    <w:rsid w:val="001946E2"/>
    <w:rsid w:val="00194A58"/>
    <w:rsid w:val="00195157"/>
    <w:rsid w:val="0019562B"/>
    <w:rsid w:val="001959A3"/>
    <w:rsid w:val="001959B1"/>
    <w:rsid w:val="00195BD1"/>
    <w:rsid w:val="00196214"/>
    <w:rsid w:val="00196491"/>
    <w:rsid w:val="0019649E"/>
    <w:rsid w:val="0019756F"/>
    <w:rsid w:val="001976AF"/>
    <w:rsid w:val="001A06BB"/>
    <w:rsid w:val="001A0F41"/>
    <w:rsid w:val="001A1190"/>
    <w:rsid w:val="001A12A0"/>
    <w:rsid w:val="001A1558"/>
    <w:rsid w:val="001A1637"/>
    <w:rsid w:val="001A1996"/>
    <w:rsid w:val="001A1F6F"/>
    <w:rsid w:val="001A25A7"/>
    <w:rsid w:val="001A2A7F"/>
    <w:rsid w:val="001A2EBF"/>
    <w:rsid w:val="001A32B5"/>
    <w:rsid w:val="001A36F5"/>
    <w:rsid w:val="001A39A7"/>
    <w:rsid w:val="001A44F3"/>
    <w:rsid w:val="001A478F"/>
    <w:rsid w:val="001A49DB"/>
    <w:rsid w:val="001A505C"/>
    <w:rsid w:val="001A5965"/>
    <w:rsid w:val="001A5A9D"/>
    <w:rsid w:val="001A5D10"/>
    <w:rsid w:val="001A5D3D"/>
    <w:rsid w:val="001A670C"/>
    <w:rsid w:val="001A6766"/>
    <w:rsid w:val="001A677B"/>
    <w:rsid w:val="001A6AA4"/>
    <w:rsid w:val="001A6E67"/>
    <w:rsid w:val="001A6FCA"/>
    <w:rsid w:val="001A7980"/>
    <w:rsid w:val="001A7A50"/>
    <w:rsid w:val="001A7C33"/>
    <w:rsid w:val="001B00D0"/>
    <w:rsid w:val="001B04C6"/>
    <w:rsid w:val="001B0997"/>
    <w:rsid w:val="001B0DCF"/>
    <w:rsid w:val="001B1089"/>
    <w:rsid w:val="001B116E"/>
    <w:rsid w:val="001B1456"/>
    <w:rsid w:val="001B167A"/>
    <w:rsid w:val="001B1793"/>
    <w:rsid w:val="001B1B52"/>
    <w:rsid w:val="001B1C5D"/>
    <w:rsid w:val="001B229C"/>
    <w:rsid w:val="001B2443"/>
    <w:rsid w:val="001B2A83"/>
    <w:rsid w:val="001B2D4E"/>
    <w:rsid w:val="001B310A"/>
    <w:rsid w:val="001B384C"/>
    <w:rsid w:val="001B3851"/>
    <w:rsid w:val="001B3A3B"/>
    <w:rsid w:val="001B3A4E"/>
    <w:rsid w:val="001B3AB4"/>
    <w:rsid w:val="001B4043"/>
    <w:rsid w:val="001B4050"/>
    <w:rsid w:val="001B465C"/>
    <w:rsid w:val="001B49D7"/>
    <w:rsid w:val="001B4D55"/>
    <w:rsid w:val="001B58EA"/>
    <w:rsid w:val="001B65F0"/>
    <w:rsid w:val="001B6BDB"/>
    <w:rsid w:val="001B6D22"/>
    <w:rsid w:val="001B6EBE"/>
    <w:rsid w:val="001B76FA"/>
    <w:rsid w:val="001B7A0C"/>
    <w:rsid w:val="001B7E51"/>
    <w:rsid w:val="001C018D"/>
    <w:rsid w:val="001C0696"/>
    <w:rsid w:val="001C0865"/>
    <w:rsid w:val="001C1300"/>
    <w:rsid w:val="001C15D7"/>
    <w:rsid w:val="001C16E0"/>
    <w:rsid w:val="001C1960"/>
    <w:rsid w:val="001C1DDC"/>
    <w:rsid w:val="001C1E61"/>
    <w:rsid w:val="001C2228"/>
    <w:rsid w:val="001C2CF8"/>
    <w:rsid w:val="001C37A4"/>
    <w:rsid w:val="001C38AF"/>
    <w:rsid w:val="001C3ABA"/>
    <w:rsid w:val="001C3C92"/>
    <w:rsid w:val="001C4339"/>
    <w:rsid w:val="001C4B02"/>
    <w:rsid w:val="001C5662"/>
    <w:rsid w:val="001C58F6"/>
    <w:rsid w:val="001C5C53"/>
    <w:rsid w:val="001C5F57"/>
    <w:rsid w:val="001C647C"/>
    <w:rsid w:val="001C6590"/>
    <w:rsid w:val="001C7437"/>
    <w:rsid w:val="001C7BAF"/>
    <w:rsid w:val="001D04D7"/>
    <w:rsid w:val="001D0613"/>
    <w:rsid w:val="001D0880"/>
    <w:rsid w:val="001D0CA3"/>
    <w:rsid w:val="001D0F2E"/>
    <w:rsid w:val="001D1195"/>
    <w:rsid w:val="001D120C"/>
    <w:rsid w:val="001D1490"/>
    <w:rsid w:val="001D1497"/>
    <w:rsid w:val="001D1B32"/>
    <w:rsid w:val="001D1C87"/>
    <w:rsid w:val="001D21B1"/>
    <w:rsid w:val="001D2645"/>
    <w:rsid w:val="001D2D56"/>
    <w:rsid w:val="001D32C5"/>
    <w:rsid w:val="001D3533"/>
    <w:rsid w:val="001D35B6"/>
    <w:rsid w:val="001D3C52"/>
    <w:rsid w:val="001D3E65"/>
    <w:rsid w:val="001D4385"/>
    <w:rsid w:val="001D4944"/>
    <w:rsid w:val="001D4CD5"/>
    <w:rsid w:val="001D50CE"/>
    <w:rsid w:val="001D5158"/>
    <w:rsid w:val="001D56AC"/>
    <w:rsid w:val="001D61D1"/>
    <w:rsid w:val="001D61FF"/>
    <w:rsid w:val="001D664B"/>
    <w:rsid w:val="001D6859"/>
    <w:rsid w:val="001D75ED"/>
    <w:rsid w:val="001D7A25"/>
    <w:rsid w:val="001D7DC3"/>
    <w:rsid w:val="001E09AA"/>
    <w:rsid w:val="001E0ADD"/>
    <w:rsid w:val="001E12CE"/>
    <w:rsid w:val="001E1BC2"/>
    <w:rsid w:val="001E25B7"/>
    <w:rsid w:val="001E26BC"/>
    <w:rsid w:val="001E2D09"/>
    <w:rsid w:val="001E3503"/>
    <w:rsid w:val="001E388C"/>
    <w:rsid w:val="001E3B6B"/>
    <w:rsid w:val="001E3C9C"/>
    <w:rsid w:val="001E478E"/>
    <w:rsid w:val="001E48FC"/>
    <w:rsid w:val="001E4AF3"/>
    <w:rsid w:val="001E4C3E"/>
    <w:rsid w:val="001E4E08"/>
    <w:rsid w:val="001E5100"/>
    <w:rsid w:val="001E5C4B"/>
    <w:rsid w:val="001E5C5B"/>
    <w:rsid w:val="001E606D"/>
    <w:rsid w:val="001E643E"/>
    <w:rsid w:val="001E6561"/>
    <w:rsid w:val="001E65EE"/>
    <w:rsid w:val="001E6B48"/>
    <w:rsid w:val="001E7797"/>
    <w:rsid w:val="001E7815"/>
    <w:rsid w:val="001E791B"/>
    <w:rsid w:val="001E7BE8"/>
    <w:rsid w:val="001E7CC6"/>
    <w:rsid w:val="001F0036"/>
    <w:rsid w:val="001F0064"/>
    <w:rsid w:val="001F0248"/>
    <w:rsid w:val="001F09B4"/>
    <w:rsid w:val="001F0A49"/>
    <w:rsid w:val="001F0E26"/>
    <w:rsid w:val="001F0F29"/>
    <w:rsid w:val="001F0F4F"/>
    <w:rsid w:val="001F1185"/>
    <w:rsid w:val="001F13A5"/>
    <w:rsid w:val="001F13B6"/>
    <w:rsid w:val="001F15DA"/>
    <w:rsid w:val="001F1621"/>
    <w:rsid w:val="001F16BC"/>
    <w:rsid w:val="001F1B84"/>
    <w:rsid w:val="001F1E7C"/>
    <w:rsid w:val="001F2352"/>
    <w:rsid w:val="001F29CA"/>
    <w:rsid w:val="001F3011"/>
    <w:rsid w:val="001F3811"/>
    <w:rsid w:val="001F3B41"/>
    <w:rsid w:val="001F4106"/>
    <w:rsid w:val="001F4A33"/>
    <w:rsid w:val="001F4C0B"/>
    <w:rsid w:val="001F4C5D"/>
    <w:rsid w:val="001F4CAE"/>
    <w:rsid w:val="001F5561"/>
    <w:rsid w:val="001F5803"/>
    <w:rsid w:val="001F5E9F"/>
    <w:rsid w:val="001F6672"/>
    <w:rsid w:val="001F6A0D"/>
    <w:rsid w:val="001F7114"/>
    <w:rsid w:val="001F735C"/>
    <w:rsid w:val="001F7A37"/>
    <w:rsid w:val="001F7D6D"/>
    <w:rsid w:val="002000F9"/>
    <w:rsid w:val="002002AA"/>
    <w:rsid w:val="002017B4"/>
    <w:rsid w:val="002017DE"/>
    <w:rsid w:val="00201D3F"/>
    <w:rsid w:val="00201E3B"/>
    <w:rsid w:val="0020255B"/>
    <w:rsid w:val="00202BAB"/>
    <w:rsid w:val="00202C2C"/>
    <w:rsid w:val="0020345F"/>
    <w:rsid w:val="00203BB2"/>
    <w:rsid w:val="002047FD"/>
    <w:rsid w:val="00204932"/>
    <w:rsid w:val="00204A2A"/>
    <w:rsid w:val="00204AF9"/>
    <w:rsid w:val="00204C94"/>
    <w:rsid w:val="002050F8"/>
    <w:rsid w:val="002051FF"/>
    <w:rsid w:val="00205544"/>
    <w:rsid w:val="00205938"/>
    <w:rsid w:val="00205AC8"/>
    <w:rsid w:val="00205DE4"/>
    <w:rsid w:val="002061F6"/>
    <w:rsid w:val="00206352"/>
    <w:rsid w:val="002063F3"/>
    <w:rsid w:val="002064AB"/>
    <w:rsid w:val="00206A6F"/>
    <w:rsid w:val="00206E3D"/>
    <w:rsid w:val="00207355"/>
    <w:rsid w:val="0020741C"/>
    <w:rsid w:val="00207588"/>
    <w:rsid w:val="0020796D"/>
    <w:rsid w:val="00207BA0"/>
    <w:rsid w:val="00207D65"/>
    <w:rsid w:val="002101ED"/>
    <w:rsid w:val="0021057E"/>
    <w:rsid w:val="00211376"/>
    <w:rsid w:val="002114F4"/>
    <w:rsid w:val="00211820"/>
    <w:rsid w:val="002118B8"/>
    <w:rsid w:val="00211A61"/>
    <w:rsid w:val="00211C36"/>
    <w:rsid w:val="00211C41"/>
    <w:rsid w:val="00212011"/>
    <w:rsid w:val="00212164"/>
    <w:rsid w:val="00212372"/>
    <w:rsid w:val="00212399"/>
    <w:rsid w:val="0021255E"/>
    <w:rsid w:val="002125EB"/>
    <w:rsid w:val="002126ED"/>
    <w:rsid w:val="00213455"/>
    <w:rsid w:val="00213BF5"/>
    <w:rsid w:val="00214004"/>
    <w:rsid w:val="00214A88"/>
    <w:rsid w:val="00214D2E"/>
    <w:rsid w:val="00215011"/>
    <w:rsid w:val="00215485"/>
    <w:rsid w:val="00215759"/>
    <w:rsid w:val="002157D9"/>
    <w:rsid w:val="00215FA5"/>
    <w:rsid w:val="002160C7"/>
    <w:rsid w:val="00216242"/>
    <w:rsid w:val="0021640A"/>
    <w:rsid w:val="00216721"/>
    <w:rsid w:val="00216849"/>
    <w:rsid w:val="00216B08"/>
    <w:rsid w:val="00216B9B"/>
    <w:rsid w:val="00216C24"/>
    <w:rsid w:val="00216EF2"/>
    <w:rsid w:val="002173F3"/>
    <w:rsid w:val="00217EF3"/>
    <w:rsid w:val="00220131"/>
    <w:rsid w:val="00220797"/>
    <w:rsid w:val="00220798"/>
    <w:rsid w:val="0022083A"/>
    <w:rsid w:val="00220E9F"/>
    <w:rsid w:val="0022182D"/>
    <w:rsid w:val="0022319C"/>
    <w:rsid w:val="00223450"/>
    <w:rsid w:val="00223485"/>
    <w:rsid w:val="0022359E"/>
    <w:rsid w:val="002237A2"/>
    <w:rsid w:val="00223C4D"/>
    <w:rsid w:val="002249BB"/>
    <w:rsid w:val="00224B26"/>
    <w:rsid w:val="00225994"/>
    <w:rsid w:val="00226498"/>
    <w:rsid w:val="0022670B"/>
    <w:rsid w:val="00226710"/>
    <w:rsid w:val="002268D8"/>
    <w:rsid w:val="00226F73"/>
    <w:rsid w:val="002276EC"/>
    <w:rsid w:val="00227930"/>
    <w:rsid w:val="00227A91"/>
    <w:rsid w:val="00227BC8"/>
    <w:rsid w:val="00227CA5"/>
    <w:rsid w:val="002300E8"/>
    <w:rsid w:val="00230780"/>
    <w:rsid w:val="00230C95"/>
    <w:rsid w:val="00230F42"/>
    <w:rsid w:val="00231179"/>
    <w:rsid w:val="002312D2"/>
    <w:rsid w:val="002312E9"/>
    <w:rsid w:val="002313E7"/>
    <w:rsid w:val="002314A1"/>
    <w:rsid w:val="0023151F"/>
    <w:rsid w:val="0023172E"/>
    <w:rsid w:val="00231D5D"/>
    <w:rsid w:val="00231E9A"/>
    <w:rsid w:val="00232FBB"/>
    <w:rsid w:val="0023314C"/>
    <w:rsid w:val="00233222"/>
    <w:rsid w:val="002337AE"/>
    <w:rsid w:val="00233BC0"/>
    <w:rsid w:val="00234577"/>
    <w:rsid w:val="002349C4"/>
    <w:rsid w:val="00235998"/>
    <w:rsid w:val="00235CC3"/>
    <w:rsid w:val="00236172"/>
    <w:rsid w:val="002365F3"/>
    <w:rsid w:val="00236915"/>
    <w:rsid w:val="00236DE7"/>
    <w:rsid w:val="00236F2C"/>
    <w:rsid w:val="00237209"/>
    <w:rsid w:val="00237597"/>
    <w:rsid w:val="00237742"/>
    <w:rsid w:val="002379B6"/>
    <w:rsid w:val="00237FE5"/>
    <w:rsid w:val="002405BB"/>
    <w:rsid w:val="0024081F"/>
    <w:rsid w:val="00241277"/>
    <w:rsid w:val="00241320"/>
    <w:rsid w:val="002414F8"/>
    <w:rsid w:val="002414F9"/>
    <w:rsid w:val="00241617"/>
    <w:rsid w:val="00241A33"/>
    <w:rsid w:val="00242279"/>
    <w:rsid w:val="0024255E"/>
    <w:rsid w:val="00242B0A"/>
    <w:rsid w:val="00242B91"/>
    <w:rsid w:val="00242F3A"/>
    <w:rsid w:val="0024378F"/>
    <w:rsid w:val="00243B3F"/>
    <w:rsid w:val="00243EEA"/>
    <w:rsid w:val="002446A3"/>
    <w:rsid w:val="00244749"/>
    <w:rsid w:val="00244A8E"/>
    <w:rsid w:val="00244CF6"/>
    <w:rsid w:val="00244D29"/>
    <w:rsid w:val="00244E28"/>
    <w:rsid w:val="002450D2"/>
    <w:rsid w:val="0024564C"/>
    <w:rsid w:val="00245CAE"/>
    <w:rsid w:val="00245EF6"/>
    <w:rsid w:val="00246087"/>
    <w:rsid w:val="00246379"/>
    <w:rsid w:val="00246955"/>
    <w:rsid w:val="00246C0B"/>
    <w:rsid w:val="00246EB8"/>
    <w:rsid w:val="00246ECA"/>
    <w:rsid w:val="00246F87"/>
    <w:rsid w:val="00246F9D"/>
    <w:rsid w:val="002472D8"/>
    <w:rsid w:val="00247370"/>
    <w:rsid w:val="00247395"/>
    <w:rsid w:val="00247642"/>
    <w:rsid w:val="00247B3D"/>
    <w:rsid w:val="00247B6C"/>
    <w:rsid w:val="00247E35"/>
    <w:rsid w:val="00250D14"/>
    <w:rsid w:val="00250FBC"/>
    <w:rsid w:val="00251319"/>
    <w:rsid w:val="00251562"/>
    <w:rsid w:val="00251583"/>
    <w:rsid w:val="0025180B"/>
    <w:rsid w:val="00251D23"/>
    <w:rsid w:val="00251E0C"/>
    <w:rsid w:val="00251E1C"/>
    <w:rsid w:val="002520DE"/>
    <w:rsid w:val="00252B80"/>
    <w:rsid w:val="00252C38"/>
    <w:rsid w:val="00252CAA"/>
    <w:rsid w:val="00252EC6"/>
    <w:rsid w:val="00253255"/>
    <w:rsid w:val="002532C8"/>
    <w:rsid w:val="00253760"/>
    <w:rsid w:val="00253A9E"/>
    <w:rsid w:val="00253B1C"/>
    <w:rsid w:val="00253F4F"/>
    <w:rsid w:val="00254BB3"/>
    <w:rsid w:val="00254BCB"/>
    <w:rsid w:val="00255187"/>
    <w:rsid w:val="0025527F"/>
    <w:rsid w:val="00255470"/>
    <w:rsid w:val="00255583"/>
    <w:rsid w:val="00255C3A"/>
    <w:rsid w:val="002568E7"/>
    <w:rsid w:val="002571D5"/>
    <w:rsid w:val="0025733F"/>
    <w:rsid w:val="002576C5"/>
    <w:rsid w:val="00260302"/>
    <w:rsid w:val="0026088F"/>
    <w:rsid w:val="0026118D"/>
    <w:rsid w:val="00262219"/>
    <w:rsid w:val="00262CF3"/>
    <w:rsid w:val="002636CE"/>
    <w:rsid w:val="00263ABD"/>
    <w:rsid w:val="00263F08"/>
    <w:rsid w:val="002644FD"/>
    <w:rsid w:val="00264956"/>
    <w:rsid w:val="0026526B"/>
    <w:rsid w:val="0026590F"/>
    <w:rsid w:val="00265B4D"/>
    <w:rsid w:val="00265DB7"/>
    <w:rsid w:val="00266488"/>
    <w:rsid w:val="00266A59"/>
    <w:rsid w:val="00266BC4"/>
    <w:rsid w:val="00266D16"/>
    <w:rsid w:val="0026711E"/>
    <w:rsid w:val="0026766A"/>
    <w:rsid w:val="00267A06"/>
    <w:rsid w:val="00267D3B"/>
    <w:rsid w:val="00267E4F"/>
    <w:rsid w:val="00267F76"/>
    <w:rsid w:val="002702C4"/>
    <w:rsid w:val="00270E9E"/>
    <w:rsid w:val="00271B5C"/>
    <w:rsid w:val="002723B0"/>
    <w:rsid w:val="00272D6D"/>
    <w:rsid w:val="00273135"/>
    <w:rsid w:val="002735A7"/>
    <w:rsid w:val="0027398D"/>
    <w:rsid w:val="00273D1E"/>
    <w:rsid w:val="002744CE"/>
    <w:rsid w:val="00274890"/>
    <w:rsid w:val="00274E55"/>
    <w:rsid w:val="002750E3"/>
    <w:rsid w:val="002751A4"/>
    <w:rsid w:val="002751A7"/>
    <w:rsid w:val="00275431"/>
    <w:rsid w:val="00275F9E"/>
    <w:rsid w:val="002761C8"/>
    <w:rsid w:val="0027625B"/>
    <w:rsid w:val="00276671"/>
    <w:rsid w:val="00276C2C"/>
    <w:rsid w:val="00276FA0"/>
    <w:rsid w:val="0027744B"/>
    <w:rsid w:val="00277719"/>
    <w:rsid w:val="00277C09"/>
    <w:rsid w:val="00277D73"/>
    <w:rsid w:val="002803F8"/>
    <w:rsid w:val="002806F0"/>
    <w:rsid w:val="00280724"/>
    <w:rsid w:val="00280BB2"/>
    <w:rsid w:val="00280E56"/>
    <w:rsid w:val="002810B7"/>
    <w:rsid w:val="002816D8"/>
    <w:rsid w:val="002816FB"/>
    <w:rsid w:val="00281CB5"/>
    <w:rsid w:val="0028249D"/>
    <w:rsid w:val="002828D3"/>
    <w:rsid w:val="00282A83"/>
    <w:rsid w:val="002833BC"/>
    <w:rsid w:val="0028380A"/>
    <w:rsid w:val="00284174"/>
    <w:rsid w:val="0028432A"/>
    <w:rsid w:val="002843B4"/>
    <w:rsid w:val="00284627"/>
    <w:rsid w:val="0028495D"/>
    <w:rsid w:val="002849B0"/>
    <w:rsid w:val="00284C6D"/>
    <w:rsid w:val="002850FA"/>
    <w:rsid w:val="0028570A"/>
    <w:rsid w:val="00285B7A"/>
    <w:rsid w:val="00285C39"/>
    <w:rsid w:val="00286658"/>
    <w:rsid w:val="00286A74"/>
    <w:rsid w:val="00286DEC"/>
    <w:rsid w:val="002870BB"/>
    <w:rsid w:val="002876B4"/>
    <w:rsid w:val="002878E8"/>
    <w:rsid w:val="00290029"/>
    <w:rsid w:val="002905A7"/>
    <w:rsid w:val="002910C9"/>
    <w:rsid w:val="002911E2"/>
    <w:rsid w:val="002919B8"/>
    <w:rsid w:val="00291B40"/>
    <w:rsid w:val="00291E55"/>
    <w:rsid w:val="00291F6E"/>
    <w:rsid w:val="002922E5"/>
    <w:rsid w:val="0029231D"/>
    <w:rsid w:val="002929FD"/>
    <w:rsid w:val="00292DDD"/>
    <w:rsid w:val="00293007"/>
    <w:rsid w:val="00293119"/>
    <w:rsid w:val="00293211"/>
    <w:rsid w:val="00293350"/>
    <w:rsid w:val="0029339D"/>
    <w:rsid w:val="00293768"/>
    <w:rsid w:val="00293868"/>
    <w:rsid w:val="002941F1"/>
    <w:rsid w:val="002945E5"/>
    <w:rsid w:val="00294A0B"/>
    <w:rsid w:val="00295628"/>
    <w:rsid w:val="002956A4"/>
    <w:rsid w:val="00295811"/>
    <w:rsid w:val="0029588E"/>
    <w:rsid w:val="002959C4"/>
    <w:rsid w:val="002959CA"/>
    <w:rsid w:val="00295AC5"/>
    <w:rsid w:val="00295FEF"/>
    <w:rsid w:val="00296661"/>
    <w:rsid w:val="00296AB6"/>
    <w:rsid w:val="00296EBF"/>
    <w:rsid w:val="00296FE9"/>
    <w:rsid w:val="00297723"/>
    <w:rsid w:val="002977A8"/>
    <w:rsid w:val="0029795B"/>
    <w:rsid w:val="00297CBA"/>
    <w:rsid w:val="00297E5E"/>
    <w:rsid w:val="002A003B"/>
    <w:rsid w:val="002A0AF1"/>
    <w:rsid w:val="002A0D6E"/>
    <w:rsid w:val="002A0D8F"/>
    <w:rsid w:val="002A0E01"/>
    <w:rsid w:val="002A1A37"/>
    <w:rsid w:val="002A1ACE"/>
    <w:rsid w:val="002A1B59"/>
    <w:rsid w:val="002A1C87"/>
    <w:rsid w:val="002A1FC0"/>
    <w:rsid w:val="002A23A8"/>
    <w:rsid w:val="002A27C9"/>
    <w:rsid w:val="002A2AAF"/>
    <w:rsid w:val="002A2EEE"/>
    <w:rsid w:val="002A3AD4"/>
    <w:rsid w:val="002A4593"/>
    <w:rsid w:val="002A4B30"/>
    <w:rsid w:val="002A4E05"/>
    <w:rsid w:val="002A4F6B"/>
    <w:rsid w:val="002A4F70"/>
    <w:rsid w:val="002A5121"/>
    <w:rsid w:val="002A541D"/>
    <w:rsid w:val="002A5743"/>
    <w:rsid w:val="002A5CE6"/>
    <w:rsid w:val="002A5EE5"/>
    <w:rsid w:val="002A693E"/>
    <w:rsid w:val="002A6E44"/>
    <w:rsid w:val="002A6EDB"/>
    <w:rsid w:val="002A7490"/>
    <w:rsid w:val="002A762C"/>
    <w:rsid w:val="002A7EDF"/>
    <w:rsid w:val="002B00F5"/>
    <w:rsid w:val="002B029A"/>
    <w:rsid w:val="002B02BB"/>
    <w:rsid w:val="002B0B9A"/>
    <w:rsid w:val="002B0E67"/>
    <w:rsid w:val="002B0EAC"/>
    <w:rsid w:val="002B11E7"/>
    <w:rsid w:val="002B1201"/>
    <w:rsid w:val="002B136B"/>
    <w:rsid w:val="002B1520"/>
    <w:rsid w:val="002B1DB3"/>
    <w:rsid w:val="002B2103"/>
    <w:rsid w:val="002B2391"/>
    <w:rsid w:val="002B2D38"/>
    <w:rsid w:val="002B316E"/>
    <w:rsid w:val="002B3DB8"/>
    <w:rsid w:val="002B4008"/>
    <w:rsid w:val="002B40DA"/>
    <w:rsid w:val="002B54EE"/>
    <w:rsid w:val="002B5642"/>
    <w:rsid w:val="002B5679"/>
    <w:rsid w:val="002B570E"/>
    <w:rsid w:val="002B57AB"/>
    <w:rsid w:val="002B59A3"/>
    <w:rsid w:val="002B5AD5"/>
    <w:rsid w:val="002B5EE5"/>
    <w:rsid w:val="002B60D1"/>
    <w:rsid w:val="002B61E4"/>
    <w:rsid w:val="002B6B78"/>
    <w:rsid w:val="002B6EFE"/>
    <w:rsid w:val="002B791F"/>
    <w:rsid w:val="002B7AEB"/>
    <w:rsid w:val="002B7C00"/>
    <w:rsid w:val="002B7D99"/>
    <w:rsid w:val="002C0000"/>
    <w:rsid w:val="002C05A7"/>
    <w:rsid w:val="002C0857"/>
    <w:rsid w:val="002C0DB8"/>
    <w:rsid w:val="002C176C"/>
    <w:rsid w:val="002C21C4"/>
    <w:rsid w:val="002C2577"/>
    <w:rsid w:val="002C2675"/>
    <w:rsid w:val="002C27DC"/>
    <w:rsid w:val="002C2EA1"/>
    <w:rsid w:val="002C3021"/>
    <w:rsid w:val="002C3391"/>
    <w:rsid w:val="002C3616"/>
    <w:rsid w:val="002C3DD9"/>
    <w:rsid w:val="002C49C3"/>
    <w:rsid w:val="002C4B37"/>
    <w:rsid w:val="002C4ECF"/>
    <w:rsid w:val="002C525D"/>
    <w:rsid w:val="002C5CFB"/>
    <w:rsid w:val="002C64CF"/>
    <w:rsid w:val="002C6907"/>
    <w:rsid w:val="002C7449"/>
    <w:rsid w:val="002C79A4"/>
    <w:rsid w:val="002C79AB"/>
    <w:rsid w:val="002C7C98"/>
    <w:rsid w:val="002C7CFA"/>
    <w:rsid w:val="002C7DF9"/>
    <w:rsid w:val="002D0061"/>
    <w:rsid w:val="002D02F8"/>
    <w:rsid w:val="002D037C"/>
    <w:rsid w:val="002D091B"/>
    <w:rsid w:val="002D0E8E"/>
    <w:rsid w:val="002D1308"/>
    <w:rsid w:val="002D1438"/>
    <w:rsid w:val="002D1571"/>
    <w:rsid w:val="002D1C08"/>
    <w:rsid w:val="002D1C1B"/>
    <w:rsid w:val="002D1CAE"/>
    <w:rsid w:val="002D207B"/>
    <w:rsid w:val="002D21AF"/>
    <w:rsid w:val="002D2864"/>
    <w:rsid w:val="002D2E09"/>
    <w:rsid w:val="002D2FC0"/>
    <w:rsid w:val="002D33E4"/>
    <w:rsid w:val="002D34F0"/>
    <w:rsid w:val="002D3710"/>
    <w:rsid w:val="002D42E9"/>
    <w:rsid w:val="002D4338"/>
    <w:rsid w:val="002D47D2"/>
    <w:rsid w:val="002D55F7"/>
    <w:rsid w:val="002D574E"/>
    <w:rsid w:val="002D58AB"/>
    <w:rsid w:val="002D590D"/>
    <w:rsid w:val="002D5C11"/>
    <w:rsid w:val="002D6944"/>
    <w:rsid w:val="002D6ADF"/>
    <w:rsid w:val="002D6D0A"/>
    <w:rsid w:val="002D715A"/>
    <w:rsid w:val="002D73AB"/>
    <w:rsid w:val="002D7D5E"/>
    <w:rsid w:val="002D7D65"/>
    <w:rsid w:val="002E0352"/>
    <w:rsid w:val="002E0483"/>
    <w:rsid w:val="002E079A"/>
    <w:rsid w:val="002E094B"/>
    <w:rsid w:val="002E0A5F"/>
    <w:rsid w:val="002E0AF9"/>
    <w:rsid w:val="002E0DD6"/>
    <w:rsid w:val="002E0F02"/>
    <w:rsid w:val="002E0F0F"/>
    <w:rsid w:val="002E1345"/>
    <w:rsid w:val="002E157E"/>
    <w:rsid w:val="002E1DE3"/>
    <w:rsid w:val="002E1F16"/>
    <w:rsid w:val="002E204D"/>
    <w:rsid w:val="002E25D5"/>
    <w:rsid w:val="002E25DC"/>
    <w:rsid w:val="002E25F9"/>
    <w:rsid w:val="002E28BA"/>
    <w:rsid w:val="002E35B5"/>
    <w:rsid w:val="002E39D6"/>
    <w:rsid w:val="002E3E0D"/>
    <w:rsid w:val="002E44E3"/>
    <w:rsid w:val="002E494B"/>
    <w:rsid w:val="002E4A26"/>
    <w:rsid w:val="002E5A7F"/>
    <w:rsid w:val="002E5B3D"/>
    <w:rsid w:val="002E5C30"/>
    <w:rsid w:val="002E5C55"/>
    <w:rsid w:val="002E62A2"/>
    <w:rsid w:val="002E6346"/>
    <w:rsid w:val="002E658D"/>
    <w:rsid w:val="002E65DB"/>
    <w:rsid w:val="002E67B5"/>
    <w:rsid w:val="002E6FEA"/>
    <w:rsid w:val="002E74DC"/>
    <w:rsid w:val="002E7B83"/>
    <w:rsid w:val="002F0287"/>
    <w:rsid w:val="002F0417"/>
    <w:rsid w:val="002F0C19"/>
    <w:rsid w:val="002F0F45"/>
    <w:rsid w:val="002F1054"/>
    <w:rsid w:val="002F1CD1"/>
    <w:rsid w:val="002F1D44"/>
    <w:rsid w:val="002F21A9"/>
    <w:rsid w:val="002F2412"/>
    <w:rsid w:val="002F2CB6"/>
    <w:rsid w:val="002F2E1E"/>
    <w:rsid w:val="002F3040"/>
    <w:rsid w:val="002F3187"/>
    <w:rsid w:val="002F31B4"/>
    <w:rsid w:val="002F328C"/>
    <w:rsid w:val="002F3361"/>
    <w:rsid w:val="002F36D7"/>
    <w:rsid w:val="002F3AC7"/>
    <w:rsid w:val="002F40FE"/>
    <w:rsid w:val="002F4164"/>
    <w:rsid w:val="002F4419"/>
    <w:rsid w:val="002F458B"/>
    <w:rsid w:val="002F481B"/>
    <w:rsid w:val="002F4C8D"/>
    <w:rsid w:val="002F4EF0"/>
    <w:rsid w:val="002F5AE2"/>
    <w:rsid w:val="002F5E4C"/>
    <w:rsid w:val="002F60CF"/>
    <w:rsid w:val="002F6276"/>
    <w:rsid w:val="002F6328"/>
    <w:rsid w:val="002F6543"/>
    <w:rsid w:val="002F6554"/>
    <w:rsid w:val="002F73C8"/>
    <w:rsid w:val="002F7628"/>
    <w:rsid w:val="002F798D"/>
    <w:rsid w:val="002F7FC7"/>
    <w:rsid w:val="00300329"/>
    <w:rsid w:val="0030072E"/>
    <w:rsid w:val="00300F79"/>
    <w:rsid w:val="00301189"/>
    <w:rsid w:val="003020A9"/>
    <w:rsid w:val="00302291"/>
    <w:rsid w:val="00302360"/>
    <w:rsid w:val="00302501"/>
    <w:rsid w:val="003029CE"/>
    <w:rsid w:val="00302C59"/>
    <w:rsid w:val="00302CFB"/>
    <w:rsid w:val="00302DDE"/>
    <w:rsid w:val="00302F35"/>
    <w:rsid w:val="00302FD2"/>
    <w:rsid w:val="003030F0"/>
    <w:rsid w:val="003031C1"/>
    <w:rsid w:val="003031FA"/>
    <w:rsid w:val="00303E27"/>
    <w:rsid w:val="00304733"/>
    <w:rsid w:val="00304A00"/>
    <w:rsid w:val="00304DE7"/>
    <w:rsid w:val="003069A0"/>
    <w:rsid w:val="00307095"/>
    <w:rsid w:val="0030760C"/>
    <w:rsid w:val="0030783A"/>
    <w:rsid w:val="00310447"/>
    <w:rsid w:val="00310860"/>
    <w:rsid w:val="00310DF5"/>
    <w:rsid w:val="00310F84"/>
    <w:rsid w:val="00311360"/>
    <w:rsid w:val="003114D0"/>
    <w:rsid w:val="003117B9"/>
    <w:rsid w:val="00312401"/>
    <w:rsid w:val="00312C05"/>
    <w:rsid w:val="00313323"/>
    <w:rsid w:val="00313367"/>
    <w:rsid w:val="00313653"/>
    <w:rsid w:val="00313C3B"/>
    <w:rsid w:val="00314085"/>
    <w:rsid w:val="0031452F"/>
    <w:rsid w:val="0031506D"/>
    <w:rsid w:val="00315666"/>
    <w:rsid w:val="00316902"/>
    <w:rsid w:val="0031695E"/>
    <w:rsid w:val="00316B8A"/>
    <w:rsid w:val="00316C44"/>
    <w:rsid w:val="00316C95"/>
    <w:rsid w:val="00316D2B"/>
    <w:rsid w:val="00316DD6"/>
    <w:rsid w:val="00316E68"/>
    <w:rsid w:val="0031794B"/>
    <w:rsid w:val="0032022D"/>
    <w:rsid w:val="0032023D"/>
    <w:rsid w:val="0032032F"/>
    <w:rsid w:val="00320380"/>
    <w:rsid w:val="003206DA"/>
    <w:rsid w:val="0032079A"/>
    <w:rsid w:val="00320C76"/>
    <w:rsid w:val="00320FC4"/>
    <w:rsid w:val="0032118B"/>
    <w:rsid w:val="003211C5"/>
    <w:rsid w:val="003212B5"/>
    <w:rsid w:val="0032135C"/>
    <w:rsid w:val="0032143F"/>
    <w:rsid w:val="003215AD"/>
    <w:rsid w:val="003218FB"/>
    <w:rsid w:val="00321DEA"/>
    <w:rsid w:val="00321F5F"/>
    <w:rsid w:val="003221DF"/>
    <w:rsid w:val="00322B5B"/>
    <w:rsid w:val="00322F94"/>
    <w:rsid w:val="00323342"/>
    <w:rsid w:val="0032336C"/>
    <w:rsid w:val="00323E09"/>
    <w:rsid w:val="00324B26"/>
    <w:rsid w:val="00324B3F"/>
    <w:rsid w:val="00325014"/>
    <w:rsid w:val="003252E4"/>
    <w:rsid w:val="003254F0"/>
    <w:rsid w:val="003258B2"/>
    <w:rsid w:val="00325C1B"/>
    <w:rsid w:val="00325E75"/>
    <w:rsid w:val="00325EE8"/>
    <w:rsid w:val="00326328"/>
    <w:rsid w:val="00326879"/>
    <w:rsid w:val="00326BD3"/>
    <w:rsid w:val="0032735E"/>
    <w:rsid w:val="003273ED"/>
    <w:rsid w:val="00327589"/>
    <w:rsid w:val="00327779"/>
    <w:rsid w:val="00330E0A"/>
    <w:rsid w:val="003320CB"/>
    <w:rsid w:val="00332831"/>
    <w:rsid w:val="00332C8A"/>
    <w:rsid w:val="0033317F"/>
    <w:rsid w:val="0033344E"/>
    <w:rsid w:val="00333606"/>
    <w:rsid w:val="003336E7"/>
    <w:rsid w:val="00333715"/>
    <w:rsid w:val="00333932"/>
    <w:rsid w:val="00333A40"/>
    <w:rsid w:val="00333D76"/>
    <w:rsid w:val="00333E05"/>
    <w:rsid w:val="00334274"/>
    <w:rsid w:val="0033429D"/>
    <w:rsid w:val="0033431F"/>
    <w:rsid w:val="00334BF7"/>
    <w:rsid w:val="00334D33"/>
    <w:rsid w:val="00334F07"/>
    <w:rsid w:val="0033576D"/>
    <w:rsid w:val="003358BB"/>
    <w:rsid w:val="00335A2C"/>
    <w:rsid w:val="00335F80"/>
    <w:rsid w:val="00335FFD"/>
    <w:rsid w:val="0033647F"/>
    <w:rsid w:val="00336812"/>
    <w:rsid w:val="00336C71"/>
    <w:rsid w:val="00337237"/>
    <w:rsid w:val="00337686"/>
    <w:rsid w:val="00337798"/>
    <w:rsid w:val="00337C3D"/>
    <w:rsid w:val="00340641"/>
    <w:rsid w:val="0034089D"/>
    <w:rsid w:val="003408C7"/>
    <w:rsid w:val="003409D4"/>
    <w:rsid w:val="00340BB1"/>
    <w:rsid w:val="00342565"/>
    <w:rsid w:val="0034265B"/>
    <w:rsid w:val="003430B0"/>
    <w:rsid w:val="00343135"/>
    <w:rsid w:val="00343268"/>
    <w:rsid w:val="00343354"/>
    <w:rsid w:val="00343ADF"/>
    <w:rsid w:val="00343B93"/>
    <w:rsid w:val="00343D9D"/>
    <w:rsid w:val="00343DED"/>
    <w:rsid w:val="00343DF1"/>
    <w:rsid w:val="003440B9"/>
    <w:rsid w:val="003448C0"/>
    <w:rsid w:val="00344AF7"/>
    <w:rsid w:val="0034596D"/>
    <w:rsid w:val="00346194"/>
    <w:rsid w:val="00346293"/>
    <w:rsid w:val="00346295"/>
    <w:rsid w:val="0034669F"/>
    <w:rsid w:val="003468D0"/>
    <w:rsid w:val="00346A92"/>
    <w:rsid w:val="00347335"/>
    <w:rsid w:val="003473BE"/>
    <w:rsid w:val="00347990"/>
    <w:rsid w:val="0035010E"/>
    <w:rsid w:val="003505F6"/>
    <w:rsid w:val="00350BE7"/>
    <w:rsid w:val="00350CCF"/>
    <w:rsid w:val="0035134C"/>
    <w:rsid w:val="00351478"/>
    <w:rsid w:val="003518AA"/>
    <w:rsid w:val="00351D29"/>
    <w:rsid w:val="00351D58"/>
    <w:rsid w:val="00351DEA"/>
    <w:rsid w:val="00351F8C"/>
    <w:rsid w:val="00351FFC"/>
    <w:rsid w:val="003523F8"/>
    <w:rsid w:val="003526A3"/>
    <w:rsid w:val="00352719"/>
    <w:rsid w:val="00352C9D"/>
    <w:rsid w:val="003530C2"/>
    <w:rsid w:val="003530F6"/>
    <w:rsid w:val="00353182"/>
    <w:rsid w:val="003531DF"/>
    <w:rsid w:val="0035373E"/>
    <w:rsid w:val="00353A4B"/>
    <w:rsid w:val="003540F1"/>
    <w:rsid w:val="00354230"/>
    <w:rsid w:val="0035458F"/>
    <w:rsid w:val="0035464B"/>
    <w:rsid w:val="00354B44"/>
    <w:rsid w:val="00354D50"/>
    <w:rsid w:val="00355005"/>
    <w:rsid w:val="00355798"/>
    <w:rsid w:val="003576CB"/>
    <w:rsid w:val="003602E1"/>
    <w:rsid w:val="00360589"/>
    <w:rsid w:val="00360735"/>
    <w:rsid w:val="00360E96"/>
    <w:rsid w:val="00361AD2"/>
    <w:rsid w:val="00361BA9"/>
    <w:rsid w:val="00361BFA"/>
    <w:rsid w:val="00362136"/>
    <w:rsid w:val="00362522"/>
    <w:rsid w:val="00362AB0"/>
    <w:rsid w:val="00362FB5"/>
    <w:rsid w:val="0036304F"/>
    <w:rsid w:val="003632A0"/>
    <w:rsid w:val="00363578"/>
    <w:rsid w:val="003635A1"/>
    <w:rsid w:val="00363CDA"/>
    <w:rsid w:val="00364166"/>
    <w:rsid w:val="00364183"/>
    <w:rsid w:val="00364C5C"/>
    <w:rsid w:val="00364CF8"/>
    <w:rsid w:val="00364E4D"/>
    <w:rsid w:val="0036598F"/>
    <w:rsid w:val="00365E36"/>
    <w:rsid w:val="00366008"/>
    <w:rsid w:val="0036604F"/>
    <w:rsid w:val="00366143"/>
    <w:rsid w:val="003666CD"/>
    <w:rsid w:val="003669B2"/>
    <w:rsid w:val="00367541"/>
    <w:rsid w:val="003679BA"/>
    <w:rsid w:val="00367F38"/>
    <w:rsid w:val="00370692"/>
    <w:rsid w:val="00371041"/>
    <w:rsid w:val="003710FC"/>
    <w:rsid w:val="003711C6"/>
    <w:rsid w:val="00371240"/>
    <w:rsid w:val="00371309"/>
    <w:rsid w:val="00371551"/>
    <w:rsid w:val="00371761"/>
    <w:rsid w:val="003729CC"/>
    <w:rsid w:val="003729FB"/>
    <w:rsid w:val="00372DB8"/>
    <w:rsid w:val="00372E16"/>
    <w:rsid w:val="003731BF"/>
    <w:rsid w:val="00373282"/>
    <w:rsid w:val="00373458"/>
    <w:rsid w:val="00373A1C"/>
    <w:rsid w:val="00373A24"/>
    <w:rsid w:val="00373D2D"/>
    <w:rsid w:val="00373F78"/>
    <w:rsid w:val="003740E4"/>
    <w:rsid w:val="0037419A"/>
    <w:rsid w:val="00374547"/>
    <w:rsid w:val="00374622"/>
    <w:rsid w:val="00374716"/>
    <w:rsid w:val="00374731"/>
    <w:rsid w:val="00374922"/>
    <w:rsid w:val="00374AD4"/>
    <w:rsid w:val="00374B17"/>
    <w:rsid w:val="00374F17"/>
    <w:rsid w:val="00375266"/>
    <w:rsid w:val="003754B8"/>
    <w:rsid w:val="003758F5"/>
    <w:rsid w:val="0037665F"/>
    <w:rsid w:val="00376E68"/>
    <w:rsid w:val="003770C0"/>
    <w:rsid w:val="0037761D"/>
    <w:rsid w:val="00377737"/>
    <w:rsid w:val="00377898"/>
    <w:rsid w:val="003779D7"/>
    <w:rsid w:val="00377AEC"/>
    <w:rsid w:val="00377CD4"/>
    <w:rsid w:val="00377CF4"/>
    <w:rsid w:val="00377E2E"/>
    <w:rsid w:val="00377E9F"/>
    <w:rsid w:val="00377FE9"/>
    <w:rsid w:val="003804D0"/>
    <w:rsid w:val="00380692"/>
    <w:rsid w:val="00380959"/>
    <w:rsid w:val="00380CA0"/>
    <w:rsid w:val="00380D02"/>
    <w:rsid w:val="00380FBB"/>
    <w:rsid w:val="003812D5"/>
    <w:rsid w:val="00381A6B"/>
    <w:rsid w:val="00382233"/>
    <w:rsid w:val="003826C2"/>
    <w:rsid w:val="00382742"/>
    <w:rsid w:val="00382C70"/>
    <w:rsid w:val="00382EEB"/>
    <w:rsid w:val="003836D4"/>
    <w:rsid w:val="003837AA"/>
    <w:rsid w:val="00383CF2"/>
    <w:rsid w:val="00383F46"/>
    <w:rsid w:val="00384A15"/>
    <w:rsid w:val="0038592B"/>
    <w:rsid w:val="00385D8E"/>
    <w:rsid w:val="00386EB4"/>
    <w:rsid w:val="00386FED"/>
    <w:rsid w:val="003876E0"/>
    <w:rsid w:val="00387856"/>
    <w:rsid w:val="00387ADB"/>
    <w:rsid w:val="00387C2D"/>
    <w:rsid w:val="00390503"/>
    <w:rsid w:val="00390552"/>
    <w:rsid w:val="003908A4"/>
    <w:rsid w:val="00390937"/>
    <w:rsid w:val="0039098A"/>
    <w:rsid w:val="00390E9A"/>
    <w:rsid w:val="00391570"/>
    <w:rsid w:val="00391722"/>
    <w:rsid w:val="003919DB"/>
    <w:rsid w:val="00391B7E"/>
    <w:rsid w:val="00392F8A"/>
    <w:rsid w:val="0039313C"/>
    <w:rsid w:val="00393346"/>
    <w:rsid w:val="0039346D"/>
    <w:rsid w:val="00393491"/>
    <w:rsid w:val="0039355B"/>
    <w:rsid w:val="00393E4D"/>
    <w:rsid w:val="00394074"/>
    <w:rsid w:val="00394585"/>
    <w:rsid w:val="00394E50"/>
    <w:rsid w:val="00395037"/>
    <w:rsid w:val="00395253"/>
    <w:rsid w:val="003958D3"/>
    <w:rsid w:val="00395D29"/>
    <w:rsid w:val="00395D73"/>
    <w:rsid w:val="00396211"/>
    <w:rsid w:val="003962F7"/>
    <w:rsid w:val="00397C21"/>
    <w:rsid w:val="00397C5A"/>
    <w:rsid w:val="00397D04"/>
    <w:rsid w:val="003A0282"/>
    <w:rsid w:val="003A14EB"/>
    <w:rsid w:val="003A1686"/>
    <w:rsid w:val="003A179E"/>
    <w:rsid w:val="003A181F"/>
    <w:rsid w:val="003A1D2C"/>
    <w:rsid w:val="003A1DA5"/>
    <w:rsid w:val="003A1EA5"/>
    <w:rsid w:val="003A2217"/>
    <w:rsid w:val="003A25CC"/>
    <w:rsid w:val="003A2958"/>
    <w:rsid w:val="003A2B33"/>
    <w:rsid w:val="003A33BE"/>
    <w:rsid w:val="003A341A"/>
    <w:rsid w:val="003A36F6"/>
    <w:rsid w:val="003A375F"/>
    <w:rsid w:val="003A3B98"/>
    <w:rsid w:val="003A3BF4"/>
    <w:rsid w:val="003A4149"/>
    <w:rsid w:val="003A4767"/>
    <w:rsid w:val="003A4A74"/>
    <w:rsid w:val="003A4DF3"/>
    <w:rsid w:val="003A53C8"/>
    <w:rsid w:val="003A55C8"/>
    <w:rsid w:val="003A57D0"/>
    <w:rsid w:val="003A600D"/>
    <w:rsid w:val="003A629D"/>
    <w:rsid w:val="003A64D6"/>
    <w:rsid w:val="003A68C5"/>
    <w:rsid w:val="003A7B81"/>
    <w:rsid w:val="003B021A"/>
    <w:rsid w:val="003B02C9"/>
    <w:rsid w:val="003B06EC"/>
    <w:rsid w:val="003B083B"/>
    <w:rsid w:val="003B0BC6"/>
    <w:rsid w:val="003B0D7B"/>
    <w:rsid w:val="003B0EBA"/>
    <w:rsid w:val="003B0FCF"/>
    <w:rsid w:val="003B1177"/>
    <w:rsid w:val="003B1591"/>
    <w:rsid w:val="003B1A76"/>
    <w:rsid w:val="003B2AE9"/>
    <w:rsid w:val="003B2D31"/>
    <w:rsid w:val="003B2D48"/>
    <w:rsid w:val="003B2F43"/>
    <w:rsid w:val="003B3524"/>
    <w:rsid w:val="003B4139"/>
    <w:rsid w:val="003B41AC"/>
    <w:rsid w:val="003B434F"/>
    <w:rsid w:val="003B4875"/>
    <w:rsid w:val="003B4A40"/>
    <w:rsid w:val="003B4EB7"/>
    <w:rsid w:val="003B50FC"/>
    <w:rsid w:val="003B5353"/>
    <w:rsid w:val="003B53E6"/>
    <w:rsid w:val="003B54BD"/>
    <w:rsid w:val="003B5808"/>
    <w:rsid w:val="003B5ABA"/>
    <w:rsid w:val="003B5BD1"/>
    <w:rsid w:val="003B5D50"/>
    <w:rsid w:val="003B6422"/>
    <w:rsid w:val="003B648A"/>
    <w:rsid w:val="003B6814"/>
    <w:rsid w:val="003B68B2"/>
    <w:rsid w:val="003B6AF5"/>
    <w:rsid w:val="003B6B34"/>
    <w:rsid w:val="003B6EF8"/>
    <w:rsid w:val="003B7689"/>
    <w:rsid w:val="003B7AC8"/>
    <w:rsid w:val="003B7B3F"/>
    <w:rsid w:val="003B7D35"/>
    <w:rsid w:val="003C021E"/>
    <w:rsid w:val="003C023B"/>
    <w:rsid w:val="003C0640"/>
    <w:rsid w:val="003C0C80"/>
    <w:rsid w:val="003C0CDD"/>
    <w:rsid w:val="003C0EA6"/>
    <w:rsid w:val="003C1056"/>
    <w:rsid w:val="003C153E"/>
    <w:rsid w:val="003C1688"/>
    <w:rsid w:val="003C21E8"/>
    <w:rsid w:val="003C2817"/>
    <w:rsid w:val="003C28D7"/>
    <w:rsid w:val="003C2F75"/>
    <w:rsid w:val="003C367F"/>
    <w:rsid w:val="003C38B5"/>
    <w:rsid w:val="003C39D8"/>
    <w:rsid w:val="003C3F93"/>
    <w:rsid w:val="003C45DA"/>
    <w:rsid w:val="003C47C9"/>
    <w:rsid w:val="003C5046"/>
    <w:rsid w:val="003C55B1"/>
    <w:rsid w:val="003C58FB"/>
    <w:rsid w:val="003C5B15"/>
    <w:rsid w:val="003C5D99"/>
    <w:rsid w:val="003C5FE0"/>
    <w:rsid w:val="003C6021"/>
    <w:rsid w:val="003C6643"/>
    <w:rsid w:val="003C6E8B"/>
    <w:rsid w:val="003C723F"/>
    <w:rsid w:val="003C7A24"/>
    <w:rsid w:val="003D0374"/>
    <w:rsid w:val="003D0955"/>
    <w:rsid w:val="003D1142"/>
    <w:rsid w:val="003D1194"/>
    <w:rsid w:val="003D14B5"/>
    <w:rsid w:val="003D17F2"/>
    <w:rsid w:val="003D1BAF"/>
    <w:rsid w:val="003D1FC4"/>
    <w:rsid w:val="003D31AD"/>
    <w:rsid w:val="003D37C8"/>
    <w:rsid w:val="003D3990"/>
    <w:rsid w:val="003D4285"/>
    <w:rsid w:val="003D457A"/>
    <w:rsid w:val="003D4FBB"/>
    <w:rsid w:val="003D5CDE"/>
    <w:rsid w:val="003D5F3C"/>
    <w:rsid w:val="003D5F5A"/>
    <w:rsid w:val="003D618F"/>
    <w:rsid w:val="003D6283"/>
    <w:rsid w:val="003D6C52"/>
    <w:rsid w:val="003D7311"/>
    <w:rsid w:val="003E00C5"/>
    <w:rsid w:val="003E0482"/>
    <w:rsid w:val="003E067B"/>
    <w:rsid w:val="003E0845"/>
    <w:rsid w:val="003E11B3"/>
    <w:rsid w:val="003E1273"/>
    <w:rsid w:val="003E1872"/>
    <w:rsid w:val="003E1A0E"/>
    <w:rsid w:val="003E1E2C"/>
    <w:rsid w:val="003E2295"/>
    <w:rsid w:val="003E2920"/>
    <w:rsid w:val="003E2FAF"/>
    <w:rsid w:val="003E306E"/>
    <w:rsid w:val="003E3250"/>
    <w:rsid w:val="003E3577"/>
    <w:rsid w:val="003E3A19"/>
    <w:rsid w:val="003E3BB5"/>
    <w:rsid w:val="003E3F5E"/>
    <w:rsid w:val="003E4188"/>
    <w:rsid w:val="003E4261"/>
    <w:rsid w:val="003E45C4"/>
    <w:rsid w:val="003E5211"/>
    <w:rsid w:val="003E5461"/>
    <w:rsid w:val="003E5758"/>
    <w:rsid w:val="003E64B5"/>
    <w:rsid w:val="003E684C"/>
    <w:rsid w:val="003E6967"/>
    <w:rsid w:val="003E7718"/>
    <w:rsid w:val="003F0457"/>
    <w:rsid w:val="003F0789"/>
    <w:rsid w:val="003F0D27"/>
    <w:rsid w:val="003F0D8E"/>
    <w:rsid w:val="003F0F53"/>
    <w:rsid w:val="003F1ADD"/>
    <w:rsid w:val="003F28E5"/>
    <w:rsid w:val="003F2988"/>
    <w:rsid w:val="003F2C9A"/>
    <w:rsid w:val="003F2FBD"/>
    <w:rsid w:val="003F301D"/>
    <w:rsid w:val="003F31CA"/>
    <w:rsid w:val="003F43C4"/>
    <w:rsid w:val="003F4524"/>
    <w:rsid w:val="003F505E"/>
    <w:rsid w:val="003F50DE"/>
    <w:rsid w:val="003F511D"/>
    <w:rsid w:val="003F5B08"/>
    <w:rsid w:val="003F6378"/>
    <w:rsid w:val="003F67CE"/>
    <w:rsid w:val="003F71D9"/>
    <w:rsid w:val="003F722C"/>
    <w:rsid w:val="003F7285"/>
    <w:rsid w:val="003F7377"/>
    <w:rsid w:val="003F77CC"/>
    <w:rsid w:val="003F7A73"/>
    <w:rsid w:val="003F7BC4"/>
    <w:rsid w:val="003F7C9E"/>
    <w:rsid w:val="00400814"/>
    <w:rsid w:val="00400967"/>
    <w:rsid w:val="004014FD"/>
    <w:rsid w:val="00401882"/>
    <w:rsid w:val="004019DC"/>
    <w:rsid w:val="004024C8"/>
    <w:rsid w:val="0040285F"/>
    <w:rsid w:val="004030A8"/>
    <w:rsid w:val="00403B7E"/>
    <w:rsid w:val="00403FB9"/>
    <w:rsid w:val="0040437B"/>
    <w:rsid w:val="00404644"/>
    <w:rsid w:val="00404669"/>
    <w:rsid w:val="00404AA7"/>
    <w:rsid w:val="00405260"/>
    <w:rsid w:val="004052A1"/>
    <w:rsid w:val="00405508"/>
    <w:rsid w:val="004062E9"/>
    <w:rsid w:val="0040669E"/>
    <w:rsid w:val="004067F0"/>
    <w:rsid w:val="00406831"/>
    <w:rsid w:val="00406A10"/>
    <w:rsid w:val="00406A64"/>
    <w:rsid w:val="0040710C"/>
    <w:rsid w:val="00407334"/>
    <w:rsid w:val="0040739C"/>
    <w:rsid w:val="0040759F"/>
    <w:rsid w:val="004079AD"/>
    <w:rsid w:val="00407A34"/>
    <w:rsid w:val="00407BC2"/>
    <w:rsid w:val="00407CB8"/>
    <w:rsid w:val="004100C8"/>
    <w:rsid w:val="00410428"/>
    <w:rsid w:val="00410641"/>
    <w:rsid w:val="004108F1"/>
    <w:rsid w:val="00410A16"/>
    <w:rsid w:val="0041102D"/>
    <w:rsid w:val="0041115D"/>
    <w:rsid w:val="004111E4"/>
    <w:rsid w:val="004114D4"/>
    <w:rsid w:val="0041156E"/>
    <w:rsid w:val="00411C92"/>
    <w:rsid w:val="00411D0E"/>
    <w:rsid w:val="004121F9"/>
    <w:rsid w:val="0041251C"/>
    <w:rsid w:val="00412534"/>
    <w:rsid w:val="00412624"/>
    <w:rsid w:val="00412733"/>
    <w:rsid w:val="00412ACE"/>
    <w:rsid w:val="00412F3C"/>
    <w:rsid w:val="00413387"/>
    <w:rsid w:val="0041385E"/>
    <w:rsid w:val="00413873"/>
    <w:rsid w:val="00413EF6"/>
    <w:rsid w:val="004141F1"/>
    <w:rsid w:val="0041427D"/>
    <w:rsid w:val="00414411"/>
    <w:rsid w:val="00414555"/>
    <w:rsid w:val="004145D6"/>
    <w:rsid w:val="004157AE"/>
    <w:rsid w:val="00415B59"/>
    <w:rsid w:val="00415BF2"/>
    <w:rsid w:val="00415C0C"/>
    <w:rsid w:val="00415CD0"/>
    <w:rsid w:val="00416897"/>
    <w:rsid w:val="004169AC"/>
    <w:rsid w:val="0041729B"/>
    <w:rsid w:val="00417C64"/>
    <w:rsid w:val="0042006B"/>
    <w:rsid w:val="00420D4C"/>
    <w:rsid w:val="00420F05"/>
    <w:rsid w:val="00420F0E"/>
    <w:rsid w:val="00421027"/>
    <w:rsid w:val="00421A89"/>
    <w:rsid w:val="0042212D"/>
    <w:rsid w:val="0042276D"/>
    <w:rsid w:val="00422DE5"/>
    <w:rsid w:val="00422E7D"/>
    <w:rsid w:val="00423072"/>
    <w:rsid w:val="004237A3"/>
    <w:rsid w:val="00423C1C"/>
    <w:rsid w:val="00423CFD"/>
    <w:rsid w:val="0042431B"/>
    <w:rsid w:val="0042445E"/>
    <w:rsid w:val="004249E8"/>
    <w:rsid w:val="00424CC4"/>
    <w:rsid w:val="00425020"/>
    <w:rsid w:val="0042516A"/>
    <w:rsid w:val="004253F0"/>
    <w:rsid w:val="00425722"/>
    <w:rsid w:val="00425B39"/>
    <w:rsid w:val="00425BE8"/>
    <w:rsid w:val="00425C5C"/>
    <w:rsid w:val="00425DDF"/>
    <w:rsid w:val="00426197"/>
    <w:rsid w:val="0042657C"/>
    <w:rsid w:val="00426C10"/>
    <w:rsid w:val="0042740C"/>
    <w:rsid w:val="00427710"/>
    <w:rsid w:val="00430CF6"/>
    <w:rsid w:val="00430D05"/>
    <w:rsid w:val="00430F4F"/>
    <w:rsid w:val="00430FB3"/>
    <w:rsid w:val="00430FD1"/>
    <w:rsid w:val="0043106A"/>
    <w:rsid w:val="00431249"/>
    <w:rsid w:val="00431C62"/>
    <w:rsid w:val="00432294"/>
    <w:rsid w:val="004323A7"/>
    <w:rsid w:val="00432786"/>
    <w:rsid w:val="004328A8"/>
    <w:rsid w:val="00432A5F"/>
    <w:rsid w:val="00432B4C"/>
    <w:rsid w:val="00432E86"/>
    <w:rsid w:val="00432EC7"/>
    <w:rsid w:val="004338C8"/>
    <w:rsid w:val="00433B71"/>
    <w:rsid w:val="00433E29"/>
    <w:rsid w:val="00434194"/>
    <w:rsid w:val="004344E0"/>
    <w:rsid w:val="0043490B"/>
    <w:rsid w:val="00434C19"/>
    <w:rsid w:val="00434FA8"/>
    <w:rsid w:val="00435399"/>
    <w:rsid w:val="0043547A"/>
    <w:rsid w:val="0043558F"/>
    <w:rsid w:val="00435BB6"/>
    <w:rsid w:val="0043619D"/>
    <w:rsid w:val="004361C5"/>
    <w:rsid w:val="00436303"/>
    <w:rsid w:val="00436436"/>
    <w:rsid w:val="004365F3"/>
    <w:rsid w:val="0043661C"/>
    <w:rsid w:val="00436891"/>
    <w:rsid w:val="00436D4F"/>
    <w:rsid w:val="00436DA9"/>
    <w:rsid w:val="004371BE"/>
    <w:rsid w:val="0043771B"/>
    <w:rsid w:val="004377D8"/>
    <w:rsid w:val="004401EF"/>
    <w:rsid w:val="004405CB"/>
    <w:rsid w:val="004407EA"/>
    <w:rsid w:val="00440C6A"/>
    <w:rsid w:val="00440FB7"/>
    <w:rsid w:val="004410F5"/>
    <w:rsid w:val="00441DB8"/>
    <w:rsid w:val="0044275D"/>
    <w:rsid w:val="00442AA3"/>
    <w:rsid w:val="00443D56"/>
    <w:rsid w:val="00444C46"/>
    <w:rsid w:val="00444EDD"/>
    <w:rsid w:val="00445A60"/>
    <w:rsid w:val="00445BA8"/>
    <w:rsid w:val="00446013"/>
    <w:rsid w:val="00446017"/>
    <w:rsid w:val="0044615F"/>
    <w:rsid w:val="004465F6"/>
    <w:rsid w:val="00446660"/>
    <w:rsid w:val="00446998"/>
    <w:rsid w:val="00446AC0"/>
    <w:rsid w:val="0044735A"/>
    <w:rsid w:val="004476E0"/>
    <w:rsid w:val="00447BB2"/>
    <w:rsid w:val="00447CA5"/>
    <w:rsid w:val="00447EE5"/>
    <w:rsid w:val="00450810"/>
    <w:rsid w:val="00450BC6"/>
    <w:rsid w:val="00450FA2"/>
    <w:rsid w:val="0045114E"/>
    <w:rsid w:val="00451301"/>
    <w:rsid w:val="004514A4"/>
    <w:rsid w:val="00451B09"/>
    <w:rsid w:val="00451C44"/>
    <w:rsid w:val="00451CB0"/>
    <w:rsid w:val="00451DEA"/>
    <w:rsid w:val="00452282"/>
    <w:rsid w:val="0045297E"/>
    <w:rsid w:val="00452BA4"/>
    <w:rsid w:val="004530CD"/>
    <w:rsid w:val="004533A4"/>
    <w:rsid w:val="00453DBC"/>
    <w:rsid w:val="004541A3"/>
    <w:rsid w:val="00454676"/>
    <w:rsid w:val="004547DD"/>
    <w:rsid w:val="00454A91"/>
    <w:rsid w:val="00454AFB"/>
    <w:rsid w:val="00454DE0"/>
    <w:rsid w:val="00454EB2"/>
    <w:rsid w:val="00455DCF"/>
    <w:rsid w:val="00456175"/>
    <w:rsid w:val="004561D7"/>
    <w:rsid w:val="0045632D"/>
    <w:rsid w:val="00456348"/>
    <w:rsid w:val="004563A4"/>
    <w:rsid w:val="00456B69"/>
    <w:rsid w:val="004572CD"/>
    <w:rsid w:val="004573A3"/>
    <w:rsid w:val="0045744F"/>
    <w:rsid w:val="00457C2D"/>
    <w:rsid w:val="00457EC6"/>
    <w:rsid w:val="00457EC9"/>
    <w:rsid w:val="00460322"/>
    <w:rsid w:val="00460406"/>
    <w:rsid w:val="0046050F"/>
    <w:rsid w:val="0046051A"/>
    <w:rsid w:val="0046054D"/>
    <w:rsid w:val="0046125A"/>
    <w:rsid w:val="004614A2"/>
    <w:rsid w:val="00461630"/>
    <w:rsid w:val="004616D0"/>
    <w:rsid w:val="00461721"/>
    <w:rsid w:val="00461AAB"/>
    <w:rsid w:val="00462295"/>
    <w:rsid w:val="004624B1"/>
    <w:rsid w:val="004628A4"/>
    <w:rsid w:val="00462933"/>
    <w:rsid w:val="004629DF"/>
    <w:rsid w:val="00462EAC"/>
    <w:rsid w:val="00463387"/>
    <w:rsid w:val="00463546"/>
    <w:rsid w:val="00463649"/>
    <w:rsid w:val="004637BA"/>
    <w:rsid w:val="0046428B"/>
    <w:rsid w:val="00464B55"/>
    <w:rsid w:val="00465488"/>
    <w:rsid w:val="0046557A"/>
    <w:rsid w:val="00465ED7"/>
    <w:rsid w:val="004662A7"/>
    <w:rsid w:val="0046687B"/>
    <w:rsid w:val="00466AAF"/>
    <w:rsid w:val="00466ADE"/>
    <w:rsid w:val="00466CEF"/>
    <w:rsid w:val="00466E46"/>
    <w:rsid w:val="0046702C"/>
    <w:rsid w:val="00467258"/>
    <w:rsid w:val="0046746F"/>
    <w:rsid w:val="0046768A"/>
    <w:rsid w:val="00467808"/>
    <w:rsid w:val="004679A4"/>
    <w:rsid w:val="004679C6"/>
    <w:rsid w:val="00470109"/>
    <w:rsid w:val="00470462"/>
    <w:rsid w:val="0047058D"/>
    <w:rsid w:val="00470DA2"/>
    <w:rsid w:val="0047107E"/>
    <w:rsid w:val="004710B6"/>
    <w:rsid w:val="004715E3"/>
    <w:rsid w:val="0047192F"/>
    <w:rsid w:val="00471D66"/>
    <w:rsid w:val="00471FA0"/>
    <w:rsid w:val="00471FE3"/>
    <w:rsid w:val="00472142"/>
    <w:rsid w:val="004726CE"/>
    <w:rsid w:val="00472E6C"/>
    <w:rsid w:val="0047327D"/>
    <w:rsid w:val="00473E44"/>
    <w:rsid w:val="00473F2B"/>
    <w:rsid w:val="00473F9D"/>
    <w:rsid w:val="004740F2"/>
    <w:rsid w:val="004744F1"/>
    <w:rsid w:val="00474706"/>
    <w:rsid w:val="00474841"/>
    <w:rsid w:val="00474858"/>
    <w:rsid w:val="00474E0C"/>
    <w:rsid w:val="00475232"/>
    <w:rsid w:val="004754B5"/>
    <w:rsid w:val="00475BAB"/>
    <w:rsid w:val="00476459"/>
    <w:rsid w:val="0047653D"/>
    <w:rsid w:val="00476868"/>
    <w:rsid w:val="00477137"/>
    <w:rsid w:val="00477144"/>
    <w:rsid w:val="0048018C"/>
    <w:rsid w:val="004803EB"/>
    <w:rsid w:val="004809CE"/>
    <w:rsid w:val="00480B01"/>
    <w:rsid w:val="0048140D"/>
    <w:rsid w:val="00482569"/>
    <w:rsid w:val="00482FFB"/>
    <w:rsid w:val="00484296"/>
    <w:rsid w:val="004843DE"/>
    <w:rsid w:val="00484589"/>
    <w:rsid w:val="0048472C"/>
    <w:rsid w:val="00484AB1"/>
    <w:rsid w:val="00484ACF"/>
    <w:rsid w:val="00484EE3"/>
    <w:rsid w:val="00485447"/>
    <w:rsid w:val="004858DC"/>
    <w:rsid w:val="00486028"/>
    <w:rsid w:val="00486458"/>
    <w:rsid w:val="00486854"/>
    <w:rsid w:val="0048696D"/>
    <w:rsid w:val="004869B6"/>
    <w:rsid w:val="00486FAF"/>
    <w:rsid w:val="00487362"/>
    <w:rsid w:val="00487498"/>
    <w:rsid w:val="00487BE2"/>
    <w:rsid w:val="00487C8B"/>
    <w:rsid w:val="00487E08"/>
    <w:rsid w:val="0049056B"/>
    <w:rsid w:val="0049059C"/>
    <w:rsid w:val="00490A13"/>
    <w:rsid w:val="00490A99"/>
    <w:rsid w:val="00490E02"/>
    <w:rsid w:val="00490E96"/>
    <w:rsid w:val="004915CA"/>
    <w:rsid w:val="00491A9B"/>
    <w:rsid w:val="00491AEA"/>
    <w:rsid w:val="004926A8"/>
    <w:rsid w:val="004930B8"/>
    <w:rsid w:val="00493390"/>
    <w:rsid w:val="0049459F"/>
    <w:rsid w:val="00494800"/>
    <w:rsid w:val="00495E68"/>
    <w:rsid w:val="00495FF4"/>
    <w:rsid w:val="004961F7"/>
    <w:rsid w:val="0049702E"/>
    <w:rsid w:val="0049731E"/>
    <w:rsid w:val="0049779C"/>
    <w:rsid w:val="00497DEF"/>
    <w:rsid w:val="004A008B"/>
    <w:rsid w:val="004A01AA"/>
    <w:rsid w:val="004A0290"/>
    <w:rsid w:val="004A0351"/>
    <w:rsid w:val="004A0FFF"/>
    <w:rsid w:val="004A1A78"/>
    <w:rsid w:val="004A1C4B"/>
    <w:rsid w:val="004A1E37"/>
    <w:rsid w:val="004A1F27"/>
    <w:rsid w:val="004A23CF"/>
    <w:rsid w:val="004A24E9"/>
    <w:rsid w:val="004A2950"/>
    <w:rsid w:val="004A31CB"/>
    <w:rsid w:val="004A3346"/>
    <w:rsid w:val="004A3721"/>
    <w:rsid w:val="004A3805"/>
    <w:rsid w:val="004A3A1C"/>
    <w:rsid w:val="004A3EAD"/>
    <w:rsid w:val="004A3EAE"/>
    <w:rsid w:val="004A40C1"/>
    <w:rsid w:val="004A43E6"/>
    <w:rsid w:val="004A4849"/>
    <w:rsid w:val="004A4A79"/>
    <w:rsid w:val="004A4D78"/>
    <w:rsid w:val="004A4D9A"/>
    <w:rsid w:val="004A5117"/>
    <w:rsid w:val="004A5202"/>
    <w:rsid w:val="004A54D0"/>
    <w:rsid w:val="004A5512"/>
    <w:rsid w:val="004A5D11"/>
    <w:rsid w:val="004A5EEA"/>
    <w:rsid w:val="004A67A4"/>
    <w:rsid w:val="004A6C03"/>
    <w:rsid w:val="004A713F"/>
    <w:rsid w:val="004A774B"/>
    <w:rsid w:val="004A7BCD"/>
    <w:rsid w:val="004B0AE6"/>
    <w:rsid w:val="004B0F2C"/>
    <w:rsid w:val="004B11E6"/>
    <w:rsid w:val="004B186A"/>
    <w:rsid w:val="004B1A5B"/>
    <w:rsid w:val="004B1B09"/>
    <w:rsid w:val="004B1CF0"/>
    <w:rsid w:val="004B2130"/>
    <w:rsid w:val="004B2C15"/>
    <w:rsid w:val="004B32E5"/>
    <w:rsid w:val="004B3ACA"/>
    <w:rsid w:val="004B407E"/>
    <w:rsid w:val="004B43AE"/>
    <w:rsid w:val="004B4435"/>
    <w:rsid w:val="004B4481"/>
    <w:rsid w:val="004B4B47"/>
    <w:rsid w:val="004B51C3"/>
    <w:rsid w:val="004B571A"/>
    <w:rsid w:val="004B5764"/>
    <w:rsid w:val="004B64B5"/>
    <w:rsid w:val="004B6715"/>
    <w:rsid w:val="004B6A7A"/>
    <w:rsid w:val="004B7440"/>
    <w:rsid w:val="004B7795"/>
    <w:rsid w:val="004B7C48"/>
    <w:rsid w:val="004C007C"/>
    <w:rsid w:val="004C06CB"/>
    <w:rsid w:val="004C0762"/>
    <w:rsid w:val="004C0A3F"/>
    <w:rsid w:val="004C27F9"/>
    <w:rsid w:val="004C2A40"/>
    <w:rsid w:val="004C2A9E"/>
    <w:rsid w:val="004C2BF5"/>
    <w:rsid w:val="004C30ED"/>
    <w:rsid w:val="004C357D"/>
    <w:rsid w:val="004C3693"/>
    <w:rsid w:val="004C3840"/>
    <w:rsid w:val="004C3859"/>
    <w:rsid w:val="004C3B34"/>
    <w:rsid w:val="004C42F5"/>
    <w:rsid w:val="004C46FA"/>
    <w:rsid w:val="004C49E8"/>
    <w:rsid w:val="004C4D69"/>
    <w:rsid w:val="004C5114"/>
    <w:rsid w:val="004C5597"/>
    <w:rsid w:val="004C6315"/>
    <w:rsid w:val="004C63F4"/>
    <w:rsid w:val="004C678D"/>
    <w:rsid w:val="004C7161"/>
    <w:rsid w:val="004C7183"/>
    <w:rsid w:val="004C753C"/>
    <w:rsid w:val="004C75E9"/>
    <w:rsid w:val="004C7644"/>
    <w:rsid w:val="004C789B"/>
    <w:rsid w:val="004D0509"/>
    <w:rsid w:val="004D0537"/>
    <w:rsid w:val="004D0624"/>
    <w:rsid w:val="004D087C"/>
    <w:rsid w:val="004D0C05"/>
    <w:rsid w:val="004D0D2E"/>
    <w:rsid w:val="004D0D39"/>
    <w:rsid w:val="004D0E59"/>
    <w:rsid w:val="004D142A"/>
    <w:rsid w:val="004D151C"/>
    <w:rsid w:val="004D1B73"/>
    <w:rsid w:val="004D1F79"/>
    <w:rsid w:val="004D208B"/>
    <w:rsid w:val="004D210D"/>
    <w:rsid w:val="004D23C6"/>
    <w:rsid w:val="004D27AA"/>
    <w:rsid w:val="004D2A59"/>
    <w:rsid w:val="004D2B06"/>
    <w:rsid w:val="004D2C4B"/>
    <w:rsid w:val="004D2CEE"/>
    <w:rsid w:val="004D3B88"/>
    <w:rsid w:val="004D3BF4"/>
    <w:rsid w:val="004D3C50"/>
    <w:rsid w:val="004D3F84"/>
    <w:rsid w:val="004D40AD"/>
    <w:rsid w:val="004D45F2"/>
    <w:rsid w:val="004D4944"/>
    <w:rsid w:val="004D4E9E"/>
    <w:rsid w:val="004D507C"/>
    <w:rsid w:val="004D5A94"/>
    <w:rsid w:val="004D5B90"/>
    <w:rsid w:val="004D5EE4"/>
    <w:rsid w:val="004D63B2"/>
    <w:rsid w:val="004D65AF"/>
    <w:rsid w:val="004D662F"/>
    <w:rsid w:val="004D6AFF"/>
    <w:rsid w:val="004D6DFD"/>
    <w:rsid w:val="004D6EFE"/>
    <w:rsid w:val="004D72F7"/>
    <w:rsid w:val="004D76A8"/>
    <w:rsid w:val="004D77ED"/>
    <w:rsid w:val="004D7A01"/>
    <w:rsid w:val="004E0008"/>
    <w:rsid w:val="004E066B"/>
    <w:rsid w:val="004E0714"/>
    <w:rsid w:val="004E0A44"/>
    <w:rsid w:val="004E0E39"/>
    <w:rsid w:val="004E10D5"/>
    <w:rsid w:val="004E180F"/>
    <w:rsid w:val="004E19E2"/>
    <w:rsid w:val="004E1FB9"/>
    <w:rsid w:val="004E203E"/>
    <w:rsid w:val="004E2312"/>
    <w:rsid w:val="004E2CE6"/>
    <w:rsid w:val="004E2DAB"/>
    <w:rsid w:val="004E3131"/>
    <w:rsid w:val="004E3331"/>
    <w:rsid w:val="004E33D7"/>
    <w:rsid w:val="004E3509"/>
    <w:rsid w:val="004E37D0"/>
    <w:rsid w:val="004E3BA1"/>
    <w:rsid w:val="004E3F4D"/>
    <w:rsid w:val="004E3F61"/>
    <w:rsid w:val="004E534E"/>
    <w:rsid w:val="004E53A3"/>
    <w:rsid w:val="004E53EF"/>
    <w:rsid w:val="004E5F25"/>
    <w:rsid w:val="004E6030"/>
    <w:rsid w:val="004E6210"/>
    <w:rsid w:val="004E6245"/>
    <w:rsid w:val="004E64EF"/>
    <w:rsid w:val="004E65AE"/>
    <w:rsid w:val="004E66E2"/>
    <w:rsid w:val="004E6985"/>
    <w:rsid w:val="004E6A88"/>
    <w:rsid w:val="004E6C74"/>
    <w:rsid w:val="004E73C5"/>
    <w:rsid w:val="004E75F3"/>
    <w:rsid w:val="004E7755"/>
    <w:rsid w:val="004E7921"/>
    <w:rsid w:val="004E7A4C"/>
    <w:rsid w:val="004F031C"/>
    <w:rsid w:val="004F0546"/>
    <w:rsid w:val="004F055D"/>
    <w:rsid w:val="004F0736"/>
    <w:rsid w:val="004F0753"/>
    <w:rsid w:val="004F0EC5"/>
    <w:rsid w:val="004F1364"/>
    <w:rsid w:val="004F16B0"/>
    <w:rsid w:val="004F17B4"/>
    <w:rsid w:val="004F19E9"/>
    <w:rsid w:val="004F2308"/>
    <w:rsid w:val="004F2385"/>
    <w:rsid w:val="004F2740"/>
    <w:rsid w:val="004F2AD4"/>
    <w:rsid w:val="004F2D04"/>
    <w:rsid w:val="004F2EE1"/>
    <w:rsid w:val="004F2F11"/>
    <w:rsid w:val="004F310E"/>
    <w:rsid w:val="004F3198"/>
    <w:rsid w:val="004F40A1"/>
    <w:rsid w:val="004F459C"/>
    <w:rsid w:val="004F4A48"/>
    <w:rsid w:val="004F4E71"/>
    <w:rsid w:val="004F5372"/>
    <w:rsid w:val="004F5B22"/>
    <w:rsid w:val="004F5D54"/>
    <w:rsid w:val="004F695B"/>
    <w:rsid w:val="004F6C9D"/>
    <w:rsid w:val="004F715A"/>
    <w:rsid w:val="004F72EC"/>
    <w:rsid w:val="004F73C5"/>
    <w:rsid w:val="004F7F57"/>
    <w:rsid w:val="005000C8"/>
    <w:rsid w:val="00500CAD"/>
    <w:rsid w:val="00500E8E"/>
    <w:rsid w:val="00501660"/>
    <w:rsid w:val="00501A18"/>
    <w:rsid w:val="00501A34"/>
    <w:rsid w:val="00501CFF"/>
    <w:rsid w:val="00502271"/>
    <w:rsid w:val="00502752"/>
    <w:rsid w:val="00502997"/>
    <w:rsid w:val="00502A46"/>
    <w:rsid w:val="00502B75"/>
    <w:rsid w:val="00502BB1"/>
    <w:rsid w:val="00503486"/>
    <w:rsid w:val="005037C7"/>
    <w:rsid w:val="00503E02"/>
    <w:rsid w:val="00504096"/>
    <w:rsid w:val="005040A2"/>
    <w:rsid w:val="0050481D"/>
    <w:rsid w:val="005048B3"/>
    <w:rsid w:val="00504B2D"/>
    <w:rsid w:val="00505782"/>
    <w:rsid w:val="00505B7F"/>
    <w:rsid w:val="00505C0D"/>
    <w:rsid w:val="0050635E"/>
    <w:rsid w:val="00506821"/>
    <w:rsid w:val="00506904"/>
    <w:rsid w:val="005069A4"/>
    <w:rsid w:val="005071BE"/>
    <w:rsid w:val="00507336"/>
    <w:rsid w:val="00507779"/>
    <w:rsid w:val="00507D6D"/>
    <w:rsid w:val="00510056"/>
    <w:rsid w:val="005101E8"/>
    <w:rsid w:val="00510E72"/>
    <w:rsid w:val="00511015"/>
    <w:rsid w:val="005110A2"/>
    <w:rsid w:val="00511341"/>
    <w:rsid w:val="005115A6"/>
    <w:rsid w:val="0051200D"/>
    <w:rsid w:val="00512248"/>
    <w:rsid w:val="0051262E"/>
    <w:rsid w:val="00512A4B"/>
    <w:rsid w:val="00512D74"/>
    <w:rsid w:val="00512ECA"/>
    <w:rsid w:val="005138B7"/>
    <w:rsid w:val="00513E19"/>
    <w:rsid w:val="0051409F"/>
    <w:rsid w:val="0051416B"/>
    <w:rsid w:val="0051440A"/>
    <w:rsid w:val="00514533"/>
    <w:rsid w:val="00514E4F"/>
    <w:rsid w:val="00514E83"/>
    <w:rsid w:val="00515293"/>
    <w:rsid w:val="00515626"/>
    <w:rsid w:val="00516157"/>
    <w:rsid w:val="005165C4"/>
    <w:rsid w:val="005168D0"/>
    <w:rsid w:val="00516D0B"/>
    <w:rsid w:val="005172A0"/>
    <w:rsid w:val="005172FE"/>
    <w:rsid w:val="005173BC"/>
    <w:rsid w:val="005174AE"/>
    <w:rsid w:val="00517647"/>
    <w:rsid w:val="00517919"/>
    <w:rsid w:val="005200FE"/>
    <w:rsid w:val="005207F1"/>
    <w:rsid w:val="00520A31"/>
    <w:rsid w:val="005215C1"/>
    <w:rsid w:val="0052183E"/>
    <w:rsid w:val="00521968"/>
    <w:rsid w:val="00521B5D"/>
    <w:rsid w:val="005225AF"/>
    <w:rsid w:val="00522C23"/>
    <w:rsid w:val="00523445"/>
    <w:rsid w:val="005235F9"/>
    <w:rsid w:val="00523908"/>
    <w:rsid w:val="00523977"/>
    <w:rsid w:val="00524384"/>
    <w:rsid w:val="00524516"/>
    <w:rsid w:val="00524666"/>
    <w:rsid w:val="00524740"/>
    <w:rsid w:val="00524823"/>
    <w:rsid w:val="00524CC4"/>
    <w:rsid w:val="00525AB3"/>
    <w:rsid w:val="00525D57"/>
    <w:rsid w:val="00526087"/>
    <w:rsid w:val="00526291"/>
    <w:rsid w:val="005262E8"/>
    <w:rsid w:val="005267D7"/>
    <w:rsid w:val="005268FF"/>
    <w:rsid w:val="00526BAA"/>
    <w:rsid w:val="00526BEA"/>
    <w:rsid w:val="00526DCD"/>
    <w:rsid w:val="005271E6"/>
    <w:rsid w:val="005272F2"/>
    <w:rsid w:val="0052764D"/>
    <w:rsid w:val="005300D1"/>
    <w:rsid w:val="005303DD"/>
    <w:rsid w:val="00530876"/>
    <w:rsid w:val="0053179C"/>
    <w:rsid w:val="00531DB2"/>
    <w:rsid w:val="00532280"/>
    <w:rsid w:val="0053239E"/>
    <w:rsid w:val="005324D5"/>
    <w:rsid w:val="00532C20"/>
    <w:rsid w:val="00533150"/>
    <w:rsid w:val="005333D6"/>
    <w:rsid w:val="00533819"/>
    <w:rsid w:val="005339DE"/>
    <w:rsid w:val="005343A0"/>
    <w:rsid w:val="005350D6"/>
    <w:rsid w:val="00535409"/>
    <w:rsid w:val="00535739"/>
    <w:rsid w:val="005358A5"/>
    <w:rsid w:val="00535926"/>
    <w:rsid w:val="00535B95"/>
    <w:rsid w:val="0053684D"/>
    <w:rsid w:val="00536AC3"/>
    <w:rsid w:val="00536F13"/>
    <w:rsid w:val="005371E9"/>
    <w:rsid w:val="0053763B"/>
    <w:rsid w:val="00537F7B"/>
    <w:rsid w:val="005407D7"/>
    <w:rsid w:val="005416EE"/>
    <w:rsid w:val="00541B96"/>
    <w:rsid w:val="00541CC0"/>
    <w:rsid w:val="00541F1C"/>
    <w:rsid w:val="005423BA"/>
    <w:rsid w:val="00542465"/>
    <w:rsid w:val="00542C9E"/>
    <w:rsid w:val="0054334A"/>
    <w:rsid w:val="00543624"/>
    <w:rsid w:val="00543903"/>
    <w:rsid w:val="0054391E"/>
    <w:rsid w:val="00543B22"/>
    <w:rsid w:val="00543E21"/>
    <w:rsid w:val="0054405B"/>
    <w:rsid w:val="005445E4"/>
    <w:rsid w:val="005447E6"/>
    <w:rsid w:val="00544B17"/>
    <w:rsid w:val="0054542F"/>
    <w:rsid w:val="005455CC"/>
    <w:rsid w:val="00545611"/>
    <w:rsid w:val="0054584B"/>
    <w:rsid w:val="00545A67"/>
    <w:rsid w:val="00546176"/>
    <w:rsid w:val="0054650E"/>
    <w:rsid w:val="00546674"/>
    <w:rsid w:val="00546CA1"/>
    <w:rsid w:val="00546FA2"/>
    <w:rsid w:val="00547056"/>
    <w:rsid w:val="005470C0"/>
    <w:rsid w:val="005471F5"/>
    <w:rsid w:val="005475F7"/>
    <w:rsid w:val="005479F0"/>
    <w:rsid w:val="00547A12"/>
    <w:rsid w:val="00547CD6"/>
    <w:rsid w:val="00547F8B"/>
    <w:rsid w:val="00550191"/>
    <w:rsid w:val="00550406"/>
    <w:rsid w:val="005509E2"/>
    <w:rsid w:val="00550E1A"/>
    <w:rsid w:val="00550EDF"/>
    <w:rsid w:val="005527F4"/>
    <w:rsid w:val="005529DD"/>
    <w:rsid w:val="00552FFF"/>
    <w:rsid w:val="00553A03"/>
    <w:rsid w:val="00553C06"/>
    <w:rsid w:val="00553E02"/>
    <w:rsid w:val="00554051"/>
    <w:rsid w:val="005544BF"/>
    <w:rsid w:val="00554C1C"/>
    <w:rsid w:val="00555622"/>
    <w:rsid w:val="005559A7"/>
    <w:rsid w:val="00555AC1"/>
    <w:rsid w:val="0055677D"/>
    <w:rsid w:val="00556B81"/>
    <w:rsid w:val="00557329"/>
    <w:rsid w:val="005573B2"/>
    <w:rsid w:val="00557656"/>
    <w:rsid w:val="005604AB"/>
    <w:rsid w:val="0056061F"/>
    <w:rsid w:val="00560822"/>
    <w:rsid w:val="00561456"/>
    <w:rsid w:val="005616BF"/>
    <w:rsid w:val="00561EEF"/>
    <w:rsid w:val="0056230F"/>
    <w:rsid w:val="00562E2A"/>
    <w:rsid w:val="00563439"/>
    <w:rsid w:val="00563582"/>
    <w:rsid w:val="0056363C"/>
    <w:rsid w:val="00563D1F"/>
    <w:rsid w:val="00563E83"/>
    <w:rsid w:val="005642BD"/>
    <w:rsid w:val="0056458F"/>
    <w:rsid w:val="005645F8"/>
    <w:rsid w:val="0056469F"/>
    <w:rsid w:val="005649E6"/>
    <w:rsid w:val="00564A49"/>
    <w:rsid w:val="00564B54"/>
    <w:rsid w:val="00565317"/>
    <w:rsid w:val="005657A3"/>
    <w:rsid w:val="005657DA"/>
    <w:rsid w:val="005658F9"/>
    <w:rsid w:val="00565AD7"/>
    <w:rsid w:val="00565DA8"/>
    <w:rsid w:val="00565E48"/>
    <w:rsid w:val="00565ED1"/>
    <w:rsid w:val="00565F24"/>
    <w:rsid w:val="00565F7E"/>
    <w:rsid w:val="00565F9A"/>
    <w:rsid w:val="005663CD"/>
    <w:rsid w:val="0056674C"/>
    <w:rsid w:val="0056685C"/>
    <w:rsid w:val="005668BA"/>
    <w:rsid w:val="00566D79"/>
    <w:rsid w:val="00566DB0"/>
    <w:rsid w:val="0056707E"/>
    <w:rsid w:val="005671CD"/>
    <w:rsid w:val="00567557"/>
    <w:rsid w:val="00567EDB"/>
    <w:rsid w:val="005710D1"/>
    <w:rsid w:val="00571847"/>
    <w:rsid w:val="00571927"/>
    <w:rsid w:val="00571C92"/>
    <w:rsid w:val="00572457"/>
    <w:rsid w:val="00572823"/>
    <w:rsid w:val="00572F88"/>
    <w:rsid w:val="0057342D"/>
    <w:rsid w:val="0057364E"/>
    <w:rsid w:val="005736D7"/>
    <w:rsid w:val="00573CF5"/>
    <w:rsid w:val="00574275"/>
    <w:rsid w:val="00574366"/>
    <w:rsid w:val="005743CD"/>
    <w:rsid w:val="00574AD8"/>
    <w:rsid w:val="00574BC9"/>
    <w:rsid w:val="00574F11"/>
    <w:rsid w:val="0057570E"/>
    <w:rsid w:val="005757CB"/>
    <w:rsid w:val="00575914"/>
    <w:rsid w:val="00575BD2"/>
    <w:rsid w:val="00575ED3"/>
    <w:rsid w:val="00575F58"/>
    <w:rsid w:val="00575FAD"/>
    <w:rsid w:val="005760A6"/>
    <w:rsid w:val="005760CA"/>
    <w:rsid w:val="005761AF"/>
    <w:rsid w:val="00576379"/>
    <w:rsid w:val="00576679"/>
    <w:rsid w:val="00576DDC"/>
    <w:rsid w:val="0057714A"/>
    <w:rsid w:val="00577180"/>
    <w:rsid w:val="00577496"/>
    <w:rsid w:val="00577B12"/>
    <w:rsid w:val="00577D6F"/>
    <w:rsid w:val="00577FF5"/>
    <w:rsid w:val="00580356"/>
    <w:rsid w:val="0058090F"/>
    <w:rsid w:val="00580A73"/>
    <w:rsid w:val="00580CEE"/>
    <w:rsid w:val="00580E18"/>
    <w:rsid w:val="0058114B"/>
    <w:rsid w:val="0058121C"/>
    <w:rsid w:val="005813C9"/>
    <w:rsid w:val="0058195C"/>
    <w:rsid w:val="00581A52"/>
    <w:rsid w:val="00582121"/>
    <w:rsid w:val="0058213F"/>
    <w:rsid w:val="0058284B"/>
    <w:rsid w:val="00582952"/>
    <w:rsid w:val="0058296E"/>
    <w:rsid w:val="00582979"/>
    <w:rsid w:val="005830F3"/>
    <w:rsid w:val="00583315"/>
    <w:rsid w:val="0058332F"/>
    <w:rsid w:val="00583556"/>
    <w:rsid w:val="00583563"/>
    <w:rsid w:val="00583C39"/>
    <w:rsid w:val="005841D9"/>
    <w:rsid w:val="0058438C"/>
    <w:rsid w:val="005844DC"/>
    <w:rsid w:val="0058454D"/>
    <w:rsid w:val="00584815"/>
    <w:rsid w:val="00584EE6"/>
    <w:rsid w:val="00585299"/>
    <w:rsid w:val="00585834"/>
    <w:rsid w:val="0058586C"/>
    <w:rsid w:val="00586075"/>
    <w:rsid w:val="0058615B"/>
    <w:rsid w:val="005862AA"/>
    <w:rsid w:val="005864C9"/>
    <w:rsid w:val="00586745"/>
    <w:rsid w:val="0058674F"/>
    <w:rsid w:val="00586ACA"/>
    <w:rsid w:val="00586CA1"/>
    <w:rsid w:val="00586CB6"/>
    <w:rsid w:val="00587169"/>
    <w:rsid w:val="00587968"/>
    <w:rsid w:val="00587A0C"/>
    <w:rsid w:val="005900AC"/>
    <w:rsid w:val="005907F0"/>
    <w:rsid w:val="005909CF"/>
    <w:rsid w:val="00590A4B"/>
    <w:rsid w:val="00590EE6"/>
    <w:rsid w:val="00590FC8"/>
    <w:rsid w:val="00591309"/>
    <w:rsid w:val="0059152D"/>
    <w:rsid w:val="00591AB4"/>
    <w:rsid w:val="00591CC5"/>
    <w:rsid w:val="00591E20"/>
    <w:rsid w:val="00591E3C"/>
    <w:rsid w:val="00591E71"/>
    <w:rsid w:val="005925A1"/>
    <w:rsid w:val="00592D8E"/>
    <w:rsid w:val="0059333B"/>
    <w:rsid w:val="00593762"/>
    <w:rsid w:val="00593771"/>
    <w:rsid w:val="005937BC"/>
    <w:rsid w:val="005937FC"/>
    <w:rsid w:val="00594B23"/>
    <w:rsid w:val="005955AB"/>
    <w:rsid w:val="0059564D"/>
    <w:rsid w:val="00595819"/>
    <w:rsid w:val="00595F0B"/>
    <w:rsid w:val="005962F0"/>
    <w:rsid w:val="00596555"/>
    <w:rsid w:val="005A0340"/>
    <w:rsid w:val="005A0A18"/>
    <w:rsid w:val="005A0B21"/>
    <w:rsid w:val="005A0C1B"/>
    <w:rsid w:val="005A1146"/>
    <w:rsid w:val="005A14DA"/>
    <w:rsid w:val="005A1779"/>
    <w:rsid w:val="005A189D"/>
    <w:rsid w:val="005A1923"/>
    <w:rsid w:val="005A2037"/>
    <w:rsid w:val="005A2122"/>
    <w:rsid w:val="005A215A"/>
    <w:rsid w:val="005A2F5B"/>
    <w:rsid w:val="005A2FB7"/>
    <w:rsid w:val="005A3390"/>
    <w:rsid w:val="005A3464"/>
    <w:rsid w:val="005A3577"/>
    <w:rsid w:val="005A3BC7"/>
    <w:rsid w:val="005A3F2B"/>
    <w:rsid w:val="005A412E"/>
    <w:rsid w:val="005A426B"/>
    <w:rsid w:val="005A4423"/>
    <w:rsid w:val="005A4AB5"/>
    <w:rsid w:val="005A4C8C"/>
    <w:rsid w:val="005A607E"/>
    <w:rsid w:val="005A63D6"/>
    <w:rsid w:val="005A64C5"/>
    <w:rsid w:val="005A6A40"/>
    <w:rsid w:val="005A6DBB"/>
    <w:rsid w:val="005A71E4"/>
    <w:rsid w:val="005A72C4"/>
    <w:rsid w:val="005A791C"/>
    <w:rsid w:val="005A7B67"/>
    <w:rsid w:val="005A7FB9"/>
    <w:rsid w:val="005B050B"/>
    <w:rsid w:val="005B0954"/>
    <w:rsid w:val="005B1A11"/>
    <w:rsid w:val="005B23DA"/>
    <w:rsid w:val="005B241A"/>
    <w:rsid w:val="005B2643"/>
    <w:rsid w:val="005B2D10"/>
    <w:rsid w:val="005B2EF5"/>
    <w:rsid w:val="005B2F82"/>
    <w:rsid w:val="005B3015"/>
    <w:rsid w:val="005B351E"/>
    <w:rsid w:val="005B365D"/>
    <w:rsid w:val="005B3986"/>
    <w:rsid w:val="005B3C86"/>
    <w:rsid w:val="005B4447"/>
    <w:rsid w:val="005B46A6"/>
    <w:rsid w:val="005B4F88"/>
    <w:rsid w:val="005B51D7"/>
    <w:rsid w:val="005B5652"/>
    <w:rsid w:val="005B58D9"/>
    <w:rsid w:val="005B6059"/>
    <w:rsid w:val="005B6081"/>
    <w:rsid w:val="005B64EC"/>
    <w:rsid w:val="005B654D"/>
    <w:rsid w:val="005B6C33"/>
    <w:rsid w:val="005B7F8E"/>
    <w:rsid w:val="005C0462"/>
    <w:rsid w:val="005C06ED"/>
    <w:rsid w:val="005C1109"/>
    <w:rsid w:val="005C1B47"/>
    <w:rsid w:val="005C2190"/>
    <w:rsid w:val="005C222E"/>
    <w:rsid w:val="005C2299"/>
    <w:rsid w:val="005C2370"/>
    <w:rsid w:val="005C2E04"/>
    <w:rsid w:val="005C2E48"/>
    <w:rsid w:val="005C2FDF"/>
    <w:rsid w:val="005C308F"/>
    <w:rsid w:val="005C318E"/>
    <w:rsid w:val="005C3211"/>
    <w:rsid w:val="005C3542"/>
    <w:rsid w:val="005C35F5"/>
    <w:rsid w:val="005C372B"/>
    <w:rsid w:val="005C3A62"/>
    <w:rsid w:val="005C4331"/>
    <w:rsid w:val="005C4523"/>
    <w:rsid w:val="005C47D0"/>
    <w:rsid w:val="005C4ACA"/>
    <w:rsid w:val="005C4C2B"/>
    <w:rsid w:val="005C509E"/>
    <w:rsid w:val="005C522C"/>
    <w:rsid w:val="005C53C9"/>
    <w:rsid w:val="005C559A"/>
    <w:rsid w:val="005C5747"/>
    <w:rsid w:val="005C5F39"/>
    <w:rsid w:val="005C662A"/>
    <w:rsid w:val="005C7082"/>
    <w:rsid w:val="005C78A1"/>
    <w:rsid w:val="005C79CA"/>
    <w:rsid w:val="005D0027"/>
    <w:rsid w:val="005D0792"/>
    <w:rsid w:val="005D0CE6"/>
    <w:rsid w:val="005D19D6"/>
    <w:rsid w:val="005D2523"/>
    <w:rsid w:val="005D25CB"/>
    <w:rsid w:val="005D26CC"/>
    <w:rsid w:val="005D2953"/>
    <w:rsid w:val="005D29AB"/>
    <w:rsid w:val="005D3232"/>
    <w:rsid w:val="005D3F10"/>
    <w:rsid w:val="005D45AF"/>
    <w:rsid w:val="005D46D4"/>
    <w:rsid w:val="005D48D7"/>
    <w:rsid w:val="005D4958"/>
    <w:rsid w:val="005D535E"/>
    <w:rsid w:val="005D574F"/>
    <w:rsid w:val="005D64CD"/>
    <w:rsid w:val="005D6F27"/>
    <w:rsid w:val="005D70AB"/>
    <w:rsid w:val="005D72A4"/>
    <w:rsid w:val="005D7305"/>
    <w:rsid w:val="005D75DD"/>
    <w:rsid w:val="005D7959"/>
    <w:rsid w:val="005D7F59"/>
    <w:rsid w:val="005E008A"/>
    <w:rsid w:val="005E0280"/>
    <w:rsid w:val="005E0479"/>
    <w:rsid w:val="005E1126"/>
    <w:rsid w:val="005E166B"/>
    <w:rsid w:val="005E1980"/>
    <w:rsid w:val="005E28DC"/>
    <w:rsid w:val="005E3172"/>
    <w:rsid w:val="005E340A"/>
    <w:rsid w:val="005E363B"/>
    <w:rsid w:val="005E3698"/>
    <w:rsid w:val="005E3ACF"/>
    <w:rsid w:val="005E3D4D"/>
    <w:rsid w:val="005E4448"/>
    <w:rsid w:val="005E46FB"/>
    <w:rsid w:val="005E495B"/>
    <w:rsid w:val="005E4CA5"/>
    <w:rsid w:val="005E4F22"/>
    <w:rsid w:val="005E4F57"/>
    <w:rsid w:val="005E5226"/>
    <w:rsid w:val="005E5357"/>
    <w:rsid w:val="005E5F36"/>
    <w:rsid w:val="005E5FC2"/>
    <w:rsid w:val="005E5FEF"/>
    <w:rsid w:val="005E6769"/>
    <w:rsid w:val="005E683B"/>
    <w:rsid w:val="005E6D08"/>
    <w:rsid w:val="005E6E80"/>
    <w:rsid w:val="005F02B3"/>
    <w:rsid w:val="005F0342"/>
    <w:rsid w:val="005F0DBA"/>
    <w:rsid w:val="005F0EFD"/>
    <w:rsid w:val="005F15E8"/>
    <w:rsid w:val="005F2034"/>
    <w:rsid w:val="005F265B"/>
    <w:rsid w:val="005F277E"/>
    <w:rsid w:val="005F2BA7"/>
    <w:rsid w:val="005F3704"/>
    <w:rsid w:val="005F3AB3"/>
    <w:rsid w:val="005F45E7"/>
    <w:rsid w:val="005F4695"/>
    <w:rsid w:val="005F4B00"/>
    <w:rsid w:val="005F4CA5"/>
    <w:rsid w:val="005F53D5"/>
    <w:rsid w:val="005F57BB"/>
    <w:rsid w:val="005F5F15"/>
    <w:rsid w:val="005F6411"/>
    <w:rsid w:val="005F65ED"/>
    <w:rsid w:val="005F6834"/>
    <w:rsid w:val="005F6BE0"/>
    <w:rsid w:val="005F6EE1"/>
    <w:rsid w:val="005F73B1"/>
    <w:rsid w:val="005F7575"/>
    <w:rsid w:val="005F791C"/>
    <w:rsid w:val="005F7A34"/>
    <w:rsid w:val="005F7A71"/>
    <w:rsid w:val="005F7E75"/>
    <w:rsid w:val="0060027A"/>
    <w:rsid w:val="006003A7"/>
    <w:rsid w:val="00600501"/>
    <w:rsid w:val="00600E92"/>
    <w:rsid w:val="00600F5C"/>
    <w:rsid w:val="00601007"/>
    <w:rsid w:val="006013FA"/>
    <w:rsid w:val="0060165B"/>
    <w:rsid w:val="00601C0D"/>
    <w:rsid w:val="00601C40"/>
    <w:rsid w:val="00601EC6"/>
    <w:rsid w:val="006027B1"/>
    <w:rsid w:val="00602ACF"/>
    <w:rsid w:val="00602BDD"/>
    <w:rsid w:val="00602D97"/>
    <w:rsid w:val="0060327C"/>
    <w:rsid w:val="0060333F"/>
    <w:rsid w:val="0060360A"/>
    <w:rsid w:val="006039ED"/>
    <w:rsid w:val="00603AF7"/>
    <w:rsid w:val="00603D0A"/>
    <w:rsid w:val="00603F41"/>
    <w:rsid w:val="00603FDC"/>
    <w:rsid w:val="006045DC"/>
    <w:rsid w:val="00604BD2"/>
    <w:rsid w:val="00604ED9"/>
    <w:rsid w:val="00604F8C"/>
    <w:rsid w:val="006054E2"/>
    <w:rsid w:val="006061B0"/>
    <w:rsid w:val="00606E40"/>
    <w:rsid w:val="00606EB4"/>
    <w:rsid w:val="00607A6D"/>
    <w:rsid w:val="00607A86"/>
    <w:rsid w:val="00607B04"/>
    <w:rsid w:val="00607BF1"/>
    <w:rsid w:val="00607F84"/>
    <w:rsid w:val="0061008D"/>
    <w:rsid w:val="006100DD"/>
    <w:rsid w:val="00610306"/>
    <w:rsid w:val="00610882"/>
    <w:rsid w:val="00610B85"/>
    <w:rsid w:val="0061105D"/>
    <w:rsid w:val="006110A5"/>
    <w:rsid w:val="0061128F"/>
    <w:rsid w:val="00611293"/>
    <w:rsid w:val="0061130A"/>
    <w:rsid w:val="0061197A"/>
    <w:rsid w:val="00612161"/>
    <w:rsid w:val="00612384"/>
    <w:rsid w:val="0061259D"/>
    <w:rsid w:val="006125A0"/>
    <w:rsid w:val="00612614"/>
    <w:rsid w:val="0061273E"/>
    <w:rsid w:val="00612B0B"/>
    <w:rsid w:val="00612BBA"/>
    <w:rsid w:val="006131F2"/>
    <w:rsid w:val="006133F0"/>
    <w:rsid w:val="00613408"/>
    <w:rsid w:val="00613B6D"/>
    <w:rsid w:val="00613F18"/>
    <w:rsid w:val="00613FF7"/>
    <w:rsid w:val="0061492C"/>
    <w:rsid w:val="00615338"/>
    <w:rsid w:val="0061547C"/>
    <w:rsid w:val="00615842"/>
    <w:rsid w:val="006159E5"/>
    <w:rsid w:val="006160CF"/>
    <w:rsid w:val="0061656A"/>
    <w:rsid w:val="00616646"/>
    <w:rsid w:val="006167FB"/>
    <w:rsid w:val="00616B32"/>
    <w:rsid w:val="00616C3E"/>
    <w:rsid w:val="00616CC6"/>
    <w:rsid w:val="00616D94"/>
    <w:rsid w:val="006177B4"/>
    <w:rsid w:val="00617E3D"/>
    <w:rsid w:val="00617E52"/>
    <w:rsid w:val="00620779"/>
    <w:rsid w:val="006207A7"/>
    <w:rsid w:val="00620D4F"/>
    <w:rsid w:val="00621057"/>
    <w:rsid w:val="00621376"/>
    <w:rsid w:val="006217B6"/>
    <w:rsid w:val="00621A35"/>
    <w:rsid w:val="00621D36"/>
    <w:rsid w:val="00621E7E"/>
    <w:rsid w:val="00621E94"/>
    <w:rsid w:val="00622160"/>
    <w:rsid w:val="006228F9"/>
    <w:rsid w:val="00622A76"/>
    <w:rsid w:val="00622DA3"/>
    <w:rsid w:val="00622ED8"/>
    <w:rsid w:val="006230D9"/>
    <w:rsid w:val="00623457"/>
    <w:rsid w:val="006235AB"/>
    <w:rsid w:val="00623B47"/>
    <w:rsid w:val="00623E51"/>
    <w:rsid w:val="00623F39"/>
    <w:rsid w:val="006243D9"/>
    <w:rsid w:val="00624B41"/>
    <w:rsid w:val="006258DC"/>
    <w:rsid w:val="006258F3"/>
    <w:rsid w:val="0062631C"/>
    <w:rsid w:val="00626AF2"/>
    <w:rsid w:val="00626C98"/>
    <w:rsid w:val="0062711C"/>
    <w:rsid w:val="00627213"/>
    <w:rsid w:val="00627FCE"/>
    <w:rsid w:val="00630004"/>
    <w:rsid w:val="00630655"/>
    <w:rsid w:val="00630A95"/>
    <w:rsid w:val="00630B7B"/>
    <w:rsid w:val="00630D4D"/>
    <w:rsid w:val="006311A8"/>
    <w:rsid w:val="0063129D"/>
    <w:rsid w:val="00631502"/>
    <w:rsid w:val="006317DD"/>
    <w:rsid w:val="00632250"/>
    <w:rsid w:val="00632513"/>
    <w:rsid w:val="00632684"/>
    <w:rsid w:val="00632A74"/>
    <w:rsid w:val="00632AE9"/>
    <w:rsid w:val="00633265"/>
    <w:rsid w:val="0063394D"/>
    <w:rsid w:val="0063402C"/>
    <w:rsid w:val="00634038"/>
    <w:rsid w:val="00634842"/>
    <w:rsid w:val="00634ACE"/>
    <w:rsid w:val="00634BCF"/>
    <w:rsid w:val="00634F31"/>
    <w:rsid w:val="00635684"/>
    <w:rsid w:val="00635A69"/>
    <w:rsid w:val="00635ABB"/>
    <w:rsid w:val="00636719"/>
    <w:rsid w:val="006374EE"/>
    <w:rsid w:val="006400F5"/>
    <w:rsid w:val="00640327"/>
    <w:rsid w:val="0064046A"/>
    <w:rsid w:val="006407E5"/>
    <w:rsid w:val="00640BCF"/>
    <w:rsid w:val="00640F08"/>
    <w:rsid w:val="00641877"/>
    <w:rsid w:val="00641E49"/>
    <w:rsid w:val="00642320"/>
    <w:rsid w:val="00642C30"/>
    <w:rsid w:val="00642D65"/>
    <w:rsid w:val="0064324A"/>
    <w:rsid w:val="00643D88"/>
    <w:rsid w:val="00643F4D"/>
    <w:rsid w:val="00643FA5"/>
    <w:rsid w:val="006443A4"/>
    <w:rsid w:val="00644455"/>
    <w:rsid w:val="00644A62"/>
    <w:rsid w:val="00644AE3"/>
    <w:rsid w:val="006453E7"/>
    <w:rsid w:val="00645438"/>
    <w:rsid w:val="0064553C"/>
    <w:rsid w:val="00645598"/>
    <w:rsid w:val="0064595A"/>
    <w:rsid w:val="00645E29"/>
    <w:rsid w:val="00645EE0"/>
    <w:rsid w:val="006461BA"/>
    <w:rsid w:val="006465A9"/>
    <w:rsid w:val="006466C5"/>
    <w:rsid w:val="0064678D"/>
    <w:rsid w:val="00646CD3"/>
    <w:rsid w:val="00646FC7"/>
    <w:rsid w:val="006475D1"/>
    <w:rsid w:val="006478C7"/>
    <w:rsid w:val="00647A83"/>
    <w:rsid w:val="00647C13"/>
    <w:rsid w:val="006500AB"/>
    <w:rsid w:val="006502D4"/>
    <w:rsid w:val="006506D0"/>
    <w:rsid w:val="0065071E"/>
    <w:rsid w:val="00651011"/>
    <w:rsid w:val="00651042"/>
    <w:rsid w:val="00652315"/>
    <w:rsid w:val="006523FA"/>
    <w:rsid w:val="006526F4"/>
    <w:rsid w:val="00652A7B"/>
    <w:rsid w:val="00652AD7"/>
    <w:rsid w:val="00652F20"/>
    <w:rsid w:val="00653694"/>
    <w:rsid w:val="0065371B"/>
    <w:rsid w:val="00653C17"/>
    <w:rsid w:val="00653D04"/>
    <w:rsid w:val="00653F85"/>
    <w:rsid w:val="006547C8"/>
    <w:rsid w:val="0065490B"/>
    <w:rsid w:val="00654CBC"/>
    <w:rsid w:val="006558DF"/>
    <w:rsid w:val="006563D2"/>
    <w:rsid w:val="00656447"/>
    <w:rsid w:val="0065661C"/>
    <w:rsid w:val="0065687D"/>
    <w:rsid w:val="00656B95"/>
    <w:rsid w:val="00656DE5"/>
    <w:rsid w:val="00657270"/>
    <w:rsid w:val="00657554"/>
    <w:rsid w:val="00657C20"/>
    <w:rsid w:val="00660372"/>
    <w:rsid w:val="006609C0"/>
    <w:rsid w:val="00660AF6"/>
    <w:rsid w:val="00660B07"/>
    <w:rsid w:val="00660EB1"/>
    <w:rsid w:val="00660F55"/>
    <w:rsid w:val="00661478"/>
    <w:rsid w:val="0066278D"/>
    <w:rsid w:val="00662A3E"/>
    <w:rsid w:val="00662B34"/>
    <w:rsid w:val="00662C4C"/>
    <w:rsid w:val="00662EBA"/>
    <w:rsid w:val="00662EED"/>
    <w:rsid w:val="00663349"/>
    <w:rsid w:val="0066348F"/>
    <w:rsid w:val="006635D0"/>
    <w:rsid w:val="0066383E"/>
    <w:rsid w:val="006643D4"/>
    <w:rsid w:val="00664504"/>
    <w:rsid w:val="006649E6"/>
    <w:rsid w:val="00664D05"/>
    <w:rsid w:val="00664ED5"/>
    <w:rsid w:val="006653DB"/>
    <w:rsid w:val="00665999"/>
    <w:rsid w:val="00665B6B"/>
    <w:rsid w:val="00665E9F"/>
    <w:rsid w:val="006662E0"/>
    <w:rsid w:val="006665FB"/>
    <w:rsid w:val="00666CA3"/>
    <w:rsid w:val="00666E29"/>
    <w:rsid w:val="00666E54"/>
    <w:rsid w:val="0066742E"/>
    <w:rsid w:val="00667795"/>
    <w:rsid w:val="00667E50"/>
    <w:rsid w:val="00670642"/>
    <w:rsid w:val="00670A9B"/>
    <w:rsid w:val="0067121C"/>
    <w:rsid w:val="00671406"/>
    <w:rsid w:val="0067142B"/>
    <w:rsid w:val="00672018"/>
    <w:rsid w:val="00672812"/>
    <w:rsid w:val="0067307B"/>
    <w:rsid w:val="00673D99"/>
    <w:rsid w:val="0067422B"/>
    <w:rsid w:val="006744FC"/>
    <w:rsid w:val="00674805"/>
    <w:rsid w:val="00675082"/>
    <w:rsid w:val="00675758"/>
    <w:rsid w:val="0067579B"/>
    <w:rsid w:val="00675D02"/>
    <w:rsid w:val="00675FC7"/>
    <w:rsid w:val="006760D1"/>
    <w:rsid w:val="00676155"/>
    <w:rsid w:val="0067681F"/>
    <w:rsid w:val="006772D1"/>
    <w:rsid w:val="006775A6"/>
    <w:rsid w:val="006776BA"/>
    <w:rsid w:val="00677711"/>
    <w:rsid w:val="00677928"/>
    <w:rsid w:val="00677A45"/>
    <w:rsid w:val="00677D43"/>
    <w:rsid w:val="00677D81"/>
    <w:rsid w:val="00677E3E"/>
    <w:rsid w:val="00677E8B"/>
    <w:rsid w:val="006805BE"/>
    <w:rsid w:val="006805F0"/>
    <w:rsid w:val="00680E31"/>
    <w:rsid w:val="00681013"/>
    <w:rsid w:val="0068105D"/>
    <w:rsid w:val="006810AA"/>
    <w:rsid w:val="00681A55"/>
    <w:rsid w:val="006821CB"/>
    <w:rsid w:val="006822EE"/>
    <w:rsid w:val="006824F6"/>
    <w:rsid w:val="00683472"/>
    <w:rsid w:val="006838EF"/>
    <w:rsid w:val="00683E77"/>
    <w:rsid w:val="006845AD"/>
    <w:rsid w:val="0068475E"/>
    <w:rsid w:val="006849F8"/>
    <w:rsid w:val="00684E9C"/>
    <w:rsid w:val="006856A7"/>
    <w:rsid w:val="006858C2"/>
    <w:rsid w:val="00685A37"/>
    <w:rsid w:val="00685B4E"/>
    <w:rsid w:val="006860C6"/>
    <w:rsid w:val="006861A0"/>
    <w:rsid w:val="00686E6D"/>
    <w:rsid w:val="0068708B"/>
    <w:rsid w:val="00687177"/>
    <w:rsid w:val="00687547"/>
    <w:rsid w:val="0069002D"/>
    <w:rsid w:val="0069003F"/>
    <w:rsid w:val="006901E0"/>
    <w:rsid w:val="00690484"/>
    <w:rsid w:val="006907C1"/>
    <w:rsid w:val="00690D51"/>
    <w:rsid w:val="0069131B"/>
    <w:rsid w:val="006914EA"/>
    <w:rsid w:val="006915EB"/>
    <w:rsid w:val="0069275C"/>
    <w:rsid w:val="00692801"/>
    <w:rsid w:val="00692D1F"/>
    <w:rsid w:val="00692DF8"/>
    <w:rsid w:val="00692E3A"/>
    <w:rsid w:val="00693009"/>
    <w:rsid w:val="0069318F"/>
    <w:rsid w:val="00693782"/>
    <w:rsid w:val="00693A63"/>
    <w:rsid w:val="0069418C"/>
    <w:rsid w:val="006944E3"/>
    <w:rsid w:val="006945C2"/>
    <w:rsid w:val="00694650"/>
    <w:rsid w:val="006948A7"/>
    <w:rsid w:val="00694A2C"/>
    <w:rsid w:val="00694BE4"/>
    <w:rsid w:val="006950F7"/>
    <w:rsid w:val="00695813"/>
    <w:rsid w:val="00695CAF"/>
    <w:rsid w:val="00696071"/>
    <w:rsid w:val="006966B4"/>
    <w:rsid w:val="006967A0"/>
    <w:rsid w:val="0069694B"/>
    <w:rsid w:val="00696C94"/>
    <w:rsid w:val="00697901"/>
    <w:rsid w:val="006979A2"/>
    <w:rsid w:val="00697A9D"/>
    <w:rsid w:val="00697B5E"/>
    <w:rsid w:val="00697DA1"/>
    <w:rsid w:val="00697DD7"/>
    <w:rsid w:val="006A0749"/>
    <w:rsid w:val="006A092F"/>
    <w:rsid w:val="006A1117"/>
    <w:rsid w:val="006A1CE2"/>
    <w:rsid w:val="006A2352"/>
    <w:rsid w:val="006A23B8"/>
    <w:rsid w:val="006A2597"/>
    <w:rsid w:val="006A26EF"/>
    <w:rsid w:val="006A2DD5"/>
    <w:rsid w:val="006A3075"/>
    <w:rsid w:val="006A34E6"/>
    <w:rsid w:val="006A374C"/>
    <w:rsid w:val="006A4200"/>
    <w:rsid w:val="006A435A"/>
    <w:rsid w:val="006A4497"/>
    <w:rsid w:val="006A4655"/>
    <w:rsid w:val="006A472A"/>
    <w:rsid w:val="006A4D9A"/>
    <w:rsid w:val="006A51D8"/>
    <w:rsid w:val="006A56A3"/>
    <w:rsid w:val="006A5D4B"/>
    <w:rsid w:val="006A5E2D"/>
    <w:rsid w:val="006A5F34"/>
    <w:rsid w:val="006A609D"/>
    <w:rsid w:val="006A6828"/>
    <w:rsid w:val="006A69B3"/>
    <w:rsid w:val="006A7516"/>
    <w:rsid w:val="006A758E"/>
    <w:rsid w:val="006A7B23"/>
    <w:rsid w:val="006A7E09"/>
    <w:rsid w:val="006A7F5F"/>
    <w:rsid w:val="006B01C5"/>
    <w:rsid w:val="006B094E"/>
    <w:rsid w:val="006B110C"/>
    <w:rsid w:val="006B1472"/>
    <w:rsid w:val="006B15E7"/>
    <w:rsid w:val="006B181D"/>
    <w:rsid w:val="006B1AB7"/>
    <w:rsid w:val="006B1EB1"/>
    <w:rsid w:val="006B1F8B"/>
    <w:rsid w:val="006B231E"/>
    <w:rsid w:val="006B2494"/>
    <w:rsid w:val="006B2636"/>
    <w:rsid w:val="006B2FBC"/>
    <w:rsid w:val="006B33EA"/>
    <w:rsid w:val="006B362A"/>
    <w:rsid w:val="006B37A8"/>
    <w:rsid w:val="006B3E55"/>
    <w:rsid w:val="006B3F13"/>
    <w:rsid w:val="006B3F40"/>
    <w:rsid w:val="006B47EC"/>
    <w:rsid w:val="006B50DB"/>
    <w:rsid w:val="006B5925"/>
    <w:rsid w:val="006B5A9A"/>
    <w:rsid w:val="006B5C6D"/>
    <w:rsid w:val="006B5E7D"/>
    <w:rsid w:val="006B60EB"/>
    <w:rsid w:val="006B62C3"/>
    <w:rsid w:val="006B64EE"/>
    <w:rsid w:val="006B6636"/>
    <w:rsid w:val="006B692D"/>
    <w:rsid w:val="006B6D28"/>
    <w:rsid w:val="006B6F5B"/>
    <w:rsid w:val="006B7819"/>
    <w:rsid w:val="006B7A11"/>
    <w:rsid w:val="006C0051"/>
    <w:rsid w:val="006C026D"/>
    <w:rsid w:val="006C09D1"/>
    <w:rsid w:val="006C0D79"/>
    <w:rsid w:val="006C1297"/>
    <w:rsid w:val="006C15FC"/>
    <w:rsid w:val="006C1D91"/>
    <w:rsid w:val="006C2102"/>
    <w:rsid w:val="006C2612"/>
    <w:rsid w:val="006C2A1E"/>
    <w:rsid w:val="006C2B94"/>
    <w:rsid w:val="006C2E27"/>
    <w:rsid w:val="006C399C"/>
    <w:rsid w:val="006C3E57"/>
    <w:rsid w:val="006C4452"/>
    <w:rsid w:val="006C4B07"/>
    <w:rsid w:val="006C4F13"/>
    <w:rsid w:val="006C5808"/>
    <w:rsid w:val="006C595F"/>
    <w:rsid w:val="006C6017"/>
    <w:rsid w:val="006C609B"/>
    <w:rsid w:val="006C62A0"/>
    <w:rsid w:val="006C6639"/>
    <w:rsid w:val="006C69BA"/>
    <w:rsid w:val="006C6A31"/>
    <w:rsid w:val="006C6D52"/>
    <w:rsid w:val="006C7038"/>
    <w:rsid w:val="006C771A"/>
    <w:rsid w:val="006C7A8F"/>
    <w:rsid w:val="006C7C20"/>
    <w:rsid w:val="006D0226"/>
    <w:rsid w:val="006D0C53"/>
    <w:rsid w:val="006D0E8A"/>
    <w:rsid w:val="006D1130"/>
    <w:rsid w:val="006D13DB"/>
    <w:rsid w:val="006D1621"/>
    <w:rsid w:val="006D1A0A"/>
    <w:rsid w:val="006D2BCA"/>
    <w:rsid w:val="006D31CA"/>
    <w:rsid w:val="006D3889"/>
    <w:rsid w:val="006D38C1"/>
    <w:rsid w:val="006D397F"/>
    <w:rsid w:val="006D41E8"/>
    <w:rsid w:val="006D4246"/>
    <w:rsid w:val="006D4302"/>
    <w:rsid w:val="006D4368"/>
    <w:rsid w:val="006D43CC"/>
    <w:rsid w:val="006D449C"/>
    <w:rsid w:val="006D464D"/>
    <w:rsid w:val="006D476A"/>
    <w:rsid w:val="006D4912"/>
    <w:rsid w:val="006D4B39"/>
    <w:rsid w:val="006D4D1E"/>
    <w:rsid w:val="006D4DDD"/>
    <w:rsid w:val="006D4FC4"/>
    <w:rsid w:val="006D5664"/>
    <w:rsid w:val="006D5DB8"/>
    <w:rsid w:val="006D6015"/>
    <w:rsid w:val="006D6200"/>
    <w:rsid w:val="006D6493"/>
    <w:rsid w:val="006D66DD"/>
    <w:rsid w:val="006D67FA"/>
    <w:rsid w:val="006D6CAF"/>
    <w:rsid w:val="006D75F4"/>
    <w:rsid w:val="006D7648"/>
    <w:rsid w:val="006D7E05"/>
    <w:rsid w:val="006D7F73"/>
    <w:rsid w:val="006E0348"/>
    <w:rsid w:val="006E03E6"/>
    <w:rsid w:val="006E082B"/>
    <w:rsid w:val="006E086A"/>
    <w:rsid w:val="006E0B13"/>
    <w:rsid w:val="006E0C9F"/>
    <w:rsid w:val="006E0F08"/>
    <w:rsid w:val="006E0F57"/>
    <w:rsid w:val="006E12F3"/>
    <w:rsid w:val="006E1A19"/>
    <w:rsid w:val="006E29AD"/>
    <w:rsid w:val="006E2F2C"/>
    <w:rsid w:val="006E320F"/>
    <w:rsid w:val="006E33B6"/>
    <w:rsid w:val="006E36DB"/>
    <w:rsid w:val="006E3B4A"/>
    <w:rsid w:val="006E3CAE"/>
    <w:rsid w:val="006E4075"/>
    <w:rsid w:val="006E4436"/>
    <w:rsid w:val="006E548C"/>
    <w:rsid w:val="006E5643"/>
    <w:rsid w:val="006E56A7"/>
    <w:rsid w:val="006E5BB0"/>
    <w:rsid w:val="006E5C7D"/>
    <w:rsid w:val="006E5DED"/>
    <w:rsid w:val="006E5DF2"/>
    <w:rsid w:val="006E5FC4"/>
    <w:rsid w:val="006E6379"/>
    <w:rsid w:val="006E73EF"/>
    <w:rsid w:val="006E7AEE"/>
    <w:rsid w:val="006F006A"/>
    <w:rsid w:val="006F015C"/>
    <w:rsid w:val="006F0331"/>
    <w:rsid w:val="006F0382"/>
    <w:rsid w:val="006F0664"/>
    <w:rsid w:val="006F07EF"/>
    <w:rsid w:val="006F0982"/>
    <w:rsid w:val="006F0B27"/>
    <w:rsid w:val="006F124C"/>
    <w:rsid w:val="006F12F0"/>
    <w:rsid w:val="006F12F4"/>
    <w:rsid w:val="006F198F"/>
    <w:rsid w:val="006F1CED"/>
    <w:rsid w:val="006F25B9"/>
    <w:rsid w:val="006F31C3"/>
    <w:rsid w:val="006F33B9"/>
    <w:rsid w:val="006F386D"/>
    <w:rsid w:val="006F3B3B"/>
    <w:rsid w:val="006F4619"/>
    <w:rsid w:val="006F467F"/>
    <w:rsid w:val="006F537E"/>
    <w:rsid w:val="006F5704"/>
    <w:rsid w:val="006F57E7"/>
    <w:rsid w:val="006F59BC"/>
    <w:rsid w:val="006F6031"/>
    <w:rsid w:val="006F6486"/>
    <w:rsid w:val="006F68D5"/>
    <w:rsid w:val="006F6A74"/>
    <w:rsid w:val="006F6C51"/>
    <w:rsid w:val="006F794B"/>
    <w:rsid w:val="006F7D23"/>
    <w:rsid w:val="00700906"/>
    <w:rsid w:val="00700CB3"/>
    <w:rsid w:val="00700E00"/>
    <w:rsid w:val="0070166F"/>
    <w:rsid w:val="007018AC"/>
    <w:rsid w:val="007018CD"/>
    <w:rsid w:val="00701D94"/>
    <w:rsid w:val="00701DAC"/>
    <w:rsid w:val="0070211E"/>
    <w:rsid w:val="007021DE"/>
    <w:rsid w:val="007025BD"/>
    <w:rsid w:val="0070271E"/>
    <w:rsid w:val="00702B86"/>
    <w:rsid w:val="00703239"/>
    <w:rsid w:val="007032F9"/>
    <w:rsid w:val="00703357"/>
    <w:rsid w:val="007034CC"/>
    <w:rsid w:val="00703AD0"/>
    <w:rsid w:val="00703DDB"/>
    <w:rsid w:val="00704430"/>
    <w:rsid w:val="00704746"/>
    <w:rsid w:val="00704858"/>
    <w:rsid w:val="00704D10"/>
    <w:rsid w:val="00704D9C"/>
    <w:rsid w:val="00705266"/>
    <w:rsid w:val="00705789"/>
    <w:rsid w:val="007057C4"/>
    <w:rsid w:val="00705C01"/>
    <w:rsid w:val="00705CB9"/>
    <w:rsid w:val="00706A72"/>
    <w:rsid w:val="007070A8"/>
    <w:rsid w:val="00707A42"/>
    <w:rsid w:val="00710056"/>
    <w:rsid w:val="0071068A"/>
    <w:rsid w:val="00710B71"/>
    <w:rsid w:val="00711416"/>
    <w:rsid w:val="00711A65"/>
    <w:rsid w:val="00711A92"/>
    <w:rsid w:val="00711B6F"/>
    <w:rsid w:val="00711ED1"/>
    <w:rsid w:val="0071202B"/>
    <w:rsid w:val="0071231C"/>
    <w:rsid w:val="00712BE3"/>
    <w:rsid w:val="00712C5E"/>
    <w:rsid w:val="0071309B"/>
    <w:rsid w:val="0071335B"/>
    <w:rsid w:val="00713552"/>
    <w:rsid w:val="00713563"/>
    <w:rsid w:val="0071425E"/>
    <w:rsid w:val="00714348"/>
    <w:rsid w:val="00714766"/>
    <w:rsid w:val="00714A0D"/>
    <w:rsid w:val="007152DC"/>
    <w:rsid w:val="00715A60"/>
    <w:rsid w:val="00715D72"/>
    <w:rsid w:val="00715FA0"/>
    <w:rsid w:val="00716251"/>
    <w:rsid w:val="007162E3"/>
    <w:rsid w:val="007166DC"/>
    <w:rsid w:val="00716EE3"/>
    <w:rsid w:val="00717344"/>
    <w:rsid w:val="0071745A"/>
    <w:rsid w:val="00717655"/>
    <w:rsid w:val="00717689"/>
    <w:rsid w:val="00717C51"/>
    <w:rsid w:val="00717C63"/>
    <w:rsid w:val="00717F6C"/>
    <w:rsid w:val="0072018A"/>
    <w:rsid w:val="007204CD"/>
    <w:rsid w:val="00720887"/>
    <w:rsid w:val="00720943"/>
    <w:rsid w:val="00720BC3"/>
    <w:rsid w:val="0072103E"/>
    <w:rsid w:val="0072137D"/>
    <w:rsid w:val="0072143E"/>
    <w:rsid w:val="00721581"/>
    <w:rsid w:val="007215E2"/>
    <w:rsid w:val="00721F0D"/>
    <w:rsid w:val="00722980"/>
    <w:rsid w:val="00722E8D"/>
    <w:rsid w:val="00723718"/>
    <w:rsid w:val="0072382A"/>
    <w:rsid w:val="00723C6E"/>
    <w:rsid w:val="00723CD2"/>
    <w:rsid w:val="00723CEF"/>
    <w:rsid w:val="00723D6B"/>
    <w:rsid w:val="007243D9"/>
    <w:rsid w:val="007247B0"/>
    <w:rsid w:val="007249B7"/>
    <w:rsid w:val="00724A2B"/>
    <w:rsid w:val="00725040"/>
    <w:rsid w:val="00725280"/>
    <w:rsid w:val="00725498"/>
    <w:rsid w:val="0072568D"/>
    <w:rsid w:val="007257A1"/>
    <w:rsid w:val="007257F2"/>
    <w:rsid w:val="00725998"/>
    <w:rsid w:val="00725DE2"/>
    <w:rsid w:val="00725DE6"/>
    <w:rsid w:val="00726031"/>
    <w:rsid w:val="007262E6"/>
    <w:rsid w:val="0072683D"/>
    <w:rsid w:val="00726AF8"/>
    <w:rsid w:val="00726C15"/>
    <w:rsid w:val="00726FA9"/>
    <w:rsid w:val="007273D2"/>
    <w:rsid w:val="0072747E"/>
    <w:rsid w:val="007275D3"/>
    <w:rsid w:val="00727BBB"/>
    <w:rsid w:val="00727ECF"/>
    <w:rsid w:val="00727FC9"/>
    <w:rsid w:val="00730027"/>
    <w:rsid w:val="007305E1"/>
    <w:rsid w:val="00730892"/>
    <w:rsid w:val="00730FBD"/>
    <w:rsid w:val="0073124D"/>
    <w:rsid w:val="00731733"/>
    <w:rsid w:val="00731E34"/>
    <w:rsid w:val="00731EC3"/>
    <w:rsid w:val="007321CF"/>
    <w:rsid w:val="007323F3"/>
    <w:rsid w:val="0073265C"/>
    <w:rsid w:val="00732A43"/>
    <w:rsid w:val="00732ABF"/>
    <w:rsid w:val="0073348B"/>
    <w:rsid w:val="00733573"/>
    <w:rsid w:val="00733579"/>
    <w:rsid w:val="0073367E"/>
    <w:rsid w:val="007338D3"/>
    <w:rsid w:val="00733EE6"/>
    <w:rsid w:val="00733F11"/>
    <w:rsid w:val="0073413D"/>
    <w:rsid w:val="00734779"/>
    <w:rsid w:val="00734AF3"/>
    <w:rsid w:val="00734EDC"/>
    <w:rsid w:val="0073525F"/>
    <w:rsid w:val="00735457"/>
    <w:rsid w:val="007355FF"/>
    <w:rsid w:val="0073583C"/>
    <w:rsid w:val="00735C62"/>
    <w:rsid w:val="0073625E"/>
    <w:rsid w:val="0073679E"/>
    <w:rsid w:val="00736B4D"/>
    <w:rsid w:val="00736F4E"/>
    <w:rsid w:val="00736F94"/>
    <w:rsid w:val="00737191"/>
    <w:rsid w:val="0073728E"/>
    <w:rsid w:val="00737430"/>
    <w:rsid w:val="00737AC0"/>
    <w:rsid w:val="00737B3E"/>
    <w:rsid w:val="00737B89"/>
    <w:rsid w:val="00740132"/>
    <w:rsid w:val="007402E4"/>
    <w:rsid w:val="00740951"/>
    <w:rsid w:val="00740C30"/>
    <w:rsid w:val="00740E18"/>
    <w:rsid w:val="00741239"/>
    <w:rsid w:val="007413A9"/>
    <w:rsid w:val="00741628"/>
    <w:rsid w:val="007417A6"/>
    <w:rsid w:val="00741C0A"/>
    <w:rsid w:val="0074207D"/>
    <w:rsid w:val="00742429"/>
    <w:rsid w:val="007424FB"/>
    <w:rsid w:val="00743251"/>
    <w:rsid w:val="00743633"/>
    <w:rsid w:val="00743A12"/>
    <w:rsid w:val="0074400A"/>
    <w:rsid w:val="007444A3"/>
    <w:rsid w:val="007446F3"/>
    <w:rsid w:val="0074472E"/>
    <w:rsid w:val="00744AA0"/>
    <w:rsid w:val="00744D8D"/>
    <w:rsid w:val="00744E66"/>
    <w:rsid w:val="0074564E"/>
    <w:rsid w:val="007456D6"/>
    <w:rsid w:val="00745705"/>
    <w:rsid w:val="00745A49"/>
    <w:rsid w:val="00745D90"/>
    <w:rsid w:val="00745DCA"/>
    <w:rsid w:val="00745E52"/>
    <w:rsid w:val="0074643D"/>
    <w:rsid w:val="00746F59"/>
    <w:rsid w:val="00746FD2"/>
    <w:rsid w:val="0074744C"/>
    <w:rsid w:val="0074768E"/>
    <w:rsid w:val="00747C32"/>
    <w:rsid w:val="00750258"/>
    <w:rsid w:val="007504E5"/>
    <w:rsid w:val="00750622"/>
    <w:rsid w:val="007506E0"/>
    <w:rsid w:val="0075081E"/>
    <w:rsid w:val="007508BC"/>
    <w:rsid w:val="007509CB"/>
    <w:rsid w:val="00750B24"/>
    <w:rsid w:val="00750FF6"/>
    <w:rsid w:val="007510B3"/>
    <w:rsid w:val="007517CA"/>
    <w:rsid w:val="00751B62"/>
    <w:rsid w:val="00751BC3"/>
    <w:rsid w:val="00751F3F"/>
    <w:rsid w:val="0075232B"/>
    <w:rsid w:val="00752523"/>
    <w:rsid w:val="0075288E"/>
    <w:rsid w:val="00752C37"/>
    <w:rsid w:val="00752D32"/>
    <w:rsid w:val="00752FF4"/>
    <w:rsid w:val="00753539"/>
    <w:rsid w:val="00753684"/>
    <w:rsid w:val="00753748"/>
    <w:rsid w:val="0075376C"/>
    <w:rsid w:val="0075384B"/>
    <w:rsid w:val="0075393A"/>
    <w:rsid w:val="00753BB3"/>
    <w:rsid w:val="00753C31"/>
    <w:rsid w:val="00753DD2"/>
    <w:rsid w:val="00753FE7"/>
    <w:rsid w:val="00754267"/>
    <w:rsid w:val="00754817"/>
    <w:rsid w:val="00754AA1"/>
    <w:rsid w:val="00754B8C"/>
    <w:rsid w:val="00755009"/>
    <w:rsid w:val="00755074"/>
    <w:rsid w:val="007551F1"/>
    <w:rsid w:val="00755823"/>
    <w:rsid w:val="00755F29"/>
    <w:rsid w:val="0075631F"/>
    <w:rsid w:val="00756881"/>
    <w:rsid w:val="007569E4"/>
    <w:rsid w:val="00756A57"/>
    <w:rsid w:val="007570DB"/>
    <w:rsid w:val="007573E9"/>
    <w:rsid w:val="0075796A"/>
    <w:rsid w:val="00757AC2"/>
    <w:rsid w:val="0076007E"/>
    <w:rsid w:val="007602D5"/>
    <w:rsid w:val="00760347"/>
    <w:rsid w:val="007604BB"/>
    <w:rsid w:val="00760601"/>
    <w:rsid w:val="00760744"/>
    <w:rsid w:val="00760CC3"/>
    <w:rsid w:val="0076107D"/>
    <w:rsid w:val="007616B4"/>
    <w:rsid w:val="0076196B"/>
    <w:rsid w:val="0076201B"/>
    <w:rsid w:val="00762108"/>
    <w:rsid w:val="007622D9"/>
    <w:rsid w:val="00762530"/>
    <w:rsid w:val="0076332F"/>
    <w:rsid w:val="007634DB"/>
    <w:rsid w:val="007634FC"/>
    <w:rsid w:val="00763B51"/>
    <w:rsid w:val="00763C97"/>
    <w:rsid w:val="00763F88"/>
    <w:rsid w:val="00764213"/>
    <w:rsid w:val="00764B88"/>
    <w:rsid w:val="00764B8D"/>
    <w:rsid w:val="00764C7F"/>
    <w:rsid w:val="00764D0B"/>
    <w:rsid w:val="00765000"/>
    <w:rsid w:val="0076558D"/>
    <w:rsid w:val="007655E0"/>
    <w:rsid w:val="0076579D"/>
    <w:rsid w:val="007658B6"/>
    <w:rsid w:val="00765A48"/>
    <w:rsid w:val="00765F8F"/>
    <w:rsid w:val="0076646E"/>
    <w:rsid w:val="00766897"/>
    <w:rsid w:val="00766E02"/>
    <w:rsid w:val="00766F98"/>
    <w:rsid w:val="00767265"/>
    <w:rsid w:val="00767451"/>
    <w:rsid w:val="0076752A"/>
    <w:rsid w:val="007679CD"/>
    <w:rsid w:val="00767B1E"/>
    <w:rsid w:val="00767CDE"/>
    <w:rsid w:val="007700C2"/>
    <w:rsid w:val="0077031D"/>
    <w:rsid w:val="0077057C"/>
    <w:rsid w:val="00770AD9"/>
    <w:rsid w:val="00770B41"/>
    <w:rsid w:val="00770C17"/>
    <w:rsid w:val="00770D96"/>
    <w:rsid w:val="00771346"/>
    <w:rsid w:val="00771488"/>
    <w:rsid w:val="00772380"/>
    <w:rsid w:val="00772841"/>
    <w:rsid w:val="00772EA9"/>
    <w:rsid w:val="0077307F"/>
    <w:rsid w:val="00773114"/>
    <w:rsid w:val="00773AA3"/>
    <w:rsid w:val="00773BA4"/>
    <w:rsid w:val="0077410B"/>
    <w:rsid w:val="00774392"/>
    <w:rsid w:val="007752F1"/>
    <w:rsid w:val="0077589E"/>
    <w:rsid w:val="00776420"/>
    <w:rsid w:val="00776465"/>
    <w:rsid w:val="007769E2"/>
    <w:rsid w:val="00776CC9"/>
    <w:rsid w:val="00776FFA"/>
    <w:rsid w:val="00777256"/>
    <w:rsid w:val="00777290"/>
    <w:rsid w:val="00777582"/>
    <w:rsid w:val="007778D6"/>
    <w:rsid w:val="00777B70"/>
    <w:rsid w:val="0078041D"/>
    <w:rsid w:val="00780700"/>
    <w:rsid w:val="00780A18"/>
    <w:rsid w:val="00780EBF"/>
    <w:rsid w:val="00781124"/>
    <w:rsid w:val="007813BF"/>
    <w:rsid w:val="007819C4"/>
    <w:rsid w:val="00781A07"/>
    <w:rsid w:val="00781CD1"/>
    <w:rsid w:val="00781E7A"/>
    <w:rsid w:val="0078276C"/>
    <w:rsid w:val="0078292F"/>
    <w:rsid w:val="00782A00"/>
    <w:rsid w:val="00782FB5"/>
    <w:rsid w:val="00783382"/>
    <w:rsid w:val="00783AF0"/>
    <w:rsid w:val="00783D19"/>
    <w:rsid w:val="00783D8D"/>
    <w:rsid w:val="00783FA4"/>
    <w:rsid w:val="0078457E"/>
    <w:rsid w:val="007846A9"/>
    <w:rsid w:val="0078562A"/>
    <w:rsid w:val="0078599A"/>
    <w:rsid w:val="00785EFE"/>
    <w:rsid w:val="007861AF"/>
    <w:rsid w:val="00786253"/>
    <w:rsid w:val="007863D9"/>
    <w:rsid w:val="00786453"/>
    <w:rsid w:val="00786797"/>
    <w:rsid w:val="00786B50"/>
    <w:rsid w:val="00786D9A"/>
    <w:rsid w:val="00786FD2"/>
    <w:rsid w:val="007875AA"/>
    <w:rsid w:val="007875AB"/>
    <w:rsid w:val="00787BF3"/>
    <w:rsid w:val="00790790"/>
    <w:rsid w:val="00790D37"/>
    <w:rsid w:val="00790FC6"/>
    <w:rsid w:val="00791422"/>
    <w:rsid w:val="0079162B"/>
    <w:rsid w:val="00791C44"/>
    <w:rsid w:val="00791D51"/>
    <w:rsid w:val="00792395"/>
    <w:rsid w:val="00792896"/>
    <w:rsid w:val="007929F8"/>
    <w:rsid w:val="00792ECF"/>
    <w:rsid w:val="00792EEE"/>
    <w:rsid w:val="0079320C"/>
    <w:rsid w:val="007933EF"/>
    <w:rsid w:val="00793A38"/>
    <w:rsid w:val="00793BA3"/>
    <w:rsid w:val="007947DB"/>
    <w:rsid w:val="00794E06"/>
    <w:rsid w:val="00795490"/>
    <w:rsid w:val="007956F5"/>
    <w:rsid w:val="00796335"/>
    <w:rsid w:val="00796803"/>
    <w:rsid w:val="00796AC0"/>
    <w:rsid w:val="00796B1B"/>
    <w:rsid w:val="00796D8C"/>
    <w:rsid w:val="0079766B"/>
    <w:rsid w:val="00797ED6"/>
    <w:rsid w:val="007A000D"/>
    <w:rsid w:val="007A0227"/>
    <w:rsid w:val="007A0D90"/>
    <w:rsid w:val="007A1001"/>
    <w:rsid w:val="007A1233"/>
    <w:rsid w:val="007A13CA"/>
    <w:rsid w:val="007A16E1"/>
    <w:rsid w:val="007A1DA0"/>
    <w:rsid w:val="007A1E3F"/>
    <w:rsid w:val="007A1F63"/>
    <w:rsid w:val="007A2170"/>
    <w:rsid w:val="007A21EB"/>
    <w:rsid w:val="007A26FE"/>
    <w:rsid w:val="007A35D8"/>
    <w:rsid w:val="007A3E13"/>
    <w:rsid w:val="007A3E57"/>
    <w:rsid w:val="007A3EAB"/>
    <w:rsid w:val="007A5213"/>
    <w:rsid w:val="007A5F19"/>
    <w:rsid w:val="007A6493"/>
    <w:rsid w:val="007A64F9"/>
    <w:rsid w:val="007A69BF"/>
    <w:rsid w:val="007A6E64"/>
    <w:rsid w:val="007A6FAD"/>
    <w:rsid w:val="007A7057"/>
    <w:rsid w:val="007A7941"/>
    <w:rsid w:val="007A7A94"/>
    <w:rsid w:val="007A7CFA"/>
    <w:rsid w:val="007A7FCB"/>
    <w:rsid w:val="007B066C"/>
    <w:rsid w:val="007B07D0"/>
    <w:rsid w:val="007B07D3"/>
    <w:rsid w:val="007B0976"/>
    <w:rsid w:val="007B0B2E"/>
    <w:rsid w:val="007B0E52"/>
    <w:rsid w:val="007B0E7A"/>
    <w:rsid w:val="007B141F"/>
    <w:rsid w:val="007B1D0B"/>
    <w:rsid w:val="007B2007"/>
    <w:rsid w:val="007B2035"/>
    <w:rsid w:val="007B2191"/>
    <w:rsid w:val="007B2457"/>
    <w:rsid w:val="007B24D6"/>
    <w:rsid w:val="007B2BED"/>
    <w:rsid w:val="007B34A1"/>
    <w:rsid w:val="007B4A66"/>
    <w:rsid w:val="007B4AAF"/>
    <w:rsid w:val="007B524F"/>
    <w:rsid w:val="007B5ABF"/>
    <w:rsid w:val="007B5BAA"/>
    <w:rsid w:val="007B629F"/>
    <w:rsid w:val="007B6533"/>
    <w:rsid w:val="007B693C"/>
    <w:rsid w:val="007B6B48"/>
    <w:rsid w:val="007B6CFD"/>
    <w:rsid w:val="007B6ED7"/>
    <w:rsid w:val="007B7025"/>
    <w:rsid w:val="007B723B"/>
    <w:rsid w:val="007B7389"/>
    <w:rsid w:val="007B783F"/>
    <w:rsid w:val="007C012C"/>
    <w:rsid w:val="007C0358"/>
    <w:rsid w:val="007C084E"/>
    <w:rsid w:val="007C0856"/>
    <w:rsid w:val="007C0901"/>
    <w:rsid w:val="007C09EE"/>
    <w:rsid w:val="007C10FA"/>
    <w:rsid w:val="007C132D"/>
    <w:rsid w:val="007C183F"/>
    <w:rsid w:val="007C1904"/>
    <w:rsid w:val="007C1A4E"/>
    <w:rsid w:val="007C2228"/>
    <w:rsid w:val="007C2253"/>
    <w:rsid w:val="007C28DB"/>
    <w:rsid w:val="007C2E77"/>
    <w:rsid w:val="007C2F17"/>
    <w:rsid w:val="007C36C9"/>
    <w:rsid w:val="007C371F"/>
    <w:rsid w:val="007C380B"/>
    <w:rsid w:val="007C3F35"/>
    <w:rsid w:val="007C40F5"/>
    <w:rsid w:val="007C495C"/>
    <w:rsid w:val="007C4C42"/>
    <w:rsid w:val="007C4F0F"/>
    <w:rsid w:val="007C5169"/>
    <w:rsid w:val="007C56AD"/>
    <w:rsid w:val="007C5C24"/>
    <w:rsid w:val="007C66B7"/>
    <w:rsid w:val="007C67AF"/>
    <w:rsid w:val="007C6A51"/>
    <w:rsid w:val="007C6A95"/>
    <w:rsid w:val="007C6AC2"/>
    <w:rsid w:val="007C7153"/>
    <w:rsid w:val="007C789F"/>
    <w:rsid w:val="007D0295"/>
    <w:rsid w:val="007D06F7"/>
    <w:rsid w:val="007D0B2C"/>
    <w:rsid w:val="007D118B"/>
    <w:rsid w:val="007D1214"/>
    <w:rsid w:val="007D1D45"/>
    <w:rsid w:val="007D1D9F"/>
    <w:rsid w:val="007D22DB"/>
    <w:rsid w:val="007D2346"/>
    <w:rsid w:val="007D2363"/>
    <w:rsid w:val="007D27FF"/>
    <w:rsid w:val="007D29D8"/>
    <w:rsid w:val="007D2DA3"/>
    <w:rsid w:val="007D32E2"/>
    <w:rsid w:val="007D33B7"/>
    <w:rsid w:val="007D33F6"/>
    <w:rsid w:val="007D3682"/>
    <w:rsid w:val="007D3748"/>
    <w:rsid w:val="007D38F4"/>
    <w:rsid w:val="007D3DE7"/>
    <w:rsid w:val="007D3E50"/>
    <w:rsid w:val="007D4057"/>
    <w:rsid w:val="007D441B"/>
    <w:rsid w:val="007D47BB"/>
    <w:rsid w:val="007D4BFD"/>
    <w:rsid w:val="007D5294"/>
    <w:rsid w:val="007D5B1A"/>
    <w:rsid w:val="007D5E17"/>
    <w:rsid w:val="007D6644"/>
    <w:rsid w:val="007D6826"/>
    <w:rsid w:val="007D6959"/>
    <w:rsid w:val="007D6FA0"/>
    <w:rsid w:val="007D71BE"/>
    <w:rsid w:val="007D72C7"/>
    <w:rsid w:val="007D739D"/>
    <w:rsid w:val="007D74BA"/>
    <w:rsid w:val="007D788A"/>
    <w:rsid w:val="007D79A3"/>
    <w:rsid w:val="007E01E4"/>
    <w:rsid w:val="007E03E6"/>
    <w:rsid w:val="007E0546"/>
    <w:rsid w:val="007E118A"/>
    <w:rsid w:val="007E11A9"/>
    <w:rsid w:val="007E135F"/>
    <w:rsid w:val="007E1616"/>
    <w:rsid w:val="007E1926"/>
    <w:rsid w:val="007E29B0"/>
    <w:rsid w:val="007E302E"/>
    <w:rsid w:val="007E306A"/>
    <w:rsid w:val="007E397C"/>
    <w:rsid w:val="007E3E64"/>
    <w:rsid w:val="007E40C3"/>
    <w:rsid w:val="007E43C0"/>
    <w:rsid w:val="007E4601"/>
    <w:rsid w:val="007E51C5"/>
    <w:rsid w:val="007E5666"/>
    <w:rsid w:val="007E57B0"/>
    <w:rsid w:val="007E58A1"/>
    <w:rsid w:val="007E625A"/>
    <w:rsid w:val="007E677D"/>
    <w:rsid w:val="007E67E4"/>
    <w:rsid w:val="007E68BF"/>
    <w:rsid w:val="007E6BE4"/>
    <w:rsid w:val="007E6C6C"/>
    <w:rsid w:val="007E6F3D"/>
    <w:rsid w:val="007E73DA"/>
    <w:rsid w:val="007E7892"/>
    <w:rsid w:val="007E7EB5"/>
    <w:rsid w:val="007E7F5A"/>
    <w:rsid w:val="007F0808"/>
    <w:rsid w:val="007F0975"/>
    <w:rsid w:val="007F0A12"/>
    <w:rsid w:val="007F14EF"/>
    <w:rsid w:val="007F1650"/>
    <w:rsid w:val="007F1671"/>
    <w:rsid w:val="007F20AC"/>
    <w:rsid w:val="007F2305"/>
    <w:rsid w:val="007F23F8"/>
    <w:rsid w:val="007F2912"/>
    <w:rsid w:val="007F299D"/>
    <w:rsid w:val="007F2F30"/>
    <w:rsid w:val="007F30DB"/>
    <w:rsid w:val="007F37CD"/>
    <w:rsid w:val="007F3874"/>
    <w:rsid w:val="007F3A9C"/>
    <w:rsid w:val="007F3C47"/>
    <w:rsid w:val="007F3F3D"/>
    <w:rsid w:val="007F4247"/>
    <w:rsid w:val="007F476A"/>
    <w:rsid w:val="007F4C0F"/>
    <w:rsid w:val="007F4C39"/>
    <w:rsid w:val="007F56BA"/>
    <w:rsid w:val="007F5742"/>
    <w:rsid w:val="007F59A6"/>
    <w:rsid w:val="007F59D7"/>
    <w:rsid w:val="007F5B9B"/>
    <w:rsid w:val="007F615A"/>
    <w:rsid w:val="007F6C4F"/>
    <w:rsid w:val="007F7107"/>
    <w:rsid w:val="007F7352"/>
    <w:rsid w:val="007F75B8"/>
    <w:rsid w:val="007F7FAA"/>
    <w:rsid w:val="008006F4"/>
    <w:rsid w:val="008008DB"/>
    <w:rsid w:val="00800E88"/>
    <w:rsid w:val="008011F2"/>
    <w:rsid w:val="00801A2E"/>
    <w:rsid w:val="00801C87"/>
    <w:rsid w:val="00801C91"/>
    <w:rsid w:val="00801EA5"/>
    <w:rsid w:val="008023AD"/>
    <w:rsid w:val="008026B0"/>
    <w:rsid w:val="0080324C"/>
    <w:rsid w:val="00803394"/>
    <w:rsid w:val="00804838"/>
    <w:rsid w:val="008049BB"/>
    <w:rsid w:val="0080527F"/>
    <w:rsid w:val="00805362"/>
    <w:rsid w:val="00805683"/>
    <w:rsid w:val="00805950"/>
    <w:rsid w:val="0080599C"/>
    <w:rsid w:val="0080617C"/>
    <w:rsid w:val="0080675E"/>
    <w:rsid w:val="008068F2"/>
    <w:rsid w:val="0080696E"/>
    <w:rsid w:val="00806CC7"/>
    <w:rsid w:val="00807FDE"/>
    <w:rsid w:val="0081030F"/>
    <w:rsid w:val="0081047F"/>
    <w:rsid w:val="00811501"/>
    <w:rsid w:val="008116C5"/>
    <w:rsid w:val="00811E52"/>
    <w:rsid w:val="00811E84"/>
    <w:rsid w:val="00812779"/>
    <w:rsid w:val="00812F58"/>
    <w:rsid w:val="008132E4"/>
    <w:rsid w:val="00813749"/>
    <w:rsid w:val="00813E54"/>
    <w:rsid w:val="00813FC1"/>
    <w:rsid w:val="00814104"/>
    <w:rsid w:val="008145D3"/>
    <w:rsid w:val="00814799"/>
    <w:rsid w:val="0081489C"/>
    <w:rsid w:val="00814EA8"/>
    <w:rsid w:val="00815817"/>
    <w:rsid w:val="00815F53"/>
    <w:rsid w:val="00816949"/>
    <w:rsid w:val="008169AB"/>
    <w:rsid w:val="0081710A"/>
    <w:rsid w:val="008178DE"/>
    <w:rsid w:val="00817D86"/>
    <w:rsid w:val="00820255"/>
    <w:rsid w:val="0082051D"/>
    <w:rsid w:val="0082087D"/>
    <w:rsid w:val="00820F59"/>
    <w:rsid w:val="00821434"/>
    <w:rsid w:val="00821EFC"/>
    <w:rsid w:val="0082238A"/>
    <w:rsid w:val="0082291E"/>
    <w:rsid w:val="00822F00"/>
    <w:rsid w:val="008236C2"/>
    <w:rsid w:val="00823EDB"/>
    <w:rsid w:val="00824196"/>
    <w:rsid w:val="008242EB"/>
    <w:rsid w:val="0082497C"/>
    <w:rsid w:val="00824C8D"/>
    <w:rsid w:val="00825406"/>
    <w:rsid w:val="0082562D"/>
    <w:rsid w:val="00825714"/>
    <w:rsid w:val="0082586F"/>
    <w:rsid w:val="00825CC6"/>
    <w:rsid w:val="00825EC7"/>
    <w:rsid w:val="008261BB"/>
    <w:rsid w:val="008266FE"/>
    <w:rsid w:val="00826C0D"/>
    <w:rsid w:val="00826F16"/>
    <w:rsid w:val="00827244"/>
    <w:rsid w:val="00827488"/>
    <w:rsid w:val="0082757F"/>
    <w:rsid w:val="0082791A"/>
    <w:rsid w:val="008300C4"/>
    <w:rsid w:val="0083073F"/>
    <w:rsid w:val="008308DF"/>
    <w:rsid w:val="008309AB"/>
    <w:rsid w:val="00830E13"/>
    <w:rsid w:val="00830F4D"/>
    <w:rsid w:val="0083168D"/>
    <w:rsid w:val="00831B3F"/>
    <w:rsid w:val="00831ED7"/>
    <w:rsid w:val="0083233D"/>
    <w:rsid w:val="00832351"/>
    <w:rsid w:val="00832455"/>
    <w:rsid w:val="0083270D"/>
    <w:rsid w:val="00832A58"/>
    <w:rsid w:val="00832DA1"/>
    <w:rsid w:val="008334D4"/>
    <w:rsid w:val="008343E0"/>
    <w:rsid w:val="00834D64"/>
    <w:rsid w:val="00834D9C"/>
    <w:rsid w:val="008352E0"/>
    <w:rsid w:val="008359DF"/>
    <w:rsid w:val="00835C85"/>
    <w:rsid w:val="0083665D"/>
    <w:rsid w:val="0083686E"/>
    <w:rsid w:val="00836F79"/>
    <w:rsid w:val="00837086"/>
    <w:rsid w:val="00837B42"/>
    <w:rsid w:val="00837E75"/>
    <w:rsid w:val="00840153"/>
    <w:rsid w:val="008402F8"/>
    <w:rsid w:val="0084041D"/>
    <w:rsid w:val="00840599"/>
    <w:rsid w:val="0084067C"/>
    <w:rsid w:val="008408F0"/>
    <w:rsid w:val="00840BC3"/>
    <w:rsid w:val="008411B4"/>
    <w:rsid w:val="0084124C"/>
    <w:rsid w:val="008414E1"/>
    <w:rsid w:val="008416A9"/>
    <w:rsid w:val="00841836"/>
    <w:rsid w:val="00841C15"/>
    <w:rsid w:val="008424C2"/>
    <w:rsid w:val="00842851"/>
    <w:rsid w:val="00842B35"/>
    <w:rsid w:val="00842F9F"/>
    <w:rsid w:val="008432FB"/>
    <w:rsid w:val="0084357A"/>
    <w:rsid w:val="008438A2"/>
    <w:rsid w:val="00844043"/>
    <w:rsid w:val="00844198"/>
    <w:rsid w:val="008441B4"/>
    <w:rsid w:val="00844277"/>
    <w:rsid w:val="008448F3"/>
    <w:rsid w:val="00844A6F"/>
    <w:rsid w:val="00844EFC"/>
    <w:rsid w:val="00845FBC"/>
    <w:rsid w:val="0084601B"/>
    <w:rsid w:val="008462CA"/>
    <w:rsid w:val="00846675"/>
    <w:rsid w:val="00846682"/>
    <w:rsid w:val="00846945"/>
    <w:rsid w:val="00846C8A"/>
    <w:rsid w:val="00846FA2"/>
    <w:rsid w:val="0084709B"/>
    <w:rsid w:val="008475DF"/>
    <w:rsid w:val="00847A15"/>
    <w:rsid w:val="00850257"/>
    <w:rsid w:val="0085025F"/>
    <w:rsid w:val="008502FB"/>
    <w:rsid w:val="0085060A"/>
    <w:rsid w:val="00851573"/>
    <w:rsid w:val="00851834"/>
    <w:rsid w:val="00851C7D"/>
    <w:rsid w:val="0085216C"/>
    <w:rsid w:val="00852E25"/>
    <w:rsid w:val="008531A8"/>
    <w:rsid w:val="008536C8"/>
    <w:rsid w:val="00853908"/>
    <w:rsid w:val="00853C87"/>
    <w:rsid w:val="00854961"/>
    <w:rsid w:val="00854C92"/>
    <w:rsid w:val="0085518A"/>
    <w:rsid w:val="008551B9"/>
    <w:rsid w:val="008551D0"/>
    <w:rsid w:val="008555EB"/>
    <w:rsid w:val="00855766"/>
    <w:rsid w:val="00855D4F"/>
    <w:rsid w:val="00855E84"/>
    <w:rsid w:val="00856264"/>
    <w:rsid w:val="008562FD"/>
    <w:rsid w:val="0085693A"/>
    <w:rsid w:val="008569C2"/>
    <w:rsid w:val="008569CC"/>
    <w:rsid w:val="00856ECB"/>
    <w:rsid w:val="00856F85"/>
    <w:rsid w:val="008573B3"/>
    <w:rsid w:val="008573F6"/>
    <w:rsid w:val="008575C9"/>
    <w:rsid w:val="008578DA"/>
    <w:rsid w:val="00857A36"/>
    <w:rsid w:val="00857DD4"/>
    <w:rsid w:val="008600EF"/>
    <w:rsid w:val="0086061E"/>
    <w:rsid w:val="008606A6"/>
    <w:rsid w:val="0086082C"/>
    <w:rsid w:val="008619BE"/>
    <w:rsid w:val="00861F64"/>
    <w:rsid w:val="008625F7"/>
    <w:rsid w:val="00863499"/>
    <w:rsid w:val="0086352C"/>
    <w:rsid w:val="008639BA"/>
    <w:rsid w:val="00863AEB"/>
    <w:rsid w:val="00863BEE"/>
    <w:rsid w:val="00863C3D"/>
    <w:rsid w:val="00863C5C"/>
    <w:rsid w:val="00863D05"/>
    <w:rsid w:val="0086431A"/>
    <w:rsid w:val="0086447C"/>
    <w:rsid w:val="0086457F"/>
    <w:rsid w:val="008645EA"/>
    <w:rsid w:val="0086461F"/>
    <w:rsid w:val="00864ADC"/>
    <w:rsid w:val="00864CD6"/>
    <w:rsid w:val="00864D9F"/>
    <w:rsid w:val="00865349"/>
    <w:rsid w:val="00865861"/>
    <w:rsid w:val="0086616B"/>
    <w:rsid w:val="008665A7"/>
    <w:rsid w:val="0086665B"/>
    <w:rsid w:val="00866DD2"/>
    <w:rsid w:val="008670BA"/>
    <w:rsid w:val="008677B8"/>
    <w:rsid w:val="00867A28"/>
    <w:rsid w:val="00870553"/>
    <w:rsid w:val="008708C0"/>
    <w:rsid w:val="00871C10"/>
    <w:rsid w:val="008721C4"/>
    <w:rsid w:val="00872780"/>
    <w:rsid w:val="00872899"/>
    <w:rsid w:val="00872BAA"/>
    <w:rsid w:val="0087300E"/>
    <w:rsid w:val="0087335F"/>
    <w:rsid w:val="008734FE"/>
    <w:rsid w:val="00873E1C"/>
    <w:rsid w:val="0087486F"/>
    <w:rsid w:val="008748A3"/>
    <w:rsid w:val="0087503F"/>
    <w:rsid w:val="0087515A"/>
    <w:rsid w:val="008752CE"/>
    <w:rsid w:val="00875B08"/>
    <w:rsid w:val="00875CA6"/>
    <w:rsid w:val="0087611F"/>
    <w:rsid w:val="008763B9"/>
    <w:rsid w:val="00876411"/>
    <w:rsid w:val="00876479"/>
    <w:rsid w:val="0087691D"/>
    <w:rsid w:val="00877220"/>
    <w:rsid w:val="008773D7"/>
    <w:rsid w:val="008774F7"/>
    <w:rsid w:val="00877581"/>
    <w:rsid w:val="00877AB2"/>
    <w:rsid w:val="00877BE6"/>
    <w:rsid w:val="00877E2A"/>
    <w:rsid w:val="00877EFB"/>
    <w:rsid w:val="00880153"/>
    <w:rsid w:val="0088043D"/>
    <w:rsid w:val="0088048C"/>
    <w:rsid w:val="00880870"/>
    <w:rsid w:val="00880A00"/>
    <w:rsid w:val="00880D13"/>
    <w:rsid w:val="00880F97"/>
    <w:rsid w:val="00881254"/>
    <w:rsid w:val="0088133A"/>
    <w:rsid w:val="008814A0"/>
    <w:rsid w:val="00881899"/>
    <w:rsid w:val="00881A12"/>
    <w:rsid w:val="00881B0D"/>
    <w:rsid w:val="00881C23"/>
    <w:rsid w:val="00881CCB"/>
    <w:rsid w:val="00881FB8"/>
    <w:rsid w:val="0088234B"/>
    <w:rsid w:val="00882736"/>
    <w:rsid w:val="00882774"/>
    <w:rsid w:val="00882A1F"/>
    <w:rsid w:val="00882BE3"/>
    <w:rsid w:val="00882DDC"/>
    <w:rsid w:val="00883293"/>
    <w:rsid w:val="0088340B"/>
    <w:rsid w:val="00884642"/>
    <w:rsid w:val="00884651"/>
    <w:rsid w:val="0088477C"/>
    <w:rsid w:val="00884EE5"/>
    <w:rsid w:val="0088521C"/>
    <w:rsid w:val="008854F7"/>
    <w:rsid w:val="0088552E"/>
    <w:rsid w:val="00885545"/>
    <w:rsid w:val="0088562B"/>
    <w:rsid w:val="008858D8"/>
    <w:rsid w:val="00885EE3"/>
    <w:rsid w:val="00886087"/>
    <w:rsid w:val="008861F8"/>
    <w:rsid w:val="008869F6"/>
    <w:rsid w:val="00886C8B"/>
    <w:rsid w:val="008875A6"/>
    <w:rsid w:val="0088786D"/>
    <w:rsid w:val="00887DB5"/>
    <w:rsid w:val="00887F6C"/>
    <w:rsid w:val="00890011"/>
    <w:rsid w:val="008900BD"/>
    <w:rsid w:val="0089019E"/>
    <w:rsid w:val="00890407"/>
    <w:rsid w:val="00890461"/>
    <w:rsid w:val="00890571"/>
    <w:rsid w:val="0089071C"/>
    <w:rsid w:val="00890A55"/>
    <w:rsid w:val="00890BBA"/>
    <w:rsid w:val="00891089"/>
    <w:rsid w:val="008912B7"/>
    <w:rsid w:val="008912EF"/>
    <w:rsid w:val="008916F2"/>
    <w:rsid w:val="0089205B"/>
    <w:rsid w:val="00892671"/>
    <w:rsid w:val="008926EC"/>
    <w:rsid w:val="00892757"/>
    <w:rsid w:val="0089285E"/>
    <w:rsid w:val="00892AF4"/>
    <w:rsid w:val="00892C22"/>
    <w:rsid w:val="00893589"/>
    <w:rsid w:val="008940DC"/>
    <w:rsid w:val="0089436C"/>
    <w:rsid w:val="008947CC"/>
    <w:rsid w:val="0089548C"/>
    <w:rsid w:val="00895627"/>
    <w:rsid w:val="0089584A"/>
    <w:rsid w:val="00895C55"/>
    <w:rsid w:val="00895F79"/>
    <w:rsid w:val="00896437"/>
    <w:rsid w:val="008965F7"/>
    <w:rsid w:val="00896711"/>
    <w:rsid w:val="00896B0E"/>
    <w:rsid w:val="00896C66"/>
    <w:rsid w:val="00896F44"/>
    <w:rsid w:val="00897083"/>
    <w:rsid w:val="00897392"/>
    <w:rsid w:val="00897429"/>
    <w:rsid w:val="008978B6"/>
    <w:rsid w:val="00897A42"/>
    <w:rsid w:val="00897C4B"/>
    <w:rsid w:val="008A0425"/>
    <w:rsid w:val="008A057D"/>
    <w:rsid w:val="008A05DB"/>
    <w:rsid w:val="008A078B"/>
    <w:rsid w:val="008A0CC1"/>
    <w:rsid w:val="008A0CCE"/>
    <w:rsid w:val="008A1097"/>
    <w:rsid w:val="008A197C"/>
    <w:rsid w:val="008A20C5"/>
    <w:rsid w:val="008A249E"/>
    <w:rsid w:val="008A2B61"/>
    <w:rsid w:val="008A2E39"/>
    <w:rsid w:val="008A30F3"/>
    <w:rsid w:val="008A346D"/>
    <w:rsid w:val="008A379F"/>
    <w:rsid w:val="008A3AA2"/>
    <w:rsid w:val="008A3CDF"/>
    <w:rsid w:val="008A3EB6"/>
    <w:rsid w:val="008A4113"/>
    <w:rsid w:val="008A4187"/>
    <w:rsid w:val="008A4426"/>
    <w:rsid w:val="008A4565"/>
    <w:rsid w:val="008A47FF"/>
    <w:rsid w:val="008A4A97"/>
    <w:rsid w:val="008A4B3E"/>
    <w:rsid w:val="008A5836"/>
    <w:rsid w:val="008A5E1C"/>
    <w:rsid w:val="008A62A4"/>
    <w:rsid w:val="008A6488"/>
    <w:rsid w:val="008A663C"/>
    <w:rsid w:val="008A69A5"/>
    <w:rsid w:val="008A6BBB"/>
    <w:rsid w:val="008A6CA0"/>
    <w:rsid w:val="008A7040"/>
    <w:rsid w:val="008A71B9"/>
    <w:rsid w:val="008A740F"/>
    <w:rsid w:val="008A7507"/>
    <w:rsid w:val="008A7880"/>
    <w:rsid w:val="008A7ECA"/>
    <w:rsid w:val="008B0C9F"/>
    <w:rsid w:val="008B0FA3"/>
    <w:rsid w:val="008B1292"/>
    <w:rsid w:val="008B16BC"/>
    <w:rsid w:val="008B16E5"/>
    <w:rsid w:val="008B19A4"/>
    <w:rsid w:val="008B1C4C"/>
    <w:rsid w:val="008B21E9"/>
    <w:rsid w:val="008B221C"/>
    <w:rsid w:val="008B23F6"/>
    <w:rsid w:val="008B286E"/>
    <w:rsid w:val="008B2965"/>
    <w:rsid w:val="008B2DD2"/>
    <w:rsid w:val="008B3690"/>
    <w:rsid w:val="008B444E"/>
    <w:rsid w:val="008B4A5F"/>
    <w:rsid w:val="008B4B13"/>
    <w:rsid w:val="008B51B6"/>
    <w:rsid w:val="008B555F"/>
    <w:rsid w:val="008B5C7B"/>
    <w:rsid w:val="008B5FFD"/>
    <w:rsid w:val="008B607D"/>
    <w:rsid w:val="008B6436"/>
    <w:rsid w:val="008B684A"/>
    <w:rsid w:val="008B68D3"/>
    <w:rsid w:val="008B7064"/>
    <w:rsid w:val="008B7299"/>
    <w:rsid w:val="008C07F0"/>
    <w:rsid w:val="008C1093"/>
    <w:rsid w:val="008C13FC"/>
    <w:rsid w:val="008C15C1"/>
    <w:rsid w:val="008C1987"/>
    <w:rsid w:val="008C1B8A"/>
    <w:rsid w:val="008C1C1B"/>
    <w:rsid w:val="008C26AC"/>
    <w:rsid w:val="008C2877"/>
    <w:rsid w:val="008C2A33"/>
    <w:rsid w:val="008C2E20"/>
    <w:rsid w:val="008C3945"/>
    <w:rsid w:val="008C4337"/>
    <w:rsid w:val="008C47D8"/>
    <w:rsid w:val="008C4955"/>
    <w:rsid w:val="008C505C"/>
    <w:rsid w:val="008C58A7"/>
    <w:rsid w:val="008C6063"/>
    <w:rsid w:val="008C651C"/>
    <w:rsid w:val="008C67B4"/>
    <w:rsid w:val="008C6D12"/>
    <w:rsid w:val="008C6D75"/>
    <w:rsid w:val="008C6EFD"/>
    <w:rsid w:val="008C73A0"/>
    <w:rsid w:val="008C78BA"/>
    <w:rsid w:val="008C7E7F"/>
    <w:rsid w:val="008D0120"/>
    <w:rsid w:val="008D04B2"/>
    <w:rsid w:val="008D0830"/>
    <w:rsid w:val="008D0EC1"/>
    <w:rsid w:val="008D0F9B"/>
    <w:rsid w:val="008D10D6"/>
    <w:rsid w:val="008D1105"/>
    <w:rsid w:val="008D1144"/>
    <w:rsid w:val="008D120B"/>
    <w:rsid w:val="008D13F8"/>
    <w:rsid w:val="008D1761"/>
    <w:rsid w:val="008D1FBE"/>
    <w:rsid w:val="008D2137"/>
    <w:rsid w:val="008D238A"/>
    <w:rsid w:val="008D3032"/>
    <w:rsid w:val="008D350D"/>
    <w:rsid w:val="008D3619"/>
    <w:rsid w:val="008D3EEB"/>
    <w:rsid w:val="008D4829"/>
    <w:rsid w:val="008D49B8"/>
    <w:rsid w:val="008D4B98"/>
    <w:rsid w:val="008D4B9C"/>
    <w:rsid w:val="008D4FB5"/>
    <w:rsid w:val="008D5586"/>
    <w:rsid w:val="008D6171"/>
    <w:rsid w:val="008D61BA"/>
    <w:rsid w:val="008D6562"/>
    <w:rsid w:val="008D7744"/>
    <w:rsid w:val="008D7C5C"/>
    <w:rsid w:val="008E014F"/>
    <w:rsid w:val="008E0571"/>
    <w:rsid w:val="008E0683"/>
    <w:rsid w:val="008E0E1B"/>
    <w:rsid w:val="008E11E4"/>
    <w:rsid w:val="008E1D76"/>
    <w:rsid w:val="008E1DDD"/>
    <w:rsid w:val="008E1E1D"/>
    <w:rsid w:val="008E2161"/>
    <w:rsid w:val="008E2562"/>
    <w:rsid w:val="008E2BAB"/>
    <w:rsid w:val="008E2ED8"/>
    <w:rsid w:val="008E3074"/>
    <w:rsid w:val="008E32C8"/>
    <w:rsid w:val="008E3361"/>
    <w:rsid w:val="008E3364"/>
    <w:rsid w:val="008E3AFF"/>
    <w:rsid w:val="008E3BA8"/>
    <w:rsid w:val="008E43FE"/>
    <w:rsid w:val="008E4725"/>
    <w:rsid w:val="008E4D77"/>
    <w:rsid w:val="008E50AD"/>
    <w:rsid w:val="008E57A9"/>
    <w:rsid w:val="008E5A62"/>
    <w:rsid w:val="008E5A98"/>
    <w:rsid w:val="008E6CE5"/>
    <w:rsid w:val="008E6D1F"/>
    <w:rsid w:val="008E709E"/>
    <w:rsid w:val="008E7147"/>
    <w:rsid w:val="008E760A"/>
    <w:rsid w:val="008F0BE5"/>
    <w:rsid w:val="008F0D14"/>
    <w:rsid w:val="008F14A5"/>
    <w:rsid w:val="008F165C"/>
    <w:rsid w:val="008F22AD"/>
    <w:rsid w:val="008F23B5"/>
    <w:rsid w:val="008F2728"/>
    <w:rsid w:val="008F2A76"/>
    <w:rsid w:val="008F30DB"/>
    <w:rsid w:val="008F3235"/>
    <w:rsid w:val="008F3BD3"/>
    <w:rsid w:val="008F3D04"/>
    <w:rsid w:val="008F46D1"/>
    <w:rsid w:val="008F4AC3"/>
    <w:rsid w:val="008F4FBA"/>
    <w:rsid w:val="008F554B"/>
    <w:rsid w:val="008F59A9"/>
    <w:rsid w:val="008F5A30"/>
    <w:rsid w:val="008F62E0"/>
    <w:rsid w:val="008F638E"/>
    <w:rsid w:val="008F6462"/>
    <w:rsid w:val="008F7080"/>
    <w:rsid w:val="008F718E"/>
    <w:rsid w:val="008F72A1"/>
    <w:rsid w:val="008F7785"/>
    <w:rsid w:val="008F782F"/>
    <w:rsid w:val="008F7C80"/>
    <w:rsid w:val="008F7C90"/>
    <w:rsid w:val="008F7E93"/>
    <w:rsid w:val="008F7EF2"/>
    <w:rsid w:val="009002DC"/>
    <w:rsid w:val="00900C3D"/>
    <w:rsid w:val="00901005"/>
    <w:rsid w:val="0090116D"/>
    <w:rsid w:val="0090194E"/>
    <w:rsid w:val="0090199A"/>
    <w:rsid w:val="00901B24"/>
    <w:rsid w:val="0090260A"/>
    <w:rsid w:val="009028B0"/>
    <w:rsid w:val="009030BF"/>
    <w:rsid w:val="0090381D"/>
    <w:rsid w:val="00903A91"/>
    <w:rsid w:val="00903AEF"/>
    <w:rsid w:val="00903B4C"/>
    <w:rsid w:val="0090457F"/>
    <w:rsid w:val="0090458C"/>
    <w:rsid w:val="00904B30"/>
    <w:rsid w:val="00904B58"/>
    <w:rsid w:val="00904F67"/>
    <w:rsid w:val="009054CC"/>
    <w:rsid w:val="0090563B"/>
    <w:rsid w:val="00905844"/>
    <w:rsid w:val="009058F5"/>
    <w:rsid w:val="00905A9F"/>
    <w:rsid w:val="00905E80"/>
    <w:rsid w:val="00905FD8"/>
    <w:rsid w:val="009063B7"/>
    <w:rsid w:val="00906469"/>
    <w:rsid w:val="00906644"/>
    <w:rsid w:val="0090692C"/>
    <w:rsid w:val="00906931"/>
    <w:rsid w:val="00906A60"/>
    <w:rsid w:val="00906E02"/>
    <w:rsid w:val="0090715D"/>
    <w:rsid w:val="009073F1"/>
    <w:rsid w:val="00907A09"/>
    <w:rsid w:val="00907D7D"/>
    <w:rsid w:val="00910235"/>
    <w:rsid w:val="009102F3"/>
    <w:rsid w:val="00910467"/>
    <w:rsid w:val="009104E7"/>
    <w:rsid w:val="00910676"/>
    <w:rsid w:val="00910DCA"/>
    <w:rsid w:val="0091132C"/>
    <w:rsid w:val="0091136C"/>
    <w:rsid w:val="00911BD6"/>
    <w:rsid w:val="00911C87"/>
    <w:rsid w:val="009122CF"/>
    <w:rsid w:val="00912739"/>
    <w:rsid w:val="00912D6E"/>
    <w:rsid w:val="00913645"/>
    <w:rsid w:val="0091384D"/>
    <w:rsid w:val="00913A1B"/>
    <w:rsid w:val="00913CDB"/>
    <w:rsid w:val="00913D74"/>
    <w:rsid w:val="0091406E"/>
    <w:rsid w:val="00914368"/>
    <w:rsid w:val="00914418"/>
    <w:rsid w:val="009144C1"/>
    <w:rsid w:val="00914AC7"/>
    <w:rsid w:val="00914EBD"/>
    <w:rsid w:val="00914FE8"/>
    <w:rsid w:val="00915234"/>
    <w:rsid w:val="0091542A"/>
    <w:rsid w:val="0091565B"/>
    <w:rsid w:val="00915CFA"/>
    <w:rsid w:val="00916406"/>
    <w:rsid w:val="00917014"/>
    <w:rsid w:val="009170FF"/>
    <w:rsid w:val="0091737B"/>
    <w:rsid w:val="009174C8"/>
    <w:rsid w:val="009179F7"/>
    <w:rsid w:val="00917CD8"/>
    <w:rsid w:val="00920226"/>
    <w:rsid w:val="00920374"/>
    <w:rsid w:val="009204C2"/>
    <w:rsid w:val="00920B0B"/>
    <w:rsid w:val="00921224"/>
    <w:rsid w:val="009217BA"/>
    <w:rsid w:val="00921841"/>
    <w:rsid w:val="00921CE0"/>
    <w:rsid w:val="00922436"/>
    <w:rsid w:val="009229C6"/>
    <w:rsid w:val="00922B39"/>
    <w:rsid w:val="00922C9F"/>
    <w:rsid w:val="00922F98"/>
    <w:rsid w:val="009230D3"/>
    <w:rsid w:val="0092359F"/>
    <w:rsid w:val="009235B0"/>
    <w:rsid w:val="00923A31"/>
    <w:rsid w:val="00923B18"/>
    <w:rsid w:val="00924920"/>
    <w:rsid w:val="00924C26"/>
    <w:rsid w:val="009250BD"/>
    <w:rsid w:val="0092548E"/>
    <w:rsid w:val="009256E0"/>
    <w:rsid w:val="00925DC0"/>
    <w:rsid w:val="00926272"/>
    <w:rsid w:val="009264D3"/>
    <w:rsid w:val="00926774"/>
    <w:rsid w:val="00926947"/>
    <w:rsid w:val="00926FF2"/>
    <w:rsid w:val="009274AD"/>
    <w:rsid w:val="00927968"/>
    <w:rsid w:val="00927A41"/>
    <w:rsid w:val="00927EC9"/>
    <w:rsid w:val="00930D9D"/>
    <w:rsid w:val="00930EF8"/>
    <w:rsid w:val="00931076"/>
    <w:rsid w:val="009319E5"/>
    <w:rsid w:val="00931FD5"/>
    <w:rsid w:val="009320BD"/>
    <w:rsid w:val="00932A5E"/>
    <w:rsid w:val="00932B3B"/>
    <w:rsid w:val="00932B3F"/>
    <w:rsid w:val="00932BC2"/>
    <w:rsid w:val="00932EB6"/>
    <w:rsid w:val="009333EC"/>
    <w:rsid w:val="0093379E"/>
    <w:rsid w:val="009337F0"/>
    <w:rsid w:val="00933AA4"/>
    <w:rsid w:val="00933B6F"/>
    <w:rsid w:val="00933E6F"/>
    <w:rsid w:val="0093448F"/>
    <w:rsid w:val="009345D9"/>
    <w:rsid w:val="00934B15"/>
    <w:rsid w:val="00934B2F"/>
    <w:rsid w:val="00934B93"/>
    <w:rsid w:val="00934C6C"/>
    <w:rsid w:val="0093565E"/>
    <w:rsid w:val="00935E23"/>
    <w:rsid w:val="009361AB"/>
    <w:rsid w:val="00936925"/>
    <w:rsid w:val="00936BC3"/>
    <w:rsid w:val="00937439"/>
    <w:rsid w:val="0093755A"/>
    <w:rsid w:val="00937F0A"/>
    <w:rsid w:val="0094044B"/>
    <w:rsid w:val="00940F6C"/>
    <w:rsid w:val="009413EC"/>
    <w:rsid w:val="0094166E"/>
    <w:rsid w:val="00941869"/>
    <w:rsid w:val="00942196"/>
    <w:rsid w:val="00942A99"/>
    <w:rsid w:val="00942B62"/>
    <w:rsid w:val="00942F8F"/>
    <w:rsid w:val="00943052"/>
    <w:rsid w:val="00943172"/>
    <w:rsid w:val="00943215"/>
    <w:rsid w:val="009433FB"/>
    <w:rsid w:val="00943B2C"/>
    <w:rsid w:val="00943C9B"/>
    <w:rsid w:val="00944296"/>
    <w:rsid w:val="0094436A"/>
    <w:rsid w:val="00944931"/>
    <w:rsid w:val="00944B6C"/>
    <w:rsid w:val="00944BE1"/>
    <w:rsid w:val="00944EB7"/>
    <w:rsid w:val="00944F82"/>
    <w:rsid w:val="009450F1"/>
    <w:rsid w:val="00945211"/>
    <w:rsid w:val="00945829"/>
    <w:rsid w:val="00945A7E"/>
    <w:rsid w:val="00945B42"/>
    <w:rsid w:val="009463C2"/>
    <w:rsid w:val="0094673E"/>
    <w:rsid w:val="0094684B"/>
    <w:rsid w:val="00946ABF"/>
    <w:rsid w:val="00946CB4"/>
    <w:rsid w:val="00947403"/>
    <w:rsid w:val="009478DB"/>
    <w:rsid w:val="00947B36"/>
    <w:rsid w:val="00947CDD"/>
    <w:rsid w:val="00947D2C"/>
    <w:rsid w:val="00950093"/>
    <w:rsid w:val="00950818"/>
    <w:rsid w:val="00950FC9"/>
    <w:rsid w:val="00951107"/>
    <w:rsid w:val="0095122E"/>
    <w:rsid w:val="00951ED2"/>
    <w:rsid w:val="00951FFB"/>
    <w:rsid w:val="00952220"/>
    <w:rsid w:val="009524D2"/>
    <w:rsid w:val="009524EB"/>
    <w:rsid w:val="00952534"/>
    <w:rsid w:val="009526EA"/>
    <w:rsid w:val="009530B9"/>
    <w:rsid w:val="00953304"/>
    <w:rsid w:val="0095341E"/>
    <w:rsid w:val="00954135"/>
    <w:rsid w:val="00954201"/>
    <w:rsid w:val="009549EF"/>
    <w:rsid w:val="00954F5E"/>
    <w:rsid w:val="009550F7"/>
    <w:rsid w:val="00955394"/>
    <w:rsid w:val="00955446"/>
    <w:rsid w:val="00955A2E"/>
    <w:rsid w:val="0095633F"/>
    <w:rsid w:val="00956826"/>
    <w:rsid w:val="00956A0C"/>
    <w:rsid w:val="00956AEC"/>
    <w:rsid w:val="00956BD9"/>
    <w:rsid w:val="00956E84"/>
    <w:rsid w:val="00956F08"/>
    <w:rsid w:val="00956F78"/>
    <w:rsid w:val="009573E8"/>
    <w:rsid w:val="00957670"/>
    <w:rsid w:val="00957955"/>
    <w:rsid w:val="00957D71"/>
    <w:rsid w:val="00957EA9"/>
    <w:rsid w:val="009602DB"/>
    <w:rsid w:val="009602FE"/>
    <w:rsid w:val="00960C9A"/>
    <w:rsid w:val="0096118E"/>
    <w:rsid w:val="009617F6"/>
    <w:rsid w:val="00962239"/>
    <w:rsid w:val="00962489"/>
    <w:rsid w:val="009626FD"/>
    <w:rsid w:val="00962A05"/>
    <w:rsid w:val="00962AEA"/>
    <w:rsid w:val="00963A1C"/>
    <w:rsid w:val="00963BE5"/>
    <w:rsid w:val="009640BD"/>
    <w:rsid w:val="00964231"/>
    <w:rsid w:val="009642CC"/>
    <w:rsid w:val="00964570"/>
    <w:rsid w:val="00964D65"/>
    <w:rsid w:val="00964D98"/>
    <w:rsid w:val="00964E55"/>
    <w:rsid w:val="00964E8C"/>
    <w:rsid w:val="0096533D"/>
    <w:rsid w:val="00965381"/>
    <w:rsid w:val="0096571C"/>
    <w:rsid w:val="00965908"/>
    <w:rsid w:val="009661D2"/>
    <w:rsid w:val="009663F4"/>
    <w:rsid w:val="00966825"/>
    <w:rsid w:val="00966F16"/>
    <w:rsid w:val="00966F57"/>
    <w:rsid w:val="00966F7B"/>
    <w:rsid w:val="00967306"/>
    <w:rsid w:val="00967357"/>
    <w:rsid w:val="0096741F"/>
    <w:rsid w:val="00967F3C"/>
    <w:rsid w:val="00970173"/>
    <w:rsid w:val="00970362"/>
    <w:rsid w:val="0097055B"/>
    <w:rsid w:val="00970616"/>
    <w:rsid w:val="00970A51"/>
    <w:rsid w:val="00970A67"/>
    <w:rsid w:val="00970B14"/>
    <w:rsid w:val="00970DA4"/>
    <w:rsid w:val="0097174F"/>
    <w:rsid w:val="00971E23"/>
    <w:rsid w:val="00971E6B"/>
    <w:rsid w:val="00972046"/>
    <w:rsid w:val="009721B7"/>
    <w:rsid w:val="00972373"/>
    <w:rsid w:val="009725F7"/>
    <w:rsid w:val="00972AF4"/>
    <w:rsid w:val="00972C86"/>
    <w:rsid w:val="00972DD7"/>
    <w:rsid w:val="009731C4"/>
    <w:rsid w:val="009737F9"/>
    <w:rsid w:val="00973A29"/>
    <w:rsid w:val="00973B10"/>
    <w:rsid w:val="00973CFD"/>
    <w:rsid w:val="00973F8E"/>
    <w:rsid w:val="009746CB"/>
    <w:rsid w:val="009749BC"/>
    <w:rsid w:val="00974CA2"/>
    <w:rsid w:val="0097505C"/>
    <w:rsid w:val="009751F9"/>
    <w:rsid w:val="0097567C"/>
    <w:rsid w:val="009758D9"/>
    <w:rsid w:val="00976594"/>
    <w:rsid w:val="00976B43"/>
    <w:rsid w:val="00977AB3"/>
    <w:rsid w:val="00977F06"/>
    <w:rsid w:val="0098005A"/>
    <w:rsid w:val="0098012B"/>
    <w:rsid w:val="0098070C"/>
    <w:rsid w:val="00980879"/>
    <w:rsid w:val="00980FD7"/>
    <w:rsid w:val="00981442"/>
    <w:rsid w:val="00981A96"/>
    <w:rsid w:val="00981F3C"/>
    <w:rsid w:val="00982A64"/>
    <w:rsid w:val="00982CC2"/>
    <w:rsid w:val="00982E89"/>
    <w:rsid w:val="00982EE0"/>
    <w:rsid w:val="0098308B"/>
    <w:rsid w:val="009833A4"/>
    <w:rsid w:val="00983487"/>
    <w:rsid w:val="0098388B"/>
    <w:rsid w:val="00983992"/>
    <w:rsid w:val="00983C51"/>
    <w:rsid w:val="0098418B"/>
    <w:rsid w:val="009842D2"/>
    <w:rsid w:val="00984736"/>
    <w:rsid w:val="00984C14"/>
    <w:rsid w:val="00984CF3"/>
    <w:rsid w:val="00985396"/>
    <w:rsid w:val="009858DC"/>
    <w:rsid w:val="00985B01"/>
    <w:rsid w:val="00985B93"/>
    <w:rsid w:val="00985F8C"/>
    <w:rsid w:val="009864C1"/>
    <w:rsid w:val="00986985"/>
    <w:rsid w:val="00986CD9"/>
    <w:rsid w:val="0098713D"/>
    <w:rsid w:val="00987469"/>
    <w:rsid w:val="00987AA8"/>
    <w:rsid w:val="00987CFB"/>
    <w:rsid w:val="00990220"/>
    <w:rsid w:val="00990302"/>
    <w:rsid w:val="0099044E"/>
    <w:rsid w:val="00990DCE"/>
    <w:rsid w:val="009914FD"/>
    <w:rsid w:val="00991609"/>
    <w:rsid w:val="009916CF"/>
    <w:rsid w:val="0099175B"/>
    <w:rsid w:val="00991F8B"/>
    <w:rsid w:val="009922EF"/>
    <w:rsid w:val="0099234D"/>
    <w:rsid w:val="0099286C"/>
    <w:rsid w:val="00992879"/>
    <w:rsid w:val="0099291B"/>
    <w:rsid w:val="00993126"/>
    <w:rsid w:val="0099317C"/>
    <w:rsid w:val="00993315"/>
    <w:rsid w:val="009936F9"/>
    <w:rsid w:val="00993959"/>
    <w:rsid w:val="00993D63"/>
    <w:rsid w:val="0099406B"/>
    <w:rsid w:val="009941BE"/>
    <w:rsid w:val="00994575"/>
    <w:rsid w:val="00994A56"/>
    <w:rsid w:val="009962FF"/>
    <w:rsid w:val="009963B6"/>
    <w:rsid w:val="009965D2"/>
    <w:rsid w:val="0099673D"/>
    <w:rsid w:val="00996AFF"/>
    <w:rsid w:val="00997321"/>
    <w:rsid w:val="00997BFD"/>
    <w:rsid w:val="00997F64"/>
    <w:rsid w:val="009A0483"/>
    <w:rsid w:val="009A055A"/>
    <w:rsid w:val="009A09A9"/>
    <w:rsid w:val="009A0A9E"/>
    <w:rsid w:val="009A0B19"/>
    <w:rsid w:val="009A12C1"/>
    <w:rsid w:val="009A1AFC"/>
    <w:rsid w:val="009A22A7"/>
    <w:rsid w:val="009A2772"/>
    <w:rsid w:val="009A3766"/>
    <w:rsid w:val="009A3961"/>
    <w:rsid w:val="009A3B97"/>
    <w:rsid w:val="009A3E7B"/>
    <w:rsid w:val="009A47B8"/>
    <w:rsid w:val="009A480F"/>
    <w:rsid w:val="009A49EC"/>
    <w:rsid w:val="009A4D30"/>
    <w:rsid w:val="009A50A5"/>
    <w:rsid w:val="009A5130"/>
    <w:rsid w:val="009A55C3"/>
    <w:rsid w:val="009A5872"/>
    <w:rsid w:val="009A5913"/>
    <w:rsid w:val="009A5BF8"/>
    <w:rsid w:val="009A6144"/>
    <w:rsid w:val="009A6263"/>
    <w:rsid w:val="009A6397"/>
    <w:rsid w:val="009A65E6"/>
    <w:rsid w:val="009A6BEE"/>
    <w:rsid w:val="009A6BF6"/>
    <w:rsid w:val="009A6D5E"/>
    <w:rsid w:val="009A6F58"/>
    <w:rsid w:val="009A6FDC"/>
    <w:rsid w:val="009A7566"/>
    <w:rsid w:val="009A7C04"/>
    <w:rsid w:val="009B0135"/>
    <w:rsid w:val="009B02AF"/>
    <w:rsid w:val="009B119D"/>
    <w:rsid w:val="009B1221"/>
    <w:rsid w:val="009B1ACD"/>
    <w:rsid w:val="009B1EC3"/>
    <w:rsid w:val="009B25A6"/>
    <w:rsid w:val="009B26D4"/>
    <w:rsid w:val="009B300D"/>
    <w:rsid w:val="009B34AD"/>
    <w:rsid w:val="009B3C88"/>
    <w:rsid w:val="009B3CAF"/>
    <w:rsid w:val="009B418E"/>
    <w:rsid w:val="009B4588"/>
    <w:rsid w:val="009B473F"/>
    <w:rsid w:val="009B4ABE"/>
    <w:rsid w:val="009B4E91"/>
    <w:rsid w:val="009B58D7"/>
    <w:rsid w:val="009B5A03"/>
    <w:rsid w:val="009B5BC2"/>
    <w:rsid w:val="009B5C98"/>
    <w:rsid w:val="009B6125"/>
    <w:rsid w:val="009B631B"/>
    <w:rsid w:val="009B64E2"/>
    <w:rsid w:val="009B65C3"/>
    <w:rsid w:val="009B66FA"/>
    <w:rsid w:val="009B6D16"/>
    <w:rsid w:val="009B7439"/>
    <w:rsid w:val="009B751D"/>
    <w:rsid w:val="009B76C6"/>
    <w:rsid w:val="009B77BC"/>
    <w:rsid w:val="009B7F71"/>
    <w:rsid w:val="009B7F74"/>
    <w:rsid w:val="009C011B"/>
    <w:rsid w:val="009C0D03"/>
    <w:rsid w:val="009C18B7"/>
    <w:rsid w:val="009C1BDB"/>
    <w:rsid w:val="009C1D25"/>
    <w:rsid w:val="009C23FC"/>
    <w:rsid w:val="009C24C8"/>
    <w:rsid w:val="009C24D8"/>
    <w:rsid w:val="009C2563"/>
    <w:rsid w:val="009C2A4B"/>
    <w:rsid w:val="009C3548"/>
    <w:rsid w:val="009C371F"/>
    <w:rsid w:val="009C38A2"/>
    <w:rsid w:val="009C39CF"/>
    <w:rsid w:val="009C3A7D"/>
    <w:rsid w:val="009C3AD3"/>
    <w:rsid w:val="009C3B12"/>
    <w:rsid w:val="009C455A"/>
    <w:rsid w:val="009C4698"/>
    <w:rsid w:val="009C5471"/>
    <w:rsid w:val="009C56E8"/>
    <w:rsid w:val="009C5F5A"/>
    <w:rsid w:val="009C5F9E"/>
    <w:rsid w:val="009C672F"/>
    <w:rsid w:val="009C6D48"/>
    <w:rsid w:val="009C6D7B"/>
    <w:rsid w:val="009C6E6C"/>
    <w:rsid w:val="009C6F25"/>
    <w:rsid w:val="009C70DD"/>
    <w:rsid w:val="009C719A"/>
    <w:rsid w:val="009C7370"/>
    <w:rsid w:val="009C7DA4"/>
    <w:rsid w:val="009C7EFA"/>
    <w:rsid w:val="009D002A"/>
    <w:rsid w:val="009D00FA"/>
    <w:rsid w:val="009D053E"/>
    <w:rsid w:val="009D0548"/>
    <w:rsid w:val="009D1739"/>
    <w:rsid w:val="009D30E2"/>
    <w:rsid w:val="009D362C"/>
    <w:rsid w:val="009D363D"/>
    <w:rsid w:val="009D43D6"/>
    <w:rsid w:val="009D4994"/>
    <w:rsid w:val="009D51B4"/>
    <w:rsid w:val="009D5C97"/>
    <w:rsid w:val="009D655C"/>
    <w:rsid w:val="009D679A"/>
    <w:rsid w:val="009D6923"/>
    <w:rsid w:val="009D759E"/>
    <w:rsid w:val="009D7939"/>
    <w:rsid w:val="009D7BB7"/>
    <w:rsid w:val="009E06F0"/>
    <w:rsid w:val="009E0792"/>
    <w:rsid w:val="009E0B6F"/>
    <w:rsid w:val="009E1040"/>
    <w:rsid w:val="009E14AD"/>
    <w:rsid w:val="009E1AD9"/>
    <w:rsid w:val="009E1D05"/>
    <w:rsid w:val="009E23D6"/>
    <w:rsid w:val="009E259F"/>
    <w:rsid w:val="009E2CB3"/>
    <w:rsid w:val="009E3349"/>
    <w:rsid w:val="009E342B"/>
    <w:rsid w:val="009E3BA1"/>
    <w:rsid w:val="009E436C"/>
    <w:rsid w:val="009E4674"/>
    <w:rsid w:val="009E467E"/>
    <w:rsid w:val="009E4F07"/>
    <w:rsid w:val="009E53C3"/>
    <w:rsid w:val="009E5B6E"/>
    <w:rsid w:val="009E5E05"/>
    <w:rsid w:val="009E6A8B"/>
    <w:rsid w:val="009E714A"/>
    <w:rsid w:val="009E761E"/>
    <w:rsid w:val="009E7A42"/>
    <w:rsid w:val="009E7C39"/>
    <w:rsid w:val="009F06B9"/>
    <w:rsid w:val="009F0D48"/>
    <w:rsid w:val="009F0F2A"/>
    <w:rsid w:val="009F0F32"/>
    <w:rsid w:val="009F1489"/>
    <w:rsid w:val="009F1A35"/>
    <w:rsid w:val="009F1D8D"/>
    <w:rsid w:val="009F2045"/>
    <w:rsid w:val="009F222E"/>
    <w:rsid w:val="009F2584"/>
    <w:rsid w:val="009F2BC7"/>
    <w:rsid w:val="009F2F68"/>
    <w:rsid w:val="009F2FBD"/>
    <w:rsid w:val="009F4C90"/>
    <w:rsid w:val="009F4EDE"/>
    <w:rsid w:val="009F5887"/>
    <w:rsid w:val="009F5BC7"/>
    <w:rsid w:val="009F604E"/>
    <w:rsid w:val="009F63D8"/>
    <w:rsid w:val="009F696D"/>
    <w:rsid w:val="009F6A39"/>
    <w:rsid w:val="009F6BC6"/>
    <w:rsid w:val="009F7629"/>
    <w:rsid w:val="009F7892"/>
    <w:rsid w:val="009F7A8F"/>
    <w:rsid w:val="00A00951"/>
    <w:rsid w:val="00A00AB0"/>
    <w:rsid w:val="00A00C40"/>
    <w:rsid w:val="00A01217"/>
    <w:rsid w:val="00A0161E"/>
    <w:rsid w:val="00A01638"/>
    <w:rsid w:val="00A01758"/>
    <w:rsid w:val="00A01B08"/>
    <w:rsid w:val="00A01B5A"/>
    <w:rsid w:val="00A021FA"/>
    <w:rsid w:val="00A023BB"/>
    <w:rsid w:val="00A02942"/>
    <w:rsid w:val="00A02B91"/>
    <w:rsid w:val="00A0372C"/>
    <w:rsid w:val="00A03A7F"/>
    <w:rsid w:val="00A03D43"/>
    <w:rsid w:val="00A03D7E"/>
    <w:rsid w:val="00A03EDA"/>
    <w:rsid w:val="00A03F07"/>
    <w:rsid w:val="00A043C1"/>
    <w:rsid w:val="00A043E8"/>
    <w:rsid w:val="00A0457C"/>
    <w:rsid w:val="00A04611"/>
    <w:rsid w:val="00A0470D"/>
    <w:rsid w:val="00A0483A"/>
    <w:rsid w:val="00A05466"/>
    <w:rsid w:val="00A0565F"/>
    <w:rsid w:val="00A0592F"/>
    <w:rsid w:val="00A05BD3"/>
    <w:rsid w:val="00A0633F"/>
    <w:rsid w:val="00A06389"/>
    <w:rsid w:val="00A063D9"/>
    <w:rsid w:val="00A0640E"/>
    <w:rsid w:val="00A06AAB"/>
    <w:rsid w:val="00A07416"/>
    <w:rsid w:val="00A0796B"/>
    <w:rsid w:val="00A07F9A"/>
    <w:rsid w:val="00A10374"/>
    <w:rsid w:val="00A1045A"/>
    <w:rsid w:val="00A1072E"/>
    <w:rsid w:val="00A10BB8"/>
    <w:rsid w:val="00A10F67"/>
    <w:rsid w:val="00A11155"/>
    <w:rsid w:val="00A11723"/>
    <w:rsid w:val="00A11B36"/>
    <w:rsid w:val="00A121CB"/>
    <w:rsid w:val="00A12808"/>
    <w:rsid w:val="00A12A16"/>
    <w:rsid w:val="00A1303A"/>
    <w:rsid w:val="00A130DF"/>
    <w:rsid w:val="00A13745"/>
    <w:rsid w:val="00A13B0A"/>
    <w:rsid w:val="00A13B89"/>
    <w:rsid w:val="00A13DE3"/>
    <w:rsid w:val="00A1415B"/>
    <w:rsid w:val="00A1417D"/>
    <w:rsid w:val="00A145C3"/>
    <w:rsid w:val="00A145E9"/>
    <w:rsid w:val="00A14845"/>
    <w:rsid w:val="00A14DBC"/>
    <w:rsid w:val="00A14E32"/>
    <w:rsid w:val="00A15838"/>
    <w:rsid w:val="00A160D9"/>
    <w:rsid w:val="00A16567"/>
    <w:rsid w:val="00A16760"/>
    <w:rsid w:val="00A167C8"/>
    <w:rsid w:val="00A16A2B"/>
    <w:rsid w:val="00A16FD5"/>
    <w:rsid w:val="00A1701B"/>
    <w:rsid w:val="00A1707B"/>
    <w:rsid w:val="00A17328"/>
    <w:rsid w:val="00A173B8"/>
    <w:rsid w:val="00A17424"/>
    <w:rsid w:val="00A17B9A"/>
    <w:rsid w:val="00A201B6"/>
    <w:rsid w:val="00A20489"/>
    <w:rsid w:val="00A20761"/>
    <w:rsid w:val="00A20A3F"/>
    <w:rsid w:val="00A20CF3"/>
    <w:rsid w:val="00A20F78"/>
    <w:rsid w:val="00A2112D"/>
    <w:rsid w:val="00A215CA"/>
    <w:rsid w:val="00A217E2"/>
    <w:rsid w:val="00A219F3"/>
    <w:rsid w:val="00A21E29"/>
    <w:rsid w:val="00A2213E"/>
    <w:rsid w:val="00A22788"/>
    <w:rsid w:val="00A22922"/>
    <w:rsid w:val="00A23035"/>
    <w:rsid w:val="00A23C6D"/>
    <w:rsid w:val="00A2445B"/>
    <w:rsid w:val="00A24994"/>
    <w:rsid w:val="00A249D5"/>
    <w:rsid w:val="00A24EDD"/>
    <w:rsid w:val="00A251F9"/>
    <w:rsid w:val="00A25FDF"/>
    <w:rsid w:val="00A25FFE"/>
    <w:rsid w:val="00A26973"/>
    <w:rsid w:val="00A269EF"/>
    <w:rsid w:val="00A26D20"/>
    <w:rsid w:val="00A26F1D"/>
    <w:rsid w:val="00A2703A"/>
    <w:rsid w:val="00A27952"/>
    <w:rsid w:val="00A30528"/>
    <w:rsid w:val="00A3073B"/>
    <w:rsid w:val="00A30D99"/>
    <w:rsid w:val="00A31386"/>
    <w:rsid w:val="00A315E8"/>
    <w:rsid w:val="00A31922"/>
    <w:rsid w:val="00A31CAD"/>
    <w:rsid w:val="00A32587"/>
    <w:rsid w:val="00A326CC"/>
    <w:rsid w:val="00A32AE5"/>
    <w:rsid w:val="00A33121"/>
    <w:rsid w:val="00A331FA"/>
    <w:rsid w:val="00A3367E"/>
    <w:rsid w:val="00A33753"/>
    <w:rsid w:val="00A33B23"/>
    <w:rsid w:val="00A33D92"/>
    <w:rsid w:val="00A33DFF"/>
    <w:rsid w:val="00A34198"/>
    <w:rsid w:val="00A34397"/>
    <w:rsid w:val="00A34E23"/>
    <w:rsid w:val="00A34FFE"/>
    <w:rsid w:val="00A35006"/>
    <w:rsid w:val="00A35115"/>
    <w:rsid w:val="00A35335"/>
    <w:rsid w:val="00A363DD"/>
    <w:rsid w:val="00A36559"/>
    <w:rsid w:val="00A374B5"/>
    <w:rsid w:val="00A37BAE"/>
    <w:rsid w:val="00A4064A"/>
    <w:rsid w:val="00A40A61"/>
    <w:rsid w:val="00A41643"/>
    <w:rsid w:val="00A4174A"/>
    <w:rsid w:val="00A418D6"/>
    <w:rsid w:val="00A4190B"/>
    <w:rsid w:val="00A41A1A"/>
    <w:rsid w:val="00A41E42"/>
    <w:rsid w:val="00A41EEE"/>
    <w:rsid w:val="00A422F6"/>
    <w:rsid w:val="00A42915"/>
    <w:rsid w:val="00A430AF"/>
    <w:rsid w:val="00A430DC"/>
    <w:rsid w:val="00A430FD"/>
    <w:rsid w:val="00A43322"/>
    <w:rsid w:val="00A4341F"/>
    <w:rsid w:val="00A43424"/>
    <w:rsid w:val="00A4346D"/>
    <w:rsid w:val="00A434F9"/>
    <w:rsid w:val="00A43567"/>
    <w:rsid w:val="00A4366A"/>
    <w:rsid w:val="00A43AE2"/>
    <w:rsid w:val="00A43B15"/>
    <w:rsid w:val="00A440CD"/>
    <w:rsid w:val="00A443BF"/>
    <w:rsid w:val="00A44551"/>
    <w:rsid w:val="00A44775"/>
    <w:rsid w:val="00A44936"/>
    <w:rsid w:val="00A44C93"/>
    <w:rsid w:val="00A45158"/>
    <w:rsid w:val="00A453D0"/>
    <w:rsid w:val="00A4558F"/>
    <w:rsid w:val="00A456A2"/>
    <w:rsid w:val="00A45735"/>
    <w:rsid w:val="00A4595E"/>
    <w:rsid w:val="00A45995"/>
    <w:rsid w:val="00A46403"/>
    <w:rsid w:val="00A465EF"/>
    <w:rsid w:val="00A468D4"/>
    <w:rsid w:val="00A46B60"/>
    <w:rsid w:val="00A46E6C"/>
    <w:rsid w:val="00A4712C"/>
    <w:rsid w:val="00A47178"/>
    <w:rsid w:val="00A4729F"/>
    <w:rsid w:val="00A4796E"/>
    <w:rsid w:val="00A47A8E"/>
    <w:rsid w:val="00A47FEC"/>
    <w:rsid w:val="00A501AF"/>
    <w:rsid w:val="00A501E7"/>
    <w:rsid w:val="00A5036B"/>
    <w:rsid w:val="00A503C9"/>
    <w:rsid w:val="00A505F8"/>
    <w:rsid w:val="00A50C0E"/>
    <w:rsid w:val="00A50DE6"/>
    <w:rsid w:val="00A50ECC"/>
    <w:rsid w:val="00A510AC"/>
    <w:rsid w:val="00A516AE"/>
    <w:rsid w:val="00A51ADD"/>
    <w:rsid w:val="00A524AC"/>
    <w:rsid w:val="00A524CE"/>
    <w:rsid w:val="00A5268E"/>
    <w:rsid w:val="00A52DCE"/>
    <w:rsid w:val="00A531AC"/>
    <w:rsid w:val="00A53587"/>
    <w:rsid w:val="00A53769"/>
    <w:rsid w:val="00A53ABE"/>
    <w:rsid w:val="00A53DCC"/>
    <w:rsid w:val="00A54442"/>
    <w:rsid w:val="00A5448E"/>
    <w:rsid w:val="00A549D4"/>
    <w:rsid w:val="00A55014"/>
    <w:rsid w:val="00A554AB"/>
    <w:rsid w:val="00A55906"/>
    <w:rsid w:val="00A55954"/>
    <w:rsid w:val="00A55A37"/>
    <w:rsid w:val="00A55BF5"/>
    <w:rsid w:val="00A55F2C"/>
    <w:rsid w:val="00A56216"/>
    <w:rsid w:val="00A56AB3"/>
    <w:rsid w:val="00A5736B"/>
    <w:rsid w:val="00A574E4"/>
    <w:rsid w:val="00A57514"/>
    <w:rsid w:val="00A6068C"/>
    <w:rsid w:val="00A606B1"/>
    <w:rsid w:val="00A6115E"/>
    <w:rsid w:val="00A6134D"/>
    <w:rsid w:val="00A613A4"/>
    <w:rsid w:val="00A6175E"/>
    <w:rsid w:val="00A61ADF"/>
    <w:rsid w:val="00A61D9C"/>
    <w:rsid w:val="00A61E14"/>
    <w:rsid w:val="00A62221"/>
    <w:rsid w:val="00A62222"/>
    <w:rsid w:val="00A629CD"/>
    <w:rsid w:val="00A6307B"/>
    <w:rsid w:val="00A632BE"/>
    <w:rsid w:val="00A63750"/>
    <w:rsid w:val="00A63AD0"/>
    <w:rsid w:val="00A64331"/>
    <w:rsid w:val="00A646A4"/>
    <w:rsid w:val="00A64925"/>
    <w:rsid w:val="00A64C65"/>
    <w:rsid w:val="00A64CCB"/>
    <w:rsid w:val="00A65142"/>
    <w:rsid w:val="00A656E3"/>
    <w:rsid w:val="00A65929"/>
    <w:rsid w:val="00A65CF7"/>
    <w:rsid w:val="00A65CF9"/>
    <w:rsid w:val="00A66A4C"/>
    <w:rsid w:val="00A66F04"/>
    <w:rsid w:val="00A70131"/>
    <w:rsid w:val="00A702CB"/>
    <w:rsid w:val="00A703F4"/>
    <w:rsid w:val="00A70809"/>
    <w:rsid w:val="00A70AD3"/>
    <w:rsid w:val="00A715CA"/>
    <w:rsid w:val="00A71DD5"/>
    <w:rsid w:val="00A726E7"/>
    <w:rsid w:val="00A7282A"/>
    <w:rsid w:val="00A72908"/>
    <w:rsid w:val="00A7330C"/>
    <w:rsid w:val="00A734CD"/>
    <w:rsid w:val="00A7354D"/>
    <w:rsid w:val="00A739CA"/>
    <w:rsid w:val="00A73E21"/>
    <w:rsid w:val="00A73EF7"/>
    <w:rsid w:val="00A741E7"/>
    <w:rsid w:val="00A741FD"/>
    <w:rsid w:val="00A7432F"/>
    <w:rsid w:val="00A74418"/>
    <w:rsid w:val="00A74535"/>
    <w:rsid w:val="00A748F2"/>
    <w:rsid w:val="00A74FF3"/>
    <w:rsid w:val="00A7501C"/>
    <w:rsid w:val="00A75226"/>
    <w:rsid w:val="00A75285"/>
    <w:rsid w:val="00A7555C"/>
    <w:rsid w:val="00A75727"/>
    <w:rsid w:val="00A76330"/>
    <w:rsid w:val="00A7634A"/>
    <w:rsid w:val="00A76AED"/>
    <w:rsid w:val="00A76D5B"/>
    <w:rsid w:val="00A76F74"/>
    <w:rsid w:val="00A77457"/>
    <w:rsid w:val="00A77631"/>
    <w:rsid w:val="00A7767D"/>
    <w:rsid w:val="00A779EA"/>
    <w:rsid w:val="00A77C88"/>
    <w:rsid w:val="00A80DFC"/>
    <w:rsid w:val="00A81316"/>
    <w:rsid w:val="00A813C3"/>
    <w:rsid w:val="00A81B7A"/>
    <w:rsid w:val="00A8202A"/>
    <w:rsid w:val="00A82051"/>
    <w:rsid w:val="00A821D5"/>
    <w:rsid w:val="00A82D67"/>
    <w:rsid w:val="00A83542"/>
    <w:rsid w:val="00A83712"/>
    <w:rsid w:val="00A83B2D"/>
    <w:rsid w:val="00A8432E"/>
    <w:rsid w:val="00A84371"/>
    <w:rsid w:val="00A8490B"/>
    <w:rsid w:val="00A84C9D"/>
    <w:rsid w:val="00A84DF1"/>
    <w:rsid w:val="00A850A1"/>
    <w:rsid w:val="00A85A3A"/>
    <w:rsid w:val="00A85E87"/>
    <w:rsid w:val="00A867F8"/>
    <w:rsid w:val="00A86B94"/>
    <w:rsid w:val="00A86C04"/>
    <w:rsid w:val="00A87A6F"/>
    <w:rsid w:val="00A87A86"/>
    <w:rsid w:val="00A9079B"/>
    <w:rsid w:val="00A90861"/>
    <w:rsid w:val="00A909D8"/>
    <w:rsid w:val="00A9127D"/>
    <w:rsid w:val="00A9149D"/>
    <w:rsid w:val="00A92955"/>
    <w:rsid w:val="00A92CC0"/>
    <w:rsid w:val="00A92DA9"/>
    <w:rsid w:val="00A93228"/>
    <w:rsid w:val="00A93682"/>
    <w:rsid w:val="00A93C22"/>
    <w:rsid w:val="00A942F3"/>
    <w:rsid w:val="00A94585"/>
    <w:rsid w:val="00A94597"/>
    <w:rsid w:val="00A947C6"/>
    <w:rsid w:val="00A949D5"/>
    <w:rsid w:val="00A94C2B"/>
    <w:rsid w:val="00A94C8C"/>
    <w:rsid w:val="00A94DCA"/>
    <w:rsid w:val="00A94FA6"/>
    <w:rsid w:val="00A9526B"/>
    <w:rsid w:val="00A9552F"/>
    <w:rsid w:val="00A955E5"/>
    <w:rsid w:val="00A95DA6"/>
    <w:rsid w:val="00A962FD"/>
    <w:rsid w:val="00A9636D"/>
    <w:rsid w:val="00A9668F"/>
    <w:rsid w:val="00A96C78"/>
    <w:rsid w:val="00A96EA8"/>
    <w:rsid w:val="00A971C0"/>
    <w:rsid w:val="00A97553"/>
    <w:rsid w:val="00A97FB6"/>
    <w:rsid w:val="00AA03FF"/>
    <w:rsid w:val="00AA0960"/>
    <w:rsid w:val="00AA0AC1"/>
    <w:rsid w:val="00AA12D1"/>
    <w:rsid w:val="00AA14A7"/>
    <w:rsid w:val="00AA1A87"/>
    <w:rsid w:val="00AA1AE6"/>
    <w:rsid w:val="00AA22B4"/>
    <w:rsid w:val="00AA2894"/>
    <w:rsid w:val="00AA2927"/>
    <w:rsid w:val="00AA376D"/>
    <w:rsid w:val="00AA39D3"/>
    <w:rsid w:val="00AA3A68"/>
    <w:rsid w:val="00AA3A73"/>
    <w:rsid w:val="00AA4DC9"/>
    <w:rsid w:val="00AA4FB9"/>
    <w:rsid w:val="00AA50D8"/>
    <w:rsid w:val="00AA55A1"/>
    <w:rsid w:val="00AA5693"/>
    <w:rsid w:val="00AA5744"/>
    <w:rsid w:val="00AA5A26"/>
    <w:rsid w:val="00AA6710"/>
    <w:rsid w:val="00AA67D6"/>
    <w:rsid w:val="00AA6BC6"/>
    <w:rsid w:val="00AA6FBB"/>
    <w:rsid w:val="00AA770E"/>
    <w:rsid w:val="00AB01E2"/>
    <w:rsid w:val="00AB0431"/>
    <w:rsid w:val="00AB0681"/>
    <w:rsid w:val="00AB06E8"/>
    <w:rsid w:val="00AB08D4"/>
    <w:rsid w:val="00AB0F13"/>
    <w:rsid w:val="00AB0F14"/>
    <w:rsid w:val="00AB0F37"/>
    <w:rsid w:val="00AB0FE7"/>
    <w:rsid w:val="00AB1029"/>
    <w:rsid w:val="00AB15DA"/>
    <w:rsid w:val="00AB1898"/>
    <w:rsid w:val="00AB1BC4"/>
    <w:rsid w:val="00AB213A"/>
    <w:rsid w:val="00AB22B2"/>
    <w:rsid w:val="00AB240A"/>
    <w:rsid w:val="00AB2CBD"/>
    <w:rsid w:val="00AB2F2B"/>
    <w:rsid w:val="00AB384A"/>
    <w:rsid w:val="00AB3941"/>
    <w:rsid w:val="00AB3D56"/>
    <w:rsid w:val="00AB43B0"/>
    <w:rsid w:val="00AB45FF"/>
    <w:rsid w:val="00AB4AA8"/>
    <w:rsid w:val="00AB5020"/>
    <w:rsid w:val="00AB520B"/>
    <w:rsid w:val="00AB582F"/>
    <w:rsid w:val="00AB5842"/>
    <w:rsid w:val="00AB5954"/>
    <w:rsid w:val="00AB59B6"/>
    <w:rsid w:val="00AB672C"/>
    <w:rsid w:val="00AB6883"/>
    <w:rsid w:val="00AB705E"/>
    <w:rsid w:val="00AB71B8"/>
    <w:rsid w:val="00AB77F2"/>
    <w:rsid w:val="00AC02D0"/>
    <w:rsid w:val="00AC089E"/>
    <w:rsid w:val="00AC0E0D"/>
    <w:rsid w:val="00AC0EF9"/>
    <w:rsid w:val="00AC0EFD"/>
    <w:rsid w:val="00AC10DB"/>
    <w:rsid w:val="00AC13F6"/>
    <w:rsid w:val="00AC15CF"/>
    <w:rsid w:val="00AC1B3A"/>
    <w:rsid w:val="00AC1B57"/>
    <w:rsid w:val="00AC2383"/>
    <w:rsid w:val="00AC2616"/>
    <w:rsid w:val="00AC2B16"/>
    <w:rsid w:val="00AC31B2"/>
    <w:rsid w:val="00AC33DA"/>
    <w:rsid w:val="00AC35FF"/>
    <w:rsid w:val="00AC4497"/>
    <w:rsid w:val="00AC459C"/>
    <w:rsid w:val="00AC47B6"/>
    <w:rsid w:val="00AC48D7"/>
    <w:rsid w:val="00AC5056"/>
    <w:rsid w:val="00AC5313"/>
    <w:rsid w:val="00AC5697"/>
    <w:rsid w:val="00AC5966"/>
    <w:rsid w:val="00AC5BCF"/>
    <w:rsid w:val="00AC6062"/>
    <w:rsid w:val="00AC63C4"/>
    <w:rsid w:val="00AC6559"/>
    <w:rsid w:val="00AC6710"/>
    <w:rsid w:val="00AC71E3"/>
    <w:rsid w:val="00AC72E3"/>
    <w:rsid w:val="00AC7746"/>
    <w:rsid w:val="00AD0234"/>
    <w:rsid w:val="00AD0329"/>
    <w:rsid w:val="00AD0FEE"/>
    <w:rsid w:val="00AD1292"/>
    <w:rsid w:val="00AD1829"/>
    <w:rsid w:val="00AD19CF"/>
    <w:rsid w:val="00AD1D01"/>
    <w:rsid w:val="00AD1EDF"/>
    <w:rsid w:val="00AD1F6E"/>
    <w:rsid w:val="00AD21BE"/>
    <w:rsid w:val="00AD2243"/>
    <w:rsid w:val="00AD29C9"/>
    <w:rsid w:val="00AD2EA3"/>
    <w:rsid w:val="00AD2F4F"/>
    <w:rsid w:val="00AD3AF4"/>
    <w:rsid w:val="00AD3CF1"/>
    <w:rsid w:val="00AD407F"/>
    <w:rsid w:val="00AD6374"/>
    <w:rsid w:val="00AD65CB"/>
    <w:rsid w:val="00AD6A08"/>
    <w:rsid w:val="00AD6D45"/>
    <w:rsid w:val="00AD72B6"/>
    <w:rsid w:val="00AE02FE"/>
    <w:rsid w:val="00AE0972"/>
    <w:rsid w:val="00AE09B0"/>
    <w:rsid w:val="00AE0C3F"/>
    <w:rsid w:val="00AE0C4F"/>
    <w:rsid w:val="00AE0E73"/>
    <w:rsid w:val="00AE17D0"/>
    <w:rsid w:val="00AE1CEC"/>
    <w:rsid w:val="00AE1D5E"/>
    <w:rsid w:val="00AE21F7"/>
    <w:rsid w:val="00AE28AF"/>
    <w:rsid w:val="00AE3206"/>
    <w:rsid w:val="00AE3208"/>
    <w:rsid w:val="00AE37AE"/>
    <w:rsid w:val="00AE3C3C"/>
    <w:rsid w:val="00AE3E27"/>
    <w:rsid w:val="00AE414A"/>
    <w:rsid w:val="00AE494F"/>
    <w:rsid w:val="00AE4B67"/>
    <w:rsid w:val="00AE5190"/>
    <w:rsid w:val="00AE5516"/>
    <w:rsid w:val="00AE61A6"/>
    <w:rsid w:val="00AE6AB0"/>
    <w:rsid w:val="00AE7266"/>
    <w:rsid w:val="00AE729B"/>
    <w:rsid w:val="00AE7A08"/>
    <w:rsid w:val="00AE7B7A"/>
    <w:rsid w:val="00AE7DA1"/>
    <w:rsid w:val="00AF0562"/>
    <w:rsid w:val="00AF05CA"/>
    <w:rsid w:val="00AF137A"/>
    <w:rsid w:val="00AF19D9"/>
    <w:rsid w:val="00AF1E52"/>
    <w:rsid w:val="00AF1F34"/>
    <w:rsid w:val="00AF209F"/>
    <w:rsid w:val="00AF239F"/>
    <w:rsid w:val="00AF2A3F"/>
    <w:rsid w:val="00AF2C0E"/>
    <w:rsid w:val="00AF33B6"/>
    <w:rsid w:val="00AF3668"/>
    <w:rsid w:val="00AF3FA5"/>
    <w:rsid w:val="00AF40CC"/>
    <w:rsid w:val="00AF4866"/>
    <w:rsid w:val="00AF48D1"/>
    <w:rsid w:val="00AF4EC0"/>
    <w:rsid w:val="00AF5279"/>
    <w:rsid w:val="00AF52EC"/>
    <w:rsid w:val="00AF52F5"/>
    <w:rsid w:val="00AF5DD9"/>
    <w:rsid w:val="00AF5F1A"/>
    <w:rsid w:val="00AF5F9C"/>
    <w:rsid w:val="00AF5FAD"/>
    <w:rsid w:val="00AF60E1"/>
    <w:rsid w:val="00AF705B"/>
    <w:rsid w:val="00AF7757"/>
    <w:rsid w:val="00AF7B3E"/>
    <w:rsid w:val="00AF7B70"/>
    <w:rsid w:val="00AF7C40"/>
    <w:rsid w:val="00AF7C87"/>
    <w:rsid w:val="00AF7F3A"/>
    <w:rsid w:val="00B0035E"/>
    <w:rsid w:val="00B00A3A"/>
    <w:rsid w:val="00B00FE2"/>
    <w:rsid w:val="00B010EA"/>
    <w:rsid w:val="00B012AD"/>
    <w:rsid w:val="00B016A3"/>
    <w:rsid w:val="00B016D5"/>
    <w:rsid w:val="00B02235"/>
    <w:rsid w:val="00B0266B"/>
    <w:rsid w:val="00B02C07"/>
    <w:rsid w:val="00B030E2"/>
    <w:rsid w:val="00B03183"/>
    <w:rsid w:val="00B0319E"/>
    <w:rsid w:val="00B03CEA"/>
    <w:rsid w:val="00B04361"/>
    <w:rsid w:val="00B04575"/>
    <w:rsid w:val="00B04A99"/>
    <w:rsid w:val="00B054C3"/>
    <w:rsid w:val="00B05530"/>
    <w:rsid w:val="00B05901"/>
    <w:rsid w:val="00B05946"/>
    <w:rsid w:val="00B05BA1"/>
    <w:rsid w:val="00B061AC"/>
    <w:rsid w:val="00B06D95"/>
    <w:rsid w:val="00B0707A"/>
    <w:rsid w:val="00B07458"/>
    <w:rsid w:val="00B07BAA"/>
    <w:rsid w:val="00B07C7F"/>
    <w:rsid w:val="00B07C93"/>
    <w:rsid w:val="00B07E30"/>
    <w:rsid w:val="00B1013E"/>
    <w:rsid w:val="00B1020D"/>
    <w:rsid w:val="00B10222"/>
    <w:rsid w:val="00B10243"/>
    <w:rsid w:val="00B103B0"/>
    <w:rsid w:val="00B10638"/>
    <w:rsid w:val="00B10697"/>
    <w:rsid w:val="00B113D8"/>
    <w:rsid w:val="00B116C7"/>
    <w:rsid w:val="00B118EC"/>
    <w:rsid w:val="00B11B0E"/>
    <w:rsid w:val="00B11C80"/>
    <w:rsid w:val="00B11D73"/>
    <w:rsid w:val="00B124D6"/>
    <w:rsid w:val="00B12E81"/>
    <w:rsid w:val="00B12E9A"/>
    <w:rsid w:val="00B12FD7"/>
    <w:rsid w:val="00B139AC"/>
    <w:rsid w:val="00B13A4D"/>
    <w:rsid w:val="00B13C5C"/>
    <w:rsid w:val="00B13E68"/>
    <w:rsid w:val="00B1423B"/>
    <w:rsid w:val="00B1485B"/>
    <w:rsid w:val="00B15453"/>
    <w:rsid w:val="00B15E47"/>
    <w:rsid w:val="00B160CA"/>
    <w:rsid w:val="00B162B6"/>
    <w:rsid w:val="00B16324"/>
    <w:rsid w:val="00B165EC"/>
    <w:rsid w:val="00B16727"/>
    <w:rsid w:val="00B16CEC"/>
    <w:rsid w:val="00B16CFE"/>
    <w:rsid w:val="00B179FC"/>
    <w:rsid w:val="00B17A69"/>
    <w:rsid w:val="00B17ADF"/>
    <w:rsid w:val="00B17B6A"/>
    <w:rsid w:val="00B17C51"/>
    <w:rsid w:val="00B17CC4"/>
    <w:rsid w:val="00B200A2"/>
    <w:rsid w:val="00B201C7"/>
    <w:rsid w:val="00B203E8"/>
    <w:rsid w:val="00B20485"/>
    <w:rsid w:val="00B2052A"/>
    <w:rsid w:val="00B213FC"/>
    <w:rsid w:val="00B214D1"/>
    <w:rsid w:val="00B215DF"/>
    <w:rsid w:val="00B21865"/>
    <w:rsid w:val="00B22510"/>
    <w:rsid w:val="00B22D1E"/>
    <w:rsid w:val="00B23387"/>
    <w:rsid w:val="00B23431"/>
    <w:rsid w:val="00B23C09"/>
    <w:rsid w:val="00B23D8C"/>
    <w:rsid w:val="00B24B70"/>
    <w:rsid w:val="00B24F2C"/>
    <w:rsid w:val="00B2514E"/>
    <w:rsid w:val="00B258D3"/>
    <w:rsid w:val="00B25CB3"/>
    <w:rsid w:val="00B25EBD"/>
    <w:rsid w:val="00B25F58"/>
    <w:rsid w:val="00B2649B"/>
    <w:rsid w:val="00B264CE"/>
    <w:rsid w:val="00B265F7"/>
    <w:rsid w:val="00B26828"/>
    <w:rsid w:val="00B2708D"/>
    <w:rsid w:val="00B2745A"/>
    <w:rsid w:val="00B276AB"/>
    <w:rsid w:val="00B27879"/>
    <w:rsid w:val="00B27B7F"/>
    <w:rsid w:val="00B30153"/>
    <w:rsid w:val="00B30191"/>
    <w:rsid w:val="00B30269"/>
    <w:rsid w:val="00B30481"/>
    <w:rsid w:val="00B30676"/>
    <w:rsid w:val="00B30838"/>
    <w:rsid w:val="00B30A69"/>
    <w:rsid w:val="00B30E49"/>
    <w:rsid w:val="00B31214"/>
    <w:rsid w:val="00B31605"/>
    <w:rsid w:val="00B31712"/>
    <w:rsid w:val="00B31E2D"/>
    <w:rsid w:val="00B32380"/>
    <w:rsid w:val="00B32867"/>
    <w:rsid w:val="00B32940"/>
    <w:rsid w:val="00B334D2"/>
    <w:rsid w:val="00B3374B"/>
    <w:rsid w:val="00B33F4F"/>
    <w:rsid w:val="00B34710"/>
    <w:rsid w:val="00B34ABF"/>
    <w:rsid w:val="00B34B3B"/>
    <w:rsid w:val="00B34BE9"/>
    <w:rsid w:val="00B34C18"/>
    <w:rsid w:val="00B35120"/>
    <w:rsid w:val="00B351FA"/>
    <w:rsid w:val="00B354E2"/>
    <w:rsid w:val="00B3564E"/>
    <w:rsid w:val="00B358AF"/>
    <w:rsid w:val="00B35A44"/>
    <w:rsid w:val="00B36092"/>
    <w:rsid w:val="00B36400"/>
    <w:rsid w:val="00B36561"/>
    <w:rsid w:val="00B368A2"/>
    <w:rsid w:val="00B36A25"/>
    <w:rsid w:val="00B36D86"/>
    <w:rsid w:val="00B36DED"/>
    <w:rsid w:val="00B37076"/>
    <w:rsid w:val="00B37E67"/>
    <w:rsid w:val="00B40E45"/>
    <w:rsid w:val="00B40F51"/>
    <w:rsid w:val="00B41049"/>
    <w:rsid w:val="00B411BB"/>
    <w:rsid w:val="00B412E2"/>
    <w:rsid w:val="00B4147D"/>
    <w:rsid w:val="00B41A6D"/>
    <w:rsid w:val="00B41BC4"/>
    <w:rsid w:val="00B41E41"/>
    <w:rsid w:val="00B42159"/>
    <w:rsid w:val="00B4254B"/>
    <w:rsid w:val="00B42D94"/>
    <w:rsid w:val="00B4318B"/>
    <w:rsid w:val="00B43223"/>
    <w:rsid w:val="00B43405"/>
    <w:rsid w:val="00B434FE"/>
    <w:rsid w:val="00B43B21"/>
    <w:rsid w:val="00B43B83"/>
    <w:rsid w:val="00B43E8F"/>
    <w:rsid w:val="00B44337"/>
    <w:rsid w:val="00B44481"/>
    <w:rsid w:val="00B445CB"/>
    <w:rsid w:val="00B44983"/>
    <w:rsid w:val="00B44E03"/>
    <w:rsid w:val="00B45243"/>
    <w:rsid w:val="00B45B24"/>
    <w:rsid w:val="00B45C55"/>
    <w:rsid w:val="00B45F2C"/>
    <w:rsid w:val="00B45FB6"/>
    <w:rsid w:val="00B46A5E"/>
    <w:rsid w:val="00B47575"/>
    <w:rsid w:val="00B47833"/>
    <w:rsid w:val="00B47CD7"/>
    <w:rsid w:val="00B47F72"/>
    <w:rsid w:val="00B47FE7"/>
    <w:rsid w:val="00B50263"/>
    <w:rsid w:val="00B5093C"/>
    <w:rsid w:val="00B50A63"/>
    <w:rsid w:val="00B511AD"/>
    <w:rsid w:val="00B514C4"/>
    <w:rsid w:val="00B519E4"/>
    <w:rsid w:val="00B523AB"/>
    <w:rsid w:val="00B52758"/>
    <w:rsid w:val="00B52CD9"/>
    <w:rsid w:val="00B537CF"/>
    <w:rsid w:val="00B53E7E"/>
    <w:rsid w:val="00B53E80"/>
    <w:rsid w:val="00B540C9"/>
    <w:rsid w:val="00B5418F"/>
    <w:rsid w:val="00B5431E"/>
    <w:rsid w:val="00B544BC"/>
    <w:rsid w:val="00B5457F"/>
    <w:rsid w:val="00B54594"/>
    <w:rsid w:val="00B54BF8"/>
    <w:rsid w:val="00B54CB2"/>
    <w:rsid w:val="00B54CBA"/>
    <w:rsid w:val="00B557B2"/>
    <w:rsid w:val="00B559D2"/>
    <w:rsid w:val="00B55A8E"/>
    <w:rsid w:val="00B55BF9"/>
    <w:rsid w:val="00B55C3C"/>
    <w:rsid w:val="00B55E40"/>
    <w:rsid w:val="00B5657E"/>
    <w:rsid w:val="00B566E2"/>
    <w:rsid w:val="00B56FB1"/>
    <w:rsid w:val="00B575F4"/>
    <w:rsid w:val="00B57C45"/>
    <w:rsid w:val="00B603B1"/>
    <w:rsid w:val="00B60500"/>
    <w:rsid w:val="00B609E9"/>
    <w:rsid w:val="00B60A49"/>
    <w:rsid w:val="00B60C6B"/>
    <w:rsid w:val="00B60CE0"/>
    <w:rsid w:val="00B610ED"/>
    <w:rsid w:val="00B6145C"/>
    <w:rsid w:val="00B61510"/>
    <w:rsid w:val="00B61678"/>
    <w:rsid w:val="00B618D8"/>
    <w:rsid w:val="00B61BC7"/>
    <w:rsid w:val="00B61E76"/>
    <w:rsid w:val="00B620D3"/>
    <w:rsid w:val="00B62674"/>
    <w:rsid w:val="00B6276F"/>
    <w:rsid w:val="00B63010"/>
    <w:rsid w:val="00B63105"/>
    <w:rsid w:val="00B63272"/>
    <w:rsid w:val="00B6342E"/>
    <w:rsid w:val="00B63691"/>
    <w:rsid w:val="00B63800"/>
    <w:rsid w:val="00B63D57"/>
    <w:rsid w:val="00B640F6"/>
    <w:rsid w:val="00B6426C"/>
    <w:rsid w:val="00B64728"/>
    <w:rsid w:val="00B64964"/>
    <w:rsid w:val="00B64E10"/>
    <w:rsid w:val="00B6576C"/>
    <w:rsid w:val="00B65D6E"/>
    <w:rsid w:val="00B65E87"/>
    <w:rsid w:val="00B66203"/>
    <w:rsid w:val="00B667BE"/>
    <w:rsid w:val="00B66924"/>
    <w:rsid w:val="00B66FB1"/>
    <w:rsid w:val="00B66FDC"/>
    <w:rsid w:val="00B67470"/>
    <w:rsid w:val="00B67571"/>
    <w:rsid w:val="00B67B92"/>
    <w:rsid w:val="00B70405"/>
    <w:rsid w:val="00B70474"/>
    <w:rsid w:val="00B704A4"/>
    <w:rsid w:val="00B70F78"/>
    <w:rsid w:val="00B7110A"/>
    <w:rsid w:val="00B7113F"/>
    <w:rsid w:val="00B71234"/>
    <w:rsid w:val="00B7184A"/>
    <w:rsid w:val="00B71D5B"/>
    <w:rsid w:val="00B71DDB"/>
    <w:rsid w:val="00B71E61"/>
    <w:rsid w:val="00B722B7"/>
    <w:rsid w:val="00B72D61"/>
    <w:rsid w:val="00B73107"/>
    <w:rsid w:val="00B734A5"/>
    <w:rsid w:val="00B73531"/>
    <w:rsid w:val="00B73D89"/>
    <w:rsid w:val="00B743ED"/>
    <w:rsid w:val="00B74439"/>
    <w:rsid w:val="00B744AB"/>
    <w:rsid w:val="00B74566"/>
    <w:rsid w:val="00B75031"/>
    <w:rsid w:val="00B751B4"/>
    <w:rsid w:val="00B75955"/>
    <w:rsid w:val="00B75A02"/>
    <w:rsid w:val="00B761E0"/>
    <w:rsid w:val="00B76631"/>
    <w:rsid w:val="00B7682A"/>
    <w:rsid w:val="00B76882"/>
    <w:rsid w:val="00B768AB"/>
    <w:rsid w:val="00B76B9D"/>
    <w:rsid w:val="00B7721A"/>
    <w:rsid w:val="00B77248"/>
    <w:rsid w:val="00B773F5"/>
    <w:rsid w:val="00B7770E"/>
    <w:rsid w:val="00B77B55"/>
    <w:rsid w:val="00B77EB1"/>
    <w:rsid w:val="00B80220"/>
    <w:rsid w:val="00B805F6"/>
    <w:rsid w:val="00B80994"/>
    <w:rsid w:val="00B80C01"/>
    <w:rsid w:val="00B80C21"/>
    <w:rsid w:val="00B80CA0"/>
    <w:rsid w:val="00B81EDA"/>
    <w:rsid w:val="00B82043"/>
    <w:rsid w:val="00B820C5"/>
    <w:rsid w:val="00B827A9"/>
    <w:rsid w:val="00B82B2F"/>
    <w:rsid w:val="00B82B5D"/>
    <w:rsid w:val="00B83793"/>
    <w:rsid w:val="00B8385F"/>
    <w:rsid w:val="00B8397F"/>
    <w:rsid w:val="00B8428C"/>
    <w:rsid w:val="00B84DE4"/>
    <w:rsid w:val="00B84E59"/>
    <w:rsid w:val="00B84EB7"/>
    <w:rsid w:val="00B84FBC"/>
    <w:rsid w:val="00B852B6"/>
    <w:rsid w:val="00B85784"/>
    <w:rsid w:val="00B85B20"/>
    <w:rsid w:val="00B861AA"/>
    <w:rsid w:val="00B873BE"/>
    <w:rsid w:val="00B8760E"/>
    <w:rsid w:val="00B87DDC"/>
    <w:rsid w:val="00B90395"/>
    <w:rsid w:val="00B904B6"/>
    <w:rsid w:val="00B906F5"/>
    <w:rsid w:val="00B90796"/>
    <w:rsid w:val="00B908DB"/>
    <w:rsid w:val="00B90E41"/>
    <w:rsid w:val="00B914BE"/>
    <w:rsid w:val="00B91733"/>
    <w:rsid w:val="00B91ADE"/>
    <w:rsid w:val="00B92118"/>
    <w:rsid w:val="00B9211E"/>
    <w:rsid w:val="00B92328"/>
    <w:rsid w:val="00B92362"/>
    <w:rsid w:val="00B923E8"/>
    <w:rsid w:val="00B9292F"/>
    <w:rsid w:val="00B92D04"/>
    <w:rsid w:val="00B94501"/>
    <w:rsid w:val="00B948D1"/>
    <w:rsid w:val="00B94A67"/>
    <w:rsid w:val="00B94AAA"/>
    <w:rsid w:val="00B9522D"/>
    <w:rsid w:val="00B9555D"/>
    <w:rsid w:val="00B95C75"/>
    <w:rsid w:val="00B95DDF"/>
    <w:rsid w:val="00B960FC"/>
    <w:rsid w:val="00B963C4"/>
    <w:rsid w:val="00B96ECB"/>
    <w:rsid w:val="00B970EF"/>
    <w:rsid w:val="00B97330"/>
    <w:rsid w:val="00B9738A"/>
    <w:rsid w:val="00B97B8C"/>
    <w:rsid w:val="00B97DF4"/>
    <w:rsid w:val="00B97EE2"/>
    <w:rsid w:val="00BA011D"/>
    <w:rsid w:val="00BA0534"/>
    <w:rsid w:val="00BA12F5"/>
    <w:rsid w:val="00BA13E3"/>
    <w:rsid w:val="00BA1C58"/>
    <w:rsid w:val="00BA2204"/>
    <w:rsid w:val="00BA2836"/>
    <w:rsid w:val="00BA290A"/>
    <w:rsid w:val="00BA34A7"/>
    <w:rsid w:val="00BA3F5B"/>
    <w:rsid w:val="00BA3F63"/>
    <w:rsid w:val="00BA3FFD"/>
    <w:rsid w:val="00BA4100"/>
    <w:rsid w:val="00BA4938"/>
    <w:rsid w:val="00BA4B4D"/>
    <w:rsid w:val="00BA4DA0"/>
    <w:rsid w:val="00BA5139"/>
    <w:rsid w:val="00BA5539"/>
    <w:rsid w:val="00BA5ADB"/>
    <w:rsid w:val="00BA5C4B"/>
    <w:rsid w:val="00BA656E"/>
    <w:rsid w:val="00BA66E1"/>
    <w:rsid w:val="00BA6930"/>
    <w:rsid w:val="00BA6C7C"/>
    <w:rsid w:val="00BA6E2A"/>
    <w:rsid w:val="00BA73B6"/>
    <w:rsid w:val="00BA7B85"/>
    <w:rsid w:val="00BA7C83"/>
    <w:rsid w:val="00BA7E79"/>
    <w:rsid w:val="00BA7ED2"/>
    <w:rsid w:val="00BA7F65"/>
    <w:rsid w:val="00BB0353"/>
    <w:rsid w:val="00BB093D"/>
    <w:rsid w:val="00BB0E4B"/>
    <w:rsid w:val="00BB1514"/>
    <w:rsid w:val="00BB18EE"/>
    <w:rsid w:val="00BB193F"/>
    <w:rsid w:val="00BB197A"/>
    <w:rsid w:val="00BB1AB8"/>
    <w:rsid w:val="00BB2145"/>
    <w:rsid w:val="00BB2165"/>
    <w:rsid w:val="00BB24B7"/>
    <w:rsid w:val="00BB2E35"/>
    <w:rsid w:val="00BB2F24"/>
    <w:rsid w:val="00BB34C6"/>
    <w:rsid w:val="00BB3525"/>
    <w:rsid w:val="00BB38DF"/>
    <w:rsid w:val="00BB3D0A"/>
    <w:rsid w:val="00BB416B"/>
    <w:rsid w:val="00BB4270"/>
    <w:rsid w:val="00BB4F4C"/>
    <w:rsid w:val="00BB4FCD"/>
    <w:rsid w:val="00BB52CD"/>
    <w:rsid w:val="00BB58A6"/>
    <w:rsid w:val="00BB5BBF"/>
    <w:rsid w:val="00BB5D1D"/>
    <w:rsid w:val="00BB5D41"/>
    <w:rsid w:val="00BB5E42"/>
    <w:rsid w:val="00BB5F4F"/>
    <w:rsid w:val="00BB6092"/>
    <w:rsid w:val="00BB6376"/>
    <w:rsid w:val="00BB682C"/>
    <w:rsid w:val="00BB6F71"/>
    <w:rsid w:val="00BB7748"/>
    <w:rsid w:val="00BB7B00"/>
    <w:rsid w:val="00BB7C12"/>
    <w:rsid w:val="00BC0252"/>
    <w:rsid w:val="00BC0506"/>
    <w:rsid w:val="00BC0F76"/>
    <w:rsid w:val="00BC1257"/>
    <w:rsid w:val="00BC158A"/>
    <w:rsid w:val="00BC16C1"/>
    <w:rsid w:val="00BC19EB"/>
    <w:rsid w:val="00BC1FAF"/>
    <w:rsid w:val="00BC21E0"/>
    <w:rsid w:val="00BC261B"/>
    <w:rsid w:val="00BC2958"/>
    <w:rsid w:val="00BC2B06"/>
    <w:rsid w:val="00BC2BED"/>
    <w:rsid w:val="00BC2C48"/>
    <w:rsid w:val="00BC2D9B"/>
    <w:rsid w:val="00BC2DEA"/>
    <w:rsid w:val="00BC2ED7"/>
    <w:rsid w:val="00BC39A2"/>
    <w:rsid w:val="00BC3CFC"/>
    <w:rsid w:val="00BC4C68"/>
    <w:rsid w:val="00BC4CE3"/>
    <w:rsid w:val="00BC4FF2"/>
    <w:rsid w:val="00BC5EFC"/>
    <w:rsid w:val="00BC6132"/>
    <w:rsid w:val="00BC62E6"/>
    <w:rsid w:val="00BC63EB"/>
    <w:rsid w:val="00BC6414"/>
    <w:rsid w:val="00BC669D"/>
    <w:rsid w:val="00BC6964"/>
    <w:rsid w:val="00BC7047"/>
    <w:rsid w:val="00BC7887"/>
    <w:rsid w:val="00BC7D26"/>
    <w:rsid w:val="00BC7F8C"/>
    <w:rsid w:val="00BD0066"/>
    <w:rsid w:val="00BD01C9"/>
    <w:rsid w:val="00BD06F6"/>
    <w:rsid w:val="00BD0824"/>
    <w:rsid w:val="00BD0866"/>
    <w:rsid w:val="00BD0876"/>
    <w:rsid w:val="00BD0A6A"/>
    <w:rsid w:val="00BD0EAD"/>
    <w:rsid w:val="00BD13EA"/>
    <w:rsid w:val="00BD23B1"/>
    <w:rsid w:val="00BD350A"/>
    <w:rsid w:val="00BD354A"/>
    <w:rsid w:val="00BD383F"/>
    <w:rsid w:val="00BD3F61"/>
    <w:rsid w:val="00BD4666"/>
    <w:rsid w:val="00BD4E8F"/>
    <w:rsid w:val="00BD50CF"/>
    <w:rsid w:val="00BD52DA"/>
    <w:rsid w:val="00BD536B"/>
    <w:rsid w:val="00BD54D4"/>
    <w:rsid w:val="00BD552F"/>
    <w:rsid w:val="00BD58F8"/>
    <w:rsid w:val="00BD5BBF"/>
    <w:rsid w:val="00BD60FB"/>
    <w:rsid w:val="00BD63EA"/>
    <w:rsid w:val="00BD640B"/>
    <w:rsid w:val="00BD69C9"/>
    <w:rsid w:val="00BD6FD3"/>
    <w:rsid w:val="00BD72D8"/>
    <w:rsid w:val="00BD77E2"/>
    <w:rsid w:val="00BD7C1A"/>
    <w:rsid w:val="00BD7D84"/>
    <w:rsid w:val="00BD7EC1"/>
    <w:rsid w:val="00BE0499"/>
    <w:rsid w:val="00BE07AE"/>
    <w:rsid w:val="00BE128F"/>
    <w:rsid w:val="00BE1987"/>
    <w:rsid w:val="00BE1BEF"/>
    <w:rsid w:val="00BE1C0E"/>
    <w:rsid w:val="00BE1C83"/>
    <w:rsid w:val="00BE1EEC"/>
    <w:rsid w:val="00BE1EFE"/>
    <w:rsid w:val="00BE1FDA"/>
    <w:rsid w:val="00BE250D"/>
    <w:rsid w:val="00BE28D1"/>
    <w:rsid w:val="00BE2B22"/>
    <w:rsid w:val="00BE31E2"/>
    <w:rsid w:val="00BE3808"/>
    <w:rsid w:val="00BE3967"/>
    <w:rsid w:val="00BE3D73"/>
    <w:rsid w:val="00BE477B"/>
    <w:rsid w:val="00BE5086"/>
    <w:rsid w:val="00BE513C"/>
    <w:rsid w:val="00BE5162"/>
    <w:rsid w:val="00BE5278"/>
    <w:rsid w:val="00BE5555"/>
    <w:rsid w:val="00BE5C2C"/>
    <w:rsid w:val="00BE609F"/>
    <w:rsid w:val="00BE6174"/>
    <w:rsid w:val="00BE64B1"/>
    <w:rsid w:val="00BE6B64"/>
    <w:rsid w:val="00BE756A"/>
    <w:rsid w:val="00BE7AA2"/>
    <w:rsid w:val="00BE7D37"/>
    <w:rsid w:val="00BF0418"/>
    <w:rsid w:val="00BF0BFE"/>
    <w:rsid w:val="00BF0DF4"/>
    <w:rsid w:val="00BF0E24"/>
    <w:rsid w:val="00BF121A"/>
    <w:rsid w:val="00BF14DB"/>
    <w:rsid w:val="00BF19F4"/>
    <w:rsid w:val="00BF1C0E"/>
    <w:rsid w:val="00BF2143"/>
    <w:rsid w:val="00BF2392"/>
    <w:rsid w:val="00BF2B3F"/>
    <w:rsid w:val="00BF30B5"/>
    <w:rsid w:val="00BF3176"/>
    <w:rsid w:val="00BF3285"/>
    <w:rsid w:val="00BF32F9"/>
    <w:rsid w:val="00BF3357"/>
    <w:rsid w:val="00BF33A1"/>
    <w:rsid w:val="00BF3656"/>
    <w:rsid w:val="00BF3CF0"/>
    <w:rsid w:val="00BF41A7"/>
    <w:rsid w:val="00BF43E0"/>
    <w:rsid w:val="00BF4920"/>
    <w:rsid w:val="00BF4A93"/>
    <w:rsid w:val="00BF50CF"/>
    <w:rsid w:val="00BF60B7"/>
    <w:rsid w:val="00BF6439"/>
    <w:rsid w:val="00BF679D"/>
    <w:rsid w:val="00BF6A80"/>
    <w:rsid w:val="00BF6BE9"/>
    <w:rsid w:val="00BF7271"/>
    <w:rsid w:val="00BF734F"/>
    <w:rsid w:val="00BF767A"/>
    <w:rsid w:val="00BF7830"/>
    <w:rsid w:val="00BF7933"/>
    <w:rsid w:val="00BF7A50"/>
    <w:rsid w:val="00BF7F40"/>
    <w:rsid w:val="00BF7FA2"/>
    <w:rsid w:val="00C00239"/>
    <w:rsid w:val="00C00317"/>
    <w:rsid w:val="00C003BF"/>
    <w:rsid w:val="00C0097A"/>
    <w:rsid w:val="00C00ACE"/>
    <w:rsid w:val="00C00C85"/>
    <w:rsid w:val="00C00E95"/>
    <w:rsid w:val="00C00F19"/>
    <w:rsid w:val="00C0136B"/>
    <w:rsid w:val="00C014B8"/>
    <w:rsid w:val="00C01F65"/>
    <w:rsid w:val="00C01F80"/>
    <w:rsid w:val="00C02FA4"/>
    <w:rsid w:val="00C03119"/>
    <w:rsid w:val="00C03166"/>
    <w:rsid w:val="00C03546"/>
    <w:rsid w:val="00C03F24"/>
    <w:rsid w:val="00C04103"/>
    <w:rsid w:val="00C046EC"/>
    <w:rsid w:val="00C04970"/>
    <w:rsid w:val="00C04C9E"/>
    <w:rsid w:val="00C04E5D"/>
    <w:rsid w:val="00C05439"/>
    <w:rsid w:val="00C061EE"/>
    <w:rsid w:val="00C062E9"/>
    <w:rsid w:val="00C06403"/>
    <w:rsid w:val="00C0661F"/>
    <w:rsid w:val="00C068A1"/>
    <w:rsid w:val="00C06ADA"/>
    <w:rsid w:val="00C06CBA"/>
    <w:rsid w:val="00C06D80"/>
    <w:rsid w:val="00C0790E"/>
    <w:rsid w:val="00C07CAD"/>
    <w:rsid w:val="00C07FAD"/>
    <w:rsid w:val="00C10393"/>
    <w:rsid w:val="00C1040A"/>
    <w:rsid w:val="00C10509"/>
    <w:rsid w:val="00C10845"/>
    <w:rsid w:val="00C11120"/>
    <w:rsid w:val="00C11389"/>
    <w:rsid w:val="00C11B78"/>
    <w:rsid w:val="00C11D03"/>
    <w:rsid w:val="00C11FA2"/>
    <w:rsid w:val="00C127DE"/>
    <w:rsid w:val="00C12ACA"/>
    <w:rsid w:val="00C1321F"/>
    <w:rsid w:val="00C133B0"/>
    <w:rsid w:val="00C134D4"/>
    <w:rsid w:val="00C13721"/>
    <w:rsid w:val="00C142DB"/>
    <w:rsid w:val="00C14634"/>
    <w:rsid w:val="00C1475C"/>
    <w:rsid w:val="00C14C7A"/>
    <w:rsid w:val="00C14FAF"/>
    <w:rsid w:val="00C1551D"/>
    <w:rsid w:val="00C158B1"/>
    <w:rsid w:val="00C16534"/>
    <w:rsid w:val="00C16576"/>
    <w:rsid w:val="00C165AC"/>
    <w:rsid w:val="00C172B0"/>
    <w:rsid w:val="00C17A48"/>
    <w:rsid w:val="00C17C85"/>
    <w:rsid w:val="00C17D2F"/>
    <w:rsid w:val="00C201AB"/>
    <w:rsid w:val="00C201B5"/>
    <w:rsid w:val="00C219C6"/>
    <w:rsid w:val="00C21A1F"/>
    <w:rsid w:val="00C21B75"/>
    <w:rsid w:val="00C21EBF"/>
    <w:rsid w:val="00C22416"/>
    <w:rsid w:val="00C224D6"/>
    <w:rsid w:val="00C2307E"/>
    <w:rsid w:val="00C236DB"/>
    <w:rsid w:val="00C23836"/>
    <w:rsid w:val="00C23E1E"/>
    <w:rsid w:val="00C242DD"/>
    <w:rsid w:val="00C24779"/>
    <w:rsid w:val="00C2491A"/>
    <w:rsid w:val="00C24F19"/>
    <w:rsid w:val="00C2563C"/>
    <w:rsid w:val="00C25674"/>
    <w:rsid w:val="00C257E9"/>
    <w:rsid w:val="00C268DF"/>
    <w:rsid w:val="00C26AB8"/>
    <w:rsid w:val="00C26BFC"/>
    <w:rsid w:val="00C27020"/>
    <w:rsid w:val="00C271D0"/>
    <w:rsid w:val="00C2797F"/>
    <w:rsid w:val="00C27CBB"/>
    <w:rsid w:val="00C27FA8"/>
    <w:rsid w:val="00C3000A"/>
    <w:rsid w:val="00C3015E"/>
    <w:rsid w:val="00C302E9"/>
    <w:rsid w:val="00C306AF"/>
    <w:rsid w:val="00C30BA8"/>
    <w:rsid w:val="00C30EB5"/>
    <w:rsid w:val="00C30EEE"/>
    <w:rsid w:val="00C30EFB"/>
    <w:rsid w:val="00C30F3E"/>
    <w:rsid w:val="00C30FF5"/>
    <w:rsid w:val="00C310B8"/>
    <w:rsid w:val="00C31332"/>
    <w:rsid w:val="00C31379"/>
    <w:rsid w:val="00C31D91"/>
    <w:rsid w:val="00C32769"/>
    <w:rsid w:val="00C32C11"/>
    <w:rsid w:val="00C32C28"/>
    <w:rsid w:val="00C33596"/>
    <w:rsid w:val="00C33F43"/>
    <w:rsid w:val="00C33F51"/>
    <w:rsid w:val="00C3410C"/>
    <w:rsid w:val="00C343A4"/>
    <w:rsid w:val="00C34668"/>
    <w:rsid w:val="00C34A06"/>
    <w:rsid w:val="00C3546F"/>
    <w:rsid w:val="00C354B7"/>
    <w:rsid w:val="00C3558D"/>
    <w:rsid w:val="00C35F5A"/>
    <w:rsid w:val="00C36095"/>
    <w:rsid w:val="00C36189"/>
    <w:rsid w:val="00C362EA"/>
    <w:rsid w:val="00C3670E"/>
    <w:rsid w:val="00C3677F"/>
    <w:rsid w:val="00C367A7"/>
    <w:rsid w:val="00C36856"/>
    <w:rsid w:val="00C36E12"/>
    <w:rsid w:val="00C36F3C"/>
    <w:rsid w:val="00C37137"/>
    <w:rsid w:val="00C37CA5"/>
    <w:rsid w:val="00C37E86"/>
    <w:rsid w:val="00C40289"/>
    <w:rsid w:val="00C406DC"/>
    <w:rsid w:val="00C40A89"/>
    <w:rsid w:val="00C40B3F"/>
    <w:rsid w:val="00C40CFB"/>
    <w:rsid w:val="00C415C8"/>
    <w:rsid w:val="00C41648"/>
    <w:rsid w:val="00C41D53"/>
    <w:rsid w:val="00C43749"/>
    <w:rsid w:val="00C44002"/>
    <w:rsid w:val="00C4409E"/>
    <w:rsid w:val="00C440DD"/>
    <w:rsid w:val="00C44578"/>
    <w:rsid w:val="00C446C8"/>
    <w:rsid w:val="00C447E5"/>
    <w:rsid w:val="00C45768"/>
    <w:rsid w:val="00C457BC"/>
    <w:rsid w:val="00C45AE7"/>
    <w:rsid w:val="00C4610E"/>
    <w:rsid w:val="00C464F5"/>
    <w:rsid w:val="00C4699E"/>
    <w:rsid w:val="00C46C06"/>
    <w:rsid w:val="00C46CAC"/>
    <w:rsid w:val="00C47312"/>
    <w:rsid w:val="00C47AE7"/>
    <w:rsid w:val="00C50138"/>
    <w:rsid w:val="00C50726"/>
    <w:rsid w:val="00C50798"/>
    <w:rsid w:val="00C50944"/>
    <w:rsid w:val="00C50BCA"/>
    <w:rsid w:val="00C511D5"/>
    <w:rsid w:val="00C516BB"/>
    <w:rsid w:val="00C51B2B"/>
    <w:rsid w:val="00C52346"/>
    <w:rsid w:val="00C527AA"/>
    <w:rsid w:val="00C52FD1"/>
    <w:rsid w:val="00C531F9"/>
    <w:rsid w:val="00C53428"/>
    <w:rsid w:val="00C53497"/>
    <w:rsid w:val="00C539C1"/>
    <w:rsid w:val="00C53B9E"/>
    <w:rsid w:val="00C53D67"/>
    <w:rsid w:val="00C543F4"/>
    <w:rsid w:val="00C5455C"/>
    <w:rsid w:val="00C54957"/>
    <w:rsid w:val="00C54EEA"/>
    <w:rsid w:val="00C55602"/>
    <w:rsid w:val="00C557AE"/>
    <w:rsid w:val="00C55BF6"/>
    <w:rsid w:val="00C56241"/>
    <w:rsid w:val="00C563D0"/>
    <w:rsid w:val="00C566F3"/>
    <w:rsid w:val="00C56A8D"/>
    <w:rsid w:val="00C56F5B"/>
    <w:rsid w:val="00C57488"/>
    <w:rsid w:val="00C574D0"/>
    <w:rsid w:val="00C576B4"/>
    <w:rsid w:val="00C5788D"/>
    <w:rsid w:val="00C578CB"/>
    <w:rsid w:val="00C57A8B"/>
    <w:rsid w:val="00C57B77"/>
    <w:rsid w:val="00C57BD9"/>
    <w:rsid w:val="00C604D8"/>
    <w:rsid w:val="00C605F0"/>
    <w:rsid w:val="00C6092F"/>
    <w:rsid w:val="00C6132B"/>
    <w:rsid w:val="00C615A4"/>
    <w:rsid w:val="00C61786"/>
    <w:rsid w:val="00C61CC4"/>
    <w:rsid w:val="00C61DC6"/>
    <w:rsid w:val="00C62424"/>
    <w:rsid w:val="00C62485"/>
    <w:rsid w:val="00C624A3"/>
    <w:rsid w:val="00C62568"/>
    <w:rsid w:val="00C628F8"/>
    <w:rsid w:val="00C6291C"/>
    <w:rsid w:val="00C62EA6"/>
    <w:rsid w:val="00C633CB"/>
    <w:rsid w:val="00C633FF"/>
    <w:rsid w:val="00C6368D"/>
    <w:rsid w:val="00C63A77"/>
    <w:rsid w:val="00C63AEA"/>
    <w:rsid w:val="00C63C64"/>
    <w:rsid w:val="00C64127"/>
    <w:rsid w:val="00C642D6"/>
    <w:rsid w:val="00C645F0"/>
    <w:rsid w:val="00C64C78"/>
    <w:rsid w:val="00C6513D"/>
    <w:rsid w:val="00C656DF"/>
    <w:rsid w:val="00C65C2D"/>
    <w:rsid w:val="00C66563"/>
    <w:rsid w:val="00C667C1"/>
    <w:rsid w:val="00C66B2C"/>
    <w:rsid w:val="00C66E91"/>
    <w:rsid w:val="00C67034"/>
    <w:rsid w:val="00C673EE"/>
    <w:rsid w:val="00C674FF"/>
    <w:rsid w:val="00C67567"/>
    <w:rsid w:val="00C701FB"/>
    <w:rsid w:val="00C7073B"/>
    <w:rsid w:val="00C70DFD"/>
    <w:rsid w:val="00C71091"/>
    <w:rsid w:val="00C71346"/>
    <w:rsid w:val="00C71982"/>
    <w:rsid w:val="00C71BC7"/>
    <w:rsid w:val="00C723BB"/>
    <w:rsid w:val="00C730C5"/>
    <w:rsid w:val="00C73100"/>
    <w:rsid w:val="00C731C5"/>
    <w:rsid w:val="00C732D5"/>
    <w:rsid w:val="00C73438"/>
    <w:rsid w:val="00C7345A"/>
    <w:rsid w:val="00C73812"/>
    <w:rsid w:val="00C73AB2"/>
    <w:rsid w:val="00C74044"/>
    <w:rsid w:val="00C746B5"/>
    <w:rsid w:val="00C74923"/>
    <w:rsid w:val="00C74EC4"/>
    <w:rsid w:val="00C758B9"/>
    <w:rsid w:val="00C758C5"/>
    <w:rsid w:val="00C75938"/>
    <w:rsid w:val="00C7599F"/>
    <w:rsid w:val="00C76600"/>
    <w:rsid w:val="00C7685B"/>
    <w:rsid w:val="00C76C96"/>
    <w:rsid w:val="00C77089"/>
    <w:rsid w:val="00C7722C"/>
    <w:rsid w:val="00C777BC"/>
    <w:rsid w:val="00C77D5A"/>
    <w:rsid w:val="00C80165"/>
    <w:rsid w:val="00C80573"/>
    <w:rsid w:val="00C80697"/>
    <w:rsid w:val="00C80934"/>
    <w:rsid w:val="00C80A35"/>
    <w:rsid w:val="00C80B6B"/>
    <w:rsid w:val="00C80C1C"/>
    <w:rsid w:val="00C80F6B"/>
    <w:rsid w:val="00C81092"/>
    <w:rsid w:val="00C8136D"/>
    <w:rsid w:val="00C8158E"/>
    <w:rsid w:val="00C8168D"/>
    <w:rsid w:val="00C827C1"/>
    <w:rsid w:val="00C828D4"/>
    <w:rsid w:val="00C83032"/>
    <w:rsid w:val="00C83472"/>
    <w:rsid w:val="00C83507"/>
    <w:rsid w:val="00C83551"/>
    <w:rsid w:val="00C835D1"/>
    <w:rsid w:val="00C83737"/>
    <w:rsid w:val="00C83B9E"/>
    <w:rsid w:val="00C83BEE"/>
    <w:rsid w:val="00C83D8A"/>
    <w:rsid w:val="00C84691"/>
    <w:rsid w:val="00C84D5F"/>
    <w:rsid w:val="00C84DA2"/>
    <w:rsid w:val="00C84DB9"/>
    <w:rsid w:val="00C8510F"/>
    <w:rsid w:val="00C85159"/>
    <w:rsid w:val="00C852F5"/>
    <w:rsid w:val="00C854C2"/>
    <w:rsid w:val="00C8575B"/>
    <w:rsid w:val="00C85B5E"/>
    <w:rsid w:val="00C85CBD"/>
    <w:rsid w:val="00C85CF2"/>
    <w:rsid w:val="00C85E75"/>
    <w:rsid w:val="00C86653"/>
    <w:rsid w:val="00C86951"/>
    <w:rsid w:val="00C86B91"/>
    <w:rsid w:val="00C873B6"/>
    <w:rsid w:val="00C8762C"/>
    <w:rsid w:val="00C877EB"/>
    <w:rsid w:val="00C87F78"/>
    <w:rsid w:val="00C90649"/>
    <w:rsid w:val="00C90A2A"/>
    <w:rsid w:val="00C91239"/>
    <w:rsid w:val="00C91BA2"/>
    <w:rsid w:val="00C91DE6"/>
    <w:rsid w:val="00C920AF"/>
    <w:rsid w:val="00C92566"/>
    <w:rsid w:val="00C93320"/>
    <w:rsid w:val="00C9339F"/>
    <w:rsid w:val="00C936DE"/>
    <w:rsid w:val="00C93CD9"/>
    <w:rsid w:val="00C93DC4"/>
    <w:rsid w:val="00C93E54"/>
    <w:rsid w:val="00C93F8E"/>
    <w:rsid w:val="00C94555"/>
    <w:rsid w:val="00C94783"/>
    <w:rsid w:val="00C9512D"/>
    <w:rsid w:val="00C95984"/>
    <w:rsid w:val="00C95C1F"/>
    <w:rsid w:val="00C96499"/>
    <w:rsid w:val="00C9649F"/>
    <w:rsid w:val="00C972BA"/>
    <w:rsid w:val="00C972E5"/>
    <w:rsid w:val="00C978C3"/>
    <w:rsid w:val="00C97A4C"/>
    <w:rsid w:val="00C97A52"/>
    <w:rsid w:val="00C97C61"/>
    <w:rsid w:val="00CA00F9"/>
    <w:rsid w:val="00CA0E3B"/>
    <w:rsid w:val="00CA102E"/>
    <w:rsid w:val="00CA161E"/>
    <w:rsid w:val="00CA184E"/>
    <w:rsid w:val="00CA2797"/>
    <w:rsid w:val="00CA2961"/>
    <w:rsid w:val="00CA2CCE"/>
    <w:rsid w:val="00CA3828"/>
    <w:rsid w:val="00CA3AE3"/>
    <w:rsid w:val="00CA40CC"/>
    <w:rsid w:val="00CA44BB"/>
    <w:rsid w:val="00CA4620"/>
    <w:rsid w:val="00CA4B68"/>
    <w:rsid w:val="00CA5359"/>
    <w:rsid w:val="00CA54BD"/>
    <w:rsid w:val="00CA554D"/>
    <w:rsid w:val="00CA6301"/>
    <w:rsid w:val="00CA655F"/>
    <w:rsid w:val="00CA65D7"/>
    <w:rsid w:val="00CA69AB"/>
    <w:rsid w:val="00CA6AE2"/>
    <w:rsid w:val="00CA6F4C"/>
    <w:rsid w:val="00CA70D4"/>
    <w:rsid w:val="00CA7867"/>
    <w:rsid w:val="00CA7E26"/>
    <w:rsid w:val="00CB0279"/>
    <w:rsid w:val="00CB0792"/>
    <w:rsid w:val="00CB126E"/>
    <w:rsid w:val="00CB14ED"/>
    <w:rsid w:val="00CB1841"/>
    <w:rsid w:val="00CB2966"/>
    <w:rsid w:val="00CB2C1E"/>
    <w:rsid w:val="00CB2D79"/>
    <w:rsid w:val="00CB3547"/>
    <w:rsid w:val="00CB3878"/>
    <w:rsid w:val="00CB38AA"/>
    <w:rsid w:val="00CB3AA6"/>
    <w:rsid w:val="00CB3B62"/>
    <w:rsid w:val="00CB46B2"/>
    <w:rsid w:val="00CB4B9C"/>
    <w:rsid w:val="00CB50D7"/>
    <w:rsid w:val="00CB5252"/>
    <w:rsid w:val="00CB5659"/>
    <w:rsid w:val="00CB5FDE"/>
    <w:rsid w:val="00CB618C"/>
    <w:rsid w:val="00CB61AF"/>
    <w:rsid w:val="00CB63A8"/>
    <w:rsid w:val="00CB66E8"/>
    <w:rsid w:val="00CB6A35"/>
    <w:rsid w:val="00CB7177"/>
    <w:rsid w:val="00CB7A26"/>
    <w:rsid w:val="00CC0100"/>
    <w:rsid w:val="00CC02B2"/>
    <w:rsid w:val="00CC02E7"/>
    <w:rsid w:val="00CC0519"/>
    <w:rsid w:val="00CC08BE"/>
    <w:rsid w:val="00CC0D54"/>
    <w:rsid w:val="00CC1998"/>
    <w:rsid w:val="00CC1A40"/>
    <w:rsid w:val="00CC1BBB"/>
    <w:rsid w:val="00CC1CFD"/>
    <w:rsid w:val="00CC1EB0"/>
    <w:rsid w:val="00CC257F"/>
    <w:rsid w:val="00CC25F5"/>
    <w:rsid w:val="00CC2629"/>
    <w:rsid w:val="00CC2BA0"/>
    <w:rsid w:val="00CC2E16"/>
    <w:rsid w:val="00CC382D"/>
    <w:rsid w:val="00CC3DE5"/>
    <w:rsid w:val="00CC4946"/>
    <w:rsid w:val="00CC4C1A"/>
    <w:rsid w:val="00CC4C47"/>
    <w:rsid w:val="00CC51A2"/>
    <w:rsid w:val="00CC585A"/>
    <w:rsid w:val="00CC66FB"/>
    <w:rsid w:val="00CC6772"/>
    <w:rsid w:val="00CC694E"/>
    <w:rsid w:val="00CC6D6A"/>
    <w:rsid w:val="00CC6E42"/>
    <w:rsid w:val="00CC709A"/>
    <w:rsid w:val="00CC79E2"/>
    <w:rsid w:val="00CC7CE3"/>
    <w:rsid w:val="00CC7F27"/>
    <w:rsid w:val="00CD01E4"/>
    <w:rsid w:val="00CD0514"/>
    <w:rsid w:val="00CD07C1"/>
    <w:rsid w:val="00CD07F1"/>
    <w:rsid w:val="00CD0CF8"/>
    <w:rsid w:val="00CD0EBD"/>
    <w:rsid w:val="00CD14A1"/>
    <w:rsid w:val="00CD167B"/>
    <w:rsid w:val="00CD16D7"/>
    <w:rsid w:val="00CD2906"/>
    <w:rsid w:val="00CD294B"/>
    <w:rsid w:val="00CD2E96"/>
    <w:rsid w:val="00CD3BE2"/>
    <w:rsid w:val="00CD41CF"/>
    <w:rsid w:val="00CD44D0"/>
    <w:rsid w:val="00CD516A"/>
    <w:rsid w:val="00CD51EA"/>
    <w:rsid w:val="00CD5389"/>
    <w:rsid w:val="00CD5523"/>
    <w:rsid w:val="00CD5E15"/>
    <w:rsid w:val="00CD5F34"/>
    <w:rsid w:val="00CD608A"/>
    <w:rsid w:val="00CD63FC"/>
    <w:rsid w:val="00CD659E"/>
    <w:rsid w:val="00CD6782"/>
    <w:rsid w:val="00CD6B47"/>
    <w:rsid w:val="00CD6F93"/>
    <w:rsid w:val="00CD6FFF"/>
    <w:rsid w:val="00CD706E"/>
    <w:rsid w:val="00CD7216"/>
    <w:rsid w:val="00CD72D4"/>
    <w:rsid w:val="00CD7309"/>
    <w:rsid w:val="00CD7D8C"/>
    <w:rsid w:val="00CD7E93"/>
    <w:rsid w:val="00CD7FE0"/>
    <w:rsid w:val="00CE0537"/>
    <w:rsid w:val="00CE0AA1"/>
    <w:rsid w:val="00CE0CB8"/>
    <w:rsid w:val="00CE131C"/>
    <w:rsid w:val="00CE1417"/>
    <w:rsid w:val="00CE1419"/>
    <w:rsid w:val="00CE149B"/>
    <w:rsid w:val="00CE19FF"/>
    <w:rsid w:val="00CE1F66"/>
    <w:rsid w:val="00CE2523"/>
    <w:rsid w:val="00CE3653"/>
    <w:rsid w:val="00CE37BC"/>
    <w:rsid w:val="00CE4015"/>
    <w:rsid w:val="00CE40D5"/>
    <w:rsid w:val="00CE43F7"/>
    <w:rsid w:val="00CE4542"/>
    <w:rsid w:val="00CE52B5"/>
    <w:rsid w:val="00CE5754"/>
    <w:rsid w:val="00CE5852"/>
    <w:rsid w:val="00CE5E05"/>
    <w:rsid w:val="00CE7707"/>
    <w:rsid w:val="00CF0432"/>
    <w:rsid w:val="00CF0582"/>
    <w:rsid w:val="00CF05AB"/>
    <w:rsid w:val="00CF063B"/>
    <w:rsid w:val="00CF0911"/>
    <w:rsid w:val="00CF0A65"/>
    <w:rsid w:val="00CF1096"/>
    <w:rsid w:val="00CF10C0"/>
    <w:rsid w:val="00CF11BF"/>
    <w:rsid w:val="00CF1D7B"/>
    <w:rsid w:val="00CF1E70"/>
    <w:rsid w:val="00CF1E85"/>
    <w:rsid w:val="00CF1F60"/>
    <w:rsid w:val="00CF22A9"/>
    <w:rsid w:val="00CF263E"/>
    <w:rsid w:val="00CF26D6"/>
    <w:rsid w:val="00CF2C96"/>
    <w:rsid w:val="00CF2DB2"/>
    <w:rsid w:val="00CF320B"/>
    <w:rsid w:val="00CF3291"/>
    <w:rsid w:val="00CF34B5"/>
    <w:rsid w:val="00CF3BC6"/>
    <w:rsid w:val="00CF3BD9"/>
    <w:rsid w:val="00CF3E65"/>
    <w:rsid w:val="00CF4139"/>
    <w:rsid w:val="00CF490B"/>
    <w:rsid w:val="00CF4999"/>
    <w:rsid w:val="00CF4CB1"/>
    <w:rsid w:val="00CF4F06"/>
    <w:rsid w:val="00CF5079"/>
    <w:rsid w:val="00CF5118"/>
    <w:rsid w:val="00CF534A"/>
    <w:rsid w:val="00CF5EC7"/>
    <w:rsid w:val="00CF709F"/>
    <w:rsid w:val="00CF7309"/>
    <w:rsid w:val="00CF74A8"/>
    <w:rsid w:val="00CF74C0"/>
    <w:rsid w:val="00CF7950"/>
    <w:rsid w:val="00CF7AB4"/>
    <w:rsid w:val="00D004F2"/>
    <w:rsid w:val="00D008EA"/>
    <w:rsid w:val="00D00B85"/>
    <w:rsid w:val="00D00BDB"/>
    <w:rsid w:val="00D00F8A"/>
    <w:rsid w:val="00D0140A"/>
    <w:rsid w:val="00D01735"/>
    <w:rsid w:val="00D0217C"/>
    <w:rsid w:val="00D0249F"/>
    <w:rsid w:val="00D02992"/>
    <w:rsid w:val="00D02C38"/>
    <w:rsid w:val="00D03826"/>
    <w:rsid w:val="00D038F5"/>
    <w:rsid w:val="00D03975"/>
    <w:rsid w:val="00D03D6E"/>
    <w:rsid w:val="00D04133"/>
    <w:rsid w:val="00D0474D"/>
    <w:rsid w:val="00D049CE"/>
    <w:rsid w:val="00D04DF1"/>
    <w:rsid w:val="00D04ED7"/>
    <w:rsid w:val="00D057F8"/>
    <w:rsid w:val="00D0681F"/>
    <w:rsid w:val="00D0685B"/>
    <w:rsid w:val="00D06B5C"/>
    <w:rsid w:val="00D105DF"/>
    <w:rsid w:val="00D10998"/>
    <w:rsid w:val="00D10A94"/>
    <w:rsid w:val="00D10E6C"/>
    <w:rsid w:val="00D1151B"/>
    <w:rsid w:val="00D116B6"/>
    <w:rsid w:val="00D1231D"/>
    <w:rsid w:val="00D12612"/>
    <w:rsid w:val="00D1292A"/>
    <w:rsid w:val="00D1336A"/>
    <w:rsid w:val="00D13911"/>
    <w:rsid w:val="00D13D6A"/>
    <w:rsid w:val="00D13E5A"/>
    <w:rsid w:val="00D14FB0"/>
    <w:rsid w:val="00D1546A"/>
    <w:rsid w:val="00D155E2"/>
    <w:rsid w:val="00D157EB"/>
    <w:rsid w:val="00D159F9"/>
    <w:rsid w:val="00D15A54"/>
    <w:rsid w:val="00D15B0B"/>
    <w:rsid w:val="00D15DB3"/>
    <w:rsid w:val="00D15E03"/>
    <w:rsid w:val="00D15EE4"/>
    <w:rsid w:val="00D1604E"/>
    <w:rsid w:val="00D1668F"/>
    <w:rsid w:val="00D16C77"/>
    <w:rsid w:val="00D16F4E"/>
    <w:rsid w:val="00D1752A"/>
    <w:rsid w:val="00D17E6B"/>
    <w:rsid w:val="00D20132"/>
    <w:rsid w:val="00D20C59"/>
    <w:rsid w:val="00D20E27"/>
    <w:rsid w:val="00D20EE3"/>
    <w:rsid w:val="00D20FF3"/>
    <w:rsid w:val="00D21075"/>
    <w:rsid w:val="00D210EA"/>
    <w:rsid w:val="00D22868"/>
    <w:rsid w:val="00D2286C"/>
    <w:rsid w:val="00D22B23"/>
    <w:rsid w:val="00D233BE"/>
    <w:rsid w:val="00D233E5"/>
    <w:rsid w:val="00D23466"/>
    <w:rsid w:val="00D23696"/>
    <w:rsid w:val="00D23B74"/>
    <w:rsid w:val="00D23C4B"/>
    <w:rsid w:val="00D23D43"/>
    <w:rsid w:val="00D23D9E"/>
    <w:rsid w:val="00D24056"/>
    <w:rsid w:val="00D244B5"/>
    <w:rsid w:val="00D24A5E"/>
    <w:rsid w:val="00D24B80"/>
    <w:rsid w:val="00D24E9D"/>
    <w:rsid w:val="00D2552D"/>
    <w:rsid w:val="00D2579C"/>
    <w:rsid w:val="00D26051"/>
    <w:rsid w:val="00D2615B"/>
    <w:rsid w:val="00D27076"/>
    <w:rsid w:val="00D270A4"/>
    <w:rsid w:val="00D27298"/>
    <w:rsid w:val="00D27334"/>
    <w:rsid w:val="00D274B3"/>
    <w:rsid w:val="00D274BB"/>
    <w:rsid w:val="00D27509"/>
    <w:rsid w:val="00D2751D"/>
    <w:rsid w:val="00D278ED"/>
    <w:rsid w:val="00D27A67"/>
    <w:rsid w:val="00D27A74"/>
    <w:rsid w:val="00D305F2"/>
    <w:rsid w:val="00D30642"/>
    <w:rsid w:val="00D30A11"/>
    <w:rsid w:val="00D311D3"/>
    <w:rsid w:val="00D31666"/>
    <w:rsid w:val="00D3187F"/>
    <w:rsid w:val="00D31ACF"/>
    <w:rsid w:val="00D31FB2"/>
    <w:rsid w:val="00D32609"/>
    <w:rsid w:val="00D32A26"/>
    <w:rsid w:val="00D32A33"/>
    <w:rsid w:val="00D32ACA"/>
    <w:rsid w:val="00D330C8"/>
    <w:rsid w:val="00D339A7"/>
    <w:rsid w:val="00D33BD0"/>
    <w:rsid w:val="00D33F44"/>
    <w:rsid w:val="00D34399"/>
    <w:rsid w:val="00D34532"/>
    <w:rsid w:val="00D34E1B"/>
    <w:rsid w:val="00D35471"/>
    <w:rsid w:val="00D354D3"/>
    <w:rsid w:val="00D35BC6"/>
    <w:rsid w:val="00D35FAD"/>
    <w:rsid w:val="00D36A60"/>
    <w:rsid w:val="00D36BD5"/>
    <w:rsid w:val="00D36D70"/>
    <w:rsid w:val="00D36E2F"/>
    <w:rsid w:val="00D376E3"/>
    <w:rsid w:val="00D37921"/>
    <w:rsid w:val="00D40142"/>
    <w:rsid w:val="00D4038B"/>
    <w:rsid w:val="00D40C79"/>
    <w:rsid w:val="00D41218"/>
    <w:rsid w:val="00D41313"/>
    <w:rsid w:val="00D414A2"/>
    <w:rsid w:val="00D416EC"/>
    <w:rsid w:val="00D4191E"/>
    <w:rsid w:val="00D41AFF"/>
    <w:rsid w:val="00D41C77"/>
    <w:rsid w:val="00D420B8"/>
    <w:rsid w:val="00D42A15"/>
    <w:rsid w:val="00D437A4"/>
    <w:rsid w:val="00D4386D"/>
    <w:rsid w:val="00D43FA3"/>
    <w:rsid w:val="00D450E7"/>
    <w:rsid w:val="00D45367"/>
    <w:rsid w:val="00D456F9"/>
    <w:rsid w:val="00D457F4"/>
    <w:rsid w:val="00D458B0"/>
    <w:rsid w:val="00D45BB3"/>
    <w:rsid w:val="00D467F7"/>
    <w:rsid w:val="00D46827"/>
    <w:rsid w:val="00D470FD"/>
    <w:rsid w:val="00D4753A"/>
    <w:rsid w:val="00D47549"/>
    <w:rsid w:val="00D47702"/>
    <w:rsid w:val="00D478D2"/>
    <w:rsid w:val="00D47994"/>
    <w:rsid w:val="00D479CA"/>
    <w:rsid w:val="00D47B9B"/>
    <w:rsid w:val="00D47E60"/>
    <w:rsid w:val="00D50C1E"/>
    <w:rsid w:val="00D51700"/>
    <w:rsid w:val="00D5194B"/>
    <w:rsid w:val="00D51A0B"/>
    <w:rsid w:val="00D51D8F"/>
    <w:rsid w:val="00D521EF"/>
    <w:rsid w:val="00D5228C"/>
    <w:rsid w:val="00D525DB"/>
    <w:rsid w:val="00D5264F"/>
    <w:rsid w:val="00D52D72"/>
    <w:rsid w:val="00D53F5F"/>
    <w:rsid w:val="00D54500"/>
    <w:rsid w:val="00D545CE"/>
    <w:rsid w:val="00D546B3"/>
    <w:rsid w:val="00D549D3"/>
    <w:rsid w:val="00D5589F"/>
    <w:rsid w:val="00D55A38"/>
    <w:rsid w:val="00D55D2A"/>
    <w:rsid w:val="00D56014"/>
    <w:rsid w:val="00D57486"/>
    <w:rsid w:val="00D5749C"/>
    <w:rsid w:val="00D578CD"/>
    <w:rsid w:val="00D57CB3"/>
    <w:rsid w:val="00D57E9E"/>
    <w:rsid w:val="00D6019E"/>
    <w:rsid w:val="00D60309"/>
    <w:rsid w:val="00D604E8"/>
    <w:rsid w:val="00D61085"/>
    <w:rsid w:val="00D612FF"/>
    <w:rsid w:val="00D618AC"/>
    <w:rsid w:val="00D61D91"/>
    <w:rsid w:val="00D62052"/>
    <w:rsid w:val="00D6328C"/>
    <w:rsid w:val="00D63696"/>
    <w:rsid w:val="00D63C86"/>
    <w:rsid w:val="00D63CE1"/>
    <w:rsid w:val="00D63D73"/>
    <w:rsid w:val="00D63DAE"/>
    <w:rsid w:val="00D63F56"/>
    <w:rsid w:val="00D640DA"/>
    <w:rsid w:val="00D64B9E"/>
    <w:rsid w:val="00D6511E"/>
    <w:rsid w:val="00D651DF"/>
    <w:rsid w:val="00D6542B"/>
    <w:rsid w:val="00D65A38"/>
    <w:rsid w:val="00D65B74"/>
    <w:rsid w:val="00D65D6D"/>
    <w:rsid w:val="00D66397"/>
    <w:rsid w:val="00D663F1"/>
    <w:rsid w:val="00D66427"/>
    <w:rsid w:val="00D66745"/>
    <w:rsid w:val="00D66A97"/>
    <w:rsid w:val="00D66E1E"/>
    <w:rsid w:val="00D674D1"/>
    <w:rsid w:val="00D674D7"/>
    <w:rsid w:val="00D6750C"/>
    <w:rsid w:val="00D6759F"/>
    <w:rsid w:val="00D6771E"/>
    <w:rsid w:val="00D677F2"/>
    <w:rsid w:val="00D67803"/>
    <w:rsid w:val="00D67CCD"/>
    <w:rsid w:val="00D67ECD"/>
    <w:rsid w:val="00D67F89"/>
    <w:rsid w:val="00D702ED"/>
    <w:rsid w:val="00D7063B"/>
    <w:rsid w:val="00D709D5"/>
    <w:rsid w:val="00D70EC5"/>
    <w:rsid w:val="00D71382"/>
    <w:rsid w:val="00D71D65"/>
    <w:rsid w:val="00D725AC"/>
    <w:rsid w:val="00D73413"/>
    <w:rsid w:val="00D7377F"/>
    <w:rsid w:val="00D737D4"/>
    <w:rsid w:val="00D738E5"/>
    <w:rsid w:val="00D7395D"/>
    <w:rsid w:val="00D74014"/>
    <w:rsid w:val="00D741BD"/>
    <w:rsid w:val="00D7484E"/>
    <w:rsid w:val="00D74871"/>
    <w:rsid w:val="00D74A1A"/>
    <w:rsid w:val="00D74A9F"/>
    <w:rsid w:val="00D74FFC"/>
    <w:rsid w:val="00D7501B"/>
    <w:rsid w:val="00D755DF"/>
    <w:rsid w:val="00D755EE"/>
    <w:rsid w:val="00D75722"/>
    <w:rsid w:val="00D757ED"/>
    <w:rsid w:val="00D758DC"/>
    <w:rsid w:val="00D75968"/>
    <w:rsid w:val="00D75F94"/>
    <w:rsid w:val="00D76443"/>
    <w:rsid w:val="00D76633"/>
    <w:rsid w:val="00D76840"/>
    <w:rsid w:val="00D76AB0"/>
    <w:rsid w:val="00D779F2"/>
    <w:rsid w:val="00D803C6"/>
    <w:rsid w:val="00D80641"/>
    <w:rsid w:val="00D806CF"/>
    <w:rsid w:val="00D810D2"/>
    <w:rsid w:val="00D8119D"/>
    <w:rsid w:val="00D81A39"/>
    <w:rsid w:val="00D81F9A"/>
    <w:rsid w:val="00D820E2"/>
    <w:rsid w:val="00D8210A"/>
    <w:rsid w:val="00D82241"/>
    <w:rsid w:val="00D822E6"/>
    <w:rsid w:val="00D8283A"/>
    <w:rsid w:val="00D82A79"/>
    <w:rsid w:val="00D83924"/>
    <w:rsid w:val="00D83F3B"/>
    <w:rsid w:val="00D84172"/>
    <w:rsid w:val="00D85031"/>
    <w:rsid w:val="00D85329"/>
    <w:rsid w:val="00D8548A"/>
    <w:rsid w:val="00D859D7"/>
    <w:rsid w:val="00D85D91"/>
    <w:rsid w:val="00D860A9"/>
    <w:rsid w:val="00D8668D"/>
    <w:rsid w:val="00D867EB"/>
    <w:rsid w:val="00D86837"/>
    <w:rsid w:val="00D87606"/>
    <w:rsid w:val="00D87704"/>
    <w:rsid w:val="00D87B28"/>
    <w:rsid w:val="00D87BA2"/>
    <w:rsid w:val="00D87F2C"/>
    <w:rsid w:val="00D91383"/>
    <w:rsid w:val="00D91967"/>
    <w:rsid w:val="00D91A08"/>
    <w:rsid w:val="00D91D93"/>
    <w:rsid w:val="00D92A22"/>
    <w:rsid w:val="00D92DBC"/>
    <w:rsid w:val="00D9327F"/>
    <w:rsid w:val="00D936A2"/>
    <w:rsid w:val="00D93B9C"/>
    <w:rsid w:val="00D93EC4"/>
    <w:rsid w:val="00D940F3"/>
    <w:rsid w:val="00D941FB"/>
    <w:rsid w:val="00D946F9"/>
    <w:rsid w:val="00D94AC7"/>
    <w:rsid w:val="00D94B74"/>
    <w:rsid w:val="00D94D23"/>
    <w:rsid w:val="00D95274"/>
    <w:rsid w:val="00D954EE"/>
    <w:rsid w:val="00D956B1"/>
    <w:rsid w:val="00D958D6"/>
    <w:rsid w:val="00D96386"/>
    <w:rsid w:val="00D96B85"/>
    <w:rsid w:val="00D96BA4"/>
    <w:rsid w:val="00D96C11"/>
    <w:rsid w:val="00D96F72"/>
    <w:rsid w:val="00D972D0"/>
    <w:rsid w:val="00D973DF"/>
    <w:rsid w:val="00D97592"/>
    <w:rsid w:val="00DA0165"/>
    <w:rsid w:val="00DA0168"/>
    <w:rsid w:val="00DA0193"/>
    <w:rsid w:val="00DA075C"/>
    <w:rsid w:val="00DA08C5"/>
    <w:rsid w:val="00DA0F27"/>
    <w:rsid w:val="00DA1125"/>
    <w:rsid w:val="00DA120E"/>
    <w:rsid w:val="00DA12A5"/>
    <w:rsid w:val="00DA1789"/>
    <w:rsid w:val="00DA2015"/>
    <w:rsid w:val="00DA2354"/>
    <w:rsid w:val="00DA3129"/>
    <w:rsid w:val="00DA3532"/>
    <w:rsid w:val="00DA373C"/>
    <w:rsid w:val="00DA380D"/>
    <w:rsid w:val="00DA3AE1"/>
    <w:rsid w:val="00DA3CBD"/>
    <w:rsid w:val="00DA3D79"/>
    <w:rsid w:val="00DA3E93"/>
    <w:rsid w:val="00DA44FD"/>
    <w:rsid w:val="00DA55A6"/>
    <w:rsid w:val="00DA564E"/>
    <w:rsid w:val="00DA6091"/>
    <w:rsid w:val="00DA6396"/>
    <w:rsid w:val="00DA6B85"/>
    <w:rsid w:val="00DA73E5"/>
    <w:rsid w:val="00DA7882"/>
    <w:rsid w:val="00DB00FC"/>
    <w:rsid w:val="00DB03E5"/>
    <w:rsid w:val="00DB06A1"/>
    <w:rsid w:val="00DB0CEC"/>
    <w:rsid w:val="00DB1204"/>
    <w:rsid w:val="00DB1480"/>
    <w:rsid w:val="00DB199E"/>
    <w:rsid w:val="00DB1BC8"/>
    <w:rsid w:val="00DB1D10"/>
    <w:rsid w:val="00DB1EAD"/>
    <w:rsid w:val="00DB20B7"/>
    <w:rsid w:val="00DB24C9"/>
    <w:rsid w:val="00DB2638"/>
    <w:rsid w:val="00DB270B"/>
    <w:rsid w:val="00DB399E"/>
    <w:rsid w:val="00DB3A04"/>
    <w:rsid w:val="00DB4166"/>
    <w:rsid w:val="00DB4593"/>
    <w:rsid w:val="00DB482D"/>
    <w:rsid w:val="00DB4E90"/>
    <w:rsid w:val="00DB6206"/>
    <w:rsid w:val="00DB6785"/>
    <w:rsid w:val="00DB67C9"/>
    <w:rsid w:val="00DB6BE7"/>
    <w:rsid w:val="00DB6E70"/>
    <w:rsid w:val="00DB6FD9"/>
    <w:rsid w:val="00DB70AD"/>
    <w:rsid w:val="00DB7399"/>
    <w:rsid w:val="00DB7801"/>
    <w:rsid w:val="00DB786A"/>
    <w:rsid w:val="00DB7BAB"/>
    <w:rsid w:val="00DB7DFB"/>
    <w:rsid w:val="00DC0228"/>
    <w:rsid w:val="00DC0789"/>
    <w:rsid w:val="00DC0C95"/>
    <w:rsid w:val="00DC0F03"/>
    <w:rsid w:val="00DC1A92"/>
    <w:rsid w:val="00DC1B07"/>
    <w:rsid w:val="00DC3010"/>
    <w:rsid w:val="00DC336E"/>
    <w:rsid w:val="00DC3920"/>
    <w:rsid w:val="00DC3D81"/>
    <w:rsid w:val="00DC42DD"/>
    <w:rsid w:val="00DC4545"/>
    <w:rsid w:val="00DC4DA9"/>
    <w:rsid w:val="00DC4E9B"/>
    <w:rsid w:val="00DC4FAD"/>
    <w:rsid w:val="00DC5D54"/>
    <w:rsid w:val="00DC5E16"/>
    <w:rsid w:val="00DC5E58"/>
    <w:rsid w:val="00DC62B4"/>
    <w:rsid w:val="00DC7412"/>
    <w:rsid w:val="00DC748F"/>
    <w:rsid w:val="00DC75B5"/>
    <w:rsid w:val="00DC76F4"/>
    <w:rsid w:val="00DC793F"/>
    <w:rsid w:val="00DC7B95"/>
    <w:rsid w:val="00DC7F30"/>
    <w:rsid w:val="00DD0036"/>
    <w:rsid w:val="00DD012D"/>
    <w:rsid w:val="00DD0946"/>
    <w:rsid w:val="00DD0CE8"/>
    <w:rsid w:val="00DD1057"/>
    <w:rsid w:val="00DD125A"/>
    <w:rsid w:val="00DD192E"/>
    <w:rsid w:val="00DD1A24"/>
    <w:rsid w:val="00DD2548"/>
    <w:rsid w:val="00DD2735"/>
    <w:rsid w:val="00DD291C"/>
    <w:rsid w:val="00DD2954"/>
    <w:rsid w:val="00DD2A86"/>
    <w:rsid w:val="00DD2E7E"/>
    <w:rsid w:val="00DD36A1"/>
    <w:rsid w:val="00DD3D0C"/>
    <w:rsid w:val="00DD40B9"/>
    <w:rsid w:val="00DD454B"/>
    <w:rsid w:val="00DD5202"/>
    <w:rsid w:val="00DD55A5"/>
    <w:rsid w:val="00DD570D"/>
    <w:rsid w:val="00DD5CC7"/>
    <w:rsid w:val="00DD60BF"/>
    <w:rsid w:val="00DD64CE"/>
    <w:rsid w:val="00DD6564"/>
    <w:rsid w:val="00DD6580"/>
    <w:rsid w:val="00DD6956"/>
    <w:rsid w:val="00DD6B06"/>
    <w:rsid w:val="00DD73A8"/>
    <w:rsid w:val="00DD77F8"/>
    <w:rsid w:val="00DD79AB"/>
    <w:rsid w:val="00DD7AB2"/>
    <w:rsid w:val="00DE01A6"/>
    <w:rsid w:val="00DE0702"/>
    <w:rsid w:val="00DE0ADE"/>
    <w:rsid w:val="00DE0CAA"/>
    <w:rsid w:val="00DE0DC2"/>
    <w:rsid w:val="00DE1771"/>
    <w:rsid w:val="00DE1D24"/>
    <w:rsid w:val="00DE1E44"/>
    <w:rsid w:val="00DE2078"/>
    <w:rsid w:val="00DE2130"/>
    <w:rsid w:val="00DE21B9"/>
    <w:rsid w:val="00DE220D"/>
    <w:rsid w:val="00DE2220"/>
    <w:rsid w:val="00DE2783"/>
    <w:rsid w:val="00DE27C8"/>
    <w:rsid w:val="00DE29AE"/>
    <w:rsid w:val="00DE2C6C"/>
    <w:rsid w:val="00DE2CA9"/>
    <w:rsid w:val="00DE3294"/>
    <w:rsid w:val="00DE35AD"/>
    <w:rsid w:val="00DE36F2"/>
    <w:rsid w:val="00DE3A13"/>
    <w:rsid w:val="00DE3DAE"/>
    <w:rsid w:val="00DE41C0"/>
    <w:rsid w:val="00DE4218"/>
    <w:rsid w:val="00DE4D7D"/>
    <w:rsid w:val="00DE4F6E"/>
    <w:rsid w:val="00DE4FB4"/>
    <w:rsid w:val="00DE5069"/>
    <w:rsid w:val="00DE580A"/>
    <w:rsid w:val="00DE5FF5"/>
    <w:rsid w:val="00DE6842"/>
    <w:rsid w:val="00DE6A0D"/>
    <w:rsid w:val="00DE7625"/>
    <w:rsid w:val="00DE77A5"/>
    <w:rsid w:val="00DE77A9"/>
    <w:rsid w:val="00DE7AA3"/>
    <w:rsid w:val="00DE7B08"/>
    <w:rsid w:val="00DF040F"/>
    <w:rsid w:val="00DF0714"/>
    <w:rsid w:val="00DF075D"/>
    <w:rsid w:val="00DF0B98"/>
    <w:rsid w:val="00DF0FCE"/>
    <w:rsid w:val="00DF108C"/>
    <w:rsid w:val="00DF1255"/>
    <w:rsid w:val="00DF12D0"/>
    <w:rsid w:val="00DF13DC"/>
    <w:rsid w:val="00DF167E"/>
    <w:rsid w:val="00DF185C"/>
    <w:rsid w:val="00DF1F3B"/>
    <w:rsid w:val="00DF244B"/>
    <w:rsid w:val="00DF2B19"/>
    <w:rsid w:val="00DF32C4"/>
    <w:rsid w:val="00DF3B2F"/>
    <w:rsid w:val="00DF41A1"/>
    <w:rsid w:val="00DF41B2"/>
    <w:rsid w:val="00DF42D0"/>
    <w:rsid w:val="00DF4407"/>
    <w:rsid w:val="00DF45E7"/>
    <w:rsid w:val="00DF463B"/>
    <w:rsid w:val="00DF4672"/>
    <w:rsid w:val="00DF4A29"/>
    <w:rsid w:val="00DF4C20"/>
    <w:rsid w:val="00DF4C53"/>
    <w:rsid w:val="00DF63A4"/>
    <w:rsid w:val="00DF6558"/>
    <w:rsid w:val="00DF659A"/>
    <w:rsid w:val="00DF65F7"/>
    <w:rsid w:val="00DF6667"/>
    <w:rsid w:val="00DF69C0"/>
    <w:rsid w:val="00DF6F21"/>
    <w:rsid w:val="00DF7128"/>
    <w:rsid w:val="00DF7678"/>
    <w:rsid w:val="00DF768A"/>
    <w:rsid w:val="00DF78AF"/>
    <w:rsid w:val="00E00147"/>
    <w:rsid w:val="00E00539"/>
    <w:rsid w:val="00E00857"/>
    <w:rsid w:val="00E00AF1"/>
    <w:rsid w:val="00E00B00"/>
    <w:rsid w:val="00E00E03"/>
    <w:rsid w:val="00E01192"/>
    <w:rsid w:val="00E015B9"/>
    <w:rsid w:val="00E01857"/>
    <w:rsid w:val="00E019A4"/>
    <w:rsid w:val="00E01B29"/>
    <w:rsid w:val="00E02220"/>
    <w:rsid w:val="00E0225F"/>
    <w:rsid w:val="00E02642"/>
    <w:rsid w:val="00E0295B"/>
    <w:rsid w:val="00E02C3B"/>
    <w:rsid w:val="00E02E6F"/>
    <w:rsid w:val="00E0309E"/>
    <w:rsid w:val="00E031EB"/>
    <w:rsid w:val="00E03488"/>
    <w:rsid w:val="00E044F0"/>
    <w:rsid w:val="00E05387"/>
    <w:rsid w:val="00E058A4"/>
    <w:rsid w:val="00E05A82"/>
    <w:rsid w:val="00E05A90"/>
    <w:rsid w:val="00E05B07"/>
    <w:rsid w:val="00E066A5"/>
    <w:rsid w:val="00E074E0"/>
    <w:rsid w:val="00E101C4"/>
    <w:rsid w:val="00E10D3D"/>
    <w:rsid w:val="00E10F18"/>
    <w:rsid w:val="00E11218"/>
    <w:rsid w:val="00E113AE"/>
    <w:rsid w:val="00E11443"/>
    <w:rsid w:val="00E121E0"/>
    <w:rsid w:val="00E121EA"/>
    <w:rsid w:val="00E12465"/>
    <w:rsid w:val="00E12485"/>
    <w:rsid w:val="00E124A5"/>
    <w:rsid w:val="00E12788"/>
    <w:rsid w:val="00E12BDB"/>
    <w:rsid w:val="00E13075"/>
    <w:rsid w:val="00E13192"/>
    <w:rsid w:val="00E132A0"/>
    <w:rsid w:val="00E1432A"/>
    <w:rsid w:val="00E14450"/>
    <w:rsid w:val="00E14ED5"/>
    <w:rsid w:val="00E15BC1"/>
    <w:rsid w:val="00E1600E"/>
    <w:rsid w:val="00E1650F"/>
    <w:rsid w:val="00E16A86"/>
    <w:rsid w:val="00E16C46"/>
    <w:rsid w:val="00E17113"/>
    <w:rsid w:val="00E176A1"/>
    <w:rsid w:val="00E178D6"/>
    <w:rsid w:val="00E178F8"/>
    <w:rsid w:val="00E17908"/>
    <w:rsid w:val="00E17C72"/>
    <w:rsid w:val="00E202BF"/>
    <w:rsid w:val="00E20344"/>
    <w:rsid w:val="00E210F5"/>
    <w:rsid w:val="00E2168C"/>
    <w:rsid w:val="00E21823"/>
    <w:rsid w:val="00E21AC0"/>
    <w:rsid w:val="00E21C17"/>
    <w:rsid w:val="00E21CF1"/>
    <w:rsid w:val="00E21D47"/>
    <w:rsid w:val="00E22192"/>
    <w:rsid w:val="00E225F9"/>
    <w:rsid w:val="00E22DB1"/>
    <w:rsid w:val="00E22E4C"/>
    <w:rsid w:val="00E22EF0"/>
    <w:rsid w:val="00E22F5D"/>
    <w:rsid w:val="00E2369C"/>
    <w:rsid w:val="00E2379C"/>
    <w:rsid w:val="00E2444E"/>
    <w:rsid w:val="00E24C71"/>
    <w:rsid w:val="00E25C01"/>
    <w:rsid w:val="00E25CA6"/>
    <w:rsid w:val="00E25D03"/>
    <w:rsid w:val="00E26639"/>
    <w:rsid w:val="00E26CCB"/>
    <w:rsid w:val="00E276C1"/>
    <w:rsid w:val="00E2787A"/>
    <w:rsid w:val="00E27CAA"/>
    <w:rsid w:val="00E300C9"/>
    <w:rsid w:val="00E30B9A"/>
    <w:rsid w:val="00E30C54"/>
    <w:rsid w:val="00E3133E"/>
    <w:rsid w:val="00E31F08"/>
    <w:rsid w:val="00E31F44"/>
    <w:rsid w:val="00E32A8C"/>
    <w:rsid w:val="00E32F19"/>
    <w:rsid w:val="00E33D92"/>
    <w:rsid w:val="00E33E55"/>
    <w:rsid w:val="00E3488B"/>
    <w:rsid w:val="00E34A2F"/>
    <w:rsid w:val="00E3532E"/>
    <w:rsid w:val="00E3591C"/>
    <w:rsid w:val="00E35AE5"/>
    <w:rsid w:val="00E36246"/>
    <w:rsid w:val="00E366AC"/>
    <w:rsid w:val="00E36AC7"/>
    <w:rsid w:val="00E36C7E"/>
    <w:rsid w:val="00E36CA3"/>
    <w:rsid w:val="00E37300"/>
    <w:rsid w:val="00E377BC"/>
    <w:rsid w:val="00E37851"/>
    <w:rsid w:val="00E37B70"/>
    <w:rsid w:val="00E37D33"/>
    <w:rsid w:val="00E4084E"/>
    <w:rsid w:val="00E40933"/>
    <w:rsid w:val="00E40B68"/>
    <w:rsid w:val="00E40EA0"/>
    <w:rsid w:val="00E418AA"/>
    <w:rsid w:val="00E41B06"/>
    <w:rsid w:val="00E41B2F"/>
    <w:rsid w:val="00E41FB2"/>
    <w:rsid w:val="00E428B4"/>
    <w:rsid w:val="00E42D83"/>
    <w:rsid w:val="00E42E27"/>
    <w:rsid w:val="00E42FEB"/>
    <w:rsid w:val="00E43460"/>
    <w:rsid w:val="00E43471"/>
    <w:rsid w:val="00E435BD"/>
    <w:rsid w:val="00E43606"/>
    <w:rsid w:val="00E436B7"/>
    <w:rsid w:val="00E438D3"/>
    <w:rsid w:val="00E43B6D"/>
    <w:rsid w:val="00E43D24"/>
    <w:rsid w:val="00E43ED3"/>
    <w:rsid w:val="00E43EF2"/>
    <w:rsid w:val="00E44368"/>
    <w:rsid w:val="00E449C0"/>
    <w:rsid w:val="00E44C23"/>
    <w:rsid w:val="00E44D36"/>
    <w:rsid w:val="00E45392"/>
    <w:rsid w:val="00E457DA"/>
    <w:rsid w:val="00E45F52"/>
    <w:rsid w:val="00E46171"/>
    <w:rsid w:val="00E4640D"/>
    <w:rsid w:val="00E46990"/>
    <w:rsid w:val="00E46B65"/>
    <w:rsid w:val="00E46DFB"/>
    <w:rsid w:val="00E476F7"/>
    <w:rsid w:val="00E477A7"/>
    <w:rsid w:val="00E504F9"/>
    <w:rsid w:val="00E5071D"/>
    <w:rsid w:val="00E50F21"/>
    <w:rsid w:val="00E50F31"/>
    <w:rsid w:val="00E50F6E"/>
    <w:rsid w:val="00E511C7"/>
    <w:rsid w:val="00E51463"/>
    <w:rsid w:val="00E515D3"/>
    <w:rsid w:val="00E518A6"/>
    <w:rsid w:val="00E51928"/>
    <w:rsid w:val="00E51E31"/>
    <w:rsid w:val="00E51EFA"/>
    <w:rsid w:val="00E52072"/>
    <w:rsid w:val="00E52374"/>
    <w:rsid w:val="00E523DC"/>
    <w:rsid w:val="00E52627"/>
    <w:rsid w:val="00E527DE"/>
    <w:rsid w:val="00E52851"/>
    <w:rsid w:val="00E5290E"/>
    <w:rsid w:val="00E52D09"/>
    <w:rsid w:val="00E52E66"/>
    <w:rsid w:val="00E52F36"/>
    <w:rsid w:val="00E52F4A"/>
    <w:rsid w:val="00E52FED"/>
    <w:rsid w:val="00E53080"/>
    <w:rsid w:val="00E5324B"/>
    <w:rsid w:val="00E5352C"/>
    <w:rsid w:val="00E5388D"/>
    <w:rsid w:val="00E53DF7"/>
    <w:rsid w:val="00E53FCF"/>
    <w:rsid w:val="00E540DE"/>
    <w:rsid w:val="00E54100"/>
    <w:rsid w:val="00E547C3"/>
    <w:rsid w:val="00E54B77"/>
    <w:rsid w:val="00E55360"/>
    <w:rsid w:val="00E557A6"/>
    <w:rsid w:val="00E55A3A"/>
    <w:rsid w:val="00E55C87"/>
    <w:rsid w:val="00E5604E"/>
    <w:rsid w:val="00E56379"/>
    <w:rsid w:val="00E565B3"/>
    <w:rsid w:val="00E5761F"/>
    <w:rsid w:val="00E57683"/>
    <w:rsid w:val="00E579F0"/>
    <w:rsid w:val="00E57A2F"/>
    <w:rsid w:val="00E57DEE"/>
    <w:rsid w:val="00E6002F"/>
    <w:rsid w:val="00E602A4"/>
    <w:rsid w:val="00E602B4"/>
    <w:rsid w:val="00E60467"/>
    <w:rsid w:val="00E60484"/>
    <w:rsid w:val="00E60553"/>
    <w:rsid w:val="00E60630"/>
    <w:rsid w:val="00E607F7"/>
    <w:rsid w:val="00E608F5"/>
    <w:rsid w:val="00E60D1B"/>
    <w:rsid w:val="00E60F65"/>
    <w:rsid w:val="00E619E9"/>
    <w:rsid w:val="00E61FAC"/>
    <w:rsid w:val="00E6220B"/>
    <w:rsid w:val="00E62304"/>
    <w:rsid w:val="00E6290C"/>
    <w:rsid w:val="00E62B30"/>
    <w:rsid w:val="00E62F1F"/>
    <w:rsid w:val="00E634D5"/>
    <w:rsid w:val="00E63933"/>
    <w:rsid w:val="00E642E8"/>
    <w:rsid w:val="00E644FB"/>
    <w:rsid w:val="00E648CF"/>
    <w:rsid w:val="00E64C93"/>
    <w:rsid w:val="00E65149"/>
    <w:rsid w:val="00E653E4"/>
    <w:rsid w:val="00E6550A"/>
    <w:rsid w:val="00E655EA"/>
    <w:rsid w:val="00E659F0"/>
    <w:rsid w:val="00E65ABB"/>
    <w:rsid w:val="00E65CB4"/>
    <w:rsid w:val="00E65E3E"/>
    <w:rsid w:val="00E669E2"/>
    <w:rsid w:val="00E66BE3"/>
    <w:rsid w:val="00E66CBB"/>
    <w:rsid w:val="00E670C3"/>
    <w:rsid w:val="00E67455"/>
    <w:rsid w:val="00E67752"/>
    <w:rsid w:val="00E709E1"/>
    <w:rsid w:val="00E71542"/>
    <w:rsid w:val="00E716CC"/>
    <w:rsid w:val="00E7244A"/>
    <w:rsid w:val="00E73740"/>
    <w:rsid w:val="00E73BE1"/>
    <w:rsid w:val="00E744F2"/>
    <w:rsid w:val="00E74FBC"/>
    <w:rsid w:val="00E755DA"/>
    <w:rsid w:val="00E75969"/>
    <w:rsid w:val="00E75F37"/>
    <w:rsid w:val="00E76088"/>
    <w:rsid w:val="00E76135"/>
    <w:rsid w:val="00E76161"/>
    <w:rsid w:val="00E7662B"/>
    <w:rsid w:val="00E76BCB"/>
    <w:rsid w:val="00E76D5E"/>
    <w:rsid w:val="00E77290"/>
    <w:rsid w:val="00E7762E"/>
    <w:rsid w:val="00E7789B"/>
    <w:rsid w:val="00E800E3"/>
    <w:rsid w:val="00E8081F"/>
    <w:rsid w:val="00E80927"/>
    <w:rsid w:val="00E80B41"/>
    <w:rsid w:val="00E818DA"/>
    <w:rsid w:val="00E8196B"/>
    <w:rsid w:val="00E81E36"/>
    <w:rsid w:val="00E821B6"/>
    <w:rsid w:val="00E825A7"/>
    <w:rsid w:val="00E82838"/>
    <w:rsid w:val="00E82CD4"/>
    <w:rsid w:val="00E82F35"/>
    <w:rsid w:val="00E83874"/>
    <w:rsid w:val="00E83CD2"/>
    <w:rsid w:val="00E83FDE"/>
    <w:rsid w:val="00E841C6"/>
    <w:rsid w:val="00E8441F"/>
    <w:rsid w:val="00E845CD"/>
    <w:rsid w:val="00E848AD"/>
    <w:rsid w:val="00E848D6"/>
    <w:rsid w:val="00E84C2B"/>
    <w:rsid w:val="00E84F5E"/>
    <w:rsid w:val="00E85160"/>
    <w:rsid w:val="00E8543C"/>
    <w:rsid w:val="00E858A2"/>
    <w:rsid w:val="00E85BFA"/>
    <w:rsid w:val="00E86302"/>
    <w:rsid w:val="00E86C03"/>
    <w:rsid w:val="00E86EEE"/>
    <w:rsid w:val="00E879E6"/>
    <w:rsid w:val="00E87A0C"/>
    <w:rsid w:val="00E87BC2"/>
    <w:rsid w:val="00E87C8E"/>
    <w:rsid w:val="00E87DDF"/>
    <w:rsid w:val="00E90043"/>
    <w:rsid w:val="00E90E6B"/>
    <w:rsid w:val="00E911DF"/>
    <w:rsid w:val="00E913E9"/>
    <w:rsid w:val="00E91D61"/>
    <w:rsid w:val="00E921E6"/>
    <w:rsid w:val="00E923C3"/>
    <w:rsid w:val="00E923FC"/>
    <w:rsid w:val="00E92F42"/>
    <w:rsid w:val="00E92F7B"/>
    <w:rsid w:val="00E9342B"/>
    <w:rsid w:val="00E93805"/>
    <w:rsid w:val="00E93F2C"/>
    <w:rsid w:val="00E94268"/>
    <w:rsid w:val="00E94881"/>
    <w:rsid w:val="00E95699"/>
    <w:rsid w:val="00E95AC5"/>
    <w:rsid w:val="00E95FCA"/>
    <w:rsid w:val="00E95FDE"/>
    <w:rsid w:val="00E965D7"/>
    <w:rsid w:val="00E96735"/>
    <w:rsid w:val="00E9697F"/>
    <w:rsid w:val="00E972FC"/>
    <w:rsid w:val="00E97405"/>
    <w:rsid w:val="00E976A2"/>
    <w:rsid w:val="00E97762"/>
    <w:rsid w:val="00E97940"/>
    <w:rsid w:val="00E97FE6"/>
    <w:rsid w:val="00EA041E"/>
    <w:rsid w:val="00EA0464"/>
    <w:rsid w:val="00EA131B"/>
    <w:rsid w:val="00EA17D2"/>
    <w:rsid w:val="00EA1927"/>
    <w:rsid w:val="00EA1DC0"/>
    <w:rsid w:val="00EA2270"/>
    <w:rsid w:val="00EA27BD"/>
    <w:rsid w:val="00EA2BC2"/>
    <w:rsid w:val="00EA2E2B"/>
    <w:rsid w:val="00EA3147"/>
    <w:rsid w:val="00EA3B9B"/>
    <w:rsid w:val="00EA4211"/>
    <w:rsid w:val="00EA4EA3"/>
    <w:rsid w:val="00EA4F61"/>
    <w:rsid w:val="00EA53E4"/>
    <w:rsid w:val="00EA5675"/>
    <w:rsid w:val="00EA5694"/>
    <w:rsid w:val="00EA59B1"/>
    <w:rsid w:val="00EA5D53"/>
    <w:rsid w:val="00EA5D61"/>
    <w:rsid w:val="00EA5E13"/>
    <w:rsid w:val="00EA5E7D"/>
    <w:rsid w:val="00EA6B3C"/>
    <w:rsid w:val="00EA6DD8"/>
    <w:rsid w:val="00EA70F7"/>
    <w:rsid w:val="00EA7208"/>
    <w:rsid w:val="00EA7857"/>
    <w:rsid w:val="00EA7CD7"/>
    <w:rsid w:val="00EA7E85"/>
    <w:rsid w:val="00EB061A"/>
    <w:rsid w:val="00EB117B"/>
    <w:rsid w:val="00EB1812"/>
    <w:rsid w:val="00EB182B"/>
    <w:rsid w:val="00EB1A56"/>
    <w:rsid w:val="00EB1D5A"/>
    <w:rsid w:val="00EB22FA"/>
    <w:rsid w:val="00EB2762"/>
    <w:rsid w:val="00EB2857"/>
    <w:rsid w:val="00EB2D01"/>
    <w:rsid w:val="00EB2F23"/>
    <w:rsid w:val="00EB3500"/>
    <w:rsid w:val="00EB37CB"/>
    <w:rsid w:val="00EB43AF"/>
    <w:rsid w:val="00EB4586"/>
    <w:rsid w:val="00EB4754"/>
    <w:rsid w:val="00EB4791"/>
    <w:rsid w:val="00EB48A6"/>
    <w:rsid w:val="00EB4E3E"/>
    <w:rsid w:val="00EB50C4"/>
    <w:rsid w:val="00EB5628"/>
    <w:rsid w:val="00EB5CC5"/>
    <w:rsid w:val="00EB6077"/>
    <w:rsid w:val="00EB67E1"/>
    <w:rsid w:val="00EB67F4"/>
    <w:rsid w:val="00EB6B2E"/>
    <w:rsid w:val="00EB6F8D"/>
    <w:rsid w:val="00EB7441"/>
    <w:rsid w:val="00EB7757"/>
    <w:rsid w:val="00EB77AE"/>
    <w:rsid w:val="00EB7E78"/>
    <w:rsid w:val="00EC0197"/>
    <w:rsid w:val="00EC021A"/>
    <w:rsid w:val="00EC0222"/>
    <w:rsid w:val="00EC0317"/>
    <w:rsid w:val="00EC0731"/>
    <w:rsid w:val="00EC09E1"/>
    <w:rsid w:val="00EC1020"/>
    <w:rsid w:val="00EC14BF"/>
    <w:rsid w:val="00EC3CA1"/>
    <w:rsid w:val="00EC3F3A"/>
    <w:rsid w:val="00EC41B8"/>
    <w:rsid w:val="00EC4319"/>
    <w:rsid w:val="00EC4498"/>
    <w:rsid w:val="00EC47F7"/>
    <w:rsid w:val="00EC486A"/>
    <w:rsid w:val="00EC4FA4"/>
    <w:rsid w:val="00EC5009"/>
    <w:rsid w:val="00EC5816"/>
    <w:rsid w:val="00EC5C13"/>
    <w:rsid w:val="00EC5DB3"/>
    <w:rsid w:val="00EC608A"/>
    <w:rsid w:val="00EC636C"/>
    <w:rsid w:val="00EC6A60"/>
    <w:rsid w:val="00EC6B5E"/>
    <w:rsid w:val="00EC6C7A"/>
    <w:rsid w:val="00EC6CF3"/>
    <w:rsid w:val="00EC7512"/>
    <w:rsid w:val="00EC75C3"/>
    <w:rsid w:val="00EC796E"/>
    <w:rsid w:val="00EC7AF5"/>
    <w:rsid w:val="00ED04B7"/>
    <w:rsid w:val="00ED0B1A"/>
    <w:rsid w:val="00ED182A"/>
    <w:rsid w:val="00ED1F59"/>
    <w:rsid w:val="00ED2034"/>
    <w:rsid w:val="00ED208C"/>
    <w:rsid w:val="00ED234B"/>
    <w:rsid w:val="00ED27F5"/>
    <w:rsid w:val="00ED2ACD"/>
    <w:rsid w:val="00ED2E16"/>
    <w:rsid w:val="00ED2E8D"/>
    <w:rsid w:val="00ED360E"/>
    <w:rsid w:val="00ED3873"/>
    <w:rsid w:val="00ED3F31"/>
    <w:rsid w:val="00ED4224"/>
    <w:rsid w:val="00ED42D0"/>
    <w:rsid w:val="00ED43CD"/>
    <w:rsid w:val="00ED4553"/>
    <w:rsid w:val="00ED4A7E"/>
    <w:rsid w:val="00ED4BFB"/>
    <w:rsid w:val="00ED4EC3"/>
    <w:rsid w:val="00ED4F2B"/>
    <w:rsid w:val="00ED51F7"/>
    <w:rsid w:val="00ED5845"/>
    <w:rsid w:val="00ED5C56"/>
    <w:rsid w:val="00ED5C9A"/>
    <w:rsid w:val="00ED6489"/>
    <w:rsid w:val="00ED6EAD"/>
    <w:rsid w:val="00ED7C88"/>
    <w:rsid w:val="00ED7D95"/>
    <w:rsid w:val="00EE0344"/>
    <w:rsid w:val="00EE0AD4"/>
    <w:rsid w:val="00EE1520"/>
    <w:rsid w:val="00EE1559"/>
    <w:rsid w:val="00EE2931"/>
    <w:rsid w:val="00EE2BF2"/>
    <w:rsid w:val="00EE2F62"/>
    <w:rsid w:val="00EE310A"/>
    <w:rsid w:val="00EE374C"/>
    <w:rsid w:val="00EE3777"/>
    <w:rsid w:val="00EE4055"/>
    <w:rsid w:val="00EE409D"/>
    <w:rsid w:val="00EE45E2"/>
    <w:rsid w:val="00EE4E91"/>
    <w:rsid w:val="00EE5006"/>
    <w:rsid w:val="00EE60D8"/>
    <w:rsid w:val="00EE6174"/>
    <w:rsid w:val="00EE6691"/>
    <w:rsid w:val="00EE6D7E"/>
    <w:rsid w:val="00EE718F"/>
    <w:rsid w:val="00EE7211"/>
    <w:rsid w:val="00EE74AA"/>
    <w:rsid w:val="00EE7BBF"/>
    <w:rsid w:val="00EF01DC"/>
    <w:rsid w:val="00EF03E6"/>
    <w:rsid w:val="00EF081E"/>
    <w:rsid w:val="00EF0AA4"/>
    <w:rsid w:val="00EF0EB8"/>
    <w:rsid w:val="00EF1D14"/>
    <w:rsid w:val="00EF2015"/>
    <w:rsid w:val="00EF2240"/>
    <w:rsid w:val="00EF23FC"/>
    <w:rsid w:val="00EF251A"/>
    <w:rsid w:val="00EF2624"/>
    <w:rsid w:val="00EF3699"/>
    <w:rsid w:val="00EF3843"/>
    <w:rsid w:val="00EF3902"/>
    <w:rsid w:val="00EF3BAA"/>
    <w:rsid w:val="00EF4446"/>
    <w:rsid w:val="00EF495B"/>
    <w:rsid w:val="00EF4B04"/>
    <w:rsid w:val="00EF4D35"/>
    <w:rsid w:val="00EF5381"/>
    <w:rsid w:val="00EF540C"/>
    <w:rsid w:val="00EF54A7"/>
    <w:rsid w:val="00EF55FC"/>
    <w:rsid w:val="00EF5AED"/>
    <w:rsid w:val="00EF5CAD"/>
    <w:rsid w:val="00EF682F"/>
    <w:rsid w:val="00EF6988"/>
    <w:rsid w:val="00EF700B"/>
    <w:rsid w:val="00EF7082"/>
    <w:rsid w:val="00EF70C9"/>
    <w:rsid w:val="00EF765A"/>
    <w:rsid w:val="00F000C9"/>
    <w:rsid w:val="00F00B27"/>
    <w:rsid w:val="00F00C01"/>
    <w:rsid w:val="00F00DEF"/>
    <w:rsid w:val="00F01AAF"/>
    <w:rsid w:val="00F01CF1"/>
    <w:rsid w:val="00F01EFA"/>
    <w:rsid w:val="00F023B1"/>
    <w:rsid w:val="00F02456"/>
    <w:rsid w:val="00F02682"/>
    <w:rsid w:val="00F02F35"/>
    <w:rsid w:val="00F03AB2"/>
    <w:rsid w:val="00F03B4D"/>
    <w:rsid w:val="00F03EB1"/>
    <w:rsid w:val="00F040F3"/>
    <w:rsid w:val="00F04129"/>
    <w:rsid w:val="00F04219"/>
    <w:rsid w:val="00F04254"/>
    <w:rsid w:val="00F0454A"/>
    <w:rsid w:val="00F045E4"/>
    <w:rsid w:val="00F04724"/>
    <w:rsid w:val="00F04761"/>
    <w:rsid w:val="00F04A20"/>
    <w:rsid w:val="00F04D40"/>
    <w:rsid w:val="00F04E87"/>
    <w:rsid w:val="00F0551B"/>
    <w:rsid w:val="00F056D7"/>
    <w:rsid w:val="00F056FC"/>
    <w:rsid w:val="00F05D73"/>
    <w:rsid w:val="00F05D8A"/>
    <w:rsid w:val="00F05F9E"/>
    <w:rsid w:val="00F066BC"/>
    <w:rsid w:val="00F06CA7"/>
    <w:rsid w:val="00F06F4F"/>
    <w:rsid w:val="00F10009"/>
    <w:rsid w:val="00F1030F"/>
    <w:rsid w:val="00F10F98"/>
    <w:rsid w:val="00F10FCF"/>
    <w:rsid w:val="00F114CC"/>
    <w:rsid w:val="00F114E1"/>
    <w:rsid w:val="00F1150D"/>
    <w:rsid w:val="00F11AFC"/>
    <w:rsid w:val="00F11B67"/>
    <w:rsid w:val="00F11B8D"/>
    <w:rsid w:val="00F12168"/>
    <w:rsid w:val="00F133CE"/>
    <w:rsid w:val="00F134C7"/>
    <w:rsid w:val="00F135D8"/>
    <w:rsid w:val="00F13864"/>
    <w:rsid w:val="00F13C00"/>
    <w:rsid w:val="00F140ED"/>
    <w:rsid w:val="00F1436B"/>
    <w:rsid w:val="00F147CD"/>
    <w:rsid w:val="00F14C03"/>
    <w:rsid w:val="00F14D97"/>
    <w:rsid w:val="00F15557"/>
    <w:rsid w:val="00F15577"/>
    <w:rsid w:val="00F156B8"/>
    <w:rsid w:val="00F15A39"/>
    <w:rsid w:val="00F15B1D"/>
    <w:rsid w:val="00F15C44"/>
    <w:rsid w:val="00F15CDA"/>
    <w:rsid w:val="00F15F8A"/>
    <w:rsid w:val="00F161A0"/>
    <w:rsid w:val="00F1643C"/>
    <w:rsid w:val="00F1657F"/>
    <w:rsid w:val="00F16B40"/>
    <w:rsid w:val="00F16CF2"/>
    <w:rsid w:val="00F16DD3"/>
    <w:rsid w:val="00F16EBB"/>
    <w:rsid w:val="00F1759B"/>
    <w:rsid w:val="00F20258"/>
    <w:rsid w:val="00F20750"/>
    <w:rsid w:val="00F208DE"/>
    <w:rsid w:val="00F20AAD"/>
    <w:rsid w:val="00F20C63"/>
    <w:rsid w:val="00F20E37"/>
    <w:rsid w:val="00F21015"/>
    <w:rsid w:val="00F21363"/>
    <w:rsid w:val="00F21396"/>
    <w:rsid w:val="00F2167E"/>
    <w:rsid w:val="00F21D74"/>
    <w:rsid w:val="00F22238"/>
    <w:rsid w:val="00F22851"/>
    <w:rsid w:val="00F22E79"/>
    <w:rsid w:val="00F2314A"/>
    <w:rsid w:val="00F235D6"/>
    <w:rsid w:val="00F23BDB"/>
    <w:rsid w:val="00F23D2B"/>
    <w:rsid w:val="00F23E4B"/>
    <w:rsid w:val="00F242AB"/>
    <w:rsid w:val="00F244B7"/>
    <w:rsid w:val="00F24603"/>
    <w:rsid w:val="00F248B8"/>
    <w:rsid w:val="00F249A5"/>
    <w:rsid w:val="00F24B64"/>
    <w:rsid w:val="00F25300"/>
    <w:rsid w:val="00F257D4"/>
    <w:rsid w:val="00F26573"/>
    <w:rsid w:val="00F26842"/>
    <w:rsid w:val="00F26D5E"/>
    <w:rsid w:val="00F27136"/>
    <w:rsid w:val="00F272F5"/>
    <w:rsid w:val="00F273E9"/>
    <w:rsid w:val="00F275E3"/>
    <w:rsid w:val="00F27CE0"/>
    <w:rsid w:val="00F27D00"/>
    <w:rsid w:val="00F27DED"/>
    <w:rsid w:val="00F3008F"/>
    <w:rsid w:val="00F3042D"/>
    <w:rsid w:val="00F306D1"/>
    <w:rsid w:val="00F3089E"/>
    <w:rsid w:val="00F30D29"/>
    <w:rsid w:val="00F3119C"/>
    <w:rsid w:val="00F311E0"/>
    <w:rsid w:val="00F31299"/>
    <w:rsid w:val="00F3186D"/>
    <w:rsid w:val="00F319A0"/>
    <w:rsid w:val="00F31C54"/>
    <w:rsid w:val="00F322D8"/>
    <w:rsid w:val="00F3243E"/>
    <w:rsid w:val="00F32BD4"/>
    <w:rsid w:val="00F32C37"/>
    <w:rsid w:val="00F32F6A"/>
    <w:rsid w:val="00F332A3"/>
    <w:rsid w:val="00F33BAF"/>
    <w:rsid w:val="00F33C0D"/>
    <w:rsid w:val="00F33DD0"/>
    <w:rsid w:val="00F34423"/>
    <w:rsid w:val="00F3450F"/>
    <w:rsid w:val="00F3461D"/>
    <w:rsid w:val="00F349E7"/>
    <w:rsid w:val="00F34CB2"/>
    <w:rsid w:val="00F3514D"/>
    <w:rsid w:val="00F35256"/>
    <w:rsid w:val="00F3534A"/>
    <w:rsid w:val="00F35EF8"/>
    <w:rsid w:val="00F35F5B"/>
    <w:rsid w:val="00F364CF"/>
    <w:rsid w:val="00F36B1E"/>
    <w:rsid w:val="00F36BC4"/>
    <w:rsid w:val="00F3707B"/>
    <w:rsid w:val="00F37BAB"/>
    <w:rsid w:val="00F37FB3"/>
    <w:rsid w:val="00F40901"/>
    <w:rsid w:val="00F409B4"/>
    <w:rsid w:val="00F40E69"/>
    <w:rsid w:val="00F40EAE"/>
    <w:rsid w:val="00F41255"/>
    <w:rsid w:val="00F412E4"/>
    <w:rsid w:val="00F418E1"/>
    <w:rsid w:val="00F41BA8"/>
    <w:rsid w:val="00F4239E"/>
    <w:rsid w:val="00F428DC"/>
    <w:rsid w:val="00F42A35"/>
    <w:rsid w:val="00F42AC5"/>
    <w:rsid w:val="00F42E80"/>
    <w:rsid w:val="00F43304"/>
    <w:rsid w:val="00F433AD"/>
    <w:rsid w:val="00F4384E"/>
    <w:rsid w:val="00F444C6"/>
    <w:rsid w:val="00F447C8"/>
    <w:rsid w:val="00F44837"/>
    <w:rsid w:val="00F448BD"/>
    <w:rsid w:val="00F44E27"/>
    <w:rsid w:val="00F458CD"/>
    <w:rsid w:val="00F45A7E"/>
    <w:rsid w:val="00F45B35"/>
    <w:rsid w:val="00F45E11"/>
    <w:rsid w:val="00F45F36"/>
    <w:rsid w:val="00F4613B"/>
    <w:rsid w:val="00F4658C"/>
    <w:rsid w:val="00F46D5E"/>
    <w:rsid w:val="00F473DC"/>
    <w:rsid w:val="00F47872"/>
    <w:rsid w:val="00F47CDE"/>
    <w:rsid w:val="00F5027B"/>
    <w:rsid w:val="00F504B6"/>
    <w:rsid w:val="00F50D26"/>
    <w:rsid w:val="00F50DD4"/>
    <w:rsid w:val="00F51091"/>
    <w:rsid w:val="00F510AB"/>
    <w:rsid w:val="00F51354"/>
    <w:rsid w:val="00F516F9"/>
    <w:rsid w:val="00F51985"/>
    <w:rsid w:val="00F51C17"/>
    <w:rsid w:val="00F51E05"/>
    <w:rsid w:val="00F52417"/>
    <w:rsid w:val="00F530A7"/>
    <w:rsid w:val="00F53428"/>
    <w:rsid w:val="00F538DC"/>
    <w:rsid w:val="00F54590"/>
    <w:rsid w:val="00F54A71"/>
    <w:rsid w:val="00F54DC5"/>
    <w:rsid w:val="00F551C4"/>
    <w:rsid w:val="00F55246"/>
    <w:rsid w:val="00F5564D"/>
    <w:rsid w:val="00F55798"/>
    <w:rsid w:val="00F56C08"/>
    <w:rsid w:val="00F56C97"/>
    <w:rsid w:val="00F56D26"/>
    <w:rsid w:val="00F56EB4"/>
    <w:rsid w:val="00F5707E"/>
    <w:rsid w:val="00F570CB"/>
    <w:rsid w:val="00F572C8"/>
    <w:rsid w:val="00F576F3"/>
    <w:rsid w:val="00F577C4"/>
    <w:rsid w:val="00F57B18"/>
    <w:rsid w:val="00F57CCE"/>
    <w:rsid w:val="00F609AF"/>
    <w:rsid w:val="00F60D74"/>
    <w:rsid w:val="00F60E88"/>
    <w:rsid w:val="00F61052"/>
    <w:rsid w:val="00F612F8"/>
    <w:rsid w:val="00F6176D"/>
    <w:rsid w:val="00F61D8A"/>
    <w:rsid w:val="00F62732"/>
    <w:rsid w:val="00F62C56"/>
    <w:rsid w:val="00F63391"/>
    <w:rsid w:val="00F63E5A"/>
    <w:rsid w:val="00F63FF2"/>
    <w:rsid w:val="00F64332"/>
    <w:rsid w:val="00F6437F"/>
    <w:rsid w:val="00F64B3E"/>
    <w:rsid w:val="00F64BF8"/>
    <w:rsid w:val="00F65266"/>
    <w:rsid w:val="00F65CC6"/>
    <w:rsid w:val="00F6618C"/>
    <w:rsid w:val="00F6660B"/>
    <w:rsid w:val="00F666CF"/>
    <w:rsid w:val="00F668A4"/>
    <w:rsid w:val="00F66B1E"/>
    <w:rsid w:val="00F6708B"/>
    <w:rsid w:val="00F67C9D"/>
    <w:rsid w:val="00F67DE4"/>
    <w:rsid w:val="00F702CD"/>
    <w:rsid w:val="00F70868"/>
    <w:rsid w:val="00F70C11"/>
    <w:rsid w:val="00F71321"/>
    <w:rsid w:val="00F71947"/>
    <w:rsid w:val="00F71D8F"/>
    <w:rsid w:val="00F72B7A"/>
    <w:rsid w:val="00F72D56"/>
    <w:rsid w:val="00F72FCD"/>
    <w:rsid w:val="00F731A0"/>
    <w:rsid w:val="00F73258"/>
    <w:rsid w:val="00F7384F"/>
    <w:rsid w:val="00F73AEE"/>
    <w:rsid w:val="00F73FEE"/>
    <w:rsid w:val="00F7418F"/>
    <w:rsid w:val="00F747A1"/>
    <w:rsid w:val="00F74E55"/>
    <w:rsid w:val="00F75444"/>
    <w:rsid w:val="00F75A5C"/>
    <w:rsid w:val="00F7616C"/>
    <w:rsid w:val="00F761A5"/>
    <w:rsid w:val="00F761AD"/>
    <w:rsid w:val="00F76494"/>
    <w:rsid w:val="00F7677C"/>
    <w:rsid w:val="00F7685E"/>
    <w:rsid w:val="00F76A02"/>
    <w:rsid w:val="00F76BB9"/>
    <w:rsid w:val="00F76C54"/>
    <w:rsid w:val="00F772AC"/>
    <w:rsid w:val="00F7774A"/>
    <w:rsid w:val="00F7775E"/>
    <w:rsid w:val="00F7778E"/>
    <w:rsid w:val="00F77CAB"/>
    <w:rsid w:val="00F80037"/>
    <w:rsid w:val="00F80314"/>
    <w:rsid w:val="00F8073E"/>
    <w:rsid w:val="00F807C2"/>
    <w:rsid w:val="00F808B7"/>
    <w:rsid w:val="00F80B54"/>
    <w:rsid w:val="00F80C47"/>
    <w:rsid w:val="00F80E62"/>
    <w:rsid w:val="00F80E91"/>
    <w:rsid w:val="00F80ED3"/>
    <w:rsid w:val="00F810AE"/>
    <w:rsid w:val="00F816F7"/>
    <w:rsid w:val="00F81912"/>
    <w:rsid w:val="00F81A7C"/>
    <w:rsid w:val="00F81C7E"/>
    <w:rsid w:val="00F81EF7"/>
    <w:rsid w:val="00F82278"/>
    <w:rsid w:val="00F82333"/>
    <w:rsid w:val="00F8236D"/>
    <w:rsid w:val="00F82C63"/>
    <w:rsid w:val="00F83155"/>
    <w:rsid w:val="00F833AB"/>
    <w:rsid w:val="00F83852"/>
    <w:rsid w:val="00F83BF1"/>
    <w:rsid w:val="00F83D06"/>
    <w:rsid w:val="00F83DE5"/>
    <w:rsid w:val="00F83F2F"/>
    <w:rsid w:val="00F846AC"/>
    <w:rsid w:val="00F84ADD"/>
    <w:rsid w:val="00F85325"/>
    <w:rsid w:val="00F85354"/>
    <w:rsid w:val="00F85B04"/>
    <w:rsid w:val="00F86A95"/>
    <w:rsid w:val="00F86D02"/>
    <w:rsid w:val="00F86DF2"/>
    <w:rsid w:val="00F86E0C"/>
    <w:rsid w:val="00F877BD"/>
    <w:rsid w:val="00F87845"/>
    <w:rsid w:val="00F87A28"/>
    <w:rsid w:val="00F87C20"/>
    <w:rsid w:val="00F87D31"/>
    <w:rsid w:val="00F87EF3"/>
    <w:rsid w:val="00F902C1"/>
    <w:rsid w:val="00F91398"/>
    <w:rsid w:val="00F913A6"/>
    <w:rsid w:val="00F9185B"/>
    <w:rsid w:val="00F91F77"/>
    <w:rsid w:val="00F924B6"/>
    <w:rsid w:val="00F9252D"/>
    <w:rsid w:val="00F92535"/>
    <w:rsid w:val="00F928C2"/>
    <w:rsid w:val="00F93CD5"/>
    <w:rsid w:val="00F93FF1"/>
    <w:rsid w:val="00F94447"/>
    <w:rsid w:val="00F954E6"/>
    <w:rsid w:val="00F95909"/>
    <w:rsid w:val="00F95ACC"/>
    <w:rsid w:val="00F95C20"/>
    <w:rsid w:val="00F95DDC"/>
    <w:rsid w:val="00F95DFF"/>
    <w:rsid w:val="00F97049"/>
    <w:rsid w:val="00F9721D"/>
    <w:rsid w:val="00F973E9"/>
    <w:rsid w:val="00F9791D"/>
    <w:rsid w:val="00F97BB5"/>
    <w:rsid w:val="00F97C96"/>
    <w:rsid w:val="00FA044C"/>
    <w:rsid w:val="00FA10B6"/>
    <w:rsid w:val="00FA189C"/>
    <w:rsid w:val="00FA1A0E"/>
    <w:rsid w:val="00FA1C5A"/>
    <w:rsid w:val="00FA1D5A"/>
    <w:rsid w:val="00FA22CC"/>
    <w:rsid w:val="00FA254B"/>
    <w:rsid w:val="00FA290D"/>
    <w:rsid w:val="00FA2C13"/>
    <w:rsid w:val="00FA2E1D"/>
    <w:rsid w:val="00FA3177"/>
    <w:rsid w:val="00FA38DE"/>
    <w:rsid w:val="00FA3B60"/>
    <w:rsid w:val="00FA4CEB"/>
    <w:rsid w:val="00FA5220"/>
    <w:rsid w:val="00FA54BA"/>
    <w:rsid w:val="00FA557E"/>
    <w:rsid w:val="00FA5D37"/>
    <w:rsid w:val="00FA668C"/>
    <w:rsid w:val="00FA66B6"/>
    <w:rsid w:val="00FA676A"/>
    <w:rsid w:val="00FA6975"/>
    <w:rsid w:val="00FA6AB5"/>
    <w:rsid w:val="00FA77C9"/>
    <w:rsid w:val="00FA7C5E"/>
    <w:rsid w:val="00FA7F5E"/>
    <w:rsid w:val="00FB07F0"/>
    <w:rsid w:val="00FB0910"/>
    <w:rsid w:val="00FB0AA2"/>
    <w:rsid w:val="00FB0EE8"/>
    <w:rsid w:val="00FB0F45"/>
    <w:rsid w:val="00FB1295"/>
    <w:rsid w:val="00FB136A"/>
    <w:rsid w:val="00FB19EA"/>
    <w:rsid w:val="00FB23AC"/>
    <w:rsid w:val="00FB2535"/>
    <w:rsid w:val="00FB2876"/>
    <w:rsid w:val="00FB2D6C"/>
    <w:rsid w:val="00FB2EB3"/>
    <w:rsid w:val="00FB3046"/>
    <w:rsid w:val="00FB31B3"/>
    <w:rsid w:val="00FB33C2"/>
    <w:rsid w:val="00FB38EB"/>
    <w:rsid w:val="00FB40BD"/>
    <w:rsid w:val="00FB41D3"/>
    <w:rsid w:val="00FB47AA"/>
    <w:rsid w:val="00FB4851"/>
    <w:rsid w:val="00FB5022"/>
    <w:rsid w:val="00FB5419"/>
    <w:rsid w:val="00FB64F8"/>
    <w:rsid w:val="00FB6A3D"/>
    <w:rsid w:val="00FB7137"/>
    <w:rsid w:val="00FB7989"/>
    <w:rsid w:val="00FB7CEA"/>
    <w:rsid w:val="00FB7F01"/>
    <w:rsid w:val="00FC035B"/>
    <w:rsid w:val="00FC0641"/>
    <w:rsid w:val="00FC0CC5"/>
    <w:rsid w:val="00FC133B"/>
    <w:rsid w:val="00FC15EA"/>
    <w:rsid w:val="00FC1657"/>
    <w:rsid w:val="00FC18C8"/>
    <w:rsid w:val="00FC1D63"/>
    <w:rsid w:val="00FC1FE8"/>
    <w:rsid w:val="00FC277B"/>
    <w:rsid w:val="00FC3108"/>
    <w:rsid w:val="00FC417F"/>
    <w:rsid w:val="00FC4AB3"/>
    <w:rsid w:val="00FC4BD7"/>
    <w:rsid w:val="00FC4E4C"/>
    <w:rsid w:val="00FC5122"/>
    <w:rsid w:val="00FC528D"/>
    <w:rsid w:val="00FC5B94"/>
    <w:rsid w:val="00FC65B5"/>
    <w:rsid w:val="00FC6B98"/>
    <w:rsid w:val="00FC70EE"/>
    <w:rsid w:val="00FC760B"/>
    <w:rsid w:val="00FC7B3A"/>
    <w:rsid w:val="00FD02A3"/>
    <w:rsid w:val="00FD0EEB"/>
    <w:rsid w:val="00FD122E"/>
    <w:rsid w:val="00FD137C"/>
    <w:rsid w:val="00FD14E1"/>
    <w:rsid w:val="00FD1BCE"/>
    <w:rsid w:val="00FD1CD6"/>
    <w:rsid w:val="00FD1E41"/>
    <w:rsid w:val="00FD2181"/>
    <w:rsid w:val="00FD22B1"/>
    <w:rsid w:val="00FD23CD"/>
    <w:rsid w:val="00FD23E0"/>
    <w:rsid w:val="00FD24EF"/>
    <w:rsid w:val="00FD25D7"/>
    <w:rsid w:val="00FD2D5F"/>
    <w:rsid w:val="00FD2EE2"/>
    <w:rsid w:val="00FD2F5E"/>
    <w:rsid w:val="00FD31E3"/>
    <w:rsid w:val="00FD3349"/>
    <w:rsid w:val="00FD37E9"/>
    <w:rsid w:val="00FD3891"/>
    <w:rsid w:val="00FD3D68"/>
    <w:rsid w:val="00FD3F48"/>
    <w:rsid w:val="00FD3FD4"/>
    <w:rsid w:val="00FD4286"/>
    <w:rsid w:val="00FD4520"/>
    <w:rsid w:val="00FD458D"/>
    <w:rsid w:val="00FD483F"/>
    <w:rsid w:val="00FD49DE"/>
    <w:rsid w:val="00FD4A1F"/>
    <w:rsid w:val="00FD537A"/>
    <w:rsid w:val="00FD5879"/>
    <w:rsid w:val="00FD58AA"/>
    <w:rsid w:val="00FD5BE8"/>
    <w:rsid w:val="00FD6088"/>
    <w:rsid w:val="00FD659B"/>
    <w:rsid w:val="00FD6840"/>
    <w:rsid w:val="00FD68B9"/>
    <w:rsid w:val="00FD69EB"/>
    <w:rsid w:val="00FD6AB9"/>
    <w:rsid w:val="00FD6DB5"/>
    <w:rsid w:val="00FD6FAD"/>
    <w:rsid w:val="00FD7626"/>
    <w:rsid w:val="00FD78D8"/>
    <w:rsid w:val="00FD79CD"/>
    <w:rsid w:val="00FD7E37"/>
    <w:rsid w:val="00FD7FD5"/>
    <w:rsid w:val="00FE09AA"/>
    <w:rsid w:val="00FE0D59"/>
    <w:rsid w:val="00FE1294"/>
    <w:rsid w:val="00FE1455"/>
    <w:rsid w:val="00FE1B2F"/>
    <w:rsid w:val="00FE1DE7"/>
    <w:rsid w:val="00FE2181"/>
    <w:rsid w:val="00FE2C05"/>
    <w:rsid w:val="00FE2C79"/>
    <w:rsid w:val="00FE3362"/>
    <w:rsid w:val="00FE3844"/>
    <w:rsid w:val="00FE3FD5"/>
    <w:rsid w:val="00FE5771"/>
    <w:rsid w:val="00FE67C0"/>
    <w:rsid w:val="00FE6C36"/>
    <w:rsid w:val="00FE6CD0"/>
    <w:rsid w:val="00FE6FD3"/>
    <w:rsid w:val="00FE6FF0"/>
    <w:rsid w:val="00FE7088"/>
    <w:rsid w:val="00FE70D7"/>
    <w:rsid w:val="00FE7484"/>
    <w:rsid w:val="00FE7691"/>
    <w:rsid w:val="00FE7917"/>
    <w:rsid w:val="00FE7F63"/>
    <w:rsid w:val="00FF0455"/>
    <w:rsid w:val="00FF05C9"/>
    <w:rsid w:val="00FF0E24"/>
    <w:rsid w:val="00FF0E91"/>
    <w:rsid w:val="00FF0EED"/>
    <w:rsid w:val="00FF1A4B"/>
    <w:rsid w:val="00FF1BCC"/>
    <w:rsid w:val="00FF1EDD"/>
    <w:rsid w:val="00FF2914"/>
    <w:rsid w:val="00FF2BFF"/>
    <w:rsid w:val="00FF2CF2"/>
    <w:rsid w:val="00FF2D10"/>
    <w:rsid w:val="00FF308D"/>
    <w:rsid w:val="00FF342F"/>
    <w:rsid w:val="00FF3AB0"/>
    <w:rsid w:val="00FF3E06"/>
    <w:rsid w:val="00FF4064"/>
    <w:rsid w:val="00FF4143"/>
    <w:rsid w:val="00FF51D0"/>
    <w:rsid w:val="00FF53AD"/>
    <w:rsid w:val="00FF53BE"/>
    <w:rsid w:val="00FF5D8E"/>
    <w:rsid w:val="00FF65C1"/>
    <w:rsid w:val="00FF6681"/>
    <w:rsid w:val="00FF6793"/>
    <w:rsid w:val="00FF6AE7"/>
    <w:rsid w:val="00FF6DC3"/>
    <w:rsid w:val="00FF700E"/>
    <w:rsid w:val="00FF73DF"/>
    <w:rsid w:val="00FF7D08"/>
    <w:rsid w:val="00FF7FA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6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EF682F"/>
    <w:rPr>
      <w:sz w:val="24"/>
      <w:szCs w:val="24"/>
    </w:rPr>
  </w:style>
  <w:style w:type="paragraph" w:styleId="Heading1">
    <w:name w:val="heading 1"/>
    <w:basedOn w:val="BodyText"/>
    <w:next w:val="BodyText"/>
    <w:link w:val="Heading1Char"/>
    <w:rsid w:val="00EF682F"/>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EF682F"/>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EF682F"/>
    <w:pPr>
      <w:spacing w:before="560" w:line="320" w:lineRule="exact"/>
      <w:ind w:left="0" w:firstLine="0"/>
      <w:outlineLvl w:val="2"/>
    </w:pPr>
    <w:rPr>
      <w:sz w:val="26"/>
    </w:rPr>
  </w:style>
  <w:style w:type="paragraph" w:styleId="Heading4">
    <w:name w:val="heading 4"/>
    <w:basedOn w:val="Heading3"/>
    <w:next w:val="BodyText"/>
    <w:qFormat/>
    <w:rsid w:val="00EF682F"/>
    <w:pPr>
      <w:spacing w:before="480"/>
      <w:outlineLvl w:val="3"/>
    </w:pPr>
    <w:rPr>
      <w:b w:val="0"/>
      <w:sz w:val="24"/>
    </w:rPr>
  </w:style>
  <w:style w:type="paragraph" w:styleId="Heading5">
    <w:name w:val="heading 5"/>
    <w:basedOn w:val="Heading4"/>
    <w:next w:val="BodyText"/>
    <w:link w:val="Heading5Char"/>
    <w:qFormat/>
    <w:rsid w:val="00EF682F"/>
    <w:pPr>
      <w:outlineLvl w:val="4"/>
    </w:pPr>
    <w:rPr>
      <w:i/>
      <w:sz w:val="22"/>
    </w:rPr>
  </w:style>
  <w:style w:type="paragraph" w:styleId="Heading6">
    <w:name w:val="heading 6"/>
    <w:basedOn w:val="BodyText"/>
    <w:next w:val="BodyText"/>
    <w:rsid w:val="00EF682F"/>
    <w:pPr>
      <w:spacing w:after="60"/>
      <w:jc w:val="left"/>
      <w:outlineLvl w:val="5"/>
    </w:pPr>
    <w:rPr>
      <w:i/>
      <w:sz w:val="22"/>
    </w:rPr>
  </w:style>
  <w:style w:type="paragraph" w:styleId="Heading7">
    <w:name w:val="heading 7"/>
    <w:basedOn w:val="BodyText"/>
    <w:next w:val="BodyText"/>
    <w:rsid w:val="00EF682F"/>
    <w:pPr>
      <w:spacing w:after="60" w:line="240" w:lineRule="auto"/>
      <w:jc w:val="left"/>
      <w:outlineLvl w:val="6"/>
    </w:pPr>
    <w:rPr>
      <w:rFonts w:ascii="Arial" w:hAnsi="Arial"/>
      <w:sz w:val="20"/>
    </w:rPr>
  </w:style>
  <w:style w:type="paragraph" w:styleId="Heading8">
    <w:name w:val="heading 8"/>
    <w:basedOn w:val="BodyText"/>
    <w:next w:val="BodyText"/>
    <w:rsid w:val="00EF682F"/>
    <w:pPr>
      <w:spacing w:after="60" w:line="240" w:lineRule="auto"/>
      <w:jc w:val="left"/>
      <w:outlineLvl w:val="7"/>
    </w:pPr>
    <w:rPr>
      <w:rFonts w:ascii="Arial" w:hAnsi="Arial"/>
      <w:i/>
      <w:sz w:val="20"/>
    </w:rPr>
  </w:style>
  <w:style w:type="paragraph" w:styleId="Heading9">
    <w:name w:val="heading 9"/>
    <w:basedOn w:val="BodyText"/>
    <w:next w:val="BodyText"/>
    <w:rsid w:val="00EF682F"/>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EF682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F682F"/>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EF682F"/>
    <w:pPr>
      <w:spacing w:before="240" w:line="300" w:lineRule="atLeast"/>
      <w:jc w:val="both"/>
    </w:pPr>
    <w:rPr>
      <w:sz w:val="24"/>
    </w:rPr>
  </w:style>
  <w:style w:type="paragraph" w:customStyle="1" w:styleId="Chapter">
    <w:name w:val="Chapter"/>
    <w:basedOn w:val="Heading1"/>
    <w:next w:val="BodyText"/>
    <w:semiHidden/>
    <w:rsid w:val="00EF682F"/>
    <w:pPr>
      <w:ind w:left="0" w:firstLine="0"/>
      <w:outlineLvl w:val="9"/>
    </w:pPr>
  </w:style>
  <w:style w:type="paragraph" w:styleId="Footer">
    <w:name w:val="footer"/>
    <w:basedOn w:val="BodyText"/>
    <w:link w:val="FooterChar"/>
    <w:rsid w:val="00EF682F"/>
    <w:pPr>
      <w:spacing w:before="80" w:line="200" w:lineRule="exact"/>
      <w:ind w:right="6"/>
      <w:jc w:val="left"/>
    </w:pPr>
    <w:rPr>
      <w:rFonts w:ascii="Arial" w:hAnsi="Arial"/>
      <w:caps/>
      <w:spacing w:val="-4"/>
      <w:sz w:val="16"/>
    </w:rPr>
  </w:style>
  <w:style w:type="paragraph" w:customStyle="1" w:styleId="FooterEnd">
    <w:name w:val="Footer End"/>
    <w:basedOn w:val="Footer"/>
    <w:rsid w:val="00EF682F"/>
    <w:pPr>
      <w:spacing w:before="0" w:line="20" w:lineRule="exact"/>
    </w:pPr>
  </w:style>
  <w:style w:type="paragraph" w:styleId="Header">
    <w:name w:val="header"/>
    <w:basedOn w:val="BodyText"/>
    <w:rsid w:val="00EF682F"/>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EF682F"/>
    <w:pPr>
      <w:spacing w:line="20" w:lineRule="exact"/>
    </w:pPr>
    <w:rPr>
      <w:sz w:val="16"/>
    </w:rPr>
  </w:style>
  <w:style w:type="paragraph" w:customStyle="1" w:styleId="HeaderEven">
    <w:name w:val="Header Even"/>
    <w:basedOn w:val="Header"/>
    <w:semiHidden/>
    <w:rsid w:val="00EF682F"/>
  </w:style>
  <w:style w:type="paragraph" w:customStyle="1" w:styleId="HeaderOdd">
    <w:name w:val="Header Odd"/>
    <w:basedOn w:val="Header"/>
    <w:rsid w:val="00EF682F"/>
  </w:style>
  <w:style w:type="character" w:styleId="PageNumber">
    <w:name w:val="page number"/>
    <w:basedOn w:val="DefaultParagraphFont"/>
    <w:rsid w:val="00EF682F"/>
    <w:rPr>
      <w:rFonts w:ascii="Arial" w:hAnsi="Arial"/>
      <w:b/>
      <w:sz w:val="16"/>
    </w:rPr>
  </w:style>
  <w:style w:type="paragraph" w:customStyle="1" w:styleId="Abbreviation">
    <w:name w:val="Abbreviation"/>
    <w:basedOn w:val="BodyText"/>
    <w:rsid w:val="00EF682F"/>
    <w:pPr>
      <w:spacing w:before="120"/>
      <w:ind w:left="2381" w:hanging="2381"/>
      <w:jc w:val="left"/>
    </w:pPr>
  </w:style>
  <w:style w:type="paragraph" w:customStyle="1" w:styleId="Box">
    <w:name w:val="Box"/>
    <w:basedOn w:val="BodyText"/>
    <w:link w:val="BoxChar"/>
    <w:qFormat/>
    <w:rsid w:val="00EF682F"/>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EF682F"/>
    <w:pPr>
      <w:spacing w:before="180" w:line="220" w:lineRule="exact"/>
      <w:jc w:val="right"/>
    </w:pPr>
    <w:rPr>
      <w:rFonts w:ascii="Arial" w:hAnsi="Arial"/>
      <w:sz w:val="18"/>
    </w:rPr>
  </w:style>
  <w:style w:type="paragraph" w:customStyle="1" w:styleId="BoxHeading1">
    <w:name w:val="Box Heading 1"/>
    <w:basedOn w:val="BodyText"/>
    <w:next w:val="Box"/>
    <w:rsid w:val="00EF682F"/>
    <w:pPr>
      <w:keepNext/>
      <w:spacing w:before="200" w:line="280" w:lineRule="atLeast"/>
    </w:pPr>
    <w:rPr>
      <w:rFonts w:ascii="Arial" w:hAnsi="Arial"/>
      <w:b/>
      <w:sz w:val="22"/>
    </w:rPr>
  </w:style>
  <w:style w:type="paragraph" w:customStyle="1" w:styleId="BoxHeading2">
    <w:name w:val="Box Heading 2"/>
    <w:basedOn w:val="BoxHeading1"/>
    <w:next w:val="Normal"/>
    <w:rsid w:val="00EF682F"/>
    <w:rPr>
      <w:b w:val="0"/>
      <w:i/>
    </w:rPr>
  </w:style>
  <w:style w:type="paragraph" w:customStyle="1" w:styleId="BoxListBullet">
    <w:name w:val="Box List Bullet"/>
    <w:basedOn w:val="BodyText"/>
    <w:link w:val="BoxListBulletChar"/>
    <w:rsid w:val="00EF682F"/>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EF682F"/>
    <w:pPr>
      <w:numPr>
        <w:numId w:val="2"/>
      </w:numPr>
      <w:ind w:left="568" w:hanging="284"/>
    </w:pPr>
  </w:style>
  <w:style w:type="paragraph" w:customStyle="1" w:styleId="BoxListNumber">
    <w:name w:val="Box List Number"/>
    <w:basedOn w:val="BodyText"/>
    <w:rsid w:val="00EF682F"/>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EF682F"/>
    <w:pPr>
      <w:numPr>
        <w:ilvl w:val="1"/>
      </w:numPr>
      <w:ind w:left="681" w:hanging="397"/>
    </w:pPr>
  </w:style>
  <w:style w:type="paragraph" w:customStyle="1" w:styleId="BoxQuote">
    <w:name w:val="Box Quote"/>
    <w:basedOn w:val="BodyText"/>
    <w:next w:val="Box"/>
    <w:qFormat/>
    <w:rsid w:val="00EF682F"/>
    <w:pPr>
      <w:keepNext/>
      <w:spacing w:before="60" w:line="240" w:lineRule="exact"/>
      <w:ind w:left="284"/>
    </w:pPr>
    <w:rPr>
      <w:rFonts w:ascii="Arial" w:hAnsi="Arial"/>
      <w:sz w:val="18"/>
    </w:rPr>
  </w:style>
  <w:style w:type="paragraph" w:customStyle="1" w:styleId="Note">
    <w:name w:val="Note"/>
    <w:basedOn w:val="BodyText"/>
    <w:next w:val="BodyText"/>
    <w:link w:val="NoteChar"/>
    <w:rsid w:val="00EF682F"/>
    <w:pPr>
      <w:keepLines/>
      <w:spacing w:before="80" w:line="220" w:lineRule="exact"/>
    </w:pPr>
    <w:rPr>
      <w:rFonts w:ascii="Arial" w:hAnsi="Arial"/>
      <w:sz w:val="18"/>
    </w:rPr>
  </w:style>
  <w:style w:type="paragraph" w:customStyle="1" w:styleId="Source">
    <w:name w:val="Source"/>
    <w:basedOn w:val="Normal"/>
    <w:next w:val="BodyText"/>
    <w:link w:val="SourceChar"/>
    <w:rsid w:val="00EF682F"/>
    <w:pPr>
      <w:keepLines/>
      <w:spacing w:before="80" w:line="220" w:lineRule="exact"/>
      <w:jc w:val="both"/>
    </w:pPr>
    <w:rPr>
      <w:rFonts w:ascii="Arial" w:hAnsi="Arial"/>
      <w:sz w:val="18"/>
      <w:szCs w:val="20"/>
    </w:rPr>
  </w:style>
  <w:style w:type="paragraph" w:customStyle="1" w:styleId="BoxSource">
    <w:name w:val="Box Source"/>
    <w:basedOn w:val="Source"/>
    <w:next w:val="BodyText"/>
    <w:rsid w:val="00EF682F"/>
    <w:pPr>
      <w:spacing w:before="120"/>
    </w:pPr>
  </w:style>
  <w:style w:type="paragraph" w:customStyle="1" w:styleId="BoxSpace">
    <w:name w:val="Box Space"/>
    <w:basedOn w:val="BodyText"/>
    <w:rsid w:val="003C39D8"/>
    <w:pPr>
      <w:keepNext/>
      <w:spacing w:before="360" w:line="80" w:lineRule="exact"/>
      <w:jc w:val="left"/>
    </w:pPr>
  </w:style>
  <w:style w:type="paragraph" w:styleId="Caption">
    <w:name w:val="caption"/>
    <w:basedOn w:val="Normal"/>
    <w:next w:val="BodyText"/>
    <w:rsid w:val="00EF682F"/>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EF682F"/>
    <w:pPr>
      <w:spacing w:before="120" w:after="0"/>
    </w:pPr>
  </w:style>
  <w:style w:type="paragraph" w:customStyle="1" w:styleId="BoxSubtitle">
    <w:name w:val="Box Subtitle"/>
    <w:basedOn w:val="BoxTitle"/>
    <w:next w:val="Normal"/>
    <w:rsid w:val="00EF682F"/>
    <w:pPr>
      <w:spacing w:after="80" w:line="200" w:lineRule="exact"/>
      <w:ind w:firstLine="0"/>
    </w:pPr>
    <w:rPr>
      <w:b w:val="0"/>
      <w:sz w:val="20"/>
    </w:rPr>
  </w:style>
  <w:style w:type="paragraph" w:customStyle="1" w:styleId="ChapterSummary">
    <w:name w:val="Chapter Summary"/>
    <w:basedOn w:val="BodyText"/>
    <w:rsid w:val="00EF682F"/>
    <w:pPr>
      <w:spacing w:line="280" w:lineRule="atLeast"/>
      <w:ind w:left="907"/>
    </w:pPr>
    <w:rPr>
      <w:rFonts w:ascii="Arial" w:hAnsi="Arial"/>
      <w:b/>
      <w:sz w:val="20"/>
    </w:rPr>
  </w:style>
  <w:style w:type="character" w:styleId="CommentReference">
    <w:name w:val="annotation reference"/>
    <w:basedOn w:val="DefaultParagraphFont"/>
    <w:semiHidden/>
    <w:rsid w:val="00EF682F"/>
    <w:rPr>
      <w:b/>
      <w:vanish/>
      <w:color w:val="FF00FF"/>
      <w:sz w:val="20"/>
    </w:rPr>
  </w:style>
  <w:style w:type="paragraph" w:styleId="CommentText">
    <w:name w:val="annotation text"/>
    <w:basedOn w:val="Normal"/>
    <w:link w:val="CommentTextChar"/>
    <w:semiHidden/>
    <w:rsid w:val="00EF682F"/>
    <w:pPr>
      <w:spacing w:before="120" w:line="240" w:lineRule="atLeast"/>
      <w:ind w:left="567" w:hanging="567"/>
    </w:pPr>
    <w:rPr>
      <w:sz w:val="20"/>
    </w:rPr>
  </w:style>
  <w:style w:type="paragraph" w:customStyle="1" w:styleId="Continued">
    <w:name w:val="Continued"/>
    <w:basedOn w:val="BoxContinued"/>
    <w:next w:val="BodyText"/>
    <w:link w:val="ContinuedChar"/>
    <w:rsid w:val="00EF682F"/>
  </w:style>
  <w:style w:type="character" w:customStyle="1" w:styleId="DocumentInfo">
    <w:name w:val="Document Info"/>
    <w:basedOn w:val="DefaultParagraphFont"/>
    <w:semiHidden/>
    <w:rsid w:val="00EF682F"/>
    <w:rPr>
      <w:rFonts w:ascii="Arial" w:hAnsi="Arial"/>
      <w:sz w:val="14"/>
    </w:rPr>
  </w:style>
  <w:style w:type="character" w:customStyle="1" w:styleId="DraftingNote">
    <w:name w:val="Drafting Note"/>
    <w:basedOn w:val="DefaultParagraphFont"/>
    <w:rsid w:val="00EF682F"/>
    <w:rPr>
      <w:b/>
      <w:color w:val="FF0000"/>
      <w:sz w:val="24"/>
      <w:u w:val="dotted"/>
    </w:rPr>
  </w:style>
  <w:style w:type="paragraph" w:customStyle="1" w:styleId="Figure">
    <w:name w:val="Figure"/>
    <w:basedOn w:val="BodyText"/>
    <w:rsid w:val="00EF682F"/>
    <w:pPr>
      <w:keepNext/>
      <w:spacing w:before="120" w:after="120" w:line="240" w:lineRule="atLeast"/>
      <w:jc w:val="center"/>
    </w:pPr>
  </w:style>
  <w:style w:type="paragraph" w:customStyle="1" w:styleId="FigureTitle">
    <w:name w:val="Figure Title"/>
    <w:basedOn w:val="Caption"/>
    <w:next w:val="Subtitle"/>
    <w:rsid w:val="00EF682F"/>
    <w:pPr>
      <w:spacing w:before="120"/>
    </w:pPr>
  </w:style>
  <w:style w:type="paragraph" w:styleId="Subtitle">
    <w:name w:val="Subtitle"/>
    <w:basedOn w:val="Caption"/>
    <w:link w:val="SubtitleChar"/>
    <w:qFormat/>
    <w:rsid w:val="00EF682F"/>
    <w:pPr>
      <w:spacing w:before="0" w:line="200" w:lineRule="exact"/>
      <w:ind w:firstLine="0"/>
    </w:pPr>
    <w:rPr>
      <w:b w:val="0"/>
      <w:sz w:val="20"/>
    </w:rPr>
  </w:style>
  <w:style w:type="paragraph" w:customStyle="1" w:styleId="Finding">
    <w:name w:val="Finding"/>
    <w:basedOn w:val="BodyText"/>
    <w:rsid w:val="00EF682F"/>
    <w:pPr>
      <w:keepLines/>
      <w:spacing w:before="120" w:line="280" w:lineRule="atLeast"/>
    </w:pPr>
    <w:rPr>
      <w:rFonts w:ascii="Arial" w:hAnsi="Arial"/>
      <w:sz w:val="22"/>
    </w:rPr>
  </w:style>
  <w:style w:type="paragraph" w:customStyle="1" w:styleId="FindingBullet">
    <w:name w:val="Finding Bullet"/>
    <w:basedOn w:val="Finding"/>
    <w:rsid w:val="00EF682F"/>
    <w:pPr>
      <w:numPr>
        <w:numId w:val="3"/>
      </w:numPr>
      <w:spacing w:before="80"/>
    </w:pPr>
  </w:style>
  <w:style w:type="paragraph" w:customStyle="1" w:styleId="FindingNoTitle">
    <w:name w:val="Finding NoTitle"/>
    <w:basedOn w:val="Finding"/>
    <w:rsid w:val="00EF682F"/>
    <w:pPr>
      <w:spacing w:before="240"/>
    </w:pPr>
  </w:style>
  <w:style w:type="paragraph" w:customStyle="1" w:styleId="RecTitle">
    <w:name w:val="Rec Title"/>
    <w:basedOn w:val="BodyText"/>
    <w:next w:val="Rec"/>
    <w:qFormat/>
    <w:rsid w:val="00EF682F"/>
    <w:pPr>
      <w:keepNext/>
      <w:keepLines/>
      <w:spacing w:line="280" w:lineRule="atLeast"/>
    </w:pPr>
    <w:rPr>
      <w:rFonts w:ascii="Arial" w:hAnsi="Arial"/>
      <w:caps/>
      <w:sz w:val="18"/>
    </w:rPr>
  </w:style>
  <w:style w:type="paragraph" w:customStyle="1" w:styleId="FindingTitle">
    <w:name w:val="Finding Title"/>
    <w:basedOn w:val="RecTitle"/>
    <w:next w:val="Finding"/>
    <w:rsid w:val="00EF682F"/>
  </w:style>
  <w:style w:type="character" w:styleId="FootnoteReference">
    <w:name w:val="footnote reference"/>
    <w:basedOn w:val="DefaultParagraphFont"/>
    <w:rsid w:val="00EF682F"/>
    <w:rPr>
      <w:rFonts w:ascii="Times New Roman" w:hAnsi="Times New Roman"/>
      <w:position w:val="6"/>
      <w:sz w:val="20"/>
      <w:vertAlign w:val="baseline"/>
    </w:rPr>
  </w:style>
  <w:style w:type="paragraph" w:styleId="FootnoteText">
    <w:name w:val="footnote text"/>
    <w:basedOn w:val="BodyText"/>
    <w:rsid w:val="00EF682F"/>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EF682F"/>
    <w:rPr>
      <w:i/>
    </w:rPr>
  </w:style>
  <w:style w:type="paragraph" w:customStyle="1" w:styleId="Jurisdictioncommentsbodytext">
    <w:name w:val="Jurisdiction comments body text"/>
    <w:rsid w:val="00EF682F"/>
    <w:pPr>
      <w:spacing w:after="140"/>
      <w:jc w:val="both"/>
    </w:pPr>
    <w:rPr>
      <w:rFonts w:ascii="Arial" w:hAnsi="Arial"/>
      <w:sz w:val="24"/>
      <w:lang w:eastAsia="en-US"/>
    </w:rPr>
  </w:style>
  <w:style w:type="paragraph" w:customStyle="1" w:styleId="Jurisdictioncommentsheading">
    <w:name w:val="Jurisdiction comments heading"/>
    <w:rsid w:val="00EF682F"/>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EF682F"/>
    <w:pPr>
      <w:numPr>
        <w:numId w:val="4"/>
      </w:numPr>
      <w:spacing w:after="140"/>
      <w:jc w:val="both"/>
    </w:pPr>
    <w:rPr>
      <w:rFonts w:ascii="Arial" w:hAnsi="Arial"/>
      <w:sz w:val="24"/>
      <w:lang w:eastAsia="en-US"/>
    </w:rPr>
  </w:style>
  <w:style w:type="paragraph" w:styleId="ListBullet">
    <w:name w:val="List Bullet"/>
    <w:aliases w:val="List Bullet Char1,List Bullet Char Char,List Bullet Char1 Char Char"/>
    <w:basedOn w:val="BodyText"/>
    <w:link w:val="ListBulletChar"/>
    <w:rsid w:val="00EF682F"/>
    <w:pPr>
      <w:numPr>
        <w:numId w:val="5"/>
      </w:numPr>
      <w:spacing w:before="120"/>
    </w:pPr>
  </w:style>
  <w:style w:type="paragraph" w:styleId="ListBullet2">
    <w:name w:val="List Bullet 2"/>
    <w:basedOn w:val="BodyText"/>
    <w:rsid w:val="00EF682F"/>
    <w:pPr>
      <w:numPr>
        <w:numId w:val="6"/>
      </w:numPr>
      <w:spacing w:before="120"/>
    </w:pPr>
  </w:style>
  <w:style w:type="paragraph" w:styleId="ListBullet3">
    <w:name w:val="List Bullet 3"/>
    <w:basedOn w:val="BodyText"/>
    <w:rsid w:val="00EF682F"/>
    <w:pPr>
      <w:numPr>
        <w:numId w:val="7"/>
      </w:numPr>
      <w:spacing w:before="120"/>
      <w:ind w:left="1020" w:hanging="340"/>
    </w:pPr>
  </w:style>
  <w:style w:type="paragraph" w:styleId="ListNumber">
    <w:name w:val="List Number"/>
    <w:basedOn w:val="BodyText"/>
    <w:rsid w:val="00EF682F"/>
    <w:pPr>
      <w:numPr>
        <w:numId w:val="13"/>
      </w:numPr>
      <w:spacing w:before="120"/>
    </w:pPr>
  </w:style>
  <w:style w:type="paragraph" w:styleId="ListNumber2">
    <w:name w:val="List Number 2"/>
    <w:basedOn w:val="ListNumber"/>
    <w:rsid w:val="00EF682F"/>
    <w:pPr>
      <w:numPr>
        <w:ilvl w:val="1"/>
      </w:numPr>
    </w:pPr>
  </w:style>
  <w:style w:type="paragraph" w:styleId="ListNumber3">
    <w:name w:val="List Number 3"/>
    <w:basedOn w:val="ListNumber2"/>
    <w:rsid w:val="00EF682F"/>
    <w:pPr>
      <w:numPr>
        <w:ilvl w:val="2"/>
      </w:numPr>
    </w:pPr>
  </w:style>
  <w:style w:type="character" w:customStyle="1" w:styleId="NoteLabel">
    <w:name w:val="Note Label"/>
    <w:basedOn w:val="DefaultParagraphFont"/>
    <w:rsid w:val="00EF682F"/>
    <w:rPr>
      <w:rFonts w:ascii="Arial" w:hAnsi="Arial"/>
      <w:b/>
      <w:position w:val="6"/>
      <w:sz w:val="18"/>
    </w:rPr>
  </w:style>
  <w:style w:type="paragraph" w:customStyle="1" w:styleId="PartDivider">
    <w:name w:val="Part Divider"/>
    <w:basedOn w:val="BodyText"/>
    <w:next w:val="BodyText"/>
    <w:semiHidden/>
    <w:rsid w:val="00EF682F"/>
    <w:pPr>
      <w:spacing w:before="0" w:line="40" w:lineRule="exact"/>
      <w:jc w:val="right"/>
    </w:pPr>
    <w:rPr>
      <w:smallCaps/>
      <w:sz w:val="16"/>
    </w:rPr>
  </w:style>
  <w:style w:type="paragraph" w:customStyle="1" w:styleId="PartNumber">
    <w:name w:val="Part Number"/>
    <w:basedOn w:val="BodyText"/>
    <w:next w:val="BodyText"/>
    <w:semiHidden/>
    <w:rsid w:val="00EF682F"/>
    <w:pPr>
      <w:spacing w:before="4000" w:line="320" w:lineRule="exact"/>
      <w:ind w:left="6634"/>
      <w:jc w:val="right"/>
    </w:pPr>
    <w:rPr>
      <w:smallCaps/>
      <w:spacing w:val="60"/>
      <w:sz w:val="32"/>
    </w:rPr>
  </w:style>
  <w:style w:type="paragraph" w:customStyle="1" w:styleId="PartTitle">
    <w:name w:val="Part Title"/>
    <w:basedOn w:val="BodyText"/>
    <w:rsid w:val="00EF682F"/>
    <w:pPr>
      <w:spacing w:before="160" w:after="1360" w:line="520" w:lineRule="exact"/>
      <w:ind w:right="2381"/>
      <w:jc w:val="right"/>
    </w:pPr>
    <w:rPr>
      <w:smallCaps/>
      <w:sz w:val="52"/>
    </w:rPr>
  </w:style>
  <w:style w:type="paragraph" w:styleId="Quote">
    <w:name w:val="Quote"/>
    <w:basedOn w:val="BodyText"/>
    <w:next w:val="BodyText"/>
    <w:qFormat/>
    <w:rsid w:val="00EF682F"/>
    <w:pPr>
      <w:spacing w:before="120" w:line="280" w:lineRule="exact"/>
      <w:ind w:left="340"/>
    </w:pPr>
    <w:rPr>
      <w:sz w:val="22"/>
    </w:rPr>
  </w:style>
  <w:style w:type="paragraph" w:customStyle="1" w:styleId="QuoteBullet">
    <w:name w:val="Quote Bullet"/>
    <w:basedOn w:val="Quote"/>
    <w:rsid w:val="00EF682F"/>
    <w:pPr>
      <w:numPr>
        <w:numId w:val="8"/>
      </w:numPr>
    </w:pPr>
  </w:style>
  <w:style w:type="paragraph" w:customStyle="1" w:styleId="Rec">
    <w:name w:val="Rec"/>
    <w:basedOn w:val="BodyText"/>
    <w:qFormat/>
    <w:rsid w:val="00EF682F"/>
    <w:pPr>
      <w:keepLines/>
      <w:spacing w:before="120" w:line="280" w:lineRule="atLeast"/>
    </w:pPr>
    <w:rPr>
      <w:rFonts w:ascii="Arial" w:hAnsi="Arial"/>
      <w:sz w:val="22"/>
    </w:rPr>
  </w:style>
  <w:style w:type="paragraph" w:customStyle="1" w:styleId="RecBullet">
    <w:name w:val="Rec Bullet"/>
    <w:basedOn w:val="Rec"/>
    <w:rsid w:val="00EF682F"/>
    <w:pPr>
      <w:numPr>
        <w:numId w:val="9"/>
      </w:numPr>
      <w:spacing w:before="80"/>
    </w:pPr>
  </w:style>
  <w:style w:type="paragraph" w:customStyle="1" w:styleId="RecB">
    <w:name w:val="RecB"/>
    <w:basedOn w:val="Normal"/>
    <w:rsid w:val="00EF682F"/>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EF682F"/>
    <w:pPr>
      <w:numPr>
        <w:numId w:val="10"/>
      </w:numPr>
      <w:spacing w:before="80"/>
    </w:pPr>
  </w:style>
  <w:style w:type="paragraph" w:customStyle="1" w:styleId="RecBNoTitle">
    <w:name w:val="RecB NoTitle"/>
    <w:basedOn w:val="RecB"/>
    <w:rsid w:val="00EF682F"/>
    <w:pPr>
      <w:spacing w:before="240"/>
    </w:pPr>
  </w:style>
  <w:style w:type="paragraph" w:customStyle="1" w:styleId="Reference">
    <w:name w:val="Reference"/>
    <w:basedOn w:val="BodyText"/>
    <w:rsid w:val="00EF682F"/>
    <w:pPr>
      <w:spacing w:before="120"/>
      <w:ind w:left="340" w:hanging="340"/>
    </w:pPr>
  </w:style>
  <w:style w:type="paragraph" w:customStyle="1" w:styleId="SequenceInfo">
    <w:name w:val="Sequence Info"/>
    <w:basedOn w:val="BodyText"/>
    <w:semiHidden/>
    <w:rsid w:val="00EF682F"/>
    <w:rPr>
      <w:vanish/>
      <w:sz w:val="16"/>
    </w:rPr>
  </w:style>
  <w:style w:type="paragraph" w:customStyle="1" w:styleId="SideNote">
    <w:name w:val="Side Note"/>
    <w:basedOn w:val="BodyText"/>
    <w:next w:val="BodyText"/>
    <w:semiHidden/>
    <w:rsid w:val="00EF682F"/>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EF682F"/>
    <w:pPr>
      <w:framePr w:wrap="around"/>
      <w:numPr>
        <w:numId w:val="11"/>
      </w:numPr>
      <w:tabs>
        <w:tab w:val="left" w:pos="227"/>
      </w:tabs>
    </w:pPr>
  </w:style>
  <w:style w:type="paragraph" w:customStyle="1" w:styleId="SideNoteGraphic">
    <w:name w:val="Side Note Graphic"/>
    <w:basedOn w:val="SideNote"/>
    <w:next w:val="BodyText"/>
    <w:semiHidden/>
    <w:rsid w:val="00EF682F"/>
    <w:pPr>
      <w:framePr w:wrap="around"/>
    </w:pPr>
  </w:style>
  <w:style w:type="paragraph" w:customStyle="1" w:styleId="TableBodyText">
    <w:name w:val="Table Body Text"/>
    <w:basedOn w:val="BodyText"/>
    <w:link w:val="TableBodyTextChar"/>
    <w:rsid w:val="00EF682F"/>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EF682F"/>
    <w:pPr>
      <w:numPr>
        <w:numId w:val="12"/>
      </w:numPr>
      <w:jc w:val="left"/>
    </w:pPr>
  </w:style>
  <w:style w:type="paragraph" w:customStyle="1" w:styleId="TableColumnHeading">
    <w:name w:val="Table Column Heading"/>
    <w:basedOn w:val="TableBodyText"/>
    <w:link w:val="TableColumnHeadingChar"/>
    <w:rsid w:val="00EF682F"/>
    <w:pPr>
      <w:spacing w:before="80" w:after="80"/>
    </w:pPr>
    <w:rPr>
      <w:i/>
    </w:rPr>
  </w:style>
  <w:style w:type="paragraph" w:styleId="TOC2">
    <w:name w:val="toc 2"/>
    <w:basedOn w:val="TOC1"/>
    <w:rsid w:val="00EF682F"/>
    <w:pPr>
      <w:ind w:left="1134" w:hanging="624"/>
    </w:pPr>
    <w:rPr>
      <w:b w:val="0"/>
    </w:rPr>
  </w:style>
  <w:style w:type="paragraph" w:styleId="TOC3">
    <w:name w:val="toc 3"/>
    <w:basedOn w:val="TOC2"/>
    <w:rsid w:val="00EF682F"/>
    <w:pPr>
      <w:spacing w:before="60"/>
      <w:ind w:left="1190" w:hanging="680"/>
    </w:pPr>
  </w:style>
  <w:style w:type="paragraph" w:styleId="TableofFigures">
    <w:name w:val="table of figures"/>
    <w:basedOn w:val="TOC3"/>
    <w:next w:val="BodyText"/>
    <w:semiHidden/>
    <w:rsid w:val="00EF682F"/>
    <w:pPr>
      <w:ind w:left="737" w:hanging="737"/>
    </w:pPr>
  </w:style>
  <w:style w:type="paragraph" w:customStyle="1" w:styleId="TableTitle">
    <w:name w:val="Table Title"/>
    <w:basedOn w:val="Caption"/>
    <w:next w:val="Subtitle"/>
    <w:link w:val="TableTitleChar"/>
    <w:qFormat/>
    <w:rsid w:val="00EF682F"/>
    <w:pPr>
      <w:spacing w:before="120"/>
    </w:pPr>
  </w:style>
  <w:style w:type="paragraph" w:customStyle="1" w:styleId="TableUnitsRow">
    <w:name w:val="Table Units Row"/>
    <w:basedOn w:val="TableBodyText"/>
    <w:rsid w:val="00EF682F"/>
    <w:pPr>
      <w:spacing w:before="40"/>
    </w:pPr>
  </w:style>
  <w:style w:type="paragraph" w:styleId="TOC1">
    <w:name w:val="toc 1"/>
    <w:basedOn w:val="Normal"/>
    <w:next w:val="TOC2"/>
    <w:link w:val="TOC1Char"/>
    <w:rsid w:val="00EF682F"/>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EF682F"/>
    <w:pPr>
      <w:ind w:left="1191" w:firstLine="0"/>
    </w:pPr>
  </w:style>
  <w:style w:type="character" w:styleId="Hyperlink">
    <w:name w:val="Hyperlink"/>
    <w:uiPriority w:val="99"/>
    <w:rsid w:val="006100DD"/>
    <w:rPr>
      <w:color w:val="0000FF"/>
      <w:u w:val="single"/>
    </w:rPr>
  </w:style>
  <w:style w:type="paragraph" w:styleId="BalloonText">
    <w:name w:val="Balloon Text"/>
    <w:basedOn w:val="Normal"/>
    <w:link w:val="BalloonTextChar"/>
    <w:rsid w:val="00EF682F"/>
    <w:rPr>
      <w:rFonts w:ascii="Tahoma" w:hAnsi="Tahoma" w:cs="Tahoma"/>
      <w:sz w:val="16"/>
      <w:szCs w:val="16"/>
    </w:rPr>
  </w:style>
  <w:style w:type="table" w:styleId="TableGrid">
    <w:name w:val="Table Grid"/>
    <w:basedOn w:val="TableNormal"/>
    <w:rsid w:val="00EF68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aliases w:val="new legislation style Char1,Body Text Char1 Char Char1,Body Text Char Char Char Char1,Body Text Char1 Char Char Char Char1,Body Text Char Char Char Char Char1 Char1,Body Text Char2 Char1 Char Char Char Char Char Char1"/>
    <w:basedOn w:val="DefaultParagraphFont"/>
    <w:link w:val="BodyText"/>
    <w:rsid w:val="00EF682F"/>
    <w:rPr>
      <w:sz w:val="24"/>
    </w:rPr>
  </w:style>
  <w:style w:type="character" w:customStyle="1" w:styleId="BoxContinuedChar">
    <w:name w:val="Box Continued Char"/>
    <w:link w:val="BoxContinued"/>
    <w:semiHidden/>
    <w:rsid w:val="00910676"/>
    <w:rPr>
      <w:rFonts w:ascii="Arial" w:hAnsi="Arial"/>
      <w:sz w:val="18"/>
    </w:rPr>
  </w:style>
  <w:style w:type="character" w:customStyle="1" w:styleId="ContinuedChar">
    <w:name w:val="Continued Char"/>
    <w:basedOn w:val="BoxContinuedChar"/>
    <w:link w:val="Continued"/>
    <w:rsid w:val="00910676"/>
    <w:rPr>
      <w:rFonts w:ascii="Arial" w:hAnsi="Arial"/>
      <w:sz w:val="18"/>
    </w:rPr>
  </w:style>
  <w:style w:type="character" w:customStyle="1" w:styleId="NoteChar">
    <w:name w:val="Note Char"/>
    <w:link w:val="Note"/>
    <w:rsid w:val="00F00DEF"/>
    <w:rPr>
      <w:rFonts w:ascii="Arial" w:hAnsi="Arial"/>
      <w:sz w:val="18"/>
    </w:rPr>
  </w:style>
  <w:style w:type="character" w:customStyle="1" w:styleId="TableBodyTextChar">
    <w:name w:val="Table Body Text Char"/>
    <w:link w:val="TableBodyText"/>
    <w:rsid w:val="0027625B"/>
    <w:rPr>
      <w:rFonts w:ascii="Arial" w:hAnsi="Arial"/>
      <w:sz w:val="18"/>
    </w:rPr>
  </w:style>
  <w:style w:type="character" w:customStyle="1" w:styleId="TableColumnHeadingChar">
    <w:name w:val="Table Column Heading Char"/>
    <w:link w:val="TableColumnHeading"/>
    <w:rsid w:val="0027625B"/>
    <w:rPr>
      <w:rFonts w:ascii="Arial" w:hAnsi="Arial"/>
      <w:i/>
      <w:sz w:val="18"/>
    </w:rPr>
  </w:style>
  <w:style w:type="paragraph" w:styleId="CommentSubject">
    <w:name w:val="annotation subject"/>
    <w:basedOn w:val="CommentText"/>
    <w:next w:val="CommentText"/>
    <w:semiHidden/>
    <w:rsid w:val="004F2AD4"/>
    <w:pPr>
      <w:spacing w:before="0" w:line="240" w:lineRule="auto"/>
      <w:ind w:left="0" w:firstLine="0"/>
    </w:pPr>
    <w:rPr>
      <w:b/>
      <w:bCs/>
      <w:szCs w:val="20"/>
    </w:rPr>
  </w:style>
  <w:style w:type="character" w:customStyle="1" w:styleId="ListBulletChar">
    <w:name w:val="List Bullet Char"/>
    <w:aliases w:val="List Bullet Char1 Char,List Bullet Char Char Char,List Bullet Char1 Char Char Char"/>
    <w:link w:val="ListBullet"/>
    <w:rsid w:val="00F71D8F"/>
    <w:rPr>
      <w:sz w:val="24"/>
    </w:rPr>
  </w:style>
  <w:style w:type="character" w:customStyle="1" w:styleId="newlegislationstyleChar">
    <w:name w:val="new legislation style Char"/>
    <w:aliases w:val="Body Text Char1 Char Char,Body Text Char Char Char Char,Body Text Char1 Char Char Char Char,Body Text Char Char Char Char Char1 Char,Body Text Char2 Char1 Char Char Char Char Char Char,Body Text Char2 Char Char"/>
    <w:rsid w:val="00801C91"/>
    <w:rPr>
      <w:sz w:val="26"/>
      <w:lang w:val="en-AU" w:eastAsia="en-AU" w:bidi="ar-SA"/>
    </w:rPr>
  </w:style>
  <w:style w:type="character" w:customStyle="1" w:styleId="SubtitleChar">
    <w:name w:val="Subtitle Char"/>
    <w:basedOn w:val="DefaultParagraphFont"/>
    <w:link w:val="Subtitle"/>
    <w:rsid w:val="00EF682F"/>
    <w:rPr>
      <w:rFonts w:ascii="Arial" w:hAnsi="Arial"/>
      <w:szCs w:val="24"/>
    </w:rPr>
  </w:style>
  <w:style w:type="paragraph" w:customStyle="1" w:styleId="RecBBullet2">
    <w:name w:val="RecB Bullet 2"/>
    <w:basedOn w:val="ListBullet2"/>
    <w:semiHidden/>
    <w:rsid w:val="00EF682F"/>
    <w:pPr>
      <w:pBdr>
        <w:left w:val="single" w:sz="24" w:space="29" w:color="C0C0C0"/>
      </w:pBdr>
    </w:pPr>
    <w:rPr>
      <w:b/>
      <w:i/>
    </w:rPr>
  </w:style>
  <w:style w:type="character" w:customStyle="1" w:styleId="BalloonTextChar">
    <w:name w:val="Balloon Text Char"/>
    <w:basedOn w:val="DefaultParagraphFont"/>
    <w:link w:val="BalloonText"/>
    <w:rsid w:val="00EF682F"/>
    <w:rPr>
      <w:rFonts w:ascii="Tahoma" w:hAnsi="Tahoma" w:cs="Tahoma"/>
      <w:sz w:val="16"/>
      <w:szCs w:val="16"/>
    </w:rPr>
  </w:style>
  <w:style w:type="paragraph" w:customStyle="1" w:styleId="BoxListBullet3">
    <w:name w:val="Box List Bullet 3"/>
    <w:basedOn w:val="ListBullet3"/>
    <w:rsid w:val="00EF682F"/>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EF682F"/>
    <w:rPr>
      <w:i/>
      <w:iCs/>
    </w:rPr>
  </w:style>
  <w:style w:type="paragraph" w:customStyle="1" w:styleId="BoxQuoteBullet">
    <w:name w:val="Box Quote Bullet"/>
    <w:basedOn w:val="BoxQuote"/>
    <w:next w:val="Box"/>
    <w:rsid w:val="00EF682F"/>
    <w:pPr>
      <w:numPr>
        <w:numId w:val="16"/>
      </w:numPr>
      <w:ind w:left="568" w:hanging="284"/>
    </w:pPr>
  </w:style>
  <w:style w:type="paragraph" w:customStyle="1" w:styleId="InformationRequestBullet">
    <w:name w:val="Information Request Bullet"/>
    <w:basedOn w:val="ListBullet"/>
    <w:next w:val="BodyText"/>
    <w:rsid w:val="00EF682F"/>
    <w:pPr>
      <w:numPr>
        <w:numId w:val="17"/>
      </w:numPr>
      <w:spacing w:before="80" w:line="280" w:lineRule="atLeast"/>
      <w:ind w:left="357" w:hanging="357"/>
    </w:pPr>
    <w:rPr>
      <w:rFonts w:ascii="Arial" w:hAnsi="Arial"/>
      <w:i/>
      <w:sz w:val="22"/>
    </w:rPr>
  </w:style>
  <w:style w:type="paragraph" w:styleId="EndnoteText">
    <w:name w:val="endnote text"/>
    <w:basedOn w:val="Normal"/>
    <w:link w:val="EndnoteTextChar"/>
    <w:rsid w:val="004C7183"/>
    <w:rPr>
      <w:sz w:val="20"/>
      <w:szCs w:val="20"/>
    </w:rPr>
  </w:style>
  <w:style w:type="character" w:customStyle="1" w:styleId="EndnoteTextChar">
    <w:name w:val="Endnote Text Char"/>
    <w:basedOn w:val="DefaultParagraphFont"/>
    <w:link w:val="EndnoteText"/>
    <w:rsid w:val="004C7183"/>
  </w:style>
  <w:style w:type="character" w:styleId="EndnoteReference">
    <w:name w:val="endnote reference"/>
    <w:basedOn w:val="DefaultParagraphFont"/>
    <w:rsid w:val="004C7183"/>
    <w:rPr>
      <w:vertAlign w:val="superscript"/>
    </w:rPr>
  </w:style>
  <w:style w:type="character" w:customStyle="1" w:styleId="CommentTextChar">
    <w:name w:val="Comment Text Char"/>
    <w:basedOn w:val="DefaultParagraphFont"/>
    <w:link w:val="CommentText"/>
    <w:semiHidden/>
    <w:rsid w:val="008C2A33"/>
    <w:rPr>
      <w:szCs w:val="24"/>
    </w:rPr>
  </w:style>
  <w:style w:type="paragraph" w:customStyle="1" w:styleId="BoxSpaceAbove">
    <w:name w:val="Box Space Above"/>
    <w:basedOn w:val="BodyText"/>
    <w:rsid w:val="00EF682F"/>
    <w:pPr>
      <w:keepNext/>
      <w:spacing w:before="360" w:line="80" w:lineRule="exact"/>
      <w:jc w:val="left"/>
    </w:pPr>
  </w:style>
  <w:style w:type="paragraph" w:customStyle="1" w:styleId="BoxSpaceBelow">
    <w:name w:val="Box Space Below"/>
    <w:basedOn w:val="Box"/>
    <w:rsid w:val="00EF682F"/>
    <w:pPr>
      <w:keepNext w:val="0"/>
      <w:spacing w:before="60" w:after="60" w:line="80" w:lineRule="exact"/>
    </w:pPr>
    <w:rPr>
      <w:sz w:val="14"/>
    </w:rPr>
  </w:style>
  <w:style w:type="paragraph" w:customStyle="1" w:styleId="DHSBulletText">
    <w:name w:val="DHS Bullet Text"/>
    <w:basedOn w:val="Normal"/>
    <w:rsid w:val="00B77B55"/>
    <w:pPr>
      <w:numPr>
        <w:numId w:val="21"/>
      </w:numPr>
      <w:spacing w:after="200" w:line="276" w:lineRule="auto"/>
    </w:pPr>
    <w:rPr>
      <w:rFonts w:asciiTheme="minorHAnsi" w:eastAsiaTheme="minorHAnsi" w:hAnsiTheme="minorHAnsi" w:cstheme="minorBidi"/>
      <w:sz w:val="22"/>
      <w:szCs w:val="22"/>
    </w:rPr>
  </w:style>
  <w:style w:type="character" w:customStyle="1" w:styleId="s2">
    <w:name w:val="s2"/>
    <w:basedOn w:val="DefaultParagraphFont"/>
    <w:rsid w:val="008875A6"/>
  </w:style>
  <w:style w:type="paragraph" w:customStyle="1" w:styleId="KeyPointsListBullet">
    <w:name w:val="Key Points List Bullet"/>
    <w:basedOn w:val="Normal"/>
    <w:qFormat/>
    <w:rsid w:val="00EF682F"/>
    <w:pPr>
      <w:keepNext/>
      <w:numPr>
        <w:numId w:val="22"/>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EF682F"/>
    <w:pPr>
      <w:numPr>
        <w:numId w:val="23"/>
      </w:numPr>
      <w:ind w:left="568" w:hanging="284"/>
    </w:pPr>
  </w:style>
  <w:style w:type="paragraph" w:customStyle="1" w:styleId="InformationRequestTitle">
    <w:name w:val="Information Request Title"/>
    <w:basedOn w:val="FindingTitle"/>
    <w:next w:val="InformationRequest"/>
    <w:rsid w:val="00EF682F"/>
    <w:rPr>
      <w:i/>
    </w:rPr>
  </w:style>
  <w:style w:type="paragraph" w:customStyle="1" w:styleId="Space">
    <w:name w:val="Space"/>
    <w:basedOn w:val="Normal"/>
    <w:rsid w:val="00EF682F"/>
    <w:pPr>
      <w:keepNext/>
      <w:spacing w:line="120" w:lineRule="exact"/>
      <w:jc w:val="both"/>
    </w:pPr>
    <w:rPr>
      <w:rFonts w:ascii="Arial" w:hAnsi="Arial"/>
      <w:sz w:val="20"/>
      <w:szCs w:val="20"/>
    </w:rPr>
  </w:style>
  <w:style w:type="paragraph" w:customStyle="1" w:styleId="Heading1nochapterno">
    <w:name w:val="Heading 1 (no chapter no.)"/>
    <w:basedOn w:val="Heading1"/>
    <w:rsid w:val="00EF682F"/>
    <w:pPr>
      <w:spacing w:before="0"/>
      <w:ind w:left="0" w:firstLine="0"/>
    </w:pPr>
  </w:style>
  <w:style w:type="paragraph" w:customStyle="1" w:styleId="Heading2nosectionno">
    <w:name w:val="Heading 2 (no section no.)"/>
    <w:basedOn w:val="Heading2"/>
    <w:rsid w:val="00EF682F"/>
    <w:pPr>
      <w:ind w:left="0" w:firstLine="0"/>
    </w:pPr>
  </w:style>
  <w:style w:type="character" w:customStyle="1" w:styleId="Heading5Char">
    <w:name w:val="Heading 5 Char"/>
    <w:basedOn w:val="DefaultParagraphFont"/>
    <w:link w:val="Heading5"/>
    <w:rsid w:val="00EF682F"/>
    <w:rPr>
      <w:rFonts w:ascii="Arial" w:hAnsi="Arial"/>
      <w:i/>
      <w:sz w:val="22"/>
    </w:rPr>
  </w:style>
  <w:style w:type="paragraph" w:customStyle="1" w:styleId="Figurespace">
    <w:name w:val="Figure space"/>
    <w:basedOn w:val="Box"/>
    <w:rsid w:val="00EF682F"/>
    <w:pPr>
      <w:spacing w:before="0" w:line="120" w:lineRule="exact"/>
    </w:pPr>
  </w:style>
  <w:style w:type="paragraph" w:customStyle="1" w:styleId="FooterDraftReport">
    <w:name w:val="FooterDraftReport"/>
    <w:basedOn w:val="Footer"/>
    <w:link w:val="FooterDraftReportChar"/>
    <w:rsid w:val="00EF682F"/>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EF682F"/>
    <w:rPr>
      <w:rFonts w:ascii="Arial" w:hAnsi="Arial"/>
      <w:caps/>
      <w:spacing w:val="-4"/>
      <w:sz w:val="16"/>
    </w:rPr>
  </w:style>
  <w:style w:type="character" w:customStyle="1" w:styleId="FooterDraftReportChar">
    <w:name w:val="FooterDraftReport Char"/>
    <w:basedOn w:val="FooterChar"/>
    <w:link w:val="FooterDraftReport"/>
    <w:rsid w:val="00EF682F"/>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EF682F"/>
    <w:rPr>
      <w:rFonts w:ascii="Arial" w:hAnsi="Arial"/>
      <w:b/>
      <w:sz w:val="26"/>
      <w:szCs w:val="26"/>
      <w:lang w:eastAsia="en-US"/>
    </w:rPr>
  </w:style>
  <w:style w:type="character" w:customStyle="1" w:styleId="Heading1Char">
    <w:name w:val="Heading 1 Char"/>
    <w:basedOn w:val="DefaultParagraphFont"/>
    <w:link w:val="Heading1"/>
    <w:rsid w:val="00EB3500"/>
    <w:rPr>
      <w:sz w:val="52"/>
    </w:rPr>
  </w:style>
  <w:style w:type="paragraph" w:customStyle="1" w:styleId="Heading1NotTOC">
    <w:name w:val="Heading 1 Not TOC"/>
    <w:basedOn w:val="Heading1"/>
    <w:next w:val="BodyText"/>
    <w:rsid w:val="00EB3500"/>
    <w:rPr>
      <w:kern w:val="28"/>
      <w:szCs w:val="26"/>
      <w:lang w:eastAsia="en-US"/>
    </w:rPr>
  </w:style>
  <w:style w:type="paragraph" w:styleId="ListParagraph">
    <w:name w:val="List Paragraph"/>
    <w:basedOn w:val="Normal"/>
    <w:uiPriority w:val="34"/>
    <w:qFormat/>
    <w:rsid w:val="006B01C5"/>
    <w:pPr>
      <w:ind w:left="720"/>
      <w:contextualSpacing/>
    </w:pPr>
  </w:style>
  <w:style w:type="character" w:customStyle="1" w:styleId="TableBulletChar">
    <w:name w:val="Table Bullet Char"/>
    <w:basedOn w:val="TableBodyTextChar"/>
    <w:link w:val="TableBullet"/>
    <w:rsid w:val="00F15B1D"/>
    <w:rPr>
      <w:rFonts w:ascii="Arial" w:hAnsi="Arial"/>
      <w:sz w:val="18"/>
    </w:rPr>
  </w:style>
  <w:style w:type="character" w:customStyle="1" w:styleId="BoxListBulletChar">
    <w:name w:val="Box List Bullet Char"/>
    <w:basedOn w:val="DefaultParagraphFont"/>
    <w:link w:val="BoxListBullet"/>
    <w:rsid w:val="007D22DB"/>
    <w:rPr>
      <w:rFonts w:ascii="Arial" w:hAnsi="Arial"/>
    </w:rPr>
  </w:style>
  <w:style w:type="paragraph" w:styleId="Revision">
    <w:name w:val="Revision"/>
    <w:hidden/>
    <w:uiPriority w:val="99"/>
    <w:semiHidden/>
    <w:rsid w:val="007F3A9C"/>
    <w:rPr>
      <w:sz w:val="24"/>
      <w:szCs w:val="24"/>
    </w:rPr>
  </w:style>
  <w:style w:type="character" w:customStyle="1" w:styleId="TableTitleChar">
    <w:name w:val="Table Title Char"/>
    <w:link w:val="TableTitle"/>
    <w:locked/>
    <w:rsid w:val="00BD4E8F"/>
    <w:rPr>
      <w:rFonts w:ascii="Arial" w:hAnsi="Arial"/>
      <w:b/>
      <w:sz w:val="24"/>
      <w:szCs w:val="24"/>
    </w:rPr>
  </w:style>
  <w:style w:type="character" w:customStyle="1" w:styleId="SourceChar">
    <w:name w:val="Source Char"/>
    <w:link w:val="Source"/>
    <w:rsid w:val="00BD4E8F"/>
    <w:rPr>
      <w:rFonts w:ascii="Arial" w:hAnsi="Arial"/>
      <w:sz w:val="18"/>
    </w:rPr>
  </w:style>
  <w:style w:type="character" w:customStyle="1" w:styleId="BoxChar">
    <w:name w:val="Box Char"/>
    <w:link w:val="Box"/>
    <w:rsid w:val="00BD4E8F"/>
    <w:rPr>
      <w:rFonts w:ascii="Arial" w:hAnsi="Arial"/>
    </w:rPr>
  </w:style>
  <w:style w:type="character" w:customStyle="1" w:styleId="Heading3Char">
    <w:name w:val="Heading 3 Char"/>
    <w:basedOn w:val="DefaultParagraphFont"/>
    <w:link w:val="Heading3"/>
    <w:rsid w:val="0065490B"/>
    <w:rPr>
      <w:rFonts w:ascii="Arial" w:hAnsi="Arial"/>
      <w:b/>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EF682F"/>
    <w:rPr>
      <w:sz w:val="24"/>
      <w:szCs w:val="24"/>
    </w:rPr>
  </w:style>
  <w:style w:type="paragraph" w:styleId="Heading1">
    <w:name w:val="heading 1"/>
    <w:basedOn w:val="BodyText"/>
    <w:next w:val="BodyText"/>
    <w:link w:val="Heading1Char"/>
    <w:rsid w:val="00EF682F"/>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EF682F"/>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EF682F"/>
    <w:pPr>
      <w:spacing w:before="560" w:line="320" w:lineRule="exact"/>
      <w:ind w:left="0" w:firstLine="0"/>
      <w:outlineLvl w:val="2"/>
    </w:pPr>
    <w:rPr>
      <w:sz w:val="26"/>
    </w:rPr>
  </w:style>
  <w:style w:type="paragraph" w:styleId="Heading4">
    <w:name w:val="heading 4"/>
    <w:basedOn w:val="Heading3"/>
    <w:next w:val="BodyText"/>
    <w:qFormat/>
    <w:rsid w:val="00EF682F"/>
    <w:pPr>
      <w:spacing w:before="480"/>
      <w:outlineLvl w:val="3"/>
    </w:pPr>
    <w:rPr>
      <w:b w:val="0"/>
      <w:sz w:val="24"/>
    </w:rPr>
  </w:style>
  <w:style w:type="paragraph" w:styleId="Heading5">
    <w:name w:val="heading 5"/>
    <w:basedOn w:val="Heading4"/>
    <w:next w:val="BodyText"/>
    <w:link w:val="Heading5Char"/>
    <w:qFormat/>
    <w:rsid w:val="00EF682F"/>
    <w:pPr>
      <w:outlineLvl w:val="4"/>
    </w:pPr>
    <w:rPr>
      <w:i/>
      <w:sz w:val="22"/>
    </w:rPr>
  </w:style>
  <w:style w:type="paragraph" w:styleId="Heading6">
    <w:name w:val="heading 6"/>
    <w:basedOn w:val="BodyText"/>
    <w:next w:val="BodyText"/>
    <w:rsid w:val="00EF682F"/>
    <w:pPr>
      <w:spacing w:after="60"/>
      <w:jc w:val="left"/>
      <w:outlineLvl w:val="5"/>
    </w:pPr>
    <w:rPr>
      <w:i/>
      <w:sz w:val="22"/>
    </w:rPr>
  </w:style>
  <w:style w:type="paragraph" w:styleId="Heading7">
    <w:name w:val="heading 7"/>
    <w:basedOn w:val="BodyText"/>
    <w:next w:val="BodyText"/>
    <w:rsid w:val="00EF682F"/>
    <w:pPr>
      <w:spacing w:after="60" w:line="240" w:lineRule="auto"/>
      <w:jc w:val="left"/>
      <w:outlineLvl w:val="6"/>
    </w:pPr>
    <w:rPr>
      <w:rFonts w:ascii="Arial" w:hAnsi="Arial"/>
      <w:sz w:val="20"/>
    </w:rPr>
  </w:style>
  <w:style w:type="paragraph" w:styleId="Heading8">
    <w:name w:val="heading 8"/>
    <w:basedOn w:val="BodyText"/>
    <w:next w:val="BodyText"/>
    <w:rsid w:val="00EF682F"/>
    <w:pPr>
      <w:spacing w:after="60" w:line="240" w:lineRule="auto"/>
      <w:jc w:val="left"/>
      <w:outlineLvl w:val="7"/>
    </w:pPr>
    <w:rPr>
      <w:rFonts w:ascii="Arial" w:hAnsi="Arial"/>
      <w:i/>
      <w:sz w:val="20"/>
    </w:rPr>
  </w:style>
  <w:style w:type="paragraph" w:styleId="Heading9">
    <w:name w:val="heading 9"/>
    <w:basedOn w:val="BodyText"/>
    <w:next w:val="BodyText"/>
    <w:rsid w:val="00EF682F"/>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EF682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F682F"/>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EF682F"/>
    <w:pPr>
      <w:spacing w:before="240" w:line="300" w:lineRule="atLeast"/>
      <w:jc w:val="both"/>
    </w:pPr>
    <w:rPr>
      <w:sz w:val="24"/>
    </w:rPr>
  </w:style>
  <w:style w:type="paragraph" w:customStyle="1" w:styleId="Chapter">
    <w:name w:val="Chapter"/>
    <w:basedOn w:val="Heading1"/>
    <w:next w:val="BodyText"/>
    <w:semiHidden/>
    <w:rsid w:val="00EF682F"/>
    <w:pPr>
      <w:ind w:left="0" w:firstLine="0"/>
      <w:outlineLvl w:val="9"/>
    </w:pPr>
  </w:style>
  <w:style w:type="paragraph" w:styleId="Footer">
    <w:name w:val="footer"/>
    <w:basedOn w:val="BodyText"/>
    <w:link w:val="FooterChar"/>
    <w:rsid w:val="00EF682F"/>
    <w:pPr>
      <w:spacing w:before="80" w:line="200" w:lineRule="exact"/>
      <w:ind w:right="6"/>
      <w:jc w:val="left"/>
    </w:pPr>
    <w:rPr>
      <w:rFonts w:ascii="Arial" w:hAnsi="Arial"/>
      <w:caps/>
      <w:spacing w:val="-4"/>
      <w:sz w:val="16"/>
    </w:rPr>
  </w:style>
  <w:style w:type="paragraph" w:customStyle="1" w:styleId="FooterEnd">
    <w:name w:val="Footer End"/>
    <w:basedOn w:val="Footer"/>
    <w:rsid w:val="00EF682F"/>
    <w:pPr>
      <w:spacing w:before="0" w:line="20" w:lineRule="exact"/>
    </w:pPr>
  </w:style>
  <w:style w:type="paragraph" w:styleId="Header">
    <w:name w:val="header"/>
    <w:basedOn w:val="BodyText"/>
    <w:rsid w:val="00EF682F"/>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EF682F"/>
    <w:pPr>
      <w:spacing w:line="20" w:lineRule="exact"/>
    </w:pPr>
    <w:rPr>
      <w:sz w:val="16"/>
    </w:rPr>
  </w:style>
  <w:style w:type="paragraph" w:customStyle="1" w:styleId="HeaderEven">
    <w:name w:val="Header Even"/>
    <w:basedOn w:val="Header"/>
    <w:semiHidden/>
    <w:rsid w:val="00EF682F"/>
  </w:style>
  <w:style w:type="paragraph" w:customStyle="1" w:styleId="HeaderOdd">
    <w:name w:val="Header Odd"/>
    <w:basedOn w:val="Header"/>
    <w:rsid w:val="00EF682F"/>
  </w:style>
  <w:style w:type="character" w:styleId="PageNumber">
    <w:name w:val="page number"/>
    <w:basedOn w:val="DefaultParagraphFont"/>
    <w:rsid w:val="00EF682F"/>
    <w:rPr>
      <w:rFonts w:ascii="Arial" w:hAnsi="Arial"/>
      <w:b/>
      <w:sz w:val="16"/>
    </w:rPr>
  </w:style>
  <w:style w:type="paragraph" w:customStyle="1" w:styleId="Abbreviation">
    <w:name w:val="Abbreviation"/>
    <w:basedOn w:val="BodyText"/>
    <w:rsid w:val="00EF682F"/>
    <w:pPr>
      <w:spacing w:before="120"/>
      <w:ind w:left="2381" w:hanging="2381"/>
      <w:jc w:val="left"/>
    </w:pPr>
  </w:style>
  <w:style w:type="paragraph" w:customStyle="1" w:styleId="Box">
    <w:name w:val="Box"/>
    <w:basedOn w:val="BodyText"/>
    <w:link w:val="BoxChar"/>
    <w:qFormat/>
    <w:rsid w:val="00EF682F"/>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EF682F"/>
    <w:pPr>
      <w:spacing w:before="180" w:line="220" w:lineRule="exact"/>
      <w:jc w:val="right"/>
    </w:pPr>
    <w:rPr>
      <w:rFonts w:ascii="Arial" w:hAnsi="Arial"/>
      <w:sz w:val="18"/>
    </w:rPr>
  </w:style>
  <w:style w:type="paragraph" w:customStyle="1" w:styleId="BoxHeading1">
    <w:name w:val="Box Heading 1"/>
    <w:basedOn w:val="BodyText"/>
    <w:next w:val="Box"/>
    <w:rsid w:val="00EF682F"/>
    <w:pPr>
      <w:keepNext/>
      <w:spacing w:before="200" w:line="280" w:lineRule="atLeast"/>
    </w:pPr>
    <w:rPr>
      <w:rFonts w:ascii="Arial" w:hAnsi="Arial"/>
      <w:b/>
      <w:sz w:val="22"/>
    </w:rPr>
  </w:style>
  <w:style w:type="paragraph" w:customStyle="1" w:styleId="BoxHeading2">
    <w:name w:val="Box Heading 2"/>
    <w:basedOn w:val="BoxHeading1"/>
    <w:next w:val="Normal"/>
    <w:rsid w:val="00EF682F"/>
    <w:rPr>
      <w:b w:val="0"/>
      <w:i/>
    </w:rPr>
  </w:style>
  <w:style w:type="paragraph" w:customStyle="1" w:styleId="BoxListBullet">
    <w:name w:val="Box List Bullet"/>
    <w:basedOn w:val="BodyText"/>
    <w:link w:val="BoxListBulletChar"/>
    <w:rsid w:val="00EF682F"/>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EF682F"/>
    <w:pPr>
      <w:numPr>
        <w:numId w:val="2"/>
      </w:numPr>
      <w:ind w:left="568" w:hanging="284"/>
    </w:pPr>
  </w:style>
  <w:style w:type="paragraph" w:customStyle="1" w:styleId="BoxListNumber">
    <w:name w:val="Box List Number"/>
    <w:basedOn w:val="BodyText"/>
    <w:rsid w:val="00EF682F"/>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EF682F"/>
    <w:pPr>
      <w:numPr>
        <w:ilvl w:val="1"/>
      </w:numPr>
      <w:ind w:left="681" w:hanging="397"/>
    </w:pPr>
  </w:style>
  <w:style w:type="paragraph" w:customStyle="1" w:styleId="BoxQuote">
    <w:name w:val="Box Quote"/>
    <w:basedOn w:val="BodyText"/>
    <w:next w:val="Box"/>
    <w:qFormat/>
    <w:rsid w:val="00EF682F"/>
    <w:pPr>
      <w:keepNext/>
      <w:spacing w:before="60" w:line="240" w:lineRule="exact"/>
      <w:ind w:left="284"/>
    </w:pPr>
    <w:rPr>
      <w:rFonts w:ascii="Arial" w:hAnsi="Arial"/>
      <w:sz w:val="18"/>
    </w:rPr>
  </w:style>
  <w:style w:type="paragraph" w:customStyle="1" w:styleId="Note">
    <w:name w:val="Note"/>
    <w:basedOn w:val="BodyText"/>
    <w:next w:val="BodyText"/>
    <w:link w:val="NoteChar"/>
    <w:rsid w:val="00EF682F"/>
    <w:pPr>
      <w:keepLines/>
      <w:spacing w:before="80" w:line="220" w:lineRule="exact"/>
    </w:pPr>
    <w:rPr>
      <w:rFonts w:ascii="Arial" w:hAnsi="Arial"/>
      <w:sz w:val="18"/>
    </w:rPr>
  </w:style>
  <w:style w:type="paragraph" w:customStyle="1" w:styleId="Source">
    <w:name w:val="Source"/>
    <w:basedOn w:val="Normal"/>
    <w:next w:val="BodyText"/>
    <w:link w:val="SourceChar"/>
    <w:rsid w:val="00EF682F"/>
    <w:pPr>
      <w:keepLines/>
      <w:spacing w:before="80" w:line="220" w:lineRule="exact"/>
      <w:jc w:val="both"/>
    </w:pPr>
    <w:rPr>
      <w:rFonts w:ascii="Arial" w:hAnsi="Arial"/>
      <w:sz w:val="18"/>
      <w:szCs w:val="20"/>
    </w:rPr>
  </w:style>
  <w:style w:type="paragraph" w:customStyle="1" w:styleId="BoxSource">
    <w:name w:val="Box Source"/>
    <w:basedOn w:val="Source"/>
    <w:next w:val="BodyText"/>
    <w:rsid w:val="00EF682F"/>
    <w:pPr>
      <w:spacing w:before="120"/>
    </w:pPr>
  </w:style>
  <w:style w:type="paragraph" w:customStyle="1" w:styleId="BoxSpace">
    <w:name w:val="Box Space"/>
    <w:basedOn w:val="BodyText"/>
    <w:rsid w:val="003C39D8"/>
    <w:pPr>
      <w:keepNext/>
      <w:spacing w:before="360" w:line="80" w:lineRule="exact"/>
      <w:jc w:val="left"/>
    </w:pPr>
  </w:style>
  <w:style w:type="paragraph" w:styleId="Caption">
    <w:name w:val="caption"/>
    <w:basedOn w:val="Normal"/>
    <w:next w:val="BodyText"/>
    <w:rsid w:val="00EF682F"/>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EF682F"/>
    <w:pPr>
      <w:spacing w:before="120" w:after="0"/>
    </w:pPr>
  </w:style>
  <w:style w:type="paragraph" w:customStyle="1" w:styleId="BoxSubtitle">
    <w:name w:val="Box Subtitle"/>
    <w:basedOn w:val="BoxTitle"/>
    <w:next w:val="Normal"/>
    <w:rsid w:val="00EF682F"/>
    <w:pPr>
      <w:spacing w:after="80" w:line="200" w:lineRule="exact"/>
      <w:ind w:firstLine="0"/>
    </w:pPr>
    <w:rPr>
      <w:b w:val="0"/>
      <w:sz w:val="20"/>
    </w:rPr>
  </w:style>
  <w:style w:type="paragraph" w:customStyle="1" w:styleId="ChapterSummary">
    <w:name w:val="Chapter Summary"/>
    <w:basedOn w:val="BodyText"/>
    <w:rsid w:val="00EF682F"/>
    <w:pPr>
      <w:spacing w:line="280" w:lineRule="atLeast"/>
      <w:ind w:left="907"/>
    </w:pPr>
    <w:rPr>
      <w:rFonts w:ascii="Arial" w:hAnsi="Arial"/>
      <w:b/>
      <w:sz w:val="20"/>
    </w:rPr>
  </w:style>
  <w:style w:type="character" w:styleId="CommentReference">
    <w:name w:val="annotation reference"/>
    <w:basedOn w:val="DefaultParagraphFont"/>
    <w:semiHidden/>
    <w:rsid w:val="00EF682F"/>
    <w:rPr>
      <w:b/>
      <w:vanish/>
      <w:color w:val="FF00FF"/>
      <w:sz w:val="20"/>
    </w:rPr>
  </w:style>
  <w:style w:type="paragraph" w:styleId="CommentText">
    <w:name w:val="annotation text"/>
    <w:basedOn w:val="Normal"/>
    <w:link w:val="CommentTextChar"/>
    <w:semiHidden/>
    <w:rsid w:val="00EF682F"/>
    <w:pPr>
      <w:spacing w:before="120" w:line="240" w:lineRule="atLeast"/>
      <w:ind w:left="567" w:hanging="567"/>
    </w:pPr>
    <w:rPr>
      <w:sz w:val="20"/>
    </w:rPr>
  </w:style>
  <w:style w:type="paragraph" w:customStyle="1" w:styleId="Continued">
    <w:name w:val="Continued"/>
    <w:basedOn w:val="BoxContinued"/>
    <w:next w:val="BodyText"/>
    <w:link w:val="ContinuedChar"/>
    <w:rsid w:val="00EF682F"/>
  </w:style>
  <w:style w:type="character" w:customStyle="1" w:styleId="DocumentInfo">
    <w:name w:val="Document Info"/>
    <w:basedOn w:val="DefaultParagraphFont"/>
    <w:semiHidden/>
    <w:rsid w:val="00EF682F"/>
    <w:rPr>
      <w:rFonts w:ascii="Arial" w:hAnsi="Arial"/>
      <w:sz w:val="14"/>
    </w:rPr>
  </w:style>
  <w:style w:type="character" w:customStyle="1" w:styleId="DraftingNote">
    <w:name w:val="Drafting Note"/>
    <w:basedOn w:val="DefaultParagraphFont"/>
    <w:rsid w:val="00EF682F"/>
    <w:rPr>
      <w:b/>
      <w:color w:val="FF0000"/>
      <w:sz w:val="24"/>
      <w:u w:val="dotted"/>
    </w:rPr>
  </w:style>
  <w:style w:type="paragraph" w:customStyle="1" w:styleId="Figure">
    <w:name w:val="Figure"/>
    <w:basedOn w:val="BodyText"/>
    <w:rsid w:val="00EF682F"/>
    <w:pPr>
      <w:keepNext/>
      <w:spacing w:before="120" w:after="120" w:line="240" w:lineRule="atLeast"/>
      <w:jc w:val="center"/>
    </w:pPr>
  </w:style>
  <w:style w:type="paragraph" w:customStyle="1" w:styleId="FigureTitle">
    <w:name w:val="Figure Title"/>
    <w:basedOn w:val="Caption"/>
    <w:next w:val="Subtitle"/>
    <w:rsid w:val="00EF682F"/>
    <w:pPr>
      <w:spacing w:before="120"/>
    </w:pPr>
  </w:style>
  <w:style w:type="paragraph" w:styleId="Subtitle">
    <w:name w:val="Subtitle"/>
    <w:basedOn w:val="Caption"/>
    <w:link w:val="SubtitleChar"/>
    <w:qFormat/>
    <w:rsid w:val="00EF682F"/>
    <w:pPr>
      <w:spacing w:before="0" w:line="200" w:lineRule="exact"/>
      <w:ind w:firstLine="0"/>
    </w:pPr>
    <w:rPr>
      <w:b w:val="0"/>
      <w:sz w:val="20"/>
    </w:rPr>
  </w:style>
  <w:style w:type="paragraph" w:customStyle="1" w:styleId="Finding">
    <w:name w:val="Finding"/>
    <w:basedOn w:val="BodyText"/>
    <w:rsid w:val="00EF682F"/>
    <w:pPr>
      <w:keepLines/>
      <w:spacing w:before="120" w:line="280" w:lineRule="atLeast"/>
    </w:pPr>
    <w:rPr>
      <w:rFonts w:ascii="Arial" w:hAnsi="Arial"/>
      <w:sz w:val="22"/>
    </w:rPr>
  </w:style>
  <w:style w:type="paragraph" w:customStyle="1" w:styleId="FindingBullet">
    <w:name w:val="Finding Bullet"/>
    <w:basedOn w:val="Finding"/>
    <w:rsid w:val="00EF682F"/>
    <w:pPr>
      <w:numPr>
        <w:numId w:val="3"/>
      </w:numPr>
      <w:spacing w:before="80"/>
    </w:pPr>
  </w:style>
  <w:style w:type="paragraph" w:customStyle="1" w:styleId="FindingNoTitle">
    <w:name w:val="Finding NoTitle"/>
    <w:basedOn w:val="Finding"/>
    <w:rsid w:val="00EF682F"/>
    <w:pPr>
      <w:spacing w:before="240"/>
    </w:pPr>
  </w:style>
  <w:style w:type="paragraph" w:customStyle="1" w:styleId="RecTitle">
    <w:name w:val="Rec Title"/>
    <w:basedOn w:val="BodyText"/>
    <w:next w:val="Rec"/>
    <w:qFormat/>
    <w:rsid w:val="00EF682F"/>
    <w:pPr>
      <w:keepNext/>
      <w:keepLines/>
      <w:spacing w:line="280" w:lineRule="atLeast"/>
    </w:pPr>
    <w:rPr>
      <w:rFonts w:ascii="Arial" w:hAnsi="Arial"/>
      <w:caps/>
      <w:sz w:val="18"/>
    </w:rPr>
  </w:style>
  <w:style w:type="paragraph" w:customStyle="1" w:styleId="FindingTitle">
    <w:name w:val="Finding Title"/>
    <w:basedOn w:val="RecTitle"/>
    <w:next w:val="Finding"/>
    <w:rsid w:val="00EF682F"/>
  </w:style>
  <w:style w:type="character" w:styleId="FootnoteReference">
    <w:name w:val="footnote reference"/>
    <w:basedOn w:val="DefaultParagraphFont"/>
    <w:rsid w:val="00EF682F"/>
    <w:rPr>
      <w:rFonts w:ascii="Times New Roman" w:hAnsi="Times New Roman"/>
      <w:position w:val="6"/>
      <w:sz w:val="20"/>
      <w:vertAlign w:val="baseline"/>
    </w:rPr>
  </w:style>
  <w:style w:type="paragraph" w:styleId="FootnoteText">
    <w:name w:val="footnote text"/>
    <w:basedOn w:val="BodyText"/>
    <w:rsid w:val="00EF682F"/>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EF682F"/>
    <w:rPr>
      <w:i/>
    </w:rPr>
  </w:style>
  <w:style w:type="paragraph" w:customStyle="1" w:styleId="Jurisdictioncommentsbodytext">
    <w:name w:val="Jurisdiction comments body text"/>
    <w:rsid w:val="00EF682F"/>
    <w:pPr>
      <w:spacing w:after="140"/>
      <w:jc w:val="both"/>
    </w:pPr>
    <w:rPr>
      <w:rFonts w:ascii="Arial" w:hAnsi="Arial"/>
      <w:sz w:val="24"/>
      <w:lang w:eastAsia="en-US"/>
    </w:rPr>
  </w:style>
  <w:style w:type="paragraph" w:customStyle="1" w:styleId="Jurisdictioncommentsheading">
    <w:name w:val="Jurisdiction comments heading"/>
    <w:rsid w:val="00EF682F"/>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EF682F"/>
    <w:pPr>
      <w:numPr>
        <w:numId w:val="4"/>
      </w:numPr>
      <w:spacing w:after="140"/>
      <w:jc w:val="both"/>
    </w:pPr>
    <w:rPr>
      <w:rFonts w:ascii="Arial" w:hAnsi="Arial"/>
      <w:sz w:val="24"/>
      <w:lang w:eastAsia="en-US"/>
    </w:rPr>
  </w:style>
  <w:style w:type="paragraph" w:styleId="ListBullet">
    <w:name w:val="List Bullet"/>
    <w:aliases w:val="List Bullet Char1,List Bullet Char Char,List Bullet Char1 Char Char"/>
    <w:basedOn w:val="BodyText"/>
    <w:link w:val="ListBulletChar"/>
    <w:rsid w:val="00EF682F"/>
    <w:pPr>
      <w:numPr>
        <w:numId w:val="5"/>
      </w:numPr>
      <w:spacing w:before="120"/>
    </w:pPr>
  </w:style>
  <w:style w:type="paragraph" w:styleId="ListBullet2">
    <w:name w:val="List Bullet 2"/>
    <w:basedOn w:val="BodyText"/>
    <w:rsid w:val="00EF682F"/>
    <w:pPr>
      <w:numPr>
        <w:numId w:val="6"/>
      </w:numPr>
      <w:spacing w:before="120"/>
    </w:pPr>
  </w:style>
  <w:style w:type="paragraph" w:styleId="ListBullet3">
    <w:name w:val="List Bullet 3"/>
    <w:basedOn w:val="BodyText"/>
    <w:rsid w:val="00EF682F"/>
    <w:pPr>
      <w:numPr>
        <w:numId w:val="7"/>
      </w:numPr>
      <w:spacing w:before="120"/>
      <w:ind w:left="1020" w:hanging="340"/>
    </w:pPr>
  </w:style>
  <w:style w:type="paragraph" w:styleId="ListNumber">
    <w:name w:val="List Number"/>
    <w:basedOn w:val="BodyText"/>
    <w:rsid w:val="00EF682F"/>
    <w:pPr>
      <w:numPr>
        <w:numId w:val="13"/>
      </w:numPr>
      <w:spacing w:before="120"/>
    </w:pPr>
  </w:style>
  <w:style w:type="paragraph" w:styleId="ListNumber2">
    <w:name w:val="List Number 2"/>
    <w:basedOn w:val="ListNumber"/>
    <w:rsid w:val="00EF682F"/>
    <w:pPr>
      <w:numPr>
        <w:ilvl w:val="1"/>
      </w:numPr>
    </w:pPr>
  </w:style>
  <w:style w:type="paragraph" w:styleId="ListNumber3">
    <w:name w:val="List Number 3"/>
    <w:basedOn w:val="ListNumber2"/>
    <w:rsid w:val="00EF682F"/>
    <w:pPr>
      <w:numPr>
        <w:ilvl w:val="2"/>
      </w:numPr>
    </w:pPr>
  </w:style>
  <w:style w:type="character" w:customStyle="1" w:styleId="NoteLabel">
    <w:name w:val="Note Label"/>
    <w:basedOn w:val="DefaultParagraphFont"/>
    <w:rsid w:val="00EF682F"/>
    <w:rPr>
      <w:rFonts w:ascii="Arial" w:hAnsi="Arial"/>
      <w:b/>
      <w:position w:val="6"/>
      <w:sz w:val="18"/>
    </w:rPr>
  </w:style>
  <w:style w:type="paragraph" w:customStyle="1" w:styleId="PartDivider">
    <w:name w:val="Part Divider"/>
    <w:basedOn w:val="BodyText"/>
    <w:next w:val="BodyText"/>
    <w:semiHidden/>
    <w:rsid w:val="00EF682F"/>
    <w:pPr>
      <w:spacing w:before="0" w:line="40" w:lineRule="exact"/>
      <w:jc w:val="right"/>
    </w:pPr>
    <w:rPr>
      <w:smallCaps/>
      <w:sz w:val="16"/>
    </w:rPr>
  </w:style>
  <w:style w:type="paragraph" w:customStyle="1" w:styleId="PartNumber">
    <w:name w:val="Part Number"/>
    <w:basedOn w:val="BodyText"/>
    <w:next w:val="BodyText"/>
    <w:semiHidden/>
    <w:rsid w:val="00EF682F"/>
    <w:pPr>
      <w:spacing w:before="4000" w:line="320" w:lineRule="exact"/>
      <w:ind w:left="6634"/>
      <w:jc w:val="right"/>
    </w:pPr>
    <w:rPr>
      <w:smallCaps/>
      <w:spacing w:val="60"/>
      <w:sz w:val="32"/>
    </w:rPr>
  </w:style>
  <w:style w:type="paragraph" w:customStyle="1" w:styleId="PartTitle">
    <w:name w:val="Part Title"/>
    <w:basedOn w:val="BodyText"/>
    <w:rsid w:val="00EF682F"/>
    <w:pPr>
      <w:spacing w:before="160" w:after="1360" w:line="520" w:lineRule="exact"/>
      <w:ind w:right="2381"/>
      <w:jc w:val="right"/>
    </w:pPr>
    <w:rPr>
      <w:smallCaps/>
      <w:sz w:val="52"/>
    </w:rPr>
  </w:style>
  <w:style w:type="paragraph" w:styleId="Quote">
    <w:name w:val="Quote"/>
    <w:basedOn w:val="BodyText"/>
    <w:next w:val="BodyText"/>
    <w:qFormat/>
    <w:rsid w:val="00EF682F"/>
    <w:pPr>
      <w:spacing w:before="120" w:line="280" w:lineRule="exact"/>
      <w:ind w:left="340"/>
    </w:pPr>
    <w:rPr>
      <w:sz w:val="22"/>
    </w:rPr>
  </w:style>
  <w:style w:type="paragraph" w:customStyle="1" w:styleId="QuoteBullet">
    <w:name w:val="Quote Bullet"/>
    <w:basedOn w:val="Quote"/>
    <w:rsid w:val="00EF682F"/>
    <w:pPr>
      <w:numPr>
        <w:numId w:val="8"/>
      </w:numPr>
    </w:pPr>
  </w:style>
  <w:style w:type="paragraph" w:customStyle="1" w:styleId="Rec">
    <w:name w:val="Rec"/>
    <w:basedOn w:val="BodyText"/>
    <w:qFormat/>
    <w:rsid w:val="00EF682F"/>
    <w:pPr>
      <w:keepLines/>
      <w:spacing w:before="120" w:line="280" w:lineRule="atLeast"/>
    </w:pPr>
    <w:rPr>
      <w:rFonts w:ascii="Arial" w:hAnsi="Arial"/>
      <w:sz w:val="22"/>
    </w:rPr>
  </w:style>
  <w:style w:type="paragraph" w:customStyle="1" w:styleId="RecBullet">
    <w:name w:val="Rec Bullet"/>
    <w:basedOn w:val="Rec"/>
    <w:rsid w:val="00EF682F"/>
    <w:pPr>
      <w:numPr>
        <w:numId w:val="9"/>
      </w:numPr>
      <w:spacing w:before="80"/>
    </w:pPr>
  </w:style>
  <w:style w:type="paragraph" w:customStyle="1" w:styleId="RecB">
    <w:name w:val="RecB"/>
    <w:basedOn w:val="Normal"/>
    <w:rsid w:val="00EF682F"/>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EF682F"/>
    <w:pPr>
      <w:numPr>
        <w:numId w:val="10"/>
      </w:numPr>
      <w:spacing w:before="80"/>
    </w:pPr>
  </w:style>
  <w:style w:type="paragraph" w:customStyle="1" w:styleId="RecBNoTitle">
    <w:name w:val="RecB NoTitle"/>
    <w:basedOn w:val="RecB"/>
    <w:rsid w:val="00EF682F"/>
    <w:pPr>
      <w:spacing w:before="240"/>
    </w:pPr>
  </w:style>
  <w:style w:type="paragraph" w:customStyle="1" w:styleId="Reference">
    <w:name w:val="Reference"/>
    <w:basedOn w:val="BodyText"/>
    <w:rsid w:val="00EF682F"/>
    <w:pPr>
      <w:spacing w:before="120"/>
      <w:ind w:left="340" w:hanging="340"/>
    </w:pPr>
  </w:style>
  <w:style w:type="paragraph" w:customStyle="1" w:styleId="SequenceInfo">
    <w:name w:val="Sequence Info"/>
    <w:basedOn w:val="BodyText"/>
    <w:semiHidden/>
    <w:rsid w:val="00EF682F"/>
    <w:rPr>
      <w:vanish/>
      <w:sz w:val="16"/>
    </w:rPr>
  </w:style>
  <w:style w:type="paragraph" w:customStyle="1" w:styleId="SideNote">
    <w:name w:val="Side Note"/>
    <w:basedOn w:val="BodyText"/>
    <w:next w:val="BodyText"/>
    <w:semiHidden/>
    <w:rsid w:val="00EF682F"/>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EF682F"/>
    <w:pPr>
      <w:framePr w:wrap="around"/>
      <w:numPr>
        <w:numId w:val="11"/>
      </w:numPr>
      <w:tabs>
        <w:tab w:val="left" w:pos="227"/>
      </w:tabs>
    </w:pPr>
  </w:style>
  <w:style w:type="paragraph" w:customStyle="1" w:styleId="SideNoteGraphic">
    <w:name w:val="Side Note Graphic"/>
    <w:basedOn w:val="SideNote"/>
    <w:next w:val="BodyText"/>
    <w:semiHidden/>
    <w:rsid w:val="00EF682F"/>
    <w:pPr>
      <w:framePr w:wrap="around"/>
    </w:pPr>
  </w:style>
  <w:style w:type="paragraph" w:customStyle="1" w:styleId="TableBodyText">
    <w:name w:val="Table Body Text"/>
    <w:basedOn w:val="BodyText"/>
    <w:link w:val="TableBodyTextChar"/>
    <w:rsid w:val="00EF682F"/>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EF682F"/>
    <w:pPr>
      <w:numPr>
        <w:numId w:val="12"/>
      </w:numPr>
      <w:jc w:val="left"/>
    </w:pPr>
  </w:style>
  <w:style w:type="paragraph" w:customStyle="1" w:styleId="TableColumnHeading">
    <w:name w:val="Table Column Heading"/>
    <w:basedOn w:val="TableBodyText"/>
    <w:link w:val="TableColumnHeadingChar"/>
    <w:rsid w:val="00EF682F"/>
    <w:pPr>
      <w:spacing w:before="80" w:after="80"/>
    </w:pPr>
    <w:rPr>
      <w:i/>
    </w:rPr>
  </w:style>
  <w:style w:type="paragraph" w:styleId="TOC2">
    <w:name w:val="toc 2"/>
    <w:basedOn w:val="TOC1"/>
    <w:rsid w:val="00EF682F"/>
    <w:pPr>
      <w:ind w:left="1134" w:hanging="624"/>
    </w:pPr>
    <w:rPr>
      <w:b w:val="0"/>
    </w:rPr>
  </w:style>
  <w:style w:type="paragraph" w:styleId="TOC3">
    <w:name w:val="toc 3"/>
    <w:basedOn w:val="TOC2"/>
    <w:rsid w:val="00EF682F"/>
    <w:pPr>
      <w:spacing w:before="60"/>
      <w:ind w:left="1190" w:hanging="680"/>
    </w:pPr>
  </w:style>
  <w:style w:type="paragraph" w:styleId="TableofFigures">
    <w:name w:val="table of figures"/>
    <w:basedOn w:val="TOC3"/>
    <w:next w:val="BodyText"/>
    <w:semiHidden/>
    <w:rsid w:val="00EF682F"/>
    <w:pPr>
      <w:ind w:left="737" w:hanging="737"/>
    </w:pPr>
  </w:style>
  <w:style w:type="paragraph" w:customStyle="1" w:styleId="TableTitle">
    <w:name w:val="Table Title"/>
    <w:basedOn w:val="Caption"/>
    <w:next w:val="Subtitle"/>
    <w:link w:val="TableTitleChar"/>
    <w:qFormat/>
    <w:rsid w:val="00EF682F"/>
    <w:pPr>
      <w:spacing w:before="120"/>
    </w:pPr>
  </w:style>
  <w:style w:type="paragraph" w:customStyle="1" w:styleId="TableUnitsRow">
    <w:name w:val="Table Units Row"/>
    <w:basedOn w:val="TableBodyText"/>
    <w:rsid w:val="00EF682F"/>
    <w:pPr>
      <w:spacing w:before="40"/>
    </w:pPr>
  </w:style>
  <w:style w:type="paragraph" w:styleId="TOC1">
    <w:name w:val="toc 1"/>
    <w:basedOn w:val="Normal"/>
    <w:next w:val="TOC2"/>
    <w:link w:val="TOC1Char"/>
    <w:rsid w:val="00EF682F"/>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EF682F"/>
    <w:pPr>
      <w:ind w:left="1191" w:firstLine="0"/>
    </w:pPr>
  </w:style>
  <w:style w:type="character" w:styleId="Hyperlink">
    <w:name w:val="Hyperlink"/>
    <w:uiPriority w:val="99"/>
    <w:rsid w:val="006100DD"/>
    <w:rPr>
      <w:color w:val="0000FF"/>
      <w:u w:val="single"/>
    </w:rPr>
  </w:style>
  <w:style w:type="paragraph" w:styleId="BalloonText">
    <w:name w:val="Balloon Text"/>
    <w:basedOn w:val="Normal"/>
    <w:link w:val="BalloonTextChar"/>
    <w:rsid w:val="00EF682F"/>
    <w:rPr>
      <w:rFonts w:ascii="Tahoma" w:hAnsi="Tahoma" w:cs="Tahoma"/>
      <w:sz w:val="16"/>
      <w:szCs w:val="16"/>
    </w:rPr>
  </w:style>
  <w:style w:type="table" w:styleId="TableGrid">
    <w:name w:val="Table Grid"/>
    <w:basedOn w:val="TableNormal"/>
    <w:rsid w:val="00EF68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aliases w:val="new legislation style Char1,Body Text Char1 Char Char1,Body Text Char Char Char Char1,Body Text Char1 Char Char Char Char1,Body Text Char Char Char Char Char1 Char1,Body Text Char2 Char1 Char Char Char Char Char Char1"/>
    <w:basedOn w:val="DefaultParagraphFont"/>
    <w:link w:val="BodyText"/>
    <w:rsid w:val="00EF682F"/>
    <w:rPr>
      <w:sz w:val="24"/>
    </w:rPr>
  </w:style>
  <w:style w:type="character" w:customStyle="1" w:styleId="BoxContinuedChar">
    <w:name w:val="Box Continued Char"/>
    <w:link w:val="BoxContinued"/>
    <w:semiHidden/>
    <w:rsid w:val="00910676"/>
    <w:rPr>
      <w:rFonts w:ascii="Arial" w:hAnsi="Arial"/>
      <w:sz w:val="18"/>
    </w:rPr>
  </w:style>
  <w:style w:type="character" w:customStyle="1" w:styleId="ContinuedChar">
    <w:name w:val="Continued Char"/>
    <w:basedOn w:val="BoxContinuedChar"/>
    <w:link w:val="Continued"/>
    <w:rsid w:val="00910676"/>
    <w:rPr>
      <w:rFonts w:ascii="Arial" w:hAnsi="Arial"/>
      <w:sz w:val="18"/>
    </w:rPr>
  </w:style>
  <w:style w:type="character" w:customStyle="1" w:styleId="NoteChar">
    <w:name w:val="Note Char"/>
    <w:link w:val="Note"/>
    <w:rsid w:val="00F00DEF"/>
    <w:rPr>
      <w:rFonts w:ascii="Arial" w:hAnsi="Arial"/>
      <w:sz w:val="18"/>
    </w:rPr>
  </w:style>
  <w:style w:type="character" w:customStyle="1" w:styleId="TableBodyTextChar">
    <w:name w:val="Table Body Text Char"/>
    <w:link w:val="TableBodyText"/>
    <w:rsid w:val="0027625B"/>
    <w:rPr>
      <w:rFonts w:ascii="Arial" w:hAnsi="Arial"/>
      <w:sz w:val="18"/>
    </w:rPr>
  </w:style>
  <w:style w:type="character" w:customStyle="1" w:styleId="TableColumnHeadingChar">
    <w:name w:val="Table Column Heading Char"/>
    <w:link w:val="TableColumnHeading"/>
    <w:rsid w:val="0027625B"/>
    <w:rPr>
      <w:rFonts w:ascii="Arial" w:hAnsi="Arial"/>
      <w:i/>
      <w:sz w:val="18"/>
    </w:rPr>
  </w:style>
  <w:style w:type="paragraph" w:styleId="CommentSubject">
    <w:name w:val="annotation subject"/>
    <w:basedOn w:val="CommentText"/>
    <w:next w:val="CommentText"/>
    <w:semiHidden/>
    <w:rsid w:val="004F2AD4"/>
    <w:pPr>
      <w:spacing w:before="0" w:line="240" w:lineRule="auto"/>
      <w:ind w:left="0" w:firstLine="0"/>
    </w:pPr>
    <w:rPr>
      <w:b/>
      <w:bCs/>
      <w:szCs w:val="20"/>
    </w:rPr>
  </w:style>
  <w:style w:type="character" w:customStyle="1" w:styleId="ListBulletChar">
    <w:name w:val="List Bullet Char"/>
    <w:aliases w:val="List Bullet Char1 Char,List Bullet Char Char Char,List Bullet Char1 Char Char Char"/>
    <w:link w:val="ListBullet"/>
    <w:rsid w:val="00F71D8F"/>
    <w:rPr>
      <w:sz w:val="24"/>
    </w:rPr>
  </w:style>
  <w:style w:type="character" w:customStyle="1" w:styleId="newlegislationstyleChar">
    <w:name w:val="new legislation style Char"/>
    <w:aliases w:val="Body Text Char1 Char Char,Body Text Char Char Char Char,Body Text Char1 Char Char Char Char,Body Text Char Char Char Char Char1 Char,Body Text Char2 Char1 Char Char Char Char Char Char,Body Text Char2 Char Char"/>
    <w:rsid w:val="00801C91"/>
    <w:rPr>
      <w:sz w:val="26"/>
      <w:lang w:val="en-AU" w:eastAsia="en-AU" w:bidi="ar-SA"/>
    </w:rPr>
  </w:style>
  <w:style w:type="character" w:customStyle="1" w:styleId="SubtitleChar">
    <w:name w:val="Subtitle Char"/>
    <w:basedOn w:val="DefaultParagraphFont"/>
    <w:link w:val="Subtitle"/>
    <w:rsid w:val="00EF682F"/>
    <w:rPr>
      <w:rFonts w:ascii="Arial" w:hAnsi="Arial"/>
      <w:szCs w:val="24"/>
    </w:rPr>
  </w:style>
  <w:style w:type="paragraph" w:customStyle="1" w:styleId="RecBBullet2">
    <w:name w:val="RecB Bullet 2"/>
    <w:basedOn w:val="ListBullet2"/>
    <w:semiHidden/>
    <w:rsid w:val="00EF682F"/>
    <w:pPr>
      <w:pBdr>
        <w:left w:val="single" w:sz="24" w:space="29" w:color="C0C0C0"/>
      </w:pBdr>
    </w:pPr>
    <w:rPr>
      <w:b/>
      <w:i/>
    </w:rPr>
  </w:style>
  <w:style w:type="character" w:customStyle="1" w:styleId="BalloonTextChar">
    <w:name w:val="Balloon Text Char"/>
    <w:basedOn w:val="DefaultParagraphFont"/>
    <w:link w:val="BalloonText"/>
    <w:rsid w:val="00EF682F"/>
    <w:rPr>
      <w:rFonts w:ascii="Tahoma" w:hAnsi="Tahoma" w:cs="Tahoma"/>
      <w:sz w:val="16"/>
      <w:szCs w:val="16"/>
    </w:rPr>
  </w:style>
  <w:style w:type="paragraph" w:customStyle="1" w:styleId="BoxListBullet3">
    <w:name w:val="Box List Bullet 3"/>
    <w:basedOn w:val="ListBullet3"/>
    <w:rsid w:val="00EF682F"/>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EF682F"/>
    <w:rPr>
      <w:i/>
      <w:iCs/>
    </w:rPr>
  </w:style>
  <w:style w:type="paragraph" w:customStyle="1" w:styleId="BoxQuoteBullet">
    <w:name w:val="Box Quote Bullet"/>
    <w:basedOn w:val="BoxQuote"/>
    <w:next w:val="Box"/>
    <w:rsid w:val="00EF682F"/>
    <w:pPr>
      <w:numPr>
        <w:numId w:val="16"/>
      </w:numPr>
      <w:ind w:left="568" w:hanging="284"/>
    </w:pPr>
  </w:style>
  <w:style w:type="paragraph" w:customStyle="1" w:styleId="InformationRequestBullet">
    <w:name w:val="Information Request Bullet"/>
    <w:basedOn w:val="ListBullet"/>
    <w:next w:val="BodyText"/>
    <w:rsid w:val="00EF682F"/>
    <w:pPr>
      <w:numPr>
        <w:numId w:val="17"/>
      </w:numPr>
      <w:spacing w:before="80" w:line="280" w:lineRule="atLeast"/>
      <w:ind w:left="357" w:hanging="357"/>
    </w:pPr>
    <w:rPr>
      <w:rFonts w:ascii="Arial" w:hAnsi="Arial"/>
      <w:i/>
      <w:sz w:val="22"/>
    </w:rPr>
  </w:style>
  <w:style w:type="paragraph" w:styleId="EndnoteText">
    <w:name w:val="endnote text"/>
    <w:basedOn w:val="Normal"/>
    <w:link w:val="EndnoteTextChar"/>
    <w:rsid w:val="004C7183"/>
    <w:rPr>
      <w:sz w:val="20"/>
      <w:szCs w:val="20"/>
    </w:rPr>
  </w:style>
  <w:style w:type="character" w:customStyle="1" w:styleId="EndnoteTextChar">
    <w:name w:val="Endnote Text Char"/>
    <w:basedOn w:val="DefaultParagraphFont"/>
    <w:link w:val="EndnoteText"/>
    <w:rsid w:val="004C7183"/>
  </w:style>
  <w:style w:type="character" w:styleId="EndnoteReference">
    <w:name w:val="endnote reference"/>
    <w:basedOn w:val="DefaultParagraphFont"/>
    <w:rsid w:val="004C7183"/>
    <w:rPr>
      <w:vertAlign w:val="superscript"/>
    </w:rPr>
  </w:style>
  <w:style w:type="character" w:customStyle="1" w:styleId="CommentTextChar">
    <w:name w:val="Comment Text Char"/>
    <w:basedOn w:val="DefaultParagraphFont"/>
    <w:link w:val="CommentText"/>
    <w:semiHidden/>
    <w:rsid w:val="008C2A33"/>
    <w:rPr>
      <w:szCs w:val="24"/>
    </w:rPr>
  </w:style>
  <w:style w:type="paragraph" w:customStyle="1" w:styleId="BoxSpaceAbove">
    <w:name w:val="Box Space Above"/>
    <w:basedOn w:val="BodyText"/>
    <w:rsid w:val="00EF682F"/>
    <w:pPr>
      <w:keepNext/>
      <w:spacing w:before="360" w:line="80" w:lineRule="exact"/>
      <w:jc w:val="left"/>
    </w:pPr>
  </w:style>
  <w:style w:type="paragraph" w:customStyle="1" w:styleId="BoxSpaceBelow">
    <w:name w:val="Box Space Below"/>
    <w:basedOn w:val="Box"/>
    <w:rsid w:val="00EF682F"/>
    <w:pPr>
      <w:keepNext w:val="0"/>
      <w:spacing w:before="60" w:after="60" w:line="80" w:lineRule="exact"/>
    </w:pPr>
    <w:rPr>
      <w:sz w:val="14"/>
    </w:rPr>
  </w:style>
  <w:style w:type="paragraph" w:customStyle="1" w:styleId="DHSBulletText">
    <w:name w:val="DHS Bullet Text"/>
    <w:basedOn w:val="Normal"/>
    <w:rsid w:val="00B77B55"/>
    <w:pPr>
      <w:numPr>
        <w:numId w:val="21"/>
      </w:numPr>
      <w:spacing w:after="200" w:line="276" w:lineRule="auto"/>
    </w:pPr>
    <w:rPr>
      <w:rFonts w:asciiTheme="minorHAnsi" w:eastAsiaTheme="minorHAnsi" w:hAnsiTheme="minorHAnsi" w:cstheme="minorBidi"/>
      <w:sz w:val="22"/>
      <w:szCs w:val="22"/>
    </w:rPr>
  </w:style>
  <w:style w:type="character" w:customStyle="1" w:styleId="s2">
    <w:name w:val="s2"/>
    <w:basedOn w:val="DefaultParagraphFont"/>
    <w:rsid w:val="008875A6"/>
  </w:style>
  <w:style w:type="paragraph" w:customStyle="1" w:styleId="KeyPointsListBullet">
    <w:name w:val="Key Points List Bullet"/>
    <w:basedOn w:val="Normal"/>
    <w:qFormat/>
    <w:rsid w:val="00EF682F"/>
    <w:pPr>
      <w:keepNext/>
      <w:numPr>
        <w:numId w:val="22"/>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EF682F"/>
    <w:pPr>
      <w:numPr>
        <w:numId w:val="23"/>
      </w:numPr>
      <w:ind w:left="568" w:hanging="284"/>
    </w:pPr>
  </w:style>
  <w:style w:type="paragraph" w:customStyle="1" w:styleId="InformationRequestTitle">
    <w:name w:val="Information Request Title"/>
    <w:basedOn w:val="FindingTitle"/>
    <w:next w:val="InformationRequest"/>
    <w:rsid w:val="00EF682F"/>
    <w:rPr>
      <w:i/>
    </w:rPr>
  </w:style>
  <w:style w:type="paragraph" w:customStyle="1" w:styleId="Space">
    <w:name w:val="Space"/>
    <w:basedOn w:val="Normal"/>
    <w:rsid w:val="00EF682F"/>
    <w:pPr>
      <w:keepNext/>
      <w:spacing w:line="120" w:lineRule="exact"/>
      <w:jc w:val="both"/>
    </w:pPr>
    <w:rPr>
      <w:rFonts w:ascii="Arial" w:hAnsi="Arial"/>
      <w:sz w:val="20"/>
      <w:szCs w:val="20"/>
    </w:rPr>
  </w:style>
  <w:style w:type="paragraph" w:customStyle="1" w:styleId="Heading1nochapterno">
    <w:name w:val="Heading 1 (no chapter no.)"/>
    <w:basedOn w:val="Heading1"/>
    <w:rsid w:val="00EF682F"/>
    <w:pPr>
      <w:spacing w:before="0"/>
      <w:ind w:left="0" w:firstLine="0"/>
    </w:pPr>
  </w:style>
  <w:style w:type="paragraph" w:customStyle="1" w:styleId="Heading2nosectionno">
    <w:name w:val="Heading 2 (no section no.)"/>
    <w:basedOn w:val="Heading2"/>
    <w:rsid w:val="00EF682F"/>
    <w:pPr>
      <w:ind w:left="0" w:firstLine="0"/>
    </w:pPr>
  </w:style>
  <w:style w:type="character" w:customStyle="1" w:styleId="Heading5Char">
    <w:name w:val="Heading 5 Char"/>
    <w:basedOn w:val="DefaultParagraphFont"/>
    <w:link w:val="Heading5"/>
    <w:rsid w:val="00EF682F"/>
    <w:rPr>
      <w:rFonts w:ascii="Arial" w:hAnsi="Arial"/>
      <w:i/>
      <w:sz w:val="22"/>
    </w:rPr>
  </w:style>
  <w:style w:type="paragraph" w:customStyle="1" w:styleId="Figurespace">
    <w:name w:val="Figure space"/>
    <w:basedOn w:val="Box"/>
    <w:rsid w:val="00EF682F"/>
    <w:pPr>
      <w:spacing w:before="0" w:line="120" w:lineRule="exact"/>
    </w:pPr>
  </w:style>
  <w:style w:type="paragraph" w:customStyle="1" w:styleId="FooterDraftReport">
    <w:name w:val="FooterDraftReport"/>
    <w:basedOn w:val="Footer"/>
    <w:link w:val="FooterDraftReportChar"/>
    <w:rsid w:val="00EF682F"/>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EF682F"/>
    <w:rPr>
      <w:rFonts w:ascii="Arial" w:hAnsi="Arial"/>
      <w:caps/>
      <w:spacing w:val="-4"/>
      <w:sz w:val="16"/>
    </w:rPr>
  </w:style>
  <w:style w:type="character" w:customStyle="1" w:styleId="FooterDraftReportChar">
    <w:name w:val="FooterDraftReport Char"/>
    <w:basedOn w:val="FooterChar"/>
    <w:link w:val="FooterDraftReport"/>
    <w:rsid w:val="00EF682F"/>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EF682F"/>
    <w:rPr>
      <w:rFonts w:ascii="Arial" w:hAnsi="Arial"/>
      <w:b/>
      <w:sz w:val="26"/>
      <w:szCs w:val="26"/>
      <w:lang w:eastAsia="en-US"/>
    </w:rPr>
  </w:style>
  <w:style w:type="character" w:customStyle="1" w:styleId="Heading1Char">
    <w:name w:val="Heading 1 Char"/>
    <w:basedOn w:val="DefaultParagraphFont"/>
    <w:link w:val="Heading1"/>
    <w:rsid w:val="00EB3500"/>
    <w:rPr>
      <w:sz w:val="52"/>
    </w:rPr>
  </w:style>
  <w:style w:type="paragraph" w:customStyle="1" w:styleId="Heading1NotTOC">
    <w:name w:val="Heading 1 Not TOC"/>
    <w:basedOn w:val="Heading1"/>
    <w:next w:val="BodyText"/>
    <w:rsid w:val="00EB3500"/>
    <w:rPr>
      <w:kern w:val="28"/>
      <w:szCs w:val="26"/>
      <w:lang w:eastAsia="en-US"/>
    </w:rPr>
  </w:style>
  <w:style w:type="paragraph" w:styleId="ListParagraph">
    <w:name w:val="List Paragraph"/>
    <w:basedOn w:val="Normal"/>
    <w:uiPriority w:val="34"/>
    <w:qFormat/>
    <w:rsid w:val="006B01C5"/>
    <w:pPr>
      <w:ind w:left="720"/>
      <w:contextualSpacing/>
    </w:pPr>
  </w:style>
  <w:style w:type="character" w:customStyle="1" w:styleId="TableBulletChar">
    <w:name w:val="Table Bullet Char"/>
    <w:basedOn w:val="TableBodyTextChar"/>
    <w:link w:val="TableBullet"/>
    <w:rsid w:val="00F15B1D"/>
    <w:rPr>
      <w:rFonts w:ascii="Arial" w:hAnsi="Arial"/>
      <w:sz w:val="18"/>
    </w:rPr>
  </w:style>
  <w:style w:type="character" w:customStyle="1" w:styleId="BoxListBulletChar">
    <w:name w:val="Box List Bullet Char"/>
    <w:basedOn w:val="DefaultParagraphFont"/>
    <w:link w:val="BoxListBullet"/>
    <w:rsid w:val="007D22DB"/>
    <w:rPr>
      <w:rFonts w:ascii="Arial" w:hAnsi="Arial"/>
    </w:rPr>
  </w:style>
  <w:style w:type="paragraph" w:styleId="Revision">
    <w:name w:val="Revision"/>
    <w:hidden/>
    <w:uiPriority w:val="99"/>
    <w:semiHidden/>
    <w:rsid w:val="007F3A9C"/>
    <w:rPr>
      <w:sz w:val="24"/>
      <w:szCs w:val="24"/>
    </w:rPr>
  </w:style>
  <w:style w:type="character" w:customStyle="1" w:styleId="TableTitleChar">
    <w:name w:val="Table Title Char"/>
    <w:link w:val="TableTitle"/>
    <w:locked/>
    <w:rsid w:val="00BD4E8F"/>
    <w:rPr>
      <w:rFonts w:ascii="Arial" w:hAnsi="Arial"/>
      <w:b/>
      <w:sz w:val="24"/>
      <w:szCs w:val="24"/>
    </w:rPr>
  </w:style>
  <w:style w:type="character" w:customStyle="1" w:styleId="SourceChar">
    <w:name w:val="Source Char"/>
    <w:link w:val="Source"/>
    <w:rsid w:val="00BD4E8F"/>
    <w:rPr>
      <w:rFonts w:ascii="Arial" w:hAnsi="Arial"/>
      <w:sz w:val="18"/>
    </w:rPr>
  </w:style>
  <w:style w:type="character" w:customStyle="1" w:styleId="BoxChar">
    <w:name w:val="Box Char"/>
    <w:link w:val="Box"/>
    <w:rsid w:val="00BD4E8F"/>
    <w:rPr>
      <w:rFonts w:ascii="Arial" w:hAnsi="Arial"/>
    </w:rPr>
  </w:style>
  <w:style w:type="character" w:customStyle="1" w:styleId="Heading3Char">
    <w:name w:val="Heading 3 Char"/>
    <w:basedOn w:val="DefaultParagraphFont"/>
    <w:link w:val="Heading3"/>
    <w:rsid w:val="0065490B"/>
    <w:rPr>
      <w:rFonts w:ascii="Arial" w:hAnsi="Arial"/>
      <w:b/>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43701">
      <w:bodyDiv w:val="1"/>
      <w:marLeft w:val="0"/>
      <w:marRight w:val="0"/>
      <w:marTop w:val="0"/>
      <w:marBottom w:val="0"/>
      <w:divBdr>
        <w:top w:val="none" w:sz="0" w:space="0" w:color="auto"/>
        <w:left w:val="none" w:sz="0" w:space="0" w:color="auto"/>
        <w:bottom w:val="none" w:sz="0" w:space="0" w:color="auto"/>
        <w:right w:val="none" w:sz="0" w:space="0" w:color="auto"/>
      </w:divBdr>
    </w:div>
    <w:div w:id="107509071">
      <w:bodyDiv w:val="1"/>
      <w:marLeft w:val="0"/>
      <w:marRight w:val="0"/>
      <w:marTop w:val="0"/>
      <w:marBottom w:val="0"/>
      <w:divBdr>
        <w:top w:val="none" w:sz="0" w:space="0" w:color="auto"/>
        <w:left w:val="none" w:sz="0" w:space="0" w:color="auto"/>
        <w:bottom w:val="none" w:sz="0" w:space="0" w:color="auto"/>
        <w:right w:val="none" w:sz="0" w:space="0" w:color="auto"/>
      </w:divBdr>
    </w:div>
    <w:div w:id="475294566">
      <w:bodyDiv w:val="1"/>
      <w:marLeft w:val="0"/>
      <w:marRight w:val="0"/>
      <w:marTop w:val="0"/>
      <w:marBottom w:val="0"/>
      <w:divBdr>
        <w:top w:val="none" w:sz="0" w:space="0" w:color="auto"/>
        <w:left w:val="none" w:sz="0" w:space="0" w:color="auto"/>
        <w:bottom w:val="none" w:sz="0" w:space="0" w:color="auto"/>
        <w:right w:val="none" w:sz="0" w:space="0" w:color="auto"/>
      </w:divBdr>
    </w:div>
    <w:div w:id="652179379">
      <w:bodyDiv w:val="1"/>
      <w:marLeft w:val="0"/>
      <w:marRight w:val="0"/>
      <w:marTop w:val="0"/>
      <w:marBottom w:val="0"/>
      <w:divBdr>
        <w:top w:val="none" w:sz="0" w:space="0" w:color="auto"/>
        <w:left w:val="none" w:sz="0" w:space="0" w:color="auto"/>
        <w:bottom w:val="none" w:sz="0" w:space="0" w:color="auto"/>
        <w:right w:val="none" w:sz="0" w:space="0" w:color="auto"/>
      </w:divBdr>
    </w:div>
    <w:div w:id="670913753">
      <w:bodyDiv w:val="1"/>
      <w:marLeft w:val="0"/>
      <w:marRight w:val="0"/>
      <w:marTop w:val="0"/>
      <w:marBottom w:val="0"/>
      <w:divBdr>
        <w:top w:val="none" w:sz="0" w:space="0" w:color="auto"/>
        <w:left w:val="none" w:sz="0" w:space="0" w:color="auto"/>
        <w:bottom w:val="none" w:sz="0" w:space="0" w:color="auto"/>
        <w:right w:val="none" w:sz="0" w:space="0" w:color="auto"/>
      </w:divBdr>
    </w:div>
    <w:div w:id="795561868">
      <w:bodyDiv w:val="1"/>
      <w:marLeft w:val="0"/>
      <w:marRight w:val="0"/>
      <w:marTop w:val="0"/>
      <w:marBottom w:val="0"/>
      <w:divBdr>
        <w:top w:val="none" w:sz="0" w:space="0" w:color="auto"/>
        <w:left w:val="none" w:sz="0" w:space="0" w:color="auto"/>
        <w:bottom w:val="none" w:sz="0" w:space="0" w:color="auto"/>
        <w:right w:val="none" w:sz="0" w:space="0" w:color="auto"/>
      </w:divBdr>
    </w:div>
    <w:div w:id="843398504">
      <w:bodyDiv w:val="1"/>
      <w:marLeft w:val="0"/>
      <w:marRight w:val="0"/>
      <w:marTop w:val="0"/>
      <w:marBottom w:val="0"/>
      <w:divBdr>
        <w:top w:val="none" w:sz="0" w:space="0" w:color="auto"/>
        <w:left w:val="none" w:sz="0" w:space="0" w:color="auto"/>
        <w:bottom w:val="none" w:sz="0" w:space="0" w:color="auto"/>
        <w:right w:val="none" w:sz="0" w:space="0" w:color="auto"/>
      </w:divBdr>
    </w:div>
    <w:div w:id="855728601">
      <w:bodyDiv w:val="1"/>
      <w:marLeft w:val="0"/>
      <w:marRight w:val="0"/>
      <w:marTop w:val="0"/>
      <w:marBottom w:val="0"/>
      <w:divBdr>
        <w:top w:val="none" w:sz="0" w:space="0" w:color="auto"/>
        <w:left w:val="none" w:sz="0" w:space="0" w:color="auto"/>
        <w:bottom w:val="none" w:sz="0" w:space="0" w:color="auto"/>
        <w:right w:val="none" w:sz="0" w:space="0" w:color="auto"/>
      </w:divBdr>
    </w:div>
    <w:div w:id="862595191">
      <w:bodyDiv w:val="1"/>
      <w:marLeft w:val="0"/>
      <w:marRight w:val="0"/>
      <w:marTop w:val="0"/>
      <w:marBottom w:val="0"/>
      <w:divBdr>
        <w:top w:val="none" w:sz="0" w:space="0" w:color="auto"/>
        <w:left w:val="none" w:sz="0" w:space="0" w:color="auto"/>
        <w:bottom w:val="none" w:sz="0" w:space="0" w:color="auto"/>
        <w:right w:val="none" w:sz="0" w:space="0" w:color="auto"/>
      </w:divBdr>
    </w:div>
    <w:div w:id="867794051">
      <w:bodyDiv w:val="1"/>
      <w:marLeft w:val="0"/>
      <w:marRight w:val="0"/>
      <w:marTop w:val="0"/>
      <w:marBottom w:val="0"/>
      <w:divBdr>
        <w:top w:val="none" w:sz="0" w:space="0" w:color="auto"/>
        <w:left w:val="none" w:sz="0" w:space="0" w:color="auto"/>
        <w:bottom w:val="none" w:sz="0" w:space="0" w:color="auto"/>
        <w:right w:val="none" w:sz="0" w:space="0" w:color="auto"/>
      </w:divBdr>
    </w:div>
    <w:div w:id="1037661686">
      <w:bodyDiv w:val="1"/>
      <w:marLeft w:val="0"/>
      <w:marRight w:val="0"/>
      <w:marTop w:val="0"/>
      <w:marBottom w:val="0"/>
      <w:divBdr>
        <w:top w:val="none" w:sz="0" w:space="0" w:color="auto"/>
        <w:left w:val="none" w:sz="0" w:space="0" w:color="auto"/>
        <w:bottom w:val="none" w:sz="0" w:space="0" w:color="auto"/>
        <w:right w:val="none" w:sz="0" w:space="0" w:color="auto"/>
      </w:divBdr>
    </w:div>
    <w:div w:id="1127433710">
      <w:bodyDiv w:val="1"/>
      <w:marLeft w:val="0"/>
      <w:marRight w:val="0"/>
      <w:marTop w:val="0"/>
      <w:marBottom w:val="0"/>
      <w:divBdr>
        <w:top w:val="none" w:sz="0" w:space="0" w:color="auto"/>
        <w:left w:val="none" w:sz="0" w:space="0" w:color="auto"/>
        <w:bottom w:val="none" w:sz="0" w:space="0" w:color="auto"/>
        <w:right w:val="none" w:sz="0" w:space="0" w:color="auto"/>
      </w:divBdr>
    </w:div>
    <w:div w:id="1130053491">
      <w:bodyDiv w:val="1"/>
      <w:marLeft w:val="0"/>
      <w:marRight w:val="0"/>
      <w:marTop w:val="0"/>
      <w:marBottom w:val="0"/>
      <w:divBdr>
        <w:top w:val="none" w:sz="0" w:space="0" w:color="auto"/>
        <w:left w:val="none" w:sz="0" w:space="0" w:color="auto"/>
        <w:bottom w:val="none" w:sz="0" w:space="0" w:color="auto"/>
        <w:right w:val="none" w:sz="0" w:space="0" w:color="auto"/>
      </w:divBdr>
    </w:div>
    <w:div w:id="1141582687">
      <w:bodyDiv w:val="1"/>
      <w:marLeft w:val="0"/>
      <w:marRight w:val="0"/>
      <w:marTop w:val="0"/>
      <w:marBottom w:val="0"/>
      <w:divBdr>
        <w:top w:val="none" w:sz="0" w:space="0" w:color="auto"/>
        <w:left w:val="none" w:sz="0" w:space="0" w:color="auto"/>
        <w:bottom w:val="none" w:sz="0" w:space="0" w:color="auto"/>
        <w:right w:val="none" w:sz="0" w:space="0" w:color="auto"/>
      </w:divBdr>
    </w:div>
    <w:div w:id="1226838188">
      <w:bodyDiv w:val="1"/>
      <w:marLeft w:val="0"/>
      <w:marRight w:val="0"/>
      <w:marTop w:val="0"/>
      <w:marBottom w:val="0"/>
      <w:divBdr>
        <w:top w:val="none" w:sz="0" w:space="0" w:color="auto"/>
        <w:left w:val="none" w:sz="0" w:space="0" w:color="auto"/>
        <w:bottom w:val="none" w:sz="0" w:space="0" w:color="auto"/>
        <w:right w:val="none" w:sz="0" w:space="0" w:color="auto"/>
      </w:divBdr>
    </w:div>
    <w:div w:id="1233196948">
      <w:bodyDiv w:val="1"/>
      <w:marLeft w:val="0"/>
      <w:marRight w:val="0"/>
      <w:marTop w:val="0"/>
      <w:marBottom w:val="0"/>
      <w:divBdr>
        <w:top w:val="none" w:sz="0" w:space="0" w:color="auto"/>
        <w:left w:val="none" w:sz="0" w:space="0" w:color="auto"/>
        <w:bottom w:val="none" w:sz="0" w:space="0" w:color="auto"/>
        <w:right w:val="none" w:sz="0" w:space="0" w:color="auto"/>
      </w:divBdr>
    </w:div>
    <w:div w:id="1236167482">
      <w:bodyDiv w:val="1"/>
      <w:marLeft w:val="0"/>
      <w:marRight w:val="0"/>
      <w:marTop w:val="0"/>
      <w:marBottom w:val="0"/>
      <w:divBdr>
        <w:top w:val="none" w:sz="0" w:space="0" w:color="auto"/>
        <w:left w:val="none" w:sz="0" w:space="0" w:color="auto"/>
        <w:bottom w:val="none" w:sz="0" w:space="0" w:color="auto"/>
        <w:right w:val="none" w:sz="0" w:space="0" w:color="auto"/>
      </w:divBdr>
      <w:divsChild>
        <w:div w:id="362170702">
          <w:marLeft w:val="0"/>
          <w:marRight w:val="0"/>
          <w:marTop w:val="0"/>
          <w:marBottom w:val="0"/>
          <w:divBdr>
            <w:top w:val="none" w:sz="0" w:space="0" w:color="auto"/>
            <w:left w:val="none" w:sz="0" w:space="0" w:color="auto"/>
            <w:bottom w:val="none" w:sz="0" w:space="0" w:color="auto"/>
            <w:right w:val="none" w:sz="0" w:space="0" w:color="auto"/>
          </w:divBdr>
          <w:divsChild>
            <w:div w:id="653333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853794">
      <w:bodyDiv w:val="1"/>
      <w:marLeft w:val="0"/>
      <w:marRight w:val="0"/>
      <w:marTop w:val="0"/>
      <w:marBottom w:val="0"/>
      <w:divBdr>
        <w:top w:val="none" w:sz="0" w:space="0" w:color="auto"/>
        <w:left w:val="none" w:sz="0" w:space="0" w:color="auto"/>
        <w:bottom w:val="none" w:sz="0" w:space="0" w:color="auto"/>
        <w:right w:val="none" w:sz="0" w:space="0" w:color="auto"/>
      </w:divBdr>
    </w:div>
    <w:div w:id="1376931840">
      <w:bodyDiv w:val="1"/>
      <w:marLeft w:val="0"/>
      <w:marRight w:val="0"/>
      <w:marTop w:val="0"/>
      <w:marBottom w:val="0"/>
      <w:divBdr>
        <w:top w:val="none" w:sz="0" w:space="0" w:color="auto"/>
        <w:left w:val="none" w:sz="0" w:space="0" w:color="auto"/>
        <w:bottom w:val="none" w:sz="0" w:space="0" w:color="auto"/>
        <w:right w:val="none" w:sz="0" w:space="0" w:color="auto"/>
      </w:divBdr>
    </w:div>
    <w:div w:id="1565680489">
      <w:bodyDiv w:val="1"/>
      <w:marLeft w:val="0"/>
      <w:marRight w:val="0"/>
      <w:marTop w:val="0"/>
      <w:marBottom w:val="0"/>
      <w:divBdr>
        <w:top w:val="none" w:sz="0" w:space="0" w:color="auto"/>
        <w:left w:val="none" w:sz="0" w:space="0" w:color="auto"/>
        <w:bottom w:val="none" w:sz="0" w:space="0" w:color="auto"/>
        <w:right w:val="none" w:sz="0" w:space="0" w:color="auto"/>
      </w:divBdr>
    </w:div>
    <w:div w:id="1603801193">
      <w:bodyDiv w:val="1"/>
      <w:marLeft w:val="0"/>
      <w:marRight w:val="0"/>
      <w:marTop w:val="0"/>
      <w:marBottom w:val="0"/>
      <w:divBdr>
        <w:top w:val="none" w:sz="0" w:space="0" w:color="auto"/>
        <w:left w:val="none" w:sz="0" w:space="0" w:color="auto"/>
        <w:bottom w:val="none" w:sz="0" w:space="0" w:color="auto"/>
        <w:right w:val="none" w:sz="0" w:space="0" w:color="auto"/>
      </w:divBdr>
    </w:div>
    <w:div w:id="1631670262">
      <w:bodyDiv w:val="1"/>
      <w:marLeft w:val="0"/>
      <w:marRight w:val="0"/>
      <w:marTop w:val="0"/>
      <w:marBottom w:val="0"/>
      <w:divBdr>
        <w:top w:val="none" w:sz="0" w:space="0" w:color="auto"/>
        <w:left w:val="none" w:sz="0" w:space="0" w:color="auto"/>
        <w:bottom w:val="none" w:sz="0" w:space="0" w:color="auto"/>
        <w:right w:val="none" w:sz="0" w:space="0" w:color="auto"/>
      </w:divBdr>
    </w:div>
    <w:div w:id="1787775822">
      <w:bodyDiv w:val="1"/>
      <w:marLeft w:val="0"/>
      <w:marRight w:val="0"/>
      <w:marTop w:val="0"/>
      <w:marBottom w:val="0"/>
      <w:divBdr>
        <w:top w:val="none" w:sz="0" w:space="0" w:color="auto"/>
        <w:left w:val="none" w:sz="0" w:space="0" w:color="auto"/>
        <w:bottom w:val="none" w:sz="0" w:space="0" w:color="auto"/>
        <w:right w:val="none" w:sz="0" w:space="0" w:color="auto"/>
      </w:divBdr>
    </w:div>
    <w:div w:id="1885169696">
      <w:bodyDiv w:val="1"/>
      <w:marLeft w:val="0"/>
      <w:marRight w:val="0"/>
      <w:marTop w:val="0"/>
      <w:marBottom w:val="0"/>
      <w:divBdr>
        <w:top w:val="none" w:sz="0" w:space="0" w:color="auto"/>
        <w:left w:val="none" w:sz="0" w:space="0" w:color="auto"/>
        <w:bottom w:val="none" w:sz="0" w:space="0" w:color="auto"/>
        <w:right w:val="none" w:sz="0" w:space="0" w:color="auto"/>
      </w:divBdr>
    </w:div>
    <w:div w:id="1911192078">
      <w:bodyDiv w:val="1"/>
      <w:marLeft w:val="0"/>
      <w:marRight w:val="0"/>
      <w:marTop w:val="0"/>
      <w:marBottom w:val="0"/>
      <w:divBdr>
        <w:top w:val="none" w:sz="0" w:space="0" w:color="auto"/>
        <w:left w:val="none" w:sz="0" w:space="0" w:color="auto"/>
        <w:bottom w:val="none" w:sz="0" w:space="0" w:color="auto"/>
        <w:right w:val="none" w:sz="0" w:space="0" w:color="auto"/>
      </w:divBdr>
    </w:div>
    <w:div w:id="2040542203">
      <w:bodyDiv w:val="1"/>
      <w:marLeft w:val="0"/>
      <w:marRight w:val="0"/>
      <w:marTop w:val="0"/>
      <w:marBottom w:val="0"/>
      <w:divBdr>
        <w:top w:val="none" w:sz="0" w:space="0" w:color="auto"/>
        <w:left w:val="none" w:sz="0" w:space="0" w:color="auto"/>
        <w:bottom w:val="none" w:sz="0" w:space="0" w:color="auto"/>
        <w:right w:val="none" w:sz="0" w:space="0" w:color="auto"/>
      </w:divBdr>
    </w:div>
    <w:div w:id="2043162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image" Target="media/image31.emf"/><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image" Target="media/image26.png"/><Relationship Id="rId42"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png"/><Relationship Id="rId38" Type="http://schemas.openxmlformats.org/officeDocument/2006/relationships/image" Target="media/image30.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png"/><Relationship Id="rId32" Type="http://schemas.openxmlformats.org/officeDocument/2006/relationships/image" Target="media/image24.emf"/><Relationship Id="rId37" Type="http://schemas.openxmlformats.org/officeDocument/2006/relationships/image" Target="media/image29.emf"/><Relationship Id="rId40" Type="http://schemas.openxmlformats.org/officeDocument/2006/relationships/header" Target="header1.xm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image" Target="media/image28.png"/><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3.emf"/><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image" Target="media/image27.emf"/><Relationship Id="rId43"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922098-B5D1-42FC-9F4F-6FF3B117A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34</TotalTime>
  <Pages>46</Pages>
  <Words>13336</Words>
  <Characters>75920</Characters>
  <Application>Microsoft Office Word</Application>
  <DocSecurity>0</DocSecurity>
  <Lines>632</Lines>
  <Paragraphs>178</Paragraphs>
  <ScaleCrop>false</ScaleCrop>
  <HeadingPairs>
    <vt:vector size="2" baseType="variant">
      <vt:variant>
        <vt:lpstr>Title</vt:lpstr>
      </vt:variant>
      <vt:variant>
        <vt:i4>1</vt:i4>
      </vt:variant>
    </vt:vector>
  </HeadingPairs>
  <TitlesOfParts>
    <vt:vector size="1" baseType="lpstr">
      <vt:lpstr>Chapter 17 Housing - Report on Government Services 2016</vt:lpstr>
    </vt:vector>
  </TitlesOfParts>
  <Company>Productivity Commission</Company>
  <LinksUpToDate>false</LinksUpToDate>
  <CharactersWithSpaces>89078</CharactersWithSpaces>
  <SharedDoc>false</SharedDoc>
  <HLinks>
    <vt:vector size="450" baseType="variant">
      <vt:variant>
        <vt:i4>655418</vt:i4>
      </vt:variant>
      <vt:variant>
        <vt:i4>573</vt:i4>
      </vt:variant>
      <vt:variant>
        <vt:i4>0</vt:i4>
      </vt:variant>
      <vt:variant>
        <vt:i4>5</vt:i4>
      </vt:variant>
      <vt:variant>
        <vt:lpwstr>C:\Users\svassiliou\AppData\Local\Microsoft\Windows\Temporary Internet Files\Content.MSO\FDCE1A96.xlsm</vt:lpwstr>
      </vt:variant>
      <vt:variant>
        <vt:lpwstr>RANGE!A1</vt:lpwstr>
      </vt:variant>
      <vt:variant>
        <vt:i4>655418</vt:i4>
      </vt:variant>
      <vt:variant>
        <vt:i4>570</vt:i4>
      </vt:variant>
      <vt:variant>
        <vt:i4>0</vt:i4>
      </vt:variant>
      <vt:variant>
        <vt:i4>5</vt:i4>
      </vt:variant>
      <vt:variant>
        <vt:lpwstr>C:\Users\svassiliou\AppData\Local\Microsoft\Windows\Temporary Internet Files\Content.MSO\FDCE1A96.xlsm</vt:lpwstr>
      </vt:variant>
      <vt:variant>
        <vt:lpwstr>RANGE!A1</vt:lpwstr>
      </vt:variant>
      <vt:variant>
        <vt:i4>655418</vt:i4>
      </vt:variant>
      <vt:variant>
        <vt:i4>567</vt:i4>
      </vt:variant>
      <vt:variant>
        <vt:i4>0</vt:i4>
      </vt:variant>
      <vt:variant>
        <vt:i4>5</vt:i4>
      </vt:variant>
      <vt:variant>
        <vt:lpwstr>C:\Users\svassiliou\AppData\Local\Microsoft\Windows\Temporary Internet Files\Content.MSO\FDCE1A96.xlsm</vt:lpwstr>
      </vt:variant>
      <vt:variant>
        <vt:lpwstr>RANGE!A1</vt:lpwstr>
      </vt:variant>
      <vt:variant>
        <vt:i4>655418</vt:i4>
      </vt:variant>
      <vt:variant>
        <vt:i4>564</vt:i4>
      </vt:variant>
      <vt:variant>
        <vt:i4>0</vt:i4>
      </vt:variant>
      <vt:variant>
        <vt:i4>5</vt:i4>
      </vt:variant>
      <vt:variant>
        <vt:lpwstr>C:\Users\svassiliou\AppData\Local\Microsoft\Windows\Temporary Internet Files\Content.MSO\FDCE1A96.xlsm</vt:lpwstr>
      </vt:variant>
      <vt:variant>
        <vt:lpwstr>RANGE!A1</vt:lpwstr>
      </vt:variant>
      <vt:variant>
        <vt:i4>655418</vt:i4>
      </vt:variant>
      <vt:variant>
        <vt:i4>561</vt:i4>
      </vt:variant>
      <vt:variant>
        <vt:i4>0</vt:i4>
      </vt:variant>
      <vt:variant>
        <vt:i4>5</vt:i4>
      </vt:variant>
      <vt:variant>
        <vt:lpwstr>C:\Users\svassiliou\AppData\Local\Microsoft\Windows\Temporary Internet Files\Content.MSO\FDCE1A96.xlsm</vt:lpwstr>
      </vt:variant>
      <vt:variant>
        <vt:lpwstr>RANGE!A1</vt:lpwstr>
      </vt:variant>
      <vt:variant>
        <vt:i4>655418</vt:i4>
      </vt:variant>
      <vt:variant>
        <vt:i4>558</vt:i4>
      </vt:variant>
      <vt:variant>
        <vt:i4>0</vt:i4>
      </vt:variant>
      <vt:variant>
        <vt:i4>5</vt:i4>
      </vt:variant>
      <vt:variant>
        <vt:lpwstr>C:\Users\svassiliou\AppData\Local\Microsoft\Windows\Temporary Internet Files\Content.MSO\FDCE1A96.xlsm</vt:lpwstr>
      </vt:variant>
      <vt:variant>
        <vt:lpwstr>RANGE!A1</vt:lpwstr>
      </vt:variant>
      <vt:variant>
        <vt:i4>655418</vt:i4>
      </vt:variant>
      <vt:variant>
        <vt:i4>555</vt:i4>
      </vt:variant>
      <vt:variant>
        <vt:i4>0</vt:i4>
      </vt:variant>
      <vt:variant>
        <vt:i4>5</vt:i4>
      </vt:variant>
      <vt:variant>
        <vt:lpwstr>C:\Users\svassiliou\AppData\Local\Microsoft\Windows\Temporary Internet Files\Content.MSO\FDCE1A96.xlsm</vt:lpwstr>
      </vt:variant>
      <vt:variant>
        <vt:lpwstr>RANGE!A1</vt:lpwstr>
      </vt:variant>
      <vt:variant>
        <vt:i4>655418</vt:i4>
      </vt:variant>
      <vt:variant>
        <vt:i4>552</vt:i4>
      </vt:variant>
      <vt:variant>
        <vt:i4>0</vt:i4>
      </vt:variant>
      <vt:variant>
        <vt:i4>5</vt:i4>
      </vt:variant>
      <vt:variant>
        <vt:lpwstr>C:\Users\svassiliou\AppData\Local\Microsoft\Windows\Temporary Internet Files\Content.MSO\FDCE1A96.xlsm</vt:lpwstr>
      </vt:variant>
      <vt:variant>
        <vt:lpwstr>RANGE!A1</vt:lpwstr>
      </vt:variant>
      <vt:variant>
        <vt:i4>655418</vt:i4>
      </vt:variant>
      <vt:variant>
        <vt:i4>549</vt:i4>
      </vt:variant>
      <vt:variant>
        <vt:i4>0</vt:i4>
      </vt:variant>
      <vt:variant>
        <vt:i4>5</vt:i4>
      </vt:variant>
      <vt:variant>
        <vt:lpwstr>C:\Users\svassiliou\AppData\Local\Microsoft\Windows\Temporary Internet Files\Content.MSO\FDCE1A96.xlsm</vt:lpwstr>
      </vt:variant>
      <vt:variant>
        <vt:lpwstr>RANGE!A1</vt:lpwstr>
      </vt:variant>
      <vt:variant>
        <vt:i4>655418</vt:i4>
      </vt:variant>
      <vt:variant>
        <vt:i4>546</vt:i4>
      </vt:variant>
      <vt:variant>
        <vt:i4>0</vt:i4>
      </vt:variant>
      <vt:variant>
        <vt:i4>5</vt:i4>
      </vt:variant>
      <vt:variant>
        <vt:lpwstr>C:\Users\svassiliou\AppData\Local\Microsoft\Windows\Temporary Internet Files\Content.MSO\FDCE1A96.xlsm</vt:lpwstr>
      </vt:variant>
      <vt:variant>
        <vt:lpwstr>RANGE!A1</vt:lpwstr>
      </vt:variant>
      <vt:variant>
        <vt:i4>4980775</vt:i4>
      </vt:variant>
      <vt:variant>
        <vt:i4>543</vt:i4>
      </vt:variant>
      <vt:variant>
        <vt:i4>0</vt:i4>
      </vt:variant>
      <vt:variant>
        <vt:i4>5</vt:i4>
      </vt:variant>
      <vt:variant>
        <vt:lpwstr>C:\Users\svassiliou\AppData\Local\Microsoft\Windows\Temporary Internet Files\Content.MSO\FDCE1A96.xlsm</vt:lpwstr>
      </vt:variant>
      <vt:variant>
        <vt:lpwstr>'Table 16A.56'!A1</vt:lpwstr>
      </vt:variant>
      <vt:variant>
        <vt:i4>4980772</vt:i4>
      </vt:variant>
      <vt:variant>
        <vt:i4>540</vt:i4>
      </vt:variant>
      <vt:variant>
        <vt:i4>0</vt:i4>
      </vt:variant>
      <vt:variant>
        <vt:i4>5</vt:i4>
      </vt:variant>
      <vt:variant>
        <vt:lpwstr>C:\Users\svassiliou\AppData\Local\Microsoft\Windows\Temporary Internet Files\Content.MSO\FDCE1A96.xlsm</vt:lpwstr>
      </vt:variant>
      <vt:variant>
        <vt:lpwstr>'Table 16A.55'!A1</vt:lpwstr>
      </vt:variant>
      <vt:variant>
        <vt:i4>4980773</vt:i4>
      </vt:variant>
      <vt:variant>
        <vt:i4>537</vt:i4>
      </vt:variant>
      <vt:variant>
        <vt:i4>0</vt:i4>
      </vt:variant>
      <vt:variant>
        <vt:i4>5</vt:i4>
      </vt:variant>
      <vt:variant>
        <vt:lpwstr>C:\Users\svassiliou\AppData\Local\Microsoft\Windows\Temporary Internet Files\Content.MSO\FDCE1A96.xlsm</vt:lpwstr>
      </vt:variant>
      <vt:variant>
        <vt:lpwstr>'Table 16A.54'!A1</vt:lpwstr>
      </vt:variant>
      <vt:variant>
        <vt:i4>4980770</vt:i4>
      </vt:variant>
      <vt:variant>
        <vt:i4>534</vt:i4>
      </vt:variant>
      <vt:variant>
        <vt:i4>0</vt:i4>
      </vt:variant>
      <vt:variant>
        <vt:i4>5</vt:i4>
      </vt:variant>
      <vt:variant>
        <vt:lpwstr>C:\Users\svassiliou\AppData\Local\Microsoft\Windows\Temporary Internet Files\Content.MSO\FDCE1A96.xlsm</vt:lpwstr>
      </vt:variant>
      <vt:variant>
        <vt:lpwstr>'Table 16A.53'!A1</vt:lpwstr>
      </vt:variant>
      <vt:variant>
        <vt:i4>4980771</vt:i4>
      </vt:variant>
      <vt:variant>
        <vt:i4>531</vt:i4>
      </vt:variant>
      <vt:variant>
        <vt:i4>0</vt:i4>
      </vt:variant>
      <vt:variant>
        <vt:i4>5</vt:i4>
      </vt:variant>
      <vt:variant>
        <vt:lpwstr>C:\Users\svassiliou\AppData\Local\Microsoft\Windows\Temporary Internet Files\Content.MSO\FDCE1A96.xlsm</vt:lpwstr>
      </vt:variant>
      <vt:variant>
        <vt:lpwstr>'Table 16A.52'!A1</vt:lpwstr>
      </vt:variant>
      <vt:variant>
        <vt:i4>4980768</vt:i4>
      </vt:variant>
      <vt:variant>
        <vt:i4>528</vt:i4>
      </vt:variant>
      <vt:variant>
        <vt:i4>0</vt:i4>
      </vt:variant>
      <vt:variant>
        <vt:i4>5</vt:i4>
      </vt:variant>
      <vt:variant>
        <vt:lpwstr>C:\Users\svassiliou\AppData\Local\Microsoft\Windows\Temporary Internet Files\Content.MSO\FDCE1A96.xlsm</vt:lpwstr>
      </vt:variant>
      <vt:variant>
        <vt:lpwstr>'Table 16A.51'!A1</vt:lpwstr>
      </vt:variant>
      <vt:variant>
        <vt:i4>4980769</vt:i4>
      </vt:variant>
      <vt:variant>
        <vt:i4>525</vt:i4>
      </vt:variant>
      <vt:variant>
        <vt:i4>0</vt:i4>
      </vt:variant>
      <vt:variant>
        <vt:i4>5</vt:i4>
      </vt:variant>
      <vt:variant>
        <vt:lpwstr>C:\Users\svassiliou\AppData\Local\Microsoft\Windows\Temporary Internet Files\Content.MSO\FDCE1A96.xlsm</vt:lpwstr>
      </vt:variant>
      <vt:variant>
        <vt:lpwstr>'Table 16A.50'!A1</vt:lpwstr>
      </vt:variant>
      <vt:variant>
        <vt:i4>5046312</vt:i4>
      </vt:variant>
      <vt:variant>
        <vt:i4>522</vt:i4>
      </vt:variant>
      <vt:variant>
        <vt:i4>0</vt:i4>
      </vt:variant>
      <vt:variant>
        <vt:i4>5</vt:i4>
      </vt:variant>
      <vt:variant>
        <vt:lpwstr>C:\Users\svassiliou\AppData\Local\Microsoft\Windows\Temporary Internet Files\Content.MSO\FDCE1A96.xlsm</vt:lpwstr>
      </vt:variant>
      <vt:variant>
        <vt:lpwstr>'Table 16A.49'!A1</vt:lpwstr>
      </vt:variant>
      <vt:variant>
        <vt:i4>5046313</vt:i4>
      </vt:variant>
      <vt:variant>
        <vt:i4>519</vt:i4>
      </vt:variant>
      <vt:variant>
        <vt:i4>0</vt:i4>
      </vt:variant>
      <vt:variant>
        <vt:i4>5</vt:i4>
      </vt:variant>
      <vt:variant>
        <vt:lpwstr>C:\Users\svassiliou\AppData\Local\Microsoft\Windows\Temporary Internet Files\Content.MSO\FDCE1A96.xlsm</vt:lpwstr>
      </vt:variant>
      <vt:variant>
        <vt:lpwstr>'Table 16A.48'!A1</vt:lpwstr>
      </vt:variant>
      <vt:variant>
        <vt:i4>5046310</vt:i4>
      </vt:variant>
      <vt:variant>
        <vt:i4>516</vt:i4>
      </vt:variant>
      <vt:variant>
        <vt:i4>0</vt:i4>
      </vt:variant>
      <vt:variant>
        <vt:i4>5</vt:i4>
      </vt:variant>
      <vt:variant>
        <vt:lpwstr>C:\Users\svassiliou\AppData\Local\Microsoft\Windows\Temporary Internet Files\Content.MSO\FDCE1A96.xlsm</vt:lpwstr>
      </vt:variant>
      <vt:variant>
        <vt:lpwstr>'Table 16A.47'!A1</vt:lpwstr>
      </vt:variant>
      <vt:variant>
        <vt:i4>5046311</vt:i4>
      </vt:variant>
      <vt:variant>
        <vt:i4>513</vt:i4>
      </vt:variant>
      <vt:variant>
        <vt:i4>0</vt:i4>
      </vt:variant>
      <vt:variant>
        <vt:i4>5</vt:i4>
      </vt:variant>
      <vt:variant>
        <vt:lpwstr>C:\Users\svassiliou\AppData\Local\Microsoft\Windows\Temporary Internet Files\Content.MSO\FDCE1A96.xlsm</vt:lpwstr>
      </vt:variant>
      <vt:variant>
        <vt:lpwstr>'Table 16A.46'!A1</vt:lpwstr>
      </vt:variant>
      <vt:variant>
        <vt:i4>5046308</vt:i4>
      </vt:variant>
      <vt:variant>
        <vt:i4>510</vt:i4>
      </vt:variant>
      <vt:variant>
        <vt:i4>0</vt:i4>
      </vt:variant>
      <vt:variant>
        <vt:i4>5</vt:i4>
      </vt:variant>
      <vt:variant>
        <vt:lpwstr>C:\Users\svassiliou\AppData\Local\Microsoft\Windows\Temporary Internet Files\Content.MSO\FDCE1A96.xlsm</vt:lpwstr>
      </vt:variant>
      <vt:variant>
        <vt:lpwstr>'Table 16A.45'!A1</vt:lpwstr>
      </vt:variant>
      <vt:variant>
        <vt:i4>5046309</vt:i4>
      </vt:variant>
      <vt:variant>
        <vt:i4>507</vt:i4>
      </vt:variant>
      <vt:variant>
        <vt:i4>0</vt:i4>
      </vt:variant>
      <vt:variant>
        <vt:i4>5</vt:i4>
      </vt:variant>
      <vt:variant>
        <vt:lpwstr>C:\Users\svassiliou\AppData\Local\Microsoft\Windows\Temporary Internet Files\Content.MSO\FDCE1A96.xlsm</vt:lpwstr>
      </vt:variant>
      <vt:variant>
        <vt:lpwstr>'Table 16A.44'!A1</vt:lpwstr>
      </vt:variant>
      <vt:variant>
        <vt:i4>5046306</vt:i4>
      </vt:variant>
      <vt:variant>
        <vt:i4>504</vt:i4>
      </vt:variant>
      <vt:variant>
        <vt:i4>0</vt:i4>
      </vt:variant>
      <vt:variant>
        <vt:i4>5</vt:i4>
      </vt:variant>
      <vt:variant>
        <vt:lpwstr>C:\Users\svassiliou\AppData\Local\Microsoft\Windows\Temporary Internet Files\Content.MSO\FDCE1A96.xlsm</vt:lpwstr>
      </vt:variant>
      <vt:variant>
        <vt:lpwstr>'Table 16A.43'!A1</vt:lpwstr>
      </vt:variant>
      <vt:variant>
        <vt:i4>5046307</vt:i4>
      </vt:variant>
      <vt:variant>
        <vt:i4>501</vt:i4>
      </vt:variant>
      <vt:variant>
        <vt:i4>0</vt:i4>
      </vt:variant>
      <vt:variant>
        <vt:i4>5</vt:i4>
      </vt:variant>
      <vt:variant>
        <vt:lpwstr>C:\Users\svassiliou\AppData\Local\Microsoft\Windows\Temporary Internet Files\Content.MSO\FDCE1A96.xlsm</vt:lpwstr>
      </vt:variant>
      <vt:variant>
        <vt:lpwstr>'Table 16A.42'!A1</vt:lpwstr>
      </vt:variant>
      <vt:variant>
        <vt:i4>5046304</vt:i4>
      </vt:variant>
      <vt:variant>
        <vt:i4>498</vt:i4>
      </vt:variant>
      <vt:variant>
        <vt:i4>0</vt:i4>
      </vt:variant>
      <vt:variant>
        <vt:i4>5</vt:i4>
      </vt:variant>
      <vt:variant>
        <vt:lpwstr>C:\Users\svassiliou\AppData\Local\Microsoft\Windows\Temporary Internet Files\Content.MSO\FDCE1A96.xlsm</vt:lpwstr>
      </vt:variant>
      <vt:variant>
        <vt:lpwstr>'Table 16A.41'!A1</vt:lpwstr>
      </vt:variant>
      <vt:variant>
        <vt:i4>5046305</vt:i4>
      </vt:variant>
      <vt:variant>
        <vt:i4>495</vt:i4>
      </vt:variant>
      <vt:variant>
        <vt:i4>0</vt:i4>
      </vt:variant>
      <vt:variant>
        <vt:i4>5</vt:i4>
      </vt:variant>
      <vt:variant>
        <vt:lpwstr>C:\Users\svassiliou\AppData\Local\Microsoft\Windows\Temporary Internet Files\Content.MSO\FDCE1A96.xlsm</vt:lpwstr>
      </vt:variant>
      <vt:variant>
        <vt:lpwstr>'Table 16A.40'!A1</vt:lpwstr>
      </vt:variant>
      <vt:variant>
        <vt:i4>4849704</vt:i4>
      </vt:variant>
      <vt:variant>
        <vt:i4>492</vt:i4>
      </vt:variant>
      <vt:variant>
        <vt:i4>0</vt:i4>
      </vt:variant>
      <vt:variant>
        <vt:i4>5</vt:i4>
      </vt:variant>
      <vt:variant>
        <vt:lpwstr>C:\Users\svassiliou\AppData\Local\Microsoft\Windows\Temporary Internet Files\Content.MSO\FDCE1A96.xlsm</vt:lpwstr>
      </vt:variant>
      <vt:variant>
        <vt:lpwstr>'Table 16A.39'!A1</vt:lpwstr>
      </vt:variant>
      <vt:variant>
        <vt:i4>4849705</vt:i4>
      </vt:variant>
      <vt:variant>
        <vt:i4>489</vt:i4>
      </vt:variant>
      <vt:variant>
        <vt:i4>0</vt:i4>
      </vt:variant>
      <vt:variant>
        <vt:i4>5</vt:i4>
      </vt:variant>
      <vt:variant>
        <vt:lpwstr>C:\Users\svassiliou\AppData\Local\Microsoft\Windows\Temporary Internet Files\Content.MSO\FDCE1A96.xlsm</vt:lpwstr>
      </vt:variant>
      <vt:variant>
        <vt:lpwstr>'Table 16A.38'!A1</vt:lpwstr>
      </vt:variant>
      <vt:variant>
        <vt:i4>4849702</vt:i4>
      </vt:variant>
      <vt:variant>
        <vt:i4>486</vt:i4>
      </vt:variant>
      <vt:variant>
        <vt:i4>0</vt:i4>
      </vt:variant>
      <vt:variant>
        <vt:i4>5</vt:i4>
      </vt:variant>
      <vt:variant>
        <vt:lpwstr>C:\Users\svassiliou\AppData\Local\Microsoft\Windows\Temporary Internet Files\Content.MSO\FDCE1A96.xlsm</vt:lpwstr>
      </vt:variant>
      <vt:variant>
        <vt:lpwstr>'Table 16A.37'!A1</vt:lpwstr>
      </vt:variant>
      <vt:variant>
        <vt:i4>4849703</vt:i4>
      </vt:variant>
      <vt:variant>
        <vt:i4>483</vt:i4>
      </vt:variant>
      <vt:variant>
        <vt:i4>0</vt:i4>
      </vt:variant>
      <vt:variant>
        <vt:i4>5</vt:i4>
      </vt:variant>
      <vt:variant>
        <vt:lpwstr>C:\Users\svassiliou\AppData\Local\Microsoft\Windows\Temporary Internet Files\Content.MSO\FDCE1A96.xlsm</vt:lpwstr>
      </vt:variant>
      <vt:variant>
        <vt:lpwstr>'Table 16A.36'!A1</vt:lpwstr>
      </vt:variant>
      <vt:variant>
        <vt:i4>4849700</vt:i4>
      </vt:variant>
      <vt:variant>
        <vt:i4>480</vt:i4>
      </vt:variant>
      <vt:variant>
        <vt:i4>0</vt:i4>
      </vt:variant>
      <vt:variant>
        <vt:i4>5</vt:i4>
      </vt:variant>
      <vt:variant>
        <vt:lpwstr>C:\Users\svassiliou\AppData\Local\Microsoft\Windows\Temporary Internet Files\Content.MSO\FDCE1A96.xlsm</vt:lpwstr>
      </vt:variant>
      <vt:variant>
        <vt:lpwstr>'Table 16A.35'!A1</vt:lpwstr>
      </vt:variant>
      <vt:variant>
        <vt:i4>4849701</vt:i4>
      </vt:variant>
      <vt:variant>
        <vt:i4>477</vt:i4>
      </vt:variant>
      <vt:variant>
        <vt:i4>0</vt:i4>
      </vt:variant>
      <vt:variant>
        <vt:i4>5</vt:i4>
      </vt:variant>
      <vt:variant>
        <vt:lpwstr>C:\Users\svassiliou\AppData\Local\Microsoft\Windows\Temporary Internet Files\Content.MSO\FDCE1A96.xlsm</vt:lpwstr>
      </vt:variant>
      <vt:variant>
        <vt:lpwstr>'Table 16A.34'!A1</vt:lpwstr>
      </vt:variant>
      <vt:variant>
        <vt:i4>4849698</vt:i4>
      </vt:variant>
      <vt:variant>
        <vt:i4>474</vt:i4>
      </vt:variant>
      <vt:variant>
        <vt:i4>0</vt:i4>
      </vt:variant>
      <vt:variant>
        <vt:i4>5</vt:i4>
      </vt:variant>
      <vt:variant>
        <vt:lpwstr>C:\Users\svassiliou\AppData\Local\Microsoft\Windows\Temporary Internet Files\Content.MSO\FDCE1A96.xlsm</vt:lpwstr>
      </vt:variant>
      <vt:variant>
        <vt:lpwstr>'Table 16A.33'!A1</vt:lpwstr>
      </vt:variant>
      <vt:variant>
        <vt:i4>4849699</vt:i4>
      </vt:variant>
      <vt:variant>
        <vt:i4>471</vt:i4>
      </vt:variant>
      <vt:variant>
        <vt:i4>0</vt:i4>
      </vt:variant>
      <vt:variant>
        <vt:i4>5</vt:i4>
      </vt:variant>
      <vt:variant>
        <vt:lpwstr>C:\Users\svassiliou\AppData\Local\Microsoft\Windows\Temporary Internet Files\Content.MSO\FDCE1A96.xlsm</vt:lpwstr>
      </vt:variant>
      <vt:variant>
        <vt:lpwstr>'Table 16A.32'!A1</vt:lpwstr>
      </vt:variant>
      <vt:variant>
        <vt:i4>4849696</vt:i4>
      </vt:variant>
      <vt:variant>
        <vt:i4>468</vt:i4>
      </vt:variant>
      <vt:variant>
        <vt:i4>0</vt:i4>
      </vt:variant>
      <vt:variant>
        <vt:i4>5</vt:i4>
      </vt:variant>
      <vt:variant>
        <vt:lpwstr>C:\Users\svassiliou\AppData\Local\Microsoft\Windows\Temporary Internet Files\Content.MSO\FDCE1A96.xlsm</vt:lpwstr>
      </vt:variant>
      <vt:variant>
        <vt:lpwstr>'Table 16A.31'!A1</vt:lpwstr>
      </vt:variant>
      <vt:variant>
        <vt:i4>4849697</vt:i4>
      </vt:variant>
      <vt:variant>
        <vt:i4>465</vt:i4>
      </vt:variant>
      <vt:variant>
        <vt:i4>0</vt:i4>
      </vt:variant>
      <vt:variant>
        <vt:i4>5</vt:i4>
      </vt:variant>
      <vt:variant>
        <vt:lpwstr>C:\Users\svassiliou\AppData\Local\Microsoft\Windows\Temporary Internet Files\Content.MSO\FDCE1A96.xlsm</vt:lpwstr>
      </vt:variant>
      <vt:variant>
        <vt:lpwstr>'Table 16A.30'!A1</vt:lpwstr>
      </vt:variant>
      <vt:variant>
        <vt:i4>4915240</vt:i4>
      </vt:variant>
      <vt:variant>
        <vt:i4>462</vt:i4>
      </vt:variant>
      <vt:variant>
        <vt:i4>0</vt:i4>
      </vt:variant>
      <vt:variant>
        <vt:i4>5</vt:i4>
      </vt:variant>
      <vt:variant>
        <vt:lpwstr>C:\Users\svassiliou\AppData\Local\Microsoft\Windows\Temporary Internet Files\Content.MSO\FDCE1A96.xlsm</vt:lpwstr>
      </vt:variant>
      <vt:variant>
        <vt:lpwstr>'Table 16A.29'!A1</vt:lpwstr>
      </vt:variant>
      <vt:variant>
        <vt:i4>4915241</vt:i4>
      </vt:variant>
      <vt:variant>
        <vt:i4>459</vt:i4>
      </vt:variant>
      <vt:variant>
        <vt:i4>0</vt:i4>
      </vt:variant>
      <vt:variant>
        <vt:i4>5</vt:i4>
      </vt:variant>
      <vt:variant>
        <vt:lpwstr>C:\Users\svassiliou\AppData\Local\Microsoft\Windows\Temporary Internet Files\Content.MSO\FDCE1A96.xlsm</vt:lpwstr>
      </vt:variant>
      <vt:variant>
        <vt:lpwstr>'Table 16A.28'!A1</vt:lpwstr>
      </vt:variant>
      <vt:variant>
        <vt:i4>4915238</vt:i4>
      </vt:variant>
      <vt:variant>
        <vt:i4>456</vt:i4>
      </vt:variant>
      <vt:variant>
        <vt:i4>0</vt:i4>
      </vt:variant>
      <vt:variant>
        <vt:i4>5</vt:i4>
      </vt:variant>
      <vt:variant>
        <vt:lpwstr>C:\Users\svassiliou\AppData\Local\Microsoft\Windows\Temporary Internet Files\Content.MSO\FDCE1A96.xlsm</vt:lpwstr>
      </vt:variant>
      <vt:variant>
        <vt:lpwstr>'Table 16A.27'!A1</vt:lpwstr>
      </vt:variant>
      <vt:variant>
        <vt:i4>4915239</vt:i4>
      </vt:variant>
      <vt:variant>
        <vt:i4>453</vt:i4>
      </vt:variant>
      <vt:variant>
        <vt:i4>0</vt:i4>
      </vt:variant>
      <vt:variant>
        <vt:i4>5</vt:i4>
      </vt:variant>
      <vt:variant>
        <vt:lpwstr>C:\Users\svassiliou\AppData\Local\Microsoft\Windows\Temporary Internet Files\Content.MSO\FDCE1A96.xlsm</vt:lpwstr>
      </vt:variant>
      <vt:variant>
        <vt:lpwstr>'Table 16A.26'!A1</vt:lpwstr>
      </vt:variant>
      <vt:variant>
        <vt:i4>4915236</vt:i4>
      </vt:variant>
      <vt:variant>
        <vt:i4>450</vt:i4>
      </vt:variant>
      <vt:variant>
        <vt:i4>0</vt:i4>
      </vt:variant>
      <vt:variant>
        <vt:i4>5</vt:i4>
      </vt:variant>
      <vt:variant>
        <vt:lpwstr>C:\Users\svassiliou\AppData\Local\Microsoft\Windows\Temporary Internet Files\Content.MSO\FDCE1A96.xlsm</vt:lpwstr>
      </vt:variant>
      <vt:variant>
        <vt:lpwstr>'Table 16A.25'!A1</vt:lpwstr>
      </vt:variant>
      <vt:variant>
        <vt:i4>4915237</vt:i4>
      </vt:variant>
      <vt:variant>
        <vt:i4>447</vt:i4>
      </vt:variant>
      <vt:variant>
        <vt:i4>0</vt:i4>
      </vt:variant>
      <vt:variant>
        <vt:i4>5</vt:i4>
      </vt:variant>
      <vt:variant>
        <vt:lpwstr>C:\Users\svassiliou\AppData\Local\Microsoft\Windows\Temporary Internet Files\Content.MSO\FDCE1A96.xlsm</vt:lpwstr>
      </vt:variant>
      <vt:variant>
        <vt:lpwstr>'Table 16A.24'!A1</vt:lpwstr>
      </vt:variant>
      <vt:variant>
        <vt:i4>4915234</vt:i4>
      </vt:variant>
      <vt:variant>
        <vt:i4>444</vt:i4>
      </vt:variant>
      <vt:variant>
        <vt:i4>0</vt:i4>
      </vt:variant>
      <vt:variant>
        <vt:i4>5</vt:i4>
      </vt:variant>
      <vt:variant>
        <vt:lpwstr>C:\Users\svassiliou\AppData\Local\Microsoft\Windows\Temporary Internet Files\Content.MSO\FDCE1A96.xlsm</vt:lpwstr>
      </vt:variant>
      <vt:variant>
        <vt:lpwstr>'Table 16A.23'!A1</vt:lpwstr>
      </vt:variant>
      <vt:variant>
        <vt:i4>4915235</vt:i4>
      </vt:variant>
      <vt:variant>
        <vt:i4>441</vt:i4>
      </vt:variant>
      <vt:variant>
        <vt:i4>0</vt:i4>
      </vt:variant>
      <vt:variant>
        <vt:i4>5</vt:i4>
      </vt:variant>
      <vt:variant>
        <vt:lpwstr>C:\Users\svassiliou\AppData\Local\Microsoft\Windows\Temporary Internet Files\Content.MSO\FDCE1A96.xlsm</vt:lpwstr>
      </vt:variant>
      <vt:variant>
        <vt:lpwstr>'Table 16A.22'!A1</vt:lpwstr>
      </vt:variant>
      <vt:variant>
        <vt:i4>4915232</vt:i4>
      </vt:variant>
      <vt:variant>
        <vt:i4>438</vt:i4>
      </vt:variant>
      <vt:variant>
        <vt:i4>0</vt:i4>
      </vt:variant>
      <vt:variant>
        <vt:i4>5</vt:i4>
      </vt:variant>
      <vt:variant>
        <vt:lpwstr>C:\Users\svassiliou\AppData\Local\Microsoft\Windows\Temporary Internet Files\Content.MSO\FDCE1A96.xlsm</vt:lpwstr>
      </vt:variant>
      <vt:variant>
        <vt:lpwstr>'Table 16A.21'!A1</vt:lpwstr>
      </vt:variant>
      <vt:variant>
        <vt:i4>4915233</vt:i4>
      </vt:variant>
      <vt:variant>
        <vt:i4>435</vt:i4>
      </vt:variant>
      <vt:variant>
        <vt:i4>0</vt:i4>
      </vt:variant>
      <vt:variant>
        <vt:i4>5</vt:i4>
      </vt:variant>
      <vt:variant>
        <vt:lpwstr>C:\Users\svassiliou\AppData\Local\Microsoft\Windows\Temporary Internet Files\Content.MSO\FDCE1A96.xlsm</vt:lpwstr>
      </vt:variant>
      <vt:variant>
        <vt:lpwstr>'Table 16A.20'!A1</vt:lpwstr>
      </vt:variant>
      <vt:variant>
        <vt:i4>4718632</vt:i4>
      </vt:variant>
      <vt:variant>
        <vt:i4>432</vt:i4>
      </vt:variant>
      <vt:variant>
        <vt:i4>0</vt:i4>
      </vt:variant>
      <vt:variant>
        <vt:i4>5</vt:i4>
      </vt:variant>
      <vt:variant>
        <vt:lpwstr>C:\Users\svassiliou\AppData\Local\Microsoft\Windows\Temporary Internet Files\Content.MSO\FDCE1A96.xlsm</vt:lpwstr>
      </vt:variant>
      <vt:variant>
        <vt:lpwstr>'Table 16A.19'!A1</vt:lpwstr>
      </vt:variant>
      <vt:variant>
        <vt:i4>4718633</vt:i4>
      </vt:variant>
      <vt:variant>
        <vt:i4>429</vt:i4>
      </vt:variant>
      <vt:variant>
        <vt:i4>0</vt:i4>
      </vt:variant>
      <vt:variant>
        <vt:i4>5</vt:i4>
      </vt:variant>
      <vt:variant>
        <vt:lpwstr>C:\Users\svassiliou\AppData\Local\Microsoft\Windows\Temporary Internet Files\Content.MSO\FDCE1A96.xlsm</vt:lpwstr>
      </vt:variant>
      <vt:variant>
        <vt:lpwstr>'Table 16A.18'!A1</vt:lpwstr>
      </vt:variant>
      <vt:variant>
        <vt:i4>4718630</vt:i4>
      </vt:variant>
      <vt:variant>
        <vt:i4>426</vt:i4>
      </vt:variant>
      <vt:variant>
        <vt:i4>0</vt:i4>
      </vt:variant>
      <vt:variant>
        <vt:i4>5</vt:i4>
      </vt:variant>
      <vt:variant>
        <vt:lpwstr>C:\Users\svassiliou\AppData\Local\Microsoft\Windows\Temporary Internet Files\Content.MSO\FDCE1A96.xlsm</vt:lpwstr>
      </vt:variant>
      <vt:variant>
        <vt:lpwstr>'Table 16A.17'!A1</vt:lpwstr>
      </vt:variant>
      <vt:variant>
        <vt:i4>4718631</vt:i4>
      </vt:variant>
      <vt:variant>
        <vt:i4>423</vt:i4>
      </vt:variant>
      <vt:variant>
        <vt:i4>0</vt:i4>
      </vt:variant>
      <vt:variant>
        <vt:i4>5</vt:i4>
      </vt:variant>
      <vt:variant>
        <vt:lpwstr>C:\Users\svassiliou\AppData\Local\Microsoft\Windows\Temporary Internet Files\Content.MSO\FDCE1A96.xlsm</vt:lpwstr>
      </vt:variant>
      <vt:variant>
        <vt:lpwstr>'Table 16A.16'!A1</vt:lpwstr>
      </vt:variant>
      <vt:variant>
        <vt:i4>4718628</vt:i4>
      </vt:variant>
      <vt:variant>
        <vt:i4>420</vt:i4>
      </vt:variant>
      <vt:variant>
        <vt:i4>0</vt:i4>
      </vt:variant>
      <vt:variant>
        <vt:i4>5</vt:i4>
      </vt:variant>
      <vt:variant>
        <vt:lpwstr>C:\Users\svassiliou\AppData\Local\Microsoft\Windows\Temporary Internet Files\Content.MSO\FDCE1A96.xlsm</vt:lpwstr>
      </vt:variant>
      <vt:variant>
        <vt:lpwstr>'Table 16A.15'!A1</vt:lpwstr>
      </vt:variant>
      <vt:variant>
        <vt:i4>4718629</vt:i4>
      </vt:variant>
      <vt:variant>
        <vt:i4>417</vt:i4>
      </vt:variant>
      <vt:variant>
        <vt:i4>0</vt:i4>
      </vt:variant>
      <vt:variant>
        <vt:i4>5</vt:i4>
      </vt:variant>
      <vt:variant>
        <vt:lpwstr>C:\Users\svassiliou\AppData\Local\Microsoft\Windows\Temporary Internet Files\Content.MSO\FDCE1A96.xlsm</vt:lpwstr>
      </vt:variant>
      <vt:variant>
        <vt:lpwstr>'Table 16A.14'!A1</vt:lpwstr>
      </vt:variant>
      <vt:variant>
        <vt:i4>4718626</vt:i4>
      </vt:variant>
      <vt:variant>
        <vt:i4>414</vt:i4>
      </vt:variant>
      <vt:variant>
        <vt:i4>0</vt:i4>
      </vt:variant>
      <vt:variant>
        <vt:i4>5</vt:i4>
      </vt:variant>
      <vt:variant>
        <vt:lpwstr>C:\Users\svassiliou\AppData\Local\Microsoft\Windows\Temporary Internet Files\Content.MSO\FDCE1A96.xlsm</vt:lpwstr>
      </vt:variant>
      <vt:variant>
        <vt:lpwstr>'Table 16A.13'!A1</vt:lpwstr>
      </vt:variant>
      <vt:variant>
        <vt:i4>4718627</vt:i4>
      </vt:variant>
      <vt:variant>
        <vt:i4>411</vt:i4>
      </vt:variant>
      <vt:variant>
        <vt:i4>0</vt:i4>
      </vt:variant>
      <vt:variant>
        <vt:i4>5</vt:i4>
      </vt:variant>
      <vt:variant>
        <vt:lpwstr>C:\Users\svassiliou\AppData\Local\Microsoft\Windows\Temporary Internet Files\Content.MSO\FDCE1A96.xlsm</vt:lpwstr>
      </vt:variant>
      <vt:variant>
        <vt:lpwstr>'Table 16A.12'!A1</vt:lpwstr>
      </vt:variant>
      <vt:variant>
        <vt:i4>4718624</vt:i4>
      </vt:variant>
      <vt:variant>
        <vt:i4>408</vt:i4>
      </vt:variant>
      <vt:variant>
        <vt:i4>0</vt:i4>
      </vt:variant>
      <vt:variant>
        <vt:i4>5</vt:i4>
      </vt:variant>
      <vt:variant>
        <vt:lpwstr>C:\Users\svassiliou\AppData\Local\Microsoft\Windows\Temporary Internet Files\Content.MSO\FDCE1A96.xlsm</vt:lpwstr>
      </vt:variant>
      <vt:variant>
        <vt:lpwstr>'Table 16A.11'!A1</vt:lpwstr>
      </vt:variant>
      <vt:variant>
        <vt:i4>4718625</vt:i4>
      </vt:variant>
      <vt:variant>
        <vt:i4>405</vt:i4>
      </vt:variant>
      <vt:variant>
        <vt:i4>0</vt:i4>
      </vt:variant>
      <vt:variant>
        <vt:i4>5</vt:i4>
      </vt:variant>
      <vt:variant>
        <vt:lpwstr>C:\Users\svassiliou\AppData\Local\Microsoft\Windows\Temporary Internet Files\Content.MSO\FDCE1A96.xlsm</vt:lpwstr>
      </vt:variant>
      <vt:variant>
        <vt:lpwstr>'Table 16A.10'!A1</vt:lpwstr>
      </vt:variant>
      <vt:variant>
        <vt:i4>1441910</vt:i4>
      </vt:variant>
      <vt:variant>
        <vt:i4>402</vt:i4>
      </vt:variant>
      <vt:variant>
        <vt:i4>0</vt:i4>
      </vt:variant>
      <vt:variant>
        <vt:i4>5</vt:i4>
      </vt:variant>
      <vt:variant>
        <vt:lpwstr>C:\Users\svassiliou\AppData\Local\Microsoft\Windows\Temporary Internet Files\Content.MSO\FDCE1A96.xlsm</vt:lpwstr>
      </vt:variant>
      <vt:variant>
        <vt:lpwstr>'Table 16A.9'!A1</vt:lpwstr>
      </vt:variant>
      <vt:variant>
        <vt:i4>1507446</vt:i4>
      </vt:variant>
      <vt:variant>
        <vt:i4>399</vt:i4>
      </vt:variant>
      <vt:variant>
        <vt:i4>0</vt:i4>
      </vt:variant>
      <vt:variant>
        <vt:i4>5</vt:i4>
      </vt:variant>
      <vt:variant>
        <vt:lpwstr>C:\Users\svassiliou\AppData\Local\Microsoft\Windows\Temporary Internet Files\Content.MSO\FDCE1A96.xlsm</vt:lpwstr>
      </vt:variant>
      <vt:variant>
        <vt:lpwstr>'Table 16A.8'!A1</vt:lpwstr>
      </vt:variant>
      <vt:variant>
        <vt:i4>1572982</vt:i4>
      </vt:variant>
      <vt:variant>
        <vt:i4>396</vt:i4>
      </vt:variant>
      <vt:variant>
        <vt:i4>0</vt:i4>
      </vt:variant>
      <vt:variant>
        <vt:i4>5</vt:i4>
      </vt:variant>
      <vt:variant>
        <vt:lpwstr>C:\Users\svassiliou\AppData\Local\Microsoft\Windows\Temporary Internet Files\Content.MSO\FDCE1A96.xlsm</vt:lpwstr>
      </vt:variant>
      <vt:variant>
        <vt:lpwstr>'Table 16A.7'!A1</vt:lpwstr>
      </vt:variant>
      <vt:variant>
        <vt:i4>1638518</vt:i4>
      </vt:variant>
      <vt:variant>
        <vt:i4>393</vt:i4>
      </vt:variant>
      <vt:variant>
        <vt:i4>0</vt:i4>
      </vt:variant>
      <vt:variant>
        <vt:i4>5</vt:i4>
      </vt:variant>
      <vt:variant>
        <vt:lpwstr>C:\Users\svassiliou\AppData\Local\Microsoft\Windows\Temporary Internet Files\Content.MSO\FDCE1A96.xlsm</vt:lpwstr>
      </vt:variant>
      <vt:variant>
        <vt:lpwstr>'Table 16A.6'!A1</vt:lpwstr>
      </vt:variant>
      <vt:variant>
        <vt:i4>1704054</vt:i4>
      </vt:variant>
      <vt:variant>
        <vt:i4>390</vt:i4>
      </vt:variant>
      <vt:variant>
        <vt:i4>0</vt:i4>
      </vt:variant>
      <vt:variant>
        <vt:i4>5</vt:i4>
      </vt:variant>
      <vt:variant>
        <vt:lpwstr>C:\Users\svassiliou\AppData\Local\Microsoft\Windows\Temporary Internet Files\Content.MSO\FDCE1A96.xlsm</vt:lpwstr>
      </vt:variant>
      <vt:variant>
        <vt:lpwstr>'Table 16A.5'!A1</vt:lpwstr>
      </vt:variant>
      <vt:variant>
        <vt:i4>1769590</vt:i4>
      </vt:variant>
      <vt:variant>
        <vt:i4>387</vt:i4>
      </vt:variant>
      <vt:variant>
        <vt:i4>0</vt:i4>
      </vt:variant>
      <vt:variant>
        <vt:i4>5</vt:i4>
      </vt:variant>
      <vt:variant>
        <vt:lpwstr>C:\Users\svassiliou\AppData\Local\Microsoft\Windows\Temporary Internet Files\Content.MSO\FDCE1A96.xlsm</vt:lpwstr>
      </vt:variant>
      <vt:variant>
        <vt:lpwstr>'Table 16A.4'!A1</vt:lpwstr>
      </vt:variant>
      <vt:variant>
        <vt:i4>1835126</vt:i4>
      </vt:variant>
      <vt:variant>
        <vt:i4>384</vt:i4>
      </vt:variant>
      <vt:variant>
        <vt:i4>0</vt:i4>
      </vt:variant>
      <vt:variant>
        <vt:i4>5</vt:i4>
      </vt:variant>
      <vt:variant>
        <vt:lpwstr>C:\Users\svassiliou\AppData\Local\Microsoft\Windows\Temporary Internet Files\Content.MSO\FDCE1A96.xlsm</vt:lpwstr>
      </vt:variant>
      <vt:variant>
        <vt:lpwstr>'Table 16A.3'!A1</vt:lpwstr>
      </vt:variant>
      <vt:variant>
        <vt:i4>1900662</vt:i4>
      </vt:variant>
      <vt:variant>
        <vt:i4>381</vt:i4>
      </vt:variant>
      <vt:variant>
        <vt:i4>0</vt:i4>
      </vt:variant>
      <vt:variant>
        <vt:i4>5</vt:i4>
      </vt:variant>
      <vt:variant>
        <vt:lpwstr>C:\Users\svassiliou\AppData\Local\Microsoft\Windows\Temporary Internet Files\Content.MSO\FDCE1A96.xlsm</vt:lpwstr>
      </vt:variant>
      <vt:variant>
        <vt:lpwstr>'Table 16A.2'!A1</vt:lpwstr>
      </vt:variant>
      <vt:variant>
        <vt:i4>1966198</vt:i4>
      </vt:variant>
      <vt:variant>
        <vt:i4>378</vt:i4>
      </vt:variant>
      <vt:variant>
        <vt:i4>0</vt:i4>
      </vt:variant>
      <vt:variant>
        <vt:i4>5</vt:i4>
      </vt:variant>
      <vt:variant>
        <vt:lpwstr>C:\Users\svassiliou\AppData\Local\Microsoft\Windows\Temporary Internet Files\Content.MSO\FDCE1A96.xlsm</vt:lpwstr>
      </vt:variant>
      <vt:variant>
        <vt:lpwstr>'Table 16A.1'!A1</vt:lpwstr>
      </vt:variant>
      <vt:variant>
        <vt:i4>5636127</vt:i4>
      </vt:variant>
      <vt:variant>
        <vt:i4>375</vt:i4>
      </vt:variant>
      <vt:variant>
        <vt:i4>0</vt:i4>
      </vt:variant>
      <vt:variant>
        <vt:i4>5</vt:i4>
      </vt:variant>
      <vt:variant>
        <vt:lpwstr>http://www.pc.gov.au/gsp</vt:lpwstr>
      </vt:variant>
      <vt:variant>
        <vt:lpwstr/>
      </vt:variant>
      <vt:variant>
        <vt:i4>1048629</vt:i4>
      </vt:variant>
      <vt:variant>
        <vt:i4>44</vt:i4>
      </vt:variant>
      <vt:variant>
        <vt:i4>0</vt:i4>
      </vt:variant>
      <vt:variant>
        <vt:i4>5</vt:i4>
      </vt:variant>
      <vt:variant>
        <vt:lpwstr/>
      </vt:variant>
      <vt:variant>
        <vt:lpwstr>_Toc314211354</vt:lpwstr>
      </vt:variant>
      <vt:variant>
        <vt:i4>1048629</vt:i4>
      </vt:variant>
      <vt:variant>
        <vt:i4>38</vt:i4>
      </vt:variant>
      <vt:variant>
        <vt:i4>0</vt:i4>
      </vt:variant>
      <vt:variant>
        <vt:i4>5</vt:i4>
      </vt:variant>
      <vt:variant>
        <vt:lpwstr/>
      </vt:variant>
      <vt:variant>
        <vt:lpwstr>_Toc314211353</vt:lpwstr>
      </vt:variant>
      <vt:variant>
        <vt:i4>1048629</vt:i4>
      </vt:variant>
      <vt:variant>
        <vt:i4>32</vt:i4>
      </vt:variant>
      <vt:variant>
        <vt:i4>0</vt:i4>
      </vt:variant>
      <vt:variant>
        <vt:i4>5</vt:i4>
      </vt:variant>
      <vt:variant>
        <vt:lpwstr/>
      </vt:variant>
      <vt:variant>
        <vt:lpwstr>_Toc314211352</vt:lpwstr>
      </vt:variant>
      <vt:variant>
        <vt:i4>1048629</vt:i4>
      </vt:variant>
      <vt:variant>
        <vt:i4>26</vt:i4>
      </vt:variant>
      <vt:variant>
        <vt:i4>0</vt:i4>
      </vt:variant>
      <vt:variant>
        <vt:i4>5</vt:i4>
      </vt:variant>
      <vt:variant>
        <vt:lpwstr/>
      </vt:variant>
      <vt:variant>
        <vt:lpwstr>_Toc314211351</vt:lpwstr>
      </vt:variant>
      <vt:variant>
        <vt:i4>1048629</vt:i4>
      </vt:variant>
      <vt:variant>
        <vt:i4>20</vt:i4>
      </vt:variant>
      <vt:variant>
        <vt:i4>0</vt:i4>
      </vt:variant>
      <vt:variant>
        <vt:i4>5</vt:i4>
      </vt:variant>
      <vt:variant>
        <vt:lpwstr/>
      </vt:variant>
      <vt:variant>
        <vt:lpwstr>_Toc314211350</vt:lpwstr>
      </vt:variant>
      <vt:variant>
        <vt:i4>1114165</vt:i4>
      </vt:variant>
      <vt:variant>
        <vt:i4>14</vt:i4>
      </vt:variant>
      <vt:variant>
        <vt:i4>0</vt:i4>
      </vt:variant>
      <vt:variant>
        <vt:i4>5</vt:i4>
      </vt:variant>
      <vt:variant>
        <vt:lpwstr/>
      </vt:variant>
      <vt:variant>
        <vt:lpwstr>_Toc314211349</vt:lpwstr>
      </vt:variant>
      <vt:variant>
        <vt:i4>1114165</vt:i4>
      </vt:variant>
      <vt:variant>
        <vt:i4>8</vt:i4>
      </vt:variant>
      <vt:variant>
        <vt:i4>0</vt:i4>
      </vt:variant>
      <vt:variant>
        <vt:i4>5</vt:i4>
      </vt:variant>
      <vt:variant>
        <vt:lpwstr/>
      </vt:variant>
      <vt:variant>
        <vt:lpwstr>_Toc314211348</vt:lpwstr>
      </vt:variant>
      <vt:variant>
        <vt:i4>1114165</vt:i4>
      </vt:variant>
      <vt:variant>
        <vt:i4>2</vt:i4>
      </vt:variant>
      <vt:variant>
        <vt:i4>0</vt:i4>
      </vt:variant>
      <vt:variant>
        <vt:i4>5</vt:i4>
      </vt:variant>
      <vt:variant>
        <vt:lpwstr/>
      </vt:variant>
      <vt:variant>
        <vt:lpwstr>_Toc314211347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17 Housing - Report on Government Services 2016</dc:title>
  <dc:creator>Steering Committee for the Review of Government Service Provision</dc:creator>
  <cp:lastModifiedBy>Frech, Tanya</cp:lastModifiedBy>
  <cp:revision>10</cp:revision>
  <cp:lastPrinted>2016-01-24T23:45:00Z</cp:lastPrinted>
  <dcterms:created xsi:type="dcterms:W3CDTF">2016-01-18T03:31:00Z</dcterms:created>
  <dcterms:modified xsi:type="dcterms:W3CDTF">2016-01-25T01:03:00Z</dcterms:modified>
</cp:coreProperties>
</file>