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7E5" w:rsidRDefault="000707E5" w:rsidP="000707E5">
      <w:pPr>
        <w:pStyle w:val="Chapter"/>
        <w:ind w:left="907" w:hanging="907"/>
      </w:pPr>
      <w:bookmarkStart w:id="0" w:name="ChapterNumber"/>
      <w:bookmarkStart w:id="1" w:name="_Toc396143119"/>
      <w:bookmarkStart w:id="2" w:name="_Toc396143168"/>
      <w:bookmarkStart w:id="3" w:name="_Toc428965779"/>
      <w:bookmarkStart w:id="4" w:name="_Toc429075898"/>
      <w:bookmarkStart w:id="5" w:name="_GoBack"/>
      <w:bookmarkEnd w:id="5"/>
      <w:r>
        <w:t>1</w:t>
      </w:r>
      <w:bookmarkEnd w:id="0"/>
      <w:r>
        <w:t>8</w:t>
      </w:r>
      <w:r>
        <w:tab/>
      </w:r>
      <w:bookmarkStart w:id="6" w:name="ChapterTitle"/>
      <w:r>
        <w:t>Homelessness service</w:t>
      </w:r>
      <w:bookmarkEnd w:id="6"/>
      <w:r>
        <w:t>s</w:t>
      </w:r>
      <w:bookmarkEnd w:id="1"/>
      <w:bookmarkEnd w:id="2"/>
      <w:bookmarkEnd w:id="3"/>
      <w:bookmarkEnd w:id="4"/>
    </w:p>
    <w:p w:rsidR="000707E5" w:rsidRPr="006602B5" w:rsidRDefault="000707E5" w:rsidP="00DD22FE">
      <w:pPr>
        <w:pStyle w:val="Heading4"/>
      </w:pPr>
      <w:r w:rsidRPr="006602B5">
        <w:t>CONTENTS</w:t>
      </w:r>
      <w:r>
        <w:t xml:space="preserve"> </w:t>
      </w:r>
    </w:p>
    <w:sdt>
      <w:sdtPr>
        <w:rPr>
          <w:rFonts w:ascii="Times New Roman" w:hAnsi="Times New Roman"/>
          <w:b/>
          <w:kern w:val="28"/>
          <w:sz w:val="52"/>
          <w:szCs w:val="20"/>
          <w:lang w:eastAsia="en-AU"/>
        </w:rPr>
        <w:id w:val="-1699086440"/>
        <w:docPartObj>
          <w:docPartGallery w:val="Table of Contents"/>
          <w:docPartUnique/>
        </w:docPartObj>
      </w:sdtPr>
      <w:sdtEndPr>
        <w:rPr>
          <w:b w:val="0"/>
          <w:kern w:val="0"/>
          <w:sz w:val="24"/>
        </w:rPr>
      </w:sdtEndPr>
      <w:sdtContent>
        <w:p w:rsidR="000707E5" w:rsidRDefault="000707E5" w:rsidP="001F7787">
          <w:pPr>
            <w:pStyle w:val="TOC2"/>
            <w:rPr>
              <w:rFonts w:asciiTheme="minorHAnsi" w:eastAsiaTheme="minorEastAsia" w:hAnsiTheme="minorHAnsi" w:cstheme="minorBidi"/>
              <w:noProof/>
              <w:sz w:val="22"/>
              <w:szCs w:val="22"/>
              <w:lang w:eastAsia="en-AU"/>
            </w:rPr>
          </w:pPr>
          <w:r>
            <w:rPr>
              <w:noProof/>
            </w:rPr>
            <w:t>18.1</w:t>
          </w:r>
          <w:r>
            <w:rPr>
              <w:rFonts w:asciiTheme="minorHAnsi" w:eastAsiaTheme="minorEastAsia" w:hAnsiTheme="minorHAnsi" w:cstheme="minorBidi"/>
              <w:noProof/>
              <w:sz w:val="22"/>
              <w:szCs w:val="22"/>
              <w:lang w:eastAsia="en-AU"/>
            </w:rPr>
            <w:tab/>
          </w:r>
          <w:r>
            <w:rPr>
              <w:noProof/>
            </w:rPr>
            <w:t>Profile of homelessness services</w:t>
          </w:r>
          <w:r>
            <w:rPr>
              <w:noProof/>
            </w:rPr>
            <w:tab/>
            <w:t>18.</w:t>
          </w:r>
          <w:r w:rsidR="007A3D6D">
            <w:rPr>
              <w:noProof/>
            </w:rPr>
            <w:t>2</w:t>
          </w:r>
        </w:p>
        <w:p w:rsidR="000707E5" w:rsidRDefault="000707E5" w:rsidP="000707E5">
          <w:pPr>
            <w:pStyle w:val="TOC2"/>
            <w:tabs>
              <w:tab w:val="left" w:pos="1320"/>
            </w:tabs>
            <w:rPr>
              <w:rFonts w:asciiTheme="minorHAnsi" w:eastAsiaTheme="minorEastAsia" w:hAnsiTheme="minorHAnsi" w:cstheme="minorBidi"/>
              <w:noProof/>
              <w:sz w:val="22"/>
              <w:szCs w:val="22"/>
              <w:lang w:eastAsia="en-AU"/>
            </w:rPr>
          </w:pPr>
          <w:r>
            <w:rPr>
              <w:noProof/>
            </w:rPr>
            <w:t>18.2</w:t>
          </w:r>
          <w:r>
            <w:rPr>
              <w:rFonts w:asciiTheme="minorHAnsi" w:eastAsiaTheme="minorEastAsia" w:hAnsiTheme="minorHAnsi" w:cstheme="minorBidi"/>
              <w:noProof/>
              <w:sz w:val="22"/>
              <w:szCs w:val="22"/>
              <w:lang w:eastAsia="en-AU"/>
            </w:rPr>
            <w:tab/>
          </w:r>
          <w:r>
            <w:rPr>
              <w:noProof/>
            </w:rPr>
            <w:t xml:space="preserve">Framework of performance indicators </w:t>
          </w:r>
          <w:r>
            <w:rPr>
              <w:noProof/>
            </w:rPr>
            <w:tab/>
            <w:t>18.</w:t>
          </w:r>
          <w:r w:rsidR="007A3D6D">
            <w:rPr>
              <w:noProof/>
            </w:rPr>
            <w:t>8</w:t>
          </w:r>
        </w:p>
        <w:p w:rsidR="000707E5" w:rsidRDefault="000707E5" w:rsidP="000707E5">
          <w:pPr>
            <w:pStyle w:val="TOC2"/>
            <w:tabs>
              <w:tab w:val="left" w:pos="1320"/>
            </w:tabs>
            <w:rPr>
              <w:rFonts w:asciiTheme="minorHAnsi" w:eastAsiaTheme="minorEastAsia" w:hAnsiTheme="minorHAnsi" w:cstheme="minorBidi"/>
              <w:noProof/>
              <w:sz w:val="22"/>
              <w:szCs w:val="22"/>
              <w:lang w:eastAsia="en-AU"/>
            </w:rPr>
          </w:pPr>
          <w:r>
            <w:rPr>
              <w:noProof/>
            </w:rPr>
            <w:t>18.3</w:t>
          </w:r>
          <w:r>
            <w:rPr>
              <w:rFonts w:asciiTheme="minorHAnsi" w:eastAsiaTheme="minorEastAsia" w:hAnsiTheme="minorHAnsi" w:cstheme="minorBidi"/>
              <w:noProof/>
              <w:sz w:val="22"/>
              <w:szCs w:val="22"/>
              <w:lang w:eastAsia="en-AU"/>
            </w:rPr>
            <w:tab/>
          </w:r>
          <w:r>
            <w:rPr>
              <w:noProof/>
            </w:rPr>
            <w:t xml:space="preserve">Key performance indicator results </w:t>
          </w:r>
          <w:r>
            <w:rPr>
              <w:noProof/>
            </w:rPr>
            <w:tab/>
            <w:t>18.</w:t>
          </w:r>
          <w:r w:rsidR="007A3D6D">
            <w:rPr>
              <w:noProof/>
            </w:rPr>
            <w:t>10</w:t>
          </w:r>
        </w:p>
        <w:p w:rsidR="000707E5" w:rsidRDefault="000707E5" w:rsidP="000707E5">
          <w:pPr>
            <w:pStyle w:val="TOC2"/>
            <w:tabs>
              <w:tab w:val="left" w:pos="1320"/>
            </w:tabs>
            <w:rPr>
              <w:rFonts w:asciiTheme="minorHAnsi" w:eastAsiaTheme="minorEastAsia" w:hAnsiTheme="minorHAnsi" w:cstheme="minorBidi"/>
              <w:noProof/>
              <w:sz w:val="22"/>
              <w:szCs w:val="22"/>
              <w:lang w:eastAsia="en-AU"/>
            </w:rPr>
          </w:pPr>
          <w:r>
            <w:rPr>
              <w:noProof/>
            </w:rPr>
            <w:t>18.4</w:t>
          </w:r>
          <w:r>
            <w:rPr>
              <w:rFonts w:asciiTheme="minorHAnsi" w:eastAsiaTheme="minorEastAsia" w:hAnsiTheme="minorHAnsi" w:cstheme="minorBidi"/>
              <w:noProof/>
              <w:sz w:val="22"/>
              <w:szCs w:val="22"/>
              <w:lang w:eastAsia="en-AU"/>
            </w:rPr>
            <w:tab/>
          </w:r>
          <w:r>
            <w:rPr>
              <w:noProof/>
            </w:rPr>
            <w:t>Future directions in performance reporting</w:t>
          </w:r>
          <w:r>
            <w:rPr>
              <w:noProof/>
            </w:rPr>
            <w:tab/>
            <w:t>18.</w:t>
          </w:r>
          <w:r w:rsidR="007A3D6D">
            <w:rPr>
              <w:noProof/>
            </w:rPr>
            <w:t>37</w:t>
          </w:r>
        </w:p>
        <w:p w:rsidR="000707E5" w:rsidRDefault="000707E5" w:rsidP="000707E5">
          <w:pPr>
            <w:pStyle w:val="TOC2"/>
            <w:tabs>
              <w:tab w:val="left" w:pos="1320"/>
            </w:tabs>
            <w:rPr>
              <w:rFonts w:asciiTheme="minorHAnsi" w:eastAsiaTheme="minorEastAsia" w:hAnsiTheme="minorHAnsi" w:cstheme="minorBidi"/>
              <w:noProof/>
              <w:sz w:val="22"/>
              <w:szCs w:val="22"/>
              <w:lang w:eastAsia="en-AU"/>
            </w:rPr>
          </w:pPr>
          <w:r>
            <w:rPr>
              <w:noProof/>
            </w:rPr>
            <w:t>18.5</w:t>
          </w:r>
          <w:r>
            <w:rPr>
              <w:rFonts w:asciiTheme="minorHAnsi" w:eastAsiaTheme="minorEastAsia" w:hAnsiTheme="minorHAnsi" w:cstheme="minorBidi"/>
              <w:noProof/>
              <w:sz w:val="22"/>
              <w:szCs w:val="22"/>
              <w:lang w:eastAsia="en-AU"/>
            </w:rPr>
            <w:tab/>
          </w:r>
          <w:r>
            <w:rPr>
              <w:noProof/>
            </w:rPr>
            <w:t>Definitions of key terms</w:t>
          </w:r>
          <w:r>
            <w:rPr>
              <w:noProof/>
            </w:rPr>
            <w:tab/>
            <w:t>18.</w:t>
          </w:r>
          <w:r w:rsidR="007A3D6D">
            <w:rPr>
              <w:noProof/>
            </w:rPr>
            <w:t>37</w:t>
          </w:r>
        </w:p>
        <w:p w:rsidR="000707E5" w:rsidRDefault="000707E5" w:rsidP="000707E5">
          <w:pPr>
            <w:pStyle w:val="TOC2"/>
            <w:tabs>
              <w:tab w:val="left" w:pos="1320"/>
            </w:tabs>
            <w:rPr>
              <w:rFonts w:asciiTheme="minorHAnsi" w:eastAsiaTheme="minorEastAsia" w:hAnsiTheme="minorHAnsi" w:cstheme="minorBidi"/>
              <w:noProof/>
              <w:sz w:val="22"/>
              <w:szCs w:val="22"/>
              <w:lang w:eastAsia="en-AU"/>
            </w:rPr>
          </w:pPr>
          <w:r>
            <w:rPr>
              <w:noProof/>
            </w:rPr>
            <w:t>18.6</w:t>
          </w:r>
          <w:r>
            <w:rPr>
              <w:rFonts w:asciiTheme="minorHAnsi" w:eastAsiaTheme="minorEastAsia" w:hAnsiTheme="minorHAnsi" w:cstheme="minorBidi"/>
              <w:noProof/>
              <w:sz w:val="22"/>
              <w:szCs w:val="22"/>
              <w:lang w:eastAsia="en-AU"/>
            </w:rPr>
            <w:tab/>
          </w:r>
          <w:r>
            <w:rPr>
              <w:noProof/>
            </w:rPr>
            <w:t>List of attachment tables</w:t>
          </w:r>
          <w:r>
            <w:rPr>
              <w:noProof/>
            </w:rPr>
            <w:tab/>
            <w:t>18.</w:t>
          </w:r>
          <w:r w:rsidR="007A3D6D">
            <w:rPr>
              <w:noProof/>
            </w:rPr>
            <w:t>41</w:t>
          </w:r>
        </w:p>
        <w:p w:rsidR="000707E5" w:rsidRDefault="000707E5" w:rsidP="000707E5">
          <w:pPr>
            <w:pStyle w:val="TOC2"/>
            <w:tabs>
              <w:tab w:val="left" w:pos="1320"/>
            </w:tabs>
            <w:rPr>
              <w:rFonts w:asciiTheme="minorHAnsi" w:eastAsiaTheme="minorEastAsia" w:hAnsiTheme="minorHAnsi" w:cstheme="minorBidi"/>
              <w:noProof/>
              <w:sz w:val="22"/>
              <w:szCs w:val="22"/>
              <w:lang w:eastAsia="en-AU"/>
            </w:rPr>
          </w:pPr>
          <w:r w:rsidRPr="00491341">
            <w:rPr>
              <w:noProof/>
              <w:color w:val="000000" w:themeColor="text1"/>
            </w:rPr>
            <w:t>18.7</w:t>
          </w:r>
          <w:r>
            <w:rPr>
              <w:rFonts w:asciiTheme="minorHAnsi" w:eastAsiaTheme="minorEastAsia" w:hAnsiTheme="minorHAnsi" w:cstheme="minorBidi"/>
              <w:noProof/>
              <w:sz w:val="22"/>
              <w:szCs w:val="22"/>
              <w:lang w:eastAsia="en-AU"/>
            </w:rPr>
            <w:tab/>
          </w:r>
          <w:r w:rsidRPr="00491341">
            <w:rPr>
              <w:noProof/>
              <w:color w:val="000000" w:themeColor="text1"/>
            </w:rPr>
            <w:t>References</w:t>
          </w:r>
          <w:r>
            <w:rPr>
              <w:noProof/>
            </w:rPr>
            <w:tab/>
            <w:t>18.</w:t>
          </w:r>
          <w:r w:rsidR="007A3D6D">
            <w:rPr>
              <w:noProof/>
            </w:rPr>
            <w:t>42</w:t>
          </w:r>
        </w:p>
        <w:p w:rsidR="000707E5" w:rsidRPr="006602B5" w:rsidRDefault="00E725B8" w:rsidP="000707E5">
          <w:pPr>
            <w:pStyle w:val="BodyText"/>
          </w:pPr>
        </w:p>
      </w:sdtContent>
    </w:sdt>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07E5" w:rsidTr="00094389">
        <w:tc>
          <w:tcPr>
            <w:tcW w:w="8771" w:type="dxa"/>
            <w:tcBorders>
              <w:top w:val="single" w:sz="6" w:space="0" w:color="78A22F"/>
              <w:left w:val="nil"/>
              <w:bottom w:val="nil"/>
              <w:right w:val="nil"/>
            </w:tcBorders>
            <w:shd w:val="clear" w:color="auto" w:fill="F2F2F2" w:themeFill="background1" w:themeFillShade="F2"/>
          </w:tcPr>
          <w:p w:rsidR="000707E5" w:rsidRPr="00BD0DF5" w:rsidRDefault="000707E5" w:rsidP="00094389">
            <w:pPr>
              <w:pStyle w:val="BoxTitle"/>
            </w:pPr>
            <w:r w:rsidRPr="00BD0DF5">
              <w:t>Attachment tables</w:t>
            </w:r>
          </w:p>
        </w:tc>
      </w:tr>
      <w:tr w:rsidR="000707E5" w:rsidTr="00094389">
        <w:trPr>
          <w:cantSplit/>
        </w:trPr>
        <w:tc>
          <w:tcPr>
            <w:tcW w:w="8771" w:type="dxa"/>
            <w:tcBorders>
              <w:top w:val="nil"/>
              <w:left w:val="nil"/>
              <w:bottom w:val="nil"/>
              <w:right w:val="nil"/>
            </w:tcBorders>
            <w:shd w:val="clear" w:color="auto" w:fill="F2F2F2" w:themeFill="background1" w:themeFillShade="F2"/>
          </w:tcPr>
          <w:p w:rsidR="000707E5" w:rsidRDefault="000707E5" w:rsidP="00094389">
            <w:pPr>
              <w:pStyle w:val="Box"/>
            </w:pPr>
            <w:r w:rsidRPr="00120A29">
              <w:t>Attachment tables are identified in references throughout this chapter by a ‘</w:t>
            </w:r>
            <w:proofErr w:type="spellStart"/>
            <w:r w:rsidRPr="00120A29">
              <w:t>18A</w:t>
            </w:r>
            <w:proofErr w:type="spellEnd"/>
            <w:r w:rsidRPr="00120A29">
              <w:t xml:space="preserve">’ prefix (for example, table </w:t>
            </w:r>
            <w:proofErr w:type="spellStart"/>
            <w:r w:rsidRPr="00120A29">
              <w:t>18A.1</w:t>
            </w:r>
            <w:proofErr w:type="spellEnd"/>
            <w:r w:rsidRPr="00120A29">
              <w:t xml:space="preserve">). A full list of attachment tables is provided at the end of this chapter, and the attachment tables are available from the </w:t>
            </w:r>
            <w:r>
              <w:t xml:space="preserve">website at </w:t>
            </w:r>
            <w:proofErr w:type="spellStart"/>
            <w:r>
              <w:t>www.pc.gov.au</w:t>
            </w:r>
            <w:proofErr w:type="spellEnd"/>
            <w:r>
              <w:t>/</w:t>
            </w:r>
            <w:proofErr w:type="spellStart"/>
            <w:r>
              <w:t>rogs</w:t>
            </w:r>
            <w:proofErr w:type="spellEnd"/>
            <w:r>
              <w:t>/2016</w:t>
            </w:r>
            <w:r w:rsidRPr="00120A29">
              <w:t>.</w:t>
            </w:r>
          </w:p>
        </w:tc>
      </w:tr>
      <w:tr w:rsidR="000707E5" w:rsidTr="00094389">
        <w:trPr>
          <w:cantSplit/>
        </w:trPr>
        <w:tc>
          <w:tcPr>
            <w:tcW w:w="8771" w:type="dxa"/>
            <w:tcBorders>
              <w:top w:val="nil"/>
              <w:left w:val="nil"/>
              <w:bottom w:val="single" w:sz="6" w:space="0" w:color="78A22F"/>
              <w:right w:val="nil"/>
            </w:tcBorders>
            <w:shd w:val="clear" w:color="auto" w:fill="F2F2F2" w:themeFill="background1" w:themeFillShade="F2"/>
          </w:tcPr>
          <w:p w:rsidR="000707E5" w:rsidRDefault="000707E5" w:rsidP="00094389">
            <w:pPr>
              <w:pStyle w:val="Box"/>
              <w:spacing w:before="0" w:line="120" w:lineRule="exact"/>
            </w:pPr>
          </w:p>
        </w:tc>
      </w:tr>
      <w:tr w:rsidR="000707E5" w:rsidRPr="000863A5" w:rsidTr="00094389">
        <w:tc>
          <w:tcPr>
            <w:tcW w:w="8771" w:type="dxa"/>
            <w:tcBorders>
              <w:top w:val="single" w:sz="6" w:space="0" w:color="78A22F"/>
              <w:left w:val="nil"/>
              <w:bottom w:val="nil"/>
              <w:right w:val="nil"/>
            </w:tcBorders>
          </w:tcPr>
          <w:p w:rsidR="000707E5" w:rsidRPr="00626D32" w:rsidRDefault="000707E5" w:rsidP="00094389">
            <w:pPr>
              <w:pStyle w:val="BoxSpaceBelow"/>
            </w:pPr>
          </w:p>
        </w:tc>
      </w:tr>
    </w:tbl>
    <w:p w:rsidR="000707E5" w:rsidRDefault="000707E5" w:rsidP="000707E5">
      <w:pPr>
        <w:pStyle w:val="BodyText"/>
      </w:pPr>
      <w:r w:rsidRPr="00F55209">
        <w:t>This chapter presents data on government</w:t>
      </w:r>
      <w:r>
        <w:noBreakHyphen/>
      </w:r>
      <w:r w:rsidRPr="00F55209">
        <w:t>funded specialist homelessness services and the people accessing these services</w:t>
      </w:r>
      <w:r w:rsidR="0023756F">
        <w:t>. The chapter</w:t>
      </w:r>
      <w:r>
        <w:t xml:space="preserve"> focus</w:t>
      </w:r>
      <w:r w:rsidR="0023756F">
        <w:t>es</w:t>
      </w:r>
      <w:r>
        <w:t xml:space="preserve"> on those services </w:t>
      </w:r>
      <w:r w:rsidRPr="00EF5A5F">
        <w:t xml:space="preserve">funded under the </w:t>
      </w:r>
      <w:r w:rsidR="0023756F" w:rsidRPr="0059316B">
        <w:t>Council of Australian Governments (</w:t>
      </w:r>
      <w:proofErr w:type="spellStart"/>
      <w:r w:rsidR="0023756F" w:rsidRPr="0059316B">
        <w:t>COAG</w:t>
      </w:r>
      <w:proofErr w:type="spellEnd"/>
      <w:r w:rsidR="0023756F" w:rsidRPr="0059316B">
        <w:t xml:space="preserve">) </w:t>
      </w:r>
      <w:r w:rsidRPr="00840585">
        <w:rPr>
          <w:i/>
        </w:rPr>
        <w:t>National Affordable Housing Agreement</w:t>
      </w:r>
      <w:r w:rsidRPr="00AF5379">
        <w:t xml:space="preserve"> (NAHA) </w:t>
      </w:r>
      <w:r>
        <w:t xml:space="preserve">and </w:t>
      </w:r>
      <w:r w:rsidRPr="00AF5379">
        <w:t xml:space="preserve">the </w:t>
      </w:r>
      <w:r w:rsidRPr="00840585">
        <w:rPr>
          <w:i/>
        </w:rPr>
        <w:t>National Partnership Agreement on Homelessness</w:t>
      </w:r>
      <w:r w:rsidRPr="00AF5379">
        <w:t xml:space="preserve"> (</w:t>
      </w:r>
      <w:proofErr w:type="spellStart"/>
      <w:r w:rsidRPr="00AF5379">
        <w:t>NPAH</w:t>
      </w:r>
      <w:proofErr w:type="spellEnd"/>
      <w:r w:rsidRPr="00AF5379">
        <w:t>).</w:t>
      </w:r>
      <w:r>
        <w:t xml:space="preserve"> </w:t>
      </w:r>
      <w:r w:rsidRPr="00F55209">
        <w:t>Homelessness services that do not receive government funding and other non</w:t>
      </w:r>
      <w:r>
        <w:noBreakHyphen/>
      </w:r>
      <w:r w:rsidRPr="00F55209">
        <w:t xml:space="preserve">specialist homelessness services are not included in </w:t>
      </w:r>
      <w:r>
        <w:t xml:space="preserve">this </w:t>
      </w:r>
      <w:r w:rsidRPr="00F55209">
        <w:t>Report.</w:t>
      </w:r>
    </w:p>
    <w:p w:rsidR="000707E5" w:rsidRDefault="000707E5" w:rsidP="000707E5">
      <w:pPr>
        <w:pStyle w:val="BodyText"/>
      </w:pPr>
      <w:r>
        <w:t>Improvements to the reporting of homelessness services in this edition include explanatory material on intake and access to specialist homelessness services and how different service delivery models can affect performance measurement in this area.</w:t>
      </w:r>
    </w:p>
    <w:p w:rsidR="000707E5" w:rsidRPr="00F55209" w:rsidRDefault="000707E5" w:rsidP="000707E5">
      <w:pPr>
        <w:pStyle w:val="BodyText"/>
      </w:pPr>
      <w:r>
        <w:t>All abbreviations used in the Report are available in a complete list in volume</w:t>
      </w:r>
      <w:r w:rsidR="000C1770">
        <w:t> </w:t>
      </w:r>
      <w:r>
        <w:t>A:</w:t>
      </w:r>
      <w:r w:rsidR="000C1770">
        <w:t> </w:t>
      </w:r>
      <w:r>
        <w:t>Approach to performance reporting.</w:t>
      </w:r>
    </w:p>
    <w:p w:rsidR="000707E5" w:rsidRDefault="007A5581" w:rsidP="000707E5">
      <w:pPr>
        <w:pStyle w:val="Heading2"/>
      </w:pPr>
      <w:bookmarkStart w:id="7" w:name="_Toc429075899"/>
      <w:r>
        <w:lastRenderedPageBreak/>
        <w:t>18.</w:t>
      </w:r>
      <w:r w:rsidR="007A3D6D">
        <w:rPr>
          <w:noProof/>
        </w:rPr>
        <w:t>1</w:t>
      </w:r>
      <w:r w:rsidR="000707E5">
        <w:tab/>
      </w:r>
      <w:r w:rsidR="000707E5" w:rsidRPr="004F17C9">
        <w:t>Profile of homelessness services</w:t>
      </w:r>
      <w:bookmarkEnd w:id="7"/>
    </w:p>
    <w:p w:rsidR="000707E5" w:rsidRPr="002C6CF3" w:rsidRDefault="000707E5" w:rsidP="000707E5">
      <w:pPr>
        <w:pStyle w:val="Heading3"/>
        <w:rPr>
          <w:color w:val="000000" w:themeColor="text1"/>
          <w:sz w:val="22"/>
        </w:rPr>
      </w:pPr>
      <w:r>
        <w:rPr>
          <w:color w:val="000000" w:themeColor="text1"/>
        </w:rPr>
        <w:t>Service overview</w:t>
      </w:r>
    </w:p>
    <w:p w:rsidR="000707E5" w:rsidRDefault="000707E5" w:rsidP="000707E5">
      <w:pPr>
        <w:pStyle w:val="BodyText"/>
        <w:rPr>
          <w:color w:val="000000" w:themeColor="text1"/>
        </w:rPr>
      </w:pPr>
      <w:r w:rsidRPr="00D42861">
        <w:rPr>
          <w:color w:val="000000" w:themeColor="text1"/>
        </w:rPr>
        <w:t xml:space="preserve">Specialist homelessness services aim to provide support to people who </w:t>
      </w:r>
      <w:r>
        <w:rPr>
          <w:color w:val="000000" w:themeColor="text1"/>
        </w:rPr>
        <w:t xml:space="preserve">are </w:t>
      </w:r>
      <w:r w:rsidRPr="00D42861">
        <w:rPr>
          <w:color w:val="000000" w:themeColor="text1"/>
        </w:rPr>
        <w:t>homeless or at imminent risk of becoming homeless as a result of a crisis, including women and child</w:t>
      </w:r>
      <w:r>
        <w:rPr>
          <w:color w:val="000000" w:themeColor="text1"/>
        </w:rPr>
        <w:t>ren escaping domestic and family violence.</w:t>
      </w:r>
    </w:p>
    <w:p w:rsidR="000707E5" w:rsidRPr="0077766F" w:rsidRDefault="000707E5" w:rsidP="000707E5">
      <w:pPr>
        <w:pStyle w:val="BodyText"/>
        <w:rPr>
          <w:color w:val="000000" w:themeColor="text1"/>
        </w:rPr>
      </w:pPr>
      <w:r w:rsidRPr="0077766F">
        <w:rPr>
          <w:color w:val="000000" w:themeColor="text1"/>
        </w:rPr>
        <w:t>Government and non</w:t>
      </w:r>
      <w:r>
        <w:rPr>
          <w:color w:val="000000" w:themeColor="text1"/>
        </w:rPr>
        <w:noBreakHyphen/>
      </w:r>
      <w:r w:rsidRPr="0077766F">
        <w:rPr>
          <w:color w:val="000000" w:themeColor="text1"/>
        </w:rPr>
        <w:t xml:space="preserve">government </w:t>
      </w:r>
      <w:r>
        <w:rPr>
          <w:color w:val="000000" w:themeColor="text1"/>
        </w:rPr>
        <w:t xml:space="preserve">service providers </w:t>
      </w:r>
      <w:r w:rsidRPr="0077766F">
        <w:rPr>
          <w:color w:val="000000" w:themeColor="text1"/>
        </w:rPr>
        <w:t>(including community organisations) deliver a variety of homelessness services to clients, including supported accommodation, counselling, advocacy, links to housing, health, education and employment services, outreach support, brokerage and meals services, and financial and employment assistance.</w:t>
      </w:r>
    </w:p>
    <w:p w:rsidR="000707E5" w:rsidRDefault="000707E5" w:rsidP="000707E5">
      <w:pPr>
        <w:pStyle w:val="BodyText"/>
      </w:pPr>
      <w:r>
        <w:t xml:space="preserve">Much of the data provided in this Report have been sourced from specialist homelessness service providers through the Specialist </w:t>
      </w:r>
      <w:r w:rsidR="00CD0950">
        <w:t xml:space="preserve">homelessness services </w:t>
      </w:r>
      <w:r>
        <w:t>collection (</w:t>
      </w:r>
      <w:proofErr w:type="spellStart"/>
      <w:r>
        <w:t>SHSC</w:t>
      </w:r>
      <w:proofErr w:type="spellEnd"/>
      <w:r>
        <w:t>), which commenced in 2011</w:t>
      </w:r>
      <w:r>
        <w:noBreakHyphen/>
        <w:t>12 and is conducted by the Australian Institute of Health and Welfare</w:t>
      </w:r>
      <w:r w:rsidR="00CD0950">
        <w:t> </w:t>
      </w:r>
      <w:r>
        <w:t>(</w:t>
      </w:r>
      <w:proofErr w:type="spellStart"/>
      <w:r>
        <w:t>AIHW</w:t>
      </w:r>
      <w:proofErr w:type="spellEnd"/>
      <w:r>
        <w:t>) (box </w:t>
      </w:r>
      <w:r w:rsidR="007A5581">
        <w:t>18.1</w:t>
      </w:r>
      <w:r>
        <w:t>).</w:t>
      </w:r>
    </w:p>
    <w:p w:rsidR="000707E5" w:rsidRDefault="000707E5" w:rsidP="000707E5">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22"/>
        <w:gridCol w:w="8771"/>
      </w:tblGrid>
      <w:tr w:rsidR="000707E5" w:rsidTr="00094389">
        <w:tc>
          <w:tcPr>
            <w:tcW w:w="8793" w:type="dxa"/>
            <w:gridSpan w:val="2"/>
            <w:tcBorders>
              <w:top w:val="single" w:sz="6" w:space="0" w:color="78A22F"/>
              <w:left w:val="nil"/>
              <w:bottom w:val="nil"/>
              <w:right w:val="nil"/>
            </w:tcBorders>
            <w:shd w:val="clear" w:color="auto" w:fill="F2F2F2" w:themeFill="background1" w:themeFillShade="F2"/>
          </w:tcPr>
          <w:p w:rsidR="000707E5" w:rsidRDefault="000707E5" w:rsidP="00094389">
            <w:pPr>
              <w:pStyle w:val="BoxTitle"/>
            </w:pPr>
            <w:r>
              <w:rPr>
                <w:b w:val="0"/>
              </w:rPr>
              <w:t xml:space="preserve">Box </w:t>
            </w:r>
            <w:bookmarkStart w:id="8" w:name="OLE_LINK1"/>
            <w:r w:rsidR="007A5581">
              <w:rPr>
                <w:b w:val="0"/>
              </w:rPr>
              <w:t>18.</w:t>
            </w:r>
            <w:r w:rsidR="007A3D6D">
              <w:rPr>
                <w:b w:val="0"/>
                <w:noProof/>
              </w:rPr>
              <w:t>1</w:t>
            </w:r>
            <w:bookmarkEnd w:id="8"/>
            <w:r>
              <w:tab/>
            </w:r>
            <w:r>
              <w:rPr>
                <w:color w:val="000000" w:themeColor="text1"/>
              </w:rPr>
              <w:t>Specialist homelessness services collection</w:t>
            </w:r>
            <w:r w:rsidRPr="00133BC4">
              <w:rPr>
                <w:color w:val="000000" w:themeColor="text1"/>
              </w:rPr>
              <w:t xml:space="preserve"> (</w:t>
            </w:r>
            <w:proofErr w:type="spellStart"/>
            <w:r w:rsidRPr="00133BC4">
              <w:rPr>
                <w:color w:val="000000" w:themeColor="text1"/>
              </w:rPr>
              <w:t>SHSC</w:t>
            </w:r>
            <w:proofErr w:type="spellEnd"/>
            <w:r w:rsidRPr="00133BC4">
              <w:rPr>
                <w:color w:val="000000" w:themeColor="text1"/>
              </w:rPr>
              <w:t>)</w:t>
            </w:r>
          </w:p>
        </w:tc>
      </w:tr>
      <w:tr w:rsidR="000707E5" w:rsidTr="00094389">
        <w:trPr>
          <w:cantSplit/>
        </w:trPr>
        <w:tc>
          <w:tcPr>
            <w:tcW w:w="8793" w:type="dxa"/>
            <w:gridSpan w:val="2"/>
            <w:tcBorders>
              <w:top w:val="nil"/>
              <w:left w:val="nil"/>
              <w:bottom w:val="nil"/>
              <w:right w:val="nil"/>
            </w:tcBorders>
            <w:shd w:val="clear" w:color="auto" w:fill="F2F2F2" w:themeFill="background1" w:themeFillShade="F2"/>
          </w:tcPr>
          <w:p w:rsidR="000707E5" w:rsidRDefault="000707E5" w:rsidP="00094389">
            <w:pPr>
              <w:pStyle w:val="Box"/>
            </w:pPr>
            <w:proofErr w:type="spellStart"/>
            <w:r w:rsidRPr="00011DF8">
              <w:t>SHSC</w:t>
            </w:r>
            <w:proofErr w:type="spellEnd"/>
            <w:r w:rsidRPr="00011DF8">
              <w:t xml:space="preserve"> data are collected by specialist homelessness agencies for all clients, and reported each month to the </w:t>
            </w:r>
            <w:proofErr w:type="spellStart"/>
            <w:r w:rsidRPr="00011DF8">
              <w:t>AIHW</w:t>
            </w:r>
            <w:proofErr w:type="spellEnd"/>
            <w:r w:rsidRPr="00011DF8">
              <w:t xml:space="preserve">. </w:t>
            </w:r>
          </w:p>
          <w:p w:rsidR="000707E5" w:rsidRDefault="000707E5" w:rsidP="00094389">
            <w:pPr>
              <w:pStyle w:val="Box"/>
            </w:pPr>
            <w:r w:rsidRPr="00011DF8">
              <w:t>The data collected by agencies are based on support period</w:t>
            </w:r>
            <w:r>
              <w:t xml:space="preserve">s </w:t>
            </w:r>
            <w:r w:rsidRPr="00011DF8">
              <w:t>or episodes of assistance provided to individual clients.</w:t>
            </w:r>
            <w:r>
              <w:t xml:space="preserve"> </w:t>
            </w:r>
            <w:r w:rsidRPr="001A1894">
              <w:t>Data are collected about the characteristics and circumstances of a client when they first present at an agency, and on the assistance they receive, their circumstances at the end of each month and a</w:t>
            </w:r>
            <w:r>
              <w:t xml:space="preserve">t the end of the support period. </w:t>
            </w:r>
            <w:r w:rsidRPr="00E44CB2">
              <w:t>Data are also collected about people who request assistance from a specialist homelessness agency but do not receive an assessment of their needs, direct services or a referral to another service.</w:t>
            </w:r>
          </w:p>
          <w:p w:rsidR="000707E5" w:rsidRDefault="000707E5" w:rsidP="00094389">
            <w:pPr>
              <w:pStyle w:val="Box"/>
            </w:pPr>
            <w:r>
              <w:t>The scope of the collection is s</w:t>
            </w:r>
            <w:r w:rsidRPr="00011DF8">
              <w:t xml:space="preserve">pecialist homelessness agencies that are funded under the </w:t>
            </w:r>
            <w:r>
              <w:t xml:space="preserve">NAHA </w:t>
            </w:r>
            <w:r w:rsidRPr="00011DF8">
              <w:t>and the</w:t>
            </w:r>
            <w:r>
              <w:t xml:space="preserve"> </w:t>
            </w:r>
            <w:proofErr w:type="spellStart"/>
            <w:r>
              <w:t>NPAH</w:t>
            </w:r>
            <w:proofErr w:type="spellEnd"/>
            <w:r w:rsidRPr="00011DF8">
              <w:t xml:space="preserve">. Those agencies that are expected to participate in the </w:t>
            </w:r>
            <w:proofErr w:type="spellStart"/>
            <w:r w:rsidRPr="00011DF8">
              <w:t>SHSC</w:t>
            </w:r>
            <w:proofErr w:type="spellEnd"/>
            <w:r w:rsidRPr="00011DF8">
              <w:t xml:space="preserve"> are identified by State and Territory departments responsible for the delivery of services.</w:t>
            </w:r>
          </w:p>
        </w:tc>
      </w:tr>
      <w:tr w:rsidR="000707E5" w:rsidTr="00094389">
        <w:trPr>
          <w:gridBefore w:val="1"/>
          <w:wBefore w:w="22" w:type="dxa"/>
          <w:cantSplit/>
        </w:trPr>
        <w:tc>
          <w:tcPr>
            <w:tcW w:w="8771" w:type="dxa"/>
            <w:tcBorders>
              <w:top w:val="nil"/>
              <w:left w:val="nil"/>
              <w:bottom w:val="nil"/>
              <w:right w:val="nil"/>
            </w:tcBorders>
            <w:shd w:val="clear" w:color="auto" w:fill="F2F2F2"/>
          </w:tcPr>
          <w:p w:rsidR="000707E5" w:rsidRDefault="000707E5" w:rsidP="00094389">
            <w:pPr>
              <w:pStyle w:val="BoxSource"/>
            </w:pPr>
            <w:r>
              <w:rPr>
                <w:i/>
              </w:rPr>
              <w:t>Source</w:t>
            </w:r>
            <w:r w:rsidRPr="00167F06">
              <w:t xml:space="preserve">: </w:t>
            </w:r>
            <w:proofErr w:type="spellStart"/>
            <w:r>
              <w:t>AIHW</w:t>
            </w:r>
            <w:proofErr w:type="spellEnd"/>
            <w:r>
              <w:t xml:space="preserve"> (</w:t>
            </w:r>
            <w:proofErr w:type="spellStart"/>
            <w:r>
              <w:t>2015a</w:t>
            </w:r>
            <w:proofErr w:type="spellEnd"/>
            <w:r>
              <w:t>).</w:t>
            </w:r>
          </w:p>
        </w:tc>
      </w:tr>
      <w:tr w:rsidR="000707E5" w:rsidTr="00094389">
        <w:trPr>
          <w:cantSplit/>
        </w:trPr>
        <w:tc>
          <w:tcPr>
            <w:tcW w:w="8793" w:type="dxa"/>
            <w:gridSpan w:val="2"/>
            <w:tcBorders>
              <w:top w:val="nil"/>
              <w:left w:val="nil"/>
              <w:bottom w:val="single" w:sz="6" w:space="0" w:color="78A22F"/>
              <w:right w:val="nil"/>
            </w:tcBorders>
            <w:shd w:val="clear" w:color="auto" w:fill="F2F2F2" w:themeFill="background1" w:themeFillShade="F2"/>
          </w:tcPr>
          <w:p w:rsidR="000707E5" w:rsidRDefault="000707E5" w:rsidP="00094389">
            <w:pPr>
              <w:pStyle w:val="Box"/>
              <w:spacing w:before="0" w:line="120" w:lineRule="exact"/>
            </w:pPr>
          </w:p>
        </w:tc>
      </w:tr>
      <w:tr w:rsidR="000707E5" w:rsidRPr="000863A5" w:rsidTr="00094389">
        <w:tc>
          <w:tcPr>
            <w:tcW w:w="8793" w:type="dxa"/>
            <w:gridSpan w:val="2"/>
            <w:tcBorders>
              <w:top w:val="single" w:sz="6" w:space="0" w:color="78A22F"/>
              <w:left w:val="nil"/>
              <w:bottom w:val="nil"/>
              <w:right w:val="nil"/>
            </w:tcBorders>
          </w:tcPr>
          <w:p w:rsidR="000707E5" w:rsidRPr="00626D32" w:rsidRDefault="000707E5" w:rsidP="00094389">
            <w:pPr>
              <w:pStyle w:val="BoxSpaceBelow"/>
            </w:pPr>
          </w:p>
        </w:tc>
      </w:tr>
    </w:tbl>
    <w:p w:rsidR="00CD1677" w:rsidRDefault="00CD1677" w:rsidP="00570CF4">
      <w:pPr>
        <w:pStyle w:val="Heading4"/>
      </w:pPr>
      <w:r>
        <w:t>Access</w:t>
      </w:r>
      <w:r w:rsidR="00E26830">
        <w:t>ing</w:t>
      </w:r>
      <w:r>
        <w:t xml:space="preserve"> homelessness services</w:t>
      </w:r>
      <w:r w:rsidR="00E26830">
        <w:t xml:space="preserve"> in Australia</w:t>
      </w:r>
    </w:p>
    <w:p w:rsidR="00BB49E6" w:rsidRDefault="00CD1677" w:rsidP="008E5FB6">
      <w:pPr>
        <w:pStyle w:val="BodyText"/>
      </w:pPr>
      <w:r>
        <w:t xml:space="preserve">Each State and Territory </w:t>
      </w:r>
      <w:r w:rsidR="00E26830">
        <w:t>manages</w:t>
      </w:r>
      <w:r w:rsidR="00555533">
        <w:t xml:space="preserve"> </w:t>
      </w:r>
      <w:r>
        <w:t xml:space="preserve">their own system </w:t>
      </w:r>
      <w:r w:rsidR="00555533">
        <w:t xml:space="preserve">for </w:t>
      </w:r>
      <w:r>
        <w:t xml:space="preserve">the </w:t>
      </w:r>
      <w:r w:rsidR="000707E5">
        <w:t xml:space="preserve">assessment, intake, referral and ongoing case management </w:t>
      </w:r>
      <w:r>
        <w:t xml:space="preserve">of </w:t>
      </w:r>
      <w:r w:rsidR="00D62D6D">
        <w:t xml:space="preserve">specialist homelessness services </w:t>
      </w:r>
      <w:r>
        <w:t>clients</w:t>
      </w:r>
      <w:r w:rsidR="00EC2BF8">
        <w:t xml:space="preserve">. </w:t>
      </w:r>
      <w:r w:rsidR="00B94928">
        <w:t>T</w:t>
      </w:r>
      <w:r>
        <w:t xml:space="preserve">hese </w:t>
      </w:r>
      <w:r w:rsidR="00960672">
        <w:t xml:space="preserve">systems can be summarised into three broad </w:t>
      </w:r>
      <w:r w:rsidR="00BB49E6">
        <w:t>categori</w:t>
      </w:r>
      <w:r w:rsidR="00960672">
        <w:t>e</w:t>
      </w:r>
      <w:r w:rsidR="00BB49E6">
        <w:t>s</w:t>
      </w:r>
      <w:r w:rsidR="002D4781">
        <w:t xml:space="preserve">. </w:t>
      </w:r>
    </w:p>
    <w:p w:rsidR="00BB49E6" w:rsidRDefault="00BB49E6" w:rsidP="008E5FB6">
      <w:pPr>
        <w:pStyle w:val="ListBullet"/>
      </w:pPr>
      <w:r w:rsidRPr="00E26830">
        <w:rPr>
          <w:i/>
        </w:rPr>
        <w:t>Community sector funding and support</w:t>
      </w:r>
      <w:r>
        <w:t xml:space="preserve"> — </w:t>
      </w:r>
      <w:r w:rsidR="00B94928">
        <w:t>The assessment of c</w:t>
      </w:r>
      <w:r>
        <w:t xml:space="preserve">lient </w:t>
      </w:r>
      <w:r w:rsidR="00CC32CD">
        <w:t xml:space="preserve">needs and </w:t>
      </w:r>
      <w:r>
        <w:t xml:space="preserve">intake </w:t>
      </w:r>
      <w:r w:rsidR="00B94928">
        <w:t xml:space="preserve">into services </w:t>
      </w:r>
      <w:r w:rsidR="00960672">
        <w:t>is</w:t>
      </w:r>
      <w:r w:rsidR="0045409B">
        <w:t xml:space="preserve"> </w:t>
      </w:r>
      <w:r w:rsidR="00CC32CD">
        <w:t xml:space="preserve">managed by </w:t>
      </w:r>
      <w:r w:rsidR="00B94928">
        <w:t xml:space="preserve">individual specialist homelessness </w:t>
      </w:r>
      <w:r w:rsidR="009F20A2">
        <w:t>service provider</w:t>
      </w:r>
      <w:r w:rsidR="00B94928">
        <w:t>s</w:t>
      </w:r>
      <w:r>
        <w:t>, consistent with State or Territory p</w:t>
      </w:r>
      <w:r w:rsidR="00B94928">
        <w:t>olicies</w:t>
      </w:r>
      <w:r>
        <w:t xml:space="preserve">. Referral to other </w:t>
      </w:r>
      <w:r w:rsidR="009F20A2">
        <w:t xml:space="preserve">service providers </w:t>
      </w:r>
      <w:r w:rsidR="00CC32CD">
        <w:t xml:space="preserve">is made </w:t>
      </w:r>
      <w:r>
        <w:t>if clients</w:t>
      </w:r>
      <w:r w:rsidR="009F20A2">
        <w:t>’</w:t>
      </w:r>
      <w:r>
        <w:t xml:space="preserve"> needs are not able to be met by </w:t>
      </w:r>
      <w:r w:rsidR="00A32899">
        <w:t xml:space="preserve">the </w:t>
      </w:r>
      <w:r>
        <w:t xml:space="preserve">initial </w:t>
      </w:r>
      <w:r w:rsidR="009F20A2">
        <w:t>provider</w:t>
      </w:r>
      <w:r>
        <w:t>.</w:t>
      </w:r>
      <w:r w:rsidR="0045409B">
        <w:t xml:space="preserve"> </w:t>
      </w:r>
      <w:r w:rsidR="009F20A2">
        <w:t>These</w:t>
      </w:r>
      <w:r w:rsidR="004B2DF0">
        <w:t xml:space="preserve"> systems may be </w:t>
      </w:r>
      <w:r w:rsidR="004B2DF0">
        <w:lastRenderedPageBreak/>
        <w:t xml:space="preserve">supported by a coordinating </w:t>
      </w:r>
      <w:r w:rsidR="00FE265F">
        <w:t>service</w:t>
      </w:r>
      <w:r w:rsidR="009F20A2">
        <w:t>. The coordinating service acts to</w:t>
      </w:r>
      <w:r w:rsidR="00FE265F">
        <w:t xml:space="preserve"> </w:t>
      </w:r>
      <w:r>
        <w:t xml:space="preserve">link clients to local </w:t>
      </w:r>
      <w:r w:rsidR="00B94928">
        <w:t xml:space="preserve">specialist homelessness </w:t>
      </w:r>
      <w:r w:rsidR="009F20A2">
        <w:t>service providers</w:t>
      </w:r>
      <w:r w:rsidR="00FE265F">
        <w:t xml:space="preserve"> </w:t>
      </w:r>
      <w:r w:rsidR="009F20A2">
        <w:t>and may</w:t>
      </w:r>
      <w:r w:rsidR="004B2DF0">
        <w:t xml:space="preserve"> </w:t>
      </w:r>
      <w:r w:rsidR="00D62D6D">
        <w:t>make an initial assessment of a client’s needs</w:t>
      </w:r>
      <w:r w:rsidR="004B2DF0">
        <w:t xml:space="preserve"> (</w:t>
      </w:r>
      <w:r w:rsidR="00D62D6D">
        <w:t xml:space="preserve">but </w:t>
      </w:r>
      <w:r w:rsidR="009F20A2">
        <w:t xml:space="preserve">they </w:t>
      </w:r>
      <w:r w:rsidR="00A32899">
        <w:t>do</w:t>
      </w:r>
      <w:r w:rsidR="00D62D6D">
        <w:t xml:space="preserve"> not provide </w:t>
      </w:r>
      <w:r w:rsidR="00A32899">
        <w:t>homelessness service</w:t>
      </w:r>
      <w:r w:rsidR="009F20A2">
        <w:t>s</w:t>
      </w:r>
      <w:r w:rsidR="00FE265F">
        <w:t xml:space="preserve"> </w:t>
      </w:r>
      <w:r w:rsidR="00D62D6D">
        <w:t>directly</w:t>
      </w:r>
      <w:r w:rsidR="004B2DF0">
        <w:t>)</w:t>
      </w:r>
      <w:r>
        <w:t>.</w:t>
      </w:r>
    </w:p>
    <w:p w:rsidR="00EC2BF8" w:rsidRDefault="00CC32CD" w:rsidP="008E5FB6">
      <w:pPr>
        <w:pStyle w:val="ListBullet"/>
      </w:pPr>
      <w:r w:rsidRPr="00CC32CD">
        <w:rPr>
          <w:i/>
        </w:rPr>
        <w:t>Central information management</w:t>
      </w:r>
      <w:r>
        <w:t xml:space="preserve"> — </w:t>
      </w:r>
      <w:r w:rsidR="00B94928">
        <w:t>The assessment of c</w:t>
      </w:r>
      <w:r>
        <w:t>lient needs</w:t>
      </w:r>
      <w:r w:rsidR="00B94928">
        <w:t>,</w:t>
      </w:r>
      <w:r>
        <w:t xml:space="preserve"> intake and referral </w:t>
      </w:r>
      <w:r w:rsidR="00960672">
        <w:t xml:space="preserve">is </w:t>
      </w:r>
      <w:r>
        <w:t xml:space="preserve">managed by </w:t>
      </w:r>
      <w:r w:rsidR="00B94928">
        <w:t>any</w:t>
      </w:r>
      <w:r w:rsidR="00960672">
        <w:t xml:space="preserve"> </w:t>
      </w:r>
      <w:r w:rsidR="00B94928">
        <w:t xml:space="preserve">specialist homelessness </w:t>
      </w:r>
      <w:r w:rsidR="009F20A2">
        <w:t>service provider</w:t>
      </w:r>
      <w:r w:rsidR="0045409B">
        <w:t xml:space="preserve">, </w:t>
      </w:r>
      <w:r w:rsidR="00960672">
        <w:t xml:space="preserve">via State and Territory </w:t>
      </w:r>
      <w:r w:rsidR="00EC2BF8">
        <w:t>central</w:t>
      </w:r>
      <w:r>
        <w:t xml:space="preserve"> </w:t>
      </w:r>
      <w:r w:rsidRPr="00EC2BF8">
        <w:t>information management tool</w:t>
      </w:r>
      <w:r w:rsidR="00EC2BF8" w:rsidRPr="00EC2BF8">
        <w:t>s</w:t>
      </w:r>
      <w:r w:rsidR="0045409B">
        <w:t xml:space="preserve">. The central information management system </w:t>
      </w:r>
      <w:r w:rsidR="00EC2BF8">
        <w:t>assist</w:t>
      </w:r>
      <w:r w:rsidR="00D62D6D">
        <w:t>s</w:t>
      </w:r>
      <w:r w:rsidR="00EC2BF8">
        <w:t xml:space="preserve"> </w:t>
      </w:r>
      <w:r w:rsidR="00E26830">
        <w:t>in the identification of</w:t>
      </w:r>
      <w:r w:rsidR="00EC2BF8">
        <w:t xml:space="preserve"> </w:t>
      </w:r>
      <w:r w:rsidR="00E26830">
        <w:t xml:space="preserve">appropriate </w:t>
      </w:r>
      <w:r w:rsidR="00EC2BF8">
        <w:t>services</w:t>
      </w:r>
      <w:r w:rsidR="00E26830">
        <w:t xml:space="preserve"> </w:t>
      </w:r>
      <w:r w:rsidR="009F20A2">
        <w:t xml:space="preserve">and </w:t>
      </w:r>
      <w:r w:rsidR="003B1B37">
        <w:t xml:space="preserve">indicates the </w:t>
      </w:r>
      <w:r w:rsidR="009F20A2">
        <w:t xml:space="preserve">availability/vacancy for services at </w:t>
      </w:r>
      <w:r w:rsidR="003B1B37">
        <w:t xml:space="preserve">all </w:t>
      </w:r>
      <w:r w:rsidR="009F20A2">
        <w:t>specialist homelessness service providers</w:t>
      </w:r>
      <w:r w:rsidR="00EC2BF8">
        <w:t xml:space="preserve">. Client information may be shared between </w:t>
      </w:r>
      <w:r w:rsidR="003B1B37">
        <w:t>providers</w:t>
      </w:r>
      <w:r w:rsidR="00B94928">
        <w:t xml:space="preserve"> </w:t>
      </w:r>
      <w:r w:rsidR="0045409B">
        <w:t xml:space="preserve">upon referral </w:t>
      </w:r>
      <w:r w:rsidR="00EC2BF8">
        <w:t>(with client consent).</w:t>
      </w:r>
    </w:p>
    <w:p w:rsidR="00EC2BF8" w:rsidRDefault="00EC2BF8" w:rsidP="008E5FB6">
      <w:pPr>
        <w:pStyle w:val="ListBullet"/>
      </w:pPr>
      <w:r w:rsidRPr="00EC2BF8">
        <w:rPr>
          <w:i/>
        </w:rPr>
        <w:t>Central intake</w:t>
      </w:r>
      <w:r>
        <w:t xml:space="preserve"> — </w:t>
      </w:r>
      <w:r w:rsidR="00B94928">
        <w:t xml:space="preserve">The assessment of </w:t>
      </w:r>
      <w:r w:rsidR="0045409B">
        <w:t xml:space="preserve">client needs, intake and referral </w:t>
      </w:r>
      <w:r w:rsidR="003C145F">
        <w:t xml:space="preserve">is </w:t>
      </w:r>
      <w:r w:rsidR="003B1B37">
        <w:t xml:space="preserve">managed by one or more </w:t>
      </w:r>
      <w:r w:rsidR="0045409B">
        <w:t>‘c</w:t>
      </w:r>
      <w:r>
        <w:t>entral</w:t>
      </w:r>
      <w:r w:rsidR="0045409B">
        <w:t xml:space="preserve"> intake’</w:t>
      </w:r>
      <w:r>
        <w:t xml:space="preserve"> agenc</w:t>
      </w:r>
      <w:r w:rsidR="003B1B37">
        <w:t>ies</w:t>
      </w:r>
      <w:r>
        <w:t xml:space="preserve">. </w:t>
      </w:r>
      <w:r w:rsidR="003C145F">
        <w:t xml:space="preserve">Central intake agencies prioritise </w:t>
      </w:r>
      <w:r w:rsidR="00D62D6D">
        <w:t xml:space="preserve">access to services </w:t>
      </w:r>
      <w:r w:rsidR="003C145F">
        <w:t>and only refer clients as services and/or vacancies are available</w:t>
      </w:r>
      <w:r>
        <w:t xml:space="preserve">. </w:t>
      </w:r>
      <w:r w:rsidR="0045409B">
        <w:t xml:space="preserve">Central information management tools may exist to </w:t>
      </w:r>
      <w:r w:rsidR="003E45DE">
        <w:t xml:space="preserve">share </w:t>
      </w:r>
      <w:r w:rsidR="0045409B">
        <w:t xml:space="preserve">information between </w:t>
      </w:r>
      <w:r w:rsidR="00B94928">
        <w:t xml:space="preserve">specialist homelessness </w:t>
      </w:r>
      <w:r w:rsidR="003B1B37">
        <w:t xml:space="preserve">service providers and </w:t>
      </w:r>
      <w:r w:rsidR="0045409B">
        <w:t>central intake agencies.</w:t>
      </w:r>
    </w:p>
    <w:p w:rsidR="000707E5" w:rsidRDefault="002D4781" w:rsidP="008E5FB6">
      <w:pPr>
        <w:pStyle w:val="BodyText"/>
      </w:pPr>
      <w:r>
        <w:t xml:space="preserve">Although presented as three distinct categories, these systems are representative of a spectrum of approaches jurisdictions may adopt to coordinate entry into specialist homelessness services. </w:t>
      </w:r>
      <w:r w:rsidR="000707E5">
        <w:t xml:space="preserve">Table 18.1 summarises </w:t>
      </w:r>
      <w:r w:rsidR="00EC2BF8">
        <w:t xml:space="preserve">the intake and referral </w:t>
      </w:r>
      <w:r w:rsidR="000707E5">
        <w:t>system</w:t>
      </w:r>
      <w:r w:rsidR="00EC2BF8">
        <w:t>s</w:t>
      </w:r>
      <w:r w:rsidR="00A32899">
        <w:t xml:space="preserve"> used</w:t>
      </w:r>
      <w:r>
        <w:t xml:space="preserve"> by each </w:t>
      </w:r>
      <w:r w:rsidR="000707E5">
        <w:t>jurisdiction</w:t>
      </w:r>
      <w:r>
        <w:t xml:space="preserve">, with an indication of which category they </w:t>
      </w:r>
      <w:r w:rsidR="00A32899">
        <w:t xml:space="preserve">would </w:t>
      </w:r>
      <w:r>
        <w:t>most closely align</w:t>
      </w:r>
      <w:r w:rsidR="000707E5">
        <w:t xml:space="preserve">. </w:t>
      </w:r>
    </w:p>
    <w:p w:rsidR="004A53D0" w:rsidRDefault="004A53D0" w:rsidP="008E5FB6">
      <w:pPr>
        <w:pStyle w:val="BodyText"/>
      </w:pPr>
      <w:r>
        <w:t>These different service delivery models may affect measurement of specific performance indicators (box 18.3).</w:t>
      </w:r>
    </w:p>
    <w:p w:rsidR="003E45DE" w:rsidRDefault="003E45DE" w:rsidP="003E45D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E45DE" w:rsidTr="00A5736B">
        <w:tc>
          <w:tcPr>
            <w:tcW w:w="8771" w:type="dxa"/>
            <w:tcBorders>
              <w:top w:val="single" w:sz="6" w:space="0" w:color="78A22F"/>
              <w:left w:val="nil"/>
              <w:bottom w:val="nil"/>
              <w:right w:val="nil"/>
            </w:tcBorders>
            <w:shd w:val="clear" w:color="auto" w:fill="auto"/>
          </w:tcPr>
          <w:p w:rsidR="003E45DE" w:rsidRPr="00784A05" w:rsidRDefault="003E45DE" w:rsidP="00FE265F">
            <w:pPr>
              <w:pStyle w:val="TableTitle"/>
            </w:pPr>
            <w:r>
              <w:rPr>
                <w:b w:val="0"/>
              </w:rPr>
              <w:t xml:space="preserve">Table </w:t>
            </w:r>
            <w:r w:rsidR="007A5581">
              <w:rPr>
                <w:b w:val="0"/>
              </w:rPr>
              <w:t>18.</w:t>
            </w:r>
            <w:r w:rsidR="007A3D6D">
              <w:rPr>
                <w:b w:val="0"/>
                <w:noProof/>
              </w:rPr>
              <w:t>1</w:t>
            </w:r>
            <w:r>
              <w:tab/>
              <w:t>Jurisdictional homelessness intake and referral systems</w:t>
            </w:r>
          </w:p>
        </w:tc>
      </w:tr>
      <w:tr w:rsidR="003E45DE" w:rsidTr="00A5736B">
        <w:trPr>
          <w:cantSplit/>
        </w:trPr>
        <w:tc>
          <w:tcPr>
            <w:tcW w:w="8771" w:type="dxa"/>
            <w:tcBorders>
              <w:top w:val="nil"/>
              <w:left w:val="nil"/>
              <w:bottom w:val="nil"/>
              <w:right w:val="nil"/>
            </w:tcBorders>
            <w:shd w:val="clear" w:color="auto" w:fill="auto"/>
          </w:tcPr>
          <w:tbl>
            <w:tblPr>
              <w:tblW w:w="5000" w:type="pct"/>
              <w:tblCellMar>
                <w:top w:w="28" w:type="dxa"/>
                <w:left w:w="57" w:type="dxa"/>
                <w:bottom w:w="28" w:type="dxa"/>
                <w:right w:w="28" w:type="dxa"/>
              </w:tblCellMar>
              <w:tblLook w:val="0000" w:firstRow="0" w:lastRow="0" w:firstColumn="0" w:lastColumn="0" w:noHBand="0" w:noVBand="0"/>
            </w:tblPr>
            <w:tblGrid>
              <w:gridCol w:w="625"/>
              <w:gridCol w:w="1478"/>
              <w:gridCol w:w="4563"/>
              <w:gridCol w:w="1821"/>
            </w:tblGrid>
            <w:tr w:rsidR="00555533" w:rsidTr="005A74A8">
              <w:tc>
                <w:tcPr>
                  <w:tcW w:w="368" w:type="pct"/>
                  <w:tcBorders>
                    <w:top w:val="single" w:sz="6" w:space="0" w:color="BFBFBF"/>
                    <w:bottom w:val="single" w:sz="6" w:space="0" w:color="BFBFBF"/>
                  </w:tcBorders>
                  <w:shd w:val="clear" w:color="auto" w:fill="auto"/>
                  <w:tcMar>
                    <w:top w:w="28" w:type="dxa"/>
                  </w:tcMar>
                  <w:vAlign w:val="bottom"/>
                </w:tcPr>
                <w:p w:rsidR="003E45DE" w:rsidRDefault="003E45DE" w:rsidP="00FE265F">
                  <w:pPr>
                    <w:pStyle w:val="TableColumnHeading"/>
                    <w:jc w:val="left"/>
                  </w:pPr>
                </w:p>
              </w:tc>
              <w:tc>
                <w:tcPr>
                  <w:tcW w:w="871" w:type="pct"/>
                  <w:tcBorders>
                    <w:top w:val="single" w:sz="6" w:space="0" w:color="BFBFBF"/>
                    <w:bottom w:val="single" w:sz="6" w:space="0" w:color="BFBFBF"/>
                  </w:tcBorders>
                  <w:shd w:val="clear" w:color="auto" w:fill="auto"/>
                  <w:tcMar>
                    <w:top w:w="28" w:type="dxa"/>
                  </w:tcMar>
                  <w:vAlign w:val="center"/>
                </w:tcPr>
                <w:p w:rsidR="003E45DE" w:rsidRDefault="003E45DE" w:rsidP="005A74A8">
                  <w:pPr>
                    <w:pStyle w:val="TableColumnHeading"/>
                    <w:jc w:val="left"/>
                  </w:pPr>
                  <w:r>
                    <w:t>System name</w:t>
                  </w:r>
                </w:p>
              </w:tc>
              <w:tc>
                <w:tcPr>
                  <w:tcW w:w="2688" w:type="pct"/>
                  <w:tcBorders>
                    <w:top w:val="single" w:sz="6" w:space="0" w:color="BFBFBF"/>
                    <w:bottom w:val="single" w:sz="6" w:space="0" w:color="BFBFBF"/>
                  </w:tcBorders>
                  <w:vAlign w:val="center"/>
                </w:tcPr>
                <w:p w:rsidR="003E45DE" w:rsidRDefault="003E45DE" w:rsidP="005A74A8">
                  <w:pPr>
                    <w:pStyle w:val="TableColumnHeading"/>
                    <w:jc w:val="left"/>
                  </w:pPr>
                  <w:r>
                    <w:t>Description</w:t>
                  </w:r>
                </w:p>
              </w:tc>
              <w:tc>
                <w:tcPr>
                  <w:tcW w:w="1073" w:type="pct"/>
                  <w:tcBorders>
                    <w:top w:val="single" w:sz="6" w:space="0" w:color="BFBFBF"/>
                    <w:bottom w:val="single" w:sz="6" w:space="0" w:color="BFBFBF"/>
                  </w:tcBorders>
                  <w:vAlign w:val="center"/>
                </w:tcPr>
                <w:p w:rsidR="003E45DE" w:rsidRDefault="003E45DE" w:rsidP="005A74A8">
                  <w:pPr>
                    <w:pStyle w:val="TableColumnHeading"/>
                    <w:jc w:val="left"/>
                  </w:pPr>
                  <w:r>
                    <w:t>Category</w:t>
                  </w:r>
                  <w:r w:rsidRPr="00F423D2">
                    <w:rPr>
                      <w:rStyle w:val="NoteLabel"/>
                    </w:rPr>
                    <w:t>a</w:t>
                  </w:r>
                </w:p>
              </w:tc>
            </w:tr>
            <w:tr w:rsidR="00555533" w:rsidTr="005A74A8">
              <w:tc>
                <w:tcPr>
                  <w:tcW w:w="368" w:type="pct"/>
                  <w:tcBorders>
                    <w:top w:val="single" w:sz="6" w:space="0" w:color="BFBFBF"/>
                  </w:tcBorders>
                </w:tcPr>
                <w:p w:rsidR="003E45DE" w:rsidRDefault="003E45DE" w:rsidP="00FE265F">
                  <w:pPr>
                    <w:pStyle w:val="TableBodyText"/>
                    <w:jc w:val="left"/>
                  </w:pPr>
                  <w:r>
                    <w:t>NSW</w:t>
                  </w:r>
                </w:p>
              </w:tc>
              <w:tc>
                <w:tcPr>
                  <w:tcW w:w="871" w:type="pct"/>
                  <w:tcBorders>
                    <w:top w:val="single" w:sz="6" w:space="0" w:color="BFBFBF"/>
                  </w:tcBorders>
                </w:tcPr>
                <w:p w:rsidR="003E45DE" w:rsidRDefault="00FE265F" w:rsidP="00FE265F">
                  <w:pPr>
                    <w:pStyle w:val="TableBodyText"/>
                    <w:jc w:val="left"/>
                  </w:pPr>
                  <w:r>
                    <w:t>No Wrong Door</w:t>
                  </w:r>
                </w:p>
              </w:tc>
              <w:tc>
                <w:tcPr>
                  <w:tcW w:w="2688" w:type="pct"/>
                  <w:tcBorders>
                    <w:top w:val="single" w:sz="6" w:space="0" w:color="BFBFBF"/>
                  </w:tcBorders>
                </w:tcPr>
                <w:p w:rsidR="00FE265F" w:rsidRDefault="00FE265F" w:rsidP="00FE265F">
                  <w:pPr>
                    <w:pStyle w:val="TableBodyText"/>
                    <w:jc w:val="left"/>
                  </w:pPr>
                  <w:r w:rsidRPr="00FE265F">
                    <w:t xml:space="preserve">Assessment and referral </w:t>
                  </w:r>
                  <w:r>
                    <w:t xml:space="preserve">for homelessness services may be </w:t>
                  </w:r>
                  <w:r w:rsidRPr="00FE265F">
                    <w:t>conducted by</w:t>
                  </w:r>
                  <w:r>
                    <w:t>: 1) any</w:t>
                  </w:r>
                  <w:r w:rsidRPr="00FE265F">
                    <w:t xml:space="preserve"> </w:t>
                  </w:r>
                  <w:r>
                    <w:t xml:space="preserve">specialist homelessness service </w:t>
                  </w:r>
                  <w:r w:rsidRPr="00FE265F">
                    <w:t>provider</w:t>
                  </w:r>
                  <w:r>
                    <w:t xml:space="preserve">; 2) the </w:t>
                  </w:r>
                  <w:proofErr w:type="spellStart"/>
                  <w:r w:rsidRPr="00FE265F">
                    <w:t>Link2home</w:t>
                  </w:r>
                  <w:proofErr w:type="spellEnd"/>
                  <w:r w:rsidRPr="00FE265F">
                    <w:t xml:space="preserve"> information and referral service</w:t>
                  </w:r>
                  <w:r>
                    <w:t>; or</w:t>
                  </w:r>
                  <w:r w:rsidRPr="00FE265F">
                    <w:t xml:space="preserve"> </w:t>
                  </w:r>
                  <w:r>
                    <w:t xml:space="preserve">3) the </w:t>
                  </w:r>
                  <w:r w:rsidRPr="00FE265F">
                    <w:t xml:space="preserve">NSW </w:t>
                  </w:r>
                  <w:r>
                    <w:t xml:space="preserve">Domestic Violence </w:t>
                  </w:r>
                  <w:r w:rsidRPr="00FE265F">
                    <w:t>Line</w:t>
                  </w:r>
                  <w:r>
                    <w:t>.</w:t>
                  </w:r>
                  <w:r w:rsidRPr="00FE265F">
                    <w:t xml:space="preserve"> </w:t>
                  </w:r>
                </w:p>
                <w:p w:rsidR="003E45DE" w:rsidRPr="00672762" w:rsidRDefault="00FE265F" w:rsidP="00FE265F">
                  <w:pPr>
                    <w:pStyle w:val="TableBodyText"/>
                    <w:jc w:val="left"/>
                  </w:pPr>
                  <w:r>
                    <w:t xml:space="preserve">It is </w:t>
                  </w:r>
                  <w:r w:rsidRPr="00FE265F">
                    <w:t xml:space="preserve">supported by </w:t>
                  </w:r>
                  <w:r>
                    <w:t xml:space="preserve">a </w:t>
                  </w:r>
                  <w:r w:rsidRPr="00FE265F">
                    <w:t>centralised service directory and vacancy management system</w:t>
                  </w:r>
                  <w:r>
                    <w:t>.</w:t>
                  </w:r>
                </w:p>
              </w:tc>
              <w:tc>
                <w:tcPr>
                  <w:tcW w:w="1073" w:type="pct"/>
                  <w:tcBorders>
                    <w:top w:val="single" w:sz="6" w:space="0" w:color="BFBFBF"/>
                  </w:tcBorders>
                </w:tcPr>
                <w:p w:rsidR="003E45DE" w:rsidRPr="00672762" w:rsidRDefault="003E45DE" w:rsidP="00F423D2">
                  <w:pPr>
                    <w:pStyle w:val="TableBodyText"/>
                    <w:ind w:right="28"/>
                    <w:jc w:val="center"/>
                  </w:pPr>
                  <w:r>
                    <w:t>Central information</w:t>
                  </w:r>
                </w:p>
              </w:tc>
            </w:tr>
            <w:tr w:rsidR="00555533" w:rsidTr="00570CF4">
              <w:tc>
                <w:tcPr>
                  <w:tcW w:w="368" w:type="pct"/>
                </w:tcPr>
                <w:p w:rsidR="003E45DE" w:rsidRDefault="003E45DE" w:rsidP="00FE265F">
                  <w:pPr>
                    <w:pStyle w:val="TableBodyText"/>
                    <w:jc w:val="left"/>
                  </w:pPr>
                  <w:r>
                    <w:t>Vic</w:t>
                  </w:r>
                </w:p>
              </w:tc>
              <w:tc>
                <w:tcPr>
                  <w:tcW w:w="871" w:type="pct"/>
                </w:tcPr>
                <w:p w:rsidR="003E45DE" w:rsidRDefault="003E45DE" w:rsidP="00FE265F">
                  <w:pPr>
                    <w:pStyle w:val="TableBodyText"/>
                    <w:jc w:val="left"/>
                  </w:pPr>
                  <w:r>
                    <w:t>Opening doors framework</w:t>
                  </w:r>
                </w:p>
              </w:tc>
              <w:tc>
                <w:tcPr>
                  <w:tcW w:w="2688" w:type="pct"/>
                  <w:shd w:val="clear" w:color="auto" w:fill="auto"/>
                </w:tcPr>
                <w:p w:rsidR="003E45DE" w:rsidRPr="00CC615F" w:rsidRDefault="00B71E0A" w:rsidP="00B71E0A">
                  <w:pPr>
                    <w:pStyle w:val="TableBodyText"/>
                    <w:jc w:val="left"/>
                  </w:pPr>
                  <w:r>
                    <w:t>An i</w:t>
                  </w:r>
                  <w:r w:rsidR="003E45DE" w:rsidRPr="00CC615F">
                    <w:t xml:space="preserve">ntegrated </w:t>
                  </w:r>
                  <w:r>
                    <w:t xml:space="preserve">assessment and referral </w:t>
                  </w:r>
                  <w:r w:rsidR="003E45DE">
                    <w:t xml:space="preserve">system with </w:t>
                  </w:r>
                  <w:r w:rsidR="003E45DE" w:rsidRPr="00CC615F">
                    <w:t>a limited number of designated access points</w:t>
                  </w:r>
                  <w:r w:rsidR="003E45DE">
                    <w:t>.</w:t>
                  </w:r>
                </w:p>
              </w:tc>
              <w:tc>
                <w:tcPr>
                  <w:tcW w:w="1073" w:type="pct"/>
                </w:tcPr>
                <w:p w:rsidR="003E45DE" w:rsidRPr="00672762" w:rsidRDefault="003E45DE" w:rsidP="00F423D2">
                  <w:pPr>
                    <w:pStyle w:val="TableBodyText"/>
                    <w:ind w:right="28"/>
                    <w:jc w:val="center"/>
                  </w:pPr>
                  <w:r>
                    <w:t>Central intake</w:t>
                  </w:r>
                </w:p>
              </w:tc>
            </w:tr>
            <w:tr w:rsidR="00555533" w:rsidTr="00570CF4">
              <w:tc>
                <w:tcPr>
                  <w:tcW w:w="368" w:type="pct"/>
                  <w:shd w:val="clear" w:color="auto" w:fill="auto"/>
                </w:tcPr>
                <w:p w:rsidR="003E45DE" w:rsidRDefault="003E45DE" w:rsidP="00FE265F">
                  <w:pPr>
                    <w:pStyle w:val="TableBodyText"/>
                    <w:jc w:val="left"/>
                  </w:pPr>
                  <w:r>
                    <w:t>Qld</w:t>
                  </w:r>
                </w:p>
              </w:tc>
              <w:tc>
                <w:tcPr>
                  <w:tcW w:w="871" w:type="pct"/>
                  <w:shd w:val="clear" w:color="auto" w:fill="auto"/>
                </w:tcPr>
                <w:p w:rsidR="003E45DE" w:rsidRDefault="003E45DE" w:rsidP="00555533">
                  <w:pPr>
                    <w:pStyle w:val="TableBodyText"/>
                    <w:ind w:right="0"/>
                    <w:jc w:val="left"/>
                  </w:pPr>
                  <w:r>
                    <w:t xml:space="preserve">Queensland Homelessness Information Platform </w:t>
                  </w:r>
                </w:p>
              </w:tc>
              <w:tc>
                <w:tcPr>
                  <w:tcW w:w="2688" w:type="pct"/>
                  <w:shd w:val="clear" w:color="auto" w:fill="auto"/>
                </w:tcPr>
                <w:p w:rsidR="002D4781" w:rsidRDefault="002D4781" w:rsidP="002D4781">
                  <w:pPr>
                    <w:pStyle w:val="TableBodyText"/>
                    <w:jc w:val="left"/>
                  </w:pPr>
                  <w:r w:rsidRPr="00FE265F">
                    <w:t xml:space="preserve">Assessment and referral </w:t>
                  </w:r>
                  <w:r>
                    <w:t xml:space="preserve">for homelessness services </w:t>
                  </w:r>
                  <w:r w:rsidR="00E0316D">
                    <w:t>is</w:t>
                  </w:r>
                  <w:r>
                    <w:t xml:space="preserve"> </w:t>
                  </w:r>
                  <w:r w:rsidRPr="00FE265F">
                    <w:t>conducted by</w:t>
                  </w:r>
                  <w:r>
                    <w:t xml:space="preserve"> </w:t>
                  </w:r>
                  <w:r w:rsidR="003B1B37">
                    <w:t xml:space="preserve">any </w:t>
                  </w:r>
                  <w:r>
                    <w:t xml:space="preserve">specialist homelessness service </w:t>
                  </w:r>
                  <w:r w:rsidR="003B1B37">
                    <w:t>provider</w:t>
                  </w:r>
                  <w:r>
                    <w:t>.</w:t>
                  </w:r>
                </w:p>
                <w:p w:rsidR="003E45DE" w:rsidRPr="00CC615F" w:rsidRDefault="002D4781" w:rsidP="002D4781">
                  <w:pPr>
                    <w:pStyle w:val="TableBodyText"/>
                    <w:jc w:val="left"/>
                  </w:pPr>
                  <w:r>
                    <w:t>The information platform provides</w:t>
                  </w:r>
                  <w:r w:rsidR="003E45DE" w:rsidRPr="00CC615F">
                    <w:t xml:space="preserve"> a consistent assessment, referral and prioritisation process</w:t>
                  </w:r>
                  <w:r w:rsidR="003E45DE">
                    <w:t>.</w:t>
                  </w:r>
                </w:p>
              </w:tc>
              <w:tc>
                <w:tcPr>
                  <w:tcW w:w="1073" w:type="pct"/>
                </w:tcPr>
                <w:p w:rsidR="003E45DE" w:rsidRPr="00672762" w:rsidRDefault="003E45DE" w:rsidP="00F423D2">
                  <w:pPr>
                    <w:pStyle w:val="TableBodyText"/>
                    <w:ind w:right="28"/>
                    <w:jc w:val="center"/>
                  </w:pPr>
                  <w:r>
                    <w:t>Central information</w:t>
                  </w:r>
                </w:p>
              </w:tc>
            </w:tr>
            <w:tr w:rsidR="00555533" w:rsidTr="00570CF4">
              <w:tc>
                <w:tcPr>
                  <w:tcW w:w="368" w:type="pct"/>
                  <w:shd w:val="clear" w:color="auto" w:fill="auto"/>
                </w:tcPr>
                <w:p w:rsidR="003E45DE" w:rsidRDefault="003E45DE" w:rsidP="00FE265F">
                  <w:pPr>
                    <w:pStyle w:val="TableBodyText"/>
                    <w:jc w:val="left"/>
                  </w:pPr>
                  <w:r>
                    <w:t>WA</w:t>
                  </w:r>
                </w:p>
              </w:tc>
              <w:tc>
                <w:tcPr>
                  <w:tcW w:w="871" w:type="pct"/>
                  <w:shd w:val="clear" w:color="auto" w:fill="auto"/>
                </w:tcPr>
                <w:p w:rsidR="003E45DE" w:rsidRDefault="003E45DE" w:rsidP="00FE265F">
                  <w:pPr>
                    <w:pStyle w:val="TableBodyText"/>
                    <w:jc w:val="left"/>
                  </w:pPr>
                  <w:proofErr w:type="spellStart"/>
                  <w:r>
                    <w:t>Entrypoint</w:t>
                  </w:r>
                  <w:proofErr w:type="spellEnd"/>
                  <w:r>
                    <w:t xml:space="preserve"> Perth</w:t>
                  </w:r>
                </w:p>
              </w:tc>
              <w:tc>
                <w:tcPr>
                  <w:tcW w:w="2688" w:type="pct"/>
                  <w:shd w:val="clear" w:color="auto" w:fill="auto"/>
                </w:tcPr>
                <w:p w:rsidR="003E45DE" w:rsidRPr="00CC615F" w:rsidRDefault="00F63BDD" w:rsidP="003B1B37">
                  <w:pPr>
                    <w:pStyle w:val="TableBodyText"/>
                    <w:jc w:val="left"/>
                  </w:pPr>
                  <w:r>
                    <w:t>P</w:t>
                  </w:r>
                  <w:r w:rsidR="002D4781" w:rsidRPr="002D4781">
                    <w:t>rovide</w:t>
                  </w:r>
                  <w:r w:rsidR="003B1B37">
                    <w:t>s</w:t>
                  </w:r>
                  <w:r w:rsidR="002D4781" w:rsidRPr="002D4781">
                    <w:t xml:space="preserve"> information</w:t>
                  </w:r>
                  <w:r w:rsidR="003B1B37">
                    <w:t>,</w:t>
                  </w:r>
                  <w:r w:rsidR="002D4781" w:rsidRPr="002D4781">
                    <w:t xml:space="preserve"> assessment</w:t>
                  </w:r>
                  <w:r w:rsidR="003B1B37">
                    <w:t>,</w:t>
                  </w:r>
                  <w:r w:rsidR="002D4781" w:rsidRPr="002D4781">
                    <w:t xml:space="preserve"> and referral to </w:t>
                  </w:r>
                  <w:r w:rsidR="003B1B37">
                    <w:t>specialist homelessness service providers</w:t>
                  </w:r>
                  <w:r w:rsidR="003B1B37" w:rsidRPr="002D4781">
                    <w:t xml:space="preserve"> </w:t>
                  </w:r>
                  <w:r w:rsidR="002D4781" w:rsidRPr="002D4781">
                    <w:t>in</w:t>
                  </w:r>
                  <w:r w:rsidR="007D1EA0">
                    <w:t xml:space="preserve"> </w:t>
                  </w:r>
                  <w:r w:rsidR="002D4781" w:rsidRPr="002D4781">
                    <w:t>the metropolitan area</w:t>
                  </w:r>
                  <w:r w:rsidR="003B1B37">
                    <w:t>.</w:t>
                  </w:r>
                </w:p>
              </w:tc>
              <w:tc>
                <w:tcPr>
                  <w:tcW w:w="1073" w:type="pct"/>
                </w:tcPr>
                <w:p w:rsidR="003E45DE" w:rsidRPr="00672762" w:rsidRDefault="003E45DE" w:rsidP="00F423D2">
                  <w:pPr>
                    <w:pStyle w:val="TableBodyText"/>
                    <w:ind w:right="28"/>
                    <w:jc w:val="center"/>
                  </w:pPr>
                  <w:r>
                    <w:t>Community sector</w:t>
                  </w:r>
                  <w:r w:rsidR="00B71E0A">
                    <w:t xml:space="preserve"> funding and support</w:t>
                  </w:r>
                </w:p>
              </w:tc>
            </w:tr>
            <w:tr w:rsidR="00555533" w:rsidTr="00570CF4">
              <w:tc>
                <w:tcPr>
                  <w:tcW w:w="368" w:type="pct"/>
                  <w:shd w:val="clear" w:color="auto" w:fill="auto"/>
                </w:tcPr>
                <w:p w:rsidR="003E45DE" w:rsidRDefault="003E45DE" w:rsidP="00FE265F">
                  <w:pPr>
                    <w:pStyle w:val="TableBodyText"/>
                    <w:jc w:val="left"/>
                  </w:pPr>
                  <w:r>
                    <w:t>SA</w:t>
                  </w:r>
                </w:p>
              </w:tc>
              <w:tc>
                <w:tcPr>
                  <w:tcW w:w="871" w:type="pct"/>
                  <w:shd w:val="clear" w:color="auto" w:fill="auto"/>
                </w:tcPr>
                <w:p w:rsidR="003E45DE" w:rsidRDefault="003E45DE" w:rsidP="00FE265F">
                  <w:pPr>
                    <w:pStyle w:val="TableBodyText"/>
                    <w:jc w:val="left"/>
                  </w:pPr>
                  <w:r>
                    <w:t>Homeless 2 Home</w:t>
                  </w:r>
                </w:p>
              </w:tc>
              <w:tc>
                <w:tcPr>
                  <w:tcW w:w="2688" w:type="pct"/>
                  <w:shd w:val="clear" w:color="auto" w:fill="auto"/>
                </w:tcPr>
                <w:p w:rsidR="003E45DE" w:rsidRPr="00CC615F" w:rsidRDefault="00F63BDD" w:rsidP="003B1B37">
                  <w:pPr>
                    <w:pStyle w:val="TableBodyText"/>
                    <w:jc w:val="left"/>
                  </w:pPr>
                  <w:r>
                    <w:t>Provides</w:t>
                  </w:r>
                  <w:r w:rsidR="003E45DE" w:rsidRPr="00672762">
                    <w:t xml:space="preserve"> client </w:t>
                  </w:r>
                  <w:r w:rsidR="00B71E0A">
                    <w:t xml:space="preserve">assessment, intake, referral and ongoing </w:t>
                  </w:r>
                  <w:r w:rsidR="003E45DE" w:rsidRPr="00672762">
                    <w:t>case management system</w:t>
                  </w:r>
                  <w:r w:rsidR="003E45DE">
                    <w:t xml:space="preserve"> accessible to </w:t>
                  </w:r>
                  <w:r w:rsidR="00555533">
                    <w:t xml:space="preserve">specialist homelessness </w:t>
                  </w:r>
                  <w:r w:rsidR="003B1B37">
                    <w:t>service providers</w:t>
                  </w:r>
                  <w:r w:rsidR="003E45DE">
                    <w:t>.</w:t>
                  </w:r>
                </w:p>
              </w:tc>
              <w:tc>
                <w:tcPr>
                  <w:tcW w:w="1073" w:type="pct"/>
                </w:tcPr>
                <w:p w:rsidR="003E45DE" w:rsidRPr="00672762" w:rsidRDefault="003E45DE" w:rsidP="00F423D2">
                  <w:pPr>
                    <w:pStyle w:val="TableBodyText"/>
                    <w:ind w:right="28"/>
                    <w:jc w:val="center"/>
                  </w:pPr>
                  <w:r>
                    <w:t>Central information</w:t>
                  </w:r>
                </w:p>
              </w:tc>
            </w:tr>
            <w:tr w:rsidR="00555533" w:rsidTr="00570CF4">
              <w:tc>
                <w:tcPr>
                  <w:tcW w:w="368" w:type="pct"/>
                  <w:shd w:val="clear" w:color="auto" w:fill="auto"/>
                </w:tcPr>
                <w:p w:rsidR="003E45DE" w:rsidRDefault="003E45DE" w:rsidP="00FE265F">
                  <w:pPr>
                    <w:pStyle w:val="TableBodyText"/>
                    <w:jc w:val="left"/>
                  </w:pPr>
                  <w:proofErr w:type="spellStart"/>
                  <w:r>
                    <w:t>Tas</w:t>
                  </w:r>
                  <w:proofErr w:type="spellEnd"/>
                </w:p>
              </w:tc>
              <w:tc>
                <w:tcPr>
                  <w:tcW w:w="871" w:type="pct"/>
                  <w:shd w:val="clear" w:color="auto" w:fill="auto"/>
                </w:tcPr>
                <w:p w:rsidR="003E45DE" w:rsidRDefault="003E45DE" w:rsidP="00FE265F">
                  <w:pPr>
                    <w:pStyle w:val="TableBodyText"/>
                    <w:jc w:val="left"/>
                  </w:pPr>
                  <w:r>
                    <w:t>Housing connect</w:t>
                  </w:r>
                </w:p>
              </w:tc>
              <w:tc>
                <w:tcPr>
                  <w:tcW w:w="2688" w:type="pct"/>
                  <w:shd w:val="clear" w:color="auto" w:fill="auto"/>
                </w:tcPr>
                <w:p w:rsidR="00DA7C3E" w:rsidRPr="00CC615F" w:rsidRDefault="00A5736B" w:rsidP="005A74A8">
                  <w:pPr>
                    <w:pStyle w:val="TableBodyText"/>
                    <w:jc w:val="left"/>
                  </w:pPr>
                  <w:r w:rsidRPr="00A5736B">
                    <w:t>Client intake and referral is managed using a ‘front door’ model by two organisations at seven offices across the State and clients receive housing and/or homelessness assistance and are connected to support from five organisations for the duration of need. Referrals to and from crisis accommodation are made so that ‘no wrong door’ access is available to all people seeking housing and/or homelessness assistance. A shared information system streamlines the integrated Housing Connect model.</w:t>
                  </w:r>
                </w:p>
              </w:tc>
              <w:tc>
                <w:tcPr>
                  <w:tcW w:w="1073" w:type="pct"/>
                </w:tcPr>
                <w:p w:rsidR="003E45DE" w:rsidRPr="00672762" w:rsidRDefault="003E45DE" w:rsidP="00F423D2">
                  <w:pPr>
                    <w:pStyle w:val="TableBodyText"/>
                    <w:ind w:right="28"/>
                    <w:jc w:val="center"/>
                  </w:pPr>
                  <w:r>
                    <w:t>Central intake</w:t>
                  </w:r>
                </w:p>
              </w:tc>
            </w:tr>
            <w:tr w:rsidR="00555533" w:rsidTr="005A74A8">
              <w:tc>
                <w:tcPr>
                  <w:tcW w:w="368" w:type="pct"/>
                  <w:shd w:val="clear" w:color="auto" w:fill="auto"/>
                </w:tcPr>
                <w:p w:rsidR="003E45DE" w:rsidRDefault="003E45DE" w:rsidP="00FE265F">
                  <w:pPr>
                    <w:pStyle w:val="TableBodyText"/>
                    <w:jc w:val="left"/>
                  </w:pPr>
                  <w:r>
                    <w:t>ACT</w:t>
                  </w:r>
                </w:p>
              </w:tc>
              <w:tc>
                <w:tcPr>
                  <w:tcW w:w="871" w:type="pct"/>
                  <w:shd w:val="clear" w:color="auto" w:fill="auto"/>
                </w:tcPr>
                <w:p w:rsidR="003E45DE" w:rsidRDefault="003E45DE" w:rsidP="00FE265F">
                  <w:pPr>
                    <w:pStyle w:val="TableBodyText"/>
                    <w:jc w:val="left"/>
                  </w:pPr>
                  <w:r>
                    <w:t>First point</w:t>
                  </w:r>
                </w:p>
              </w:tc>
              <w:tc>
                <w:tcPr>
                  <w:tcW w:w="2688" w:type="pct"/>
                </w:tcPr>
                <w:p w:rsidR="003E45DE" w:rsidRPr="00CC615F" w:rsidRDefault="003B1B37" w:rsidP="003B1B37">
                  <w:pPr>
                    <w:pStyle w:val="TableBodyText"/>
                    <w:jc w:val="left"/>
                  </w:pPr>
                  <w:r>
                    <w:t xml:space="preserve">First point is the </w:t>
                  </w:r>
                  <w:r w:rsidR="003E45DE">
                    <w:t>single intake and referral provider for the ACT.</w:t>
                  </w:r>
                </w:p>
              </w:tc>
              <w:tc>
                <w:tcPr>
                  <w:tcW w:w="1073" w:type="pct"/>
                </w:tcPr>
                <w:p w:rsidR="003E45DE" w:rsidRPr="00672762" w:rsidRDefault="003E45DE" w:rsidP="00F423D2">
                  <w:pPr>
                    <w:pStyle w:val="TableBodyText"/>
                    <w:ind w:right="28"/>
                    <w:jc w:val="center"/>
                  </w:pPr>
                  <w:r>
                    <w:t>Central intake</w:t>
                  </w:r>
                </w:p>
              </w:tc>
            </w:tr>
            <w:tr w:rsidR="00555533" w:rsidTr="005A74A8">
              <w:tc>
                <w:tcPr>
                  <w:tcW w:w="368" w:type="pct"/>
                  <w:tcBorders>
                    <w:bottom w:val="single" w:sz="6" w:space="0" w:color="BFBFBF"/>
                  </w:tcBorders>
                  <w:shd w:val="clear" w:color="auto" w:fill="auto"/>
                </w:tcPr>
                <w:p w:rsidR="003E45DE" w:rsidRDefault="003E45DE" w:rsidP="00FE265F">
                  <w:pPr>
                    <w:pStyle w:val="TableBodyText"/>
                    <w:jc w:val="left"/>
                  </w:pPr>
                  <w:r>
                    <w:t>NT</w:t>
                  </w:r>
                </w:p>
              </w:tc>
              <w:tc>
                <w:tcPr>
                  <w:tcW w:w="871" w:type="pct"/>
                  <w:tcBorders>
                    <w:bottom w:val="single" w:sz="6" w:space="0" w:color="BFBFBF"/>
                  </w:tcBorders>
                  <w:shd w:val="clear" w:color="auto" w:fill="auto"/>
                </w:tcPr>
                <w:p w:rsidR="003E45DE" w:rsidRDefault="003E45DE" w:rsidP="00FE265F">
                  <w:pPr>
                    <w:pStyle w:val="TableBodyText"/>
                    <w:jc w:val="left"/>
                  </w:pPr>
                  <w:r>
                    <w:t>Shelter me</w:t>
                  </w:r>
                </w:p>
              </w:tc>
              <w:tc>
                <w:tcPr>
                  <w:tcW w:w="2688" w:type="pct"/>
                  <w:tcBorders>
                    <w:bottom w:val="single" w:sz="6" w:space="0" w:color="BFBFBF"/>
                  </w:tcBorders>
                </w:tcPr>
                <w:p w:rsidR="003E45DE" w:rsidRPr="00CC615F" w:rsidRDefault="003E45DE" w:rsidP="00FE265F">
                  <w:pPr>
                    <w:pStyle w:val="TableBodyText"/>
                    <w:jc w:val="left"/>
                  </w:pPr>
                  <w:proofErr w:type="spellStart"/>
                  <w:r w:rsidRPr="00AC24E6">
                    <w:t>ShelterMe</w:t>
                  </w:r>
                  <w:proofErr w:type="spellEnd"/>
                  <w:r w:rsidRPr="00AC24E6">
                    <w:t xml:space="preserve"> is a directory of services for homeless Territorians</w:t>
                  </w:r>
                  <w:r>
                    <w:t>.</w:t>
                  </w:r>
                </w:p>
              </w:tc>
              <w:tc>
                <w:tcPr>
                  <w:tcW w:w="1073" w:type="pct"/>
                  <w:tcBorders>
                    <w:bottom w:val="single" w:sz="6" w:space="0" w:color="BFBFBF"/>
                  </w:tcBorders>
                </w:tcPr>
                <w:p w:rsidR="003E45DE" w:rsidRPr="00672762" w:rsidRDefault="003E45DE" w:rsidP="00F423D2">
                  <w:pPr>
                    <w:pStyle w:val="TableBodyText"/>
                    <w:ind w:right="28"/>
                    <w:jc w:val="center"/>
                  </w:pPr>
                  <w:r>
                    <w:t xml:space="preserve">Community </w:t>
                  </w:r>
                  <w:r w:rsidR="00F423D2">
                    <w:t xml:space="preserve">sector </w:t>
                  </w:r>
                  <w:r w:rsidR="00B71E0A">
                    <w:t>funding and support</w:t>
                  </w:r>
                </w:p>
              </w:tc>
            </w:tr>
          </w:tbl>
          <w:p w:rsidR="003E45DE" w:rsidRDefault="003E45DE" w:rsidP="00FE265F">
            <w:pPr>
              <w:pStyle w:val="Box"/>
            </w:pPr>
          </w:p>
        </w:tc>
      </w:tr>
      <w:tr w:rsidR="003E45DE" w:rsidTr="00A5736B">
        <w:trPr>
          <w:cantSplit/>
        </w:trPr>
        <w:tc>
          <w:tcPr>
            <w:tcW w:w="8771" w:type="dxa"/>
            <w:tcBorders>
              <w:top w:val="nil"/>
              <w:left w:val="nil"/>
              <w:bottom w:val="nil"/>
              <w:right w:val="nil"/>
            </w:tcBorders>
            <w:shd w:val="clear" w:color="auto" w:fill="auto"/>
          </w:tcPr>
          <w:p w:rsidR="003E45DE" w:rsidRDefault="003E45DE" w:rsidP="003C145F">
            <w:pPr>
              <w:pStyle w:val="Note"/>
              <w:rPr>
                <w:i/>
              </w:rPr>
            </w:pPr>
            <w:proofErr w:type="spellStart"/>
            <w:r w:rsidRPr="008E77FE">
              <w:rPr>
                <w:rStyle w:val="NoteLabel"/>
              </w:rPr>
              <w:t>a</w:t>
            </w:r>
            <w:proofErr w:type="spellEnd"/>
            <w:r>
              <w:t xml:space="preserve"> The category </w:t>
            </w:r>
            <w:r w:rsidR="00960672">
              <w:t>provided</w:t>
            </w:r>
            <w:r>
              <w:t xml:space="preserve"> </w:t>
            </w:r>
            <w:r w:rsidR="00960672">
              <w:t xml:space="preserve">is the  most closely aligned to </w:t>
            </w:r>
            <w:r w:rsidR="001C5DB9">
              <w:t xml:space="preserve">the jurisdictions intake and referral system. </w:t>
            </w:r>
            <w:r w:rsidR="00960672">
              <w:t>Each State and Territory’s intake and referral system has its own characteristics.</w:t>
            </w:r>
          </w:p>
        </w:tc>
      </w:tr>
      <w:tr w:rsidR="003E45DE" w:rsidTr="00A5736B">
        <w:trPr>
          <w:cantSplit/>
        </w:trPr>
        <w:tc>
          <w:tcPr>
            <w:tcW w:w="8771" w:type="dxa"/>
            <w:tcBorders>
              <w:top w:val="nil"/>
              <w:left w:val="nil"/>
              <w:bottom w:val="nil"/>
              <w:right w:val="nil"/>
            </w:tcBorders>
            <w:shd w:val="clear" w:color="auto" w:fill="auto"/>
          </w:tcPr>
          <w:p w:rsidR="003E45DE" w:rsidRDefault="003E45DE" w:rsidP="00FE265F">
            <w:pPr>
              <w:pStyle w:val="Source"/>
            </w:pPr>
            <w:r>
              <w:rPr>
                <w:i/>
              </w:rPr>
              <w:t>Source</w:t>
            </w:r>
            <w:r w:rsidRPr="00167F06">
              <w:t xml:space="preserve">: </w:t>
            </w:r>
            <w:r>
              <w:t>State and Territory governments.</w:t>
            </w:r>
          </w:p>
        </w:tc>
      </w:tr>
      <w:tr w:rsidR="003E45DE" w:rsidTr="00FE265F">
        <w:trPr>
          <w:cantSplit/>
        </w:trPr>
        <w:tc>
          <w:tcPr>
            <w:tcW w:w="8771" w:type="dxa"/>
            <w:tcBorders>
              <w:top w:val="nil"/>
              <w:left w:val="nil"/>
              <w:bottom w:val="single" w:sz="6" w:space="0" w:color="78A22F"/>
              <w:right w:val="nil"/>
            </w:tcBorders>
            <w:shd w:val="clear" w:color="auto" w:fill="auto"/>
          </w:tcPr>
          <w:p w:rsidR="003E45DE" w:rsidRDefault="003E45DE" w:rsidP="003C145F">
            <w:pPr>
              <w:pStyle w:val="Box"/>
              <w:keepNext w:val="0"/>
              <w:spacing w:before="0" w:line="120" w:lineRule="exact"/>
            </w:pPr>
          </w:p>
        </w:tc>
      </w:tr>
      <w:tr w:rsidR="003E45DE" w:rsidRPr="000863A5" w:rsidTr="00FE265F">
        <w:tc>
          <w:tcPr>
            <w:tcW w:w="8771" w:type="dxa"/>
            <w:tcBorders>
              <w:top w:val="single" w:sz="6" w:space="0" w:color="78A22F"/>
              <w:left w:val="nil"/>
              <w:bottom w:val="nil"/>
              <w:right w:val="nil"/>
            </w:tcBorders>
          </w:tcPr>
          <w:p w:rsidR="003E45DE" w:rsidRPr="00626D32" w:rsidRDefault="003E45DE" w:rsidP="00FE265F">
            <w:pPr>
              <w:pStyle w:val="BoxSpaceBelow"/>
            </w:pPr>
          </w:p>
        </w:tc>
      </w:tr>
    </w:tbl>
    <w:p w:rsidR="009F1567" w:rsidRDefault="009F1567" w:rsidP="009F1567">
      <w:pPr>
        <w:pStyle w:val="Heading4"/>
      </w:pPr>
      <w:r>
        <w:t>Links between housing and homelessness services</w:t>
      </w:r>
    </w:p>
    <w:p w:rsidR="000707E5" w:rsidRDefault="000707E5" w:rsidP="000707E5">
      <w:pPr>
        <w:pStyle w:val="BodyText"/>
        <w:rPr>
          <w:color w:val="000000" w:themeColor="text1"/>
        </w:rPr>
      </w:pPr>
      <w:r w:rsidRPr="00E50D70">
        <w:rPr>
          <w:color w:val="000000" w:themeColor="text1"/>
        </w:rPr>
        <w:t>Close links exist between homelessness services and other forms of housing assistance</w:t>
      </w:r>
      <w:r>
        <w:rPr>
          <w:color w:val="000000" w:themeColor="text1"/>
        </w:rPr>
        <w:t>.</w:t>
      </w:r>
      <w:r w:rsidRPr="00E50D70">
        <w:rPr>
          <w:color w:val="000000" w:themeColor="text1"/>
        </w:rPr>
        <w:t xml:space="preserve"> </w:t>
      </w:r>
      <w:r w:rsidRPr="00BF285E">
        <w:t xml:space="preserve">The Housing and homelessness </w:t>
      </w:r>
      <w:r w:rsidR="00AA700F">
        <w:t xml:space="preserve">services </w:t>
      </w:r>
      <w:r w:rsidRPr="00BF285E">
        <w:t xml:space="preserve">sector overview </w:t>
      </w:r>
      <w:r>
        <w:t xml:space="preserve">(sector overview G) </w:t>
      </w:r>
      <w:r w:rsidRPr="00BF285E">
        <w:t xml:space="preserve">provides some information on the interconnections between </w:t>
      </w:r>
      <w:r>
        <w:t xml:space="preserve">these </w:t>
      </w:r>
      <w:r w:rsidRPr="00BF285E">
        <w:t xml:space="preserve">and other </w:t>
      </w:r>
      <w:r>
        <w:t xml:space="preserve">housing </w:t>
      </w:r>
      <w:r w:rsidRPr="00BF285E">
        <w:t>services</w:t>
      </w:r>
      <w:r>
        <w:rPr>
          <w:color w:val="000000" w:themeColor="text1"/>
        </w:rPr>
        <w:t>.</w:t>
      </w:r>
      <w:r w:rsidRPr="00E50D70">
        <w:rPr>
          <w:color w:val="000000" w:themeColor="text1"/>
        </w:rPr>
        <w:t xml:space="preserve"> </w:t>
      </w:r>
      <w:r>
        <w:rPr>
          <w:color w:val="000000" w:themeColor="text1"/>
        </w:rPr>
        <w:t>Interconnections between housing and homelessness services include:</w:t>
      </w:r>
    </w:p>
    <w:p w:rsidR="000707E5" w:rsidRDefault="000707E5" w:rsidP="000707E5">
      <w:pPr>
        <w:pStyle w:val="ListBullet"/>
      </w:pPr>
      <w:r w:rsidRPr="00E50D70">
        <w:t xml:space="preserve">individuals and families </w:t>
      </w:r>
      <w:r>
        <w:t xml:space="preserve">may access both </w:t>
      </w:r>
      <w:r w:rsidRPr="00E50D70">
        <w:t>homelessness and housing services, as people can move from homelessness to social housing, or might be in receipt of homelessness services and accommodated in social housing</w:t>
      </w:r>
      <w:r>
        <w:t xml:space="preserve">. </w:t>
      </w:r>
      <w:proofErr w:type="spellStart"/>
      <w:r>
        <w:rPr>
          <w:color w:val="000000" w:themeColor="text1"/>
        </w:rPr>
        <w:t>AIHW</w:t>
      </w:r>
      <w:proofErr w:type="spellEnd"/>
      <w:r>
        <w:rPr>
          <w:color w:val="000000" w:themeColor="text1"/>
        </w:rPr>
        <w:t xml:space="preserve"> data linkage found that in NSW </w:t>
      </w:r>
      <w:r>
        <w:rPr>
          <w:color w:val="000000" w:themeColor="text1"/>
        </w:rPr>
        <w:lastRenderedPageBreak/>
        <w:t>and WA, 18 688 public housing tenants sought support from specialist homelessness services in the two years to 30 June 2013 (</w:t>
      </w:r>
      <w:proofErr w:type="spellStart"/>
      <w:r>
        <w:rPr>
          <w:color w:val="000000" w:themeColor="text1"/>
        </w:rPr>
        <w:t>AIHW</w:t>
      </w:r>
      <w:proofErr w:type="spellEnd"/>
      <w:r>
        <w:rPr>
          <w:color w:val="000000" w:themeColor="text1"/>
        </w:rPr>
        <w:t xml:space="preserve"> </w:t>
      </w:r>
      <w:proofErr w:type="spellStart"/>
      <w:r>
        <w:rPr>
          <w:color w:val="000000" w:themeColor="text1"/>
        </w:rPr>
        <w:t>2015b</w:t>
      </w:r>
      <w:proofErr w:type="spellEnd"/>
      <w:r>
        <w:rPr>
          <w:color w:val="000000" w:themeColor="text1"/>
        </w:rPr>
        <w:t>)</w:t>
      </w:r>
      <w:r>
        <w:t xml:space="preserve"> </w:t>
      </w:r>
    </w:p>
    <w:p w:rsidR="000707E5" w:rsidRDefault="000707E5" w:rsidP="000707E5">
      <w:pPr>
        <w:pStyle w:val="ListBullet"/>
      </w:pPr>
      <w:r>
        <w:t>community housing o</w:t>
      </w:r>
      <w:r w:rsidRPr="00BF285E">
        <w:t xml:space="preserve">rganisations </w:t>
      </w:r>
      <w:r>
        <w:t xml:space="preserve">may </w:t>
      </w:r>
      <w:r w:rsidRPr="00BF285E">
        <w:t>provide short-term and transitional accommodation</w:t>
      </w:r>
      <w:r>
        <w:t xml:space="preserve"> and </w:t>
      </w:r>
      <w:r w:rsidRPr="00BF285E">
        <w:t>some specialist homelessness agencies provide long-term accommodation</w:t>
      </w:r>
      <w:r>
        <w:t xml:space="preserve">. </w:t>
      </w:r>
    </w:p>
    <w:p w:rsidR="000707E5" w:rsidRDefault="0023756F" w:rsidP="000707E5">
      <w:pPr>
        <w:pStyle w:val="BodyText"/>
      </w:pPr>
      <w:r>
        <w:t>I</w:t>
      </w:r>
      <w:r w:rsidR="000707E5">
        <w:t xml:space="preserve">nformation on housing services in Australia is </w:t>
      </w:r>
      <w:r w:rsidR="000707E5" w:rsidRPr="00E50D70">
        <w:rPr>
          <w:color w:val="000000" w:themeColor="text1"/>
        </w:rPr>
        <w:t>reported in Housing (chapter 1</w:t>
      </w:r>
      <w:r w:rsidR="000707E5">
        <w:rPr>
          <w:color w:val="000000" w:themeColor="text1"/>
        </w:rPr>
        <w:t>7</w:t>
      </w:r>
      <w:r w:rsidR="000707E5" w:rsidRPr="00E50D70">
        <w:rPr>
          <w:color w:val="000000" w:themeColor="text1"/>
        </w:rPr>
        <w:t>).</w:t>
      </w:r>
    </w:p>
    <w:p w:rsidR="000707E5" w:rsidRDefault="000707E5" w:rsidP="000707E5">
      <w:pPr>
        <w:pStyle w:val="Heading3"/>
      </w:pPr>
      <w:r>
        <w:t>Roles and responsibilities</w:t>
      </w:r>
    </w:p>
    <w:p w:rsidR="000707E5" w:rsidRPr="004F17C9" w:rsidRDefault="000707E5" w:rsidP="000707E5">
      <w:pPr>
        <w:pStyle w:val="BodyText"/>
      </w:pPr>
      <w:r w:rsidRPr="00000AAB">
        <w:t>The NAHA commenced on</w:t>
      </w:r>
      <w:r w:rsidRPr="006354C7">
        <w:t xml:space="preserve"> </w:t>
      </w:r>
      <w:r w:rsidRPr="00000AAB">
        <w:t>1 January 2009 as part of the Intergovernmental Agreement on Federal Financial Relations</w:t>
      </w:r>
      <w:r w:rsidR="0023756F">
        <w:t>.</w:t>
      </w:r>
      <w:r>
        <w:t xml:space="preserve"> T</w:t>
      </w:r>
      <w:r w:rsidRPr="00000AAB">
        <w:t xml:space="preserve">o support the NAHA, </w:t>
      </w:r>
      <w:r>
        <w:t>a series of one- to three</w:t>
      </w:r>
      <w:r>
        <w:noBreakHyphen/>
        <w:t xml:space="preserve">year </w:t>
      </w:r>
      <w:proofErr w:type="spellStart"/>
      <w:r>
        <w:t>NPAHs</w:t>
      </w:r>
      <w:proofErr w:type="spellEnd"/>
      <w:r>
        <w:t xml:space="preserve"> have been negotiated between the Australian Government and State and Territory governments. The </w:t>
      </w:r>
      <w:proofErr w:type="spellStart"/>
      <w:r>
        <w:t>NPAH</w:t>
      </w:r>
      <w:proofErr w:type="spellEnd"/>
      <w:r>
        <w:t xml:space="preserve"> </w:t>
      </w:r>
      <w:r w:rsidRPr="001C0EF4">
        <w:t xml:space="preserve">contributes to the NAHA outcome to help </w:t>
      </w:r>
      <w:r>
        <w:t>‘</w:t>
      </w:r>
      <w:r w:rsidRPr="001C0EF4">
        <w:t>people who are homeless or at risk of homelessness achieve sustainable housing and social inclu</w:t>
      </w:r>
      <w:r>
        <w:t>sion’ (</w:t>
      </w:r>
      <w:proofErr w:type="spellStart"/>
      <w:r>
        <w:t>COAG</w:t>
      </w:r>
      <w:proofErr w:type="spellEnd"/>
      <w:r>
        <w:t xml:space="preserve"> 2014). The </w:t>
      </w:r>
      <w:proofErr w:type="spellStart"/>
      <w:r>
        <w:t>NPAH</w:t>
      </w:r>
      <w:proofErr w:type="spellEnd"/>
      <w:r>
        <w:t xml:space="preserve"> outcomes are:</w:t>
      </w:r>
    </w:p>
    <w:p w:rsidR="000707E5" w:rsidRDefault="000707E5" w:rsidP="000707E5">
      <w:pPr>
        <w:pStyle w:val="ListBullet"/>
      </w:pPr>
      <w:r>
        <w:t>fewer people will become homeless and fewer of these people will sleep rough</w:t>
      </w:r>
    </w:p>
    <w:p w:rsidR="000707E5" w:rsidRDefault="000707E5" w:rsidP="000707E5">
      <w:pPr>
        <w:pStyle w:val="ListBullet"/>
      </w:pPr>
      <w:r>
        <w:t>fewer people will become homeless more than once</w:t>
      </w:r>
    </w:p>
    <w:p w:rsidR="000707E5" w:rsidRDefault="000707E5" w:rsidP="000707E5">
      <w:pPr>
        <w:pStyle w:val="ListBullet"/>
      </w:pPr>
      <w:r>
        <w:t>people at risk of or experiencing homelessness will maintain or improve connections with their families and communities, and maintain or improve their education, training or employment participation</w:t>
      </w:r>
    </w:p>
    <w:p w:rsidR="000707E5" w:rsidRPr="00DF5AD5" w:rsidRDefault="000707E5" w:rsidP="000707E5">
      <w:pPr>
        <w:pStyle w:val="ListBullet"/>
      </w:pPr>
      <w:r>
        <w:t>people at risk of or experiencing homelessness will be supported by quality services, with improved access to sustainable housing (</w:t>
      </w:r>
      <w:proofErr w:type="spellStart"/>
      <w:r>
        <w:t>COAG</w:t>
      </w:r>
      <w:proofErr w:type="spellEnd"/>
      <w:r>
        <w:t xml:space="preserve"> 2014).</w:t>
      </w:r>
    </w:p>
    <w:p w:rsidR="000707E5" w:rsidRDefault="000707E5" w:rsidP="0023756F">
      <w:pPr>
        <w:pStyle w:val="BodyText"/>
      </w:pPr>
      <w:bookmarkStart w:id="9" w:name="OLE_LINK29"/>
      <w:bookmarkStart w:id="10" w:name="OLE_LINK30"/>
      <w:r w:rsidRPr="0059316B">
        <w:t xml:space="preserve">As part of </w:t>
      </w:r>
      <w:r>
        <w:t>broader</w:t>
      </w:r>
      <w:r w:rsidRPr="0059316B">
        <w:t xml:space="preserve"> </w:t>
      </w:r>
      <w:proofErr w:type="spellStart"/>
      <w:r w:rsidRPr="0059316B">
        <w:t>COAG</w:t>
      </w:r>
      <w:proofErr w:type="spellEnd"/>
      <w:r w:rsidRPr="0059316B">
        <w:t xml:space="preserve"> reforms, the </w:t>
      </w:r>
      <w:proofErr w:type="spellStart"/>
      <w:r w:rsidRPr="0059316B">
        <w:t>NPAH</w:t>
      </w:r>
      <w:proofErr w:type="spellEnd"/>
      <w:r w:rsidR="0023756F">
        <w:t xml:space="preserve"> </w:t>
      </w:r>
      <w:r w:rsidRPr="0059316B">
        <w:t xml:space="preserve">clarified that </w:t>
      </w:r>
      <w:r w:rsidR="0023756F">
        <w:t>States and Territory governments are</w:t>
      </w:r>
      <w:r w:rsidRPr="0059316B">
        <w:t xml:space="preserve"> responsible for day to day delivery of services</w:t>
      </w:r>
      <w:r w:rsidR="0023756F">
        <w:t xml:space="preserve">. It also </w:t>
      </w:r>
      <w:r>
        <w:t xml:space="preserve">established an agreed set of desired </w:t>
      </w:r>
      <w:r w:rsidRPr="0059316B">
        <w:t>outcomes</w:t>
      </w:r>
      <w:r>
        <w:t xml:space="preserve"> for homelessness services, </w:t>
      </w:r>
      <w:r w:rsidRPr="0059316B">
        <w:t>focused on improving the delivery of services to prevent and respond to homelessness.</w:t>
      </w:r>
    </w:p>
    <w:bookmarkEnd w:id="9"/>
    <w:bookmarkEnd w:id="10"/>
    <w:p w:rsidR="000707E5" w:rsidRPr="00E77C05" w:rsidRDefault="000707E5" w:rsidP="000707E5">
      <w:pPr>
        <w:pStyle w:val="Heading3"/>
        <w:spacing w:before="360"/>
        <w:rPr>
          <w:color w:val="000000" w:themeColor="text1"/>
        </w:rPr>
      </w:pPr>
      <w:r w:rsidRPr="00E77C05">
        <w:rPr>
          <w:color w:val="000000" w:themeColor="text1"/>
        </w:rPr>
        <w:t>Funding</w:t>
      </w:r>
    </w:p>
    <w:p w:rsidR="000707E5" w:rsidRPr="0091704C" w:rsidRDefault="000707E5" w:rsidP="0091704C">
      <w:pPr>
        <w:pStyle w:val="BodyText"/>
      </w:pPr>
      <w:r w:rsidRPr="0091704C">
        <w:t xml:space="preserve">Government funded specialist homelessness services are jointly funded by the Australian Government and State and Territory governments, via the National Affordable Housing Specific Purpose Payment (for housing and homelessness services) and the </w:t>
      </w:r>
      <w:proofErr w:type="spellStart"/>
      <w:r w:rsidRPr="0091704C">
        <w:t>NPAH</w:t>
      </w:r>
      <w:proofErr w:type="spellEnd"/>
      <w:r w:rsidRPr="0091704C">
        <w:t xml:space="preserve"> (for housing and support services for people that are homeless or at risk of homelessness </w:t>
      </w:r>
      <w:r w:rsidR="0023756F" w:rsidRPr="0091704C">
        <w:t>—</w:t>
      </w:r>
      <w:r w:rsidRPr="0091704C">
        <w:t xml:space="preserve"> matched equally between the Australian Government and State and Territory governments). Nationally, real recurrent funding was </w:t>
      </w:r>
      <w:r w:rsidRPr="005323DE">
        <w:t>$</w:t>
      </w:r>
      <w:r w:rsidR="002036DF" w:rsidRPr="005323DE">
        <w:t>29.93</w:t>
      </w:r>
      <w:r w:rsidRPr="005323DE">
        <w:t xml:space="preserve"> </w:t>
      </w:r>
      <w:r w:rsidR="0091704C" w:rsidRPr="005323DE">
        <w:t>per person</w:t>
      </w:r>
      <w:r w:rsidR="0091704C" w:rsidRPr="0091704C">
        <w:t xml:space="preserve"> in the population in </w:t>
      </w:r>
      <w:r w:rsidRPr="0091704C">
        <w:t>2014</w:t>
      </w:r>
      <w:r w:rsidRPr="0091704C">
        <w:noBreakHyphen/>
        <w:t>15, though the amount of funding per person varied across jurisdictions (table </w:t>
      </w:r>
      <w:proofErr w:type="spellStart"/>
      <w:r w:rsidRPr="0091704C">
        <w:t>18A.4</w:t>
      </w:r>
      <w:proofErr w:type="spellEnd"/>
      <w:r w:rsidRPr="0091704C">
        <w:t>).</w:t>
      </w:r>
    </w:p>
    <w:p w:rsidR="000707E5" w:rsidRDefault="000707E5" w:rsidP="0091704C">
      <w:pPr>
        <w:pStyle w:val="BodyText"/>
      </w:pPr>
      <w:r w:rsidRPr="0091704C">
        <w:t xml:space="preserve">Direct expenditure on specialist homelessness services is undertaken by State and Territory governments. Recurrent government expenditure on specialist homelessness services for </w:t>
      </w:r>
      <w:r w:rsidRPr="0091704C">
        <w:lastRenderedPageBreak/>
        <w:t>2014</w:t>
      </w:r>
      <w:r w:rsidRPr="0091704C">
        <w:noBreakHyphen/>
        <w:t xml:space="preserve">15 </w:t>
      </w:r>
      <w:r w:rsidRPr="005323DE">
        <w:t>was $</w:t>
      </w:r>
      <w:r w:rsidR="002036DF" w:rsidRPr="005323DE">
        <w:t>707</w:t>
      </w:r>
      <w:r w:rsidRPr="005323DE">
        <w:t xml:space="preserve"> million (table </w:t>
      </w:r>
      <w:proofErr w:type="spellStart"/>
      <w:r w:rsidRPr="005323DE">
        <w:t>18A.3</w:t>
      </w:r>
      <w:proofErr w:type="spellEnd"/>
      <w:r w:rsidRPr="005323DE">
        <w:t>). Most of this expenditure (</w:t>
      </w:r>
      <w:r w:rsidR="002036DF" w:rsidRPr="005323DE">
        <w:t>97.6</w:t>
      </w:r>
      <w:r w:rsidRPr="005323DE">
        <w:t> per cent) was funding provided to agencies to deliver services for people who are homeless or at risk of homelessness, while the remaining expenditure (</w:t>
      </w:r>
      <w:r w:rsidR="002036DF" w:rsidRPr="005323DE">
        <w:t>2.4</w:t>
      </w:r>
      <w:r w:rsidRPr="005323DE">
        <w:t xml:space="preserve"> per cent</w:t>
      </w:r>
      <w:r w:rsidRPr="000B7FD3">
        <w:t>) was attributed to State and Territory governments’ administration costs (table </w:t>
      </w:r>
      <w:proofErr w:type="spellStart"/>
      <w:r w:rsidRPr="000B7FD3">
        <w:t>18A.2</w:t>
      </w:r>
      <w:proofErr w:type="spellEnd"/>
      <w:r w:rsidRPr="000B7FD3">
        <w:t>).</w:t>
      </w:r>
    </w:p>
    <w:p w:rsidR="000707E5" w:rsidRPr="004F17C9" w:rsidRDefault="000707E5" w:rsidP="000707E5">
      <w:pPr>
        <w:pStyle w:val="Heading3"/>
      </w:pPr>
      <w:r w:rsidRPr="004F17C9">
        <w:t>Size and scope</w:t>
      </w:r>
    </w:p>
    <w:p w:rsidR="000707E5" w:rsidRDefault="000707E5" w:rsidP="000707E5">
      <w:pPr>
        <w:pStyle w:val="Heading4"/>
      </w:pPr>
      <w:r>
        <w:t>Definition for population</w:t>
      </w:r>
    </w:p>
    <w:p w:rsidR="000707E5" w:rsidRPr="005B0F54" w:rsidRDefault="000707E5" w:rsidP="000707E5">
      <w:pPr>
        <w:pStyle w:val="BodyText"/>
        <w:rPr>
          <w:color w:val="000000" w:themeColor="text1"/>
        </w:rPr>
      </w:pPr>
      <w:r w:rsidRPr="00761F02">
        <w:t xml:space="preserve">Data on </w:t>
      </w:r>
      <w:r>
        <w:t>the</w:t>
      </w:r>
      <w:r w:rsidRPr="00761F02">
        <w:t xml:space="preserve"> </w:t>
      </w:r>
      <w:r>
        <w:t xml:space="preserve">prevalence of homelessness are sourced from the </w:t>
      </w:r>
      <w:r w:rsidRPr="003E6B16">
        <w:t>Australian Bureau of Statistics (ABS)</w:t>
      </w:r>
      <w:r>
        <w:t xml:space="preserve"> </w:t>
      </w:r>
      <w:r w:rsidRPr="00296360">
        <w:t xml:space="preserve">(ABS </w:t>
      </w:r>
      <w:proofErr w:type="spellStart"/>
      <w:r w:rsidRPr="00296360">
        <w:t>2012a</w:t>
      </w:r>
      <w:proofErr w:type="spellEnd"/>
      <w:r w:rsidRPr="00296360">
        <w:t>)</w:t>
      </w:r>
      <w:r>
        <w:t>. The ABS definition states that w</w:t>
      </w:r>
      <w:r>
        <w:rPr>
          <w:color w:val="000000" w:themeColor="text1"/>
        </w:rPr>
        <w:t xml:space="preserve">hen a person does not have suitable accommodation alternatives they are considered </w:t>
      </w:r>
      <w:r w:rsidRPr="005B0F54">
        <w:rPr>
          <w:color w:val="000000" w:themeColor="text1"/>
        </w:rPr>
        <w:t>homeless if their current living arrangement:</w:t>
      </w:r>
    </w:p>
    <w:p w:rsidR="000707E5" w:rsidRPr="005B0F54" w:rsidRDefault="000707E5" w:rsidP="000707E5">
      <w:pPr>
        <w:pStyle w:val="ListBullet"/>
        <w:rPr>
          <w:color w:val="000000" w:themeColor="text1"/>
        </w:rPr>
      </w:pPr>
      <w:r w:rsidRPr="005B0F54">
        <w:rPr>
          <w:color w:val="000000" w:themeColor="text1"/>
        </w:rPr>
        <w:t>is in a dwelling that is inadequate</w:t>
      </w:r>
      <w:r>
        <w:rPr>
          <w:color w:val="000000" w:themeColor="text1"/>
        </w:rPr>
        <w:t>; or</w:t>
      </w:r>
    </w:p>
    <w:p w:rsidR="000707E5" w:rsidRPr="005B0F54" w:rsidRDefault="000707E5" w:rsidP="000707E5">
      <w:pPr>
        <w:pStyle w:val="ListBullet"/>
        <w:rPr>
          <w:color w:val="000000" w:themeColor="text1"/>
        </w:rPr>
      </w:pPr>
      <w:r w:rsidRPr="005B0F54">
        <w:rPr>
          <w:color w:val="000000" w:themeColor="text1"/>
        </w:rPr>
        <w:t>has no tenure, or if their initial tenure is short and not extendable</w:t>
      </w:r>
      <w:r>
        <w:rPr>
          <w:color w:val="000000" w:themeColor="text1"/>
        </w:rPr>
        <w:t>; or</w:t>
      </w:r>
    </w:p>
    <w:p w:rsidR="000707E5" w:rsidRDefault="000707E5" w:rsidP="000707E5">
      <w:pPr>
        <w:pStyle w:val="ListBullet"/>
        <w:rPr>
          <w:color w:val="000000" w:themeColor="text1"/>
        </w:rPr>
      </w:pPr>
      <w:r w:rsidRPr="00C42386">
        <w:rPr>
          <w:color w:val="000000" w:themeColor="text1"/>
        </w:rPr>
        <w:t>does not allow them to have control of, and access to space for</w:t>
      </w:r>
      <w:r>
        <w:rPr>
          <w:color w:val="000000" w:themeColor="text1"/>
        </w:rPr>
        <w:t xml:space="preserve">, </w:t>
      </w:r>
      <w:r w:rsidRPr="00C42386">
        <w:rPr>
          <w:color w:val="000000" w:themeColor="text1"/>
        </w:rPr>
        <w:t>social relations</w:t>
      </w:r>
      <w:r>
        <w:rPr>
          <w:color w:val="000000" w:themeColor="text1"/>
        </w:rPr>
        <w:t xml:space="preserve"> (ABS </w:t>
      </w:r>
      <w:proofErr w:type="spellStart"/>
      <w:r>
        <w:rPr>
          <w:color w:val="000000" w:themeColor="text1"/>
        </w:rPr>
        <w:t>2012b</w:t>
      </w:r>
      <w:proofErr w:type="spellEnd"/>
      <w:r>
        <w:rPr>
          <w:color w:val="000000" w:themeColor="text1"/>
        </w:rPr>
        <w:t>).</w:t>
      </w:r>
    </w:p>
    <w:p w:rsidR="007A14CB" w:rsidRDefault="007A14CB" w:rsidP="000707E5">
      <w:pPr>
        <w:pStyle w:val="BodyText"/>
        <w:rPr>
          <w:color w:val="000000" w:themeColor="text1"/>
        </w:rPr>
      </w:pPr>
      <w:r w:rsidRPr="00E50A85">
        <w:rPr>
          <w:color w:val="000000" w:themeColor="text1"/>
        </w:rPr>
        <w:t>In 2011,</w:t>
      </w:r>
      <w:r>
        <w:rPr>
          <w:color w:val="000000" w:themeColor="text1"/>
        </w:rPr>
        <w:t> </w:t>
      </w:r>
      <w:r w:rsidRPr="00E50A85">
        <w:rPr>
          <w:color w:val="000000" w:themeColor="text1"/>
        </w:rPr>
        <w:t>105</w:t>
      </w:r>
      <w:r>
        <w:rPr>
          <w:color w:val="000000" w:themeColor="text1"/>
        </w:rPr>
        <w:t> </w:t>
      </w:r>
      <w:r w:rsidRPr="00E50A85">
        <w:rPr>
          <w:color w:val="000000" w:themeColor="text1"/>
        </w:rPr>
        <w:t xml:space="preserve">237 people were estimated to be </w:t>
      </w:r>
      <w:r>
        <w:rPr>
          <w:color w:val="000000" w:themeColor="text1"/>
        </w:rPr>
        <w:t>homeless on Census night (ABS </w:t>
      </w:r>
      <w:proofErr w:type="spellStart"/>
      <w:r>
        <w:rPr>
          <w:color w:val="000000" w:themeColor="text1"/>
        </w:rPr>
        <w:t>2012c</w:t>
      </w:r>
      <w:proofErr w:type="spellEnd"/>
      <w:r w:rsidRPr="00E50A85">
        <w:rPr>
          <w:color w:val="000000" w:themeColor="text1"/>
        </w:rPr>
        <w:t>).</w:t>
      </w:r>
      <w:r w:rsidR="00E0316D">
        <w:rPr>
          <w:color w:val="000000" w:themeColor="text1"/>
        </w:rPr>
        <w:t xml:space="preserve"> </w:t>
      </w:r>
      <w:r w:rsidRPr="00570CF4">
        <w:rPr>
          <w:color w:val="000000" w:themeColor="text1"/>
        </w:rPr>
        <w:t>Under the ABS definition for homelessness</w:t>
      </w:r>
      <w:r w:rsidR="00181829" w:rsidRPr="00570CF4">
        <w:rPr>
          <w:color w:val="000000" w:themeColor="text1"/>
        </w:rPr>
        <w:t>,</w:t>
      </w:r>
      <w:r w:rsidRPr="00570CF4">
        <w:rPr>
          <w:color w:val="000000" w:themeColor="text1"/>
        </w:rPr>
        <w:t xml:space="preserve"> people living in in supported accommodation (as provided by specialist homelessness service providers) are counted as homeless — approximately 20 per cent of the homeless population in 2011.</w:t>
      </w:r>
    </w:p>
    <w:p w:rsidR="000707E5" w:rsidRPr="00E50A85" w:rsidRDefault="000707E5" w:rsidP="000707E5">
      <w:pPr>
        <w:pStyle w:val="BodyText"/>
        <w:rPr>
          <w:color w:val="000000" w:themeColor="text1"/>
        </w:rPr>
      </w:pPr>
      <w:r w:rsidRPr="00E50A85">
        <w:rPr>
          <w:color w:val="000000" w:themeColor="text1"/>
        </w:rPr>
        <w:t>The majority of homeless people in 2011 were ‘persons living in severely crowded dwellings’</w:t>
      </w:r>
      <w:r w:rsidRPr="00666948">
        <w:rPr>
          <w:vertAlign w:val="superscript"/>
        </w:rPr>
        <w:footnoteReference w:id="1"/>
      </w:r>
      <w:r w:rsidRPr="00E50A85">
        <w:rPr>
          <w:color w:val="000000" w:themeColor="text1"/>
        </w:rPr>
        <w:t xml:space="preserve"> (39 per cent). Similar proportions of homeless people were staying temporarily in other households (17 per cent) and in boarding houses (17 per cent). Only 6 per cent of homeless people were in improvised dwellings, tents or sleepers out and 1 per cent were in other temporary lodgings on Census night.</w:t>
      </w:r>
    </w:p>
    <w:p w:rsidR="000707E5" w:rsidRPr="000D3C26" w:rsidRDefault="000707E5" w:rsidP="000707E5">
      <w:pPr>
        <w:pStyle w:val="BodyText"/>
        <w:rPr>
          <w:color w:val="000000" w:themeColor="text1"/>
        </w:rPr>
      </w:pPr>
      <w:r w:rsidRPr="000D3C26">
        <w:rPr>
          <w:color w:val="000000" w:themeColor="text1"/>
        </w:rPr>
        <w:t xml:space="preserve">Estimates of homelessness </w:t>
      </w:r>
      <w:r>
        <w:rPr>
          <w:color w:val="000000" w:themeColor="text1"/>
        </w:rPr>
        <w:t xml:space="preserve">from the Census provide </w:t>
      </w:r>
      <w:r w:rsidRPr="000D3C26">
        <w:rPr>
          <w:color w:val="000000" w:themeColor="text1"/>
        </w:rPr>
        <w:t>a point</w:t>
      </w:r>
      <w:r>
        <w:rPr>
          <w:color w:val="000000" w:themeColor="text1"/>
        </w:rPr>
        <w:noBreakHyphen/>
      </w:r>
      <w:r w:rsidRPr="000D3C26">
        <w:rPr>
          <w:color w:val="000000" w:themeColor="text1"/>
        </w:rPr>
        <w:t>in</w:t>
      </w:r>
      <w:r>
        <w:rPr>
          <w:color w:val="000000" w:themeColor="text1"/>
        </w:rPr>
        <w:noBreakHyphen/>
      </w:r>
      <w:r w:rsidRPr="000D3C26">
        <w:rPr>
          <w:color w:val="000000" w:themeColor="text1"/>
        </w:rPr>
        <w:t xml:space="preserve">time prevalence measure of homelessness </w:t>
      </w:r>
      <w:r>
        <w:rPr>
          <w:color w:val="000000" w:themeColor="text1"/>
        </w:rPr>
        <w:t xml:space="preserve">and the </w:t>
      </w:r>
      <w:r w:rsidRPr="000D3C26">
        <w:rPr>
          <w:color w:val="000000" w:themeColor="text1"/>
        </w:rPr>
        <w:t xml:space="preserve">characteristics of those who were likely to have been homeless. </w:t>
      </w:r>
      <w:r>
        <w:rPr>
          <w:color w:val="000000" w:themeColor="text1"/>
        </w:rPr>
        <w:t xml:space="preserve">However, estimates </w:t>
      </w:r>
      <w:r w:rsidRPr="000D3C26">
        <w:rPr>
          <w:color w:val="000000" w:themeColor="text1"/>
        </w:rPr>
        <w:t>of people who are homele</w:t>
      </w:r>
      <w:r>
        <w:rPr>
          <w:color w:val="000000" w:themeColor="text1"/>
        </w:rPr>
        <w:t>ss on Census night may be over</w:t>
      </w:r>
      <w:r>
        <w:rPr>
          <w:color w:val="000000" w:themeColor="text1"/>
        </w:rPr>
        <w:noBreakHyphen/>
        <w:t> </w:t>
      </w:r>
      <w:r w:rsidRPr="000D3C26">
        <w:rPr>
          <w:color w:val="000000" w:themeColor="text1"/>
        </w:rPr>
        <w:t>or under</w:t>
      </w:r>
      <w:r>
        <w:rPr>
          <w:color w:val="000000" w:themeColor="text1"/>
        </w:rPr>
        <w:noBreakHyphen/>
      </w:r>
      <w:r w:rsidRPr="000D3C26">
        <w:rPr>
          <w:color w:val="000000" w:themeColor="text1"/>
        </w:rPr>
        <w:t>estimated</w:t>
      </w:r>
      <w:r>
        <w:rPr>
          <w:color w:val="000000" w:themeColor="text1"/>
        </w:rPr>
        <w:t xml:space="preserve"> if the data collected about a person are not sufficient to be certain about whether or not they were homeless on Census night, or under</w:t>
      </w:r>
      <w:r>
        <w:rPr>
          <w:color w:val="000000" w:themeColor="text1"/>
        </w:rPr>
        <w:noBreakHyphen/>
        <w:t>enumerated (not counted in the Census at all). Aboriginal and Torres Strait Islander people are m</w:t>
      </w:r>
      <w:r w:rsidRPr="000D3C26">
        <w:rPr>
          <w:color w:val="000000" w:themeColor="text1"/>
        </w:rPr>
        <w:t>ore likely to be both under</w:t>
      </w:r>
      <w:r>
        <w:rPr>
          <w:color w:val="000000" w:themeColor="text1"/>
        </w:rPr>
        <w:noBreakHyphen/>
      </w:r>
      <w:r w:rsidRPr="000D3C26">
        <w:rPr>
          <w:color w:val="000000" w:themeColor="text1"/>
        </w:rPr>
        <w:t>enumerated and overrepresented in the homeless population</w:t>
      </w:r>
      <w:r>
        <w:rPr>
          <w:color w:val="000000" w:themeColor="text1"/>
        </w:rPr>
        <w:t xml:space="preserve"> (ABS </w:t>
      </w:r>
      <w:proofErr w:type="spellStart"/>
      <w:r>
        <w:rPr>
          <w:color w:val="000000" w:themeColor="text1"/>
        </w:rPr>
        <w:t>2012c</w:t>
      </w:r>
      <w:proofErr w:type="spellEnd"/>
      <w:r>
        <w:rPr>
          <w:color w:val="000000" w:themeColor="text1"/>
        </w:rPr>
        <w:t>).</w:t>
      </w:r>
      <w:r w:rsidRPr="00666948">
        <w:rPr>
          <w:color w:val="000000" w:themeColor="text1"/>
          <w:vertAlign w:val="superscript"/>
        </w:rPr>
        <w:footnoteReference w:id="2"/>
      </w:r>
    </w:p>
    <w:p w:rsidR="000707E5" w:rsidRDefault="000707E5" w:rsidP="000707E5">
      <w:pPr>
        <w:pStyle w:val="Heading4"/>
      </w:pPr>
      <w:r>
        <w:lastRenderedPageBreak/>
        <w:t>Definition for services</w:t>
      </w:r>
    </w:p>
    <w:p w:rsidR="000707E5" w:rsidRPr="0059316B" w:rsidRDefault="000707E5" w:rsidP="000707E5">
      <w:pPr>
        <w:pStyle w:val="BodyText"/>
      </w:pPr>
      <w:r w:rsidRPr="0059316B">
        <w:t>All clients of specialist homelessness services are either homeless or at risk of homelessness</w:t>
      </w:r>
      <w:r>
        <w:t xml:space="preserve">. </w:t>
      </w:r>
      <w:r w:rsidRPr="0059316B">
        <w:t xml:space="preserve">Homeless status </w:t>
      </w:r>
      <w:r>
        <w:t xml:space="preserve">in the </w:t>
      </w:r>
      <w:proofErr w:type="spellStart"/>
      <w:r>
        <w:t>SHSC</w:t>
      </w:r>
      <w:proofErr w:type="spellEnd"/>
      <w:r>
        <w:t xml:space="preserve"> </w:t>
      </w:r>
      <w:r w:rsidRPr="0059316B">
        <w:t xml:space="preserve">is determined by aligning as closely as possible with the </w:t>
      </w:r>
      <w:proofErr w:type="spellStart"/>
      <w:r w:rsidRPr="0059316B">
        <w:t>ABS</w:t>
      </w:r>
      <w:r>
        <w:t>’s</w:t>
      </w:r>
      <w:proofErr w:type="spellEnd"/>
      <w:r>
        <w:t xml:space="preserve"> </w:t>
      </w:r>
      <w:r w:rsidRPr="0059316B">
        <w:t xml:space="preserve">statistical definition of homelessness (ABS </w:t>
      </w:r>
      <w:proofErr w:type="spellStart"/>
      <w:r w:rsidRPr="0059316B">
        <w:t>2012c</w:t>
      </w:r>
      <w:proofErr w:type="spellEnd"/>
      <w:r w:rsidRPr="0059316B">
        <w:t>).</w:t>
      </w:r>
      <w:r>
        <w:t xml:space="preserve"> For 2014</w:t>
      </w:r>
      <w:r>
        <w:noBreakHyphen/>
        <w:t xml:space="preserve">15, </w:t>
      </w:r>
      <w:r w:rsidRPr="0059316B">
        <w:t xml:space="preserve">‘homeless’ status is derived for a client based on the client’s housing circumstances at the beginning of their first support period in </w:t>
      </w:r>
      <w:r>
        <w:t>2014</w:t>
      </w:r>
      <w:r>
        <w:noBreakHyphen/>
        <w:t>15</w:t>
      </w:r>
      <w:r w:rsidRPr="0059316B">
        <w:t xml:space="preserve"> (or at the beginning of </w:t>
      </w:r>
      <w:r>
        <w:t>2014</w:t>
      </w:r>
      <w:r>
        <w:noBreakHyphen/>
        <w:t>15</w:t>
      </w:r>
      <w:r w:rsidRPr="0059316B">
        <w:t xml:space="preserve"> for clients who were existing clients on 1 July 201</w:t>
      </w:r>
      <w:r>
        <w:t>4</w:t>
      </w:r>
      <w:r w:rsidRPr="0059316B">
        <w:t>). All other clients not meeting these criteria are considered to be at risk of homelessness (excluding clients who did not provide sufficient information to make this assessment).</w:t>
      </w:r>
    </w:p>
    <w:p w:rsidR="000707E5" w:rsidRPr="0059316B" w:rsidRDefault="000707E5" w:rsidP="000707E5">
      <w:pPr>
        <w:pStyle w:val="BodyText"/>
        <w:rPr>
          <w:color w:val="000000" w:themeColor="text1"/>
        </w:rPr>
      </w:pPr>
      <w:r w:rsidRPr="0059316B">
        <w:rPr>
          <w:color w:val="000000" w:themeColor="text1"/>
        </w:rPr>
        <w:t xml:space="preserve">A client in the </w:t>
      </w:r>
      <w:proofErr w:type="spellStart"/>
      <w:r w:rsidRPr="0059316B">
        <w:rPr>
          <w:color w:val="000000" w:themeColor="text1"/>
        </w:rPr>
        <w:t>SHSC</w:t>
      </w:r>
      <w:proofErr w:type="spellEnd"/>
      <w:r w:rsidRPr="0059316B">
        <w:rPr>
          <w:color w:val="000000" w:themeColor="text1"/>
        </w:rPr>
        <w:t xml:space="preserve"> is considered ‘homeless’ if their housing situation was any of the following:</w:t>
      </w:r>
    </w:p>
    <w:p w:rsidR="000707E5" w:rsidRPr="00F82F6C" w:rsidRDefault="00420B8D" w:rsidP="000707E5">
      <w:pPr>
        <w:pStyle w:val="ListBullet"/>
      </w:pPr>
      <w:r w:rsidRPr="00570CF4">
        <w:t xml:space="preserve">improvised dwelling, or </w:t>
      </w:r>
      <w:r w:rsidR="000707E5" w:rsidRPr="00570CF4">
        <w:t xml:space="preserve">no shelter </w:t>
      </w:r>
    </w:p>
    <w:p w:rsidR="000707E5" w:rsidRPr="00F82F6C" w:rsidRDefault="000707E5" w:rsidP="000707E5">
      <w:pPr>
        <w:pStyle w:val="ListBullet"/>
      </w:pPr>
      <w:r w:rsidRPr="00F82F6C">
        <w:t xml:space="preserve">short-term temporary accommodation </w:t>
      </w:r>
    </w:p>
    <w:p w:rsidR="000707E5" w:rsidRPr="00F82F6C" w:rsidRDefault="00076763" w:rsidP="000707E5">
      <w:pPr>
        <w:pStyle w:val="ListBullet"/>
      </w:pPr>
      <w:r w:rsidRPr="00570CF4">
        <w:t xml:space="preserve">‘couch surfing’ in a </w:t>
      </w:r>
      <w:r w:rsidR="000707E5" w:rsidRPr="00570CF4">
        <w:t>house, townhouse or flat with no tenure</w:t>
      </w:r>
      <w:r w:rsidR="000707E5" w:rsidRPr="00F82F6C">
        <w:t>.</w:t>
      </w:r>
    </w:p>
    <w:p w:rsidR="000707E5" w:rsidRDefault="000707E5" w:rsidP="000707E5">
      <w:pPr>
        <w:pStyle w:val="BodyText"/>
        <w:spacing w:after="240"/>
        <w:rPr>
          <w:color w:val="000000" w:themeColor="text1"/>
        </w:rPr>
      </w:pPr>
      <w:r w:rsidRPr="0076451D">
        <w:rPr>
          <w:color w:val="000000" w:themeColor="text1"/>
        </w:rPr>
        <w:t>Nationally</w:t>
      </w:r>
      <w:r>
        <w:rPr>
          <w:color w:val="000000" w:themeColor="text1"/>
        </w:rPr>
        <w:t xml:space="preserve"> in 2014</w:t>
      </w:r>
      <w:r>
        <w:rPr>
          <w:color w:val="000000" w:themeColor="text1"/>
        </w:rPr>
        <w:noBreakHyphen/>
        <w:t>15</w:t>
      </w:r>
      <w:r w:rsidRPr="0076451D">
        <w:rPr>
          <w:color w:val="000000" w:themeColor="text1"/>
        </w:rPr>
        <w:t xml:space="preserve">, specialist homelessness services agencies provided support to </w:t>
      </w:r>
      <w:r>
        <w:rPr>
          <w:color w:val="000000" w:themeColor="text1"/>
        </w:rPr>
        <w:t>an estimated</w:t>
      </w:r>
      <w:r w:rsidR="0091704C">
        <w:rPr>
          <w:color w:val="000000" w:themeColor="text1"/>
        </w:rPr>
        <w:t xml:space="preserve"> 255 657 </w:t>
      </w:r>
      <w:r w:rsidRPr="0076451D">
        <w:rPr>
          <w:color w:val="000000" w:themeColor="text1"/>
        </w:rPr>
        <w:t>people (table </w:t>
      </w:r>
      <w:proofErr w:type="spellStart"/>
      <w:r w:rsidRPr="00C629CD">
        <w:rPr>
          <w:color w:val="000000" w:themeColor="text1"/>
        </w:rPr>
        <w:t>18A.1</w:t>
      </w:r>
      <w:proofErr w:type="spellEnd"/>
      <w:r w:rsidRPr="00C629CD">
        <w:rPr>
          <w:color w:val="000000" w:themeColor="text1"/>
        </w:rPr>
        <w:t xml:space="preserve">). Specialist homelessness agencies </w:t>
      </w:r>
      <w:r w:rsidR="00C629CD">
        <w:rPr>
          <w:color w:val="000000" w:themeColor="text1"/>
        </w:rPr>
        <w:t xml:space="preserve">can </w:t>
      </w:r>
      <w:r w:rsidRPr="00C629CD">
        <w:rPr>
          <w:color w:val="000000" w:themeColor="text1"/>
        </w:rPr>
        <w:t xml:space="preserve">provide </w:t>
      </w:r>
      <w:r w:rsidR="00C629CD">
        <w:rPr>
          <w:color w:val="000000" w:themeColor="text1"/>
        </w:rPr>
        <w:t xml:space="preserve">a number of services </w:t>
      </w:r>
      <w:r w:rsidR="00C629CD" w:rsidRPr="00C629CD">
        <w:rPr>
          <w:color w:val="000000" w:themeColor="text1"/>
        </w:rPr>
        <w:t>to clients</w:t>
      </w:r>
      <w:r w:rsidR="006E59AC">
        <w:rPr>
          <w:color w:val="000000" w:themeColor="text1"/>
        </w:rPr>
        <w:t xml:space="preserve"> </w:t>
      </w:r>
      <w:r w:rsidR="006E59AC" w:rsidRPr="00570CF4">
        <w:rPr>
          <w:color w:val="000000" w:themeColor="text1"/>
        </w:rPr>
        <w:t>in a single support</w:t>
      </w:r>
      <w:r w:rsidR="00C629CD">
        <w:rPr>
          <w:color w:val="000000" w:themeColor="text1"/>
        </w:rPr>
        <w:t xml:space="preserve"> </w:t>
      </w:r>
      <w:r w:rsidR="00E0316D" w:rsidRPr="00570CF4">
        <w:rPr>
          <w:color w:val="000000" w:themeColor="text1"/>
        </w:rPr>
        <w:t xml:space="preserve">period </w:t>
      </w:r>
      <w:r w:rsidR="00C629CD">
        <w:rPr>
          <w:color w:val="000000" w:themeColor="text1"/>
        </w:rPr>
        <w:t xml:space="preserve">— across </w:t>
      </w:r>
      <w:r w:rsidRPr="00C629CD">
        <w:rPr>
          <w:color w:val="000000" w:themeColor="text1"/>
        </w:rPr>
        <w:t xml:space="preserve">a range of support </w:t>
      </w:r>
      <w:r w:rsidR="00C629CD">
        <w:rPr>
          <w:color w:val="000000" w:themeColor="text1"/>
        </w:rPr>
        <w:t>areas —</w:t>
      </w:r>
      <w:r w:rsidRPr="00C629CD">
        <w:rPr>
          <w:color w:val="000000" w:themeColor="text1"/>
        </w:rPr>
        <w:t xml:space="preserve"> including general services (provided to </w:t>
      </w:r>
      <w:r w:rsidR="00C629CD" w:rsidRPr="00C629CD">
        <w:rPr>
          <w:color w:val="000000" w:themeColor="text1"/>
        </w:rPr>
        <w:t>90.7 per cent</w:t>
      </w:r>
      <w:r w:rsidRPr="00C629CD">
        <w:rPr>
          <w:color w:val="000000" w:themeColor="text1"/>
        </w:rPr>
        <w:t xml:space="preserve"> of clients), accommodation (</w:t>
      </w:r>
      <w:r w:rsidR="00C629CD" w:rsidRPr="00C629CD">
        <w:rPr>
          <w:color w:val="000000" w:themeColor="text1"/>
        </w:rPr>
        <w:t>33.3</w:t>
      </w:r>
      <w:r w:rsidRPr="00C629CD">
        <w:rPr>
          <w:color w:val="000000" w:themeColor="text1"/>
        </w:rPr>
        <w:t> per cent), assistance to sustain housing (</w:t>
      </w:r>
      <w:r w:rsidR="00C629CD" w:rsidRPr="00C629CD">
        <w:rPr>
          <w:color w:val="000000" w:themeColor="text1"/>
        </w:rPr>
        <w:t>27.8</w:t>
      </w:r>
      <w:r w:rsidRPr="00C629CD">
        <w:rPr>
          <w:color w:val="000000" w:themeColor="text1"/>
        </w:rPr>
        <w:t xml:space="preserve"> per cent), </w:t>
      </w:r>
      <w:r w:rsidR="00CA1668">
        <w:rPr>
          <w:color w:val="000000" w:themeColor="text1"/>
        </w:rPr>
        <w:t xml:space="preserve">and </w:t>
      </w:r>
      <w:r w:rsidRPr="00C629CD">
        <w:rPr>
          <w:color w:val="000000" w:themeColor="text1"/>
        </w:rPr>
        <w:t>domestic violence services (</w:t>
      </w:r>
      <w:r w:rsidR="00C629CD" w:rsidRPr="00C629CD">
        <w:rPr>
          <w:color w:val="000000" w:themeColor="text1"/>
        </w:rPr>
        <w:t>23.1</w:t>
      </w:r>
      <w:r w:rsidRPr="00C629CD">
        <w:rPr>
          <w:color w:val="000000" w:themeColor="text1"/>
        </w:rPr>
        <w:t> per cent) (figure 18.1).</w:t>
      </w:r>
    </w:p>
    <w:p w:rsidR="006D3797" w:rsidRDefault="006D3797" w:rsidP="005256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797" w:rsidTr="005256BE">
        <w:tc>
          <w:tcPr>
            <w:tcW w:w="8771" w:type="dxa"/>
            <w:tcBorders>
              <w:top w:val="single" w:sz="6" w:space="0" w:color="78A22F"/>
              <w:left w:val="nil"/>
              <w:bottom w:val="nil"/>
              <w:right w:val="nil"/>
            </w:tcBorders>
            <w:shd w:val="clear" w:color="auto" w:fill="auto"/>
          </w:tcPr>
          <w:p w:rsidR="006D3797" w:rsidRPr="00176D3F" w:rsidRDefault="006D3797" w:rsidP="000D18AC">
            <w:pPr>
              <w:pStyle w:val="FigureTitle"/>
            </w:pPr>
            <w:r w:rsidRPr="00784A05">
              <w:rPr>
                <w:b w:val="0"/>
              </w:rPr>
              <w:t xml:space="preserve">Figure </w:t>
            </w:r>
            <w:r w:rsidR="007A5581">
              <w:rPr>
                <w:b w:val="0"/>
              </w:rPr>
              <w:t>18.</w:t>
            </w:r>
            <w:r w:rsidR="007A3D6D">
              <w:rPr>
                <w:b w:val="0"/>
                <w:noProof/>
              </w:rPr>
              <w:t>1</w:t>
            </w:r>
            <w:r>
              <w:tab/>
            </w:r>
            <w:r w:rsidRPr="00205C06">
              <w:t xml:space="preserve">Composition of support provided, all clients, </w:t>
            </w:r>
            <w:r>
              <w:t>2014</w:t>
            </w:r>
            <w:r>
              <w:noBreakHyphen/>
              <w:t>15</w:t>
            </w:r>
            <w:r w:rsidR="00D86884" w:rsidRPr="00192584">
              <w:rPr>
                <w:rStyle w:val="NoteLabel"/>
                <w:b/>
              </w:rPr>
              <w:t>a</w:t>
            </w:r>
          </w:p>
        </w:tc>
      </w:tr>
      <w:tr w:rsidR="006D3797" w:rsidTr="005256BE">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6D3797" w:rsidTr="000C1770">
              <w:trPr>
                <w:jc w:val="center"/>
              </w:trPr>
              <w:tc>
                <w:tcPr>
                  <w:tcW w:w="5000" w:type="pct"/>
                  <w:tcBorders>
                    <w:top w:val="nil"/>
                    <w:bottom w:val="nil"/>
                  </w:tcBorders>
                </w:tcPr>
                <w:p w:rsidR="006D3797" w:rsidRDefault="00A701B9" w:rsidP="005256BE">
                  <w:pPr>
                    <w:pStyle w:val="Figure"/>
                    <w:spacing w:before="60" w:after="60"/>
                  </w:pPr>
                  <w:r>
                    <w:rPr>
                      <w:noProof/>
                    </w:rPr>
                    <w:drawing>
                      <wp:inline distT="0" distB="0" distL="0" distR="0">
                        <wp:extent cx="5389880" cy="2689225"/>
                        <wp:effectExtent l="0" t="0" r="1270" b="0"/>
                        <wp:docPr id="2" name="Picture 2" descr="Figure 18.1 Composition of support provided, all clients, 2014 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p>
              </w:tc>
            </w:tr>
          </w:tbl>
          <w:p w:rsidR="006D3797" w:rsidRDefault="006D3797" w:rsidP="005256BE">
            <w:pPr>
              <w:pStyle w:val="Figure"/>
            </w:pPr>
          </w:p>
        </w:tc>
      </w:tr>
      <w:tr w:rsidR="006D3797" w:rsidRPr="00176D3F" w:rsidTr="005256BE">
        <w:tc>
          <w:tcPr>
            <w:tcW w:w="8771" w:type="dxa"/>
            <w:tcBorders>
              <w:top w:val="nil"/>
              <w:left w:val="nil"/>
              <w:bottom w:val="nil"/>
              <w:right w:val="nil"/>
            </w:tcBorders>
            <w:shd w:val="clear" w:color="auto" w:fill="auto"/>
          </w:tcPr>
          <w:p w:rsidR="006D3797" w:rsidRPr="00176D3F" w:rsidRDefault="006D3797" w:rsidP="006E59AC">
            <w:pPr>
              <w:pStyle w:val="Note"/>
            </w:pPr>
            <w:r w:rsidRPr="004B1B81">
              <w:rPr>
                <w:rStyle w:val="NoteLabel"/>
              </w:rPr>
              <w:t>a</w:t>
            </w:r>
            <w:r w:rsidRPr="004B1B81">
              <w:t xml:space="preserve"> </w:t>
            </w:r>
            <w:r>
              <w:t xml:space="preserve">See table </w:t>
            </w:r>
            <w:proofErr w:type="spellStart"/>
            <w:r>
              <w:t>18A.1</w:t>
            </w:r>
            <w:proofErr w:type="spellEnd"/>
            <w:r>
              <w:t xml:space="preserve"> for detailed</w:t>
            </w:r>
            <w:r w:rsidRPr="006D3797">
              <w:t xml:space="preserve"> footnotes and caveats</w:t>
            </w:r>
            <w:r w:rsidR="00D86884">
              <w:t xml:space="preserve">. </w:t>
            </w:r>
            <w:r w:rsidR="00D86884" w:rsidRPr="00570CF4">
              <w:t xml:space="preserve">See Definitions of key terms (section 18.5) for </w:t>
            </w:r>
            <w:r w:rsidR="006E59AC" w:rsidRPr="00570CF4">
              <w:t xml:space="preserve">further details on the types </w:t>
            </w:r>
            <w:r w:rsidR="00D86884" w:rsidRPr="00570CF4">
              <w:t>of specialist homelessness services provided.</w:t>
            </w:r>
          </w:p>
        </w:tc>
      </w:tr>
      <w:tr w:rsidR="006D3797" w:rsidRPr="00176D3F" w:rsidTr="005256BE">
        <w:tc>
          <w:tcPr>
            <w:tcW w:w="8771" w:type="dxa"/>
            <w:tcBorders>
              <w:top w:val="nil"/>
              <w:left w:val="nil"/>
              <w:bottom w:val="nil"/>
              <w:right w:val="nil"/>
            </w:tcBorders>
            <w:shd w:val="clear" w:color="auto" w:fill="auto"/>
          </w:tcPr>
          <w:p w:rsidR="006D3797" w:rsidRPr="00176D3F" w:rsidRDefault="006D3797" w:rsidP="006D3797">
            <w:pPr>
              <w:pStyle w:val="Source"/>
            </w:pPr>
            <w:r>
              <w:rPr>
                <w:i/>
              </w:rPr>
              <w:t>S</w:t>
            </w:r>
            <w:r w:rsidRPr="00784A05">
              <w:rPr>
                <w:i/>
              </w:rPr>
              <w:t>ource</w:t>
            </w:r>
            <w:r w:rsidRPr="00176D3F">
              <w:t xml:space="preserve">: </w:t>
            </w:r>
            <w:proofErr w:type="spellStart"/>
            <w:r w:rsidRPr="00205C06">
              <w:t>AIHW</w:t>
            </w:r>
            <w:proofErr w:type="spellEnd"/>
            <w:r w:rsidRPr="00205C06">
              <w:t xml:space="preserve"> (unpublished) </w:t>
            </w:r>
            <w:r w:rsidR="000C1770" w:rsidRPr="000C1770">
              <w:t>Specialist Homelessness Services Collection</w:t>
            </w:r>
            <w:r w:rsidRPr="00205C06">
              <w:t xml:space="preserve">, Australia; table </w:t>
            </w:r>
            <w:proofErr w:type="spellStart"/>
            <w:r w:rsidRPr="00205C06">
              <w:t>18A.1</w:t>
            </w:r>
            <w:proofErr w:type="spellEnd"/>
            <w:r w:rsidRPr="00205C06">
              <w:t>.</w:t>
            </w:r>
            <w:r w:rsidRPr="00176D3F">
              <w:t xml:space="preserve"> </w:t>
            </w:r>
          </w:p>
        </w:tc>
      </w:tr>
      <w:tr w:rsidR="006D3797" w:rsidTr="005256BE">
        <w:tc>
          <w:tcPr>
            <w:tcW w:w="8771" w:type="dxa"/>
            <w:tcBorders>
              <w:top w:val="nil"/>
              <w:left w:val="nil"/>
              <w:bottom w:val="single" w:sz="6" w:space="0" w:color="78A22F"/>
              <w:right w:val="nil"/>
            </w:tcBorders>
            <w:shd w:val="clear" w:color="auto" w:fill="auto"/>
          </w:tcPr>
          <w:p w:rsidR="006D3797" w:rsidRDefault="006D3797" w:rsidP="00D86884">
            <w:pPr>
              <w:pStyle w:val="Figurespace"/>
              <w:keepNext w:val="0"/>
            </w:pPr>
          </w:p>
        </w:tc>
      </w:tr>
    </w:tbl>
    <w:p w:rsidR="000707E5" w:rsidRPr="00345A74" w:rsidRDefault="007A5581" w:rsidP="000707E5">
      <w:pPr>
        <w:pStyle w:val="Heading2"/>
      </w:pPr>
      <w:bookmarkStart w:id="11" w:name="_Toc341801415"/>
      <w:bookmarkStart w:id="12" w:name="_Toc396143170"/>
      <w:bookmarkStart w:id="13" w:name="_Toc429075900"/>
      <w:r>
        <w:lastRenderedPageBreak/>
        <w:t>18.</w:t>
      </w:r>
      <w:r w:rsidR="007A3D6D">
        <w:rPr>
          <w:noProof/>
        </w:rPr>
        <w:t>2</w:t>
      </w:r>
      <w:r w:rsidR="000707E5">
        <w:tab/>
      </w:r>
      <w:r w:rsidR="000707E5" w:rsidRPr="00345A74">
        <w:t xml:space="preserve">Framework of performance indicators </w:t>
      </w:r>
      <w:bookmarkEnd w:id="11"/>
      <w:bookmarkEnd w:id="12"/>
      <w:bookmarkEnd w:id="13"/>
    </w:p>
    <w:p w:rsidR="000707E5" w:rsidRDefault="000707E5" w:rsidP="000707E5">
      <w:pPr>
        <w:pStyle w:val="BodyText"/>
      </w:pPr>
      <w:r w:rsidRPr="004F17C9">
        <w:t>The performance indicator framework for government funded specialist homelessness services is based on shared government objectives for homelessness services delivered</w:t>
      </w:r>
      <w:r>
        <w:t xml:space="preserve"> under the NAHA (</w:t>
      </w:r>
      <w:r w:rsidRPr="004F17C9">
        <w:t xml:space="preserve">box </w:t>
      </w:r>
      <w:r>
        <w:t>18.2</w:t>
      </w:r>
      <w:r w:rsidRPr="004F17C9">
        <w:t>).</w:t>
      </w:r>
      <w:r>
        <w:t xml:space="preserve"> </w:t>
      </w:r>
      <w:r w:rsidRPr="00BD4666">
        <w:t>The NAHA covers the areas of housing and homelessness services. Performance indicators reported in this chapter are aligned with h</w:t>
      </w:r>
      <w:r>
        <w:t xml:space="preserve">omelessness services </w:t>
      </w:r>
      <w:r w:rsidRPr="00BD4666">
        <w:t>performance indicators in the most recent version of the NAHA</w:t>
      </w:r>
      <w:r>
        <w:t xml:space="preserve">, </w:t>
      </w:r>
      <w:r w:rsidRPr="00BD4666">
        <w:t>where relevant.</w:t>
      </w:r>
    </w:p>
    <w:p w:rsidR="006D3797" w:rsidRDefault="006D379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797" w:rsidTr="005256BE">
        <w:tc>
          <w:tcPr>
            <w:tcW w:w="8771" w:type="dxa"/>
            <w:tcBorders>
              <w:top w:val="single" w:sz="6" w:space="0" w:color="78A22F"/>
              <w:left w:val="nil"/>
              <w:bottom w:val="nil"/>
              <w:right w:val="nil"/>
            </w:tcBorders>
            <w:shd w:val="clear" w:color="auto" w:fill="F2F2F2"/>
          </w:tcPr>
          <w:p w:rsidR="006D3797" w:rsidRDefault="006D3797" w:rsidP="006D3797">
            <w:pPr>
              <w:pStyle w:val="BoxTitle"/>
            </w:pPr>
            <w:r>
              <w:rPr>
                <w:b w:val="0"/>
              </w:rPr>
              <w:t xml:space="preserve">Box </w:t>
            </w:r>
            <w:r w:rsidR="007A5581">
              <w:rPr>
                <w:b w:val="0"/>
              </w:rPr>
              <w:t>18.</w:t>
            </w:r>
            <w:r w:rsidR="007A3D6D">
              <w:rPr>
                <w:b w:val="0"/>
                <w:noProof/>
              </w:rPr>
              <w:t>2</w:t>
            </w:r>
            <w:r>
              <w:tab/>
            </w:r>
            <w:r w:rsidRPr="00FE3979">
              <w:t>Objectives for government funded specialist homelessness services</w:t>
            </w:r>
          </w:p>
        </w:tc>
      </w:tr>
      <w:tr w:rsidR="006D3797" w:rsidTr="005256BE">
        <w:trPr>
          <w:cantSplit/>
        </w:trPr>
        <w:tc>
          <w:tcPr>
            <w:tcW w:w="8771" w:type="dxa"/>
            <w:tcBorders>
              <w:top w:val="nil"/>
              <w:left w:val="nil"/>
              <w:bottom w:val="nil"/>
              <w:right w:val="nil"/>
            </w:tcBorders>
            <w:shd w:val="clear" w:color="auto" w:fill="F2F2F2"/>
          </w:tcPr>
          <w:p w:rsidR="006D3797" w:rsidRPr="00FE3979" w:rsidRDefault="006D3797" w:rsidP="006D3797">
            <w:pPr>
              <w:pStyle w:val="Box"/>
            </w:pPr>
            <w:r w:rsidRPr="00FE3979">
              <w:t>The overall aim of specialist homelessness services is to provide transitional supported accommodation and a range of related support services, to help people who are homeless or at imminent risk of homelessness to achieve the maximum possible degree of self</w:t>
            </w:r>
            <w:r>
              <w:noBreakHyphen/>
            </w:r>
            <w:r w:rsidRPr="00FE3979">
              <w:t xml:space="preserve">reliance and independence. Within this aim, the goals are to: </w:t>
            </w:r>
          </w:p>
          <w:p w:rsidR="006D3797" w:rsidRDefault="006D3797" w:rsidP="006D3797">
            <w:pPr>
              <w:pStyle w:val="BoxListBullet"/>
            </w:pPr>
            <w:r w:rsidRPr="00FE3979">
              <w:t>resolve crises</w:t>
            </w:r>
          </w:p>
          <w:p w:rsidR="006D3797" w:rsidRDefault="006D3797" w:rsidP="006D3797">
            <w:pPr>
              <w:pStyle w:val="BoxListBullet"/>
            </w:pPr>
            <w:r w:rsidRPr="00FE3979">
              <w:t>re</w:t>
            </w:r>
            <w:r>
              <w:noBreakHyphen/>
            </w:r>
            <w:r w:rsidRPr="00FE3979">
              <w:t>establish family links where appropriate</w:t>
            </w:r>
          </w:p>
          <w:p w:rsidR="006D3797" w:rsidRDefault="006D3797" w:rsidP="006D3797">
            <w:pPr>
              <w:pStyle w:val="BoxListBullet"/>
            </w:pPr>
            <w:r w:rsidRPr="00FE3979">
              <w:t>re</w:t>
            </w:r>
            <w:r>
              <w:noBreakHyphen/>
            </w:r>
            <w:r w:rsidRPr="00FE3979">
              <w:t>establish the capacity of clients to live independently, achieve sustainable housing and social inclusion</w:t>
            </w:r>
          </w:p>
          <w:p w:rsidR="006D3797" w:rsidRDefault="006D3797" w:rsidP="006D3797">
            <w:pPr>
              <w:pStyle w:val="BoxListBullet"/>
            </w:pPr>
            <w:r>
              <w:t>prov</w:t>
            </w:r>
            <w:r w:rsidRPr="00FE3979">
              <w:t>ide homelessness services in an equitable and efficient manner.</w:t>
            </w:r>
          </w:p>
        </w:tc>
      </w:tr>
      <w:tr w:rsidR="006D3797" w:rsidTr="005256BE">
        <w:trPr>
          <w:cantSplit/>
        </w:trPr>
        <w:tc>
          <w:tcPr>
            <w:tcW w:w="8771" w:type="dxa"/>
            <w:tcBorders>
              <w:top w:val="nil"/>
              <w:left w:val="nil"/>
              <w:bottom w:val="nil"/>
              <w:right w:val="nil"/>
            </w:tcBorders>
            <w:shd w:val="clear" w:color="auto" w:fill="F2F2F2"/>
          </w:tcPr>
          <w:p w:rsidR="006D3797" w:rsidRDefault="006D3797" w:rsidP="005256BE">
            <w:pPr>
              <w:pStyle w:val="BoxSource"/>
            </w:pPr>
            <w:r>
              <w:rPr>
                <w:i/>
              </w:rPr>
              <w:t>Source</w:t>
            </w:r>
            <w:r w:rsidRPr="00167F06">
              <w:t xml:space="preserve">: </w:t>
            </w:r>
            <w:proofErr w:type="spellStart"/>
            <w:r>
              <w:t>COAG</w:t>
            </w:r>
            <w:proofErr w:type="spellEnd"/>
            <w:r>
              <w:t xml:space="preserve"> (</w:t>
            </w:r>
            <w:proofErr w:type="spellStart"/>
            <w:r>
              <w:t>2012a</w:t>
            </w:r>
            <w:proofErr w:type="spellEnd"/>
            <w:r>
              <w:t>).</w:t>
            </w:r>
          </w:p>
        </w:tc>
      </w:tr>
      <w:tr w:rsidR="006D3797" w:rsidTr="005256BE">
        <w:trPr>
          <w:cantSplit/>
        </w:trPr>
        <w:tc>
          <w:tcPr>
            <w:tcW w:w="8771" w:type="dxa"/>
            <w:tcBorders>
              <w:top w:val="nil"/>
              <w:left w:val="nil"/>
              <w:bottom w:val="single" w:sz="6" w:space="0" w:color="78A22F"/>
              <w:right w:val="nil"/>
            </w:tcBorders>
            <w:shd w:val="clear" w:color="auto" w:fill="F2F2F2"/>
          </w:tcPr>
          <w:p w:rsidR="006D3797" w:rsidRDefault="006D3797">
            <w:pPr>
              <w:pStyle w:val="Box"/>
              <w:spacing w:before="0" w:line="120" w:lineRule="exact"/>
            </w:pPr>
          </w:p>
        </w:tc>
      </w:tr>
      <w:tr w:rsidR="006D3797" w:rsidRPr="000863A5" w:rsidTr="005256BE">
        <w:tc>
          <w:tcPr>
            <w:tcW w:w="8771" w:type="dxa"/>
            <w:tcBorders>
              <w:top w:val="single" w:sz="6" w:space="0" w:color="78A22F"/>
              <w:left w:val="nil"/>
              <w:bottom w:val="nil"/>
              <w:right w:val="nil"/>
            </w:tcBorders>
          </w:tcPr>
          <w:p w:rsidR="006D3797" w:rsidRPr="00626D32" w:rsidRDefault="006D3797" w:rsidP="005256BE">
            <w:pPr>
              <w:pStyle w:val="BoxSpaceBelow"/>
            </w:pPr>
          </w:p>
        </w:tc>
      </w:tr>
    </w:tbl>
    <w:p w:rsidR="000707E5" w:rsidRDefault="000707E5" w:rsidP="000707E5">
      <w:pPr>
        <w:pStyle w:val="BodyText"/>
        <w:spacing w:after="240"/>
      </w:pPr>
      <w:r w:rsidRPr="00DB572D">
        <w:t>The performance indicator framework provides information on equity, efficiency and effectiveness, and distinguishes the outputs and outcomes of h</w:t>
      </w:r>
      <w:r>
        <w:t xml:space="preserve">omelessness </w:t>
      </w:r>
      <w:r w:rsidRPr="00DB572D">
        <w:t>services (figure</w:t>
      </w:r>
      <w:r>
        <w:t> </w:t>
      </w:r>
      <w:r w:rsidRPr="00DB572D">
        <w:t>1</w:t>
      </w:r>
      <w:r>
        <w:t>8.2</w:t>
      </w:r>
      <w:r w:rsidRPr="00DB572D">
        <w:t xml:space="preserve">). The performance indicator framework shows which data are comparable in the </w:t>
      </w:r>
      <w:r>
        <w:t>2016</w:t>
      </w:r>
      <w:r w:rsidRPr="00DB572D">
        <w:t xml:space="preserve"> Report. For data that are not considered directly comparable, text includes relevant caveats and supporting commentary. Chapter 1 discusses data comparability </w:t>
      </w:r>
      <w:r w:rsidRPr="00BC07B7">
        <w:t>and completeness</w:t>
      </w:r>
      <w:r>
        <w:t xml:space="preserve"> </w:t>
      </w:r>
      <w:r w:rsidRPr="00DB572D">
        <w:t>from a Report</w:t>
      </w:r>
      <w:r>
        <w:noBreakHyphen/>
      </w:r>
      <w:r w:rsidRPr="00DB572D">
        <w:t>wide perspective (section 1.6).</w:t>
      </w:r>
    </w:p>
    <w:p w:rsidR="000707E5" w:rsidRDefault="000707E5" w:rsidP="000707E5">
      <w:pPr>
        <w:pStyle w:val="BodyText"/>
        <w:spacing w:after="240"/>
      </w:pPr>
      <w:r>
        <w:t>In addition to section 18.1, the Report’s Statistical context chapter contains data that may assist in interpreting the performance indicators presented in this chapter. These data cover a range of demographic and geographic characteristics (chapter 2).</w:t>
      </w:r>
    </w:p>
    <w:p w:rsidR="007254FC" w:rsidRDefault="007254FC" w:rsidP="007254FC">
      <w:pPr>
        <w:pStyle w:val="BodyText"/>
      </w:pPr>
      <w:r>
        <w:t>For specialist homelessness services, the impact of the different service delivery models operating across jurisdictions also impacts selected performance measures (box 18.3).</w:t>
      </w:r>
    </w:p>
    <w:p w:rsidR="006D3797" w:rsidRDefault="006D3797" w:rsidP="005256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797" w:rsidTr="005256BE">
        <w:tc>
          <w:tcPr>
            <w:tcW w:w="8771" w:type="dxa"/>
            <w:tcBorders>
              <w:top w:val="single" w:sz="6" w:space="0" w:color="78A22F"/>
              <w:left w:val="nil"/>
              <w:bottom w:val="nil"/>
              <w:right w:val="nil"/>
            </w:tcBorders>
            <w:shd w:val="clear" w:color="auto" w:fill="auto"/>
          </w:tcPr>
          <w:p w:rsidR="006D3797" w:rsidRPr="00176D3F" w:rsidRDefault="006D3797" w:rsidP="006D3797">
            <w:pPr>
              <w:pStyle w:val="FigureTitle"/>
            </w:pPr>
            <w:r w:rsidRPr="00784A05">
              <w:rPr>
                <w:b w:val="0"/>
              </w:rPr>
              <w:t xml:space="preserve">Figure </w:t>
            </w:r>
            <w:r w:rsidR="007A5581">
              <w:rPr>
                <w:b w:val="0"/>
              </w:rPr>
              <w:t>18.</w:t>
            </w:r>
            <w:r w:rsidR="007A3D6D">
              <w:rPr>
                <w:b w:val="0"/>
                <w:noProof/>
              </w:rPr>
              <w:t>2</w:t>
            </w:r>
            <w:r>
              <w:tab/>
            </w:r>
            <w:r w:rsidRPr="00AA3018">
              <w:t>Government funded specialist homelessness services performance indicator framework</w:t>
            </w:r>
          </w:p>
        </w:tc>
      </w:tr>
      <w:tr w:rsidR="006D3797" w:rsidTr="005256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D3797" w:rsidTr="005256BE">
              <w:trPr>
                <w:jc w:val="center"/>
              </w:trPr>
              <w:tc>
                <w:tcPr>
                  <w:tcW w:w="5000" w:type="pct"/>
                  <w:tcBorders>
                    <w:top w:val="nil"/>
                    <w:bottom w:val="nil"/>
                  </w:tcBorders>
                </w:tcPr>
                <w:p w:rsidR="006D3797" w:rsidRDefault="0057305D" w:rsidP="005256BE">
                  <w:pPr>
                    <w:pStyle w:val="Figure"/>
                    <w:spacing w:before="60" w:after="60"/>
                  </w:pPr>
                  <w:r>
                    <w:rPr>
                      <w:noProof/>
                    </w:rPr>
                    <w:drawing>
                      <wp:inline distT="0" distB="0" distL="0" distR="0" wp14:anchorId="2E8190CE" wp14:editId="3B9CEBFA">
                        <wp:extent cx="5400040" cy="4410710"/>
                        <wp:effectExtent l="0" t="0" r="0" b="8890"/>
                        <wp:docPr id="1" name="Picture 1" descr="Figure 18.2 Government funded specialist homelessness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4410710"/>
                                </a:xfrm>
                                <a:prstGeom prst="rect">
                                  <a:avLst/>
                                </a:prstGeom>
                                <a:noFill/>
                                <a:ln>
                                  <a:noFill/>
                                </a:ln>
                              </pic:spPr>
                            </pic:pic>
                          </a:graphicData>
                        </a:graphic>
                      </wp:inline>
                    </w:drawing>
                  </w:r>
                </w:p>
              </w:tc>
            </w:tr>
          </w:tbl>
          <w:p w:rsidR="006D3797" w:rsidRDefault="006D3797" w:rsidP="005256BE">
            <w:pPr>
              <w:pStyle w:val="Figure"/>
            </w:pPr>
          </w:p>
        </w:tc>
      </w:tr>
      <w:tr w:rsidR="006D3797" w:rsidTr="005256BE">
        <w:tc>
          <w:tcPr>
            <w:tcW w:w="8771" w:type="dxa"/>
            <w:tcBorders>
              <w:top w:val="nil"/>
              <w:left w:val="nil"/>
              <w:bottom w:val="single" w:sz="6" w:space="0" w:color="78A22F"/>
              <w:right w:val="nil"/>
            </w:tcBorders>
            <w:shd w:val="clear" w:color="auto" w:fill="auto"/>
          </w:tcPr>
          <w:p w:rsidR="006D3797" w:rsidRDefault="006D3797" w:rsidP="005256BE">
            <w:pPr>
              <w:pStyle w:val="Figurespace"/>
            </w:pPr>
          </w:p>
        </w:tc>
      </w:tr>
      <w:tr w:rsidR="006D3797" w:rsidRPr="000863A5" w:rsidTr="005256BE">
        <w:tc>
          <w:tcPr>
            <w:tcW w:w="8771" w:type="dxa"/>
            <w:tcBorders>
              <w:top w:val="single" w:sz="6" w:space="0" w:color="78A22F"/>
              <w:left w:val="nil"/>
              <w:bottom w:val="nil"/>
              <w:right w:val="nil"/>
            </w:tcBorders>
          </w:tcPr>
          <w:p w:rsidR="006D3797" w:rsidRPr="00626D32" w:rsidRDefault="006D3797" w:rsidP="005256BE">
            <w:pPr>
              <w:pStyle w:val="BoxSpaceBelow"/>
            </w:pPr>
          </w:p>
        </w:tc>
      </w:tr>
    </w:tbl>
    <w:p w:rsidR="000707E5" w:rsidRDefault="000707E5" w:rsidP="000707E5">
      <w:pPr>
        <w:pStyle w:val="BoxSpaceAbove"/>
      </w:pPr>
      <w:bookmarkStart w:id="14" w:name="_Toc341801416"/>
      <w:bookmarkStart w:id="15" w:name="_Toc396143171"/>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07E5" w:rsidTr="00094389">
        <w:tc>
          <w:tcPr>
            <w:tcW w:w="8771" w:type="dxa"/>
            <w:tcBorders>
              <w:top w:val="single" w:sz="6" w:space="0" w:color="78A22F"/>
              <w:left w:val="nil"/>
              <w:bottom w:val="nil"/>
              <w:right w:val="nil"/>
            </w:tcBorders>
            <w:shd w:val="clear" w:color="auto" w:fill="F2F2F2"/>
          </w:tcPr>
          <w:p w:rsidR="000707E5" w:rsidRDefault="000707E5" w:rsidP="00094389">
            <w:pPr>
              <w:pStyle w:val="BoxTitle"/>
            </w:pPr>
            <w:r>
              <w:rPr>
                <w:b w:val="0"/>
              </w:rPr>
              <w:t xml:space="preserve">Box </w:t>
            </w:r>
            <w:bookmarkStart w:id="16" w:name="OLE_LINK2"/>
            <w:r w:rsidR="007A5581">
              <w:rPr>
                <w:b w:val="0"/>
              </w:rPr>
              <w:t>18.</w:t>
            </w:r>
            <w:r w:rsidR="007A3D6D">
              <w:rPr>
                <w:b w:val="0"/>
                <w:noProof/>
              </w:rPr>
              <w:t>3</w:t>
            </w:r>
            <w:bookmarkEnd w:id="16"/>
            <w:r>
              <w:tab/>
              <w:t>Model of service delivery and performance measurement</w:t>
            </w:r>
          </w:p>
        </w:tc>
      </w:tr>
      <w:tr w:rsidR="000707E5" w:rsidTr="00094389">
        <w:trPr>
          <w:cantSplit/>
        </w:trPr>
        <w:tc>
          <w:tcPr>
            <w:tcW w:w="8771" w:type="dxa"/>
            <w:tcBorders>
              <w:top w:val="nil"/>
              <w:left w:val="nil"/>
              <w:bottom w:val="nil"/>
              <w:right w:val="nil"/>
            </w:tcBorders>
            <w:shd w:val="clear" w:color="auto" w:fill="F2F2F2"/>
          </w:tcPr>
          <w:p w:rsidR="00F423D2" w:rsidRDefault="00537674" w:rsidP="00094389">
            <w:pPr>
              <w:pStyle w:val="Box"/>
            </w:pPr>
            <w:r>
              <w:t>Specialist homelessness service providers</w:t>
            </w:r>
            <w:r w:rsidR="000707E5" w:rsidRPr="00311936">
              <w:t xml:space="preserve"> across all jurisdictions provide information to the </w:t>
            </w:r>
            <w:proofErr w:type="spellStart"/>
            <w:r w:rsidR="000707E5" w:rsidRPr="00311936">
              <w:t>AIHW</w:t>
            </w:r>
            <w:proofErr w:type="spellEnd"/>
            <w:r w:rsidR="000707E5" w:rsidRPr="00311936">
              <w:t xml:space="preserve"> about all people and cases where assistance has been sought. The </w:t>
            </w:r>
            <w:proofErr w:type="spellStart"/>
            <w:r w:rsidR="000707E5" w:rsidRPr="00311936">
              <w:t>AIHW</w:t>
            </w:r>
            <w:proofErr w:type="spellEnd"/>
            <w:r w:rsidR="000707E5" w:rsidRPr="00311936">
              <w:t xml:space="preserve"> manages the collection to ensure that data are collected </w:t>
            </w:r>
            <w:r w:rsidR="000707E5">
              <w:t xml:space="preserve">according </w:t>
            </w:r>
            <w:r w:rsidR="000707E5" w:rsidRPr="00311936">
              <w:t>to common definitions</w:t>
            </w:r>
            <w:r w:rsidR="000707E5">
              <w:t xml:space="preserve">. However, </w:t>
            </w:r>
            <w:r w:rsidR="000707E5" w:rsidRPr="00311936">
              <w:t>the model of specialised homelessness service delivery operating within each jurisdiction can affect how and when particular activities are counted, which in turn affects measures of performance</w:t>
            </w:r>
            <w:r w:rsidR="00F423D2">
              <w:t>.</w:t>
            </w:r>
            <w:r w:rsidR="000707E5">
              <w:t xml:space="preserve"> </w:t>
            </w:r>
          </w:p>
          <w:p w:rsidR="000707E5" w:rsidRPr="00311936" w:rsidRDefault="00F423D2" w:rsidP="00570CF4">
            <w:pPr>
              <w:pStyle w:val="Box"/>
            </w:pPr>
            <w:r>
              <w:t xml:space="preserve">In particular, client intake and referral systems </w:t>
            </w:r>
            <w:r w:rsidR="000707E5">
              <w:t xml:space="preserve">(see table 18.1 for a summary </w:t>
            </w:r>
            <w:r>
              <w:t>of the system operating in each jurisdiction</w:t>
            </w:r>
            <w:r w:rsidR="00E05B47">
              <w:t>) affect the following indicators</w:t>
            </w:r>
            <w:r w:rsidR="000707E5" w:rsidRPr="00311936">
              <w:t>:</w:t>
            </w:r>
          </w:p>
          <w:p w:rsidR="000707E5" w:rsidRPr="00311936" w:rsidRDefault="000707E5" w:rsidP="00570CF4">
            <w:pPr>
              <w:pStyle w:val="BoxListBullet"/>
            </w:pPr>
            <w:r w:rsidRPr="00311936">
              <w:t xml:space="preserve">unmet demand for homelessness services </w:t>
            </w:r>
            <w:r w:rsidR="00E26830">
              <w:t>(see b</w:t>
            </w:r>
            <w:r w:rsidR="00E26830" w:rsidRPr="00E26830">
              <w:t>ox 18.5</w:t>
            </w:r>
            <w:r w:rsidR="00E26830">
              <w:t>)</w:t>
            </w:r>
          </w:p>
          <w:p w:rsidR="000707E5" w:rsidRPr="00311936" w:rsidRDefault="000707E5" w:rsidP="00570CF4">
            <w:pPr>
              <w:pStyle w:val="BoxListBullet"/>
              <w:rPr>
                <w:i/>
              </w:rPr>
            </w:pPr>
            <w:r w:rsidRPr="00E26830">
              <w:t>development of an agreed case management plan</w:t>
            </w:r>
            <w:r w:rsidRPr="00311936">
              <w:t xml:space="preserve"> </w:t>
            </w:r>
            <w:r w:rsidR="00E26830">
              <w:t>(box 18.6)</w:t>
            </w:r>
          </w:p>
          <w:p w:rsidR="00E26830" w:rsidRPr="00311936" w:rsidRDefault="000707E5" w:rsidP="00570CF4">
            <w:pPr>
              <w:pStyle w:val="BoxListBullet"/>
              <w:rPr>
                <w:i/>
              </w:rPr>
            </w:pPr>
            <w:r w:rsidRPr="00E26830">
              <w:t>match of needs of clients</w:t>
            </w:r>
            <w:r w:rsidRPr="00311936">
              <w:rPr>
                <w:i/>
              </w:rPr>
              <w:t xml:space="preserve"> </w:t>
            </w:r>
            <w:r w:rsidR="00E26830">
              <w:t>(box 18.7)</w:t>
            </w:r>
            <w:r w:rsidR="0023561F">
              <w:t>.</w:t>
            </w:r>
          </w:p>
          <w:p w:rsidR="000707E5" w:rsidRDefault="00E26830" w:rsidP="00570CF4">
            <w:pPr>
              <w:pStyle w:val="Box"/>
            </w:pPr>
            <w:r>
              <w:t xml:space="preserve">Other </w:t>
            </w:r>
            <w:r w:rsidR="003A6498">
              <w:t xml:space="preserve">service delivery approaches </w:t>
            </w:r>
            <w:r w:rsidR="00537674">
              <w:t>may also affect performance measurement</w:t>
            </w:r>
            <w:r w:rsidR="00421144">
              <w:t>. For example</w:t>
            </w:r>
            <w:r w:rsidR="0019542F">
              <w:t xml:space="preserve">, the provision </w:t>
            </w:r>
            <w:r w:rsidR="000D18AC">
              <w:t xml:space="preserve">of </w:t>
            </w:r>
            <w:r w:rsidR="00537674">
              <w:t>short</w:t>
            </w:r>
            <w:r w:rsidR="000D18AC">
              <w:noBreakHyphen/>
            </w:r>
            <w:r w:rsidR="00537674">
              <w:t xml:space="preserve">term </w:t>
            </w:r>
            <w:r w:rsidR="0019542F">
              <w:t xml:space="preserve">homelessness </w:t>
            </w:r>
            <w:r w:rsidR="00537674">
              <w:t xml:space="preserve">services </w:t>
            </w:r>
            <w:r w:rsidR="0019542F">
              <w:t>(</w:t>
            </w:r>
            <w:r w:rsidR="00537674">
              <w:t>less than 24</w:t>
            </w:r>
            <w:r w:rsidR="0019542F">
              <w:t> </w:t>
            </w:r>
            <w:r w:rsidR="00537674">
              <w:t>hours)</w:t>
            </w:r>
            <w:r w:rsidR="00421144">
              <w:t xml:space="preserve"> can</w:t>
            </w:r>
            <w:r w:rsidR="0019542F">
              <w:t xml:space="preserve"> affect</w:t>
            </w:r>
            <w:r w:rsidR="00421144">
              <w:t xml:space="preserve"> </w:t>
            </w:r>
            <w:r w:rsidR="0019542F">
              <w:t xml:space="preserve">measurement of the indicator: </w:t>
            </w:r>
            <w:r w:rsidR="0019542F" w:rsidRPr="00E26830">
              <w:t>development of an agreed case management plan</w:t>
            </w:r>
            <w:r w:rsidR="0019542F" w:rsidRPr="00311936">
              <w:t xml:space="preserve"> </w:t>
            </w:r>
            <w:r w:rsidR="003A6498">
              <w:t>(box 18.6)</w:t>
            </w:r>
            <w:r>
              <w:t>.</w:t>
            </w:r>
          </w:p>
        </w:tc>
      </w:tr>
      <w:tr w:rsidR="000707E5" w:rsidTr="00094389">
        <w:trPr>
          <w:cantSplit/>
        </w:trPr>
        <w:tc>
          <w:tcPr>
            <w:tcW w:w="8771" w:type="dxa"/>
            <w:tcBorders>
              <w:top w:val="nil"/>
              <w:left w:val="nil"/>
              <w:bottom w:val="nil"/>
              <w:right w:val="nil"/>
            </w:tcBorders>
            <w:shd w:val="clear" w:color="auto" w:fill="F2F2F2"/>
          </w:tcPr>
          <w:p w:rsidR="000707E5" w:rsidRDefault="000707E5" w:rsidP="00E05B47">
            <w:pPr>
              <w:pStyle w:val="BoxSource"/>
            </w:pPr>
            <w:r>
              <w:rPr>
                <w:i/>
              </w:rPr>
              <w:t>Source</w:t>
            </w:r>
            <w:r w:rsidRPr="00167F06">
              <w:t xml:space="preserve">: </w:t>
            </w:r>
            <w:r w:rsidR="00E05B47" w:rsidRPr="00570CF4">
              <w:t>State and Territory governments</w:t>
            </w:r>
            <w:r w:rsidRPr="00570CF4">
              <w:t>.</w:t>
            </w:r>
          </w:p>
        </w:tc>
      </w:tr>
      <w:tr w:rsidR="000707E5" w:rsidTr="00094389">
        <w:trPr>
          <w:cantSplit/>
        </w:trPr>
        <w:tc>
          <w:tcPr>
            <w:tcW w:w="8771" w:type="dxa"/>
            <w:tcBorders>
              <w:top w:val="nil"/>
              <w:left w:val="nil"/>
              <w:bottom w:val="single" w:sz="6" w:space="0" w:color="78A22F"/>
              <w:right w:val="nil"/>
            </w:tcBorders>
            <w:shd w:val="clear" w:color="auto" w:fill="F2F2F2"/>
          </w:tcPr>
          <w:p w:rsidR="000707E5" w:rsidRDefault="000707E5" w:rsidP="00094389">
            <w:pPr>
              <w:pStyle w:val="Box"/>
              <w:spacing w:before="0" w:line="120" w:lineRule="exact"/>
            </w:pPr>
          </w:p>
        </w:tc>
      </w:tr>
      <w:tr w:rsidR="000707E5" w:rsidRPr="000863A5" w:rsidTr="00094389">
        <w:tc>
          <w:tcPr>
            <w:tcW w:w="8771" w:type="dxa"/>
            <w:tcBorders>
              <w:top w:val="single" w:sz="6" w:space="0" w:color="78A22F"/>
              <w:left w:val="nil"/>
              <w:bottom w:val="nil"/>
              <w:right w:val="nil"/>
            </w:tcBorders>
          </w:tcPr>
          <w:p w:rsidR="000707E5" w:rsidRPr="00626D32" w:rsidRDefault="000707E5" w:rsidP="00094389">
            <w:pPr>
              <w:pStyle w:val="BoxSpaceBelow"/>
            </w:pPr>
          </w:p>
        </w:tc>
      </w:tr>
    </w:tbl>
    <w:p w:rsidR="000707E5" w:rsidRPr="004F17C9" w:rsidRDefault="007A5581" w:rsidP="000707E5">
      <w:pPr>
        <w:pStyle w:val="Heading2"/>
      </w:pPr>
      <w:bookmarkStart w:id="17" w:name="_Toc429075901"/>
      <w:r>
        <w:t>18.</w:t>
      </w:r>
      <w:r w:rsidR="007A3D6D">
        <w:rPr>
          <w:noProof/>
        </w:rPr>
        <w:t>3</w:t>
      </w:r>
      <w:r w:rsidR="000707E5">
        <w:tab/>
      </w:r>
      <w:r w:rsidR="000707E5" w:rsidRPr="004F17C9">
        <w:t xml:space="preserve">Key </w:t>
      </w:r>
      <w:r w:rsidR="000707E5" w:rsidRPr="00967C86">
        <w:t>performance</w:t>
      </w:r>
      <w:r w:rsidR="000707E5" w:rsidRPr="004F17C9">
        <w:t xml:space="preserve"> indicator results </w:t>
      </w:r>
      <w:bookmarkEnd w:id="14"/>
      <w:bookmarkEnd w:id="15"/>
      <w:bookmarkEnd w:id="17"/>
    </w:p>
    <w:p w:rsidR="000707E5" w:rsidRDefault="000707E5" w:rsidP="000707E5">
      <w:pPr>
        <w:pStyle w:val="BodyText"/>
      </w:pPr>
      <w:r>
        <w:t>Different delivery contexts, locations and types of clients can affect the equity, effectiveness and efficiency of homelessness services.</w:t>
      </w:r>
    </w:p>
    <w:p w:rsidR="000707E5" w:rsidRPr="003455FC" w:rsidRDefault="000707E5" w:rsidP="000707E5">
      <w:pPr>
        <w:pStyle w:val="BodyText"/>
        <w:rPr>
          <w:rFonts w:eastAsia="Calibri"/>
          <w:color w:val="000000" w:themeColor="text1"/>
          <w:lang w:eastAsia="en-US"/>
        </w:rPr>
      </w:pPr>
      <w:r w:rsidRPr="000B1E0C">
        <w:rPr>
          <w:rFonts w:eastAsia="Calibri"/>
          <w:color w:val="000000" w:themeColor="text1"/>
          <w:lang w:eastAsia="en-US"/>
        </w:rPr>
        <w:t>Data quality information (</w:t>
      </w:r>
      <w:proofErr w:type="spellStart"/>
      <w:r w:rsidRPr="000B1E0C">
        <w:rPr>
          <w:rFonts w:eastAsia="Calibri"/>
          <w:color w:val="000000" w:themeColor="text1"/>
          <w:lang w:eastAsia="en-US"/>
        </w:rPr>
        <w:t>DQI</w:t>
      </w:r>
      <w:proofErr w:type="spellEnd"/>
      <w:r w:rsidRPr="000B1E0C">
        <w:rPr>
          <w:rFonts w:eastAsia="Calibri"/>
          <w:color w:val="000000" w:themeColor="text1"/>
          <w:lang w:eastAsia="en-US"/>
        </w:rPr>
        <w:t xml:space="preserve">) is </w:t>
      </w:r>
      <w:r>
        <w:rPr>
          <w:rFonts w:eastAsia="Calibri"/>
          <w:color w:val="000000" w:themeColor="text1"/>
          <w:lang w:eastAsia="en-US"/>
        </w:rPr>
        <w:t xml:space="preserve">included where available for performance indicators in this Report. The </w:t>
      </w:r>
      <w:r w:rsidRPr="000B1E0C">
        <w:rPr>
          <w:rFonts w:eastAsia="Calibri"/>
          <w:color w:val="000000" w:themeColor="text1"/>
          <w:lang w:eastAsia="en-US"/>
        </w:rPr>
        <w:t xml:space="preserve">purpose of </w:t>
      </w:r>
      <w:proofErr w:type="spellStart"/>
      <w:r w:rsidRPr="000B1E0C">
        <w:rPr>
          <w:rFonts w:eastAsia="Calibri"/>
          <w:color w:val="000000" w:themeColor="text1"/>
          <w:lang w:eastAsia="en-US"/>
        </w:rPr>
        <w:t>DQI</w:t>
      </w:r>
      <w:proofErr w:type="spellEnd"/>
      <w:r w:rsidRPr="000B1E0C">
        <w:rPr>
          <w:rFonts w:eastAsia="Calibri"/>
          <w:color w:val="000000" w:themeColor="text1"/>
          <w:lang w:eastAsia="en-US"/>
        </w:rPr>
        <w:t xml:space="preserve"> is to provide structured and consistent information about quality aspects of data used to report on performance indicators, in addition to material in the chapter or sector overview and attachment tables. All </w:t>
      </w:r>
      <w:proofErr w:type="spellStart"/>
      <w:r w:rsidRPr="000B1E0C">
        <w:rPr>
          <w:rFonts w:eastAsia="Calibri"/>
          <w:color w:val="000000" w:themeColor="text1"/>
          <w:lang w:eastAsia="en-US"/>
        </w:rPr>
        <w:t>DQI</w:t>
      </w:r>
      <w:proofErr w:type="spellEnd"/>
      <w:r w:rsidRPr="000B1E0C">
        <w:rPr>
          <w:rFonts w:eastAsia="Calibri"/>
          <w:color w:val="000000" w:themeColor="text1"/>
          <w:lang w:eastAsia="en-US"/>
        </w:rPr>
        <w:t xml:space="preserve"> for the </w:t>
      </w:r>
      <w:r>
        <w:rPr>
          <w:rFonts w:eastAsia="Calibri"/>
          <w:color w:val="000000" w:themeColor="text1"/>
          <w:lang w:eastAsia="en-US"/>
        </w:rPr>
        <w:t>2016</w:t>
      </w:r>
      <w:r w:rsidRPr="000B1E0C">
        <w:rPr>
          <w:rFonts w:eastAsia="Calibri"/>
          <w:color w:val="000000" w:themeColor="text1"/>
          <w:lang w:eastAsia="en-US"/>
        </w:rPr>
        <w:t> Report can be fou</w:t>
      </w:r>
      <w:r>
        <w:rPr>
          <w:rFonts w:eastAsia="Calibri"/>
          <w:color w:val="000000" w:themeColor="text1"/>
          <w:lang w:eastAsia="en-US"/>
        </w:rPr>
        <w:t xml:space="preserve">nd at </w:t>
      </w:r>
      <w:proofErr w:type="spellStart"/>
      <w:r>
        <w:rPr>
          <w:rFonts w:eastAsia="Calibri"/>
          <w:color w:val="000000" w:themeColor="text1"/>
          <w:lang w:eastAsia="en-US"/>
        </w:rPr>
        <w:t>www.pc.gov.au</w:t>
      </w:r>
      <w:proofErr w:type="spellEnd"/>
      <w:r>
        <w:rPr>
          <w:rFonts w:eastAsia="Calibri"/>
          <w:color w:val="000000" w:themeColor="text1"/>
          <w:lang w:eastAsia="en-US"/>
        </w:rPr>
        <w:t>/</w:t>
      </w:r>
      <w:proofErr w:type="spellStart"/>
      <w:r w:rsidRPr="000B1E0C">
        <w:rPr>
          <w:rFonts w:eastAsia="Calibri"/>
          <w:color w:val="000000" w:themeColor="text1"/>
          <w:lang w:eastAsia="en-US"/>
        </w:rPr>
        <w:t>rogs</w:t>
      </w:r>
      <w:proofErr w:type="spellEnd"/>
      <w:r w:rsidRPr="000B1E0C">
        <w:rPr>
          <w:rFonts w:eastAsia="Calibri"/>
          <w:color w:val="000000" w:themeColor="text1"/>
          <w:lang w:eastAsia="en-US"/>
        </w:rPr>
        <w:t>/</w:t>
      </w:r>
      <w:r>
        <w:rPr>
          <w:rFonts w:eastAsia="Calibri"/>
          <w:color w:val="000000" w:themeColor="text1"/>
          <w:lang w:eastAsia="en-US"/>
        </w:rPr>
        <w:t>2016</w:t>
      </w:r>
      <w:r w:rsidRPr="003455FC">
        <w:rPr>
          <w:rFonts w:eastAsia="Calibri"/>
          <w:color w:val="000000" w:themeColor="text1"/>
          <w:lang w:eastAsia="en-US"/>
        </w:rPr>
        <w:t>.</w:t>
      </w:r>
    </w:p>
    <w:p w:rsidR="000707E5" w:rsidRPr="009E5CE0" w:rsidRDefault="000707E5" w:rsidP="000707E5">
      <w:pPr>
        <w:pStyle w:val="Heading3"/>
      </w:pPr>
      <w:r w:rsidRPr="00C4061D">
        <w:t>Outputs</w:t>
      </w:r>
    </w:p>
    <w:p w:rsidR="000707E5" w:rsidRPr="009E5CE0" w:rsidRDefault="000707E5" w:rsidP="000707E5">
      <w:pPr>
        <w:pStyle w:val="BodyText"/>
        <w:rPr>
          <w:color w:val="000000" w:themeColor="text1"/>
        </w:rPr>
      </w:pPr>
      <w:r w:rsidRPr="009E5CE0">
        <w:rPr>
          <w:color w:val="000000" w:themeColor="text1"/>
        </w:rPr>
        <w:t>Outputs are the actual services delivered (while outcomes are the impact of these services on the status of an individual or group) (see chapter 1, section 1.5).</w:t>
      </w:r>
      <w:r>
        <w:rPr>
          <w:color w:val="000000" w:themeColor="text1"/>
        </w:rPr>
        <w:t xml:space="preserve"> Output information is also critical for equitable, efficient and effective management of government services.</w:t>
      </w:r>
    </w:p>
    <w:p w:rsidR="000707E5" w:rsidRDefault="000707E5" w:rsidP="000707E5">
      <w:pPr>
        <w:pStyle w:val="Heading3"/>
      </w:pPr>
      <w:r w:rsidRPr="00DA1F44">
        <w:lastRenderedPageBreak/>
        <w:t>Equity</w:t>
      </w:r>
    </w:p>
    <w:p w:rsidR="000707E5" w:rsidRPr="00DA1F44" w:rsidRDefault="000707E5" w:rsidP="000707E5">
      <w:pPr>
        <w:pStyle w:val="Heading4"/>
      </w:pPr>
      <w:r w:rsidRPr="00DA1F44">
        <w:t xml:space="preserve">Access of special needs </w:t>
      </w:r>
      <w:r w:rsidRPr="00B8254C">
        <w:t>groups</w:t>
      </w:r>
      <w:r w:rsidRPr="00DA1F44">
        <w:t xml:space="preserve"> to homelessness services</w:t>
      </w:r>
    </w:p>
    <w:p w:rsidR="000707E5" w:rsidRDefault="000707E5" w:rsidP="000707E5">
      <w:pPr>
        <w:pStyle w:val="BodyText"/>
        <w:spacing w:after="240"/>
      </w:pPr>
      <w:r>
        <w:t xml:space="preserve">‘Access of special needs groups to homelessness services’ </w:t>
      </w:r>
      <w:r w:rsidRPr="004F17C9">
        <w:t xml:space="preserve">is an indicator of governments’ objective to ensure </w:t>
      </w:r>
      <w:r>
        <w:t xml:space="preserve">that services are provided in an equitable manner to all special needs groups in the community, </w:t>
      </w:r>
      <w:r w:rsidRPr="004F17C9">
        <w:t>on the basis of relative need (box</w:t>
      </w:r>
      <w:r>
        <w:t xml:space="preserve"> 18.4).</w:t>
      </w:r>
    </w:p>
    <w:p w:rsidR="000707E5" w:rsidRDefault="000707E5" w:rsidP="000707E5">
      <w:pPr>
        <w:pStyle w:val="BoxSpaceAbove"/>
      </w:pPr>
    </w:p>
    <w:tbl>
      <w:tblPr>
        <w:tblW w:w="4846"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94"/>
      </w:tblGrid>
      <w:tr w:rsidR="000707E5" w:rsidTr="00094389">
        <w:tc>
          <w:tcPr>
            <w:tcW w:w="5000" w:type="pct"/>
            <w:tcBorders>
              <w:top w:val="single" w:sz="6" w:space="0" w:color="78A22F"/>
              <w:left w:val="nil"/>
              <w:bottom w:val="nil"/>
              <w:right w:val="nil"/>
            </w:tcBorders>
            <w:shd w:val="clear" w:color="auto" w:fill="F2F2F2" w:themeFill="background1" w:themeFillShade="F2"/>
          </w:tcPr>
          <w:p w:rsidR="000707E5" w:rsidRPr="001D3831" w:rsidRDefault="000707E5" w:rsidP="00094389">
            <w:pPr>
              <w:pStyle w:val="BoxTitle"/>
            </w:pPr>
            <w:r w:rsidRPr="001D3831">
              <w:rPr>
                <w:b w:val="0"/>
              </w:rPr>
              <w:t xml:space="preserve">Box </w:t>
            </w:r>
            <w:bookmarkStart w:id="18" w:name="OLE_LINK3"/>
            <w:r w:rsidR="007A5581">
              <w:rPr>
                <w:b w:val="0"/>
              </w:rPr>
              <w:t>18.</w:t>
            </w:r>
            <w:r w:rsidR="007A3D6D">
              <w:rPr>
                <w:b w:val="0"/>
                <w:noProof/>
              </w:rPr>
              <w:t>4</w:t>
            </w:r>
            <w:bookmarkEnd w:id="18"/>
            <w:r w:rsidRPr="001D3831">
              <w:tab/>
              <w:t>Access of special needs groups to homelessness services</w:t>
            </w:r>
          </w:p>
        </w:tc>
      </w:tr>
      <w:tr w:rsidR="000707E5" w:rsidTr="00094389">
        <w:trPr>
          <w:cantSplit/>
        </w:trPr>
        <w:tc>
          <w:tcPr>
            <w:tcW w:w="5000" w:type="pct"/>
            <w:tcBorders>
              <w:top w:val="nil"/>
              <w:left w:val="nil"/>
              <w:bottom w:val="nil"/>
              <w:right w:val="nil"/>
            </w:tcBorders>
            <w:shd w:val="clear" w:color="auto" w:fill="F2F2F2" w:themeFill="background1" w:themeFillShade="F2"/>
          </w:tcPr>
          <w:p w:rsidR="000707E5" w:rsidRPr="001D3831" w:rsidRDefault="000707E5" w:rsidP="00094389">
            <w:pPr>
              <w:pStyle w:val="Box"/>
            </w:pPr>
            <w:r>
              <w:t>‘</w:t>
            </w:r>
            <w:r w:rsidRPr="008A2E17">
              <w:t>Access of special needs groups to homelessness services’ is the comparison between the representation of Aboriginal and Torres Strait Islander people, people born in non</w:t>
            </w:r>
            <w:r>
              <w:noBreakHyphen/>
            </w:r>
            <w:r w:rsidRPr="008A2E17">
              <w:t>main English speaking countries (non</w:t>
            </w:r>
            <w:r>
              <w:noBreakHyphen/>
            </w:r>
            <w:r w:rsidRPr="008A2E17">
              <w:t xml:space="preserve">MESC) and </w:t>
            </w:r>
            <w:r w:rsidRPr="00C4061D">
              <w:t>people</w:t>
            </w:r>
            <w:r w:rsidRPr="00BC07B7">
              <w:rPr>
                <w:color w:val="000000" w:themeColor="text2"/>
              </w:rPr>
              <w:t xml:space="preserve"> </w:t>
            </w:r>
            <w:r w:rsidRPr="00BC07B7">
              <w:rPr>
                <w:iCs/>
                <w:color w:val="000000" w:themeColor="text2"/>
              </w:rPr>
              <w:t xml:space="preserve">with </w:t>
            </w:r>
            <w:r w:rsidRPr="00BC07B7">
              <w:rPr>
                <w:color w:val="000000" w:themeColor="text2"/>
              </w:rPr>
              <w:t>disability</w:t>
            </w:r>
            <w:r w:rsidRPr="00112935">
              <w:rPr>
                <w:color w:val="000000" w:themeColor="text2"/>
              </w:rPr>
              <w:t xml:space="preserve"> among all people whose needs for accommodation and other services were met, and the representation of these groups in the population. </w:t>
            </w:r>
          </w:p>
        </w:tc>
      </w:tr>
      <w:tr w:rsidR="000707E5" w:rsidTr="00094389">
        <w:trPr>
          <w:cantSplit/>
        </w:trPr>
        <w:tc>
          <w:tcPr>
            <w:tcW w:w="5000" w:type="pct"/>
            <w:tcBorders>
              <w:top w:val="nil"/>
              <w:left w:val="nil"/>
              <w:bottom w:val="nil"/>
              <w:right w:val="nil"/>
            </w:tcBorders>
            <w:shd w:val="clear" w:color="auto" w:fill="F2F2F2"/>
          </w:tcPr>
          <w:p w:rsidR="000707E5" w:rsidRPr="00112935" w:rsidRDefault="000707E5" w:rsidP="00094389">
            <w:pPr>
              <w:pStyle w:val="Box"/>
            </w:pPr>
            <w:r w:rsidRPr="00112935">
              <w:t>Disability fo</w:t>
            </w:r>
            <w:r>
              <w:t xml:space="preserve">r this indicator is defined as </w:t>
            </w:r>
            <w:r w:rsidRPr="00112935">
              <w:t xml:space="preserve">people </w:t>
            </w:r>
            <w:r w:rsidRPr="00112935">
              <w:rPr>
                <w:rFonts w:cs="Arial"/>
                <w:iCs/>
              </w:rPr>
              <w:t xml:space="preserve">who have identified as having </w:t>
            </w:r>
            <w:r w:rsidRPr="00112935">
              <w:t xml:space="preserve">a long-term health condition or disability </w:t>
            </w:r>
            <w:r>
              <w:t xml:space="preserve">and </w:t>
            </w:r>
            <w:r w:rsidRPr="00112935">
              <w:t>who need assistance with core activities (including needing assistance with self-care, mobility or communication).</w:t>
            </w:r>
            <w:r w:rsidR="00DC0B4F">
              <w:t xml:space="preserve"> </w:t>
            </w:r>
            <w:r w:rsidR="00DC0B4F" w:rsidRPr="00570CF4">
              <w:t>Data do not measure the total number of people with disability accessing specialist homelessness services and the measure may underestimate the number of clients with disability who need support to access and maintain housing.</w:t>
            </w:r>
          </w:p>
          <w:p w:rsidR="000707E5" w:rsidRPr="00112935" w:rsidRDefault="000707E5" w:rsidP="00094389">
            <w:pPr>
              <w:pStyle w:val="Box"/>
              <w:rPr>
                <w:bCs/>
                <w:color w:val="000000" w:themeColor="text2"/>
              </w:rPr>
            </w:pPr>
            <w:r w:rsidRPr="00112935">
              <w:rPr>
                <w:bCs/>
                <w:color w:val="000000" w:themeColor="text2"/>
              </w:rPr>
              <w:t>This indicator includes three measures:</w:t>
            </w:r>
          </w:p>
          <w:p w:rsidR="000707E5" w:rsidRPr="00112935" w:rsidRDefault="000707E5" w:rsidP="00094389">
            <w:pPr>
              <w:pStyle w:val="BoxListBullet"/>
            </w:pPr>
            <w:r w:rsidRPr="00112935">
              <w:t>the number of Aboriginal and Torres Strait Islander, non</w:t>
            </w:r>
            <w:r>
              <w:noBreakHyphen/>
            </w:r>
            <w:r w:rsidRPr="00112935">
              <w:t xml:space="preserve">MESC clients and </w:t>
            </w:r>
            <w:r w:rsidRPr="00BC07B7">
              <w:rPr>
                <w:bCs/>
              </w:rPr>
              <w:t xml:space="preserve">people </w:t>
            </w:r>
            <w:r w:rsidRPr="00BC07B7">
              <w:rPr>
                <w:bCs/>
                <w:iCs/>
              </w:rPr>
              <w:t xml:space="preserve">with </w:t>
            </w:r>
            <w:r w:rsidRPr="00BC07B7">
              <w:rPr>
                <w:bCs/>
              </w:rPr>
              <w:t xml:space="preserve">disability </w:t>
            </w:r>
            <w:r w:rsidRPr="00112935">
              <w:t>whose demand for accommodation was met divided by the total number of clients whose demand for accommodation was met</w:t>
            </w:r>
          </w:p>
          <w:p w:rsidR="000707E5" w:rsidRPr="00112935" w:rsidRDefault="000707E5" w:rsidP="00094389">
            <w:pPr>
              <w:pStyle w:val="BoxListBullet"/>
            </w:pPr>
            <w:r w:rsidRPr="00112935">
              <w:t>the number of Aboriginal and Torres Strait Islander, non</w:t>
            </w:r>
            <w:r>
              <w:noBreakHyphen/>
            </w:r>
            <w:r w:rsidRPr="00112935">
              <w:t xml:space="preserve">MESC clients and </w:t>
            </w:r>
            <w:r w:rsidRPr="00BC07B7">
              <w:rPr>
                <w:bCs/>
              </w:rPr>
              <w:t xml:space="preserve">people </w:t>
            </w:r>
            <w:r w:rsidRPr="00BC07B7">
              <w:rPr>
                <w:bCs/>
                <w:iCs/>
              </w:rPr>
              <w:t xml:space="preserve">with </w:t>
            </w:r>
            <w:r w:rsidRPr="00BC07B7">
              <w:rPr>
                <w:bCs/>
              </w:rPr>
              <w:t xml:space="preserve">disability </w:t>
            </w:r>
            <w:r w:rsidRPr="00112935">
              <w:t>whose demand for services other than accommodation was met divided by the total number of clients whose demand for services other than accommodation was met</w:t>
            </w:r>
          </w:p>
          <w:p w:rsidR="000707E5" w:rsidRPr="00112935" w:rsidRDefault="000707E5" w:rsidP="00094389">
            <w:pPr>
              <w:pStyle w:val="BoxListBullet"/>
            </w:pPr>
            <w:r w:rsidRPr="00112935">
              <w:t>the representation of Aboriginal and Torres Strait Islander, non</w:t>
            </w:r>
            <w:r>
              <w:noBreakHyphen/>
            </w:r>
            <w:r w:rsidRPr="00112935">
              <w:t xml:space="preserve">MESC clients and </w:t>
            </w:r>
            <w:r w:rsidRPr="00BC07B7">
              <w:rPr>
                <w:bCs/>
              </w:rPr>
              <w:t xml:space="preserve">people </w:t>
            </w:r>
            <w:r w:rsidRPr="00BC07B7">
              <w:rPr>
                <w:bCs/>
                <w:iCs/>
              </w:rPr>
              <w:t xml:space="preserve">with </w:t>
            </w:r>
            <w:r w:rsidRPr="00BC07B7">
              <w:rPr>
                <w:bCs/>
              </w:rPr>
              <w:t>disability</w:t>
            </w:r>
            <w:r w:rsidRPr="000558B6">
              <w:rPr>
                <w:bCs/>
                <w:color w:val="FF0000"/>
              </w:rPr>
              <w:t xml:space="preserve"> </w:t>
            </w:r>
            <w:r w:rsidRPr="00112935">
              <w:t>in specialist homelessness services compared with their representation in the population.</w:t>
            </w:r>
          </w:p>
          <w:p w:rsidR="000707E5" w:rsidRDefault="000707E5" w:rsidP="00094389">
            <w:pPr>
              <w:pStyle w:val="Box"/>
            </w:pPr>
            <w:r w:rsidRPr="00112935">
              <w:t xml:space="preserve">Use by special needs groups is a proxy indicator of equitable access. In general, usage rates for special needs groups similar or </w:t>
            </w:r>
            <w:r w:rsidRPr="00536775">
              <w:t>higher</w:t>
            </w:r>
            <w:r w:rsidRPr="00112935">
              <w:t xml:space="preserve"> to those for the broader service population are desirable. Several factors need to be considered in interpreting the results for this set of measures. In particular, cultural differences can influence the extent to which Aboriginal and Torres Strait Islander, non</w:t>
            </w:r>
            <w:r>
              <w:noBreakHyphen/>
            </w:r>
            <w:r w:rsidRPr="00112935">
              <w:t xml:space="preserve">MESC clients and </w:t>
            </w:r>
            <w:r w:rsidRPr="00BC07B7">
              <w:rPr>
                <w:bCs/>
              </w:rPr>
              <w:t xml:space="preserve">people </w:t>
            </w:r>
            <w:r w:rsidRPr="00BC07B7">
              <w:rPr>
                <w:bCs/>
                <w:iCs/>
              </w:rPr>
              <w:t>with d</w:t>
            </w:r>
            <w:r w:rsidRPr="00BC07B7">
              <w:rPr>
                <w:bCs/>
              </w:rPr>
              <w:t>isability</w:t>
            </w:r>
            <w:r w:rsidRPr="00112935">
              <w:rPr>
                <w:bCs/>
              </w:rPr>
              <w:t xml:space="preserve"> </w:t>
            </w:r>
            <w:r w:rsidRPr="00112935">
              <w:t xml:space="preserve">use </w:t>
            </w:r>
            <w:r w:rsidRPr="001D3831">
              <w:t>different types of services.</w:t>
            </w:r>
          </w:p>
          <w:p w:rsidR="000707E5" w:rsidRPr="001D3831" w:rsidRDefault="000707E5" w:rsidP="00094389">
            <w:pPr>
              <w:pStyle w:val="Box"/>
            </w:pPr>
            <w:r w:rsidRPr="001D3831">
              <w:t>Data reported for these measures are:</w:t>
            </w:r>
          </w:p>
          <w:p w:rsidR="000707E5" w:rsidRPr="001D3831" w:rsidRDefault="000707E5" w:rsidP="00094389">
            <w:pPr>
              <w:pStyle w:val="BoxListBullet"/>
            </w:pPr>
            <w:r w:rsidRPr="001D3831">
              <w:t>comparable (subject to caveats) across jurisdictions and over time</w:t>
            </w:r>
          </w:p>
          <w:p w:rsidR="000707E5" w:rsidRPr="001D3831" w:rsidRDefault="000707E5" w:rsidP="00094389">
            <w:pPr>
              <w:pStyle w:val="BoxListBullet"/>
            </w:pPr>
            <w:r w:rsidRPr="001D3831">
              <w:t>complete for the current reporting period. All required 201</w:t>
            </w:r>
            <w:r>
              <w:t>4</w:t>
            </w:r>
            <w:r>
              <w:noBreakHyphen/>
              <w:t>15</w:t>
            </w:r>
            <w:r w:rsidRPr="001D3831">
              <w:t xml:space="preserve"> data are </w:t>
            </w:r>
            <w:r>
              <w:t>available for all jurisdictions.</w:t>
            </w:r>
          </w:p>
          <w:p w:rsidR="000707E5" w:rsidRDefault="000707E5" w:rsidP="00094389">
            <w:pPr>
              <w:pStyle w:val="Box"/>
            </w:pPr>
            <w:r w:rsidRPr="00BC07B7">
              <w:t xml:space="preserve">Data quality information for </w:t>
            </w:r>
            <w:r w:rsidRPr="00BC07B7">
              <w:rPr>
                <w:color w:val="000000" w:themeColor="text2"/>
              </w:rPr>
              <w:t xml:space="preserve">people </w:t>
            </w:r>
            <w:r w:rsidRPr="00BC07B7">
              <w:rPr>
                <w:bCs/>
                <w:iCs/>
                <w:color w:val="000000" w:themeColor="text2"/>
              </w:rPr>
              <w:t xml:space="preserve">with </w:t>
            </w:r>
            <w:r w:rsidRPr="00BC07B7">
              <w:rPr>
                <w:bCs/>
              </w:rPr>
              <w:t xml:space="preserve">disability </w:t>
            </w:r>
            <w:r>
              <w:t xml:space="preserve">is at </w:t>
            </w:r>
            <w:proofErr w:type="spellStart"/>
            <w:r w:rsidRPr="00934C9F">
              <w:t>www.pc.gov.au</w:t>
            </w:r>
            <w:proofErr w:type="spellEnd"/>
            <w:r w:rsidRPr="00934C9F">
              <w:t>/</w:t>
            </w:r>
            <w:proofErr w:type="spellStart"/>
            <w:r w:rsidRPr="00934C9F">
              <w:t>rogs</w:t>
            </w:r>
            <w:proofErr w:type="spellEnd"/>
            <w:r w:rsidRPr="00934C9F">
              <w:t>/</w:t>
            </w:r>
            <w:r>
              <w:t>2016.</w:t>
            </w:r>
          </w:p>
        </w:tc>
      </w:tr>
      <w:tr w:rsidR="000707E5" w:rsidTr="00094389">
        <w:trPr>
          <w:cantSplit/>
        </w:trPr>
        <w:tc>
          <w:tcPr>
            <w:tcW w:w="5000" w:type="pct"/>
            <w:tcBorders>
              <w:top w:val="nil"/>
              <w:left w:val="nil"/>
              <w:bottom w:val="single" w:sz="6" w:space="0" w:color="78A22F"/>
              <w:right w:val="nil"/>
            </w:tcBorders>
            <w:shd w:val="clear" w:color="auto" w:fill="F2F2F2"/>
          </w:tcPr>
          <w:p w:rsidR="000707E5" w:rsidRDefault="000707E5" w:rsidP="00094389">
            <w:pPr>
              <w:pStyle w:val="Box"/>
              <w:spacing w:before="0" w:line="120" w:lineRule="exact"/>
            </w:pPr>
          </w:p>
        </w:tc>
      </w:tr>
      <w:tr w:rsidR="000707E5" w:rsidRPr="000863A5" w:rsidTr="00094389">
        <w:tc>
          <w:tcPr>
            <w:tcW w:w="5000" w:type="pct"/>
            <w:tcBorders>
              <w:top w:val="single" w:sz="6" w:space="0" w:color="78A22F"/>
              <w:left w:val="nil"/>
              <w:bottom w:val="nil"/>
              <w:right w:val="nil"/>
            </w:tcBorders>
          </w:tcPr>
          <w:p w:rsidR="000707E5" w:rsidRPr="00626D32" w:rsidRDefault="000707E5" w:rsidP="00094389">
            <w:pPr>
              <w:pStyle w:val="BoxSpaceBelow"/>
            </w:pPr>
          </w:p>
        </w:tc>
      </w:tr>
    </w:tbl>
    <w:p w:rsidR="000707E5" w:rsidRDefault="000707E5" w:rsidP="000707E5">
      <w:pPr>
        <w:pStyle w:val="Heading5"/>
      </w:pPr>
      <w:r w:rsidRPr="00DA1F44">
        <w:lastRenderedPageBreak/>
        <w:t xml:space="preserve">Access of special needs </w:t>
      </w:r>
      <w:r w:rsidRPr="00536775">
        <w:t>groups</w:t>
      </w:r>
      <w:r w:rsidRPr="00DA1F44">
        <w:t xml:space="preserve"> to homelessness services</w:t>
      </w:r>
      <w:r>
        <w:t xml:space="preserve">: </w:t>
      </w:r>
      <w:r w:rsidRPr="00B8254C">
        <w:t>Aboriginal</w:t>
      </w:r>
      <w:r>
        <w:t xml:space="preserve"> and Torres Strait Islander people </w:t>
      </w:r>
    </w:p>
    <w:p w:rsidR="000707E5" w:rsidRDefault="000707E5" w:rsidP="000707E5">
      <w:pPr>
        <w:pStyle w:val="BodyText"/>
      </w:pPr>
      <w:r>
        <w:t>I</w:t>
      </w:r>
      <w:r w:rsidRPr="00CD6783">
        <w:t xml:space="preserve">n </w:t>
      </w:r>
      <w:r>
        <w:t>2014</w:t>
      </w:r>
      <w:r>
        <w:noBreakHyphen/>
        <w:t>15</w:t>
      </w:r>
      <w:r w:rsidRPr="00CD6783">
        <w:t xml:space="preserve">, </w:t>
      </w:r>
      <w:r>
        <w:t>Aboriginal and Torres Strait Islander</w:t>
      </w:r>
      <w:r w:rsidRPr="00CD6783">
        <w:t xml:space="preserve"> people </w:t>
      </w:r>
      <w:r w:rsidRPr="00552301">
        <w:t>had a higher representation amongst all people accessing specialist homelessness services (2</w:t>
      </w:r>
      <w:r w:rsidR="00CA1668">
        <w:t>3.5</w:t>
      </w:r>
      <w:r w:rsidRPr="00552301">
        <w:t> per cent) than their representation in the population (3.0 per cent) (</w:t>
      </w:r>
      <w:r>
        <w:t>figure</w:t>
      </w:r>
      <w:r w:rsidRPr="00552301">
        <w:t> 18.</w:t>
      </w:r>
      <w:r>
        <w:t>3</w:t>
      </w:r>
      <w:r w:rsidRPr="00552301">
        <w:t>).</w:t>
      </w:r>
    </w:p>
    <w:p w:rsidR="000707E5" w:rsidRDefault="000707E5" w:rsidP="000707E5">
      <w:pPr>
        <w:pStyle w:val="BodyText"/>
      </w:pPr>
      <w:r w:rsidRPr="00602189">
        <w:t xml:space="preserve">Nationally, </w:t>
      </w:r>
      <w:r>
        <w:t>Aboriginal and Torres Strait Islander</w:t>
      </w:r>
      <w:r w:rsidRPr="00602189">
        <w:t xml:space="preserve"> people </w:t>
      </w:r>
      <w:r w:rsidRPr="00CB7B95">
        <w:t xml:space="preserve">made up </w:t>
      </w:r>
      <w:r w:rsidR="00CA1668">
        <w:t>28.1</w:t>
      </w:r>
      <w:r w:rsidRPr="00CB7B95">
        <w:t> per cent of all clients wh</w:t>
      </w:r>
      <w:r>
        <w:t xml:space="preserve">ose needs for </w:t>
      </w:r>
      <w:r w:rsidRPr="00CB7B95">
        <w:t xml:space="preserve">accommodation </w:t>
      </w:r>
      <w:r>
        <w:t xml:space="preserve">were met, </w:t>
      </w:r>
      <w:r w:rsidRPr="00CB7B95">
        <w:t xml:space="preserve">and </w:t>
      </w:r>
      <w:r w:rsidR="00CA1668">
        <w:t>15.4</w:t>
      </w:r>
      <w:r w:rsidRPr="00CB7B95">
        <w:t> per cent of all clients who</w:t>
      </w:r>
      <w:r>
        <w:t xml:space="preserve">se needs for </w:t>
      </w:r>
      <w:r w:rsidRPr="00CB7B95">
        <w:t xml:space="preserve">services other than accommodation </w:t>
      </w:r>
      <w:r>
        <w:t xml:space="preserve">were met </w:t>
      </w:r>
      <w:r w:rsidRPr="00CB7B95">
        <w:t>in 201</w:t>
      </w:r>
      <w:r>
        <w:t>4</w:t>
      </w:r>
      <w:r>
        <w:noBreakHyphen/>
      </w:r>
      <w:r w:rsidRPr="00CB7B95">
        <w:t>1</w:t>
      </w:r>
      <w:r>
        <w:t>5</w:t>
      </w:r>
      <w:r w:rsidRPr="00CB7B95">
        <w:t>. These results varied across jurisdictions (figure 18.3).</w:t>
      </w:r>
    </w:p>
    <w:p w:rsidR="006D3797" w:rsidRDefault="006D3797" w:rsidP="005256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797" w:rsidTr="005256BE">
        <w:tc>
          <w:tcPr>
            <w:tcW w:w="8771" w:type="dxa"/>
            <w:tcBorders>
              <w:top w:val="single" w:sz="6" w:space="0" w:color="78A22F"/>
              <w:left w:val="nil"/>
              <w:bottom w:val="nil"/>
              <w:right w:val="nil"/>
            </w:tcBorders>
            <w:shd w:val="clear" w:color="auto" w:fill="auto"/>
          </w:tcPr>
          <w:p w:rsidR="006D3797" w:rsidRPr="00176D3F" w:rsidRDefault="006D3797" w:rsidP="000F1032">
            <w:pPr>
              <w:pStyle w:val="FigureTitle"/>
            </w:pPr>
            <w:r w:rsidRPr="00784A05">
              <w:rPr>
                <w:b w:val="0"/>
              </w:rPr>
              <w:t xml:space="preserve">Figure </w:t>
            </w:r>
            <w:r w:rsidR="007A5581">
              <w:rPr>
                <w:b w:val="0"/>
              </w:rPr>
              <w:t>18.</w:t>
            </w:r>
            <w:r w:rsidR="007A3D6D">
              <w:rPr>
                <w:b w:val="0"/>
                <w:noProof/>
              </w:rPr>
              <w:t>3</w:t>
            </w:r>
            <w:r>
              <w:tab/>
            </w:r>
            <w:r w:rsidRPr="002456F3">
              <w:t xml:space="preserve">Proportion of </w:t>
            </w:r>
            <w:r>
              <w:t xml:space="preserve">clients who were </w:t>
            </w:r>
            <w:r w:rsidRPr="002456F3">
              <w:t xml:space="preserve">Aboriginal and Torres Strait Islander </w:t>
            </w:r>
            <w:r w:rsidR="000F1032">
              <w:t>clients</w:t>
            </w:r>
            <w:r w:rsidRPr="002456F3">
              <w:t>, 201</w:t>
            </w:r>
            <w:r>
              <w:t>4</w:t>
            </w:r>
            <w:r>
              <w:noBreakHyphen/>
            </w:r>
            <w:r w:rsidRPr="002456F3">
              <w:t>1</w:t>
            </w:r>
            <w:r>
              <w:t>5</w:t>
            </w:r>
            <w:r w:rsidRPr="00192584">
              <w:rPr>
                <w:rStyle w:val="NoteLabel"/>
                <w:b/>
              </w:rPr>
              <w:t>a</w:t>
            </w:r>
          </w:p>
        </w:tc>
      </w:tr>
      <w:tr w:rsidR="006D3797" w:rsidTr="005256BE">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6D3797" w:rsidTr="000C1770">
              <w:trPr>
                <w:jc w:val="center"/>
              </w:trPr>
              <w:tc>
                <w:tcPr>
                  <w:tcW w:w="5000" w:type="pct"/>
                  <w:tcBorders>
                    <w:top w:val="nil"/>
                    <w:bottom w:val="nil"/>
                  </w:tcBorders>
                </w:tcPr>
                <w:p w:rsidR="006D3797" w:rsidRDefault="00A701B9" w:rsidP="005256BE">
                  <w:pPr>
                    <w:pStyle w:val="Figure"/>
                    <w:spacing w:before="60" w:after="60"/>
                  </w:pPr>
                  <w:r>
                    <w:rPr>
                      <w:noProof/>
                    </w:rPr>
                    <w:drawing>
                      <wp:inline distT="0" distB="0" distL="0" distR="0">
                        <wp:extent cx="5389880" cy="2893695"/>
                        <wp:effectExtent l="0" t="0" r="1270" b="1905"/>
                        <wp:docPr id="3" name="Picture 3" descr="Figure 18.3 Proportion of clients who were Aboriginal and Torres Strait Islander client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9880" cy="2893695"/>
                                </a:xfrm>
                                <a:prstGeom prst="rect">
                                  <a:avLst/>
                                </a:prstGeom>
                                <a:noFill/>
                                <a:ln>
                                  <a:noFill/>
                                </a:ln>
                              </pic:spPr>
                            </pic:pic>
                          </a:graphicData>
                        </a:graphic>
                      </wp:inline>
                    </w:drawing>
                  </w:r>
                </w:p>
              </w:tc>
            </w:tr>
          </w:tbl>
          <w:p w:rsidR="006D3797" w:rsidRDefault="006D3797" w:rsidP="005256BE">
            <w:pPr>
              <w:pStyle w:val="Figure"/>
            </w:pPr>
          </w:p>
        </w:tc>
      </w:tr>
      <w:tr w:rsidR="006D3797" w:rsidRPr="00176D3F" w:rsidTr="005256BE">
        <w:tc>
          <w:tcPr>
            <w:tcW w:w="8771" w:type="dxa"/>
            <w:tcBorders>
              <w:top w:val="nil"/>
              <w:left w:val="nil"/>
              <w:bottom w:val="nil"/>
              <w:right w:val="nil"/>
            </w:tcBorders>
            <w:shd w:val="clear" w:color="auto" w:fill="auto"/>
          </w:tcPr>
          <w:p w:rsidR="006D3797" w:rsidRPr="00176D3F" w:rsidRDefault="006D3797" w:rsidP="006D3797">
            <w:pPr>
              <w:pStyle w:val="Note"/>
            </w:pPr>
            <w:r>
              <w:rPr>
                <w:rStyle w:val="NoteLabel"/>
              </w:rPr>
              <w:t>a</w:t>
            </w:r>
            <w:r>
              <w:t xml:space="preserve"> </w:t>
            </w:r>
            <w:r w:rsidRPr="006D3797">
              <w:t xml:space="preserve">See box </w:t>
            </w:r>
            <w:r w:rsidR="007A5581">
              <w:t>18.4</w:t>
            </w:r>
            <w:r w:rsidRPr="006D3797">
              <w:t xml:space="preserve"> and table</w:t>
            </w:r>
            <w:r>
              <w:t>s</w:t>
            </w:r>
            <w:r w:rsidRPr="006D3797">
              <w:t xml:space="preserve"> </w:t>
            </w:r>
            <w:proofErr w:type="spellStart"/>
            <w:r>
              <w:t>18</w:t>
            </w:r>
            <w:r w:rsidRPr="006D3797">
              <w:t>A.</w:t>
            </w:r>
            <w:r>
              <w:t>5</w:t>
            </w:r>
            <w:proofErr w:type="spellEnd"/>
            <w:r>
              <w:t xml:space="preserve"> and </w:t>
            </w:r>
            <w:proofErr w:type="spellStart"/>
            <w:r>
              <w:t>18A.8</w:t>
            </w:r>
            <w:proofErr w:type="spellEnd"/>
            <w:r w:rsidRPr="006D3797">
              <w:t xml:space="preserve"> for detailed definitions, footnotes and caveats</w:t>
            </w:r>
            <w:r w:rsidR="00BB40CF">
              <w:t>.</w:t>
            </w:r>
          </w:p>
        </w:tc>
      </w:tr>
      <w:tr w:rsidR="006D3797" w:rsidRPr="00176D3F" w:rsidTr="005256BE">
        <w:tc>
          <w:tcPr>
            <w:tcW w:w="8771" w:type="dxa"/>
            <w:tcBorders>
              <w:top w:val="nil"/>
              <w:left w:val="nil"/>
              <w:bottom w:val="nil"/>
              <w:right w:val="nil"/>
            </w:tcBorders>
            <w:shd w:val="clear" w:color="auto" w:fill="auto"/>
          </w:tcPr>
          <w:p w:rsidR="006D3797" w:rsidRPr="00176D3F" w:rsidRDefault="006D3797" w:rsidP="005B60DA">
            <w:pPr>
              <w:pStyle w:val="Source"/>
            </w:pPr>
            <w:r>
              <w:rPr>
                <w:i/>
              </w:rPr>
              <w:t>S</w:t>
            </w:r>
            <w:r w:rsidRPr="00784A05">
              <w:rPr>
                <w:i/>
              </w:rPr>
              <w:t>ource</w:t>
            </w:r>
            <w:r w:rsidRPr="00176D3F">
              <w:t xml:space="preserve">: </w:t>
            </w:r>
            <w:proofErr w:type="spellStart"/>
            <w:r w:rsidRPr="002456F3">
              <w:t>AIHW</w:t>
            </w:r>
            <w:proofErr w:type="spellEnd"/>
            <w:r w:rsidRPr="002456F3">
              <w:t xml:space="preserve"> (unpublished) </w:t>
            </w:r>
            <w:r w:rsidR="000C1770" w:rsidRPr="000C1770">
              <w:t>Specialist Homelessness Services Collection</w:t>
            </w:r>
            <w:r w:rsidRPr="002456F3">
              <w:t xml:space="preserve">; </w:t>
            </w:r>
            <w:r w:rsidRPr="008C224C">
              <w:t>ABS (201</w:t>
            </w:r>
            <w:r>
              <w:t>4</w:t>
            </w:r>
            <w:r w:rsidRPr="008C224C">
              <w:t xml:space="preserve">) </w:t>
            </w:r>
            <w:r w:rsidRPr="008C224C">
              <w:rPr>
                <w:i/>
              </w:rPr>
              <w:t>Australian Demographic Statistics, June 201</w:t>
            </w:r>
            <w:r>
              <w:rPr>
                <w:i/>
              </w:rPr>
              <w:t>4</w:t>
            </w:r>
            <w:r w:rsidR="000F1032">
              <w:t>, Cat. no. 3101.0</w:t>
            </w:r>
            <w:r w:rsidRPr="008C224C">
              <w:t xml:space="preserve">; ABS (2014) </w:t>
            </w:r>
            <w:r w:rsidRPr="008C224C">
              <w:rPr>
                <w:i/>
              </w:rPr>
              <w:t>Estimates and Projections, Aboriginal and Torres Strait Islander Australians, 2001 to 2026</w:t>
            </w:r>
            <w:r w:rsidRPr="008C224C">
              <w:t>, Cat. no. 3238.0;</w:t>
            </w:r>
            <w:r>
              <w:t xml:space="preserve"> </w:t>
            </w:r>
            <w:r w:rsidRPr="008C224C">
              <w:t xml:space="preserve">tables </w:t>
            </w:r>
            <w:proofErr w:type="spellStart"/>
            <w:r w:rsidRPr="008C224C">
              <w:t>2A.1</w:t>
            </w:r>
            <w:proofErr w:type="spellEnd"/>
            <w:r>
              <w:t>,</w:t>
            </w:r>
            <w:r w:rsidRPr="008C224C">
              <w:t xml:space="preserve"> </w:t>
            </w:r>
            <w:proofErr w:type="spellStart"/>
            <w:r w:rsidRPr="008C224C">
              <w:t>2A.14</w:t>
            </w:r>
            <w:proofErr w:type="spellEnd"/>
            <w:r>
              <w:t>,</w:t>
            </w:r>
            <w:r w:rsidRPr="00377C91">
              <w:t xml:space="preserve"> </w:t>
            </w:r>
            <w:proofErr w:type="spellStart"/>
            <w:r w:rsidRPr="00377C91">
              <w:t>18A.</w:t>
            </w:r>
            <w:r>
              <w:t>5</w:t>
            </w:r>
            <w:proofErr w:type="spellEnd"/>
            <w:r>
              <w:t xml:space="preserve"> and</w:t>
            </w:r>
            <w:r w:rsidR="005B60DA">
              <w:t> </w:t>
            </w:r>
            <w:proofErr w:type="spellStart"/>
            <w:r w:rsidRPr="002456F3">
              <w:t>18A.</w:t>
            </w:r>
            <w:r>
              <w:t>8</w:t>
            </w:r>
            <w:proofErr w:type="spellEnd"/>
            <w:r>
              <w:t>.</w:t>
            </w:r>
          </w:p>
        </w:tc>
      </w:tr>
      <w:tr w:rsidR="006D3797" w:rsidTr="005256BE">
        <w:tc>
          <w:tcPr>
            <w:tcW w:w="8771" w:type="dxa"/>
            <w:tcBorders>
              <w:top w:val="nil"/>
              <w:left w:val="nil"/>
              <w:bottom w:val="single" w:sz="6" w:space="0" w:color="78A22F"/>
              <w:right w:val="nil"/>
            </w:tcBorders>
            <w:shd w:val="clear" w:color="auto" w:fill="auto"/>
          </w:tcPr>
          <w:p w:rsidR="006D3797" w:rsidRDefault="006D3797" w:rsidP="005256BE">
            <w:pPr>
              <w:pStyle w:val="Figurespace"/>
            </w:pPr>
          </w:p>
        </w:tc>
      </w:tr>
      <w:tr w:rsidR="006D3797" w:rsidRPr="000863A5" w:rsidTr="005256BE">
        <w:tc>
          <w:tcPr>
            <w:tcW w:w="8771" w:type="dxa"/>
            <w:tcBorders>
              <w:top w:val="single" w:sz="6" w:space="0" w:color="78A22F"/>
              <w:left w:val="nil"/>
              <w:bottom w:val="nil"/>
              <w:right w:val="nil"/>
            </w:tcBorders>
          </w:tcPr>
          <w:p w:rsidR="006D3797" w:rsidRPr="00626D32" w:rsidRDefault="006D3797" w:rsidP="005256BE">
            <w:pPr>
              <w:pStyle w:val="BoxSpaceBelow"/>
            </w:pPr>
          </w:p>
        </w:tc>
      </w:tr>
    </w:tbl>
    <w:p w:rsidR="000707E5" w:rsidRPr="00377C91" w:rsidRDefault="000707E5" w:rsidP="000707E5">
      <w:pPr>
        <w:pStyle w:val="Heading5"/>
      </w:pPr>
      <w:r w:rsidRPr="00DA1F44">
        <w:t xml:space="preserve">Access of special needs </w:t>
      </w:r>
      <w:r w:rsidRPr="00536775">
        <w:t>groups</w:t>
      </w:r>
      <w:r w:rsidRPr="00DA1F44">
        <w:t xml:space="preserve"> to homelessness services</w:t>
      </w:r>
      <w:r>
        <w:t xml:space="preserve">: </w:t>
      </w:r>
      <w:r w:rsidRPr="00B8254C">
        <w:t>people</w:t>
      </w:r>
      <w:r w:rsidRPr="00377C91">
        <w:t xml:space="preserve"> born in non</w:t>
      </w:r>
      <w:r>
        <w:noBreakHyphen/>
      </w:r>
      <w:r w:rsidRPr="00377C91">
        <w:t xml:space="preserve">main English speaking countries </w:t>
      </w:r>
    </w:p>
    <w:p w:rsidR="000707E5" w:rsidRDefault="000707E5" w:rsidP="000707E5">
      <w:pPr>
        <w:pStyle w:val="BodyText"/>
      </w:pPr>
      <w:r>
        <w:t>In 2014-15, people born in n</w:t>
      </w:r>
      <w:r w:rsidRPr="00602189">
        <w:t>on</w:t>
      </w:r>
      <w:r>
        <w:noBreakHyphen/>
        <w:t xml:space="preserve">main </w:t>
      </w:r>
      <w:r w:rsidRPr="00602189">
        <w:t xml:space="preserve">English speaking </w:t>
      </w:r>
      <w:r>
        <w:t xml:space="preserve">countries </w:t>
      </w:r>
      <w:r w:rsidRPr="00602189">
        <w:t xml:space="preserve">had a lower representation </w:t>
      </w:r>
      <w:r>
        <w:t xml:space="preserve">amongst all people accessing </w:t>
      </w:r>
      <w:r w:rsidRPr="00602189">
        <w:t>spe</w:t>
      </w:r>
      <w:r>
        <w:t xml:space="preserve">cialist homelessness </w:t>
      </w:r>
      <w:r w:rsidRPr="00431E50">
        <w:t>services (</w:t>
      </w:r>
      <w:r w:rsidR="000F1032">
        <w:t>11.5</w:t>
      </w:r>
      <w:r w:rsidRPr="00431E50">
        <w:t xml:space="preserve"> per cent) than this group’s representation in the population </w:t>
      </w:r>
      <w:r w:rsidR="000F1032">
        <w:t xml:space="preserve">at the last population census </w:t>
      </w:r>
      <w:r w:rsidRPr="00431E50">
        <w:t>(</w:t>
      </w:r>
      <w:r>
        <w:t>15.1</w:t>
      </w:r>
      <w:r w:rsidRPr="00431E50">
        <w:t> per cent) (</w:t>
      </w:r>
      <w:r>
        <w:t>figure</w:t>
      </w:r>
      <w:r w:rsidRPr="00431E50">
        <w:t> 18.</w:t>
      </w:r>
      <w:r>
        <w:t>4</w:t>
      </w:r>
      <w:r w:rsidRPr="00431E50">
        <w:t>).</w:t>
      </w:r>
    </w:p>
    <w:p w:rsidR="000707E5" w:rsidRDefault="000707E5" w:rsidP="000707E5">
      <w:pPr>
        <w:pStyle w:val="BodyText"/>
      </w:pPr>
      <w:r w:rsidRPr="001D4DB2">
        <w:lastRenderedPageBreak/>
        <w:t xml:space="preserve">Nationally, people </w:t>
      </w:r>
      <w:r>
        <w:t>born in non</w:t>
      </w:r>
      <w:r>
        <w:noBreakHyphen/>
        <w:t xml:space="preserve">main English speaking countries </w:t>
      </w:r>
      <w:r w:rsidRPr="001D4DB2">
        <w:t xml:space="preserve">made up </w:t>
      </w:r>
      <w:r w:rsidRPr="00431E50">
        <w:t>1</w:t>
      </w:r>
      <w:r w:rsidR="000F1032">
        <w:t>0.5</w:t>
      </w:r>
      <w:r w:rsidRPr="00431E50">
        <w:t> per cent of all clients who</w:t>
      </w:r>
      <w:r>
        <w:t xml:space="preserve">se needs for </w:t>
      </w:r>
      <w:r w:rsidRPr="00431E50">
        <w:t xml:space="preserve">accommodation </w:t>
      </w:r>
      <w:r>
        <w:t xml:space="preserve">were met, and </w:t>
      </w:r>
      <w:r w:rsidR="000F1032">
        <w:t>9.8</w:t>
      </w:r>
      <w:r w:rsidRPr="00431E50">
        <w:t> per cent of all clients who</w:t>
      </w:r>
      <w:r>
        <w:t>se needs for s</w:t>
      </w:r>
      <w:r w:rsidRPr="00431E50">
        <w:t xml:space="preserve">ervices other than accommodation </w:t>
      </w:r>
      <w:r>
        <w:t xml:space="preserve">were met </w:t>
      </w:r>
      <w:r w:rsidRPr="00431E50">
        <w:t>in 201</w:t>
      </w:r>
      <w:r>
        <w:t>4</w:t>
      </w:r>
      <w:r>
        <w:noBreakHyphen/>
      </w:r>
      <w:r w:rsidRPr="00431E50">
        <w:t>1</w:t>
      </w:r>
      <w:r>
        <w:t>5</w:t>
      </w:r>
      <w:r w:rsidRPr="00431E50">
        <w:t>. These results varied across jurisdictions (figure 18.4).</w:t>
      </w:r>
    </w:p>
    <w:p w:rsidR="007C35E2" w:rsidRDefault="007C35E2" w:rsidP="005256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35E2" w:rsidTr="007C35E2">
        <w:tc>
          <w:tcPr>
            <w:tcW w:w="8771" w:type="dxa"/>
            <w:tcBorders>
              <w:top w:val="single" w:sz="6" w:space="0" w:color="78A22F"/>
              <w:left w:val="nil"/>
              <w:bottom w:val="nil"/>
              <w:right w:val="nil"/>
            </w:tcBorders>
            <w:shd w:val="clear" w:color="auto" w:fill="auto"/>
          </w:tcPr>
          <w:p w:rsidR="007C35E2" w:rsidRPr="00176D3F" w:rsidRDefault="007C35E2" w:rsidP="007C35E2">
            <w:pPr>
              <w:pStyle w:val="FigureTitle"/>
            </w:pPr>
            <w:r w:rsidRPr="00784A05">
              <w:rPr>
                <w:b w:val="0"/>
              </w:rPr>
              <w:t xml:space="preserve">Figure </w:t>
            </w:r>
            <w:r w:rsidR="007A5581">
              <w:rPr>
                <w:b w:val="0"/>
              </w:rPr>
              <w:t>18.</w:t>
            </w:r>
            <w:r w:rsidR="007A3D6D">
              <w:rPr>
                <w:b w:val="0"/>
                <w:noProof/>
              </w:rPr>
              <w:t>4</w:t>
            </w:r>
            <w:r>
              <w:tab/>
            </w:r>
            <w:r w:rsidRPr="002456F3">
              <w:t xml:space="preserve">Proportion of </w:t>
            </w:r>
            <w:r>
              <w:t>clients who were people</w:t>
            </w:r>
            <w:r w:rsidRPr="00192584">
              <w:t xml:space="preserve"> born in non</w:t>
            </w:r>
            <w:r>
              <w:noBreakHyphen/>
            </w:r>
            <w:r w:rsidRPr="00192584">
              <w:t>main English speaking countries</w:t>
            </w:r>
            <w:r w:rsidRPr="002456F3">
              <w:t>, 201</w:t>
            </w:r>
            <w:r>
              <w:t>4</w:t>
            </w:r>
            <w:r>
              <w:noBreakHyphen/>
            </w:r>
            <w:r w:rsidRPr="002456F3">
              <w:t>1</w:t>
            </w:r>
            <w:r>
              <w:t>5</w:t>
            </w:r>
            <w:r w:rsidRPr="00192584">
              <w:rPr>
                <w:rStyle w:val="NoteLabel"/>
                <w:b/>
              </w:rPr>
              <w:t>a</w:t>
            </w:r>
            <w:r>
              <w:rPr>
                <w:rStyle w:val="NoteLabel"/>
                <w:b/>
              </w:rPr>
              <w:t>,</w:t>
            </w:r>
          </w:p>
        </w:tc>
      </w:tr>
      <w:tr w:rsidR="007C35E2" w:rsidTr="007C35E2">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7C35E2" w:rsidTr="000C1770">
              <w:trPr>
                <w:jc w:val="center"/>
              </w:trPr>
              <w:tc>
                <w:tcPr>
                  <w:tcW w:w="5000" w:type="pct"/>
                  <w:tcBorders>
                    <w:top w:val="nil"/>
                    <w:bottom w:val="nil"/>
                  </w:tcBorders>
                </w:tcPr>
                <w:p w:rsidR="007C35E2" w:rsidRDefault="00A701B9" w:rsidP="005256BE">
                  <w:pPr>
                    <w:pStyle w:val="Figure"/>
                    <w:spacing w:before="60" w:after="60"/>
                  </w:pPr>
                  <w:r>
                    <w:rPr>
                      <w:noProof/>
                    </w:rPr>
                    <w:drawing>
                      <wp:inline distT="0" distB="0" distL="0" distR="0">
                        <wp:extent cx="5400040" cy="2861310"/>
                        <wp:effectExtent l="0" t="0" r="0" b="0"/>
                        <wp:docPr id="23" name="Picture 23" descr="Figure 18.4 Proportion of clients who were people born in non main English speaking countrie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2861310"/>
                                </a:xfrm>
                                <a:prstGeom prst="rect">
                                  <a:avLst/>
                                </a:prstGeom>
                                <a:noFill/>
                                <a:ln>
                                  <a:noFill/>
                                </a:ln>
                              </pic:spPr>
                            </pic:pic>
                          </a:graphicData>
                        </a:graphic>
                      </wp:inline>
                    </w:drawing>
                  </w:r>
                </w:p>
              </w:tc>
            </w:tr>
          </w:tbl>
          <w:p w:rsidR="007C35E2" w:rsidRDefault="007C35E2" w:rsidP="005256BE">
            <w:pPr>
              <w:pStyle w:val="Figure"/>
            </w:pPr>
          </w:p>
        </w:tc>
      </w:tr>
      <w:tr w:rsidR="007C35E2" w:rsidRPr="00176D3F" w:rsidTr="007C35E2">
        <w:tc>
          <w:tcPr>
            <w:tcW w:w="8771" w:type="dxa"/>
            <w:tcBorders>
              <w:top w:val="nil"/>
              <w:left w:val="nil"/>
              <w:bottom w:val="nil"/>
              <w:right w:val="nil"/>
            </w:tcBorders>
            <w:shd w:val="clear" w:color="auto" w:fill="auto"/>
          </w:tcPr>
          <w:p w:rsidR="007C35E2" w:rsidRPr="00176D3F" w:rsidRDefault="007C35E2" w:rsidP="005256BE">
            <w:pPr>
              <w:pStyle w:val="Note"/>
            </w:pPr>
            <w:r>
              <w:rPr>
                <w:rStyle w:val="NoteLabel"/>
              </w:rPr>
              <w:t>a</w:t>
            </w:r>
            <w:r>
              <w:t xml:space="preserve"> </w:t>
            </w:r>
            <w:r w:rsidRPr="006D3797">
              <w:t xml:space="preserve">See box </w:t>
            </w:r>
            <w:r w:rsidR="007A5581">
              <w:t>18.4</w:t>
            </w:r>
            <w:r w:rsidRPr="006D3797">
              <w:t xml:space="preserve"> and table</w:t>
            </w:r>
            <w:r>
              <w:t>s</w:t>
            </w:r>
            <w:r w:rsidRPr="006D3797">
              <w:t xml:space="preserve"> </w:t>
            </w:r>
            <w:proofErr w:type="spellStart"/>
            <w:r>
              <w:t>18</w:t>
            </w:r>
            <w:r w:rsidRPr="006D3797">
              <w:t>A.</w:t>
            </w:r>
            <w:r>
              <w:t>6</w:t>
            </w:r>
            <w:proofErr w:type="spellEnd"/>
            <w:r>
              <w:t xml:space="preserve"> and </w:t>
            </w:r>
            <w:proofErr w:type="spellStart"/>
            <w:r>
              <w:t>18A.8</w:t>
            </w:r>
            <w:proofErr w:type="spellEnd"/>
            <w:r w:rsidRPr="006D3797">
              <w:t xml:space="preserve"> for detailed definitions, footnotes and caveats</w:t>
            </w:r>
            <w:r>
              <w:t>.</w:t>
            </w:r>
          </w:p>
        </w:tc>
      </w:tr>
      <w:tr w:rsidR="007C35E2" w:rsidRPr="00176D3F" w:rsidTr="007C35E2">
        <w:tc>
          <w:tcPr>
            <w:tcW w:w="8771" w:type="dxa"/>
            <w:tcBorders>
              <w:top w:val="nil"/>
              <w:left w:val="nil"/>
              <w:bottom w:val="nil"/>
              <w:right w:val="nil"/>
            </w:tcBorders>
            <w:shd w:val="clear" w:color="auto" w:fill="auto"/>
          </w:tcPr>
          <w:p w:rsidR="007C35E2" w:rsidRPr="00176D3F" w:rsidRDefault="007C35E2" w:rsidP="005256BE">
            <w:pPr>
              <w:pStyle w:val="Source"/>
            </w:pPr>
            <w:r>
              <w:rPr>
                <w:i/>
              </w:rPr>
              <w:t>S</w:t>
            </w:r>
            <w:r w:rsidRPr="00784A05">
              <w:rPr>
                <w:i/>
              </w:rPr>
              <w:t>ource</w:t>
            </w:r>
            <w:r w:rsidRPr="00176D3F">
              <w:t xml:space="preserve">: </w:t>
            </w:r>
            <w:proofErr w:type="spellStart"/>
            <w:r w:rsidRPr="00421C75">
              <w:rPr>
                <w:color w:val="000000" w:themeColor="text1"/>
              </w:rPr>
              <w:t>AIHW</w:t>
            </w:r>
            <w:proofErr w:type="spellEnd"/>
            <w:r w:rsidRPr="00421C75">
              <w:rPr>
                <w:color w:val="000000" w:themeColor="text1"/>
              </w:rPr>
              <w:t xml:space="preserve"> (unpublished) </w:t>
            </w:r>
            <w:r w:rsidR="000C1770" w:rsidRPr="000C1770">
              <w:rPr>
                <w:color w:val="000000" w:themeColor="text1"/>
              </w:rPr>
              <w:t>Specialist Homelessness Services Collection</w:t>
            </w:r>
            <w:r w:rsidRPr="00421C75">
              <w:rPr>
                <w:color w:val="000000" w:themeColor="text1"/>
              </w:rPr>
              <w:t xml:space="preserve">, Australia; </w:t>
            </w:r>
            <w:r>
              <w:rPr>
                <w:szCs w:val="18"/>
              </w:rPr>
              <w:t xml:space="preserve">ABS (2012), </w:t>
            </w:r>
            <w:r>
              <w:rPr>
                <w:i/>
                <w:iCs/>
                <w:szCs w:val="18"/>
              </w:rPr>
              <w:t xml:space="preserve">2011 Census of Population and Housing, Australia, States and Territories, Basic Community Profile, Table </w:t>
            </w:r>
            <w:proofErr w:type="spellStart"/>
            <w:r>
              <w:rPr>
                <w:i/>
                <w:iCs/>
                <w:szCs w:val="18"/>
              </w:rPr>
              <w:t>B09</w:t>
            </w:r>
            <w:proofErr w:type="spellEnd"/>
            <w:r>
              <w:rPr>
                <w:i/>
                <w:iCs/>
                <w:szCs w:val="18"/>
              </w:rPr>
              <w:t xml:space="preserve"> — Country of birth of person by sex</w:t>
            </w:r>
            <w:r>
              <w:rPr>
                <w:szCs w:val="18"/>
              </w:rPr>
              <w:t xml:space="preserve">, Cat. no. 2001.0; tables </w:t>
            </w:r>
            <w:proofErr w:type="spellStart"/>
            <w:r>
              <w:rPr>
                <w:szCs w:val="18"/>
              </w:rPr>
              <w:t>2A.8</w:t>
            </w:r>
            <w:proofErr w:type="spellEnd"/>
            <w:r>
              <w:rPr>
                <w:szCs w:val="18"/>
              </w:rPr>
              <w:t xml:space="preserve">, </w:t>
            </w:r>
            <w:proofErr w:type="spellStart"/>
            <w:r>
              <w:rPr>
                <w:szCs w:val="18"/>
              </w:rPr>
              <w:t>18A.6</w:t>
            </w:r>
            <w:proofErr w:type="spellEnd"/>
            <w:r>
              <w:rPr>
                <w:szCs w:val="18"/>
              </w:rPr>
              <w:t xml:space="preserve"> and </w:t>
            </w:r>
            <w:proofErr w:type="spellStart"/>
            <w:r w:rsidRPr="00421C75">
              <w:rPr>
                <w:color w:val="000000" w:themeColor="text1"/>
              </w:rPr>
              <w:t>18A.</w:t>
            </w:r>
            <w:r>
              <w:rPr>
                <w:color w:val="000000" w:themeColor="text1"/>
              </w:rPr>
              <w:t>8</w:t>
            </w:r>
            <w:proofErr w:type="spellEnd"/>
            <w:r w:rsidRPr="00421C75">
              <w:rPr>
                <w:color w:val="000000" w:themeColor="text1"/>
              </w:rPr>
              <w:t>.</w:t>
            </w:r>
          </w:p>
        </w:tc>
      </w:tr>
      <w:tr w:rsidR="007C35E2" w:rsidTr="007C35E2">
        <w:tc>
          <w:tcPr>
            <w:tcW w:w="8771" w:type="dxa"/>
            <w:tcBorders>
              <w:top w:val="nil"/>
              <w:left w:val="nil"/>
              <w:bottom w:val="single" w:sz="6" w:space="0" w:color="78A22F"/>
              <w:right w:val="nil"/>
            </w:tcBorders>
            <w:shd w:val="clear" w:color="auto" w:fill="auto"/>
          </w:tcPr>
          <w:p w:rsidR="007C35E2" w:rsidRDefault="007C35E2" w:rsidP="005256BE">
            <w:pPr>
              <w:pStyle w:val="Figurespace"/>
            </w:pPr>
          </w:p>
        </w:tc>
      </w:tr>
      <w:tr w:rsidR="007C35E2" w:rsidRPr="000863A5" w:rsidTr="007C35E2">
        <w:tc>
          <w:tcPr>
            <w:tcW w:w="8771" w:type="dxa"/>
            <w:tcBorders>
              <w:top w:val="single" w:sz="6" w:space="0" w:color="78A22F"/>
              <w:left w:val="nil"/>
              <w:bottom w:val="nil"/>
              <w:right w:val="nil"/>
            </w:tcBorders>
          </w:tcPr>
          <w:p w:rsidR="007C35E2" w:rsidRPr="00626D32" w:rsidRDefault="007C35E2" w:rsidP="005256BE">
            <w:pPr>
              <w:pStyle w:val="BoxSpaceBelow"/>
            </w:pPr>
          </w:p>
        </w:tc>
      </w:tr>
    </w:tbl>
    <w:p w:rsidR="000707E5" w:rsidRPr="00377C91" w:rsidRDefault="000707E5" w:rsidP="000707E5">
      <w:pPr>
        <w:pStyle w:val="Heading5"/>
      </w:pPr>
      <w:r w:rsidRPr="00DA1F44">
        <w:t xml:space="preserve">Access of </w:t>
      </w:r>
      <w:r w:rsidRPr="00C4061D">
        <w:t>special</w:t>
      </w:r>
      <w:r w:rsidRPr="00DA1F44">
        <w:t xml:space="preserve"> needs </w:t>
      </w:r>
      <w:r w:rsidRPr="00536775">
        <w:t>groups</w:t>
      </w:r>
      <w:r w:rsidRPr="00DA1F44">
        <w:t xml:space="preserve"> to homelessness services</w:t>
      </w:r>
      <w:r>
        <w:t xml:space="preserve">: </w:t>
      </w:r>
      <w:r w:rsidRPr="00377C91">
        <w:t xml:space="preserve">people </w:t>
      </w:r>
      <w:r w:rsidRPr="00D051FC">
        <w:t>w</w:t>
      </w:r>
      <w:r>
        <w:t>ith disability</w:t>
      </w:r>
    </w:p>
    <w:p w:rsidR="000707E5" w:rsidRDefault="000707E5" w:rsidP="000707E5">
      <w:pPr>
        <w:pStyle w:val="BodyText"/>
      </w:pPr>
      <w:r>
        <w:t xml:space="preserve">In 2014-15, </w:t>
      </w:r>
      <w:r w:rsidRPr="00482B3A">
        <w:t xml:space="preserve">people </w:t>
      </w:r>
      <w:r w:rsidRPr="00482B3A">
        <w:rPr>
          <w:bCs/>
          <w:iCs/>
        </w:rPr>
        <w:t>w</w:t>
      </w:r>
      <w:r>
        <w:rPr>
          <w:bCs/>
          <w:iCs/>
        </w:rPr>
        <w:t xml:space="preserve">ith disability </w:t>
      </w:r>
      <w:r>
        <w:t>h</w:t>
      </w:r>
      <w:r w:rsidRPr="00602189">
        <w:t xml:space="preserve">ad a lower representation </w:t>
      </w:r>
      <w:r>
        <w:t xml:space="preserve">amongst all people accessing </w:t>
      </w:r>
      <w:r w:rsidRPr="00602189">
        <w:t>spe</w:t>
      </w:r>
      <w:r>
        <w:t xml:space="preserve">cialist </w:t>
      </w:r>
      <w:r w:rsidRPr="00C4061D">
        <w:t>homelessness</w:t>
      </w:r>
      <w:r>
        <w:t xml:space="preserve"> services</w:t>
      </w:r>
      <w:r w:rsidRPr="008D5DAB">
        <w:t xml:space="preserve"> (4.</w:t>
      </w:r>
      <w:r w:rsidR="00AA1790">
        <w:t>1</w:t>
      </w:r>
      <w:r w:rsidRPr="008D5DAB">
        <w:t xml:space="preserve"> per cent) than </w:t>
      </w:r>
      <w:r>
        <w:t>their</w:t>
      </w:r>
      <w:r w:rsidRPr="008D5DAB">
        <w:t xml:space="preserve"> representation in the population</w:t>
      </w:r>
      <w:r w:rsidR="00AA1790">
        <w:t xml:space="preserve"> (as measured in the ABS </w:t>
      </w:r>
      <w:r w:rsidR="00AA1790" w:rsidRPr="000D18AC">
        <w:t xml:space="preserve">2012 Survey of </w:t>
      </w:r>
      <w:r w:rsidR="007664F0" w:rsidRPr="000D18AC">
        <w:t xml:space="preserve">Disability, Ageing </w:t>
      </w:r>
      <w:r w:rsidR="00AA1790" w:rsidRPr="000D18AC">
        <w:t xml:space="preserve">and </w:t>
      </w:r>
      <w:r w:rsidR="007664F0" w:rsidRPr="000D18AC">
        <w:t>Carers</w:t>
      </w:r>
      <w:r w:rsidR="00AA1790">
        <w:t>)</w:t>
      </w:r>
      <w:r w:rsidRPr="008D5DAB">
        <w:t xml:space="preserve"> (</w:t>
      </w:r>
      <w:r>
        <w:t>6.1</w:t>
      </w:r>
      <w:r w:rsidRPr="008D5DAB">
        <w:t> per cent) (</w:t>
      </w:r>
      <w:r>
        <w:t>figure 18.5</w:t>
      </w:r>
      <w:r w:rsidRPr="008D5DAB">
        <w:t>).</w:t>
      </w:r>
    </w:p>
    <w:p w:rsidR="000707E5" w:rsidRDefault="000707E5" w:rsidP="000707E5">
      <w:pPr>
        <w:pStyle w:val="BodyText"/>
      </w:pPr>
      <w:r w:rsidRPr="000B74D6">
        <w:t xml:space="preserve">Nationally, </w:t>
      </w:r>
      <w:r w:rsidRPr="00C4061D">
        <w:t>people</w:t>
      </w:r>
      <w:r w:rsidRPr="002F2B87">
        <w:t xml:space="preserve"> </w:t>
      </w:r>
      <w:r>
        <w:t xml:space="preserve">with </w:t>
      </w:r>
      <w:r>
        <w:rPr>
          <w:bCs/>
        </w:rPr>
        <w:t xml:space="preserve">disability </w:t>
      </w:r>
      <w:r w:rsidRPr="000B74D6">
        <w:t xml:space="preserve">made up </w:t>
      </w:r>
      <w:r w:rsidR="00AA1790">
        <w:t>4.1</w:t>
      </w:r>
      <w:r w:rsidRPr="000B74D6">
        <w:t> per cent of all clients who</w:t>
      </w:r>
      <w:r>
        <w:t xml:space="preserve">se needs for </w:t>
      </w:r>
      <w:r w:rsidRPr="000B74D6">
        <w:t>accommodation</w:t>
      </w:r>
      <w:r>
        <w:t xml:space="preserve"> were met, </w:t>
      </w:r>
      <w:r w:rsidRPr="000B74D6">
        <w:t xml:space="preserve">and </w:t>
      </w:r>
      <w:r w:rsidR="00AA1790">
        <w:t>3.0</w:t>
      </w:r>
      <w:r w:rsidRPr="000B74D6">
        <w:t> per cent of all clients who</w:t>
      </w:r>
      <w:r>
        <w:t xml:space="preserve">se needs for </w:t>
      </w:r>
      <w:r w:rsidRPr="000B74D6">
        <w:t xml:space="preserve">services other than accommodation </w:t>
      </w:r>
      <w:r>
        <w:t xml:space="preserve">were met </w:t>
      </w:r>
      <w:r w:rsidRPr="000B74D6">
        <w:t>in 201</w:t>
      </w:r>
      <w:r>
        <w:t>4</w:t>
      </w:r>
      <w:r>
        <w:noBreakHyphen/>
        <w:t>15</w:t>
      </w:r>
      <w:r w:rsidRPr="000B74D6">
        <w:t>. These results varied across jurisdiction</w:t>
      </w:r>
      <w:r>
        <w:t>s</w:t>
      </w:r>
      <w:r w:rsidRPr="000B74D6">
        <w:t xml:space="preserve"> (figure 18.5).</w:t>
      </w:r>
    </w:p>
    <w:p w:rsidR="007C35E2" w:rsidRDefault="007C35E2" w:rsidP="005256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35E2" w:rsidTr="005256BE">
        <w:tc>
          <w:tcPr>
            <w:tcW w:w="8771" w:type="dxa"/>
            <w:tcBorders>
              <w:top w:val="single" w:sz="6" w:space="0" w:color="78A22F"/>
              <w:left w:val="nil"/>
              <w:bottom w:val="nil"/>
              <w:right w:val="nil"/>
            </w:tcBorders>
            <w:shd w:val="clear" w:color="auto" w:fill="auto"/>
          </w:tcPr>
          <w:p w:rsidR="007C35E2" w:rsidRPr="00176D3F" w:rsidRDefault="007C35E2" w:rsidP="007C35E2">
            <w:pPr>
              <w:pStyle w:val="FigureTitle"/>
            </w:pPr>
            <w:r w:rsidRPr="00784A05">
              <w:rPr>
                <w:b w:val="0"/>
              </w:rPr>
              <w:t xml:space="preserve">Figure </w:t>
            </w:r>
            <w:r w:rsidR="007A5581">
              <w:rPr>
                <w:b w:val="0"/>
              </w:rPr>
              <w:t>18.</w:t>
            </w:r>
            <w:r w:rsidR="007A3D6D">
              <w:rPr>
                <w:b w:val="0"/>
                <w:noProof/>
              </w:rPr>
              <w:t>5</w:t>
            </w:r>
            <w:r>
              <w:tab/>
            </w:r>
            <w:r w:rsidRPr="002456F3">
              <w:t xml:space="preserve">Proportion of </w:t>
            </w:r>
            <w:r>
              <w:t xml:space="preserve">clients who were people with disability, </w:t>
            </w:r>
            <w:r>
              <w:br/>
              <w:t>2014</w:t>
            </w:r>
            <w:r>
              <w:noBreakHyphen/>
              <w:t>15</w:t>
            </w:r>
            <w:r w:rsidRPr="002B0BDD">
              <w:rPr>
                <w:rStyle w:val="NoteLabel"/>
                <w:b/>
              </w:rPr>
              <w:t>a</w:t>
            </w:r>
          </w:p>
        </w:tc>
      </w:tr>
      <w:tr w:rsidR="007C35E2" w:rsidTr="005256BE">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7C35E2" w:rsidTr="000C1770">
              <w:trPr>
                <w:jc w:val="center"/>
              </w:trPr>
              <w:tc>
                <w:tcPr>
                  <w:tcW w:w="5000" w:type="pct"/>
                  <w:tcBorders>
                    <w:top w:val="nil"/>
                    <w:bottom w:val="nil"/>
                  </w:tcBorders>
                </w:tcPr>
                <w:p w:rsidR="007C35E2" w:rsidRDefault="00A701B9" w:rsidP="005256BE">
                  <w:pPr>
                    <w:pStyle w:val="Figure"/>
                    <w:spacing w:before="60" w:after="60"/>
                  </w:pPr>
                  <w:r>
                    <w:rPr>
                      <w:noProof/>
                    </w:rPr>
                    <w:drawing>
                      <wp:inline distT="0" distB="0" distL="0" distR="0">
                        <wp:extent cx="5400040" cy="2861310"/>
                        <wp:effectExtent l="0" t="0" r="0" b="0"/>
                        <wp:docPr id="5" name="Picture 5" descr="Figure 18.5 Proportion of clients who were people with disability, &#10;2014-15&#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2861310"/>
                                </a:xfrm>
                                <a:prstGeom prst="rect">
                                  <a:avLst/>
                                </a:prstGeom>
                                <a:noFill/>
                                <a:ln>
                                  <a:noFill/>
                                </a:ln>
                              </pic:spPr>
                            </pic:pic>
                          </a:graphicData>
                        </a:graphic>
                      </wp:inline>
                    </w:drawing>
                  </w:r>
                </w:p>
              </w:tc>
            </w:tr>
          </w:tbl>
          <w:p w:rsidR="007C35E2" w:rsidRDefault="007C35E2" w:rsidP="005256BE">
            <w:pPr>
              <w:pStyle w:val="Figure"/>
            </w:pPr>
          </w:p>
        </w:tc>
      </w:tr>
      <w:tr w:rsidR="007C35E2" w:rsidRPr="00176D3F" w:rsidTr="005256BE">
        <w:tc>
          <w:tcPr>
            <w:tcW w:w="8771" w:type="dxa"/>
            <w:tcBorders>
              <w:top w:val="nil"/>
              <w:left w:val="nil"/>
              <w:bottom w:val="nil"/>
              <w:right w:val="nil"/>
            </w:tcBorders>
            <w:shd w:val="clear" w:color="auto" w:fill="auto"/>
          </w:tcPr>
          <w:p w:rsidR="007C35E2" w:rsidRPr="00176D3F" w:rsidRDefault="007C35E2" w:rsidP="007C35E2">
            <w:pPr>
              <w:pStyle w:val="Note"/>
            </w:pPr>
            <w:r>
              <w:rPr>
                <w:rStyle w:val="NoteLabel"/>
              </w:rPr>
              <w:t>a</w:t>
            </w:r>
            <w:r>
              <w:t xml:space="preserve"> </w:t>
            </w:r>
            <w:r w:rsidRPr="006D3797">
              <w:t xml:space="preserve">See box </w:t>
            </w:r>
            <w:r w:rsidR="007A5581">
              <w:t>18.4</w:t>
            </w:r>
            <w:r w:rsidRPr="006D3797">
              <w:t xml:space="preserve"> and table</w:t>
            </w:r>
            <w:r>
              <w:t>s</w:t>
            </w:r>
            <w:r w:rsidRPr="006D3797">
              <w:t xml:space="preserve"> </w:t>
            </w:r>
            <w:proofErr w:type="spellStart"/>
            <w:r>
              <w:t>18</w:t>
            </w:r>
            <w:r w:rsidRPr="006D3797">
              <w:t>A.</w:t>
            </w:r>
            <w:r>
              <w:t>7</w:t>
            </w:r>
            <w:proofErr w:type="spellEnd"/>
            <w:r>
              <w:t xml:space="preserve"> and </w:t>
            </w:r>
            <w:proofErr w:type="spellStart"/>
            <w:r>
              <w:t>18A.8</w:t>
            </w:r>
            <w:proofErr w:type="spellEnd"/>
            <w:r w:rsidRPr="006D3797">
              <w:t xml:space="preserve"> for detailed definitions, footnotes and caveats</w:t>
            </w:r>
            <w:r>
              <w:t>.</w:t>
            </w:r>
          </w:p>
        </w:tc>
      </w:tr>
      <w:tr w:rsidR="007C35E2" w:rsidRPr="00176D3F" w:rsidTr="005256BE">
        <w:tc>
          <w:tcPr>
            <w:tcW w:w="8771" w:type="dxa"/>
            <w:tcBorders>
              <w:top w:val="nil"/>
              <w:left w:val="nil"/>
              <w:bottom w:val="nil"/>
              <w:right w:val="nil"/>
            </w:tcBorders>
            <w:shd w:val="clear" w:color="auto" w:fill="auto"/>
          </w:tcPr>
          <w:p w:rsidR="007C35E2" w:rsidRPr="00176D3F" w:rsidRDefault="007C35E2" w:rsidP="005256BE">
            <w:pPr>
              <w:pStyle w:val="Source"/>
            </w:pPr>
            <w:r>
              <w:rPr>
                <w:i/>
              </w:rPr>
              <w:t>Source</w:t>
            </w:r>
            <w:r w:rsidRPr="007D1EA0">
              <w:t>:</w:t>
            </w:r>
            <w:r>
              <w:rPr>
                <w:i/>
              </w:rPr>
              <w:t xml:space="preserve"> </w:t>
            </w:r>
            <w:proofErr w:type="spellStart"/>
            <w:r>
              <w:t>AIHW</w:t>
            </w:r>
            <w:proofErr w:type="spellEnd"/>
            <w:r>
              <w:t xml:space="preserve"> (unpublished) </w:t>
            </w:r>
            <w:r w:rsidR="000C1770" w:rsidRPr="000C1770">
              <w:t>Specialist Homelessness Services Collection</w:t>
            </w:r>
            <w:r>
              <w:t xml:space="preserve">; ABS (2013) </w:t>
            </w:r>
            <w:r w:rsidRPr="00C4061D">
              <w:rPr>
                <w:i/>
              </w:rPr>
              <w:t>Disability, Ageing and Carers, Australia: Summary of Findings, 2012</w:t>
            </w:r>
            <w:r>
              <w:rPr>
                <w:i/>
              </w:rPr>
              <w:t>,</w:t>
            </w:r>
            <w:r w:rsidRPr="00F00484">
              <w:t xml:space="preserve"> </w:t>
            </w:r>
            <w:r>
              <w:t>C</w:t>
            </w:r>
            <w:r w:rsidRPr="00F00484">
              <w:t>at. no. 4430.0</w:t>
            </w:r>
            <w:r>
              <w:t>;</w:t>
            </w:r>
            <w:r w:rsidRPr="00F00484">
              <w:t xml:space="preserve"> </w:t>
            </w:r>
            <w:r>
              <w:t xml:space="preserve">table </w:t>
            </w:r>
            <w:proofErr w:type="spellStart"/>
            <w:r>
              <w:t>18A.7</w:t>
            </w:r>
            <w:proofErr w:type="spellEnd"/>
            <w:r>
              <w:t xml:space="preserve"> and </w:t>
            </w:r>
            <w:proofErr w:type="spellStart"/>
            <w:r>
              <w:t>18A.8</w:t>
            </w:r>
            <w:proofErr w:type="spellEnd"/>
            <w:r>
              <w:t>.</w:t>
            </w:r>
          </w:p>
        </w:tc>
      </w:tr>
      <w:tr w:rsidR="007C35E2" w:rsidTr="005256BE">
        <w:tc>
          <w:tcPr>
            <w:tcW w:w="8771" w:type="dxa"/>
            <w:tcBorders>
              <w:top w:val="nil"/>
              <w:left w:val="nil"/>
              <w:bottom w:val="single" w:sz="6" w:space="0" w:color="78A22F"/>
              <w:right w:val="nil"/>
            </w:tcBorders>
            <w:shd w:val="clear" w:color="auto" w:fill="auto"/>
          </w:tcPr>
          <w:p w:rsidR="007C35E2" w:rsidRDefault="007C35E2" w:rsidP="005256BE">
            <w:pPr>
              <w:pStyle w:val="Figurespace"/>
            </w:pPr>
          </w:p>
        </w:tc>
      </w:tr>
      <w:tr w:rsidR="007C35E2" w:rsidRPr="000863A5" w:rsidTr="005256BE">
        <w:tc>
          <w:tcPr>
            <w:tcW w:w="8771" w:type="dxa"/>
            <w:tcBorders>
              <w:top w:val="single" w:sz="6" w:space="0" w:color="78A22F"/>
              <w:left w:val="nil"/>
              <w:bottom w:val="nil"/>
              <w:right w:val="nil"/>
            </w:tcBorders>
          </w:tcPr>
          <w:p w:rsidR="007C35E2" w:rsidRPr="00626D32" w:rsidRDefault="007C35E2" w:rsidP="005256BE">
            <w:pPr>
              <w:pStyle w:val="BoxSpaceBelow"/>
            </w:pPr>
          </w:p>
        </w:tc>
      </w:tr>
    </w:tbl>
    <w:p w:rsidR="000707E5" w:rsidRPr="00E1188F" w:rsidRDefault="000707E5" w:rsidP="00AA1790">
      <w:pPr>
        <w:pStyle w:val="Heading3"/>
      </w:pPr>
      <w:r w:rsidRPr="00637F0D">
        <w:t>Effectiveness</w:t>
      </w:r>
      <w:r w:rsidRPr="00E1188F">
        <w:t xml:space="preserve"> </w:t>
      </w:r>
    </w:p>
    <w:p w:rsidR="000707E5" w:rsidRPr="002F13CC" w:rsidRDefault="000707E5" w:rsidP="00AA1790">
      <w:pPr>
        <w:pStyle w:val="Heading4"/>
      </w:pPr>
      <w:r>
        <w:t xml:space="preserve">Access — </w:t>
      </w:r>
      <w:r w:rsidRPr="002F13CC">
        <w:t>Unmet demand for homelessness services</w:t>
      </w:r>
    </w:p>
    <w:p w:rsidR="000707E5" w:rsidRDefault="000707E5" w:rsidP="00AA1790">
      <w:pPr>
        <w:pStyle w:val="BodyText"/>
      </w:pPr>
      <w:r w:rsidRPr="00AA1790">
        <w:t>‘</w:t>
      </w:r>
      <w:r w:rsidRPr="008A0628">
        <w:t>U</w:t>
      </w:r>
      <w:r>
        <w:t xml:space="preserve">nmet demand for </w:t>
      </w:r>
      <w:r w:rsidRPr="00EB3BF2">
        <w:t>homelessness</w:t>
      </w:r>
      <w:r>
        <w:t xml:space="preserve"> services’ </w:t>
      </w:r>
      <w:r w:rsidRPr="004F17C9">
        <w:t xml:space="preserve">is an indicator of governments’ objective to ensure all Australians have access to </w:t>
      </w:r>
      <w:r>
        <w:t xml:space="preserve">homelessness </w:t>
      </w:r>
      <w:r w:rsidRPr="004F17C9">
        <w:t>services (box</w:t>
      </w:r>
      <w:r>
        <w:t xml:space="preserve"> </w:t>
      </w:r>
      <w:r w:rsidR="007A5581">
        <w:t>18.5</w:t>
      </w:r>
      <w:r>
        <w:t xml:space="preserve">). </w:t>
      </w:r>
    </w:p>
    <w:p w:rsidR="001B7317" w:rsidRDefault="001B731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B7317" w:rsidTr="005256BE">
        <w:tc>
          <w:tcPr>
            <w:tcW w:w="8771" w:type="dxa"/>
            <w:tcBorders>
              <w:top w:val="single" w:sz="6" w:space="0" w:color="78A22F"/>
              <w:left w:val="nil"/>
              <w:bottom w:val="nil"/>
              <w:right w:val="nil"/>
            </w:tcBorders>
            <w:shd w:val="clear" w:color="auto" w:fill="F2F2F2"/>
          </w:tcPr>
          <w:p w:rsidR="001B7317" w:rsidRDefault="001B7317" w:rsidP="001B7317">
            <w:pPr>
              <w:pStyle w:val="BoxTitle"/>
            </w:pPr>
            <w:r>
              <w:rPr>
                <w:b w:val="0"/>
              </w:rPr>
              <w:t xml:space="preserve">Box </w:t>
            </w:r>
            <w:bookmarkStart w:id="19" w:name="OLE_LINK4"/>
            <w:r w:rsidR="007A5581">
              <w:rPr>
                <w:b w:val="0"/>
              </w:rPr>
              <w:t>18.</w:t>
            </w:r>
            <w:r w:rsidR="007A3D6D">
              <w:rPr>
                <w:b w:val="0"/>
                <w:noProof/>
              </w:rPr>
              <w:t>5</w:t>
            </w:r>
            <w:bookmarkEnd w:id="19"/>
            <w:r>
              <w:tab/>
            </w:r>
            <w:r w:rsidRPr="002F13CC">
              <w:t>Unmet demand for homelessness services</w:t>
            </w:r>
          </w:p>
        </w:tc>
      </w:tr>
      <w:tr w:rsidR="001B7317" w:rsidTr="005256BE">
        <w:trPr>
          <w:cantSplit/>
        </w:trPr>
        <w:tc>
          <w:tcPr>
            <w:tcW w:w="8771" w:type="dxa"/>
            <w:tcBorders>
              <w:top w:val="nil"/>
              <w:left w:val="nil"/>
              <w:bottom w:val="nil"/>
              <w:right w:val="nil"/>
            </w:tcBorders>
            <w:shd w:val="clear" w:color="auto" w:fill="F2F2F2"/>
          </w:tcPr>
          <w:p w:rsidR="001B7317" w:rsidRPr="002F13CC" w:rsidRDefault="001B7317" w:rsidP="001B7317">
            <w:pPr>
              <w:pStyle w:val="Box"/>
              <w:rPr>
                <w:szCs w:val="24"/>
              </w:rPr>
            </w:pPr>
            <w:r w:rsidRPr="00570CF4">
              <w:t xml:space="preserve">Unmet demand for homelessness services occurs when a homeless person </w:t>
            </w:r>
            <w:r w:rsidR="00822ED3" w:rsidRPr="00570CF4">
              <w:t>(</w:t>
            </w:r>
            <w:r w:rsidRPr="00570CF4">
              <w:t>or a person at risk of homelessness</w:t>
            </w:r>
            <w:r w:rsidR="00822ED3" w:rsidRPr="00570CF4">
              <w:t>)</w:t>
            </w:r>
            <w:r w:rsidRPr="00570CF4">
              <w:t xml:space="preserve"> </w:t>
            </w:r>
            <w:r w:rsidR="00B5345D" w:rsidRPr="00570CF4">
              <w:t xml:space="preserve">seeks </w:t>
            </w:r>
            <w:r w:rsidRPr="00570CF4">
              <w:t xml:space="preserve">assistance from </w:t>
            </w:r>
            <w:r w:rsidR="00B5345D" w:rsidRPr="00570CF4">
              <w:t xml:space="preserve">a specialist homelessness services </w:t>
            </w:r>
            <w:r w:rsidR="00D43A54" w:rsidRPr="00570CF4">
              <w:t>provider,</w:t>
            </w:r>
            <w:r w:rsidRPr="00570CF4">
              <w:t xml:space="preserve"> but cannot be provided with that assistance.</w:t>
            </w:r>
            <w:r>
              <w:t xml:space="preserve"> It excludes: clients who received an assessment or a referral (unassisted requests for services), </w:t>
            </w:r>
            <w:r w:rsidRPr="002F13CC">
              <w:t>and</w:t>
            </w:r>
            <w:r>
              <w:t>;</w:t>
            </w:r>
            <w:r w:rsidRPr="002F13CC">
              <w:t xml:space="preserve"> clients who </w:t>
            </w:r>
            <w:r>
              <w:t>received some form of assistance</w:t>
            </w:r>
            <w:r w:rsidR="004E491E">
              <w:t>.</w:t>
            </w:r>
            <w:r>
              <w:t xml:space="preserve"> </w:t>
            </w:r>
            <w:r w:rsidR="00AA49C8" w:rsidRPr="00570CF4">
              <w:t>Unmet demand is measured in reference to two broad service types</w:t>
            </w:r>
            <w:r w:rsidR="00B5345D" w:rsidRPr="00570CF4">
              <w:t>:</w:t>
            </w:r>
            <w:r w:rsidRPr="00570CF4">
              <w:t xml:space="preserve"> </w:t>
            </w:r>
          </w:p>
          <w:p w:rsidR="001B7317" w:rsidRPr="002F13CC" w:rsidRDefault="001B7317" w:rsidP="001B7317">
            <w:pPr>
              <w:pStyle w:val="BoxListBullet"/>
            </w:pPr>
            <w:r w:rsidRPr="002F13CC">
              <w:t>Unmet demand for accommodation</w:t>
            </w:r>
          </w:p>
          <w:p w:rsidR="001B7317" w:rsidRPr="002F13CC" w:rsidRDefault="001B7317" w:rsidP="001B7317">
            <w:pPr>
              <w:pStyle w:val="BoxListBullet2"/>
            </w:pPr>
            <w:r w:rsidRPr="002F13CC">
              <w:t>the number of average daily unassisted requests with a need for accommodation</w:t>
            </w:r>
          </w:p>
          <w:p w:rsidR="001B7317" w:rsidRPr="002F13CC" w:rsidRDefault="001B7317" w:rsidP="001B7317">
            <w:pPr>
              <w:pStyle w:val="BoxListBullet2"/>
            </w:pPr>
            <w:r w:rsidRPr="002F13CC">
              <w:t>the number of clients who requested short</w:t>
            </w:r>
            <w:r>
              <w:t>-</w:t>
            </w:r>
            <w:r w:rsidRPr="002F13CC">
              <w:t>term or emergency accommodation or medium</w:t>
            </w:r>
            <w:r>
              <w:t>-</w:t>
            </w:r>
            <w:r w:rsidRPr="002F13CC">
              <w:t xml:space="preserve"> or long</w:t>
            </w:r>
            <w:r>
              <w:t>-</w:t>
            </w:r>
            <w:r w:rsidRPr="002F13CC">
              <w:t xml:space="preserve">term housing who were not provided </w:t>
            </w:r>
            <w:r>
              <w:t xml:space="preserve">with </w:t>
            </w:r>
            <w:r w:rsidRPr="002F13CC">
              <w:t>or referred to these services</w:t>
            </w:r>
            <w:r w:rsidR="00AA49C8">
              <w:t xml:space="preserve"> </w:t>
            </w:r>
            <w:r w:rsidR="00AA49C8" w:rsidRPr="00570CF4">
              <w:t>(although they may have received other types of services)</w:t>
            </w:r>
            <w:r w:rsidRPr="002F13CC">
              <w:t>, divided by the number of clients who had a need for short</w:t>
            </w:r>
            <w:r>
              <w:noBreakHyphen/>
            </w:r>
            <w:r w:rsidRPr="002F13CC">
              <w:t>term or emergency accommodation or medium</w:t>
            </w:r>
            <w:r>
              <w:t>-</w:t>
            </w:r>
            <w:r w:rsidRPr="002F13CC">
              <w:t xml:space="preserve"> or long</w:t>
            </w:r>
            <w:r>
              <w:t>-</w:t>
            </w:r>
            <w:r w:rsidRPr="002F13CC">
              <w:t>term housing.</w:t>
            </w:r>
          </w:p>
          <w:p w:rsidR="001B7317" w:rsidRPr="002F13CC" w:rsidRDefault="001B7317" w:rsidP="001B7317">
            <w:pPr>
              <w:pStyle w:val="BoxListBullet"/>
            </w:pPr>
            <w:r w:rsidRPr="002F13CC">
              <w:t>Unmet demand for services other than accommodation</w:t>
            </w:r>
          </w:p>
          <w:p w:rsidR="001B7317" w:rsidRPr="002F13CC" w:rsidRDefault="001B7317" w:rsidP="001B7317">
            <w:pPr>
              <w:pStyle w:val="BoxListBullet2"/>
            </w:pPr>
            <w:r w:rsidRPr="002F13CC">
              <w:t>the number of average daily unassisted requests without a need for accommodation but with a need for other services</w:t>
            </w:r>
          </w:p>
          <w:p w:rsidR="001B7317" w:rsidRPr="002F13CC" w:rsidRDefault="001B7317" w:rsidP="001B7317">
            <w:pPr>
              <w:pStyle w:val="BoxListBullet2"/>
            </w:pPr>
            <w:r w:rsidRPr="002F13CC">
              <w:t xml:space="preserve">the number of clients who did not request accommodation but did request another type of service who were not provided </w:t>
            </w:r>
            <w:r>
              <w:t xml:space="preserve">with </w:t>
            </w:r>
            <w:r w:rsidRPr="002F13CC">
              <w:t>or referred to any of these services, divided by the number of clients who had a need for a service other than accommodation.</w:t>
            </w:r>
          </w:p>
          <w:p w:rsidR="001B7317" w:rsidRPr="002F13CC" w:rsidRDefault="001B7317" w:rsidP="001B7317">
            <w:pPr>
              <w:pStyle w:val="Box"/>
            </w:pPr>
            <w:r w:rsidRPr="002F13CC">
              <w:t xml:space="preserve">A low or decreasing proportion of clients with unmet demand is desirable. </w:t>
            </w:r>
          </w:p>
          <w:p w:rsidR="001B7317" w:rsidRPr="002F13CC" w:rsidRDefault="001B7317" w:rsidP="001B7317">
            <w:pPr>
              <w:pStyle w:val="Box"/>
            </w:pPr>
            <w:r w:rsidRPr="002F13CC">
              <w:t xml:space="preserve">Jurisdictions with </w:t>
            </w:r>
            <w:r>
              <w:t xml:space="preserve">some </w:t>
            </w:r>
            <w:r w:rsidRPr="002F13CC">
              <w:t xml:space="preserve">central intake </w:t>
            </w:r>
            <w:r>
              <w:t xml:space="preserve">models </w:t>
            </w:r>
            <w:r w:rsidRPr="002F13CC">
              <w:t>may record a low number of unassisted requests for services and a high number of clients with unmet need for services</w:t>
            </w:r>
            <w:r>
              <w:t xml:space="preserve"> (see table 18.1 and box</w:t>
            </w:r>
            <w:r w:rsidR="00B5345D">
              <w:t> </w:t>
            </w:r>
            <w:r>
              <w:t>18.3 for details)</w:t>
            </w:r>
            <w:r w:rsidRPr="002F13CC">
              <w:t>. Data for these jurisdictions may not be directly comparable to data for other jurisdictions.</w:t>
            </w:r>
          </w:p>
          <w:p w:rsidR="001B7317" w:rsidRPr="002F13CC" w:rsidRDefault="001B7317" w:rsidP="001B7317">
            <w:pPr>
              <w:pStyle w:val="Box"/>
            </w:pPr>
            <w:r w:rsidRPr="002F13CC">
              <w:t>Data reported for these measures are:</w:t>
            </w:r>
            <w:r>
              <w:t xml:space="preserve"> </w:t>
            </w:r>
          </w:p>
          <w:p w:rsidR="001B7317" w:rsidRPr="002F13CC" w:rsidRDefault="001B7317" w:rsidP="001B7317">
            <w:pPr>
              <w:pStyle w:val="BoxListBullet"/>
            </w:pPr>
            <w:r w:rsidRPr="002F13CC">
              <w:t>comparable (subject to caveats) within jurisdictions over time but are not comparable across jurisdictions</w:t>
            </w:r>
          </w:p>
          <w:p w:rsidR="001B7317" w:rsidRPr="002F13CC" w:rsidRDefault="001B7317" w:rsidP="001B7317">
            <w:pPr>
              <w:pStyle w:val="BoxListBullet"/>
            </w:pPr>
            <w:r w:rsidRPr="002F13CC">
              <w:t xml:space="preserve">complete for the current reporting period. </w:t>
            </w:r>
            <w:r>
              <w:t>All required 2014</w:t>
            </w:r>
            <w:r>
              <w:noBreakHyphen/>
              <w:t xml:space="preserve">15 </w:t>
            </w:r>
            <w:r w:rsidRPr="002F13CC">
              <w:t>data are available for all jurisdictions.</w:t>
            </w:r>
          </w:p>
          <w:p w:rsidR="001B7317" w:rsidRDefault="001B7317" w:rsidP="001B7317">
            <w:pPr>
              <w:pStyle w:val="Box"/>
            </w:pPr>
            <w:r w:rsidRPr="002F13CC">
              <w:t>Data quality information for this indicator is under development</w:t>
            </w:r>
            <w:r>
              <w:t>.</w:t>
            </w:r>
          </w:p>
        </w:tc>
      </w:tr>
      <w:tr w:rsidR="001B7317" w:rsidTr="005256BE">
        <w:trPr>
          <w:cantSplit/>
        </w:trPr>
        <w:tc>
          <w:tcPr>
            <w:tcW w:w="8771" w:type="dxa"/>
            <w:tcBorders>
              <w:top w:val="nil"/>
              <w:left w:val="nil"/>
              <w:bottom w:val="single" w:sz="6" w:space="0" w:color="78A22F"/>
              <w:right w:val="nil"/>
            </w:tcBorders>
            <w:shd w:val="clear" w:color="auto" w:fill="F2F2F2"/>
          </w:tcPr>
          <w:p w:rsidR="001B7317" w:rsidRDefault="001B7317">
            <w:pPr>
              <w:pStyle w:val="Box"/>
              <w:spacing w:before="0" w:line="120" w:lineRule="exact"/>
            </w:pPr>
          </w:p>
        </w:tc>
      </w:tr>
      <w:tr w:rsidR="001B7317" w:rsidRPr="000863A5" w:rsidTr="005256BE">
        <w:tc>
          <w:tcPr>
            <w:tcW w:w="8771" w:type="dxa"/>
            <w:tcBorders>
              <w:top w:val="single" w:sz="6" w:space="0" w:color="78A22F"/>
              <w:left w:val="nil"/>
              <w:bottom w:val="nil"/>
              <w:right w:val="nil"/>
            </w:tcBorders>
          </w:tcPr>
          <w:p w:rsidR="001B7317" w:rsidRPr="00626D32" w:rsidRDefault="001B7317" w:rsidP="005256BE">
            <w:pPr>
              <w:pStyle w:val="BoxSpaceBelow"/>
            </w:pPr>
          </w:p>
        </w:tc>
      </w:tr>
    </w:tbl>
    <w:p w:rsidR="000707E5" w:rsidRPr="00364F40" w:rsidRDefault="000707E5" w:rsidP="00F47881">
      <w:pPr>
        <w:pStyle w:val="BodyText"/>
      </w:pPr>
      <w:r w:rsidRPr="00364F40">
        <w:t>Nationally in 201</w:t>
      </w:r>
      <w:r>
        <w:t>4</w:t>
      </w:r>
      <w:r>
        <w:noBreakHyphen/>
      </w:r>
      <w:r w:rsidRPr="00364F40">
        <w:t>1</w:t>
      </w:r>
      <w:r>
        <w:t>5</w:t>
      </w:r>
      <w:r w:rsidRPr="00364F40">
        <w:t xml:space="preserve">, clients with unmet need for accommodation accounted for </w:t>
      </w:r>
      <w:r w:rsidR="00F47881">
        <w:t>25.9</w:t>
      </w:r>
      <w:r w:rsidRPr="00364F40">
        <w:t xml:space="preserve"> per cent of </w:t>
      </w:r>
      <w:r w:rsidRPr="00F47881">
        <w:t>the</w:t>
      </w:r>
      <w:r w:rsidRPr="00364F40">
        <w:t xml:space="preserve"> total demand </w:t>
      </w:r>
      <w:r w:rsidRPr="00882D21">
        <w:t>for</w:t>
      </w:r>
      <w:r w:rsidRPr="00364F40">
        <w:t xml:space="preserve"> accommodation</w:t>
      </w:r>
      <w:r>
        <w:t xml:space="preserve"> (figure 18.6), compared with 24.0</w:t>
      </w:r>
      <w:r w:rsidRPr="00364F40">
        <w:t> per cent in 201</w:t>
      </w:r>
      <w:r>
        <w:t>3</w:t>
      </w:r>
      <w:r>
        <w:noBreakHyphen/>
      </w:r>
      <w:r w:rsidRPr="00364F40">
        <w:t>1</w:t>
      </w:r>
      <w:r>
        <w:t xml:space="preserve">4 (table </w:t>
      </w:r>
      <w:proofErr w:type="spellStart"/>
      <w:r>
        <w:t>18A.10</w:t>
      </w:r>
      <w:proofErr w:type="spellEnd"/>
      <w:r w:rsidRPr="00364F40">
        <w:t>).</w:t>
      </w:r>
      <w:r>
        <w:t xml:space="preserve"> </w:t>
      </w:r>
      <w:r w:rsidR="00F47881">
        <w:t>On average in 2014</w:t>
      </w:r>
      <w:r w:rsidR="00F47881">
        <w:noBreakHyphen/>
        <w:t>15, there were 221.7 unassisted requests for accommodation services a day nationally, a decrease from 291.7 in 2013–14 (table </w:t>
      </w:r>
      <w:proofErr w:type="spellStart"/>
      <w:r w:rsidR="00F47881">
        <w:t>18A.9</w:t>
      </w:r>
      <w:proofErr w:type="spellEnd"/>
      <w:r w:rsidR="00F47881">
        <w:t>).</w:t>
      </w:r>
    </w:p>
    <w:p w:rsidR="000707E5" w:rsidRDefault="000707E5" w:rsidP="000707E5">
      <w:pPr>
        <w:pStyle w:val="BodyText"/>
      </w:pPr>
      <w:r w:rsidRPr="004F12C6">
        <w:t>Nationall</w:t>
      </w:r>
      <w:r>
        <w:t xml:space="preserve">y, </w:t>
      </w:r>
      <w:r w:rsidRPr="004F12C6">
        <w:t xml:space="preserve">clients with unmet demand for services other than accommodation accounted for </w:t>
      </w:r>
      <w:r w:rsidR="00F47881">
        <w:t>1.8 </w:t>
      </w:r>
      <w:r w:rsidRPr="004F12C6">
        <w:t>per</w:t>
      </w:r>
      <w:r w:rsidR="00F47881">
        <w:t> </w:t>
      </w:r>
      <w:r w:rsidRPr="004F12C6">
        <w:t xml:space="preserve">cent of the total demand for services other than accommodation in </w:t>
      </w:r>
      <w:r>
        <w:t>2014</w:t>
      </w:r>
      <w:r>
        <w:noBreakHyphen/>
        <w:t>15 (figure 18.6).</w:t>
      </w:r>
      <w:r w:rsidR="00F47881">
        <w:t xml:space="preserve"> On average in 2014</w:t>
      </w:r>
      <w:r w:rsidR="00F47881">
        <w:noBreakHyphen/>
        <w:t xml:space="preserve">15, there were 90.3 unassisted requests for services </w:t>
      </w:r>
      <w:r w:rsidR="00CA15CA">
        <w:t xml:space="preserve">other than accommodation </w:t>
      </w:r>
      <w:r w:rsidR="00F47881">
        <w:t xml:space="preserve">a day </w:t>
      </w:r>
      <w:r w:rsidR="00CA15CA">
        <w:t xml:space="preserve">nationally </w:t>
      </w:r>
      <w:r w:rsidR="00F47881">
        <w:t xml:space="preserve">(table </w:t>
      </w:r>
      <w:proofErr w:type="spellStart"/>
      <w:r w:rsidR="00F47881">
        <w:t>18A.9</w:t>
      </w:r>
      <w:proofErr w:type="spellEnd"/>
      <w:r w:rsidR="00F47881">
        <w:t>).</w:t>
      </w:r>
    </w:p>
    <w:p w:rsidR="007C35E2" w:rsidRDefault="007C35E2" w:rsidP="005256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35E2" w:rsidTr="005256BE">
        <w:tc>
          <w:tcPr>
            <w:tcW w:w="8771" w:type="dxa"/>
            <w:tcBorders>
              <w:top w:val="single" w:sz="6" w:space="0" w:color="78A22F"/>
              <w:left w:val="nil"/>
              <w:bottom w:val="nil"/>
              <w:right w:val="nil"/>
            </w:tcBorders>
            <w:shd w:val="clear" w:color="auto" w:fill="auto"/>
          </w:tcPr>
          <w:p w:rsidR="007C35E2" w:rsidRPr="00176D3F" w:rsidRDefault="007C35E2" w:rsidP="007C35E2">
            <w:pPr>
              <w:pStyle w:val="FigureTitle"/>
            </w:pPr>
            <w:r w:rsidRPr="00784A05">
              <w:rPr>
                <w:b w:val="0"/>
              </w:rPr>
              <w:t xml:space="preserve">Figure </w:t>
            </w:r>
            <w:r w:rsidR="007A5581">
              <w:rPr>
                <w:b w:val="0"/>
              </w:rPr>
              <w:t>18.</w:t>
            </w:r>
            <w:r w:rsidR="007A3D6D">
              <w:rPr>
                <w:b w:val="0"/>
                <w:noProof/>
              </w:rPr>
              <w:t>6</w:t>
            </w:r>
            <w:r>
              <w:tab/>
            </w:r>
            <w:r w:rsidRPr="00E1188F">
              <w:t>Proportion of clients with unmet need for accommodation and services other than accommodation, 201</w:t>
            </w:r>
            <w:r>
              <w:t>4</w:t>
            </w:r>
            <w:r>
              <w:noBreakHyphen/>
            </w:r>
            <w:r w:rsidRPr="00E1188F">
              <w:t>1</w:t>
            </w:r>
            <w:r>
              <w:t>5</w:t>
            </w:r>
            <w:r w:rsidRPr="00E1188F">
              <w:rPr>
                <w:rStyle w:val="NoteLabel"/>
                <w:b/>
              </w:rPr>
              <w:t>a,</w:t>
            </w:r>
            <w:r>
              <w:rPr>
                <w:rStyle w:val="NoteLabel"/>
                <w:b/>
              </w:rPr>
              <w:t xml:space="preserve"> b</w:t>
            </w:r>
          </w:p>
        </w:tc>
      </w:tr>
      <w:tr w:rsidR="007C35E2" w:rsidTr="005256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C35E2" w:rsidTr="005256BE">
              <w:trPr>
                <w:jc w:val="center"/>
              </w:trPr>
              <w:tc>
                <w:tcPr>
                  <w:tcW w:w="5000" w:type="pct"/>
                  <w:tcBorders>
                    <w:top w:val="nil"/>
                    <w:bottom w:val="nil"/>
                  </w:tcBorders>
                </w:tcPr>
                <w:p w:rsidR="00F71BE3" w:rsidRDefault="00A701B9" w:rsidP="00F71BE3">
                  <w:pPr>
                    <w:pStyle w:val="Figure"/>
                    <w:spacing w:before="0"/>
                    <w:jc w:val="left"/>
                  </w:pPr>
                  <w:r>
                    <w:rPr>
                      <w:noProof/>
                    </w:rPr>
                    <w:drawing>
                      <wp:inline distT="0" distB="0" distL="0" distR="0">
                        <wp:extent cx="5379085" cy="1968500"/>
                        <wp:effectExtent l="0" t="0" r="0" b="0"/>
                        <wp:docPr id="6" name="Picture 6" descr="Figure 18.6 Proportion of clients with unmet need for accommodation and services other than accommodation, 2014-15&#10;&#10;Accommodation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79085" cy="1968500"/>
                                </a:xfrm>
                                <a:prstGeom prst="rect">
                                  <a:avLst/>
                                </a:prstGeom>
                                <a:noFill/>
                                <a:ln>
                                  <a:noFill/>
                                </a:ln>
                              </pic:spPr>
                            </pic:pic>
                          </a:graphicData>
                        </a:graphic>
                      </wp:inline>
                    </w:drawing>
                  </w:r>
                </w:p>
                <w:p w:rsidR="007C35E2" w:rsidRDefault="00A701B9" w:rsidP="00606962">
                  <w:pPr>
                    <w:pStyle w:val="Figure"/>
                    <w:spacing w:after="0"/>
                  </w:pPr>
                  <w:r>
                    <w:rPr>
                      <w:noProof/>
                    </w:rPr>
                    <w:drawing>
                      <wp:inline distT="0" distB="0" distL="0" distR="0">
                        <wp:extent cx="5379085" cy="1968500"/>
                        <wp:effectExtent l="0" t="0" r="0" b="0"/>
                        <wp:docPr id="7" name="Picture 7" descr="Figure 18.6 Proportion of clients with unmet need for accommodation and services other than accommodation, 2014-15&#10;&#10;Services other than accommod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79085" cy="1968500"/>
                                </a:xfrm>
                                <a:prstGeom prst="rect">
                                  <a:avLst/>
                                </a:prstGeom>
                                <a:noFill/>
                                <a:ln>
                                  <a:noFill/>
                                </a:ln>
                              </pic:spPr>
                            </pic:pic>
                          </a:graphicData>
                        </a:graphic>
                      </wp:inline>
                    </w:drawing>
                  </w:r>
                </w:p>
              </w:tc>
            </w:tr>
          </w:tbl>
          <w:p w:rsidR="007C35E2" w:rsidRDefault="007C35E2" w:rsidP="005256BE">
            <w:pPr>
              <w:pStyle w:val="Figure"/>
            </w:pPr>
          </w:p>
        </w:tc>
      </w:tr>
      <w:tr w:rsidR="007C35E2" w:rsidRPr="00176D3F" w:rsidTr="005256BE">
        <w:tc>
          <w:tcPr>
            <w:tcW w:w="8771" w:type="dxa"/>
            <w:tcBorders>
              <w:top w:val="nil"/>
              <w:left w:val="nil"/>
              <w:bottom w:val="nil"/>
              <w:right w:val="nil"/>
            </w:tcBorders>
            <w:shd w:val="clear" w:color="auto" w:fill="auto"/>
          </w:tcPr>
          <w:p w:rsidR="007C35E2" w:rsidRPr="00096F38" w:rsidRDefault="007C35E2" w:rsidP="00F50E36">
            <w:pPr>
              <w:pStyle w:val="Note"/>
              <w:rPr>
                <w:szCs w:val="18"/>
              </w:rPr>
            </w:pPr>
            <w:r>
              <w:rPr>
                <w:rStyle w:val="NoteLabel"/>
              </w:rPr>
              <w:t>a</w:t>
            </w:r>
            <w:r>
              <w:t xml:space="preserve"> </w:t>
            </w:r>
            <w:r w:rsidRPr="006D3797">
              <w:t xml:space="preserve">See box </w:t>
            </w:r>
            <w:r w:rsidR="007A5581">
              <w:t>18.5</w:t>
            </w:r>
            <w:r w:rsidRPr="006D3797">
              <w:t xml:space="preserve"> and table </w:t>
            </w:r>
            <w:proofErr w:type="spellStart"/>
            <w:r>
              <w:t>18</w:t>
            </w:r>
            <w:r w:rsidRPr="006D3797">
              <w:t>A.</w:t>
            </w:r>
            <w:r w:rsidR="00F50E36">
              <w:t>10</w:t>
            </w:r>
            <w:proofErr w:type="spellEnd"/>
            <w:r w:rsidR="00F50E36">
              <w:t xml:space="preserve"> </w:t>
            </w:r>
            <w:r w:rsidRPr="006D3797">
              <w:t>for detailed definitions, footnotes and caveats</w:t>
            </w:r>
            <w:r>
              <w:t xml:space="preserve">. </w:t>
            </w:r>
            <w:r w:rsidRPr="00096F38">
              <w:rPr>
                <w:rStyle w:val="NoteLabel"/>
              </w:rPr>
              <w:t>b</w:t>
            </w:r>
            <w:r>
              <w:rPr>
                <w:b/>
                <w:bCs/>
                <w:szCs w:val="18"/>
              </w:rPr>
              <w:t xml:space="preserve"> </w:t>
            </w:r>
            <w:r>
              <w:rPr>
                <w:szCs w:val="18"/>
              </w:rPr>
              <w:t xml:space="preserve">Data for </w:t>
            </w:r>
            <w:r w:rsidR="00096F38">
              <w:rPr>
                <w:szCs w:val="18"/>
              </w:rPr>
              <w:t>‘</w:t>
            </w:r>
            <w:r>
              <w:rPr>
                <w:szCs w:val="18"/>
              </w:rPr>
              <w:t>services other than accommodation</w:t>
            </w:r>
            <w:r w:rsidR="00096F38">
              <w:rPr>
                <w:szCs w:val="18"/>
              </w:rPr>
              <w:t>’</w:t>
            </w:r>
            <w:r>
              <w:rPr>
                <w:szCs w:val="18"/>
              </w:rPr>
              <w:t xml:space="preserve"> for SA are nil or rounded to zero. </w:t>
            </w:r>
          </w:p>
        </w:tc>
      </w:tr>
      <w:tr w:rsidR="007C35E2" w:rsidRPr="00176D3F" w:rsidTr="005256BE">
        <w:tc>
          <w:tcPr>
            <w:tcW w:w="8771" w:type="dxa"/>
            <w:tcBorders>
              <w:top w:val="nil"/>
              <w:left w:val="nil"/>
              <w:bottom w:val="nil"/>
              <w:right w:val="nil"/>
            </w:tcBorders>
            <w:shd w:val="clear" w:color="auto" w:fill="auto"/>
          </w:tcPr>
          <w:p w:rsidR="007C35E2" w:rsidRPr="00176D3F" w:rsidRDefault="007C35E2" w:rsidP="005256BE">
            <w:pPr>
              <w:pStyle w:val="Source"/>
            </w:pPr>
            <w:r>
              <w:rPr>
                <w:i/>
              </w:rPr>
              <w:t>S</w:t>
            </w:r>
            <w:r w:rsidRPr="00784A05">
              <w:rPr>
                <w:i/>
              </w:rPr>
              <w:t>ource</w:t>
            </w:r>
            <w:r w:rsidRPr="00176D3F">
              <w:t xml:space="preserve">: </w:t>
            </w:r>
            <w:proofErr w:type="spellStart"/>
            <w:r w:rsidRPr="00421C75">
              <w:rPr>
                <w:color w:val="000000" w:themeColor="text1"/>
              </w:rPr>
              <w:t>AIHW</w:t>
            </w:r>
            <w:proofErr w:type="spellEnd"/>
            <w:r w:rsidRPr="00421C75">
              <w:rPr>
                <w:color w:val="000000" w:themeColor="text1"/>
              </w:rPr>
              <w:t xml:space="preserve"> (unpublished) </w:t>
            </w:r>
            <w:r w:rsidR="000C1770" w:rsidRPr="000C1770">
              <w:rPr>
                <w:color w:val="000000" w:themeColor="text1"/>
              </w:rPr>
              <w:t>Specialist Homelessness Services Collection</w:t>
            </w:r>
            <w:r>
              <w:rPr>
                <w:i/>
                <w:color w:val="000000" w:themeColor="text1"/>
              </w:rPr>
              <w:t>;</w:t>
            </w:r>
            <w:r w:rsidRPr="00421C75">
              <w:rPr>
                <w:color w:val="000000" w:themeColor="text1"/>
              </w:rPr>
              <w:t xml:space="preserve"> table </w:t>
            </w:r>
            <w:proofErr w:type="spellStart"/>
            <w:r w:rsidRPr="00421C75">
              <w:rPr>
                <w:color w:val="000000" w:themeColor="text1"/>
              </w:rPr>
              <w:t>18A.</w:t>
            </w:r>
            <w:r>
              <w:rPr>
                <w:color w:val="000000" w:themeColor="text1"/>
              </w:rPr>
              <w:t>10</w:t>
            </w:r>
            <w:proofErr w:type="spellEnd"/>
            <w:r w:rsidRPr="00421C75">
              <w:rPr>
                <w:color w:val="000000" w:themeColor="text1"/>
              </w:rPr>
              <w:t>.</w:t>
            </w:r>
          </w:p>
        </w:tc>
      </w:tr>
      <w:tr w:rsidR="007C35E2" w:rsidTr="005256BE">
        <w:tc>
          <w:tcPr>
            <w:tcW w:w="8771" w:type="dxa"/>
            <w:tcBorders>
              <w:top w:val="nil"/>
              <w:left w:val="nil"/>
              <w:bottom w:val="single" w:sz="6" w:space="0" w:color="78A22F"/>
              <w:right w:val="nil"/>
            </w:tcBorders>
            <w:shd w:val="clear" w:color="auto" w:fill="auto"/>
          </w:tcPr>
          <w:p w:rsidR="007C35E2" w:rsidRDefault="007C35E2" w:rsidP="005256BE">
            <w:pPr>
              <w:pStyle w:val="Figurespace"/>
            </w:pPr>
          </w:p>
        </w:tc>
      </w:tr>
      <w:tr w:rsidR="007C35E2" w:rsidRPr="000863A5" w:rsidTr="005256BE">
        <w:tc>
          <w:tcPr>
            <w:tcW w:w="8771" w:type="dxa"/>
            <w:tcBorders>
              <w:top w:val="single" w:sz="6" w:space="0" w:color="78A22F"/>
              <w:left w:val="nil"/>
              <w:bottom w:val="nil"/>
              <w:right w:val="nil"/>
            </w:tcBorders>
          </w:tcPr>
          <w:p w:rsidR="007C35E2" w:rsidRPr="00626D32" w:rsidRDefault="007C35E2" w:rsidP="005256BE">
            <w:pPr>
              <w:pStyle w:val="BoxSpaceBelow"/>
            </w:pPr>
          </w:p>
        </w:tc>
      </w:tr>
    </w:tbl>
    <w:p w:rsidR="000707E5" w:rsidRPr="007C35E2" w:rsidRDefault="000707E5" w:rsidP="007C35E2">
      <w:pPr>
        <w:pStyle w:val="Heading4"/>
      </w:pPr>
      <w:r w:rsidRPr="007C35E2">
        <w:t>Appropriateness — Development of a case management plan</w:t>
      </w:r>
    </w:p>
    <w:p w:rsidR="000707E5" w:rsidRDefault="000707E5" w:rsidP="000707E5">
      <w:pPr>
        <w:pStyle w:val="BodyText"/>
        <w:spacing w:after="240"/>
      </w:pPr>
      <w:r>
        <w:t>‘</w:t>
      </w:r>
      <w:r w:rsidRPr="004F17C9">
        <w:t xml:space="preserve">Development of </w:t>
      </w:r>
      <w:r>
        <w:t xml:space="preserve">a case management </w:t>
      </w:r>
      <w:r w:rsidRPr="004F17C9">
        <w:t>plan’ is an indicator of governments’ objective to provide high quality services that are appropriately targeted to the needs of clients</w:t>
      </w:r>
      <w:r>
        <w:t xml:space="preserve"> (box </w:t>
      </w:r>
      <w:r w:rsidR="007A5581">
        <w:t>18.6</w:t>
      </w:r>
      <w:r>
        <w:t>).</w:t>
      </w:r>
    </w:p>
    <w:p w:rsidR="00096F38" w:rsidRDefault="00096F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6F38" w:rsidTr="005256BE">
        <w:tc>
          <w:tcPr>
            <w:tcW w:w="8771" w:type="dxa"/>
            <w:tcBorders>
              <w:top w:val="single" w:sz="6" w:space="0" w:color="78A22F"/>
              <w:left w:val="nil"/>
              <w:bottom w:val="nil"/>
              <w:right w:val="nil"/>
            </w:tcBorders>
            <w:shd w:val="clear" w:color="auto" w:fill="F2F2F2"/>
          </w:tcPr>
          <w:p w:rsidR="00096F38" w:rsidRDefault="00096F38" w:rsidP="00096F38">
            <w:pPr>
              <w:pStyle w:val="BoxTitle"/>
            </w:pPr>
            <w:r>
              <w:rPr>
                <w:b w:val="0"/>
              </w:rPr>
              <w:t xml:space="preserve">Box </w:t>
            </w:r>
            <w:bookmarkStart w:id="20" w:name="OLE_LINK5"/>
            <w:r w:rsidR="007A5581">
              <w:rPr>
                <w:b w:val="0"/>
              </w:rPr>
              <w:t>18.</w:t>
            </w:r>
            <w:r w:rsidR="007A3D6D">
              <w:rPr>
                <w:b w:val="0"/>
                <w:noProof/>
              </w:rPr>
              <w:t>6</w:t>
            </w:r>
            <w:bookmarkEnd w:id="20"/>
            <w:r>
              <w:tab/>
            </w:r>
            <w:r w:rsidRPr="00E1188F">
              <w:t>Development of a case management plan</w:t>
            </w:r>
          </w:p>
        </w:tc>
      </w:tr>
      <w:tr w:rsidR="00096F38" w:rsidTr="005256BE">
        <w:trPr>
          <w:cantSplit/>
        </w:trPr>
        <w:tc>
          <w:tcPr>
            <w:tcW w:w="8771" w:type="dxa"/>
            <w:tcBorders>
              <w:top w:val="nil"/>
              <w:left w:val="nil"/>
              <w:bottom w:val="nil"/>
              <w:right w:val="nil"/>
            </w:tcBorders>
            <w:shd w:val="clear" w:color="auto" w:fill="F2F2F2"/>
          </w:tcPr>
          <w:p w:rsidR="00096F38" w:rsidRPr="00E1188F" w:rsidRDefault="00096F38" w:rsidP="00096F38">
            <w:pPr>
              <w:pStyle w:val="Box"/>
              <w:rPr>
                <w:bCs/>
              </w:rPr>
            </w:pPr>
            <w:r w:rsidRPr="00E1188F">
              <w:rPr>
                <w:bCs/>
              </w:rPr>
              <w:t xml:space="preserve">‘Development of a case management plan’ is defined as the number of closed support periods </w:t>
            </w:r>
            <w:r>
              <w:rPr>
                <w:bCs/>
              </w:rPr>
              <w:t xml:space="preserve">with an </w:t>
            </w:r>
            <w:r w:rsidRPr="00E1188F">
              <w:rPr>
                <w:bCs/>
              </w:rPr>
              <w:t>agreed case management plan divided by the total number of c</w:t>
            </w:r>
            <w:r>
              <w:rPr>
                <w:bCs/>
              </w:rPr>
              <w:t xml:space="preserve">losed support periods. </w:t>
            </w:r>
            <w:r w:rsidRPr="00E1188F">
              <w:rPr>
                <w:bCs/>
              </w:rPr>
              <w:t>Data are reported for all clients, and separately for Aboriginal and Torres Strait Islander clients.</w:t>
            </w:r>
          </w:p>
          <w:p w:rsidR="00096F38" w:rsidRPr="00132847" w:rsidRDefault="00096F38" w:rsidP="00096F38">
            <w:pPr>
              <w:pStyle w:val="Box"/>
            </w:pPr>
            <w:r w:rsidRPr="00132847">
              <w:t>A high or increasing proportion of support periods where clients have an agreed case management plan is desirable. However, in some instances, a support plan may be judged to be inappropriate (such as when a support period is short term, for example 24 hours, or in the case of jurisdictions with central intake agencies</w:t>
            </w:r>
            <w:r>
              <w:t xml:space="preserve"> [see table 18.1 and box 18.3 for details]</w:t>
            </w:r>
            <w:r w:rsidRPr="00132847">
              <w:t>)</w:t>
            </w:r>
            <w:r>
              <w:t xml:space="preserve">. In </w:t>
            </w:r>
            <w:r w:rsidRPr="00132847">
              <w:t>S</w:t>
            </w:r>
            <w:r>
              <w:t xml:space="preserve">A, </w:t>
            </w:r>
            <w:r w:rsidRPr="00132847">
              <w:t xml:space="preserve">the integrated sector approach </w:t>
            </w:r>
            <w:r>
              <w:t xml:space="preserve">to service delivery </w:t>
            </w:r>
            <w:r w:rsidRPr="00132847">
              <w:t xml:space="preserve">often sees multiple agencies reporting individual support periods in relation to common clients under coordinated case management, but only the one reported by the agency who leads the case </w:t>
            </w:r>
            <w:r>
              <w:t xml:space="preserve">management </w:t>
            </w:r>
            <w:r w:rsidRPr="00132847">
              <w:t xml:space="preserve">can be recorded </w:t>
            </w:r>
            <w:r>
              <w:t xml:space="preserve">as </w:t>
            </w:r>
            <w:r w:rsidRPr="00132847">
              <w:t xml:space="preserve">having a case </w:t>
            </w:r>
            <w:r>
              <w:t xml:space="preserve">management </w:t>
            </w:r>
            <w:r w:rsidRPr="00132847">
              <w:t>plan.</w:t>
            </w:r>
          </w:p>
          <w:p w:rsidR="00096F38" w:rsidRPr="00E1188F" w:rsidRDefault="00096F38" w:rsidP="00096F38">
            <w:pPr>
              <w:pStyle w:val="Box"/>
            </w:pPr>
            <w:r w:rsidRPr="00E1188F">
              <w:t>Data reported for this indicator are:</w:t>
            </w:r>
          </w:p>
          <w:p w:rsidR="00096F38" w:rsidRPr="00E1188F" w:rsidRDefault="00096F38" w:rsidP="00096F38">
            <w:pPr>
              <w:pStyle w:val="BoxListBullet"/>
            </w:pPr>
            <w:r w:rsidRPr="00E1188F">
              <w:t>comparable (subject to caveats) across jurisdictions and over time</w:t>
            </w:r>
          </w:p>
          <w:p w:rsidR="00096F38" w:rsidRPr="00E1188F" w:rsidRDefault="00096F38" w:rsidP="00096F38">
            <w:pPr>
              <w:pStyle w:val="BoxListBullet"/>
              <w:rPr>
                <w:bCs/>
              </w:rPr>
            </w:pPr>
            <w:r w:rsidRPr="00E1188F">
              <w:t xml:space="preserve">complete for the current </w:t>
            </w:r>
            <w:r>
              <w:t>reporting period. All required 2014</w:t>
            </w:r>
            <w:r>
              <w:noBreakHyphen/>
              <w:t xml:space="preserve">15 </w:t>
            </w:r>
            <w:r w:rsidRPr="00E1188F">
              <w:t>data are available for all jurisdictions.</w:t>
            </w:r>
          </w:p>
          <w:p w:rsidR="00096F38" w:rsidRDefault="00096F38" w:rsidP="00096F38">
            <w:pPr>
              <w:pStyle w:val="Box"/>
            </w:pPr>
            <w:r w:rsidRPr="00E1188F">
              <w:t>Data quality information for this indicator is under development.</w:t>
            </w:r>
          </w:p>
        </w:tc>
      </w:tr>
      <w:tr w:rsidR="00096F38" w:rsidTr="005256BE">
        <w:trPr>
          <w:cantSplit/>
        </w:trPr>
        <w:tc>
          <w:tcPr>
            <w:tcW w:w="8771" w:type="dxa"/>
            <w:tcBorders>
              <w:top w:val="nil"/>
              <w:left w:val="nil"/>
              <w:bottom w:val="single" w:sz="6" w:space="0" w:color="78A22F"/>
              <w:right w:val="nil"/>
            </w:tcBorders>
            <w:shd w:val="clear" w:color="auto" w:fill="F2F2F2"/>
          </w:tcPr>
          <w:p w:rsidR="00096F38" w:rsidRDefault="00096F38">
            <w:pPr>
              <w:pStyle w:val="Box"/>
              <w:spacing w:before="0" w:line="120" w:lineRule="exact"/>
            </w:pPr>
          </w:p>
        </w:tc>
      </w:tr>
      <w:tr w:rsidR="00096F38" w:rsidRPr="000863A5" w:rsidTr="005256BE">
        <w:tc>
          <w:tcPr>
            <w:tcW w:w="8771" w:type="dxa"/>
            <w:tcBorders>
              <w:top w:val="single" w:sz="6" w:space="0" w:color="78A22F"/>
              <w:left w:val="nil"/>
              <w:bottom w:val="nil"/>
              <w:right w:val="nil"/>
            </w:tcBorders>
          </w:tcPr>
          <w:p w:rsidR="00096F38" w:rsidRPr="00626D32" w:rsidRDefault="00096F38" w:rsidP="005256BE">
            <w:pPr>
              <w:pStyle w:val="BoxSpaceBelow"/>
            </w:pPr>
          </w:p>
        </w:tc>
      </w:tr>
    </w:tbl>
    <w:p w:rsidR="00096F38" w:rsidRDefault="000707E5" w:rsidP="000707E5">
      <w:pPr>
        <w:pStyle w:val="BodyText"/>
      </w:pPr>
      <w:r w:rsidRPr="004F17C9">
        <w:t>Nationally</w:t>
      </w:r>
      <w:r>
        <w:t xml:space="preserve"> in 2014-15</w:t>
      </w:r>
      <w:r w:rsidRPr="004F17C9">
        <w:t xml:space="preserve">, there was an agreed </w:t>
      </w:r>
      <w:r>
        <w:t xml:space="preserve">case management plan </w:t>
      </w:r>
      <w:r w:rsidRPr="004F17C9">
        <w:t xml:space="preserve">for </w:t>
      </w:r>
      <w:r>
        <w:t xml:space="preserve">clients in </w:t>
      </w:r>
      <w:r w:rsidRPr="00570CF4">
        <w:t>4</w:t>
      </w:r>
      <w:r w:rsidR="00D24885" w:rsidRPr="00570CF4">
        <w:t>9.3</w:t>
      </w:r>
      <w:r w:rsidRPr="00570CF4">
        <w:t> per cent</w:t>
      </w:r>
      <w:r w:rsidRPr="004F17C9">
        <w:t xml:space="preserve"> of </w:t>
      </w:r>
      <w:r>
        <w:t xml:space="preserve">closed support </w:t>
      </w:r>
      <w:r w:rsidRPr="009B2E8B">
        <w:rPr>
          <w:bCs/>
        </w:rPr>
        <w:t xml:space="preserve">periods </w:t>
      </w:r>
      <w:r w:rsidRPr="004F17C9">
        <w:t xml:space="preserve">(compared </w:t>
      </w:r>
      <w:r>
        <w:t xml:space="preserve">with </w:t>
      </w:r>
      <w:r w:rsidR="00D24885" w:rsidRPr="00570CF4">
        <w:t>58.9</w:t>
      </w:r>
      <w:r w:rsidRPr="00570CF4">
        <w:rPr>
          <w:color w:val="000000" w:themeColor="text1"/>
        </w:rPr>
        <w:t> per cent</w:t>
      </w:r>
      <w:r w:rsidRPr="00536A6E">
        <w:rPr>
          <w:color w:val="000000" w:themeColor="text1"/>
        </w:rPr>
        <w:t xml:space="preserve"> </w:t>
      </w:r>
      <w:r>
        <w:rPr>
          <w:color w:val="000000" w:themeColor="text1"/>
        </w:rPr>
        <w:t xml:space="preserve">of closed support periods </w:t>
      </w:r>
      <w:r w:rsidRPr="004F17C9">
        <w:t xml:space="preserve">for </w:t>
      </w:r>
      <w:r>
        <w:t>Aboriginal and Torres Strait Islander</w:t>
      </w:r>
      <w:r w:rsidRPr="004F17C9">
        <w:t xml:space="preserve"> clients). These proportions varied across jurisdictions (figure </w:t>
      </w:r>
      <w:r>
        <w:t xml:space="preserve">18.7 and tables </w:t>
      </w:r>
      <w:proofErr w:type="spellStart"/>
      <w:r>
        <w:t>18A.11</w:t>
      </w:r>
      <w:proofErr w:type="spellEnd"/>
      <w:r w:rsidR="002F285D">
        <w:t>-12</w:t>
      </w:r>
      <w:r>
        <w:t>).</w:t>
      </w:r>
    </w:p>
    <w:p w:rsidR="001937C6" w:rsidRDefault="001937C6" w:rsidP="004736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37C6" w:rsidTr="004736EC">
        <w:tc>
          <w:tcPr>
            <w:tcW w:w="8771" w:type="dxa"/>
            <w:tcBorders>
              <w:top w:val="single" w:sz="6" w:space="0" w:color="78A22F"/>
              <w:left w:val="nil"/>
              <w:bottom w:val="nil"/>
              <w:right w:val="nil"/>
            </w:tcBorders>
            <w:shd w:val="clear" w:color="auto" w:fill="auto"/>
          </w:tcPr>
          <w:p w:rsidR="001937C6" w:rsidRPr="00176D3F" w:rsidRDefault="001937C6" w:rsidP="004E7D43">
            <w:pPr>
              <w:pStyle w:val="FigureTitle"/>
            </w:pPr>
            <w:r w:rsidRPr="00784A05">
              <w:rPr>
                <w:b w:val="0"/>
              </w:rPr>
              <w:t xml:space="preserve">Figure </w:t>
            </w:r>
            <w:r w:rsidR="007A5581">
              <w:rPr>
                <w:b w:val="0"/>
              </w:rPr>
              <w:t>18.</w:t>
            </w:r>
            <w:r w:rsidR="007A3D6D">
              <w:rPr>
                <w:b w:val="0"/>
                <w:noProof/>
              </w:rPr>
              <w:t>7</w:t>
            </w:r>
            <w:r>
              <w:tab/>
              <w:t xml:space="preserve">Proportion of closed support periods with an agreed case management plan, </w:t>
            </w:r>
            <w:r w:rsidRPr="00C669A0">
              <w:t>all clients</w:t>
            </w:r>
            <w:r w:rsidRPr="00C669A0">
              <w:rPr>
                <w:rStyle w:val="NoteLabel"/>
                <w:b/>
              </w:rPr>
              <w:t>a</w:t>
            </w:r>
          </w:p>
        </w:tc>
      </w:tr>
      <w:tr w:rsidR="001937C6" w:rsidTr="004736EC">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1937C6" w:rsidTr="000C1770">
              <w:trPr>
                <w:jc w:val="center"/>
              </w:trPr>
              <w:tc>
                <w:tcPr>
                  <w:tcW w:w="5000" w:type="pct"/>
                  <w:tcBorders>
                    <w:top w:val="nil"/>
                    <w:bottom w:val="nil"/>
                  </w:tcBorders>
                </w:tcPr>
                <w:p w:rsidR="001937C6" w:rsidRDefault="00A701B9" w:rsidP="004736EC">
                  <w:pPr>
                    <w:pStyle w:val="Figure"/>
                    <w:spacing w:before="60" w:after="60"/>
                  </w:pPr>
                  <w:r>
                    <w:rPr>
                      <w:noProof/>
                    </w:rPr>
                    <w:drawing>
                      <wp:inline distT="0" distB="0" distL="0" distR="0">
                        <wp:extent cx="5400040" cy="2689225"/>
                        <wp:effectExtent l="0" t="0" r="0" b="0"/>
                        <wp:docPr id="8" name="Picture 8" descr="Figure 18.7 Proportion of closed support periods with an agreed case management plan, all clie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2689225"/>
                                </a:xfrm>
                                <a:prstGeom prst="rect">
                                  <a:avLst/>
                                </a:prstGeom>
                                <a:noFill/>
                                <a:ln>
                                  <a:noFill/>
                                </a:ln>
                              </pic:spPr>
                            </pic:pic>
                          </a:graphicData>
                        </a:graphic>
                      </wp:inline>
                    </w:drawing>
                  </w:r>
                </w:p>
              </w:tc>
            </w:tr>
          </w:tbl>
          <w:p w:rsidR="001937C6" w:rsidRDefault="001937C6" w:rsidP="004736EC">
            <w:pPr>
              <w:pStyle w:val="Figure"/>
            </w:pPr>
          </w:p>
        </w:tc>
      </w:tr>
      <w:tr w:rsidR="001937C6" w:rsidRPr="00176D3F" w:rsidTr="004736EC">
        <w:tc>
          <w:tcPr>
            <w:tcW w:w="8771" w:type="dxa"/>
            <w:tcBorders>
              <w:top w:val="nil"/>
              <w:left w:val="nil"/>
              <w:bottom w:val="nil"/>
              <w:right w:val="nil"/>
            </w:tcBorders>
            <w:shd w:val="clear" w:color="auto" w:fill="auto"/>
          </w:tcPr>
          <w:p w:rsidR="001937C6" w:rsidRPr="00176D3F" w:rsidRDefault="001937C6" w:rsidP="004736EC">
            <w:pPr>
              <w:pStyle w:val="Note"/>
            </w:pPr>
            <w:r>
              <w:rPr>
                <w:rStyle w:val="NoteLabel"/>
              </w:rPr>
              <w:t>a</w:t>
            </w:r>
            <w:r>
              <w:t xml:space="preserve"> </w:t>
            </w:r>
            <w:r w:rsidRPr="006D3797">
              <w:t xml:space="preserve">See box </w:t>
            </w:r>
            <w:r w:rsidR="007A5581">
              <w:t>18.6</w:t>
            </w:r>
            <w:r w:rsidRPr="006D3797">
              <w:t xml:space="preserve"> and table </w:t>
            </w:r>
            <w:proofErr w:type="spellStart"/>
            <w:r>
              <w:t>18</w:t>
            </w:r>
            <w:r w:rsidRPr="006D3797">
              <w:t>A.</w:t>
            </w:r>
            <w:r>
              <w:t>11</w:t>
            </w:r>
            <w:proofErr w:type="spellEnd"/>
            <w:r w:rsidRPr="006D3797">
              <w:t xml:space="preserve"> for detailed definitions, footnotes and caveats</w:t>
            </w:r>
            <w:r>
              <w:t>.</w:t>
            </w:r>
          </w:p>
        </w:tc>
      </w:tr>
      <w:tr w:rsidR="001937C6" w:rsidRPr="00176D3F" w:rsidTr="004736EC">
        <w:tc>
          <w:tcPr>
            <w:tcW w:w="8771" w:type="dxa"/>
            <w:tcBorders>
              <w:top w:val="nil"/>
              <w:left w:val="nil"/>
              <w:bottom w:val="nil"/>
              <w:right w:val="nil"/>
            </w:tcBorders>
            <w:shd w:val="clear" w:color="auto" w:fill="auto"/>
          </w:tcPr>
          <w:p w:rsidR="001937C6" w:rsidRPr="00176D3F" w:rsidRDefault="001937C6" w:rsidP="004736EC">
            <w:pPr>
              <w:pStyle w:val="Source"/>
            </w:pPr>
            <w:r>
              <w:rPr>
                <w:i/>
              </w:rPr>
              <w:t>Source</w:t>
            </w:r>
            <w:r w:rsidRPr="007D1EA0">
              <w:t>:</w:t>
            </w:r>
            <w:r>
              <w:rPr>
                <w:i/>
              </w:rPr>
              <w:t xml:space="preserve"> </w:t>
            </w:r>
            <w:proofErr w:type="spellStart"/>
            <w:r>
              <w:t>AIHW</w:t>
            </w:r>
            <w:proofErr w:type="spellEnd"/>
            <w:r>
              <w:t xml:space="preserve"> (unpublished) </w:t>
            </w:r>
            <w:r w:rsidR="000C1770" w:rsidRPr="000C1770">
              <w:t>Specialist Homelessness Services Collection</w:t>
            </w:r>
            <w:r>
              <w:rPr>
                <w:i/>
              </w:rPr>
              <w:t xml:space="preserve">; </w:t>
            </w:r>
            <w:r>
              <w:t xml:space="preserve">table </w:t>
            </w:r>
            <w:proofErr w:type="spellStart"/>
            <w:r>
              <w:t>18A.11</w:t>
            </w:r>
            <w:proofErr w:type="spellEnd"/>
            <w:r>
              <w:t>.</w:t>
            </w:r>
          </w:p>
        </w:tc>
      </w:tr>
      <w:tr w:rsidR="001937C6" w:rsidTr="004736EC">
        <w:tc>
          <w:tcPr>
            <w:tcW w:w="8771" w:type="dxa"/>
            <w:tcBorders>
              <w:top w:val="nil"/>
              <w:left w:val="nil"/>
              <w:bottom w:val="single" w:sz="6" w:space="0" w:color="78A22F"/>
              <w:right w:val="nil"/>
            </w:tcBorders>
            <w:shd w:val="clear" w:color="auto" w:fill="auto"/>
          </w:tcPr>
          <w:p w:rsidR="001937C6" w:rsidRDefault="001937C6" w:rsidP="00DD146D">
            <w:pPr>
              <w:pStyle w:val="Figurespace"/>
              <w:keepNext w:val="0"/>
            </w:pPr>
          </w:p>
        </w:tc>
      </w:tr>
    </w:tbl>
    <w:p w:rsidR="000707E5" w:rsidRPr="008A1E70" w:rsidRDefault="000707E5" w:rsidP="004A5C36">
      <w:pPr>
        <w:pStyle w:val="Heading4"/>
      </w:pPr>
      <w:r>
        <w:lastRenderedPageBreak/>
        <w:t xml:space="preserve">Appropriateness — </w:t>
      </w:r>
      <w:r w:rsidRPr="008A1E70">
        <w:t xml:space="preserve">Match of needs of clients </w:t>
      </w:r>
    </w:p>
    <w:p w:rsidR="000707E5" w:rsidRDefault="000707E5" w:rsidP="000707E5">
      <w:pPr>
        <w:pStyle w:val="BodyText"/>
        <w:spacing w:after="240"/>
      </w:pPr>
      <w:r w:rsidRPr="004F17C9">
        <w:t>‘Match of needs of clients’ is an indicator of governments’ objective to ensure that services meet client</w:t>
      </w:r>
      <w:r>
        <w:t xml:space="preserve">s’ </w:t>
      </w:r>
      <w:r w:rsidRPr="004F17C9">
        <w:t>individual needs (box</w:t>
      </w:r>
      <w:r>
        <w:t xml:space="preserve"> </w:t>
      </w:r>
      <w:r w:rsidR="007A5581">
        <w:t>18.7</w:t>
      </w:r>
      <w:r>
        <w:t>).</w:t>
      </w:r>
    </w:p>
    <w:p w:rsidR="004A5C36" w:rsidRDefault="004A5C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A5C36" w:rsidTr="005256BE">
        <w:tc>
          <w:tcPr>
            <w:tcW w:w="8771" w:type="dxa"/>
            <w:tcBorders>
              <w:top w:val="single" w:sz="6" w:space="0" w:color="78A22F"/>
              <w:left w:val="nil"/>
              <w:bottom w:val="nil"/>
              <w:right w:val="nil"/>
            </w:tcBorders>
            <w:shd w:val="clear" w:color="auto" w:fill="F2F2F2"/>
          </w:tcPr>
          <w:p w:rsidR="004A5C36" w:rsidRDefault="004A5C36" w:rsidP="00B758BC">
            <w:pPr>
              <w:pStyle w:val="BoxTitle"/>
            </w:pPr>
            <w:r>
              <w:rPr>
                <w:b w:val="0"/>
              </w:rPr>
              <w:t xml:space="preserve">Box </w:t>
            </w:r>
            <w:bookmarkStart w:id="21" w:name="OLE_LINK6"/>
            <w:r w:rsidR="007A5581">
              <w:rPr>
                <w:b w:val="0"/>
              </w:rPr>
              <w:t>18.</w:t>
            </w:r>
            <w:r w:rsidR="007A3D6D">
              <w:rPr>
                <w:b w:val="0"/>
                <w:noProof/>
              </w:rPr>
              <w:t>7</w:t>
            </w:r>
            <w:bookmarkEnd w:id="21"/>
            <w:r>
              <w:tab/>
            </w:r>
            <w:r w:rsidR="00B758BC" w:rsidRPr="008A1E70">
              <w:t>Match of needs of clients</w:t>
            </w:r>
          </w:p>
        </w:tc>
      </w:tr>
      <w:tr w:rsidR="004A5C36" w:rsidTr="005256BE">
        <w:trPr>
          <w:cantSplit/>
        </w:trPr>
        <w:tc>
          <w:tcPr>
            <w:tcW w:w="8771" w:type="dxa"/>
            <w:tcBorders>
              <w:top w:val="nil"/>
              <w:left w:val="nil"/>
              <w:bottom w:val="nil"/>
              <w:right w:val="nil"/>
            </w:tcBorders>
            <w:shd w:val="clear" w:color="auto" w:fill="F2F2F2"/>
          </w:tcPr>
          <w:p w:rsidR="00B750C9" w:rsidRPr="00B750C9" w:rsidRDefault="00B750C9" w:rsidP="00B750C9">
            <w:pPr>
              <w:pStyle w:val="Box"/>
              <w:rPr>
                <w:bCs/>
              </w:rPr>
            </w:pPr>
            <w:r w:rsidRPr="00B750C9">
              <w:rPr>
                <w:u w:val="single"/>
              </w:rPr>
              <w:t>Clients who needed homelessness services</w:t>
            </w:r>
          </w:p>
          <w:p w:rsidR="005256BE" w:rsidRPr="005256BE" w:rsidRDefault="00B750C9" w:rsidP="00B750C9">
            <w:pPr>
              <w:pStyle w:val="Box"/>
              <w:rPr>
                <w:szCs w:val="24"/>
              </w:rPr>
            </w:pPr>
            <w:r>
              <w:t>F</w:t>
            </w:r>
            <w:r w:rsidR="00ED5151">
              <w:t>or all clients with closed support periods who needed homelessness services</w:t>
            </w:r>
            <w:r w:rsidR="005256BE">
              <w:t xml:space="preserve">, </w:t>
            </w:r>
            <w:r w:rsidRPr="008A1E70">
              <w:rPr>
                <w:bCs/>
              </w:rPr>
              <w:t>match of needs of clients’ is defined by</w:t>
            </w:r>
            <w:r>
              <w:rPr>
                <w:bCs/>
              </w:rPr>
              <w:t xml:space="preserve"> </w:t>
            </w:r>
            <w:r w:rsidR="00ED5151">
              <w:t xml:space="preserve">the proportion of clients who </w:t>
            </w:r>
            <w:r w:rsidR="005256BE">
              <w:t>were:</w:t>
            </w:r>
          </w:p>
          <w:p w:rsidR="00ED5151" w:rsidRPr="00ED5151" w:rsidRDefault="00ED5151" w:rsidP="00B750C9">
            <w:pPr>
              <w:pStyle w:val="BoxListBullet"/>
              <w:rPr>
                <w:szCs w:val="24"/>
              </w:rPr>
            </w:pPr>
            <w:r w:rsidRPr="008A1E70">
              <w:t xml:space="preserve">provided with at least one </w:t>
            </w:r>
            <w:r>
              <w:t xml:space="preserve">homelessness </w:t>
            </w:r>
            <w:r w:rsidRPr="008A1E70">
              <w:t>service by the agency visited</w:t>
            </w:r>
            <w:r>
              <w:t xml:space="preserve"> (</w:t>
            </w:r>
            <w:r w:rsidRPr="008A1E70">
              <w:t>and not referred</w:t>
            </w:r>
            <w:r>
              <w:t>)</w:t>
            </w:r>
            <w:r w:rsidRPr="008A1E70">
              <w:t xml:space="preserve"> in at least one support period during the reference year </w:t>
            </w:r>
          </w:p>
          <w:p w:rsidR="005256BE" w:rsidRPr="00ED5151" w:rsidRDefault="005256BE" w:rsidP="00B750C9">
            <w:pPr>
              <w:pStyle w:val="BoxListBullet"/>
              <w:rPr>
                <w:szCs w:val="24"/>
              </w:rPr>
            </w:pPr>
            <w:r>
              <w:t>provided with at least one homelessness service by the agency visited AND referred to another agency</w:t>
            </w:r>
          </w:p>
          <w:p w:rsidR="00ED5151" w:rsidRPr="00ED5151" w:rsidRDefault="00ED5151" w:rsidP="00B750C9">
            <w:pPr>
              <w:pStyle w:val="BoxListBullet"/>
              <w:rPr>
                <w:szCs w:val="24"/>
              </w:rPr>
            </w:pPr>
            <w:r>
              <w:t>referred to another agency</w:t>
            </w:r>
          </w:p>
          <w:p w:rsidR="00ED5151" w:rsidRPr="008A1E70" w:rsidRDefault="00ED5151" w:rsidP="00B750C9">
            <w:pPr>
              <w:pStyle w:val="BoxListBullet"/>
              <w:rPr>
                <w:szCs w:val="24"/>
              </w:rPr>
            </w:pPr>
            <w:r>
              <w:t>the proportion of clients who were not provided with homelessness services NOR were referred to another agency</w:t>
            </w:r>
            <w:r w:rsidR="00B750C9">
              <w:t>.</w:t>
            </w:r>
          </w:p>
          <w:p w:rsidR="00B750C9" w:rsidRPr="008A1E70" w:rsidRDefault="00B750C9" w:rsidP="00B750C9">
            <w:pPr>
              <w:pStyle w:val="Box"/>
              <w:rPr>
                <w:bCs/>
              </w:rPr>
            </w:pPr>
            <w:r w:rsidRPr="008A1E70">
              <w:rPr>
                <w:bCs/>
              </w:rPr>
              <w:t>The range of services needed by clients is broad (ranging from meals to laundry facilities to long term accommodation), so the effect of not providing these services varies.</w:t>
            </w:r>
          </w:p>
          <w:p w:rsidR="00B750C9" w:rsidRPr="00B750C9" w:rsidRDefault="00B750C9" w:rsidP="00B750C9">
            <w:pPr>
              <w:pStyle w:val="Box"/>
              <w:rPr>
                <w:bCs/>
              </w:rPr>
            </w:pPr>
            <w:r>
              <w:rPr>
                <w:u w:val="single"/>
              </w:rPr>
              <w:t>Y</w:t>
            </w:r>
            <w:r w:rsidRPr="00B750C9">
              <w:rPr>
                <w:u w:val="single"/>
              </w:rPr>
              <w:t>oung clients who needed education and/or training assistance</w:t>
            </w:r>
          </w:p>
          <w:p w:rsidR="00ED5151" w:rsidRDefault="00B750C9" w:rsidP="00B750C9">
            <w:pPr>
              <w:pStyle w:val="Box"/>
            </w:pPr>
            <w:r>
              <w:t xml:space="preserve">For </w:t>
            </w:r>
            <w:r w:rsidR="00ED5151">
              <w:t>young clients (aged 12–18 years) with closed support periods who needed education and/or training assistance</w:t>
            </w:r>
            <w:r>
              <w:t xml:space="preserve">, </w:t>
            </w:r>
            <w:r w:rsidRPr="008A1E70">
              <w:rPr>
                <w:bCs/>
              </w:rPr>
              <w:t>match of needs of clients’ is defined by</w:t>
            </w:r>
            <w:r>
              <w:rPr>
                <w:bCs/>
              </w:rPr>
              <w:t xml:space="preserve"> </w:t>
            </w:r>
            <w:r>
              <w:t>the proportion of clients who were:</w:t>
            </w:r>
          </w:p>
          <w:p w:rsidR="00ED5151" w:rsidRPr="008A1E70" w:rsidRDefault="00ED5151" w:rsidP="00B750C9">
            <w:pPr>
              <w:pStyle w:val="BoxListBullet"/>
              <w:rPr>
                <w:szCs w:val="24"/>
              </w:rPr>
            </w:pPr>
            <w:r>
              <w:t xml:space="preserve">enrolled in </w:t>
            </w:r>
            <w:r w:rsidRPr="008A1E70">
              <w:t>formal study or training at the end of support.</w:t>
            </w:r>
          </w:p>
          <w:p w:rsidR="00ED5151" w:rsidRPr="008A1E70" w:rsidRDefault="00ED5151" w:rsidP="00ED5151">
            <w:pPr>
              <w:pStyle w:val="Box"/>
              <w:rPr>
                <w:bCs/>
              </w:rPr>
            </w:pPr>
            <w:r w:rsidRPr="008A1E70">
              <w:rPr>
                <w:bCs/>
              </w:rPr>
              <w:t>Holding other factors constant, a high or increasing proportion of clients who received services they needed, or who were referred to another agency, is desirable.</w:t>
            </w:r>
          </w:p>
          <w:p w:rsidR="00ED5151" w:rsidRPr="008A1E70" w:rsidRDefault="00ED5151" w:rsidP="00ED5151">
            <w:pPr>
              <w:pStyle w:val="Box"/>
              <w:rPr>
                <w:bCs/>
              </w:rPr>
            </w:pPr>
            <w:r w:rsidRPr="008A1E70">
              <w:rPr>
                <w:bCs/>
              </w:rPr>
              <w:t xml:space="preserve">Jurisdictions with </w:t>
            </w:r>
            <w:r>
              <w:rPr>
                <w:bCs/>
              </w:rPr>
              <w:t xml:space="preserve">some </w:t>
            </w:r>
            <w:r w:rsidRPr="008A1E70">
              <w:rPr>
                <w:bCs/>
              </w:rPr>
              <w:t xml:space="preserve">central intake </w:t>
            </w:r>
            <w:r>
              <w:rPr>
                <w:bCs/>
              </w:rPr>
              <w:t xml:space="preserve">models </w:t>
            </w:r>
            <w:r w:rsidRPr="008A1E70">
              <w:rPr>
                <w:bCs/>
              </w:rPr>
              <w:t xml:space="preserve">may record a relatively high number of clients with unmet need for services because all eligible clients receive an assessment but the provision or referral of service is determined by their level of need relative to other clients. </w:t>
            </w:r>
            <w:r>
              <w:rPr>
                <w:bCs/>
              </w:rPr>
              <w:t>See table 18.1 and box 18.3 for further details.</w:t>
            </w:r>
          </w:p>
          <w:p w:rsidR="00ED5151" w:rsidRPr="008A1E70" w:rsidRDefault="00ED5151" w:rsidP="00ED5151">
            <w:pPr>
              <w:pStyle w:val="Box"/>
            </w:pPr>
            <w:r w:rsidRPr="008A1E70">
              <w:t>Data reported for these</w:t>
            </w:r>
            <w:r w:rsidR="000D18AC">
              <w:t xml:space="preserve"> two</w:t>
            </w:r>
            <w:r w:rsidRPr="008A1E70">
              <w:t xml:space="preserve"> measures are:</w:t>
            </w:r>
          </w:p>
          <w:p w:rsidR="00ED5151" w:rsidRPr="008A1E70" w:rsidRDefault="00ED5151" w:rsidP="00ED5151">
            <w:pPr>
              <w:pStyle w:val="BoxListBullet"/>
            </w:pPr>
            <w:r w:rsidRPr="008A1E70">
              <w:t>comparable (subject to caveats) within jurisdictions over time but are not comparable across jurisdictions</w:t>
            </w:r>
          </w:p>
          <w:p w:rsidR="00ED5151" w:rsidRPr="008A1E70" w:rsidRDefault="00ED5151" w:rsidP="00ED5151">
            <w:pPr>
              <w:pStyle w:val="BoxListBullet"/>
            </w:pPr>
            <w:r w:rsidRPr="008A1E70">
              <w:t xml:space="preserve">complete for the current reporting period. </w:t>
            </w:r>
            <w:r>
              <w:t>All required 2014</w:t>
            </w:r>
            <w:r>
              <w:noBreakHyphen/>
              <w:t xml:space="preserve">15 </w:t>
            </w:r>
            <w:r w:rsidRPr="008A1E70">
              <w:t>data are available for all jurisdictions</w:t>
            </w:r>
            <w:r>
              <w:t>.</w:t>
            </w:r>
          </w:p>
          <w:p w:rsidR="004A5C36" w:rsidRDefault="00ED5151" w:rsidP="00ED5151">
            <w:pPr>
              <w:pStyle w:val="Box"/>
            </w:pPr>
            <w:r w:rsidRPr="008A1E70">
              <w:t>Data quality information for this indicator is under development.</w:t>
            </w:r>
          </w:p>
        </w:tc>
      </w:tr>
      <w:tr w:rsidR="004A5C36" w:rsidTr="005256BE">
        <w:trPr>
          <w:cantSplit/>
        </w:trPr>
        <w:tc>
          <w:tcPr>
            <w:tcW w:w="8771" w:type="dxa"/>
            <w:tcBorders>
              <w:top w:val="nil"/>
              <w:left w:val="nil"/>
              <w:bottom w:val="single" w:sz="6" w:space="0" w:color="78A22F"/>
              <w:right w:val="nil"/>
            </w:tcBorders>
            <w:shd w:val="clear" w:color="auto" w:fill="F2F2F2"/>
          </w:tcPr>
          <w:p w:rsidR="004A5C36" w:rsidRDefault="004A5C36">
            <w:pPr>
              <w:pStyle w:val="Box"/>
              <w:spacing w:before="0" w:line="120" w:lineRule="exact"/>
            </w:pPr>
          </w:p>
        </w:tc>
      </w:tr>
      <w:tr w:rsidR="004A5C36" w:rsidRPr="000863A5" w:rsidTr="005256BE">
        <w:tc>
          <w:tcPr>
            <w:tcW w:w="8771" w:type="dxa"/>
            <w:tcBorders>
              <w:top w:val="single" w:sz="6" w:space="0" w:color="78A22F"/>
              <w:left w:val="nil"/>
              <w:bottom w:val="nil"/>
              <w:right w:val="nil"/>
            </w:tcBorders>
          </w:tcPr>
          <w:p w:rsidR="004A5C36" w:rsidRPr="00626D32" w:rsidRDefault="004A5C36" w:rsidP="005256BE">
            <w:pPr>
              <w:pStyle w:val="BoxSpaceBelow"/>
            </w:pPr>
          </w:p>
        </w:tc>
      </w:tr>
    </w:tbl>
    <w:p w:rsidR="00B750C9" w:rsidRDefault="00B750C9" w:rsidP="00B750C9">
      <w:pPr>
        <w:pStyle w:val="Heading5"/>
      </w:pPr>
      <w:r>
        <w:t>Clients who needed homelessness services</w:t>
      </w:r>
    </w:p>
    <w:p w:rsidR="00C67717" w:rsidRDefault="00AB27ED" w:rsidP="00C67717">
      <w:pPr>
        <w:pStyle w:val="BodyText"/>
      </w:pPr>
      <w:r>
        <w:t>Nationally in 2014</w:t>
      </w:r>
      <w:r>
        <w:noBreakHyphen/>
        <w:t xml:space="preserve">15, the majority of clients with closed support periods </w:t>
      </w:r>
      <w:r w:rsidRPr="00BD10CD">
        <w:t>need</w:t>
      </w:r>
      <w:r>
        <w:t>ed</w:t>
      </w:r>
      <w:r w:rsidRPr="00BD10CD">
        <w:t xml:space="preserve"> accommodation or accommodation</w:t>
      </w:r>
      <w:r>
        <w:noBreakHyphen/>
      </w:r>
      <w:r w:rsidRPr="00BD10CD">
        <w:t>related assistance</w:t>
      </w:r>
      <w:r>
        <w:t xml:space="preserve"> (</w:t>
      </w:r>
      <w:r w:rsidR="008C1593">
        <w:t>52.2</w:t>
      </w:r>
      <w:r w:rsidR="000707E5" w:rsidRPr="00BD10CD">
        <w:t xml:space="preserve"> per cent</w:t>
      </w:r>
      <w:r>
        <w:t>)</w:t>
      </w:r>
      <w:r w:rsidR="00072EC1">
        <w:t xml:space="preserve"> (table </w:t>
      </w:r>
      <w:proofErr w:type="spellStart"/>
      <w:r w:rsidR="00072EC1">
        <w:t>18A.14</w:t>
      </w:r>
      <w:proofErr w:type="spellEnd"/>
      <w:r w:rsidR="00072EC1">
        <w:t>)</w:t>
      </w:r>
      <w:r>
        <w:t xml:space="preserve">. </w:t>
      </w:r>
      <w:r w:rsidR="00C67717">
        <w:t xml:space="preserve">For clients seeking </w:t>
      </w:r>
      <w:r w:rsidR="00C67717" w:rsidRPr="00C67717">
        <w:t>accommodation</w:t>
      </w:r>
      <w:r w:rsidR="00C67717">
        <w:t xml:space="preserve"> or accommodation</w:t>
      </w:r>
      <w:r w:rsidR="00C67717">
        <w:noBreakHyphen/>
        <w:t>related assistance, a</w:t>
      </w:r>
      <w:r w:rsidR="000707E5" w:rsidRPr="00000AAB">
        <w:t>gencies</w:t>
      </w:r>
      <w:r w:rsidR="00C67717">
        <w:t>:</w:t>
      </w:r>
      <w:r w:rsidR="000707E5" w:rsidRPr="00000AAB">
        <w:t xml:space="preserve"> </w:t>
      </w:r>
    </w:p>
    <w:p w:rsidR="00C67717" w:rsidRPr="00C67717" w:rsidRDefault="000707E5" w:rsidP="00C67717">
      <w:pPr>
        <w:pStyle w:val="ListBullet"/>
      </w:pPr>
      <w:r w:rsidRPr="00C67717">
        <w:lastRenderedPageBreak/>
        <w:t>directly provide</w:t>
      </w:r>
      <w:r w:rsidR="00C67717" w:rsidRPr="00C67717">
        <w:t>d</w:t>
      </w:r>
      <w:r w:rsidR="00AB27ED" w:rsidRPr="00C67717">
        <w:t>,</w:t>
      </w:r>
      <w:r w:rsidRPr="00C67717">
        <w:t xml:space="preserve"> or directly provide</w:t>
      </w:r>
      <w:r w:rsidR="00C67717" w:rsidRPr="00C67717">
        <w:t>d</w:t>
      </w:r>
      <w:r w:rsidRPr="00C67717">
        <w:t xml:space="preserve"> and refer</w:t>
      </w:r>
      <w:r w:rsidR="00C67717" w:rsidRPr="00C67717">
        <w:t>red,</w:t>
      </w:r>
      <w:r w:rsidR="00AB27ED" w:rsidRPr="00C67717">
        <w:t xml:space="preserve"> </w:t>
      </w:r>
      <w:r w:rsidR="00B750C9" w:rsidRPr="00C67717">
        <w:t xml:space="preserve">56.0 per cent </w:t>
      </w:r>
      <w:r w:rsidRPr="00C67717">
        <w:t xml:space="preserve">of clients </w:t>
      </w:r>
      <w:r w:rsidR="00C67717" w:rsidRPr="00C67717">
        <w:t>with a service</w:t>
      </w:r>
    </w:p>
    <w:p w:rsidR="00C67717" w:rsidRPr="00C67717" w:rsidRDefault="00C67717" w:rsidP="00C67717">
      <w:pPr>
        <w:pStyle w:val="ListBullet"/>
      </w:pPr>
      <w:r w:rsidRPr="00C67717">
        <w:t xml:space="preserve">referred to other organisations </w:t>
      </w:r>
      <w:r w:rsidR="008C1593" w:rsidRPr="00C67717">
        <w:t>15.2</w:t>
      </w:r>
      <w:r w:rsidR="000707E5" w:rsidRPr="00C67717">
        <w:t xml:space="preserve"> per cent of clients </w:t>
      </w:r>
    </w:p>
    <w:p w:rsidR="000707E5" w:rsidRPr="00C67717" w:rsidRDefault="00C67717" w:rsidP="00C67717">
      <w:pPr>
        <w:pStyle w:val="ListBullet"/>
      </w:pPr>
      <w:r w:rsidRPr="00C67717">
        <w:t xml:space="preserve">did not provide or refer assistance to 28.8 per cent of clients </w:t>
      </w:r>
      <w:r w:rsidR="000707E5" w:rsidRPr="00C67717">
        <w:t>(figure </w:t>
      </w:r>
      <w:r w:rsidR="007A5581">
        <w:t>18.8</w:t>
      </w:r>
      <w:r w:rsidR="000707E5" w:rsidRPr="00C67717">
        <w:t xml:space="preserve">). </w:t>
      </w:r>
    </w:p>
    <w:p w:rsidR="00B750C9" w:rsidRDefault="00B750C9" w:rsidP="00B750C9">
      <w:pPr>
        <w:pStyle w:val="BodyText"/>
      </w:pPr>
      <w:r>
        <w:t>For other support needs, s</w:t>
      </w:r>
      <w:r w:rsidR="000707E5" w:rsidRPr="00000AAB">
        <w:t>pecialist homelessness agencies were able to directly provide</w:t>
      </w:r>
      <w:r w:rsidR="000707E5">
        <w:t xml:space="preserve"> </w:t>
      </w:r>
      <w:r w:rsidR="000707E5" w:rsidRPr="00B750C9">
        <w:t>assistance</w:t>
      </w:r>
      <w:r w:rsidR="00DD146D">
        <w:t>,</w:t>
      </w:r>
      <w:r w:rsidR="000707E5" w:rsidRPr="00000AAB">
        <w:t xml:space="preserve"> or directly provide and refer assistance</w:t>
      </w:r>
      <w:r w:rsidR="00DD146D">
        <w:t>,</w:t>
      </w:r>
      <w:r>
        <w:t xml:space="preserve"> to:</w:t>
      </w:r>
      <w:r w:rsidR="000707E5" w:rsidRPr="00000AAB">
        <w:t xml:space="preserve"> </w:t>
      </w:r>
    </w:p>
    <w:p w:rsidR="00B750C9" w:rsidRDefault="00B750C9" w:rsidP="00B750C9">
      <w:pPr>
        <w:pStyle w:val="ListBullet"/>
      </w:pPr>
      <w:r>
        <w:t xml:space="preserve">82.0 per cent of </w:t>
      </w:r>
      <w:r w:rsidR="000707E5">
        <w:t xml:space="preserve">clients seeking to </w:t>
      </w:r>
      <w:r w:rsidR="000707E5" w:rsidRPr="00000AAB">
        <w:t xml:space="preserve">sustain tenure </w:t>
      </w:r>
    </w:p>
    <w:p w:rsidR="000707E5" w:rsidRDefault="00B750C9" w:rsidP="00B750C9">
      <w:pPr>
        <w:pStyle w:val="ListBullet"/>
      </w:pPr>
      <w:r w:rsidRPr="00570CF4">
        <w:t>8</w:t>
      </w:r>
      <w:r w:rsidR="007606F1" w:rsidRPr="00570CF4">
        <w:t>9.7</w:t>
      </w:r>
      <w:r w:rsidRPr="00570CF4">
        <w:t> per cent</w:t>
      </w:r>
      <w:r>
        <w:t xml:space="preserve"> of </w:t>
      </w:r>
      <w:r w:rsidR="000707E5">
        <w:t>clients seeking</w:t>
      </w:r>
      <w:r w:rsidR="000707E5" w:rsidRPr="00000AAB">
        <w:t xml:space="preserve"> domestic and family violence</w:t>
      </w:r>
      <w:r w:rsidR="000707E5">
        <w:noBreakHyphen/>
      </w:r>
      <w:r w:rsidR="000707E5" w:rsidRPr="00000AAB">
        <w:t xml:space="preserve">related assistance </w:t>
      </w:r>
      <w:r w:rsidR="000707E5" w:rsidRPr="00BD10CD">
        <w:t>(figure</w:t>
      </w:r>
      <w:r w:rsidR="000707E5">
        <w:t> </w:t>
      </w:r>
      <w:r w:rsidR="007A5581">
        <w:t>18.8</w:t>
      </w:r>
      <w:r w:rsidR="000707E5" w:rsidRPr="00BD10CD">
        <w:t>).</w:t>
      </w:r>
    </w:p>
    <w:p w:rsidR="00072EC1" w:rsidRDefault="00072EC1" w:rsidP="004736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2EC1" w:rsidTr="004736EC">
        <w:tc>
          <w:tcPr>
            <w:tcW w:w="8771" w:type="dxa"/>
            <w:tcBorders>
              <w:top w:val="single" w:sz="6" w:space="0" w:color="78A22F"/>
              <w:left w:val="nil"/>
              <w:bottom w:val="nil"/>
              <w:right w:val="nil"/>
            </w:tcBorders>
            <w:shd w:val="clear" w:color="auto" w:fill="auto"/>
          </w:tcPr>
          <w:p w:rsidR="00072EC1" w:rsidRPr="00176D3F" w:rsidRDefault="00072EC1" w:rsidP="00CD76B0">
            <w:pPr>
              <w:pStyle w:val="FigureTitle"/>
            </w:pPr>
            <w:r w:rsidRPr="00784A05">
              <w:rPr>
                <w:b w:val="0"/>
              </w:rPr>
              <w:t xml:space="preserve">Figure </w:t>
            </w:r>
            <w:bookmarkStart w:id="22" w:name="OLE_LINK7"/>
            <w:r w:rsidR="007A5581">
              <w:rPr>
                <w:b w:val="0"/>
              </w:rPr>
              <w:t>18.</w:t>
            </w:r>
            <w:r w:rsidR="007A3D6D">
              <w:rPr>
                <w:b w:val="0"/>
                <w:noProof/>
              </w:rPr>
              <w:t>8</w:t>
            </w:r>
            <w:bookmarkEnd w:id="22"/>
            <w:r>
              <w:tab/>
            </w:r>
            <w:r w:rsidR="00CD76B0" w:rsidRPr="008A1E70">
              <w:t xml:space="preserve">Support needs of all </w:t>
            </w:r>
            <w:r w:rsidR="00CD76B0">
              <w:t>c</w:t>
            </w:r>
            <w:r w:rsidR="00CD76B0" w:rsidRPr="008A1E70">
              <w:t xml:space="preserve">lients </w:t>
            </w:r>
            <w:r w:rsidR="00CD76B0">
              <w:t>(closed support periods)</w:t>
            </w:r>
            <w:r>
              <w:t xml:space="preserve">, </w:t>
            </w:r>
            <w:r w:rsidRPr="008A1E70">
              <w:t>201</w:t>
            </w:r>
            <w:r>
              <w:t>4</w:t>
            </w:r>
            <w:r>
              <w:noBreakHyphen/>
              <w:t>15</w:t>
            </w:r>
            <w:r w:rsidRPr="008A1E70">
              <w:rPr>
                <w:rStyle w:val="NoteLabel"/>
                <w:b/>
              </w:rPr>
              <w:t>a</w:t>
            </w:r>
            <w:r>
              <w:t xml:space="preserve"> </w:t>
            </w:r>
          </w:p>
        </w:tc>
      </w:tr>
      <w:tr w:rsidR="00072EC1" w:rsidTr="004736EC">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072EC1" w:rsidTr="000C1770">
              <w:trPr>
                <w:jc w:val="center"/>
              </w:trPr>
              <w:tc>
                <w:tcPr>
                  <w:tcW w:w="5000" w:type="pct"/>
                  <w:tcBorders>
                    <w:top w:val="nil"/>
                    <w:bottom w:val="nil"/>
                  </w:tcBorders>
                </w:tcPr>
                <w:p w:rsidR="00072EC1" w:rsidRDefault="00A701B9" w:rsidP="004736EC">
                  <w:pPr>
                    <w:pStyle w:val="Figure"/>
                    <w:spacing w:before="60" w:after="60"/>
                  </w:pPr>
                  <w:r>
                    <w:rPr>
                      <w:noProof/>
                    </w:rPr>
                    <w:drawing>
                      <wp:inline distT="0" distB="0" distL="0" distR="0">
                        <wp:extent cx="5389880" cy="2893695"/>
                        <wp:effectExtent l="0" t="0" r="1270" b="1905"/>
                        <wp:docPr id="9" name="Picture 9" descr="Figure 18.8 Support needs of all clients (closed support period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9880" cy="2893695"/>
                                </a:xfrm>
                                <a:prstGeom prst="rect">
                                  <a:avLst/>
                                </a:prstGeom>
                                <a:noFill/>
                                <a:ln>
                                  <a:noFill/>
                                </a:ln>
                              </pic:spPr>
                            </pic:pic>
                          </a:graphicData>
                        </a:graphic>
                      </wp:inline>
                    </w:drawing>
                  </w:r>
                </w:p>
              </w:tc>
            </w:tr>
          </w:tbl>
          <w:p w:rsidR="00072EC1" w:rsidRDefault="00072EC1" w:rsidP="004736EC">
            <w:pPr>
              <w:pStyle w:val="Figure"/>
            </w:pPr>
          </w:p>
        </w:tc>
      </w:tr>
      <w:tr w:rsidR="00072EC1" w:rsidRPr="00176D3F" w:rsidTr="004736EC">
        <w:tc>
          <w:tcPr>
            <w:tcW w:w="8771" w:type="dxa"/>
            <w:tcBorders>
              <w:top w:val="nil"/>
              <w:left w:val="nil"/>
              <w:bottom w:val="nil"/>
              <w:right w:val="nil"/>
            </w:tcBorders>
            <w:shd w:val="clear" w:color="auto" w:fill="auto"/>
          </w:tcPr>
          <w:p w:rsidR="00072EC1" w:rsidRPr="008C1593" w:rsidRDefault="00072EC1" w:rsidP="00072EC1">
            <w:pPr>
              <w:pStyle w:val="Note"/>
            </w:pPr>
            <w:proofErr w:type="spellStart"/>
            <w:r w:rsidRPr="008C1593">
              <w:rPr>
                <w:rStyle w:val="NoteLabel"/>
                <w:position w:val="0"/>
              </w:rPr>
              <w:t>Accom</w:t>
            </w:r>
            <w:proofErr w:type="spellEnd"/>
            <w:r>
              <w:rPr>
                <w:rStyle w:val="NoteLabel"/>
                <w:b w:val="0"/>
                <w:position w:val="0"/>
              </w:rPr>
              <w:t>:</w:t>
            </w:r>
            <w:r w:rsidRPr="008C1593">
              <w:rPr>
                <w:rStyle w:val="NoteLabel"/>
                <w:b w:val="0"/>
                <w:position w:val="0"/>
              </w:rPr>
              <w:t xml:space="preserve"> Accommodation/</w:t>
            </w:r>
            <w:r w:rsidRPr="008C1593">
              <w:t xml:space="preserve">accommodation related assistance. </w:t>
            </w:r>
            <w:r w:rsidRPr="008C1593">
              <w:rPr>
                <w:b/>
              </w:rPr>
              <w:t>Sustain</w:t>
            </w:r>
            <w:r>
              <w:rPr>
                <w:b/>
              </w:rPr>
              <w:t>:</w:t>
            </w:r>
            <w:r w:rsidRPr="008C1593">
              <w:t xml:space="preserve"> Assistance to sustain tenure.</w:t>
            </w:r>
            <w:r w:rsidRPr="008C1593">
              <w:br/>
            </w:r>
            <w:proofErr w:type="spellStart"/>
            <w:r w:rsidRPr="008C1593">
              <w:rPr>
                <w:b/>
              </w:rPr>
              <w:t>FDV</w:t>
            </w:r>
            <w:proofErr w:type="spellEnd"/>
            <w:r>
              <w:t>:</w:t>
            </w:r>
            <w:r w:rsidRPr="008C1593">
              <w:t xml:space="preserve"> Family/Domestic Violenc</w:t>
            </w:r>
            <w:r w:rsidRPr="008C1593">
              <w:rPr>
                <w:rStyle w:val="NoteLabel"/>
                <w:b w:val="0"/>
                <w:position w:val="0"/>
              </w:rPr>
              <w:t>e assistance.</w:t>
            </w:r>
          </w:p>
          <w:p w:rsidR="00072EC1" w:rsidRPr="00176D3F" w:rsidRDefault="00072EC1" w:rsidP="00072EC1">
            <w:pPr>
              <w:pStyle w:val="Note"/>
            </w:pPr>
            <w:r>
              <w:rPr>
                <w:rStyle w:val="NoteLabel"/>
              </w:rPr>
              <w:t>a</w:t>
            </w:r>
            <w:r>
              <w:t xml:space="preserve"> </w:t>
            </w:r>
            <w:r w:rsidRPr="006D3797">
              <w:t xml:space="preserve">See box </w:t>
            </w:r>
            <w:r w:rsidR="007A5581">
              <w:t>18.7</w:t>
            </w:r>
            <w:r w:rsidRPr="006D3797">
              <w:t xml:space="preserve"> and table </w:t>
            </w:r>
            <w:proofErr w:type="spellStart"/>
            <w:r>
              <w:t>18</w:t>
            </w:r>
            <w:r w:rsidRPr="006D3797">
              <w:t>A.</w:t>
            </w:r>
            <w:r>
              <w:t>14</w:t>
            </w:r>
            <w:proofErr w:type="spellEnd"/>
            <w:r w:rsidRPr="006D3797">
              <w:t xml:space="preserve"> for detailed definitions, footnotes and caveats</w:t>
            </w:r>
            <w:r>
              <w:t>.</w:t>
            </w:r>
          </w:p>
        </w:tc>
      </w:tr>
      <w:tr w:rsidR="00072EC1" w:rsidRPr="00176D3F" w:rsidTr="004736EC">
        <w:tc>
          <w:tcPr>
            <w:tcW w:w="8771" w:type="dxa"/>
            <w:tcBorders>
              <w:top w:val="nil"/>
              <w:left w:val="nil"/>
              <w:bottom w:val="nil"/>
              <w:right w:val="nil"/>
            </w:tcBorders>
            <w:shd w:val="clear" w:color="auto" w:fill="auto"/>
          </w:tcPr>
          <w:p w:rsidR="00072EC1" w:rsidRPr="00176D3F" w:rsidRDefault="00072EC1" w:rsidP="004736EC">
            <w:pPr>
              <w:pStyle w:val="Source"/>
            </w:pPr>
            <w:r>
              <w:rPr>
                <w:i/>
              </w:rPr>
              <w:t>S</w:t>
            </w:r>
            <w:r w:rsidRPr="00784A05">
              <w:rPr>
                <w:i/>
              </w:rPr>
              <w:t>ource</w:t>
            </w:r>
            <w:r w:rsidRPr="00176D3F">
              <w:t xml:space="preserve">: </w:t>
            </w:r>
            <w:proofErr w:type="spellStart"/>
            <w:r w:rsidRPr="00BD10CD">
              <w:rPr>
                <w:color w:val="000000" w:themeColor="text1"/>
              </w:rPr>
              <w:t>AIHW</w:t>
            </w:r>
            <w:proofErr w:type="spellEnd"/>
            <w:r w:rsidRPr="00BD10CD">
              <w:rPr>
                <w:color w:val="000000" w:themeColor="text1"/>
              </w:rPr>
              <w:t xml:space="preserve"> (unpublished) </w:t>
            </w:r>
            <w:r w:rsidR="000C1770" w:rsidRPr="000C1770">
              <w:rPr>
                <w:color w:val="000000" w:themeColor="text1"/>
              </w:rPr>
              <w:t>Specialist Homelessness Services Collection</w:t>
            </w:r>
            <w:r>
              <w:rPr>
                <w:color w:val="000000" w:themeColor="text1"/>
              </w:rPr>
              <w:t xml:space="preserve">; </w:t>
            </w:r>
            <w:r w:rsidRPr="00BD10CD">
              <w:rPr>
                <w:color w:val="000000" w:themeColor="text1"/>
              </w:rPr>
              <w:t xml:space="preserve">table </w:t>
            </w:r>
            <w:proofErr w:type="spellStart"/>
            <w:r w:rsidRPr="00BD10CD">
              <w:rPr>
                <w:color w:val="000000" w:themeColor="text1"/>
              </w:rPr>
              <w:t>18A.1</w:t>
            </w:r>
            <w:r>
              <w:rPr>
                <w:color w:val="000000" w:themeColor="text1"/>
              </w:rPr>
              <w:t>4</w:t>
            </w:r>
            <w:proofErr w:type="spellEnd"/>
            <w:r w:rsidRPr="00BD10CD">
              <w:rPr>
                <w:color w:val="000000" w:themeColor="text1"/>
              </w:rPr>
              <w:t>.</w:t>
            </w:r>
          </w:p>
        </w:tc>
      </w:tr>
      <w:tr w:rsidR="00072EC1" w:rsidTr="004736EC">
        <w:tc>
          <w:tcPr>
            <w:tcW w:w="8771" w:type="dxa"/>
            <w:tcBorders>
              <w:top w:val="nil"/>
              <w:left w:val="nil"/>
              <w:bottom w:val="single" w:sz="6" w:space="0" w:color="78A22F"/>
              <w:right w:val="nil"/>
            </w:tcBorders>
            <w:shd w:val="clear" w:color="auto" w:fill="auto"/>
          </w:tcPr>
          <w:p w:rsidR="00072EC1" w:rsidRDefault="00072EC1" w:rsidP="004736EC">
            <w:pPr>
              <w:pStyle w:val="Figurespace"/>
            </w:pPr>
          </w:p>
        </w:tc>
      </w:tr>
      <w:tr w:rsidR="00072EC1" w:rsidRPr="000863A5" w:rsidTr="004736EC">
        <w:tc>
          <w:tcPr>
            <w:tcW w:w="8771" w:type="dxa"/>
            <w:tcBorders>
              <w:top w:val="single" w:sz="6" w:space="0" w:color="78A22F"/>
              <w:left w:val="nil"/>
              <w:bottom w:val="nil"/>
              <w:right w:val="nil"/>
            </w:tcBorders>
          </w:tcPr>
          <w:p w:rsidR="00072EC1" w:rsidRPr="00626D32" w:rsidRDefault="00072EC1" w:rsidP="004736EC">
            <w:pPr>
              <w:pStyle w:val="BoxSpaceBelow"/>
            </w:pPr>
          </w:p>
        </w:tc>
      </w:tr>
    </w:tbl>
    <w:p w:rsidR="00016F1B" w:rsidRDefault="00072EC1" w:rsidP="00016F1B">
      <w:pPr>
        <w:pStyle w:val="BodyText"/>
        <w:rPr>
          <w:color w:val="000000" w:themeColor="text1"/>
        </w:rPr>
      </w:pPr>
      <w:r>
        <w:rPr>
          <w:color w:val="000000" w:themeColor="text1"/>
        </w:rPr>
        <w:t>Nationally in 2014</w:t>
      </w:r>
      <w:r>
        <w:rPr>
          <w:color w:val="000000" w:themeColor="text1"/>
        </w:rPr>
        <w:noBreakHyphen/>
        <w:t>15, a</w:t>
      </w:r>
      <w:r w:rsidR="00016F1B" w:rsidRPr="00000AAB">
        <w:rPr>
          <w:color w:val="000000" w:themeColor="text1"/>
        </w:rPr>
        <w:t xml:space="preserve">gencies were able to directly provide </w:t>
      </w:r>
      <w:r w:rsidR="00016F1B">
        <w:rPr>
          <w:color w:val="000000" w:themeColor="text1"/>
        </w:rPr>
        <w:t>(o</w:t>
      </w:r>
      <w:r w:rsidR="00016F1B" w:rsidRPr="00000AAB">
        <w:rPr>
          <w:color w:val="000000" w:themeColor="text1"/>
        </w:rPr>
        <w:t>r directly provide and refer</w:t>
      </w:r>
      <w:r w:rsidR="00016F1B">
        <w:rPr>
          <w:color w:val="000000" w:themeColor="text1"/>
        </w:rPr>
        <w:t>)</w:t>
      </w:r>
      <w:r w:rsidR="00016F1B" w:rsidRPr="00000AAB">
        <w:rPr>
          <w:color w:val="000000" w:themeColor="text1"/>
        </w:rPr>
        <w:t xml:space="preserve"> </w:t>
      </w:r>
      <w:r w:rsidR="00016F1B">
        <w:rPr>
          <w:color w:val="000000" w:themeColor="text1"/>
        </w:rPr>
        <w:t>a greater proportion of Aboriginal and Torres Strait Islander</w:t>
      </w:r>
      <w:r w:rsidR="00016F1B" w:rsidRPr="00BD10CD">
        <w:rPr>
          <w:color w:val="000000" w:themeColor="text1"/>
        </w:rPr>
        <w:t xml:space="preserve"> clients </w:t>
      </w:r>
      <w:r w:rsidR="00016F1B">
        <w:rPr>
          <w:color w:val="000000" w:themeColor="text1"/>
        </w:rPr>
        <w:t xml:space="preserve">with accommodation </w:t>
      </w:r>
      <w:r w:rsidR="00016F1B" w:rsidRPr="00BD10CD">
        <w:rPr>
          <w:color w:val="000000" w:themeColor="text1"/>
        </w:rPr>
        <w:t>or accommodation</w:t>
      </w:r>
      <w:r w:rsidR="00016F1B">
        <w:rPr>
          <w:color w:val="000000" w:themeColor="text1"/>
        </w:rPr>
        <w:noBreakHyphen/>
      </w:r>
      <w:r w:rsidR="00016F1B" w:rsidRPr="00BD10CD">
        <w:rPr>
          <w:color w:val="000000" w:themeColor="text1"/>
        </w:rPr>
        <w:t>related assistance</w:t>
      </w:r>
      <w:r w:rsidR="00016F1B">
        <w:rPr>
          <w:color w:val="000000" w:themeColor="text1"/>
        </w:rPr>
        <w:t xml:space="preserve"> </w:t>
      </w:r>
      <w:r w:rsidR="00016F1B" w:rsidRPr="00000AAB">
        <w:rPr>
          <w:color w:val="000000" w:themeColor="text1"/>
        </w:rPr>
        <w:t>(</w:t>
      </w:r>
      <w:r w:rsidR="00016F1B">
        <w:rPr>
          <w:color w:val="000000" w:themeColor="text1"/>
        </w:rPr>
        <w:t>67.5</w:t>
      </w:r>
      <w:r w:rsidR="00016F1B" w:rsidRPr="00000AAB">
        <w:rPr>
          <w:color w:val="000000" w:themeColor="text1"/>
        </w:rPr>
        <w:t xml:space="preserve"> per cent)</w:t>
      </w:r>
      <w:r w:rsidR="00016F1B">
        <w:rPr>
          <w:color w:val="000000" w:themeColor="text1"/>
        </w:rPr>
        <w:t xml:space="preserve"> compared to all clients (56.0 per cent) (table </w:t>
      </w:r>
      <w:proofErr w:type="spellStart"/>
      <w:r w:rsidR="00016F1B">
        <w:rPr>
          <w:color w:val="000000" w:themeColor="text1"/>
        </w:rPr>
        <w:t>18A.15</w:t>
      </w:r>
      <w:proofErr w:type="spellEnd"/>
      <w:r w:rsidR="00016F1B">
        <w:rPr>
          <w:color w:val="000000" w:themeColor="text1"/>
        </w:rPr>
        <w:t>)</w:t>
      </w:r>
      <w:r w:rsidR="00016F1B" w:rsidRPr="00000AAB">
        <w:rPr>
          <w:color w:val="000000" w:themeColor="text1"/>
        </w:rPr>
        <w:t>.</w:t>
      </w:r>
    </w:p>
    <w:p w:rsidR="000707E5" w:rsidRDefault="000707E5" w:rsidP="000707E5">
      <w:pPr>
        <w:pStyle w:val="BodyText"/>
      </w:pPr>
      <w:r w:rsidRPr="00570CF4">
        <w:rPr>
          <w:color w:val="000000" w:themeColor="text1"/>
        </w:rPr>
        <w:t xml:space="preserve">Data for </w:t>
      </w:r>
      <w:r w:rsidRPr="00570CF4">
        <w:t>clients born in non</w:t>
      </w:r>
      <w:r w:rsidRPr="00570CF4">
        <w:noBreakHyphen/>
        <w:t>main English speaking countries</w:t>
      </w:r>
      <w:r w:rsidR="00AA49C8" w:rsidRPr="00570CF4">
        <w:t xml:space="preserve"> are in table </w:t>
      </w:r>
      <w:proofErr w:type="spellStart"/>
      <w:r w:rsidR="00AA49C8" w:rsidRPr="00570CF4">
        <w:t>18A.16</w:t>
      </w:r>
      <w:proofErr w:type="spellEnd"/>
      <w:r w:rsidR="00AA49C8" w:rsidRPr="00570CF4">
        <w:t xml:space="preserve">. </w:t>
      </w:r>
      <w:r w:rsidR="002F285D" w:rsidRPr="00570CF4">
        <w:t>D</w:t>
      </w:r>
      <w:r w:rsidR="00AA49C8" w:rsidRPr="00570CF4">
        <w:t xml:space="preserve">ata </w:t>
      </w:r>
      <w:r w:rsidR="002F285D" w:rsidRPr="00570CF4">
        <w:t>from 2011</w:t>
      </w:r>
      <w:r w:rsidR="002F285D" w:rsidRPr="00570CF4">
        <w:noBreakHyphen/>
        <w:t xml:space="preserve">12 </w:t>
      </w:r>
      <w:r w:rsidR="00FF50A7" w:rsidRPr="00570CF4">
        <w:t xml:space="preserve">on the support needs of specialist homelessness service </w:t>
      </w:r>
      <w:r w:rsidR="00CD76B0" w:rsidRPr="00570CF4">
        <w:t xml:space="preserve">clients </w:t>
      </w:r>
      <w:r w:rsidRPr="00570CF4">
        <w:t>are included in tables</w:t>
      </w:r>
      <w:r w:rsidR="00CD76B0" w:rsidRPr="00570CF4">
        <w:t> </w:t>
      </w:r>
      <w:proofErr w:type="spellStart"/>
      <w:r w:rsidRPr="00570CF4">
        <w:t>18A.13</w:t>
      </w:r>
      <w:proofErr w:type="spellEnd"/>
      <w:r w:rsidRPr="00570CF4">
        <w:t>–16.</w:t>
      </w:r>
    </w:p>
    <w:p w:rsidR="00B750C9" w:rsidRDefault="00B750C9" w:rsidP="00B750C9">
      <w:pPr>
        <w:pStyle w:val="Heading5"/>
      </w:pPr>
      <w:r>
        <w:lastRenderedPageBreak/>
        <w:t>Y</w:t>
      </w:r>
      <w:r w:rsidRPr="00B750C9">
        <w:t>oung clients who needed education and/or training assistance</w:t>
      </w:r>
    </w:p>
    <w:p w:rsidR="000863DD" w:rsidRDefault="000707E5" w:rsidP="000707E5">
      <w:pPr>
        <w:pStyle w:val="BodyText"/>
      </w:pPr>
      <w:r w:rsidRPr="00EE1BF1">
        <w:t>Nationally</w:t>
      </w:r>
      <w:r>
        <w:t xml:space="preserve"> in 2014-15</w:t>
      </w:r>
      <w:r w:rsidRPr="00EE1BF1">
        <w:t>, of young clients who needed assistance to obtain or maintain education and/or training,</w:t>
      </w:r>
      <w:r w:rsidR="000863DD">
        <w:t xml:space="preserve"> </w:t>
      </w:r>
      <w:r w:rsidR="009849CE" w:rsidRPr="00570CF4">
        <w:t>70.9</w:t>
      </w:r>
      <w:r w:rsidRPr="00570CF4">
        <w:t xml:space="preserve"> per cent</w:t>
      </w:r>
      <w:r w:rsidRPr="00EE1BF1">
        <w:t xml:space="preserve"> were </w:t>
      </w:r>
      <w:r>
        <w:t xml:space="preserve">enrolled in </w:t>
      </w:r>
      <w:r w:rsidRPr="00EE1BF1">
        <w:t>formal study or training after support</w:t>
      </w:r>
      <w:r>
        <w:t xml:space="preserve"> (figure</w:t>
      </w:r>
      <w:r w:rsidR="00072EC1">
        <w:t xml:space="preserve"> </w:t>
      </w:r>
      <w:r w:rsidR="007A5581">
        <w:t>18.9</w:t>
      </w:r>
      <w:r>
        <w:t>)</w:t>
      </w:r>
      <w:r w:rsidRPr="00EE1BF1">
        <w:t xml:space="preserve">, </w:t>
      </w:r>
      <w:r w:rsidR="000863DD">
        <w:t xml:space="preserve">an increase of </w:t>
      </w:r>
      <w:r w:rsidR="00F12D8C" w:rsidRPr="00570CF4">
        <w:t>4.4</w:t>
      </w:r>
      <w:r w:rsidR="000863DD" w:rsidRPr="00570CF4">
        <w:t xml:space="preserve"> percentage points from 6</w:t>
      </w:r>
      <w:r w:rsidR="00F12D8C" w:rsidRPr="00570CF4">
        <w:t>6</w:t>
      </w:r>
      <w:r w:rsidR="000863DD" w:rsidRPr="00570CF4">
        <w:t>.</w:t>
      </w:r>
      <w:r w:rsidR="00F12D8C" w:rsidRPr="00570CF4">
        <w:t>5</w:t>
      </w:r>
      <w:r w:rsidRPr="00570CF4">
        <w:t> per cent in 201</w:t>
      </w:r>
      <w:r w:rsidR="00F12D8C" w:rsidRPr="00570CF4">
        <w:t>1</w:t>
      </w:r>
      <w:r w:rsidRPr="00570CF4">
        <w:noBreakHyphen/>
        <w:t>1</w:t>
      </w:r>
      <w:r w:rsidR="00F12D8C" w:rsidRPr="00570CF4">
        <w:t>2</w:t>
      </w:r>
      <w:r w:rsidRPr="00EE1BF1">
        <w:t xml:space="preserve"> (table </w:t>
      </w:r>
      <w:proofErr w:type="spellStart"/>
      <w:r w:rsidRPr="00EE1BF1">
        <w:t>18A.17</w:t>
      </w:r>
      <w:proofErr w:type="spellEnd"/>
      <w:r w:rsidRPr="00EE1BF1">
        <w:t xml:space="preserve">). </w:t>
      </w:r>
      <w:r w:rsidR="000863DD">
        <w:t xml:space="preserve">Of </w:t>
      </w:r>
      <w:r w:rsidRPr="00EE1BF1">
        <w:t xml:space="preserve">the </w:t>
      </w:r>
      <w:r w:rsidR="001937C6">
        <w:t xml:space="preserve">young </w:t>
      </w:r>
      <w:r w:rsidRPr="00EE1BF1">
        <w:t xml:space="preserve">clients </w:t>
      </w:r>
      <w:r w:rsidR="000863DD">
        <w:t xml:space="preserve">who </w:t>
      </w:r>
      <w:r w:rsidR="001937C6">
        <w:t>needed education or training assistance</w:t>
      </w:r>
      <w:r w:rsidR="000863DD">
        <w:t>, the proportion who were enrolled in:</w:t>
      </w:r>
    </w:p>
    <w:p w:rsidR="000863DD" w:rsidRDefault="000707E5" w:rsidP="000863DD">
      <w:pPr>
        <w:pStyle w:val="ListBullet"/>
      </w:pPr>
      <w:r w:rsidRPr="00EE1BF1">
        <w:t xml:space="preserve">vocational education/training increased from </w:t>
      </w:r>
      <w:r w:rsidR="000863DD">
        <w:t>6.5</w:t>
      </w:r>
      <w:r w:rsidRPr="00EE1BF1">
        <w:t xml:space="preserve"> per cent before support to </w:t>
      </w:r>
      <w:r w:rsidR="000863DD">
        <w:t>10.2</w:t>
      </w:r>
      <w:r w:rsidR="001937C6">
        <w:t> per cent after support</w:t>
      </w:r>
    </w:p>
    <w:p w:rsidR="000707E5" w:rsidRDefault="000707E5" w:rsidP="000863DD">
      <w:pPr>
        <w:pStyle w:val="ListBullet"/>
      </w:pPr>
      <w:r w:rsidRPr="00EE1BF1">
        <w:t xml:space="preserve">secondary school decreased from </w:t>
      </w:r>
      <w:r w:rsidR="000863DD">
        <w:t>54.1</w:t>
      </w:r>
      <w:r w:rsidRPr="00EE1BF1">
        <w:t xml:space="preserve"> per cent before support to </w:t>
      </w:r>
      <w:r w:rsidR="000863DD">
        <w:t>49.4</w:t>
      </w:r>
      <w:r w:rsidRPr="00EE1BF1">
        <w:t xml:space="preserve"> per cent after support. These proportions varied across jurisdictions (figure </w:t>
      </w:r>
      <w:r w:rsidR="007A5581">
        <w:t>18.9</w:t>
      </w:r>
      <w:r w:rsidRPr="00EE1BF1">
        <w:t>).</w:t>
      </w:r>
    </w:p>
    <w:p w:rsidR="004C056F" w:rsidRDefault="004C056F" w:rsidP="004736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056F" w:rsidTr="004736EC">
        <w:tc>
          <w:tcPr>
            <w:tcW w:w="8771" w:type="dxa"/>
            <w:tcBorders>
              <w:top w:val="single" w:sz="6" w:space="0" w:color="78A22F"/>
              <w:left w:val="nil"/>
              <w:bottom w:val="nil"/>
              <w:right w:val="nil"/>
            </w:tcBorders>
            <w:shd w:val="clear" w:color="auto" w:fill="auto"/>
          </w:tcPr>
          <w:p w:rsidR="004C056F" w:rsidRPr="00176D3F" w:rsidRDefault="004C056F" w:rsidP="000D18AC">
            <w:pPr>
              <w:pStyle w:val="FigureTitle"/>
            </w:pPr>
            <w:r w:rsidRPr="00784A05">
              <w:rPr>
                <w:b w:val="0"/>
              </w:rPr>
              <w:t xml:space="preserve">Figure </w:t>
            </w:r>
            <w:bookmarkStart w:id="23" w:name="OLE_LINK8"/>
            <w:r w:rsidR="007A5581">
              <w:rPr>
                <w:b w:val="0"/>
              </w:rPr>
              <w:t>18.</w:t>
            </w:r>
            <w:r w:rsidR="007A3D6D">
              <w:rPr>
                <w:b w:val="0"/>
                <w:noProof/>
              </w:rPr>
              <w:t>9</w:t>
            </w:r>
            <w:bookmarkEnd w:id="23"/>
            <w:r>
              <w:tab/>
            </w:r>
            <w:r w:rsidR="001937C6">
              <w:t>Young c</w:t>
            </w:r>
            <w:r>
              <w:t>li</w:t>
            </w:r>
            <w:r w:rsidRPr="00FB3845">
              <w:t xml:space="preserve">ents who needed </w:t>
            </w:r>
            <w:r w:rsidRPr="008A1E70">
              <w:t>education and/or training assistance</w:t>
            </w:r>
            <w:r>
              <w:t>,</w:t>
            </w:r>
            <w:r w:rsidRPr="00FB3845">
              <w:t xml:space="preserve"> </w:t>
            </w:r>
            <w:r>
              <w:t>by educational enrolment status b</w:t>
            </w:r>
            <w:r w:rsidRPr="008A1E70">
              <w:t>efore and after support</w:t>
            </w:r>
            <w:r>
              <w:t xml:space="preserve"> (</w:t>
            </w:r>
            <w:r w:rsidRPr="00FB3845">
              <w:t>closed support periods</w:t>
            </w:r>
            <w:r>
              <w:t xml:space="preserve">), </w:t>
            </w:r>
            <w:r w:rsidRPr="008A1E70">
              <w:t>201</w:t>
            </w:r>
            <w:r>
              <w:t>4</w:t>
            </w:r>
            <w:r>
              <w:noBreakHyphen/>
              <w:t>15</w:t>
            </w:r>
            <w:r w:rsidR="000D18AC" w:rsidRPr="004C78E7">
              <w:rPr>
                <w:rStyle w:val="NoteLabel"/>
                <w:b/>
              </w:rPr>
              <w:t>a</w:t>
            </w:r>
          </w:p>
        </w:tc>
      </w:tr>
      <w:tr w:rsidR="004C056F" w:rsidTr="004736EC">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4C056F" w:rsidTr="000C1770">
              <w:trPr>
                <w:jc w:val="center"/>
              </w:trPr>
              <w:tc>
                <w:tcPr>
                  <w:tcW w:w="5000" w:type="pct"/>
                  <w:tcBorders>
                    <w:top w:val="nil"/>
                    <w:bottom w:val="nil"/>
                  </w:tcBorders>
                </w:tcPr>
                <w:p w:rsidR="004C056F" w:rsidRDefault="00A701B9" w:rsidP="000B6910">
                  <w:pPr>
                    <w:pStyle w:val="Figure"/>
                    <w:spacing w:before="60" w:after="60"/>
                  </w:pPr>
                  <w:r>
                    <w:rPr>
                      <w:noProof/>
                    </w:rPr>
                    <w:drawing>
                      <wp:inline distT="0" distB="0" distL="0" distR="0">
                        <wp:extent cx="5400040" cy="2689225"/>
                        <wp:effectExtent l="0" t="0" r="0" b="0"/>
                        <wp:docPr id="10" name="Picture 10" descr="Figure 18.9 Young clients who needed education and/or training assistance, by educational enrolment status before and after support (closed support period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2689225"/>
                                </a:xfrm>
                                <a:prstGeom prst="rect">
                                  <a:avLst/>
                                </a:prstGeom>
                                <a:noFill/>
                                <a:ln>
                                  <a:noFill/>
                                </a:ln>
                              </pic:spPr>
                            </pic:pic>
                          </a:graphicData>
                        </a:graphic>
                      </wp:inline>
                    </w:drawing>
                  </w:r>
                </w:p>
              </w:tc>
            </w:tr>
          </w:tbl>
          <w:p w:rsidR="004C056F" w:rsidRDefault="004C056F" w:rsidP="004736EC">
            <w:pPr>
              <w:pStyle w:val="Figure"/>
            </w:pPr>
          </w:p>
        </w:tc>
      </w:tr>
      <w:tr w:rsidR="004C056F" w:rsidRPr="00176D3F" w:rsidTr="004736EC">
        <w:tc>
          <w:tcPr>
            <w:tcW w:w="8771" w:type="dxa"/>
            <w:tcBorders>
              <w:top w:val="nil"/>
              <w:left w:val="nil"/>
              <w:bottom w:val="nil"/>
              <w:right w:val="nil"/>
            </w:tcBorders>
            <w:shd w:val="clear" w:color="auto" w:fill="auto"/>
          </w:tcPr>
          <w:p w:rsidR="004C056F" w:rsidRPr="00176D3F" w:rsidRDefault="001937C6" w:rsidP="004736EC">
            <w:pPr>
              <w:pStyle w:val="Note"/>
            </w:pPr>
            <w:r>
              <w:rPr>
                <w:rStyle w:val="NoteLabel"/>
              </w:rPr>
              <w:t>a</w:t>
            </w:r>
            <w:r>
              <w:t xml:space="preserve"> </w:t>
            </w:r>
            <w:r w:rsidRPr="006D3797">
              <w:t xml:space="preserve">See box </w:t>
            </w:r>
            <w:r w:rsidR="007A5581">
              <w:t>18.7</w:t>
            </w:r>
            <w:r w:rsidRPr="006D3797">
              <w:t xml:space="preserve"> and table </w:t>
            </w:r>
            <w:proofErr w:type="spellStart"/>
            <w:r>
              <w:t>18</w:t>
            </w:r>
            <w:r w:rsidRPr="006D3797">
              <w:t>A.</w:t>
            </w:r>
            <w:r>
              <w:t>1</w:t>
            </w:r>
            <w:r w:rsidR="004736EC">
              <w:t>7</w:t>
            </w:r>
            <w:proofErr w:type="spellEnd"/>
            <w:r w:rsidRPr="006D3797">
              <w:t xml:space="preserve"> for detailed definitions, footnotes and caveats</w:t>
            </w:r>
            <w:r>
              <w:t>.</w:t>
            </w:r>
          </w:p>
        </w:tc>
      </w:tr>
      <w:tr w:rsidR="004C056F" w:rsidRPr="00176D3F" w:rsidTr="004736EC">
        <w:tc>
          <w:tcPr>
            <w:tcW w:w="8771" w:type="dxa"/>
            <w:tcBorders>
              <w:top w:val="nil"/>
              <w:left w:val="nil"/>
              <w:bottom w:val="nil"/>
              <w:right w:val="nil"/>
            </w:tcBorders>
            <w:shd w:val="clear" w:color="auto" w:fill="auto"/>
          </w:tcPr>
          <w:p w:rsidR="004C056F" w:rsidRPr="00176D3F" w:rsidRDefault="004C056F" w:rsidP="004736EC">
            <w:pPr>
              <w:pStyle w:val="Source"/>
            </w:pPr>
            <w:r>
              <w:rPr>
                <w:i/>
              </w:rPr>
              <w:t>S</w:t>
            </w:r>
            <w:r w:rsidRPr="00784A05">
              <w:rPr>
                <w:i/>
              </w:rPr>
              <w:t>ource</w:t>
            </w:r>
            <w:r w:rsidRPr="00176D3F">
              <w:t xml:space="preserve">: </w:t>
            </w:r>
            <w:proofErr w:type="spellStart"/>
            <w:r w:rsidRPr="008A1E70">
              <w:t>AIHW</w:t>
            </w:r>
            <w:proofErr w:type="spellEnd"/>
            <w:r w:rsidRPr="008A1E70">
              <w:t xml:space="preserve"> (unpublished) </w:t>
            </w:r>
            <w:r w:rsidR="000C1770" w:rsidRPr="000C1770">
              <w:t>Specialist Homelessness Services Collection</w:t>
            </w:r>
            <w:r>
              <w:rPr>
                <w:i/>
              </w:rPr>
              <w:t>;</w:t>
            </w:r>
            <w:r w:rsidRPr="008A1E70">
              <w:t xml:space="preserve"> table </w:t>
            </w:r>
            <w:proofErr w:type="spellStart"/>
            <w:r w:rsidRPr="008A1E70">
              <w:t>18A.1</w:t>
            </w:r>
            <w:r>
              <w:t>7</w:t>
            </w:r>
            <w:proofErr w:type="spellEnd"/>
            <w:r w:rsidRPr="008A1E70">
              <w:t>.</w:t>
            </w:r>
          </w:p>
        </w:tc>
      </w:tr>
      <w:tr w:rsidR="004C056F" w:rsidTr="004736EC">
        <w:tc>
          <w:tcPr>
            <w:tcW w:w="8771" w:type="dxa"/>
            <w:tcBorders>
              <w:top w:val="nil"/>
              <w:left w:val="nil"/>
              <w:bottom w:val="single" w:sz="6" w:space="0" w:color="78A22F"/>
              <w:right w:val="nil"/>
            </w:tcBorders>
            <w:shd w:val="clear" w:color="auto" w:fill="auto"/>
          </w:tcPr>
          <w:p w:rsidR="004C056F" w:rsidRDefault="004C056F" w:rsidP="004736EC">
            <w:pPr>
              <w:pStyle w:val="Figurespace"/>
            </w:pPr>
          </w:p>
        </w:tc>
      </w:tr>
      <w:tr w:rsidR="004C056F" w:rsidRPr="000863A5" w:rsidTr="004736EC">
        <w:tc>
          <w:tcPr>
            <w:tcW w:w="8771" w:type="dxa"/>
            <w:tcBorders>
              <w:top w:val="single" w:sz="6" w:space="0" w:color="78A22F"/>
              <w:left w:val="nil"/>
              <w:bottom w:val="nil"/>
              <w:right w:val="nil"/>
            </w:tcBorders>
          </w:tcPr>
          <w:p w:rsidR="004C056F" w:rsidRPr="00626D32" w:rsidRDefault="004C056F" w:rsidP="004736EC">
            <w:pPr>
              <w:pStyle w:val="BoxSpaceBelow"/>
            </w:pPr>
          </w:p>
        </w:tc>
      </w:tr>
    </w:tbl>
    <w:p w:rsidR="000707E5" w:rsidRPr="008A1E70" w:rsidRDefault="000707E5" w:rsidP="000707E5">
      <w:pPr>
        <w:pStyle w:val="Heading4"/>
      </w:pPr>
      <w:r>
        <w:t xml:space="preserve">Quality — </w:t>
      </w:r>
      <w:r w:rsidRPr="008A1E70">
        <w:t>Client satisfaction</w:t>
      </w:r>
    </w:p>
    <w:p w:rsidR="000707E5" w:rsidRDefault="000707E5" w:rsidP="000707E5">
      <w:pPr>
        <w:pStyle w:val="BodyText"/>
        <w:spacing w:after="240"/>
      </w:pPr>
      <w:r w:rsidRPr="004F17C9">
        <w:t xml:space="preserve">‘Client satisfaction’ is an indicator of governments’ objective to provide high quality services that meet the needs of </w:t>
      </w:r>
      <w:r>
        <w:t xml:space="preserve">clients </w:t>
      </w:r>
      <w:r w:rsidRPr="004F17C9">
        <w:t>(box</w:t>
      </w:r>
      <w:r>
        <w:t xml:space="preserve"> </w:t>
      </w:r>
      <w:r w:rsidR="007A5581">
        <w:t>18.8</w:t>
      </w:r>
      <w:r>
        <w:t>).</w:t>
      </w:r>
    </w:p>
    <w:p w:rsidR="00072EC1" w:rsidRDefault="00072EC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2EC1" w:rsidTr="004736EC">
        <w:tc>
          <w:tcPr>
            <w:tcW w:w="8771" w:type="dxa"/>
            <w:tcBorders>
              <w:top w:val="single" w:sz="6" w:space="0" w:color="78A22F"/>
              <w:left w:val="nil"/>
              <w:bottom w:val="nil"/>
              <w:right w:val="nil"/>
            </w:tcBorders>
            <w:shd w:val="clear" w:color="auto" w:fill="F2F2F2"/>
          </w:tcPr>
          <w:p w:rsidR="00072EC1" w:rsidRDefault="00072EC1" w:rsidP="00072EC1">
            <w:pPr>
              <w:pStyle w:val="BoxTitle"/>
            </w:pPr>
            <w:r>
              <w:rPr>
                <w:b w:val="0"/>
              </w:rPr>
              <w:t xml:space="preserve">Box </w:t>
            </w:r>
            <w:bookmarkStart w:id="24" w:name="OLE_LINK9"/>
            <w:r w:rsidR="007A5581">
              <w:rPr>
                <w:b w:val="0"/>
              </w:rPr>
              <w:t>18.</w:t>
            </w:r>
            <w:r w:rsidR="007A3D6D">
              <w:rPr>
                <w:b w:val="0"/>
                <w:noProof/>
              </w:rPr>
              <w:t>8</w:t>
            </w:r>
            <w:bookmarkEnd w:id="24"/>
            <w:r>
              <w:tab/>
            </w:r>
            <w:r w:rsidRPr="009E5CE0">
              <w:rPr>
                <w:color w:val="000000" w:themeColor="text1"/>
              </w:rPr>
              <w:t>Client satisfaction</w:t>
            </w:r>
          </w:p>
        </w:tc>
      </w:tr>
      <w:tr w:rsidR="00072EC1" w:rsidTr="004736EC">
        <w:trPr>
          <w:cantSplit/>
        </w:trPr>
        <w:tc>
          <w:tcPr>
            <w:tcW w:w="8771" w:type="dxa"/>
            <w:tcBorders>
              <w:top w:val="nil"/>
              <w:left w:val="nil"/>
              <w:bottom w:val="nil"/>
              <w:right w:val="nil"/>
            </w:tcBorders>
            <w:shd w:val="clear" w:color="auto" w:fill="F2F2F2"/>
          </w:tcPr>
          <w:p w:rsidR="00072EC1" w:rsidRDefault="00072EC1" w:rsidP="004736EC">
            <w:pPr>
              <w:pStyle w:val="Box"/>
              <w:rPr>
                <w:bCs/>
                <w:color w:val="000000" w:themeColor="text1"/>
              </w:rPr>
            </w:pPr>
            <w:r w:rsidRPr="00A424E8">
              <w:rPr>
                <w:bCs/>
                <w:color w:val="000000" w:themeColor="text1"/>
              </w:rPr>
              <w:t xml:space="preserve">‘Client satisfaction’ is defined as the extent to which clients find homelessness services and programs to be </w:t>
            </w:r>
            <w:r>
              <w:rPr>
                <w:bCs/>
                <w:color w:val="000000" w:themeColor="text1"/>
              </w:rPr>
              <w:t>helpful and of a high standard.</w:t>
            </w:r>
          </w:p>
          <w:p w:rsidR="00072EC1" w:rsidRDefault="00072EC1" w:rsidP="004736EC">
            <w:pPr>
              <w:pStyle w:val="Box"/>
            </w:pPr>
            <w:r w:rsidRPr="009E5CE0">
              <w:rPr>
                <w:color w:val="000000" w:themeColor="text1"/>
              </w:rPr>
              <w:t xml:space="preserve">This indicator and associated measures </w:t>
            </w:r>
            <w:r>
              <w:rPr>
                <w:color w:val="000000" w:themeColor="text1"/>
              </w:rPr>
              <w:t>are under development.</w:t>
            </w:r>
          </w:p>
        </w:tc>
      </w:tr>
      <w:tr w:rsidR="00072EC1" w:rsidTr="004736EC">
        <w:trPr>
          <w:cantSplit/>
        </w:trPr>
        <w:tc>
          <w:tcPr>
            <w:tcW w:w="8771" w:type="dxa"/>
            <w:tcBorders>
              <w:top w:val="nil"/>
              <w:left w:val="nil"/>
              <w:bottom w:val="single" w:sz="6" w:space="0" w:color="78A22F"/>
              <w:right w:val="nil"/>
            </w:tcBorders>
            <w:shd w:val="clear" w:color="auto" w:fill="F2F2F2"/>
          </w:tcPr>
          <w:p w:rsidR="00072EC1" w:rsidRDefault="00072EC1">
            <w:pPr>
              <w:pStyle w:val="Box"/>
              <w:spacing w:before="0" w:line="120" w:lineRule="exact"/>
            </w:pPr>
          </w:p>
        </w:tc>
      </w:tr>
      <w:tr w:rsidR="00072EC1" w:rsidRPr="000863A5" w:rsidTr="004736EC">
        <w:tc>
          <w:tcPr>
            <w:tcW w:w="8771" w:type="dxa"/>
            <w:tcBorders>
              <w:top w:val="single" w:sz="6" w:space="0" w:color="78A22F"/>
              <w:left w:val="nil"/>
              <w:bottom w:val="nil"/>
              <w:right w:val="nil"/>
            </w:tcBorders>
          </w:tcPr>
          <w:p w:rsidR="00072EC1" w:rsidRPr="00626D32" w:rsidRDefault="00072EC1" w:rsidP="004736EC">
            <w:pPr>
              <w:pStyle w:val="BoxSpaceBelow"/>
            </w:pPr>
          </w:p>
        </w:tc>
      </w:tr>
    </w:tbl>
    <w:p w:rsidR="000707E5" w:rsidRPr="008A1E70" w:rsidRDefault="000707E5" w:rsidP="000707E5">
      <w:pPr>
        <w:pStyle w:val="Heading3"/>
      </w:pPr>
      <w:r w:rsidRPr="008A1E70">
        <w:t>Efficiency</w:t>
      </w:r>
    </w:p>
    <w:p w:rsidR="000707E5" w:rsidRDefault="000707E5" w:rsidP="000707E5">
      <w:pPr>
        <w:pStyle w:val="BodyText"/>
        <w:rPr>
          <w:color w:val="000000" w:themeColor="text1"/>
        </w:rPr>
      </w:pPr>
      <w:r>
        <w:rPr>
          <w:color w:val="000000" w:themeColor="text1"/>
        </w:rPr>
        <w:t xml:space="preserve">Expenditure data for these indicators are provided by State and Territory governments, while data on the number of support periods, support days and clients are drawn from the </w:t>
      </w:r>
      <w:proofErr w:type="spellStart"/>
      <w:r>
        <w:rPr>
          <w:color w:val="000000" w:themeColor="text1"/>
        </w:rPr>
        <w:t>SHSC</w:t>
      </w:r>
      <w:proofErr w:type="spellEnd"/>
      <w:r>
        <w:rPr>
          <w:color w:val="000000" w:themeColor="text1"/>
        </w:rPr>
        <w:t>.</w:t>
      </w:r>
    </w:p>
    <w:p w:rsidR="000707E5" w:rsidRPr="009E5CE0" w:rsidRDefault="000707E5" w:rsidP="000707E5">
      <w:pPr>
        <w:pStyle w:val="BodyText"/>
        <w:rPr>
          <w:color w:val="000000" w:themeColor="text1"/>
        </w:rPr>
      </w:pPr>
      <w:r w:rsidRPr="009E5CE0">
        <w:rPr>
          <w:color w:val="000000" w:themeColor="text1"/>
        </w:rPr>
        <w:t xml:space="preserve">Across jurisdictions, there </w:t>
      </w:r>
      <w:r>
        <w:rPr>
          <w:color w:val="000000" w:themeColor="text1"/>
        </w:rPr>
        <w:t>may be v</w:t>
      </w:r>
      <w:r w:rsidRPr="009E5CE0">
        <w:rPr>
          <w:color w:val="000000" w:themeColor="text1"/>
        </w:rPr>
        <w:t xml:space="preserve">arying treatments of expenditure items (for example, superannuation) and different counting and reporting rules for generating financial data. Differences in expenditure data across jurisdictions </w:t>
      </w:r>
      <w:r>
        <w:rPr>
          <w:color w:val="000000" w:themeColor="text1"/>
        </w:rPr>
        <w:t xml:space="preserve">may </w:t>
      </w:r>
      <w:r w:rsidRPr="009E5CE0">
        <w:rPr>
          <w:color w:val="000000" w:themeColor="text1"/>
        </w:rPr>
        <w:t xml:space="preserve">reflect </w:t>
      </w:r>
      <w:r>
        <w:rPr>
          <w:color w:val="000000" w:themeColor="text1"/>
        </w:rPr>
        <w:t xml:space="preserve">to some extent </w:t>
      </w:r>
      <w:r w:rsidRPr="009E5CE0">
        <w:rPr>
          <w:color w:val="000000" w:themeColor="text1"/>
        </w:rPr>
        <w:t xml:space="preserve">differences in the way these data are compiled rather than variations in </w:t>
      </w:r>
      <w:r>
        <w:rPr>
          <w:color w:val="000000" w:themeColor="text1"/>
        </w:rPr>
        <w:t>costs.</w:t>
      </w:r>
    </w:p>
    <w:p w:rsidR="000707E5" w:rsidRPr="008A1E70" w:rsidRDefault="000707E5" w:rsidP="000707E5">
      <w:pPr>
        <w:pStyle w:val="Heading4"/>
      </w:pPr>
      <w:r w:rsidRPr="008A1E70">
        <w:t>Cost per completed support period</w:t>
      </w:r>
    </w:p>
    <w:p w:rsidR="000707E5" w:rsidRDefault="000707E5" w:rsidP="000707E5">
      <w:pPr>
        <w:pStyle w:val="BodyText"/>
        <w:spacing w:after="240"/>
      </w:pPr>
      <w:r w:rsidRPr="004F17C9">
        <w:t>‘Cost per completed support period’ is an indicator of governments’ objective to maximise the availability and quality of services through the efficient use of public resources (box</w:t>
      </w:r>
      <w:r>
        <w:t> </w:t>
      </w:r>
      <w:r w:rsidR="007A5581">
        <w:t>18.9</w:t>
      </w:r>
      <w:r>
        <w:t>).</w:t>
      </w:r>
    </w:p>
    <w:p w:rsidR="00072EC1" w:rsidRDefault="00072EC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2EC1" w:rsidTr="004736EC">
        <w:tc>
          <w:tcPr>
            <w:tcW w:w="8771" w:type="dxa"/>
            <w:tcBorders>
              <w:top w:val="single" w:sz="6" w:space="0" w:color="78A22F"/>
              <w:left w:val="nil"/>
              <w:bottom w:val="nil"/>
              <w:right w:val="nil"/>
            </w:tcBorders>
            <w:shd w:val="clear" w:color="auto" w:fill="F2F2F2"/>
          </w:tcPr>
          <w:p w:rsidR="00072EC1" w:rsidRDefault="00072EC1" w:rsidP="00072EC1">
            <w:pPr>
              <w:pStyle w:val="BoxTitle"/>
            </w:pPr>
            <w:r>
              <w:rPr>
                <w:b w:val="0"/>
              </w:rPr>
              <w:t xml:space="preserve">Box </w:t>
            </w:r>
            <w:bookmarkStart w:id="25" w:name="OLE_LINK10"/>
            <w:r w:rsidR="007A5581">
              <w:rPr>
                <w:b w:val="0"/>
              </w:rPr>
              <w:t>18.</w:t>
            </w:r>
            <w:r w:rsidR="007A3D6D">
              <w:rPr>
                <w:b w:val="0"/>
                <w:noProof/>
              </w:rPr>
              <w:t>9</w:t>
            </w:r>
            <w:bookmarkEnd w:id="25"/>
            <w:r>
              <w:tab/>
            </w:r>
            <w:r w:rsidRPr="009E5CE0">
              <w:rPr>
                <w:color w:val="000000" w:themeColor="text1"/>
              </w:rPr>
              <w:t>Cost per completed support period</w:t>
            </w:r>
          </w:p>
        </w:tc>
      </w:tr>
      <w:tr w:rsidR="00072EC1" w:rsidTr="004736EC">
        <w:trPr>
          <w:cantSplit/>
        </w:trPr>
        <w:tc>
          <w:tcPr>
            <w:tcW w:w="8771" w:type="dxa"/>
            <w:tcBorders>
              <w:top w:val="nil"/>
              <w:left w:val="nil"/>
              <w:bottom w:val="nil"/>
              <w:right w:val="nil"/>
            </w:tcBorders>
            <w:shd w:val="clear" w:color="auto" w:fill="F2F2F2"/>
          </w:tcPr>
          <w:p w:rsidR="00072EC1" w:rsidRPr="009E5CE0" w:rsidRDefault="00072EC1" w:rsidP="00072EC1">
            <w:pPr>
              <w:pStyle w:val="Box"/>
              <w:rPr>
                <w:color w:val="000000" w:themeColor="text1"/>
              </w:rPr>
            </w:pPr>
            <w:r>
              <w:rPr>
                <w:color w:val="000000" w:themeColor="text1"/>
              </w:rPr>
              <w:t xml:space="preserve">‘Cost per completed support period’ </w:t>
            </w:r>
            <w:r w:rsidRPr="009E5CE0">
              <w:rPr>
                <w:color w:val="000000" w:themeColor="text1"/>
              </w:rPr>
              <w:t xml:space="preserve">is defined as total </w:t>
            </w:r>
            <w:r>
              <w:rPr>
                <w:color w:val="000000" w:themeColor="text1"/>
              </w:rPr>
              <w:t xml:space="preserve">recurrent </w:t>
            </w:r>
            <w:r w:rsidRPr="009E5CE0">
              <w:rPr>
                <w:color w:val="000000" w:themeColor="text1"/>
              </w:rPr>
              <w:t>expenditure on homelessness services divided by the num</w:t>
            </w:r>
            <w:r>
              <w:rPr>
                <w:color w:val="000000" w:themeColor="text1"/>
              </w:rPr>
              <w:t>ber of completed support periods.</w:t>
            </w:r>
          </w:p>
          <w:p w:rsidR="00072EC1" w:rsidRPr="00280F26" w:rsidRDefault="00072EC1" w:rsidP="00072EC1">
            <w:pPr>
              <w:pStyle w:val="Box"/>
              <w:rPr>
                <w:color w:val="000000" w:themeColor="text1"/>
              </w:rPr>
            </w:pPr>
            <w:r w:rsidRPr="009E5CE0">
              <w:rPr>
                <w:color w:val="000000" w:themeColor="text1"/>
              </w:rPr>
              <w:t xml:space="preserve">A low or </w:t>
            </w:r>
            <w:r w:rsidRPr="00280F26">
              <w:rPr>
                <w:color w:val="000000" w:themeColor="text1"/>
              </w:rPr>
              <w:t>decreasing cost per completed support period may represent an improvement in efficiency, but may also</w:t>
            </w:r>
            <w:r>
              <w:rPr>
                <w:color w:val="000000" w:themeColor="text1"/>
              </w:rPr>
              <w:t xml:space="preserve"> indicate lower service quality</w:t>
            </w:r>
            <w:r w:rsidR="00624A66" w:rsidRPr="00570CF4">
              <w:rPr>
                <w:color w:val="000000" w:themeColor="text1"/>
              </w:rPr>
              <w:t>, shorter support periods</w:t>
            </w:r>
            <w:r>
              <w:rPr>
                <w:color w:val="000000" w:themeColor="text1"/>
              </w:rPr>
              <w:t>, service delivery across more agencies or changes in client need.</w:t>
            </w:r>
          </w:p>
          <w:p w:rsidR="00072EC1" w:rsidRPr="00280F26" w:rsidRDefault="00072EC1" w:rsidP="00072EC1">
            <w:pPr>
              <w:pStyle w:val="Box"/>
              <w:rPr>
                <w:color w:val="000000" w:themeColor="text1"/>
              </w:rPr>
            </w:pPr>
            <w:r w:rsidRPr="00280F26">
              <w:rPr>
                <w:color w:val="000000" w:themeColor="text1"/>
              </w:rPr>
              <w:t>Data reported for this indicator are:</w:t>
            </w:r>
          </w:p>
          <w:p w:rsidR="00072EC1" w:rsidRPr="00F46DB4" w:rsidRDefault="00072EC1" w:rsidP="00072EC1">
            <w:pPr>
              <w:pStyle w:val="BoxListBullet"/>
            </w:pPr>
            <w:r w:rsidRPr="00F46DB4">
              <w:t>comparable within jurisdictions over time but are not comparable across jurisdictions</w:t>
            </w:r>
          </w:p>
          <w:p w:rsidR="00072EC1" w:rsidRPr="00F46DB4" w:rsidRDefault="00072EC1" w:rsidP="00072EC1">
            <w:pPr>
              <w:pStyle w:val="BoxListBullet"/>
            </w:pPr>
            <w:r w:rsidRPr="00F46DB4">
              <w:t xml:space="preserve">complete for the current reporting period. </w:t>
            </w:r>
            <w:r>
              <w:t>All required 2014</w:t>
            </w:r>
            <w:r>
              <w:noBreakHyphen/>
              <w:t xml:space="preserve">15 </w:t>
            </w:r>
            <w:r w:rsidRPr="00F46DB4">
              <w:t>data are available for all jurisdictions.</w:t>
            </w:r>
          </w:p>
          <w:p w:rsidR="00072EC1" w:rsidRDefault="00072EC1" w:rsidP="00072EC1">
            <w:pPr>
              <w:pStyle w:val="Box"/>
            </w:pPr>
            <w:r w:rsidRPr="00C41228">
              <w:rPr>
                <w:rFonts w:cs="Arial"/>
                <w:szCs w:val="26"/>
              </w:rPr>
              <w:t>Data quality information for this indicator is under development</w:t>
            </w:r>
            <w:r>
              <w:rPr>
                <w:rFonts w:cs="Arial"/>
                <w:szCs w:val="26"/>
              </w:rPr>
              <w:t>.</w:t>
            </w:r>
          </w:p>
        </w:tc>
      </w:tr>
      <w:tr w:rsidR="00072EC1" w:rsidTr="004736EC">
        <w:trPr>
          <w:cantSplit/>
        </w:trPr>
        <w:tc>
          <w:tcPr>
            <w:tcW w:w="8771" w:type="dxa"/>
            <w:tcBorders>
              <w:top w:val="nil"/>
              <w:left w:val="nil"/>
              <w:bottom w:val="single" w:sz="6" w:space="0" w:color="78A22F"/>
              <w:right w:val="nil"/>
            </w:tcBorders>
            <w:shd w:val="clear" w:color="auto" w:fill="F2F2F2"/>
          </w:tcPr>
          <w:p w:rsidR="00072EC1" w:rsidRDefault="00072EC1">
            <w:pPr>
              <w:pStyle w:val="Box"/>
              <w:spacing w:before="0" w:line="120" w:lineRule="exact"/>
            </w:pPr>
          </w:p>
        </w:tc>
      </w:tr>
      <w:tr w:rsidR="00072EC1" w:rsidRPr="000863A5" w:rsidTr="004736EC">
        <w:tc>
          <w:tcPr>
            <w:tcW w:w="8771" w:type="dxa"/>
            <w:tcBorders>
              <w:top w:val="single" w:sz="6" w:space="0" w:color="78A22F"/>
              <w:left w:val="nil"/>
              <w:bottom w:val="nil"/>
              <w:right w:val="nil"/>
            </w:tcBorders>
          </w:tcPr>
          <w:p w:rsidR="00072EC1" w:rsidRPr="00626D32" w:rsidRDefault="00072EC1" w:rsidP="004736EC">
            <w:pPr>
              <w:pStyle w:val="BoxSpaceBelow"/>
            </w:pPr>
          </w:p>
        </w:tc>
      </w:tr>
    </w:tbl>
    <w:p w:rsidR="000707E5" w:rsidRDefault="000707E5" w:rsidP="004736EC">
      <w:pPr>
        <w:pStyle w:val="BodyText"/>
        <w:spacing w:before="360" w:after="240"/>
      </w:pPr>
      <w:r w:rsidRPr="004F17C9">
        <w:t xml:space="preserve">Nationally, the recurrent cost per completed support </w:t>
      </w:r>
      <w:r w:rsidRPr="003F231F">
        <w:rPr>
          <w:color w:val="000000" w:themeColor="text1"/>
        </w:rPr>
        <w:t xml:space="preserve">period was </w:t>
      </w:r>
      <w:r w:rsidRPr="005323DE">
        <w:rPr>
          <w:color w:val="000000" w:themeColor="text1"/>
        </w:rPr>
        <w:t>$1</w:t>
      </w:r>
      <w:r w:rsidR="004736EC" w:rsidRPr="005323DE">
        <w:rPr>
          <w:color w:val="000000" w:themeColor="text1"/>
        </w:rPr>
        <w:t>8</w:t>
      </w:r>
      <w:r w:rsidR="007C2434" w:rsidRPr="005323DE">
        <w:rPr>
          <w:color w:val="000000" w:themeColor="text1"/>
        </w:rPr>
        <w:t>64</w:t>
      </w:r>
      <w:r w:rsidRPr="005323DE">
        <w:rPr>
          <w:color w:val="000000" w:themeColor="text1"/>
        </w:rPr>
        <w:t xml:space="preserve"> in 2014</w:t>
      </w:r>
      <w:r w:rsidRPr="005323DE">
        <w:rPr>
          <w:color w:val="000000" w:themeColor="text1"/>
        </w:rPr>
        <w:noBreakHyphen/>
        <w:t xml:space="preserve">15 — </w:t>
      </w:r>
      <w:r w:rsidR="004736EC" w:rsidRPr="005323DE">
        <w:rPr>
          <w:color w:val="000000" w:themeColor="text1"/>
        </w:rPr>
        <w:t xml:space="preserve">an increase of </w:t>
      </w:r>
      <w:r w:rsidR="00315CD9" w:rsidRPr="005323DE">
        <w:rPr>
          <w:color w:val="000000" w:themeColor="text1"/>
        </w:rPr>
        <w:t>4.7</w:t>
      </w:r>
      <w:r w:rsidR="004736EC" w:rsidRPr="005323DE">
        <w:rPr>
          <w:color w:val="000000" w:themeColor="text1"/>
        </w:rPr>
        <w:t> per cent</w:t>
      </w:r>
      <w:r w:rsidR="004736EC">
        <w:rPr>
          <w:color w:val="000000" w:themeColor="text1"/>
        </w:rPr>
        <w:t xml:space="preserve"> from 2011</w:t>
      </w:r>
      <w:r w:rsidR="004736EC">
        <w:rPr>
          <w:color w:val="000000" w:themeColor="text1"/>
        </w:rPr>
        <w:noBreakHyphen/>
        <w:t>12</w:t>
      </w:r>
      <w:r>
        <w:rPr>
          <w:color w:val="000000" w:themeColor="text1"/>
        </w:rPr>
        <w:t xml:space="preserve"> </w:t>
      </w:r>
      <w:r w:rsidRPr="004F17C9">
        <w:t>(figure</w:t>
      </w:r>
      <w:r w:rsidR="004736EC">
        <w:t> </w:t>
      </w:r>
      <w:r w:rsidR="007A5581">
        <w:t>18.10</w:t>
      </w:r>
      <w:r w:rsidRPr="004F17C9">
        <w:t>).</w:t>
      </w:r>
    </w:p>
    <w:p w:rsidR="004736EC" w:rsidRDefault="004736EC" w:rsidP="004736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736EC" w:rsidTr="004736EC">
        <w:tc>
          <w:tcPr>
            <w:tcW w:w="8771" w:type="dxa"/>
            <w:tcBorders>
              <w:top w:val="single" w:sz="6" w:space="0" w:color="78A22F"/>
              <w:left w:val="nil"/>
              <w:bottom w:val="nil"/>
              <w:right w:val="nil"/>
            </w:tcBorders>
            <w:shd w:val="clear" w:color="auto" w:fill="auto"/>
          </w:tcPr>
          <w:p w:rsidR="004736EC" w:rsidRPr="00176D3F" w:rsidRDefault="004736EC" w:rsidP="004736EC">
            <w:pPr>
              <w:pStyle w:val="FigureTitle"/>
            </w:pPr>
            <w:r w:rsidRPr="00784A05">
              <w:rPr>
                <w:b w:val="0"/>
              </w:rPr>
              <w:t xml:space="preserve">Figure </w:t>
            </w:r>
            <w:bookmarkStart w:id="26" w:name="OLE_LINK11"/>
            <w:r w:rsidR="007A5581">
              <w:rPr>
                <w:b w:val="0"/>
              </w:rPr>
              <w:t>18.</w:t>
            </w:r>
            <w:r w:rsidR="007A3D6D">
              <w:rPr>
                <w:b w:val="0"/>
                <w:noProof/>
              </w:rPr>
              <w:t>10</w:t>
            </w:r>
            <w:bookmarkEnd w:id="26"/>
            <w:r>
              <w:tab/>
            </w:r>
            <w:r w:rsidRPr="008A1E70">
              <w:t>Real recurrent cost per completed support period, 201</w:t>
            </w:r>
            <w:r>
              <w:t>4</w:t>
            </w:r>
            <w:r>
              <w:noBreakHyphen/>
              <w:t>15 </w:t>
            </w:r>
            <w:r w:rsidRPr="008A1E70">
              <w:t>dollars</w:t>
            </w:r>
            <w:r w:rsidRPr="008A1E70">
              <w:rPr>
                <w:rStyle w:val="NoteLabel"/>
                <w:b/>
              </w:rPr>
              <w:t>a</w:t>
            </w:r>
          </w:p>
        </w:tc>
      </w:tr>
      <w:tr w:rsidR="004736EC" w:rsidTr="005323DE">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4736EC" w:rsidTr="005323DE">
              <w:trPr>
                <w:jc w:val="center"/>
              </w:trPr>
              <w:tc>
                <w:tcPr>
                  <w:tcW w:w="5000" w:type="pct"/>
                  <w:tcBorders>
                    <w:top w:val="nil"/>
                    <w:bottom w:val="nil"/>
                  </w:tcBorders>
                  <w:shd w:val="clear" w:color="auto" w:fill="auto"/>
                </w:tcPr>
                <w:p w:rsidR="004736EC" w:rsidRDefault="00A701B9" w:rsidP="00315CD9">
                  <w:pPr>
                    <w:pStyle w:val="Figure"/>
                  </w:pPr>
                  <w:r>
                    <w:rPr>
                      <w:noProof/>
                    </w:rPr>
                    <w:drawing>
                      <wp:inline distT="0" distB="0" distL="0" distR="0">
                        <wp:extent cx="5400040" cy="2689225"/>
                        <wp:effectExtent l="0" t="0" r="0" b="0"/>
                        <wp:docPr id="11" name="Picture 11" descr="Figure 18.10 Real recurrent cost per completed support period,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040" cy="2689225"/>
                                </a:xfrm>
                                <a:prstGeom prst="rect">
                                  <a:avLst/>
                                </a:prstGeom>
                                <a:noFill/>
                                <a:ln>
                                  <a:noFill/>
                                </a:ln>
                              </pic:spPr>
                            </pic:pic>
                          </a:graphicData>
                        </a:graphic>
                      </wp:inline>
                    </w:drawing>
                  </w:r>
                </w:p>
              </w:tc>
            </w:tr>
          </w:tbl>
          <w:p w:rsidR="004736EC" w:rsidRDefault="004736EC" w:rsidP="004736EC">
            <w:pPr>
              <w:pStyle w:val="Figure"/>
            </w:pPr>
          </w:p>
        </w:tc>
      </w:tr>
      <w:tr w:rsidR="004736EC" w:rsidRPr="00176D3F" w:rsidTr="004736EC">
        <w:tc>
          <w:tcPr>
            <w:tcW w:w="8771" w:type="dxa"/>
            <w:tcBorders>
              <w:top w:val="nil"/>
              <w:left w:val="nil"/>
              <w:bottom w:val="nil"/>
              <w:right w:val="nil"/>
            </w:tcBorders>
            <w:shd w:val="clear" w:color="auto" w:fill="auto"/>
          </w:tcPr>
          <w:p w:rsidR="004736EC" w:rsidRPr="00176D3F" w:rsidRDefault="004736EC" w:rsidP="004736EC">
            <w:pPr>
              <w:pStyle w:val="Note"/>
            </w:pPr>
            <w:r>
              <w:rPr>
                <w:rStyle w:val="NoteLabel"/>
              </w:rPr>
              <w:t>a</w:t>
            </w:r>
            <w:r>
              <w:t xml:space="preserve"> </w:t>
            </w:r>
            <w:r w:rsidRPr="006D3797">
              <w:t xml:space="preserve">See box </w:t>
            </w:r>
            <w:r w:rsidR="007A5581">
              <w:t>18.9</w:t>
            </w:r>
            <w:r w:rsidRPr="006D3797">
              <w:t xml:space="preserve"> and table </w:t>
            </w:r>
            <w:proofErr w:type="spellStart"/>
            <w:r>
              <w:t>18</w:t>
            </w:r>
            <w:r w:rsidRPr="006D3797">
              <w:t>A.</w:t>
            </w:r>
            <w:r>
              <w:t>18</w:t>
            </w:r>
            <w:proofErr w:type="spellEnd"/>
            <w:r w:rsidRPr="006D3797">
              <w:t xml:space="preserve"> for detailed definitions, footnotes and caveats</w:t>
            </w:r>
            <w:r>
              <w:t>.</w:t>
            </w:r>
          </w:p>
        </w:tc>
      </w:tr>
      <w:tr w:rsidR="004736EC" w:rsidRPr="00176D3F" w:rsidTr="004736EC">
        <w:tc>
          <w:tcPr>
            <w:tcW w:w="8771" w:type="dxa"/>
            <w:tcBorders>
              <w:top w:val="nil"/>
              <w:left w:val="nil"/>
              <w:bottom w:val="nil"/>
              <w:right w:val="nil"/>
            </w:tcBorders>
            <w:shd w:val="clear" w:color="auto" w:fill="auto"/>
          </w:tcPr>
          <w:p w:rsidR="004736EC" w:rsidRPr="00176D3F" w:rsidRDefault="004736EC" w:rsidP="004736EC">
            <w:pPr>
              <w:pStyle w:val="Source"/>
            </w:pPr>
            <w:r w:rsidRPr="00266589">
              <w:rPr>
                <w:i/>
              </w:rPr>
              <w:t>Source</w:t>
            </w:r>
            <w:r w:rsidRPr="007D1EA0">
              <w:t>:</w:t>
            </w:r>
            <w:r w:rsidRPr="00266589">
              <w:rPr>
                <w:i/>
              </w:rPr>
              <w:t xml:space="preserve"> </w:t>
            </w:r>
            <w:proofErr w:type="spellStart"/>
            <w:r w:rsidRPr="00266589">
              <w:t>AIHW</w:t>
            </w:r>
            <w:proofErr w:type="spellEnd"/>
            <w:r w:rsidRPr="00266589">
              <w:t xml:space="preserve"> (unpublished) </w:t>
            </w:r>
            <w:r w:rsidR="000C1770" w:rsidRPr="000C1770">
              <w:t>Specialist Homelessness Services Collection</w:t>
            </w:r>
            <w:r>
              <w:t xml:space="preserve">; </w:t>
            </w:r>
            <w:r w:rsidRPr="00266589">
              <w:t>Australian, State and Territory governments (unpublished); table</w:t>
            </w:r>
            <w:r>
              <w:t>s</w:t>
            </w:r>
            <w:r w:rsidRPr="00266589">
              <w:t xml:space="preserve"> </w:t>
            </w:r>
            <w:proofErr w:type="spellStart"/>
            <w:r w:rsidRPr="00266589">
              <w:t>18A.1</w:t>
            </w:r>
            <w:r>
              <w:t>8</w:t>
            </w:r>
            <w:proofErr w:type="spellEnd"/>
            <w:r w:rsidRPr="00266589">
              <w:t xml:space="preserve"> and </w:t>
            </w:r>
            <w:proofErr w:type="spellStart"/>
            <w:r>
              <w:t>18A.34</w:t>
            </w:r>
            <w:proofErr w:type="spellEnd"/>
            <w:r w:rsidRPr="00266589">
              <w:rPr>
                <w:i/>
              </w:rPr>
              <w:t>.</w:t>
            </w:r>
          </w:p>
        </w:tc>
      </w:tr>
      <w:tr w:rsidR="004736EC" w:rsidTr="004736EC">
        <w:tc>
          <w:tcPr>
            <w:tcW w:w="8771" w:type="dxa"/>
            <w:tcBorders>
              <w:top w:val="nil"/>
              <w:left w:val="nil"/>
              <w:bottom w:val="single" w:sz="6" w:space="0" w:color="78A22F"/>
              <w:right w:val="nil"/>
            </w:tcBorders>
            <w:shd w:val="clear" w:color="auto" w:fill="auto"/>
          </w:tcPr>
          <w:p w:rsidR="004736EC" w:rsidRDefault="004736EC" w:rsidP="004736EC">
            <w:pPr>
              <w:pStyle w:val="Figurespace"/>
            </w:pPr>
          </w:p>
        </w:tc>
      </w:tr>
      <w:tr w:rsidR="004736EC" w:rsidRPr="000863A5" w:rsidTr="004736EC">
        <w:tc>
          <w:tcPr>
            <w:tcW w:w="8771" w:type="dxa"/>
            <w:tcBorders>
              <w:top w:val="single" w:sz="6" w:space="0" w:color="78A22F"/>
              <w:left w:val="nil"/>
              <w:bottom w:val="nil"/>
              <w:right w:val="nil"/>
            </w:tcBorders>
          </w:tcPr>
          <w:p w:rsidR="004736EC" w:rsidRPr="00626D32" w:rsidRDefault="004736EC" w:rsidP="004736EC">
            <w:pPr>
              <w:pStyle w:val="BoxSpaceBelow"/>
            </w:pPr>
          </w:p>
        </w:tc>
      </w:tr>
    </w:tbl>
    <w:p w:rsidR="000707E5" w:rsidRPr="00022044" w:rsidRDefault="000707E5" w:rsidP="000707E5">
      <w:pPr>
        <w:pStyle w:val="Heading4"/>
      </w:pPr>
      <w:r w:rsidRPr="00022044">
        <w:t>Cost per client</w:t>
      </w:r>
    </w:p>
    <w:p w:rsidR="000707E5" w:rsidRDefault="000707E5" w:rsidP="000707E5">
      <w:pPr>
        <w:pStyle w:val="BodyText"/>
        <w:spacing w:after="240"/>
      </w:pPr>
      <w:r w:rsidRPr="004F17C9">
        <w:t>‘Cost per client’ is an indicator of governments’ objective to maximise the availability and quality of services through the efficient use of public resources (bo</w:t>
      </w:r>
      <w:r>
        <w:t>x </w:t>
      </w:r>
      <w:r w:rsidR="007A5581">
        <w:t>18.10</w:t>
      </w:r>
      <w:r>
        <w:t>).</w:t>
      </w:r>
    </w:p>
    <w:p w:rsidR="00290407" w:rsidRDefault="002904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0407" w:rsidTr="00B85BFD">
        <w:tc>
          <w:tcPr>
            <w:tcW w:w="8771" w:type="dxa"/>
            <w:tcBorders>
              <w:top w:val="single" w:sz="6" w:space="0" w:color="78A22F"/>
              <w:left w:val="nil"/>
              <w:bottom w:val="nil"/>
              <w:right w:val="nil"/>
            </w:tcBorders>
            <w:shd w:val="clear" w:color="auto" w:fill="F2F2F2"/>
          </w:tcPr>
          <w:p w:rsidR="00290407" w:rsidRDefault="00290407" w:rsidP="00290407">
            <w:pPr>
              <w:pStyle w:val="BoxTitle"/>
            </w:pPr>
            <w:r>
              <w:rPr>
                <w:b w:val="0"/>
              </w:rPr>
              <w:t xml:space="preserve">Box </w:t>
            </w:r>
            <w:bookmarkStart w:id="27" w:name="OLE_LINK12"/>
            <w:r w:rsidR="007A5581">
              <w:rPr>
                <w:b w:val="0"/>
              </w:rPr>
              <w:t>18.</w:t>
            </w:r>
            <w:r w:rsidR="007A3D6D">
              <w:rPr>
                <w:b w:val="0"/>
                <w:noProof/>
              </w:rPr>
              <w:t>10</w:t>
            </w:r>
            <w:bookmarkEnd w:id="27"/>
            <w:r>
              <w:tab/>
            </w:r>
            <w:r w:rsidRPr="009E5CE0">
              <w:rPr>
                <w:color w:val="000000" w:themeColor="text1"/>
              </w:rPr>
              <w:t>Cost per client</w:t>
            </w:r>
          </w:p>
        </w:tc>
      </w:tr>
      <w:tr w:rsidR="00290407" w:rsidTr="00B85BFD">
        <w:trPr>
          <w:cantSplit/>
        </w:trPr>
        <w:tc>
          <w:tcPr>
            <w:tcW w:w="8771" w:type="dxa"/>
            <w:tcBorders>
              <w:top w:val="nil"/>
              <w:left w:val="nil"/>
              <w:bottom w:val="nil"/>
              <w:right w:val="nil"/>
            </w:tcBorders>
            <w:shd w:val="clear" w:color="auto" w:fill="F2F2F2"/>
          </w:tcPr>
          <w:p w:rsidR="00290407" w:rsidRPr="009E5CE0" w:rsidRDefault="00290407" w:rsidP="00290407">
            <w:pPr>
              <w:pStyle w:val="Box"/>
              <w:rPr>
                <w:color w:val="000000" w:themeColor="text1"/>
              </w:rPr>
            </w:pPr>
            <w:r>
              <w:rPr>
                <w:color w:val="000000" w:themeColor="text1"/>
              </w:rPr>
              <w:t xml:space="preserve">‘Cost per client’ </w:t>
            </w:r>
            <w:r w:rsidRPr="009E5CE0">
              <w:rPr>
                <w:color w:val="000000" w:themeColor="text1"/>
              </w:rPr>
              <w:t xml:space="preserve">is defined as total </w:t>
            </w:r>
            <w:r>
              <w:rPr>
                <w:color w:val="000000" w:themeColor="text1"/>
              </w:rPr>
              <w:t xml:space="preserve">recurrent </w:t>
            </w:r>
            <w:r w:rsidRPr="009E5CE0">
              <w:rPr>
                <w:color w:val="000000" w:themeColor="text1"/>
              </w:rPr>
              <w:t xml:space="preserve">expenditure on homelessness services divided by the number of </w:t>
            </w:r>
            <w:r>
              <w:rPr>
                <w:color w:val="000000" w:themeColor="text1"/>
              </w:rPr>
              <w:t>clients provided with a service.</w:t>
            </w:r>
          </w:p>
          <w:p w:rsidR="00290407" w:rsidRPr="00BD10CD" w:rsidRDefault="00290407" w:rsidP="00290407">
            <w:pPr>
              <w:pStyle w:val="Box"/>
              <w:rPr>
                <w:color w:val="000000" w:themeColor="text1"/>
              </w:rPr>
            </w:pPr>
            <w:r w:rsidRPr="009E5CE0">
              <w:rPr>
                <w:color w:val="000000" w:themeColor="text1"/>
              </w:rPr>
              <w:t xml:space="preserve">A low or decreasing cost per client </w:t>
            </w:r>
            <w:r>
              <w:rPr>
                <w:color w:val="000000" w:themeColor="text1"/>
              </w:rPr>
              <w:t xml:space="preserve">may </w:t>
            </w:r>
            <w:r w:rsidRPr="009E5CE0">
              <w:rPr>
                <w:color w:val="000000" w:themeColor="text1"/>
              </w:rPr>
              <w:t>represent</w:t>
            </w:r>
            <w:r>
              <w:rPr>
                <w:color w:val="000000" w:themeColor="text1"/>
              </w:rPr>
              <w:t xml:space="preserve"> </w:t>
            </w:r>
            <w:r w:rsidRPr="009E5CE0">
              <w:rPr>
                <w:color w:val="000000" w:themeColor="text1"/>
              </w:rPr>
              <w:t xml:space="preserve">an </w:t>
            </w:r>
            <w:r>
              <w:rPr>
                <w:color w:val="000000" w:themeColor="text1"/>
              </w:rPr>
              <w:t>improvement in efficiency, but may a</w:t>
            </w:r>
            <w:r w:rsidRPr="009E5CE0">
              <w:rPr>
                <w:color w:val="000000" w:themeColor="text1"/>
              </w:rPr>
              <w:t xml:space="preserve">lso indicate lower </w:t>
            </w:r>
            <w:r>
              <w:rPr>
                <w:color w:val="000000" w:themeColor="text1"/>
              </w:rPr>
              <w:t xml:space="preserve">service quality </w:t>
            </w:r>
            <w:r w:rsidRPr="00000AAB">
              <w:rPr>
                <w:color w:val="000000" w:themeColor="text1"/>
              </w:rPr>
              <w:t xml:space="preserve">or </w:t>
            </w:r>
            <w:r>
              <w:rPr>
                <w:color w:val="000000" w:themeColor="text1"/>
              </w:rPr>
              <w:t>less complex client needs.</w:t>
            </w:r>
          </w:p>
          <w:p w:rsidR="00290407" w:rsidRPr="00BD10CD" w:rsidRDefault="00290407" w:rsidP="00290407">
            <w:pPr>
              <w:pStyle w:val="Box"/>
              <w:rPr>
                <w:color w:val="000000" w:themeColor="text1"/>
              </w:rPr>
            </w:pPr>
            <w:r w:rsidRPr="00BD10CD">
              <w:rPr>
                <w:color w:val="000000" w:themeColor="text1"/>
              </w:rPr>
              <w:t>Data reported for this indicator are:</w:t>
            </w:r>
          </w:p>
          <w:p w:rsidR="00290407" w:rsidRPr="00BD10CD" w:rsidRDefault="00290407" w:rsidP="00290407">
            <w:pPr>
              <w:pStyle w:val="BoxListBullet"/>
              <w:rPr>
                <w:color w:val="000000" w:themeColor="text1"/>
              </w:rPr>
            </w:pPr>
            <w:r w:rsidRPr="00BD10CD">
              <w:rPr>
                <w:color w:val="000000" w:themeColor="text1"/>
              </w:rPr>
              <w:t>comparable within jurisdictions over time but are not comparable across jurisdictions</w:t>
            </w:r>
          </w:p>
          <w:p w:rsidR="00290407" w:rsidRPr="00BD10CD" w:rsidRDefault="00290407" w:rsidP="00290407">
            <w:pPr>
              <w:pStyle w:val="BoxListBullet"/>
              <w:rPr>
                <w:color w:val="000000" w:themeColor="text1"/>
              </w:rPr>
            </w:pPr>
            <w:r w:rsidRPr="00BD10CD">
              <w:rPr>
                <w:color w:val="000000" w:themeColor="text1"/>
              </w:rPr>
              <w:t xml:space="preserve">complete for the current reporting period. </w:t>
            </w:r>
            <w:r>
              <w:rPr>
                <w:color w:val="000000" w:themeColor="text1"/>
              </w:rPr>
              <w:t>All required 2014</w:t>
            </w:r>
            <w:r>
              <w:rPr>
                <w:color w:val="000000" w:themeColor="text1"/>
              </w:rPr>
              <w:noBreakHyphen/>
              <w:t xml:space="preserve">15 </w:t>
            </w:r>
            <w:r w:rsidRPr="00BD10CD">
              <w:rPr>
                <w:color w:val="000000" w:themeColor="text1"/>
              </w:rPr>
              <w:t>data are available for all jurisdictions</w:t>
            </w:r>
            <w:r>
              <w:rPr>
                <w:color w:val="000000" w:themeColor="text1"/>
              </w:rPr>
              <w:t>.</w:t>
            </w:r>
          </w:p>
          <w:p w:rsidR="00290407" w:rsidRDefault="00290407" w:rsidP="00290407">
            <w:pPr>
              <w:pStyle w:val="Box"/>
            </w:pPr>
            <w:r w:rsidRPr="00BD10CD">
              <w:rPr>
                <w:color w:val="000000" w:themeColor="text1"/>
              </w:rPr>
              <w:t>Data quality information for this indicator is under development.</w:t>
            </w:r>
          </w:p>
        </w:tc>
      </w:tr>
      <w:tr w:rsidR="00290407" w:rsidTr="00B85BFD">
        <w:trPr>
          <w:cantSplit/>
        </w:trPr>
        <w:tc>
          <w:tcPr>
            <w:tcW w:w="8771" w:type="dxa"/>
            <w:tcBorders>
              <w:top w:val="nil"/>
              <w:left w:val="nil"/>
              <w:bottom w:val="single" w:sz="6" w:space="0" w:color="78A22F"/>
              <w:right w:val="nil"/>
            </w:tcBorders>
            <w:shd w:val="clear" w:color="auto" w:fill="F2F2F2"/>
          </w:tcPr>
          <w:p w:rsidR="00290407" w:rsidRDefault="00290407">
            <w:pPr>
              <w:pStyle w:val="Box"/>
              <w:spacing w:before="0" w:line="120" w:lineRule="exact"/>
            </w:pPr>
          </w:p>
        </w:tc>
      </w:tr>
      <w:tr w:rsidR="00290407" w:rsidRPr="000863A5" w:rsidTr="00B85BFD">
        <w:tc>
          <w:tcPr>
            <w:tcW w:w="8771" w:type="dxa"/>
            <w:tcBorders>
              <w:top w:val="single" w:sz="6" w:space="0" w:color="78A22F"/>
              <w:left w:val="nil"/>
              <w:bottom w:val="nil"/>
              <w:right w:val="nil"/>
            </w:tcBorders>
          </w:tcPr>
          <w:p w:rsidR="00290407" w:rsidRPr="00626D32" w:rsidRDefault="00290407" w:rsidP="00B85BFD">
            <w:pPr>
              <w:pStyle w:val="BoxSpaceBelow"/>
            </w:pPr>
          </w:p>
        </w:tc>
      </w:tr>
    </w:tbl>
    <w:p w:rsidR="000707E5" w:rsidRDefault="000707E5" w:rsidP="000707E5">
      <w:pPr>
        <w:pStyle w:val="BodyText"/>
      </w:pPr>
      <w:r w:rsidRPr="00FD0D28">
        <w:t xml:space="preserve">Nationally, the recurrent cost per client accessing homelessness services was </w:t>
      </w:r>
      <w:r w:rsidRPr="005323DE">
        <w:t>$</w:t>
      </w:r>
      <w:r w:rsidR="007C2434" w:rsidRPr="005323DE">
        <w:t>2766</w:t>
      </w:r>
      <w:r w:rsidRPr="005323DE">
        <w:t xml:space="preserve"> in 2014</w:t>
      </w:r>
      <w:r w:rsidRPr="005323DE">
        <w:noBreakHyphen/>
        <w:t xml:space="preserve">15 </w:t>
      </w:r>
      <w:r w:rsidR="00290407" w:rsidRPr="005323DE">
        <w:rPr>
          <w:color w:val="000000" w:themeColor="text1"/>
        </w:rPr>
        <w:t>— an increase of 1</w:t>
      </w:r>
      <w:r w:rsidR="00315CD9" w:rsidRPr="005323DE">
        <w:rPr>
          <w:color w:val="000000" w:themeColor="text1"/>
        </w:rPr>
        <w:t>0</w:t>
      </w:r>
      <w:r w:rsidR="007C2434" w:rsidRPr="005323DE">
        <w:rPr>
          <w:color w:val="000000" w:themeColor="text1"/>
        </w:rPr>
        <w:t>.4</w:t>
      </w:r>
      <w:r w:rsidR="00290407" w:rsidRPr="005323DE">
        <w:rPr>
          <w:color w:val="000000" w:themeColor="text1"/>
        </w:rPr>
        <w:t> per cent</w:t>
      </w:r>
      <w:r w:rsidR="00290407">
        <w:rPr>
          <w:color w:val="000000" w:themeColor="text1"/>
        </w:rPr>
        <w:t xml:space="preserve"> from 2011</w:t>
      </w:r>
      <w:r w:rsidR="00290407">
        <w:rPr>
          <w:color w:val="000000" w:themeColor="text1"/>
        </w:rPr>
        <w:noBreakHyphen/>
        <w:t xml:space="preserve">12 </w:t>
      </w:r>
      <w:r w:rsidRPr="00FD0D28">
        <w:t xml:space="preserve">(figure </w:t>
      </w:r>
      <w:r w:rsidR="007A5581">
        <w:t>18.11</w:t>
      </w:r>
      <w:r w:rsidRPr="00FD0D28">
        <w:t>).</w:t>
      </w:r>
    </w:p>
    <w:p w:rsidR="00290407" w:rsidRDefault="00290407" w:rsidP="00B85B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0407" w:rsidTr="00B85BFD">
        <w:tc>
          <w:tcPr>
            <w:tcW w:w="8771" w:type="dxa"/>
            <w:tcBorders>
              <w:top w:val="single" w:sz="6" w:space="0" w:color="78A22F"/>
              <w:left w:val="nil"/>
              <w:bottom w:val="nil"/>
              <w:right w:val="nil"/>
            </w:tcBorders>
            <w:shd w:val="clear" w:color="auto" w:fill="auto"/>
          </w:tcPr>
          <w:p w:rsidR="00290407" w:rsidRPr="00176D3F" w:rsidRDefault="00290407" w:rsidP="00290407">
            <w:pPr>
              <w:pStyle w:val="FigureTitle"/>
            </w:pPr>
            <w:r w:rsidRPr="00784A05">
              <w:rPr>
                <w:b w:val="0"/>
              </w:rPr>
              <w:t xml:space="preserve">Figure </w:t>
            </w:r>
            <w:bookmarkStart w:id="28" w:name="OLE_LINK13"/>
            <w:r w:rsidR="007A5581">
              <w:rPr>
                <w:b w:val="0"/>
              </w:rPr>
              <w:t>18.</w:t>
            </w:r>
            <w:r w:rsidR="007A3D6D">
              <w:rPr>
                <w:b w:val="0"/>
                <w:noProof/>
              </w:rPr>
              <w:t>11</w:t>
            </w:r>
            <w:bookmarkEnd w:id="28"/>
            <w:r>
              <w:tab/>
            </w:r>
            <w:r w:rsidRPr="0091207A">
              <w:t>Real recurrent cost per client accessing homelessness services, 2014</w:t>
            </w:r>
            <w:r>
              <w:noBreakHyphen/>
              <w:t>15 </w:t>
            </w:r>
            <w:r w:rsidRPr="0091207A">
              <w:t>dollars</w:t>
            </w:r>
            <w:r w:rsidRPr="0091207A">
              <w:rPr>
                <w:rStyle w:val="NoteLabel"/>
                <w:b/>
              </w:rPr>
              <w:t>a</w:t>
            </w:r>
          </w:p>
        </w:tc>
      </w:tr>
      <w:tr w:rsidR="00290407" w:rsidTr="005323DE">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290407" w:rsidTr="000C1770">
              <w:trPr>
                <w:jc w:val="center"/>
              </w:trPr>
              <w:tc>
                <w:tcPr>
                  <w:tcW w:w="5000" w:type="pct"/>
                  <w:tcBorders>
                    <w:top w:val="nil"/>
                    <w:bottom w:val="nil"/>
                  </w:tcBorders>
                </w:tcPr>
                <w:p w:rsidR="00290407" w:rsidRPr="00315CD9" w:rsidRDefault="00A701B9" w:rsidP="00315CD9">
                  <w:pPr>
                    <w:pStyle w:val="Figure"/>
                  </w:pPr>
                  <w:r>
                    <w:rPr>
                      <w:noProof/>
                    </w:rPr>
                    <w:drawing>
                      <wp:inline distT="0" distB="0" distL="0" distR="0">
                        <wp:extent cx="5400040" cy="2689225"/>
                        <wp:effectExtent l="0" t="0" r="0" b="0"/>
                        <wp:docPr id="12" name="Picture 12" descr="Figure 18.11 Real recurrent cost per client accessing homelessness services,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040" cy="2689225"/>
                                </a:xfrm>
                                <a:prstGeom prst="rect">
                                  <a:avLst/>
                                </a:prstGeom>
                                <a:noFill/>
                                <a:ln>
                                  <a:noFill/>
                                </a:ln>
                              </pic:spPr>
                            </pic:pic>
                          </a:graphicData>
                        </a:graphic>
                      </wp:inline>
                    </w:drawing>
                  </w:r>
                </w:p>
              </w:tc>
            </w:tr>
          </w:tbl>
          <w:p w:rsidR="00290407" w:rsidRDefault="00290407" w:rsidP="00B85BFD">
            <w:pPr>
              <w:pStyle w:val="Figure"/>
            </w:pPr>
          </w:p>
        </w:tc>
      </w:tr>
      <w:tr w:rsidR="00290407" w:rsidRPr="00176D3F" w:rsidTr="00B85BFD">
        <w:tc>
          <w:tcPr>
            <w:tcW w:w="8771" w:type="dxa"/>
            <w:tcBorders>
              <w:top w:val="nil"/>
              <w:left w:val="nil"/>
              <w:bottom w:val="nil"/>
              <w:right w:val="nil"/>
            </w:tcBorders>
            <w:shd w:val="clear" w:color="auto" w:fill="auto"/>
          </w:tcPr>
          <w:p w:rsidR="00290407" w:rsidRPr="00176D3F" w:rsidRDefault="00290407" w:rsidP="00290407">
            <w:pPr>
              <w:pStyle w:val="Note"/>
            </w:pPr>
            <w:r>
              <w:rPr>
                <w:rStyle w:val="NoteLabel"/>
              </w:rPr>
              <w:t>a</w:t>
            </w:r>
            <w:r>
              <w:t xml:space="preserve"> </w:t>
            </w:r>
            <w:r w:rsidRPr="006D3797">
              <w:t xml:space="preserve">See box </w:t>
            </w:r>
            <w:r w:rsidR="007A5581">
              <w:t>18.10</w:t>
            </w:r>
            <w:r w:rsidRPr="006D3797">
              <w:t xml:space="preserve"> and table </w:t>
            </w:r>
            <w:proofErr w:type="spellStart"/>
            <w:r>
              <w:t>18</w:t>
            </w:r>
            <w:r w:rsidRPr="006D3797">
              <w:t>A.</w:t>
            </w:r>
            <w:r>
              <w:t>19</w:t>
            </w:r>
            <w:proofErr w:type="spellEnd"/>
            <w:r w:rsidRPr="006D3797">
              <w:t xml:space="preserve"> for detailed definitions, footnotes and caveats</w:t>
            </w:r>
            <w:r>
              <w:t>.</w:t>
            </w:r>
          </w:p>
        </w:tc>
      </w:tr>
      <w:tr w:rsidR="00290407" w:rsidRPr="00176D3F" w:rsidTr="00B85BFD">
        <w:tc>
          <w:tcPr>
            <w:tcW w:w="8771" w:type="dxa"/>
            <w:tcBorders>
              <w:top w:val="nil"/>
              <w:left w:val="nil"/>
              <w:bottom w:val="nil"/>
              <w:right w:val="nil"/>
            </w:tcBorders>
            <w:shd w:val="clear" w:color="auto" w:fill="auto"/>
          </w:tcPr>
          <w:p w:rsidR="00290407" w:rsidRPr="00176D3F" w:rsidRDefault="00290407" w:rsidP="00290407">
            <w:pPr>
              <w:pStyle w:val="Source"/>
            </w:pPr>
            <w:r>
              <w:rPr>
                <w:i/>
              </w:rPr>
              <w:t>S</w:t>
            </w:r>
            <w:r w:rsidRPr="00784A05">
              <w:rPr>
                <w:i/>
              </w:rPr>
              <w:t>ource</w:t>
            </w:r>
            <w:r w:rsidRPr="00176D3F">
              <w:t xml:space="preserve">: </w:t>
            </w:r>
            <w:proofErr w:type="spellStart"/>
            <w:r w:rsidRPr="00022044">
              <w:t>AIHW</w:t>
            </w:r>
            <w:proofErr w:type="spellEnd"/>
            <w:r w:rsidRPr="00022044">
              <w:t xml:space="preserve"> (unpublished) </w:t>
            </w:r>
            <w:r w:rsidR="000C1770" w:rsidRPr="000C1770">
              <w:t>Specialist Homelessness Services Collection</w:t>
            </w:r>
            <w:r>
              <w:rPr>
                <w:i/>
              </w:rPr>
              <w:t xml:space="preserve">; </w:t>
            </w:r>
            <w:r w:rsidRPr="00022044">
              <w:t>Australian, State and Territory governme</w:t>
            </w:r>
            <w:r>
              <w:t xml:space="preserve">nts (unpublished); tables </w:t>
            </w:r>
            <w:proofErr w:type="spellStart"/>
            <w:r>
              <w:t>18A.19</w:t>
            </w:r>
            <w:proofErr w:type="spellEnd"/>
            <w:r>
              <w:t xml:space="preserve"> and </w:t>
            </w:r>
            <w:proofErr w:type="spellStart"/>
            <w:r>
              <w:t>18A.34</w:t>
            </w:r>
            <w:proofErr w:type="spellEnd"/>
            <w:r>
              <w:t>.</w:t>
            </w:r>
          </w:p>
        </w:tc>
      </w:tr>
      <w:tr w:rsidR="00290407" w:rsidTr="00B85BFD">
        <w:tc>
          <w:tcPr>
            <w:tcW w:w="8771" w:type="dxa"/>
            <w:tcBorders>
              <w:top w:val="nil"/>
              <w:left w:val="nil"/>
              <w:bottom w:val="single" w:sz="6" w:space="0" w:color="78A22F"/>
              <w:right w:val="nil"/>
            </w:tcBorders>
            <w:shd w:val="clear" w:color="auto" w:fill="auto"/>
          </w:tcPr>
          <w:p w:rsidR="00290407" w:rsidRDefault="00290407" w:rsidP="00B85BFD">
            <w:pPr>
              <w:pStyle w:val="Figurespace"/>
            </w:pPr>
          </w:p>
        </w:tc>
      </w:tr>
      <w:tr w:rsidR="00290407" w:rsidRPr="000863A5" w:rsidTr="00B85BFD">
        <w:tc>
          <w:tcPr>
            <w:tcW w:w="8771" w:type="dxa"/>
            <w:tcBorders>
              <w:top w:val="single" w:sz="6" w:space="0" w:color="78A22F"/>
              <w:left w:val="nil"/>
              <w:bottom w:val="nil"/>
              <w:right w:val="nil"/>
            </w:tcBorders>
          </w:tcPr>
          <w:p w:rsidR="00290407" w:rsidRPr="00626D32" w:rsidRDefault="00290407" w:rsidP="00B85BFD">
            <w:pPr>
              <w:pStyle w:val="BoxSpaceBelow"/>
            </w:pPr>
          </w:p>
        </w:tc>
      </w:tr>
    </w:tbl>
    <w:p w:rsidR="000707E5" w:rsidRPr="00022044" w:rsidRDefault="000707E5" w:rsidP="000707E5">
      <w:pPr>
        <w:pStyle w:val="Heading4"/>
      </w:pPr>
      <w:r w:rsidRPr="00022044">
        <w:t>Cost per day of support</w:t>
      </w:r>
    </w:p>
    <w:p w:rsidR="000707E5" w:rsidRDefault="000707E5" w:rsidP="000707E5">
      <w:pPr>
        <w:pStyle w:val="BodyText"/>
        <w:spacing w:after="240"/>
      </w:pPr>
      <w:r w:rsidRPr="004F17C9">
        <w:t>‘Cost per day of support’ is an indicator of governments’ objective to maximise the availability and quality of services through the efficient use of public resources (box</w:t>
      </w:r>
      <w:r>
        <w:t> 18.11).</w:t>
      </w:r>
    </w:p>
    <w:p w:rsidR="00290407" w:rsidRDefault="002904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0407" w:rsidTr="00B85BFD">
        <w:tc>
          <w:tcPr>
            <w:tcW w:w="8771" w:type="dxa"/>
            <w:tcBorders>
              <w:top w:val="single" w:sz="6" w:space="0" w:color="78A22F"/>
              <w:left w:val="nil"/>
              <w:bottom w:val="nil"/>
              <w:right w:val="nil"/>
            </w:tcBorders>
            <w:shd w:val="clear" w:color="auto" w:fill="F2F2F2"/>
          </w:tcPr>
          <w:p w:rsidR="00290407" w:rsidRDefault="00290407" w:rsidP="00290407">
            <w:pPr>
              <w:pStyle w:val="BoxTitle"/>
            </w:pPr>
            <w:r>
              <w:rPr>
                <w:b w:val="0"/>
              </w:rPr>
              <w:t xml:space="preserve">Box </w:t>
            </w:r>
            <w:bookmarkStart w:id="29" w:name="OLE_LINK27"/>
            <w:r w:rsidR="007A5581">
              <w:rPr>
                <w:b w:val="0"/>
              </w:rPr>
              <w:t>18.</w:t>
            </w:r>
            <w:r w:rsidR="007A3D6D">
              <w:rPr>
                <w:b w:val="0"/>
                <w:noProof/>
              </w:rPr>
              <w:t>11</w:t>
            </w:r>
            <w:bookmarkEnd w:id="29"/>
            <w:r>
              <w:tab/>
            </w:r>
            <w:r w:rsidRPr="00022044">
              <w:t>Cost per day of support</w:t>
            </w:r>
          </w:p>
        </w:tc>
      </w:tr>
      <w:tr w:rsidR="00290407" w:rsidTr="00B85BFD">
        <w:trPr>
          <w:cantSplit/>
        </w:trPr>
        <w:tc>
          <w:tcPr>
            <w:tcW w:w="8771" w:type="dxa"/>
            <w:tcBorders>
              <w:top w:val="nil"/>
              <w:left w:val="nil"/>
              <w:bottom w:val="nil"/>
              <w:right w:val="nil"/>
            </w:tcBorders>
            <w:shd w:val="clear" w:color="auto" w:fill="F2F2F2"/>
          </w:tcPr>
          <w:p w:rsidR="00290407" w:rsidRPr="00022044" w:rsidRDefault="00290407" w:rsidP="00290407">
            <w:pPr>
              <w:pStyle w:val="Box"/>
              <w:rPr>
                <w:bCs/>
              </w:rPr>
            </w:pPr>
            <w:r w:rsidRPr="00022044">
              <w:rPr>
                <w:bCs/>
              </w:rPr>
              <w:t>‘Cost per day of support’ is defined as total recurrent expenditure on homelessness services divided by the number of days of support for clients receiving support and/or supported accommodation.</w:t>
            </w:r>
          </w:p>
          <w:p w:rsidR="00290407" w:rsidRPr="00022044" w:rsidRDefault="00290407" w:rsidP="00290407">
            <w:pPr>
              <w:pStyle w:val="Box"/>
              <w:rPr>
                <w:bCs/>
              </w:rPr>
            </w:pPr>
            <w:r w:rsidRPr="00022044">
              <w:rPr>
                <w:bCs/>
              </w:rPr>
              <w:t>A low or decreasing cost per day of support may represent an improvement in efficiency, but may also indicate lower service quality</w:t>
            </w:r>
            <w:r>
              <w:rPr>
                <w:bCs/>
              </w:rPr>
              <w:t>, less complex client needs or longer waiting times for services.</w:t>
            </w:r>
          </w:p>
          <w:p w:rsidR="00290407" w:rsidRPr="00022044" w:rsidRDefault="00290407" w:rsidP="00290407">
            <w:pPr>
              <w:pStyle w:val="Box"/>
            </w:pPr>
            <w:r w:rsidRPr="00022044">
              <w:t>Data reported for this indicator are:</w:t>
            </w:r>
          </w:p>
          <w:p w:rsidR="00290407" w:rsidRPr="00022044" w:rsidRDefault="00290407" w:rsidP="00290407">
            <w:pPr>
              <w:pStyle w:val="BoxListBullet"/>
            </w:pPr>
            <w:r w:rsidRPr="00022044">
              <w:t>comparable within jurisdictions for the current reporting period but are not comparable across jurisdictions</w:t>
            </w:r>
          </w:p>
          <w:p w:rsidR="00290407" w:rsidRPr="00022044" w:rsidRDefault="00290407" w:rsidP="00290407">
            <w:pPr>
              <w:pStyle w:val="BoxListBullet"/>
            </w:pPr>
            <w:r w:rsidRPr="00022044">
              <w:t xml:space="preserve">complete for the current reporting period. </w:t>
            </w:r>
            <w:r>
              <w:t>All required 2014</w:t>
            </w:r>
            <w:r>
              <w:noBreakHyphen/>
              <w:t xml:space="preserve">15 </w:t>
            </w:r>
            <w:r w:rsidRPr="00022044">
              <w:t>data are available for all jurisdictions.</w:t>
            </w:r>
          </w:p>
          <w:p w:rsidR="00290407" w:rsidRDefault="00290407" w:rsidP="00290407">
            <w:pPr>
              <w:pStyle w:val="Box"/>
            </w:pPr>
            <w:r w:rsidRPr="00022044">
              <w:t>Data quality information for this indicator is under development.</w:t>
            </w:r>
          </w:p>
        </w:tc>
      </w:tr>
      <w:tr w:rsidR="00290407" w:rsidTr="00B85BFD">
        <w:trPr>
          <w:cantSplit/>
        </w:trPr>
        <w:tc>
          <w:tcPr>
            <w:tcW w:w="8771" w:type="dxa"/>
            <w:tcBorders>
              <w:top w:val="nil"/>
              <w:left w:val="nil"/>
              <w:bottom w:val="single" w:sz="6" w:space="0" w:color="78A22F"/>
              <w:right w:val="nil"/>
            </w:tcBorders>
            <w:shd w:val="clear" w:color="auto" w:fill="F2F2F2"/>
          </w:tcPr>
          <w:p w:rsidR="00290407" w:rsidRDefault="00290407" w:rsidP="00290407">
            <w:pPr>
              <w:pStyle w:val="Box"/>
              <w:spacing w:before="0" w:line="120" w:lineRule="exact"/>
            </w:pPr>
          </w:p>
        </w:tc>
      </w:tr>
      <w:tr w:rsidR="00290407" w:rsidRPr="000863A5" w:rsidTr="00B85BFD">
        <w:tc>
          <w:tcPr>
            <w:tcW w:w="8771" w:type="dxa"/>
            <w:tcBorders>
              <w:top w:val="single" w:sz="6" w:space="0" w:color="78A22F"/>
              <w:left w:val="nil"/>
              <w:bottom w:val="nil"/>
              <w:right w:val="nil"/>
            </w:tcBorders>
          </w:tcPr>
          <w:p w:rsidR="00290407" w:rsidRPr="00626D32" w:rsidRDefault="00290407" w:rsidP="00B85BFD">
            <w:pPr>
              <w:pStyle w:val="BoxSpaceBelow"/>
            </w:pPr>
          </w:p>
        </w:tc>
      </w:tr>
    </w:tbl>
    <w:p w:rsidR="000707E5" w:rsidRDefault="000707E5" w:rsidP="000707E5">
      <w:pPr>
        <w:pStyle w:val="BodyText"/>
        <w:spacing w:after="240"/>
      </w:pPr>
      <w:r>
        <w:lastRenderedPageBreak/>
        <w:t xml:space="preserve">Nationally, the </w:t>
      </w:r>
      <w:r w:rsidRPr="004F17C9">
        <w:t xml:space="preserve">recurrent cost per day of support for clients </w:t>
      </w:r>
      <w:r w:rsidRPr="009709F2">
        <w:rPr>
          <w:color w:val="000000" w:themeColor="text1"/>
        </w:rPr>
        <w:t xml:space="preserve">averaged </w:t>
      </w:r>
      <w:r w:rsidRPr="005323DE">
        <w:rPr>
          <w:color w:val="000000" w:themeColor="text1"/>
        </w:rPr>
        <w:t>$</w:t>
      </w:r>
      <w:r w:rsidR="00290407" w:rsidRPr="005323DE">
        <w:rPr>
          <w:color w:val="000000" w:themeColor="text1"/>
        </w:rPr>
        <w:t>35.</w:t>
      </w:r>
      <w:r w:rsidR="007C2434" w:rsidRPr="005323DE">
        <w:rPr>
          <w:color w:val="000000" w:themeColor="text1"/>
        </w:rPr>
        <w:t>95</w:t>
      </w:r>
      <w:r w:rsidRPr="005323DE">
        <w:rPr>
          <w:color w:val="000000" w:themeColor="text1"/>
        </w:rPr>
        <w:t xml:space="preserve"> in 2014</w:t>
      </w:r>
      <w:r w:rsidRPr="005323DE">
        <w:rPr>
          <w:color w:val="000000" w:themeColor="text1"/>
        </w:rPr>
        <w:noBreakHyphen/>
        <w:t>15, compared with $2</w:t>
      </w:r>
      <w:r w:rsidR="004F2BE5" w:rsidRPr="005323DE">
        <w:rPr>
          <w:color w:val="000000" w:themeColor="text1"/>
        </w:rPr>
        <w:t>9.16</w:t>
      </w:r>
      <w:r w:rsidRPr="005323DE">
        <w:rPr>
          <w:color w:val="000000" w:themeColor="text1"/>
        </w:rPr>
        <w:t xml:space="preserve"> in 201</w:t>
      </w:r>
      <w:r w:rsidR="00CA1668" w:rsidRPr="005323DE">
        <w:rPr>
          <w:color w:val="000000" w:themeColor="text1"/>
        </w:rPr>
        <w:t>2</w:t>
      </w:r>
      <w:r w:rsidR="00290407" w:rsidRPr="005323DE">
        <w:rPr>
          <w:color w:val="000000" w:themeColor="text1"/>
        </w:rPr>
        <w:noBreakHyphen/>
        <w:t>1</w:t>
      </w:r>
      <w:r w:rsidR="00CA1668" w:rsidRPr="005323DE">
        <w:rPr>
          <w:color w:val="000000" w:themeColor="text1"/>
        </w:rPr>
        <w:t>3</w:t>
      </w:r>
      <w:r w:rsidR="00290407" w:rsidRPr="005323DE">
        <w:rPr>
          <w:color w:val="000000" w:themeColor="text1"/>
        </w:rPr>
        <w:t>, an increase of 2</w:t>
      </w:r>
      <w:r w:rsidR="00315CD9" w:rsidRPr="005323DE">
        <w:rPr>
          <w:color w:val="000000" w:themeColor="text1"/>
        </w:rPr>
        <w:t>3</w:t>
      </w:r>
      <w:r w:rsidR="00290407" w:rsidRPr="005323DE">
        <w:rPr>
          <w:color w:val="000000" w:themeColor="text1"/>
        </w:rPr>
        <w:t>.</w:t>
      </w:r>
      <w:r w:rsidR="00315CD9" w:rsidRPr="005323DE">
        <w:rPr>
          <w:color w:val="000000" w:themeColor="text1"/>
        </w:rPr>
        <w:t>3</w:t>
      </w:r>
      <w:r w:rsidR="00290407" w:rsidRPr="005323DE">
        <w:rPr>
          <w:color w:val="000000" w:themeColor="text1"/>
        </w:rPr>
        <w:t xml:space="preserve"> per cent</w:t>
      </w:r>
      <w:r>
        <w:rPr>
          <w:color w:val="000000" w:themeColor="text1"/>
        </w:rPr>
        <w:t xml:space="preserve"> </w:t>
      </w:r>
      <w:r w:rsidRPr="004F17C9">
        <w:t>(</w:t>
      </w:r>
      <w:r w:rsidRPr="00570CF4">
        <w:t>figure 18.1</w:t>
      </w:r>
      <w:r w:rsidR="0081352B" w:rsidRPr="00570CF4">
        <w:t>2</w:t>
      </w:r>
      <w:r w:rsidRPr="004F17C9">
        <w:t>).</w:t>
      </w:r>
    </w:p>
    <w:p w:rsidR="00290407" w:rsidRDefault="00290407" w:rsidP="00B85B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0407" w:rsidTr="00B85BFD">
        <w:tc>
          <w:tcPr>
            <w:tcW w:w="8771" w:type="dxa"/>
            <w:tcBorders>
              <w:top w:val="single" w:sz="6" w:space="0" w:color="78A22F"/>
              <w:left w:val="nil"/>
              <w:bottom w:val="nil"/>
              <w:right w:val="nil"/>
            </w:tcBorders>
            <w:shd w:val="clear" w:color="auto" w:fill="auto"/>
          </w:tcPr>
          <w:p w:rsidR="00290407" w:rsidRPr="00176D3F" w:rsidRDefault="00290407" w:rsidP="00290407">
            <w:pPr>
              <w:pStyle w:val="FigureTitle"/>
            </w:pPr>
            <w:r w:rsidRPr="00784A05">
              <w:rPr>
                <w:b w:val="0"/>
              </w:rPr>
              <w:t xml:space="preserve">Figure </w:t>
            </w:r>
            <w:r w:rsidR="007A5581">
              <w:rPr>
                <w:b w:val="0"/>
              </w:rPr>
              <w:t>18.</w:t>
            </w:r>
            <w:r w:rsidR="007A3D6D">
              <w:rPr>
                <w:b w:val="0"/>
                <w:noProof/>
              </w:rPr>
              <w:t>12</w:t>
            </w:r>
            <w:r>
              <w:tab/>
            </w:r>
            <w:r w:rsidRPr="00022044">
              <w:t>Real recurrent cost per day of support for clients,</w:t>
            </w:r>
            <w:r>
              <w:t xml:space="preserve"> </w:t>
            </w:r>
            <w:r w:rsidRPr="00022044">
              <w:t>2014</w:t>
            </w:r>
            <w:r>
              <w:noBreakHyphen/>
              <w:t>15 dollars</w:t>
            </w:r>
            <w:r w:rsidRPr="00022044">
              <w:rPr>
                <w:rStyle w:val="NoteLabel"/>
                <w:b/>
              </w:rPr>
              <w:t>a</w:t>
            </w:r>
          </w:p>
        </w:tc>
      </w:tr>
      <w:tr w:rsidR="00290407" w:rsidTr="005323DE">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290407" w:rsidTr="000C1770">
              <w:trPr>
                <w:jc w:val="center"/>
              </w:trPr>
              <w:tc>
                <w:tcPr>
                  <w:tcW w:w="5000" w:type="pct"/>
                  <w:tcBorders>
                    <w:top w:val="nil"/>
                    <w:bottom w:val="nil"/>
                  </w:tcBorders>
                </w:tcPr>
                <w:p w:rsidR="00290407" w:rsidRPr="00315CD9" w:rsidRDefault="00A701B9" w:rsidP="00315CD9">
                  <w:pPr>
                    <w:pStyle w:val="Figure"/>
                  </w:pPr>
                  <w:r>
                    <w:rPr>
                      <w:noProof/>
                    </w:rPr>
                    <w:drawing>
                      <wp:inline distT="0" distB="0" distL="0" distR="0">
                        <wp:extent cx="5400040" cy="2689225"/>
                        <wp:effectExtent l="0" t="0" r="0" b="0"/>
                        <wp:docPr id="24" name="Picture 24" descr="Figure 18.12 Real recurrent cost per day of support for clients,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2689225"/>
                                </a:xfrm>
                                <a:prstGeom prst="rect">
                                  <a:avLst/>
                                </a:prstGeom>
                                <a:noFill/>
                                <a:ln>
                                  <a:noFill/>
                                </a:ln>
                              </pic:spPr>
                            </pic:pic>
                          </a:graphicData>
                        </a:graphic>
                      </wp:inline>
                    </w:drawing>
                  </w:r>
                </w:p>
              </w:tc>
            </w:tr>
          </w:tbl>
          <w:p w:rsidR="00290407" w:rsidRPr="00315CD9" w:rsidRDefault="00290407" w:rsidP="00315CD9">
            <w:pPr>
              <w:pStyle w:val="Figure"/>
            </w:pPr>
          </w:p>
        </w:tc>
      </w:tr>
      <w:tr w:rsidR="00290407" w:rsidRPr="00176D3F" w:rsidTr="00B85BFD">
        <w:tc>
          <w:tcPr>
            <w:tcW w:w="8771" w:type="dxa"/>
            <w:tcBorders>
              <w:top w:val="nil"/>
              <w:left w:val="nil"/>
              <w:bottom w:val="nil"/>
              <w:right w:val="nil"/>
            </w:tcBorders>
            <w:shd w:val="clear" w:color="auto" w:fill="auto"/>
          </w:tcPr>
          <w:p w:rsidR="00290407" w:rsidRPr="00176D3F" w:rsidRDefault="00290407" w:rsidP="0081352B">
            <w:pPr>
              <w:pStyle w:val="Note"/>
            </w:pPr>
            <w:r>
              <w:rPr>
                <w:rStyle w:val="NoteLabel"/>
              </w:rPr>
              <w:t>a</w:t>
            </w:r>
            <w:r>
              <w:t xml:space="preserve"> </w:t>
            </w:r>
            <w:r w:rsidRPr="006D3797">
              <w:t xml:space="preserve">See </w:t>
            </w:r>
            <w:r w:rsidRPr="00570CF4">
              <w:t xml:space="preserve">box </w:t>
            </w:r>
            <w:r w:rsidR="007A5581" w:rsidRPr="00570CF4">
              <w:t>18.11</w:t>
            </w:r>
            <w:r w:rsidRPr="006D3797">
              <w:t xml:space="preserve"> and table </w:t>
            </w:r>
            <w:proofErr w:type="spellStart"/>
            <w:r>
              <w:t>18</w:t>
            </w:r>
            <w:r w:rsidRPr="006D3797">
              <w:t>A.</w:t>
            </w:r>
            <w:r>
              <w:t>20</w:t>
            </w:r>
            <w:proofErr w:type="spellEnd"/>
            <w:r w:rsidRPr="006D3797">
              <w:t xml:space="preserve"> for detailed definitions, footnotes and caveats</w:t>
            </w:r>
            <w:r>
              <w:t>.</w:t>
            </w:r>
          </w:p>
        </w:tc>
      </w:tr>
      <w:tr w:rsidR="00290407" w:rsidRPr="00176D3F" w:rsidTr="00B85BFD">
        <w:tc>
          <w:tcPr>
            <w:tcW w:w="8771" w:type="dxa"/>
            <w:tcBorders>
              <w:top w:val="nil"/>
              <w:left w:val="nil"/>
              <w:bottom w:val="nil"/>
              <w:right w:val="nil"/>
            </w:tcBorders>
            <w:shd w:val="clear" w:color="auto" w:fill="auto"/>
          </w:tcPr>
          <w:p w:rsidR="00290407" w:rsidRPr="00176D3F" w:rsidRDefault="00290407" w:rsidP="00290407">
            <w:pPr>
              <w:pStyle w:val="Source"/>
            </w:pPr>
            <w:r>
              <w:rPr>
                <w:i/>
              </w:rPr>
              <w:t>S</w:t>
            </w:r>
            <w:r w:rsidRPr="00784A05">
              <w:rPr>
                <w:i/>
              </w:rPr>
              <w:t>ource</w:t>
            </w:r>
            <w:r w:rsidRPr="00176D3F">
              <w:t xml:space="preserve">: </w:t>
            </w:r>
            <w:proofErr w:type="spellStart"/>
            <w:r w:rsidRPr="00421C75">
              <w:rPr>
                <w:color w:val="000000" w:themeColor="text1"/>
              </w:rPr>
              <w:t>AIHW</w:t>
            </w:r>
            <w:proofErr w:type="spellEnd"/>
            <w:r w:rsidRPr="00421C75">
              <w:rPr>
                <w:color w:val="000000" w:themeColor="text1"/>
              </w:rPr>
              <w:t xml:space="preserve"> (unpublished) </w:t>
            </w:r>
            <w:r w:rsidRPr="000C1770">
              <w:rPr>
                <w:color w:val="000000" w:themeColor="text1"/>
              </w:rPr>
              <w:t>Specialist Homelessness Services Collection</w:t>
            </w:r>
            <w:r>
              <w:rPr>
                <w:color w:val="000000" w:themeColor="text1"/>
              </w:rPr>
              <w:t xml:space="preserve">; </w:t>
            </w:r>
            <w:r w:rsidRPr="00421C75">
              <w:rPr>
                <w:color w:val="000000" w:themeColor="text1"/>
              </w:rPr>
              <w:t>Australian, State and Territory govern</w:t>
            </w:r>
            <w:r>
              <w:rPr>
                <w:color w:val="000000" w:themeColor="text1"/>
              </w:rPr>
              <w:t xml:space="preserve">ments (unpublished); tables </w:t>
            </w:r>
            <w:proofErr w:type="spellStart"/>
            <w:r>
              <w:rPr>
                <w:color w:val="000000" w:themeColor="text1"/>
              </w:rPr>
              <w:t>18A.20</w:t>
            </w:r>
            <w:proofErr w:type="spellEnd"/>
            <w:r>
              <w:rPr>
                <w:color w:val="000000" w:themeColor="text1"/>
              </w:rPr>
              <w:t xml:space="preserve"> and </w:t>
            </w:r>
            <w:proofErr w:type="spellStart"/>
            <w:r>
              <w:rPr>
                <w:color w:val="000000" w:themeColor="text1"/>
              </w:rPr>
              <w:t>18A.34</w:t>
            </w:r>
            <w:proofErr w:type="spellEnd"/>
            <w:r>
              <w:rPr>
                <w:color w:val="000000" w:themeColor="text1"/>
              </w:rPr>
              <w:t>.</w:t>
            </w:r>
          </w:p>
        </w:tc>
      </w:tr>
      <w:tr w:rsidR="00290407" w:rsidTr="00B85BFD">
        <w:tc>
          <w:tcPr>
            <w:tcW w:w="8771" w:type="dxa"/>
            <w:tcBorders>
              <w:top w:val="nil"/>
              <w:left w:val="nil"/>
              <w:bottom w:val="single" w:sz="6" w:space="0" w:color="78A22F"/>
              <w:right w:val="nil"/>
            </w:tcBorders>
            <w:shd w:val="clear" w:color="auto" w:fill="auto"/>
          </w:tcPr>
          <w:p w:rsidR="00290407" w:rsidRDefault="00290407" w:rsidP="00B85BFD">
            <w:pPr>
              <w:pStyle w:val="Figurespace"/>
            </w:pPr>
          </w:p>
        </w:tc>
      </w:tr>
      <w:tr w:rsidR="00290407" w:rsidRPr="000863A5" w:rsidTr="00B85BFD">
        <w:tc>
          <w:tcPr>
            <w:tcW w:w="8771" w:type="dxa"/>
            <w:tcBorders>
              <w:top w:val="single" w:sz="6" w:space="0" w:color="78A22F"/>
              <w:left w:val="nil"/>
              <w:bottom w:val="nil"/>
              <w:right w:val="nil"/>
            </w:tcBorders>
          </w:tcPr>
          <w:p w:rsidR="00290407" w:rsidRPr="00626D32" w:rsidRDefault="00290407" w:rsidP="00B85BFD">
            <w:pPr>
              <w:pStyle w:val="BoxSpaceBelow"/>
            </w:pPr>
          </w:p>
        </w:tc>
      </w:tr>
    </w:tbl>
    <w:p w:rsidR="000707E5" w:rsidRPr="004A2EAE" w:rsidRDefault="000707E5" w:rsidP="000707E5">
      <w:pPr>
        <w:pStyle w:val="Heading3"/>
      </w:pPr>
      <w:r w:rsidRPr="004A2EAE">
        <w:t>Outcomes</w:t>
      </w:r>
    </w:p>
    <w:p w:rsidR="000707E5" w:rsidRDefault="000707E5" w:rsidP="000707E5">
      <w:pPr>
        <w:pStyle w:val="BodyText"/>
        <w:rPr>
          <w:color w:val="000000" w:themeColor="text1"/>
        </w:rPr>
      </w:pPr>
      <w:r w:rsidRPr="009E5CE0">
        <w:rPr>
          <w:color w:val="000000" w:themeColor="text1"/>
        </w:rPr>
        <w:t>Outcomes are the impact of services on the status of an individual or group (see chapter 1, section 1.5).</w:t>
      </w:r>
    </w:p>
    <w:p w:rsidR="00457F8D" w:rsidRDefault="000707E5" w:rsidP="000707E5">
      <w:pPr>
        <w:pStyle w:val="BodyText"/>
      </w:pPr>
      <w:r w:rsidRPr="004F17C9">
        <w:t>An</w:t>
      </w:r>
      <w:r>
        <w:t xml:space="preserve"> i</w:t>
      </w:r>
      <w:r w:rsidRPr="004F17C9">
        <w:t>mportant outcome of homelessness services is clients’ achievement of self</w:t>
      </w:r>
      <w:r>
        <w:noBreakHyphen/>
      </w:r>
      <w:r w:rsidRPr="004F17C9">
        <w:t>reliance and independence. Characteristics that may indicate whether clients can live independently include the</w:t>
      </w:r>
      <w:r w:rsidR="00457F8D">
        <w:t>:</w:t>
      </w:r>
    </w:p>
    <w:p w:rsidR="00457F8D" w:rsidRDefault="00457F8D" w:rsidP="00457F8D">
      <w:pPr>
        <w:pStyle w:val="ListBullet"/>
      </w:pPr>
      <w:r>
        <w:t>achievement of employment (</w:t>
      </w:r>
      <w:r w:rsidRPr="004F17C9">
        <w:t>workforce status</w:t>
      </w:r>
      <w:r>
        <w:t>)</w:t>
      </w:r>
      <w:r w:rsidRPr="004F17C9">
        <w:t xml:space="preserve"> </w:t>
      </w:r>
    </w:p>
    <w:p w:rsidR="00457F8D" w:rsidRDefault="00457F8D" w:rsidP="00457F8D">
      <w:pPr>
        <w:pStyle w:val="ListBullet"/>
      </w:pPr>
      <w:r>
        <w:t xml:space="preserve">achievement of an </w:t>
      </w:r>
      <w:r w:rsidR="000707E5" w:rsidRPr="004F17C9">
        <w:t>income</w:t>
      </w:r>
      <w:r>
        <w:t xml:space="preserve"> </w:t>
      </w:r>
    </w:p>
    <w:p w:rsidR="000707E5" w:rsidRDefault="00457F8D" w:rsidP="00457F8D">
      <w:pPr>
        <w:pStyle w:val="ListBullet"/>
      </w:pPr>
      <w:r>
        <w:t xml:space="preserve">achievement of independent </w:t>
      </w:r>
      <w:r w:rsidR="000707E5" w:rsidRPr="004F17C9">
        <w:t xml:space="preserve">housing </w:t>
      </w:r>
      <w:r>
        <w:t>(</w:t>
      </w:r>
      <w:r w:rsidRPr="004F17C9">
        <w:t xml:space="preserve">housing </w:t>
      </w:r>
      <w:r w:rsidR="000707E5" w:rsidRPr="004F17C9">
        <w:t>status</w:t>
      </w:r>
      <w:r>
        <w:t>)</w:t>
      </w:r>
      <w:r w:rsidR="000707E5" w:rsidRPr="004F17C9">
        <w:t xml:space="preserve">. </w:t>
      </w:r>
    </w:p>
    <w:p w:rsidR="000707E5" w:rsidRPr="004A2EAE" w:rsidRDefault="000707E5" w:rsidP="003654F2">
      <w:pPr>
        <w:pStyle w:val="Heading4"/>
      </w:pPr>
      <w:r w:rsidRPr="004A2EAE">
        <w:lastRenderedPageBreak/>
        <w:t>Achievement of employment on exit</w:t>
      </w:r>
    </w:p>
    <w:p w:rsidR="000707E5" w:rsidRDefault="000707E5" w:rsidP="000707E5">
      <w:pPr>
        <w:pStyle w:val="BodyText"/>
        <w:spacing w:after="240"/>
        <w:rPr>
          <w:bCs/>
        </w:rPr>
      </w:pPr>
      <w:r w:rsidRPr="00F5300B">
        <w:rPr>
          <w:bCs/>
        </w:rPr>
        <w:t>‘Achievement of employment on exit’ is an indicator of governments’ objective to enable clients to participate as productive and self</w:t>
      </w:r>
      <w:r>
        <w:rPr>
          <w:bCs/>
        </w:rPr>
        <w:noBreakHyphen/>
      </w:r>
      <w:r w:rsidRPr="00F5300B">
        <w:rPr>
          <w:bCs/>
        </w:rPr>
        <w:t>reliant members of the community at t</w:t>
      </w:r>
      <w:r>
        <w:rPr>
          <w:bCs/>
        </w:rPr>
        <w:t xml:space="preserve">he end of their support period (box </w:t>
      </w:r>
      <w:r w:rsidR="007A5581">
        <w:t>18.12</w:t>
      </w:r>
      <w:r>
        <w:rPr>
          <w:bCs/>
        </w:rPr>
        <w:t>).</w:t>
      </w:r>
    </w:p>
    <w:p w:rsidR="003654F2" w:rsidRDefault="003654F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654F2" w:rsidTr="00B85BFD">
        <w:tc>
          <w:tcPr>
            <w:tcW w:w="8771" w:type="dxa"/>
            <w:tcBorders>
              <w:top w:val="single" w:sz="6" w:space="0" w:color="78A22F"/>
              <w:left w:val="nil"/>
              <w:bottom w:val="nil"/>
              <w:right w:val="nil"/>
            </w:tcBorders>
            <w:shd w:val="clear" w:color="auto" w:fill="F2F2F2"/>
          </w:tcPr>
          <w:p w:rsidR="003654F2" w:rsidRDefault="003654F2">
            <w:pPr>
              <w:pStyle w:val="BoxTitle"/>
            </w:pPr>
            <w:r>
              <w:rPr>
                <w:b w:val="0"/>
              </w:rPr>
              <w:t xml:space="preserve">Box </w:t>
            </w:r>
            <w:bookmarkStart w:id="30" w:name="OLE_LINK14"/>
            <w:r w:rsidR="007A5581">
              <w:rPr>
                <w:b w:val="0"/>
              </w:rPr>
              <w:t>18.</w:t>
            </w:r>
            <w:r w:rsidR="007A3D6D">
              <w:rPr>
                <w:b w:val="0"/>
                <w:noProof/>
              </w:rPr>
              <w:t>12</w:t>
            </w:r>
            <w:bookmarkEnd w:id="30"/>
            <w:r>
              <w:tab/>
            </w:r>
            <w:r w:rsidRPr="004A2EAE">
              <w:t>Achievement of employment on exit</w:t>
            </w:r>
          </w:p>
        </w:tc>
      </w:tr>
      <w:tr w:rsidR="003654F2" w:rsidTr="00B85BFD">
        <w:trPr>
          <w:cantSplit/>
        </w:trPr>
        <w:tc>
          <w:tcPr>
            <w:tcW w:w="8771" w:type="dxa"/>
            <w:tcBorders>
              <w:top w:val="nil"/>
              <w:left w:val="nil"/>
              <w:bottom w:val="nil"/>
              <w:right w:val="nil"/>
            </w:tcBorders>
            <w:shd w:val="clear" w:color="auto" w:fill="F2F2F2"/>
          </w:tcPr>
          <w:p w:rsidR="009818F5" w:rsidRDefault="009818F5" w:rsidP="009818F5">
            <w:pPr>
              <w:pStyle w:val="Box"/>
              <w:keepNext w:val="0"/>
              <w:rPr>
                <w:bCs/>
              </w:rPr>
            </w:pPr>
            <w:r>
              <w:rPr>
                <w:bCs/>
              </w:rPr>
              <w:t>‘</w:t>
            </w:r>
            <w:r w:rsidR="003654F2" w:rsidRPr="004A2EAE">
              <w:rPr>
                <w:bCs/>
              </w:rPr>
              <w:t xml:space="preserve">Achievement of employment on exit’ is defined </w:t>
            </w:r>
            <w:r w:rsidR="002D13B0">
              <w:rPr>
                <w:bCs/>
              </w:rPr>
              <w:t xml:space="preserve">by three measures, calculated as </w:t>
            </w:r>
            <w:r>
              <w:rPr>
                <w:bCs/>
              </w:rPr>
              <w:t xml:space="preserve">the proportion of </w:t>
            </w:r>
            <w:r w:rsidR="003654F2" w:rsidRPr="004A2EAE">
              <w:rPr>
                <w:bCs/>
              </w:rPr>
              <w:t xml:space="preserve">clients </w:t>
            </w:r>
            <w:r w:rsidR="00BC10F7">
              <w:rPr>
                <w:bCs/>
              </w:rPr>
              <w:t>(</w:t>
            </w:r>
            <w:r w:rsidR="002D13B0" w:rsidRPr="004A2EAE">
              <w:rPr>
                <w:bCs/>
              </w:rPr>
              <w:t>wi</w:t>
            </w:r>
            <w:r w:rsidR="002D13B0">
              <w:rPr>
                <w:bCs/>
              </w:rPr>
              <w:t>th closed support periods</w:t>
            </w:r>
            <w:r w:rsidR="00B85BFD">
              <w:rPr>
                <w:bCs/>
              </w:rPr>
              <w:t xml:space="preserve">, </w:t>
            </w:r>
            <w:r w:rsidR="002D13B0">
              <w:rPr>
                <w:bCs/>
              </w:rPr>
              <w:t xml:space="preserve">aged 15 years and over) </w:t>
            </w:r>
            <w:r w:rsidRPr="004A2EAE">
              <w:t>whose labour force status was ‘employed</w:t>
            </w:r>
            <w:r w:rsidR="00BC10F7">
              <w:t>’</w:t>
            </w:r>
            <w:r w:rsidRPr="004A2EAE">
              <w:t xml:space="preserve"> </w:t>
            </w:r>
            <w:r w:rsidR="00BC10F7">
              <w:t>(full</w:t>
            </w:r>
            <w:r w:rsidR="003D4B83">
              <w:t>-</w:t>
            </w:r>
            <w:r w:rsidR="00BC10F7">
              <w:t xml:space="preserve"> or part</w:t>
            </w:r>
            <w:r w:rsidR="003D4B83">
              <w:t>-</w:t>
            </w:r>
            <w:r w:rsidRPr="004A2EAE">
              <w:t>time</w:t>
            </w:r>
            <w:r w:rsidR="00BC10F7">
              <w:t>)</w:t>
            </w:r>
            <w:r w:rsidRPr="004A2EAE">
              <w:t xml:space="preserve"> at the end of support</w:t>
            </w:r>
            <w:r>
              <w:t xml:space="preserve">, </w:t>
            </w:r>
            <w:r w:rsidR="00BC10F7">
              <w:t xml:space="preserve">of those clients </w:t>
            </w:r>
            <w:r>
              <w:t xml:space="preserve">who </w:t>
            </w:r>
            <w:r w:rsidR="00B85BFD">
              <w:t xml:space="preserve">on presentation </w:t>
            </w:r>
            <w:r w:rsidR="002D13B0">
              <w:t xml:space="preserve">had an: </w:t>
            </w:r>
          </w:p>
          <w:p w:rsidR="009818F5" w:rsidRPr="002D13B0" w:rsidRDefault="003654F2" w:rsidP="002D13B0">
            <w:pPr>
              <w:pStyle w:val="BoxListBullet"/>
            </w:pPr>
            <w:r w:rsidRPr="004A2EAE">
              <w:t xml:space="preserve">identified need for </w:t>
            </w:r>
            <w:r w:rsidRPr="002D13B0">
              <w:t>employment and/or training assistance</w:t>
            </w:r>
            <w:r w:rsidR="009818F5" w:rsidRPr="002D13B0">
              <w:t xml:space="preserve"> </w:t>
            </w:r>
          </w:p>
          <w:p w:rsidR="003654F2" w:rsidRPr="002D13B0" w:rsidRDefault="003654F2" w:rsidP="002D13B0">
            <w:pPr>
              <w:pStyle w:val="BoxListBullet"/>
            </w:pPr>
            <w:r w:rsidRPr="002D13B0">
              <w:t>identified need for employment and/or training assistance</w:t>
            </w:r>
            <w:r w:rsidR="002D13B0" w:rsidRPr="002D13B0">
              <w:t xml:space="preserve"> AND </w:t>
            </w:r>
            <w:r w:rsidRPr="002D13B0">
              <w:t xml:space="preserve">whose labour force status was </w:t>
            </w:r>
            <w:r w:rsidR="00B85BFD">
              <w:t>‘</w:t>
            </w:r>
            <w:r w:rsidRPr="002D13B0">
              <w:t>unemployed</w:t>
            </w:r>
            <w:r w:rsidR="00B85BFD">
              <w:t>’</w:t>
            </w:r>
            <w:r w:rsidRPr="002D13B0">
              <w:t xml:space="preserve"> </w:t>
            </w:r>
          </w:p>
          <w:p w:rsidR="003654F2" w:rsidRPr="002D13B0" w:rsidRDefault="003654F2" w:rsidP="002D13B0">
            <w:pPr>
              <w:pStyle w:val="BoxListBullet"/>
            </w:pPr>
            <w:r w:rsidRPr="002D13B0">
              <w:t>identified need for employment and/or training assistance</w:t>
            </w:r>
            <w:r w:rsidR="002D13B0" w:rsidRPr="002D13B0">
              <w:t xml:space="preserve"> AND </w:t>
            </w:r>
            <w:r w:rsidRPr="002D13B0">
              <w:t>whose labour force status was ‘not in the labour force’.</w:t>
            </w:r>
          </w:p>
          <w:p w:rsidR="003654F2" w:rsidRPr="004A2EAE" w:rsidRDefault="003654F2" w:rsidP="003654F2">
            <w:pPr>
              <w:pStyle w:val="Box"/>
              <w:keepNext w:val="0"/>
              <w:rPr>
                <w:bCs/>
              </w:rPr>
            </w:pPr>
            <w:r w:rsidRPr="004A2EAE">
              <w:rPr>
                <w:bCs/>
              </w:rPr>
              <w:t>Holding other factors constant, a high or increasing proportion of clients achieving employment after support is desirable.</w:t>
            </w:r>
          </w:p>
          <w:p w:rsidR="003654F2" w:rsidRPr="004A2EAE" w:rsidRDefault="003654F2" w:rsidP="003654F2">
            <w:pPr>
              <w:pStyle w:val="Box"/>
              <w:keepNext w:val="0"/>
              <w:rPr>
                <w:bCs/>
              </w:rPr>
            </w:pPr>
            <w:r w:rsidRPr="004A2EAE">
              <w:rPr>
                <w:bCs/>
              </w:rPr>
              <w:t>Data are reported for all clients, and separately for Aboriginal and Torres Strait Islander clients.</w:t>
            </w:r>
          </w:p>
          <w:p w:rsidR="002D13B0" w:rsidRDefault="003654F2" w:rsidP="002D13B0">
            <w:pPr>
              <w:pStyle w:val="Box"/>
            </w:pPr>
            <w:r w:rsidRPr="004A2EAE">
              <w:t xml:space="preserve">This indicator compares clients’ employment status before and after support and relates to relatively short term outcomes </w:t>
            </w:r>
            <w:r w:rsidRPr="002D13B0">
              <w:t>— that is, outcomes for clients immediately after their support period. Longer term outcomes are important, but more difficult to measure.</w:t>
            </w:r>
          </w:p>
          <w:p w:rsidR="003654F2" w:rsidRPr="002D13B0" w:rsidRDefault="003654F2" w:rsidP="002D13B0">
            <w:pPr>
              <w:pStyle w:val="Box"/>
            </w:pPr>
            <w:r w:rsidRPr="002D13B0">
              <w:t>Data reported for these measures are:</w:t>
            </w:r>
          </w:p>
          <w:p w:rsidR="003654F2" w:rsidRPr="004A2EAE" w:rsidRDefault="003654F2" w:rsidP="003654F2">
            <w:pPr>
              <w:pStyle w:val="BoxListBullet"/>
              <w:keepNext w:val="0"/>
            </w:pPr>
            <w:r w:rsidRPr="004A2EAE">
              <w:t>comparable (subject to caveats) across jurisdictions and over time</w:t>
            </w:r>
          </w:p>
          <w:p w:rsidR="003654F2" w:rsidRPr="004A2EAE" w:rsidRDefault="003654F2" w:rsidP="003654F2">
            <w:pPr>
              <w:pStyle w:val="BoxListBullet"/>
              <w:keepNext w:val="0"/>
            </w:pPr>
            <w:r w:rsidRPr="004A2EAE">
              <w:t xml:space="preserve">complete for the current reporting period. </w:t>
            </w:r>
            <w:r>
              <w:t>All required 2014</w:t>
            </w:r>
            <w:r>
              <w:noBreakHyphen/>
              <w:t xml:space="preserve">15 </w:t>
            </w:r>
            <w:r w:rsidRPr="004A2EAE">
              <w:t>data are available for all jurisdictions</w:t>
            </w:r>
            <w:r>
              <w:t>.</w:t>
            </w:r>
          </w:p>
          <w:p w:rsidR="003654F2" w:rsidRDefault="003654F2" w:rsidP="003654F2">
            <w:pPr>
              <w:pStyle w:val="Box"/>
            </w:pPr>
            <w:r w:rsidRPr="004A2EAE">
              <w:t>Data quality information for this indicator is under development.</w:t>
            </w:r>
          </w:p>
        </w:tc>
      </w:tr>
      <w:tr w:rsidR="003654F2" w:rsidTr="00B85BFD">
        <w:trPr>
          <w:cantSplit/>
        </w:trPr>
        <w:tc>
          <w:tcPr>
            <w:tcW w:w="8771" w:type="dxa"/>
            <w:tcBorders>
              <w:top w:val="nil"/>
              <w:left w:val="nil"/>
              <w:bottom w:val="single" w:sz="6" w:space="0" w:color="78A22F"/>
              <w:right w:val="nil"/>
            </w:tcBorders>
            <w:shd w:val="clear" w:color="auto" w:fill="F2F2F2"/>
          </w:tcPr>
          <w:p w:rsidR="003654F2" w:rsidRDefault="003654F2">
            <w:pPr>
              <w:pStyle w:val="Box"/>
              <w:spacing w:before="0" w:line="120" w:lineRule="exact"/>
            </w:pPr>
          </w:p>
        </w:tc>
      </w:tr>
      <w:tr w:rsidR="003654F2" w:rsidRPr="000863A5" w:rsidTr="00B85BFD">
        <w:tc>
          <w:tcPr>
            <w:tcW w:w="8771" w:type="dxa"/>
            <w:tcBorders>
              <w:top w:val="single" w:sz="6" w:space="0" w:color="78A22F"/>
              <w:left w:val="nil"/>
              <w:bottom w:val="nil"/>
              <w:right w:val="nil"/>
            </w:tcBorders>
          </w:tcPr>
          <w:p w:rsidR="003654F2" w:rsidRPr="00626D32" w:rsidRDefault="003654F2" w:rsidP="00B85BFD">
            <w:pPr>
              <w:pStyle w:val="BoxSpaceBelow"/>
            </w:pPr>
          </w:p>
        </w:tc>
      </w:tr>
    </w:tbl>
    <w:p w:rsidR="00B33956" w:rsidRDefault="00B33956" w:rsidP="00B33956">
      <w:pPr>
        <w:pStyle w:val="Heading5"/>
      </w:pPr>
      <w:r>
        <w:t xml:space="preserve">Total clients with </w:t>
      </w:r>
      <w:r w:rsidRPr="004A2EAE">
        <w:t xml:space="preserve">identified need for </w:t>
      </w:r>
      <w:r w:rsidRPr="002D13B0">
        <w:t>employment and/or training assistance at presentation</w:t>
      </w:r>
    </w:p>
    <w:p w:rsidR="000707E5" w:rsidRDefault="000707E5" w:rsidP="000707E5">
      <w:pPr>
        <w:pStyle w:val="BodyText"/>
        <w:spacing w:after="240"/>
      </w:pPr>
      <w:r w:rsidRPr="00890960">
        <w:t>Nationally</w:t>
      </w:r>
      <w:r>
        <w:t>, of those c</w:t>
      </w:r>
      <w:r w:rsidRPr="00890960">
        <w:t xml:space="preserve">lients who needed assistance to obtain or maintain employment and training </w:t>
      </w:r>
      <w:r>
        <w:t xml:space="preserve">when entering homelessness services </w:t>
      </w:r>
      <w:r w:rsidRPr="00890960">
        <w:t xml:space="preserve">in </w:t>
      </w:r>
      <w:r>
        <w:rPr>
          <w:color w:val="000000" w:themeColor="text1"/>
        </w:rPr>
        <w:t>2014</w:t>
      </w:r>
      <w:r>
        <w:rPr>
          <w:color w:val="000000" w:themeColor="text1"/>
        </w:rPr>
        <w:noBreakHyphen/>
        <w:t>15</w:t>
      </w:r>
      <w:r w:rsidRPr="004740BA">
        <w:rPr>
          <w:color w:val="000000" w:themeColor="text1"/>
        </w:rPr>
        <w:t xml:space="preserve">, </w:t>
      </w:r>
      <w:r w:rsidR="002D13B0">
        <w:rPr>
          <w:color w:val="000000" w:themeColor="text1"/>
        </w:rPr>
        <w:t>19.1</w:t>
      </w:r>
      <w:r w:rsidRPr="004740BA">
        <w:rPr>
          <w:color w:val="000000" w:themeColor="text1"/>
        </w:rPr>
        <w:t> per </w:t>
      </w:r>
      <w:r w:rsidRPr="00890960">
        <w:t>cent were employed either part</w:t>
      </w:r>
      <w:r>
        <w:noBreakHyphen/>
      </w:r>
      <w:r w:rsidRPr="00890960">
        <w:t xml:space="preserve">time </w:t>
      </w:r>
      <w:r w:rsidRPr="006D2CF3">
        <w:rPr>
          <w:color w:val="000000" w:themeColor="text1"/>
        </w:rPr>
        <w:t>or ful</w:t>
      </w:r>
      <w:r>
        <w:rPr>
          <w:color w:val="000000" w:themeColor="text1"/>
        </w:rPr>
        <w:t>l</w:t>
      </w:r>
      <w:r>
        <w:rPr>
          <w:color w:val="000000" w:themeColor="text1"/>
        </w:rPr>
        <w:noBreakHyphen/>
        <w:t xml:space="preserve">time after support, compared with </w:t>
      </w:r>
      <w:r w:rsidR="002D13B0">
        <w:rPr>
          <w:color w:val="000000" w:themeColor="text1"/>
        </w:rPr>
        <w:t>10.9</w:t>
      </w:r>
      <w:r w:rsidRPr="006D2CF3">
        <w:rPr>
          <w:color w:val="000000" w:themeColor="text1"/>
        </w:rPr>
        <w:t xml:space="preserve"> per cent before support. Amongst </w:t>
      </w:r>
      <w:r w:rsidR="002D13B0">
        <w:rPr>
          <w:color w:val="000000" w:themeColor="text1"/>
        </w:rPr>
        <w:t xml:space="preserve">those </w:t>
      </w:r>
      <w:r w:rsidRPr="006D2CF3">
        <w:rPr>
          <w:color w:val="000000" w:themeColor="text1"/>
        </w:rPr>
        <w:t xml:space="preserve">employed after support, </w:t>
      </w:r>
      <w:r w:rsidR="002D13B0">
        <w:rPr>
          <w:color w:val="000000" w:themeColor="text1"/>
        </w:rPr>
        <w:t>6.0</w:t>
      </w:r>
      <w:r w:rsidRPr="006D2CF3">
        <w:rPr>
          <w:color w:val="000000" w:themeColor="text1"/>
        </w:rPr>
        <w:t> per cent were employed full</w:t>
      </w:r>
      <w:r>
        <w:rPr>
          <w:color w:val="000000" w:themeColor="text1"/>
        </w:rPr>
        <w:noBreakHyphen/>
      </w:r>
      <w:r w:rsidRPr="006D2CF3">
        <w:rPr>
          <w:color w:val="000000" w:themeColor="text1"/>
        </w:rPr>
        <w:t xml:space="preserve">time and </w:t>
      </w:r>
      <w:r w:rsidR="002D13B0">
        <w:rPr>
          <w:color w:val="000000" w:themeColor="text1"/>
        </w:rPr>
        <w:t>12.3</w:t>
      </w:r>
      <w:r w:rsidRPr="006D2CF3">
        <w:rPr>
          <w:color w:val="000000" w:themeColor="text1"/>
        </w:rPr>
        <w:t> per cent were employed part</w:t>
      </w:r>
      <w:r w:rsidR="003D4B83">
        <w:rPr>
          <w:color w:val="000000" w:themeColor="text1"/>
        </w:rPr>
        <w:noBreakHyphen/>
      </w:r>
      <w:r w:rsidRPr="006D2CF3">
        <w:rPr>
          <w:color w:val="000000" w:themeColor="text1"/>
        </w:rPr>
        <w:t>time after support</w:t>
      </w:r>
      <w:r w:rsidR="002D13B0">
        <w:rPr>
          <w:color w:val="000000" w:themeColor="text1"/>
        </w:rPr>
        <w:t xml:space="preserve"> (</w:t>
      </w:r>
      <w:r w:rsidRPr="006D2CF3">
        <w:rPr>
          <w:color w:val="000000" w:themeColor="text1"/>
        </w:rPr>
        <w:t xml:space="preserve">figure </w:t>
      </w:r>
      <w:r w:rsidR="007A5581">
        <w:t>18.13</w:t>
      </w:r>
      <w:r w:rsidRPr="00890960">
        <w:t>).</w:t>
      </w:r>
    </w:p>
    <w:p w:rsidR="002D13B0" w:rsidRDefault="002D13B0" w:rsidP="00B85B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13B0" w:rsidTr="00B85BFD">
        <w:tc>
          <w:tcPr>
            <w:tcW w:w="8771" w:type="dxa"/>
            <w:tcBorders>
              <w:top w:val="single" w:sz="6" w:space="0" w:color="78A22F"/>
              <w:left w:val="nil"/>
              <w:bottom w:val="nil"/>
              <w:right w:val="nil"/>
            </w:tcBorders>
            <w:shd w:val="clear" w:color="auto" w:fill="auto"/>
          </w:tcPr>
          <w:p w:rsidR="002D13B0" w:rsidRPr="00176D3F" w:rsidRDefault="002D13B0" w:rsidP="003D4B83">
            <w:pPr>
              <w:pStyle w:val="FigureTitle"/>
            </w:pPr>
            <w:r w:rsidRPr="00784A05">
              <w:rPr>
                <w:b w:val="0"/>
              </w:rPr>
              <w:t xml:space="preserve">Figure </w:t>
            </w:r>
            <w:bookmarkStart w:id="31" w:name="OLE_LINK15"/>
            <w:r w:rsidR="007A5581">
              <w:rPr>
                <w:b w:val="0"/>
              </w:rPr>
              <w:t>18.</w:t>
            </w:r>
            <w:r w:rsidR="007A3D6D">
              <w:rPr>
                <w:b w:val="0"/>
                <w:noProof/>
              </w:rPr>
              <w:t>13</w:t>
            </w:r>
            <w:bookmarkEnd w:id="31"/>
            <w:r>
              <w:tab/>
            </w:r>
            <w:r w:rsidR="00C05398">
              <w:t>P</w:t>
            </w:r>
            <w:r w:rsidRPr="004A2EAE">
              <w:t xml:space="preserve">roportion of clients who needed employment and/or training </w:t>
            </w:r>
            <w:r>
              <w:t xml:space="preserve">assistance, by </w:t>
            </w:r>
            <w:r w:rsidRPr="004A2EAE">
              <w:t>full/part</w:t>
            </w:r>
            <w:r w:rsidR="003D4B83">
              <w:t>-</w:t>
            </w:r>
            <w:r w:rsidRPr="004A2EAE">
              <w:t xml:space="preserve">time employment </w:t>
            </w:r>
            <w:r>
              <w:t xml:space="preserve">status before and </w:t>
            </w:r>
            <w:r w:rsidRPr="004A2EAE">
              <w:t>after support</w:t>
            </w:r>
            <w:r w:rsidR="00C05398">
              <w:t xml:space="preserve"> (closed support periods)</w:t>
            </w:r>
            <w:r w:rsidRPr="004A2EAE">
              <w:t>, 2014</w:t>
            </w:r>
            <w:r>
              <w:noBreakHyphen/>
              <w:t>15</w:t>
            </w:r>
            <w:r w:rsidRPr="004A2EAE">
              <w:rPr>
                <w:rStyle w:val="NoteLabel"/>
                <w:b/>
              </w:rPr>
              <w:t>a</w:t>
            </w:r>
            <w:r w:rsidR="000D18AC">
              <w:rPr>
                <w:rStyle w:val="NoteLabel"/>
                <w:b/>
              </w:rPr>
              <w:t>, b</w:t>
            </w:r>
          </w:p>
        </w:tc>
      </w:tr>
      <w:tr w:rsidR="002D13B0" w:rsidTr="00B85BFD">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2D13B0" w:rsidTr="00570CF4">
              <w:trPr>
                <w:jc w:val="center"/>
              </w:trPr>
              <w:tc>
                <w:tcPr>
                  <w:tcW w:w="5000" w:type="pct"/>
                  <w:tcBorders>
                    <w:top w:val="nil"/>
                    <w:bottom w:val="nil"/>
                  </w:tcBorders>
                  <w:shd w:val="clear" w:color="auto" w:fill="auto"/>
                </w:tcPr>
                <w:p w:rsidR="002D13B0" w:rsidRDefault="00A701B9" w:rsidP="00B85BFD">
                  <w:pPr>
                    <w:pStyle w:val="Figure"/>
                    <w:spacing w:before="60" w:after="60"/>
                  </w:pPr>
                  <w:r>
                    <w:rPr>
                      <w:noProof/>
                    </w:rPr>
                    <w:drawing>
                      <wp:inline distT="0" distB="0" distL="0" distR="0">
                        <wp:extent cx="5400040" cy="2689225"/>
                        <wp:effectExtent l="0" t="0" r="0" b="0"/>
                        <wp:docPr id="14" name="Picture 14" descr="Figure 18.13 Proportion of clients who needed employment and/or training assistance, by full/part-time employment status before and after support (closed support period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2689225"/>
                                </a:xfrm>
                                <a:prstGeom prst="rect">
                                  <a:avLst/>
                                </a:prstGeom>
                                <a:noFill/>
                                <a:ln>
                                  <a:noFill/>
                                </a:ln>
                              </pic:spPr>
                            </pic:pic>
                          </a:graphicData>
                        </a:graphic>
                      </wp:inline>
                    </w:drawing>
                  </w:r>
                </w:p>
              </w:tc>
            </w:tr>
          </w:tbl>
          <w:p w:rsidR="002D13B0" w:rsidRDefault="002D13B0" w:rsidP="00B85BFD">
            <w:pPr>
              <w:pStyle w:val="Figure"/>
            </w:pPr>
          </w:p>
        </w:tc>
      </w:tr>
      <w:tr w:rsidR="002D13B0" w:rsidRPr="00176D3F" w:rsidTr="00B85BFD">
        <w:tc>
          <w:tcPr>
            <w:tcW w:w="8771" w:type="dxa"/>
            <w:tcBorders>
              <w:top w:val="nil"/>
              <w:left w:val="nil"/>
              <w:bottom w:val="nil"/>
              <w:right w:val="nil"/>
            </w:tcBorders>
            <w:shd w:val="clear" w:color="auto" w:fill="auto"/>
          </w:tcPr>
          <w:p w:rsidR="002D13B0" w:rsidRPr="00176D3F" w:rsidRDefault="00B33956" w:rsidP="003D4B83">
            <w:pPr>
              <w:pStyle w:val="Note"/>
            </w:pPr>
            <w:r>
              <w:rPr>
                <w:rStyle w:val="NoteLabel"/>
              </w:rPr>
              <w:t>a</w:t>
            </w:r>
            <w:r>
              <w:t xml:space="preserve"> </w:t>
            </w:r>
            <w:r w:rsidRPr="006D3797">
              <w:t xml:space="preserve">See box </w:t>
            </w:r>
            <w:r w:rsidR="007A5581">
              <w:t>18.12</w:t>
            </w:r>
            <w:r w:rsidRPr="006D3797">
              <w:t xml:space="preserve"> and table </w:t>
            </w:r>
            <w:proofErr w:type="spellStart"/>
            <w:r>
              <w:t>18</w:t>
            </w:r>
            <w:r w:rsidRPr="006D3797">
              <w:t>A.</w:t>
            </w:r>
            <w:r>
              <w:t>21</w:t>
            </w:r>
            <w:proofErr w:type="spellEnd"/>
            <w:r w:rsidRPr="006D3797">
              <w:t xml:space="preserve"> for detailed definitions, footnotes and caveats</w:t>
            </w:r>
            <w:r>
              <w:t xml:space="preserve">. </w:t>
            </w:r>
            <w:r w:rsidRPr="00096F38">
              <w:rPr>
                <w:rStyle w:val="NoteLabel"/>
              </w:rPr>
              <w:t>b</w:t>
            </w:r>
            <w:r>
              <w:rPr>
                <w:b/>
                <w:bCs/>
                <w:szCs w:val="18"/>
              </w:rPr>
              <w:t xml:space="preserve"> </w:t>
            </w:r>
            <w:r>
              <w:rPr>
                <w:szCs w:val="18"/>
              </w:rPr>
              <w:t>Data for ‘employed full</w:t>
            </w:r>
            <w:r w:rsidR="003D4B83">
              <w:rPr>
                <w:szCs w:val="18"/>
              </w:rPr>
              <w:noBreakHyphen/>
            </w:r>
            <w:r>
              <w:rPr>
                <w:szCs w:val="18"/>
              </w:rPr>
              <w:t>time before support’ for Tasmania are nil or rounded to zero.</w:t>
            </w:r>
          </w:p>
        </w:tc>
      </w:tr>
      <w:tr w:rsidR="002D13B0" w:rsidRPr="00176D3F" w:rsidTr="00B85BFD">
        <w:tc>
          <w:tcPr>
            <w:tcW w:w="8771" w:type="dxa"/>
            <w:tcBorders>
              <w:top w:val="nil"/>
              <w:left w:val="nil"/>
              <w:bottom w:val="nil"/>
              <w:right w:val="nil"/>
            </w:tcBorders>
            <w:shd w:val="clear" w:color="auto" w:fill="auto"/>
          </w:tcPr>
          <w:p w:rsidR="002D13B0" w:rsidRPr="00176D3F" w:rsidRDefault="002D13B0" w:rsidP="00B85BFD">
            <w:pPr>
              <w:pStyle w:val="Source"/>
            </w:pPr>
            <w:r>
              <w:rPr>
                <w:i/>
              </w:rPr>
              <w:t>S</w:t>
            </w:r>
            <w:r w:rsidRPr="00784A05">
              <w:rPr>
                <w:i/>
              </w:rPr>
              <w:t>ource</w:t>
            </w:r>
            <w:r w:rsidRPr="00176D3F">
              <w:t xml:space="preserve">: </w:t>
            </w:r>
            <w:proofErr w:type="spellStart"/>
            <w:r w:rsidRPr="00421C75">
              <w:rPr>
                <w:color w:val="000000" w:themeColor="text1"/>
              </w:rPr>
              <w:t>AIHW</w:t>
            </w:r>
            <w:proofErr w:type="spellEnd"/>
            <w:r w:rsidRPr="00421C75">
              <w:rPr>
                <w:color w:val="000000" w:themeColor="text1"/>
              </w:rPr>
              <w:t xml:space="preserve"> (unpublished) </w:t>
            </w:r>
            <w:r w:rsidRPr="000C1770">
              <w:rPr>
                <w:color w:val="000000" w:themeColor="text1"/>
              </w:rPr>
              <w:t>Specialist Homelessness Services Collection</w:t>
            </w:r>
            <w:r>
              <w:rPr>
                <w:color w:val="000000" w:themeColor="text1"/>
              </w:rPr>
              <w:t xml:space="preserve">; table </w:t>
            </w:r>
            <w:proofErr w:type="spellStart"/>
            <w:r>
              <w:rPr>
                <w:color w:val="000000" w:themeColor="text1"/>
              </w:rPr>
              <w:t>18A.21</w:t>
            </w:r>
            <w:proofErr w:type="spellEnd"/>
            <w:r w:rsidRPr="00421C75">
              <w:rPr>
                <w:color w:val="000000" w:themeColor="text1"/>
              </w:rPr>
              <w:t>.</w:t>
            </w:r>
          </w:p>
        </w:tc>
      </w:tr>
      <w:tr w:rsidR="002D13B0" w:rsidTr="00B85BFD">
        <w:tc>
          <w:tcPr>
            <w:tcW w:w="8771" w:type="dxa"/>
            <w:tcBorders>
              <w:top w:val="nil"/>
              <w:left w:val="nil"/>
              <w:bottom w:val="single" w:sz="6" w:space="0" w:color="78A22F"/>
              <w:right w:val="nil"/>
            </w:tcBorders>
            <w:shd w:val="clear" w:color="auto" w:fill="auto"/>
          </w:tcPr>
          <w:p w:rsidR="002D13B0" w:rsidRDefault="002D13B0" w:rsidP="00B85BFD">
            <w:pPr>
              <w:pStyle w:val="Figurespace"/>
            </w:pPr>
          </w:p>
        </w:tc>
      </w:tr>
      <w:tr w:rsidR="002D13B0" w:rsidRPr="000863A5" w:rsidTr="00B85BFD">
        <w:tc>
          <w:tcPr>
            <w:tcW w:w="8771" w:type="dxa"/>
            <w:tcBorders>
              <w:top w:val="single" w:sz="6" w:space="0" w:color="78A22F"/>
              <w:left w:val="nil"/>
              <w:bottom w:val="nil"/>
              <w:right w:val="nil"/>
            </w:tcBorders>
          </w:tcPr>
          <w:p w:rsidR="002D13B0" w:rsidRPr="00626D32" w:rsidRDefault="002D13B0" w:rsidP="00B85BFD">
            <w:pPr>
              <w:pStyle w:val="BoxSpaceBelow"/>
            </w:pPr>
          </w:p>
        </w:tc>
      </w:tr>
    </w:tbl>
    <w:p w:rsidR="00B33956" w:rsidRDefault="00B33956" w:rsidP="00B33956">
      <w:pPr>
        <w:pStyle w:val="BodyText"/>
        <w:spacing w:after="240"/>
      </w:pPr>
      <w:r w:rsidRPr="00890960">
        <w:t>Nationall</w:t>
      </w:r>
      <w:r>
        <w:t xml:space="preserve">y, of </w:t>
      </w:r>
      <w:r w:rsidRPr="00890960">
        <w:t xml:space="preserve">those </w:t>
      </w:r>
      <w:r>
        <w:t>Aboriginal and Torres Strait Islander</w:t>
      </w:r>
      <w:r w:rsidRPr="00890960">
        <w:t xml:space="preserve"> clients who needed assistance to obtain or maintain employment and training when entering homelessness services in </w:t>
      </w:r>
      <w:r>
        <w:t>2014</w:t>
      </w:r>
      <w:r>
        <w:noBreakHyphen/>
        <w:t>15</w:t>
      </w:r>
      <w:r w:rsidRPr="00890960">
        <w:t xml:space="preserve">, </w:t>
      </w:r>
      <w:r w:rsidR="003F4F1E">
        <w:t>12.5</w:t>
      </w:r>
      <w:r w:rsidRPr="006D2CF3">
        <w:rPr>
          <w:color w:val="000000" w:themeColor="text1"/>
        </w:rPr>
        <w:t> </w:t>
      </w:r>
      <w:r w:rsidRPr="00890960">
        <w:t>per cent were employed either part</w:t>
      </w:r>
      <w:r w:rsidR="003D4B83">
        <w:noBreakHyphen/>
      </w:r>
      <w:r w:rsidRPr="00890960">
        <w:t>time or full</w:t>
      </w:r>
      <w:r w:rsidR="003D4B83">
        <w:noBreakHyphen/>
      </w:r>
      <w:r w:rsidRPr="00890960">
        <w:t xml:space="preserve">time after support, compared </w:t>
      </w:r>
      <w:r>
        <w:t xml:space="preserve">with </w:t>
      </w:r>
      <w:r w:rsidR="003F4F1E">
        <w:t>5.7</w:t>
      </w:r>
      <w:r>
        <w:t xml:space="preserve"> </w:t>
      </w:r>
      <w:r w:rsidRPr="00890960">
        <w:t>per cent before support. Amongst th</w:t>
      </w:r>
      <w:r w:rsidR="003F4F1E">
        <w:t>ose</w:t>
      </w:r>
      <w:r w:rsidRPr="00890960">
        <w:t xml:space="preserve"> employed after support, </w:t>
      </w:r>
      <w:r w:rsidR="003F4F1E">
        <w:t>4.7</w:t>
      </w:r>
      <w:r w:rsidRPr="006D2CF3">
        <w:rPr>
          <w:color w:val="000000" w:themeColor="text1"/>
        </w:rPr>
        <w:t> per cent were employed full</w:t>
      </w:r>
      <w:r w:rsidR="003D4B83">
        <w:rPr>
          <w:color w:val="000000" w:themeColor="text1"/>
        </w:rPr>
        <w:noBreakHyphen/>
      </w:r>
      <w:r w:rsidRPr="006D2CF3">
        <w:rPr>
          <w:color w:val="000000" w:themeColor="text1"/>
        </w:rPr>
        <w:t xml:space="preserve">time and </w:t>
      </w:r>
      <w:r w:rsidR="003F4F1E">
        <w:rPr>
          <w:color w:val="000000" w:themeColor="text1"/>
        </w:rPr>
        <w:t>7.3</w:t>
      </w:r>
      <w:r>
        <w:rPr>
          <w:color w:val="000000" w:themeColor="text1"/>
        </w:rPr>
        <w:t xml:space="preserve"> </w:t>
      </w:r>
      <w:r w:rsidRPr="006D2CF3">
        <w:rPr>
          <w:color w:val="000000" w:themeColor="text1"/>
        </w:rPr>
        <w:t>per cent were employed part</w:t>
      </w:r>
      <w:r w:rsidR="003D4B83">
        <w:rPr>
          <w:color w:val="000000" w:themeColor="text1"/>
        </w:rPr>
        <w:noBreakHyphen/>
      </w:r>
      <w:r w:rsidRPr="006D2CF3">
        <w:rPr>
          <w:color w:val="000000" w:themeColor="text1"/>
        </w:rPr>
        <w:t xml:space="preserve">time after support </w:t>
      </w:r>
      <w:r w:rsidRPr="00890960">
        <w:t xml:space="preserve">(table </w:t>
      </w:r>
      <w:proofErr w:type="spellStart"/>
      <w:r>
        <w:t>18A</w:t>
      </w:r>
      <w:r w:rsidRPr="00890960">
        <w:t>.</w:t>
      </w:r>
      <w:r>
        <w:t>22</w:t>
      </w:r>
      <w:proofErr w:type="spellEnd"/>
      <w:r w:rsidRPr="00890960">
        <w:t>).</w:t>
      </w:r>
    </w:p>
    <w:p w:rsidR="003F4F1E" w:rsidRDefault="003F4F1E" w:rsidP="003F4F1E">
      <w:pPr>
        <w:pStyle w:val="Heading5"/>
      </w:pPr>
      <w:r>
        <w:t xml:space="preserve">Clients </w:t>
      </w:r>
      <w:r w:rsidR="00AE7433">
        <w:t xml:space="preserve">with an </w:t>
      </w:r>
      <w:r w:rsidR="00AE7433" w:rsidRPr="004A2EAE">
        <w:t xml:space="preserve">identified need for </w:t>
      </w:r>
      <w:r w:rsidR="00AE7433" w:rsidRPr="002D13B0">
        <w:t xml:space="preserve">employment and/or training assistance </w:t>
      </w:r>
      <w:r w:rsidR="00AE7433">
        <w:t xml:space="preserve">and </w:t>
      </w:r>
      <w:r>
        <w:t xml:space="preserve">were unemployed </w:t>
      </w:r>
      <w:r w:rsidR="00AE7433">
        <w:t xml:space="preserve">or not in the labour force </w:t>
      </w:r>
      <w:r w:rsidRPr="002D13B0">
        <w:t>at presentation</w:t>
      </w:r>
    </w:p>
    <w:p w:rsidR="000707E5" w:rsidRDefault="003F4F1E" w:rsidP="000707E5">
      <w:pPr>
        <w:pStyle w:val="BodyText"/>
        <w:rPr>
          <w:color w:val="000000" w:themeColor="text1"/>
        </w:rPr>
      </w:pPr>
      <w:r>
        <w:rPr>
          <w:color w:val="000000" w:themeColor="text1"/>
        </w:rPr>
        <w:t>Nationally in 2014</w:t>
      </w:r>
      <w:r>
        <w:rPr>
          <w:color w:val="000000" w:themeColor="text1"/>
        </w:rPr>
        <w:noBreakHyphen/>
        <w:t>15, f</w:t>
      </w:r>
      <w:r w:rsidR="000707E5">
        <w:rPr>
          <w:color w:val="000000" w:themeColor="text1"/>
        </w:rPr>
        <w:t xml:space="preserve">or those clients who were unemployed before support, </w:t>
      </w:r>
      <w:r w:rsidR="00AE7433">
        <w:rPr>
          <w:color w:val="000000" w:themeColor="text1"/>
        </w:rPr>
        <w:t xml:space="preserve">14.0 per cent were employed </w:t>
      </w:r>
      <w:r w:rsidR="000707E5">
        <w:rPr>
          <w:color w:val="000000" w:themeColor="text1"/>
        </w:rPr>
        <w:t xml:space="preserve">after support </w:t>
      </w:r>
      <w:r w:rsidR="00AE7433">
        <w:rPr>
          <w:color w:val="000000" w:themeColor="text1"/>
        </w:rPr>
        <w:t>(5.1</w:t>
      </w:r>
      <w:r w:rsidR="000707E5" w:rsidRPr="00195F9D">
        <w:rPr>
          <w:color w:val="000000" w:themeColor="text1"/>
        </w:rPr>
        <w:t xml:space="preserve"> per cent employed full</w:t>
      </w:r>
      <w:r w:rsidR="003D4B83">
        <w:rPr>
          <w:color w:val="000000" w:themeColor="text1"/>
        </w:rPr>
        <w:noBreakHyphen/>
      </w:r>
      <w:r w:rsidR="000707E5" w:rsidRPr="00195F9D">
        <w:rPr>
          <w:color w:val="000000" w:themeColor="text1"/>
        </w:rPr>
        <w:t xml:space="preserve">time and </w:t>
      </w:r>
      <w:r w:rsidR="00AE7433">
        <w:rPr>
          <w:color w:val="000000" w:themeColor="text1"/>
        </w:rPr>
        <w:t>8.9</w:t>
      </w:r>
      <w:r w:rsidR="000707E5" w:rsidRPr="00195F9D">
        <w:rPr>
          <w:color w:val="000000" w:themeColor="text1"/>
        </w:rPr>
        <w:t> per cent employed part</w:t>
      </w:r>
      <w:r w:rsidR="003D4B83">
        <w:rPr>
          <w:color w:val="000000" w:themeColor="text1"/>
        </w:rPr>
        <w:noBreakHyphen/>
      </w:r>
      <w:r w:rsidR="000707E5" w:rsidRPr="00195F9D">
        <w:rPr>
          <w:color w:val="000000" w:themeColor="text1"/>
        </w:rPr>
        <w:t>time</w:t>
      </w:r>
      <w:r w:rsidR="00AE7433">
        <w:rPr>
          <w:color w:val="000000" w:themeColor="text1"/>
        </w:rPr>
        <w:t>)</w:t>
      </w:r>
      <w:r w:rsidR="006F174F">
        <w:rPr>
          <w:color w:val="000000" w:themeColor="text1"/>
        </w:rPr>
        <w:t>, an increase from 11.7 per cent in 2013-14</w:t>
      </w:r>
      <w:r w:rsidR="000707E5" w:rsidRPr="00195F9D">
        <w:rPr>
          <w:color w:val="000000" w:themeColor="text1"/>
        </w:rPr>
        <w:t xml:space="preserve"> (figure </w:t>
      </w:r>
      <w:r w:rsidR="007A5581">
        <w:t>18.14</w:t>
      </w:r>
      <w:r w:rsidR="000707E5" w:rsidRPr="00195F9D">
        <w:rPr>
          <w:color w:val="000000" w:themeColor="text1"/>
        </w:rPr>
        <w:t>).</w:t>
      </w:r>
      <w:r w:rsidR="006F174F">
        <w:rPr>
          <w:color w:val="000000" w:themeColor="text1"/>
        </w:rPr>
        <w:t xml:space="preserve"> </w:t>
      </w:r>
      <w:r w:rsidR="000707E5">
        <w:rPr>
          <w:color w:val="000000" w:themeColor="text1"/>
        </w:rPr>
        <w:t xml:space="preserve">Whilst for those clients who were not in the labour force before support, </w:t>
      </w:r>
      <w:r w:rsidR="006F174F">
        <w:rPr>
          <w:color w:val="000000" w:themeColor="text1"/>
        </w:rPr>
        <w:t>9.9 per cent were employed after support (2.4</w:t>
      </w:r>
      <w:r w:rsidR="006F174F" w:rsidRPr="00195F9D">
        <w:rPr>
          <w:color w:val="000000" w:themeColor="text1"/>
        </w:rPr>
        <w:t xml:space="preserve"> per cent employed full</w:t>
      </w:r>
      <w:r w:rsidR="003D4B83">
        <w:rPr>
          <w:color w:val="000000" w:themeColor="text1"/>
        </w:rPr>
        <w:noBreakHyphen/>
      </w:r>
      <w:r w:rsidR="006F174F" w:rsidRPr="00195F9D">
        <w:rPr>
          <w:color w:val="000000" w:themeColor="text1"/>
        </w:rPr>
        <w:t xml:space="preserve">time and </w:t>
      </w:r>
      <w:r w:rsidR="005501C9">
        <w:rPr>
          <w:color w:val="000000" w:themeColor="text1"/>
        </w:rPr>
        <w:t>7</w:t>
      </w:r>
      <w:r w:rsidR="006F174F">
        <w:rPr>
          <w:color w:val="000000" w:themeColor="text1"/>
        </w:rPr>
        <w:t>.5</w:t>
      </w:r>
      <w:r w:rsidR="006F174F" w:rsidRPr="00195F9D">
        <w:rPr>
          <w:color w:val="000000" w:themeColor="text1"/>
        </w:rPr>
        <w:t> per cent employed part</w:t>
      </w:r>
      <w:r w:rsidR="003D4B83">
        <w:rPr>
          <w:color w:val="000000" w:themeColor="text1"/>
        </w:rPr>
        <w:noBreakHyphen/>
      </w:r>
      <w:r w:rsidR="006F174F" w:rsidRPr="00195F9D">
        <w:rPr>
          <w:color w:val="000000" w:themeColor="text1"/>
        </w:rPr>
        <w:t>time</w:t>
      </w:r>
      <w:r w:rsidR="006F174F">
        <w:rPr>
          <w:color w:val="000000" w:themeColor="text1"/>
        </w:rPr>
        <w:t>)</w:t>
      </w:r>
      <w:r w:rsidR="006F174F" w:rsidRPr="00195F9D">
        <w:rPr>
          <w:color w:val="000000" w:themeColor="text1"/>
        </w:rPr>
        <w:t xml:space="preserve"> </w:t>
      </w:r>
      <w:r w:rsidR="006F174F">
        <w:rPr>
          <w:color w:val="000000" w:themeColor="text1"/>
        </w:rPr>
        <w:t>(</w:t>
      </w:r>
      <w:r w:rsidR="000707E5">
        <w:rPr>
          <w:color w:val="000000" w:themeColor="text1"/>
        </w:rPr>
        <w:t>table </w:t>
      </w:r>
      <w:proofErr w:type="spellStart"/>
      <w:r w:rsidR="000707E5">
        <w:rPr>
          <w:color w:val="000000" w:themeColor="text1"/>
        </w:rPr>
        <w:t>18A.23</w:t>
      </w:r>
      <w:proofErr w:type="spellEnd"/>
      <w:r w:rsidR="000707E5" w:rsidRPr="00195F9D">
        <w:rPr>
          <w:color w:val="000000" w:themeColor="text1"/>
        </w:rPr>
        <w:t>).</w:t>
      </w:r>
      <w:r w:rsidR="00570CF4" w:rsidRPr="00570CF4">
        <w:t xml:space="preserve"> </w:t>
      </w:r>
    </w:p>
    <w:p w:rsidR="006F174F" w:rsidRDefault="006F174F" w:rsidP="00B85B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F174F" w:rsidTr="00B85BFD">
        <w:tc>
          <w:tcPr>
            <w:tcW w:w="8771" w:type="dxa"/>
            <w:tcBorders>
              <w:top w:val="single" w:sz="6" w:space="0" w:color="78A22F"/>
              <w:left w:val="nil"/>
              <w:bottom w:val="nil"/>
              <w:right w:val="nil"/>
            </w:tcBorders>
            <w:shd w:val="clear" w:color="auto" w:fill="auto"/>
          </w:tcPr>
          <w:p w:rsidR="006F174F" w:rsidRPr="00176D3F" w:rsidRDefault="006F174F" w:rsidP="006F174F">
            <w:pPr>
              <w:pStyle w:val="FigureTitle"/>
            </w:pPr>
            <w:r w:rsidRPr="00784A05">
              <w:rPr>
                <w:b w:val="0"/>
              </w:rPr>
              <w:t xml:space="preserve">Figure </w:t>
            </w:r>
            <w:bookmarkStart w:id="32" w:name="OLE_LINK16"/>
            <w:r w:rsidR="007A5581">
              <w:rPr>
                <w:b w:val="0"/>
              </w:rPr>
              <w:t>18.</w:t>
            </w:r>
            <w:r w:rsidR="007A3D6D">
              <w:rPr>
                <w:b w:val="0"/>
                <w:noProof/>
              </w:rPr>
              <w:t>14</w:t>
            </w:r>
            <w:bookmarkEnd w:id="32"/>
            <w:r>
              <w:tab/>
              <w:t xml:space="preserve">Proportion of clients in employment after support, who were </w:t>
            </w:r>
            <w:r w:rsidRPr="004A2EAE">
              <w:t>unemployed before support</w:t>
            </w:r>
            <w:r>
              <w:t xml:space="preserve"> (closed support periods), </w:t>
            </w:r>
            <w:r>
              <w:br/>
            </w:r>
            <w:r w:rsidRPr="004A2EAE">
              <w:t>201</w:t>
            </w:r>
            <w:r>
              <w:t>4-15</w:t>
            </w:r>
            <w:r w:rsidRPr="004A2EAE">
              <w:rPr>
                <w:rStyle w:val="NoteLabel"/>
                <w:b/>
              </w:rPr>
              <w:t>a</w:t>
            </w:r>
            <w:r>
              <w:rPr>
                <w:rStyle w:val="NoteLabel"/>
                <w:b/>
              </w:rPr>
              <w:t>, b</w:t>
            </w:r>
          </w:p>
        </w:tc>
      </w:tr>
      <w:tr w:rsidR="006F174F" w:rsidTr="00B85BFD">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6F174F" w:rsidTr="000C1770">
              <w:trPr>
                <w:jc w:val="center"/>
              </w:trPr>
              <w:tc>
                <w:tcPr>
                  <w:tcW w:w="5000" w:type="pct"/>
                  <w:tcBorders>
                    <w:top w:val="nil"/>
                    <w:bottom w:val="nil"/>
                  </w:tcBorders>
                </w:tcPr>
                <w:p w:rsidR="006F174F" w:rsidRDefault="00A701B9" w:rsidP="00B85BFD">
                  <w:pPr>
                    <w:pStyle w:val="Figure"/>
                    <w:spacing w:before="60" w:after="60"/>
                  </w:pPr>
                  <w:r>
                    <w:rPr>
                      <w:noProof/>
                    </w:rPr>
                    <w:drawing>
                      <wp:inline distT="0" distB="0" distL="0" distR="0">
                        <wp:extent cx="5400040" cy="2893695"/>
                        <wp:effectExtent l="0" t="0" r="0" b="1905"/>
                        <wp:docPr id="15" name="Picture 15" descr="Figure 18.14 Proportion of clients in employment after support, who were unemployed before support (closed support periods), &#10;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2893695"/>
                                </a:xfrm>
                                <a:prstGeom prst="rect">
                                  <a:avLst/>
                                </a:prstGeom>
                                <a:noFill/>
                                <a:ln>
                                  <a:noFill/>
                                </a:ln>
                              </pic:spPr>
                            </pic:pic>
                          </a:graphicData>
                        </a:graphic>
                      </wp:inline>
                    </w:drawing>
                  </w:r>
                </w:p>
              </w:tc>
            </w:tr>
          </w:tbl>
          <w:p w:rsidR="006F174F" w:rsidRDefault="006F174F" w:rsidP="00B85BFD">
            <w:pPr>
              <w:pStyle w:val="Figure"/>
            </w:pPr>
          </w:p>
        </w:tc>
      </w:tr>
      <w:tr w:rsidR="006F174F" w:rsidRPr="00176D3F" w:rsidTr="00B85BFD">
        <w:tc>
          <w:tcPr>
            <w:tcW w:w="8771" w:type="dxa"/>
            <w:tcBorders>
              <w:top w:val="nil"/>
              <w:left w:val="nil"/>
              <w:bottom w:val="nil"/>
              <w:right w:val="nil"/>
            </w:tcBorders>
            <w:shd w:val="clear" w:color="auto" w:fill="auto"/>
          </w:tcPr>
          <w:p w:rsidR="006F174F" w:rsidRPr="00176D3F" w:rsidRDefault="006F174F" w:rsidP="006F174F">
            <w:pPr>
              <w:pStyle w:val="Note"/>
            </w:pPr>
            <w:r>
              <w:rPr>
                <w:rStyle w:val="NoteLabel"/>
              </w:rPr>
              <w:t>a</w:t>
            </w:r>
            <w:r>
              <w:t xml:space="preserve"> </w:t>
            </w:r>
            <w:r w:rsidRPr="006D3797">
              <w:t xml:space="preserve">See box </w:t>
            </w:r>
            <w:r w:rsidR="007A5581">
              <w:t>18.12</w:t>
            </w:r>
            <w:r w:rsidRPr="006D3797">
              <w:t xml:space="preserve"> and table </w:t>
            </w:r>
            <w:proofErr w:type="spellStart"/>
            <w:r>
              <w:t>18</w:t>
            </w:r>
            <w:r w:rsidRPr="006D3797">
              <w:t>A.</w:t>
            </w:r>
            <w:r>
              <w:t>2</w:t>
            </w:r>
            <w:r w:rsidR="005501C9">
              <w:t>3</w:t>
            </w:r>
            <w:proofErr w:type="spellEnd"/>
            <w:r w:rsidRPr="006D3797">
              <w:t xml:space="preserve"> for detailed definitions, footnotes and caveats</w:t>
            </w:r>
            <w:r>
              <w:t xml:space="preserve">. </w:t>
            </w:r>
            <w:r w:rsidRPr="00096F38">
              <w:rPr>
                <w:rStyle w:val="NoteLabel"/>
              </w:rPr>
              <w:t>b</w:t>
            </w:r>
            <w:r>
              <w:rPr>
                <w:b/>
                <w:bCs/>
                <w:szCs w:val="18"/>
              </w:rPr>
              <w:t xml:space="preserve"> </w:t>
            </w:r>
            <w:r>
              <w:rPr>
                <w:szCs w:val="18"/>
              </w:rPr>
              <w:t>Data are nil or rounded to zero for SA in 2011-12 and Tasmania for 2012-13</w:t>
            </w:r>
          </w:p>
        </w:tc>
      </w:tr>
      <w:tr w:rsidR="006F174F" w:rsidRPr="00176D3F" w:rsidTr="00B85BFD">
        <w:tc>
          <w:tcPr>
            <w:tcW w:w="8771" w:type="dxa"/>
            <w:tcBorders>
              <w:top w:val="nil"/>
              <w:left w:val="nil"/>
              <w:bottom w:val="nil"/>
              <w:right w:val="nil"/>
            </w:tcBorders>
            <w:shd w:val="clear" w:color="auto" w:fill="auto"/>
          </w:tcPr>
          <w:p w:rsidR="006F174F" w:rsidRPr="00176D3F" w:rsidRDefault="006F174F" w:rsidP="00B85BFD">
            <w:pPr>
              <w:pStyle w:val="Source"/>
            </w:pPr>
            <w:r>
              <w:rPr>
                <w:i/>
              </w:rPr>
              <w:t>S</w:t>
            </w:r>
            <w:r w:rsidRPr="00784A05">
              <w:rPr>
                <w:i/>
              </w:rPr>
              <w:t>ource</w:t>
            </w:r>
            <w:r w:rsidRPr="00176D3F">
              <w:t xml:space="preserve">: </w:t>
            </w:r>
            <w:proofErr w:type="spellStart"/>
            <w:r w:rsidRPr="00621AAD">
              <w:t>AIHW</w:t>
            </w:r>
            <w:proofErr w:type="spellEnd"/>
            <w:r w:rsidRPr="00621AAD">
              <w:t xml:space="preserve"> (unpublished) </w:t>
            </w:r>
            <w:r w:rsidR="000C1770" w:rsidRPr="000C1770">
              <w:t>Specialist Homelessness Services Collection</w:t>
            </w:r>
            <w:r>
              <w:rPr>
                <w:i/>
              </w:rPr>
              <w:t>;</w:t>
            </w:r>
            <w:r>
              <w:t xml:space="preserve"> table </w:t>
            </w:r>
            <w:proofErr w:type="spellStart"/>
            <w:r>
              <w:t>18A.23</w:t>
            </w:r>
            <w:proofErr w:type="spellEnd"/>
            <w:r w:rsidRPr="005957F7">
              <w:rPr>
                <w:color w:val="000000" w:themeColor="text1"/>
              </w:rPr>
              <w:t>.</w:t>
            </w:r>
          </w:p>
        </w:tc>
      </w:tr>
      <w:tr w:rsidR="006F174F" w:rsidTr="00B85BFD">
        <w:tc>
          <w:tcPr>
            <w:tcW w:w="8771" w:type="dxa"/>
            <w:tcBorders>
              <w:top w:val="nil"/>
              <w:left w:val="nil"/>
              <w:bottom w:val="single" w:sz="6" w:space="0" w:color="78A22F"/>
              <w:right w:val="nil"/>
            </w:tcBorders>
            <w:shd w:val="clear" w:color="auto" w:fill="auto"/>
          </w:tcPr>
          <w:p w:rsidR="006F174F" w:rsidRDefault="006F174F" w:rsidP="00B85BFD">
            <w:pPr>
              <w:pStyle w:val="Figurespace"/>
            </w:pPr>
          </w:p>
        </w:tc>
      </w:tr>
      <w:tr w:rsidR="006F174F" w:rsidRPr="000863A5" w:rsidTr="00B85BFD">
        <w:tc>
          <w:tcPr>
            <w:tcW w:w="8771" w:type="dxa"/>
            <w:tcBorders>
              <w:top w:val="single" w:sz="6" w:space="0" w:color="78A22F"/>
              <w:left w:val="nil"/>
              <w:bottom w:val="nil"/>
              <w:right w:val="nil"/>
            </w:tcBorders>
          </w:tcPr>
          <w:p w:rsidR="006F174F" w:rsidRPr="00626D32" w:rsidRDefault="006F174F" w:rsidP="00B85BFD">
            <w:pPr>
              <w:pStyle w:val="BoxSpaceBelow"/>
            </w:pPr>
          </w:p>
        </w:tc>
      </w:tr>
    </w:tbl>
    <w:p w:rsidR="000707E5" w:rsidRPr="0083225A" w:rsidRDefault="000707E5" w:rsidP="000707E5">
      <w:pPr>
        <w:pStyle w:val="Heading4"/>
      </w:pPr>
      <w:r w:rsidRPr="0083225A">
        <w:t>Achievement of income on exit</w:t>
      </w:r>
    </w:p>
    <w:p w:rsidR="000707E5" w:rsidRDefault="000707E5" w:rsidP="000707E5">
      <w:pPr>
        <w:pStyle w:val="BodyText"/>
        <w:spacing w:after="240"/>
        <w:rPr>
          <w:bCs/>
          <w:color w:val="000000" w:themeColor="text1"/>
        </w:rPr>
      </w:pPr>
      <w:r>
        <w:rPr>
          <w:bCs/>
          <w:color w:val="000000" w:themeColor="text1"/>
        </w:rPr>
        <w:t>‘</w:t>
      </w:r>
      <w:r w:rsidRPr="00B3017E">
        <w:rPr>
          <w:bCs/>
          <w:color w:val="000000" w:themeColor="text1"/>
        </w:rPr>
        <w:t>Achievement of income on exit’ is an indicator of governments’ objective to enable clients to participate independently in the community at the end of their support period</w:t>
      </w:r>
      <w:r>
        <w:rPr>
          <w:bCs/>
          <w:color w:val="000000" w:themeColor="text1"/>
        </w:rPr>
        <w:t xml:space="preserve"> (box </w:t>
      </w:r>
      <w:r w:rsidR="007A5581">
        <w:t>18.13</w:t>
      </w:r>
      <w:r>
        <w:rPr>
          <w:bCs/>
          <w:color w:val="000000" w:themeColor="text1"/>
        </w:rPr>
        <w:t>).</w:t>
      </w:r>
      <w:r w:rsidR="00BC10F7" w:rsidRPr="00BC10F7">
        <w:rPr>
          <w:bCs/>
          <w:color w:val="000000" w:themeColor="text1"/>
        </w:rPr>
        <w:t xml:space="preserve"> </w:t>
      </w:r>
    </w:p>
    <w:p w:rsidR="00CC7CBF" w:rsidRDefault="00CC7CB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C7CBF" w:rsidTr="00B85BFD">
        <w:tc>
          <w:tcPr>
            <w:tcW w:w="8771" w:type="dxa"/>
            <w:tcBorders>
              <w:top w:val="single" w:sz="6" w:space="0" w:color="78A22F"/>
              <w:left w:val="nil"/>
              <w:bottom w:val="nil"/>
              <w:right w:val="nil"/>
            </w:tcBorders>
            <w:shd w:val="clear" w:color="auto" w:fill="F2F2F2"/>
          </w:tcPr>
          <w:p w:rsidR="00CC7CBF" w:rsidRDefault="00CC7CBF" w:rsidP="00CC7CBF">
            <w:pPr>
              <w:pStyle w:val="BoxTitle"/>
            </w:pPr>
            <w:r>
              <w:rPr>
                <w:b w:val="0"/>
              </w:rPr>
              <w:t xml:space="preserve">Box </w:t>
            </w:r>
            <w:bookmarkStart w:id="33" w:name="OLE_LINK17"/>
            <w:r w:rsidR="007A5581">
              <w:rPr>
                <w:b w:val="0"/>
              </w:rPr>
              <w:t>18.</w:t>
            </w:r>
            <w:r w:rsidR="007A3D6D">
              <w:rPr>
                <w:b w:val="0"/>
                <w:noProof/>
              </w:rPr>
              <w:t>13</w:t>
            </w:r>
            <w:bookmarkEnd w:id="33"/>
            <w:r>
              <w:tab/>
            </w:r>
            <w:r w:rsidRPr="009E5CE0">
              <w:rPr>
                <w:color w:val="000000" w:themeColor="text1"/>
              </w:rPr>
              <w:t>Achievement of income on exit</w:t>
            </w:r>
          </w:p>
        </w:tc>
      </w:tr>
      <w:tr w:rsidR="00CC7CBF" w:rsidTr="00B85BFD">
        <w:trPr>
          <w:cantSplit/>
        </w:trPr>
        <w:tc>
          <w:tcPr>
            <w:tcW w:w="8771" w:type="dxa"/>
            <w:tcBorders>
              <w:top w:val="nil"/>
              <w:left w:val="nil"/>
              <w:bottom w:val="nil"/>
              <w:right w:val="nil"/>
            </w:tcBorders>
            <w:shd w:val="clear" w:color="auto" w:fill="F2F2F2"/>
          </w:tcPr>
          <w:p w:rsidR="00CC7CBF" w:rsidRPr="002D13B0" w:rsidRDefault="00CC7CBF" w:rsidP="00CC7CBF">
            <w:pPr>
              <w:pStyle w:val="Box"/>
              <w:keepNext w:val="0"/>
            </w:pPr>
            <w:r>
              <w:rPr>
                <w:bCs/>
              </w:rPr>
              <w:t>‘</w:t>
            </w:r>
            <w:r w:rsidRPr="004A2EAE">
              <w:rPr>
                <w:bCs/>
              </w:rPr>
              <w:t xml:space="preserve">Achievement of </w:t>
            </w:r>
            <w:r w:rsidRPr="00195F9D">
              <w:rPr>
                <w:bCs/>
                <w:color w:val="000000" w:themeColor="text1"/>
              </w:rPr>
              <w:t xml:space="preserve">income </w:t>
            </w:r>
            <w:r w:rsidRPr="004A2EAE">
              <w:rPr>
                <w:bCs/>
              </w:rPr>
              <w:t xml:space="preserve">on exit’ is defined </w:t>
            </w:r>
            <w:r>
              <w:rPr>
                <w:bCs/>
              </w:rPr>
              <w:t xml:space="preserve">as the proportion of </w:t>
            </w:r>
            <w:r w:rsidRPr="004A2EAE">
              <w:rPr>
                <w:bCs/>
              </w:rPr>
              <w:t xml:space="preserve">clients </w:t>
            </w:r>
            <w:r>
              <w:rPr>
                <w:bCs/>
              </w:rPr>
              <w:t>(</w:t>
            </w:r>
            <w:r w:rsidRPr="004A2EAE">
              <w:rPr>
                <w:bCs/>
              </w:rPr>
              <w:t>wi</w:t>
            </w:r>
            <w:r>
              <w:rPr>
                <w:bCs/>
              </w:rPr>
              <w:t>th closed support periods aged</w:t>
            </w:r>
            <w:r w:rsidR="00B85BFD">
              <w:rPr>
                <w:bCs/>
              </w:rPr>
              <w:t>, aged</w:t>
            </w:r>
            <w:r>
              <w:rPr>
                <w:bCs/>
              </w:rPr>
              <w:t xml:space="preserve"> 15 years and over) </w:t>
            </w:r>
            <w:r w:rsidRPr="004A2EAE">
              <w:t>who</w:t>
            </w:r>
            <w:r>
              <w:t xml:space="preserve"> had an income source </w:t>
            </w:r>
            <w:r w:rsidRPr="004A2EAE">
              <w:t>at the end of support</w:t>
            </w:r>
            <w:r>
              <w:t xml:space="preserve">, of those clients who had an </w:t>
            </w:r>
            <w:r w:rsidRPr="004A2EAE">
              <w:t xml:space="preserve">identified need for </w:t>
            </w:r>
            <w:r>
              <w:t xml:space="preserve">income </w:t>
            </w:r>
            <w:r w:rsidRPr="002D13B0">
              <w:t>assistance at presentation</w:t>
            </w:r>
            <w:r>
              <w:t>.</w:t>
            </w:r>
            <w:r w:rsidRPr="002D13B0">
              <w:t xml:space="preserve"> </w:t>
            </w:r>
          </w:p>
          <w:p w:rsidR="00CC7CBF" w:rsidRDefault="00CC7CBF" w:rsidP="00CC7CBF">
            <w:pPr>
              <w:pStyle w:val="Box"/>
              <w:rPr>
                <w:bCs/>
                <w:color w:val="000000" w:themeColor="text1"/>
              </w:rPr>
            </w:pPr>
            <w:r w:rsidRPr="00B3017E">
              <w:rPr>
                <w:bCs/>
                <w:color w:val="000000" w:themeColor="text1"/>
              </w:rPr>
              <w:t>This indicator compares these clients’ income status before and after they received support</w:t>
            </w:r>
            <w:r>
              <w:rPr>
                <w:bCs/>
                <w:color w:val="000000" w:themeColor="text1"/>
              </w:rPr>
              <w:t>.</w:t>
            </w:r>
          </w:p>
          <w:p w:rsidR="00CC7CBF" w:rsidRDefault="00CC7CBF" w:rsidP="00CC7CBF">
            <w:pPr>
              <w:pStyle w:val="Box"/>
              <w:rPr>
                <w:bCs/>
                <w:color w:val="000000" w:themeColor="text1"/>
              </w:rPr>
            </w:pPr>
            <w:r w:rsidRPr="00B3017E">
              <w:rPr>
                <w:bCs/>
                <w:color w:val="000000" w:themeColor="text1"/>
              </w:rPr>
              <w:t xml:space="preserve">Data are reported for all clients, and separately for </w:t>
            </w:r>
            <w:r>
              <w:rPr>
                <w:bCs/>
                <w:color w:val="000000" w:themeColor="text1"/>
              </w:rPr>
              <w:t>Aboriginal and Torres Strait Islander</w:t>
            </w:r>
            <w:r w:rsidRPr="00B3017E">
              <w:rPr>
                <w:bCs/>
                <w:color w:val="000000" w:themeColor="text1"/>
              </w:rPr>
              <w:t xml:space="preserve"> clients.</w:t>
            </w:r>
          </w:p>
          <w:p w:rsidR="00CC7CBF" w:rsidRDefault="00CC7CBF" w:rsidP="00CC7CBF">
            <w:pPr>
              <w:pStyle w:val="Box"/>
              <w:rPr>
                <w:bCs/>
                <w:color w:val="000000" w:themeColor="text1"/>
              </w:rPr>
            </w:pPr>
            <w:r w:rsidRPr="004F7DC4">
              <w:rPr>
                <w:rFonts w:cs="Arial"/>
                <w:bCs/>
                <w:color w:val="000000" w:themeColor="text1"/>
              </w:rPr>
              <w:t>Holding other factors constant</w:t>
            </w:r>
            <w:r>
              <w:rPr>
                <w:rFonts w:cs="Arial"/>
                <w:bCs/>
                <w:color w:val="000000" w:themeColor="text1"/>
              </w:rPr>
              <w:t>, a</w:t>
            </w:r>
            <w:r w:rsidRPr="00B3017E">
              <w:rPr>
                <w:bCs/>
                <w:color w:val="000000" w:themeColor="text1"/>
              </w:rPr>
              <w:t xml:space="preserve"> high or increasing proportion of clients </w:t>
            </w:r>
            <w:r>
              <w:rPr>
                <w:bCs/>
                <w:color w:val="000000" w:themeColor="text1"/>
              </w:rPr>
              <w:t xml:space="preserve">that have achieved </w:t>
            </w:r>
            <w:r w:rsidRPr="00B3017E">
              <w:rPr>
                <w:bCs/>
                <w:color w:val="000000" w:themeColor="text1"/>
              </w:rPr>
              <w:t xml:space="preserve">an income </w:t>
            </w:r>
            <w:r>
              <w:rPr>
                <w:bCs/>
                <w:color w:val="000000" w:themeColor="text1"/>
              </w:rPr>
              <w:t xml:space="preserve">on </w:t>
            </w:r>
            <w:r w:rsidRPr="00B3017E">
              <w:rPr>
                <w:bCs/>
                <w:color w:val="000000" w:themeColor="text1"/>
              </w:rPr>
              <w:t>exit</w:t>
            </w:r>
            <w:r>
              <w:rPr>
                <w:bCs/>
                <w:color w:val="000000" w:themeColor="text1"/>
              </w:rPr>
              <w:t xml:space="preserve"> from</w:t>
            </w:r>
            <w:r w:rsidRPr="00B3017E">
              <w:rPr>
                <w:bCs/>
                <w:color w:val="000000" w:themeColor="text1"/>
              </w:rPr>
              <w:t xml:space="preserve"> homelessness services</w:t>
            </w:r>
            <w:r>
              <w:rPr>
                <w:bCs/>
                <w:color w:val="000000" w:themeColor="text1"/>
              </w:rPr>
              <w:t xml:space="preserve"> </w:t>
            </w:r>
            <w:r w:rsidRPr="00B3017E">
              <w:rPr>
                <w:bCs/>
                <w:color w:val="000000" w:themeColor="text1"/>
              </w:rPr>
              <w:t>is desirable.</w:t>
            </w:r>
          </w:p>
          <w:p w:rsidR="00CC7CBF" w:rsidRPr="00523519" w:rsidRDefault="00CC7CBF" w:rsidP="00CC7CBF">
            <w:pPr>
              <w:pStyle w:val="Box"/>
              <w:rPr>
                <w:color w:val="000000" w:themeColor="text1"/>
              </w:rPr>
            </w:pPr>
            <w:r w:rsidRPr="00523519">
              <w:rPr>
                <w:color w:val="000000" w:themeColor="text1"/>
              </w:rPr>
              <w:t>Data reported for these measures are:</w:t>
            </w:r>
          </w:p>
          <w:p w:rsidR="00CC7CBF" w:rsidRPr="00523519" w:rsidRDefault="00CC7CBF" w:rsidP="00CC7CBF">
            <w:pPr>
              <w:pStyle w:val="BoxListBullet"/>
              <w:rPr>
                <w:color w:val="000000" w:themeColor="text1"/>
              </w:rPr>
            </w:pPr>
            <w:r w:rsidRPr="00523519">
              <w:rPr>
                <w:color w:val="000000" w:themeColor="text1"/>
              </w:rPr>
              <w:t>comparable (subject to caveats) across jurisdictions and over time</w:t>
            </w:r>
          </w:p>
          <w:p w:rsidR="00CC7CBF" w:rsidRPr="00523519" w:rsidRDefault="00CC7CBF" w:rsidP="00CC7CBF">
            <w:pPr>
              <w:pStyle w:val="BoxListBullet"/>
              <w:rPr>
                <w:rFonts w:cs="Arial"/>
                <w:color w:val="000000" w:themeColor="text1"/>
                <w:szCs w:val="22"/>
              </w:rPr>
            </w:pPr>
            <w:r w:rsidRPr="00523519">
              <w:rPr>
                <w:color w:val="000000" w:themeColor="text1"/>
              </w:rPr>
              <w:t>complete for the current repor</w:t>
            </w:r>
            <w:r>
              <w:rPr>
                <w:color w:val="000000" w:themeColor="text1"/>
              </w:rPr>
              <w:t>ting period. All required 2013</w:t>
            </w:r>
            <w:r>
              <w:rPr>
                <w:color w:val="000000" w:themeColor="text1"/>
              </w:rPr>
              <w:noBreakHyphen/>
              <w:t>14</w:t>
            </w:r>
            <w:r w:rsidRPr="00523519">
              <w:rPr>
                <w:color w:val="000000" w:themeColor="text1"/>
              </w:rPr>
              <w:t xml:space="preserve"> data are available for all jurisdictions</w:t>
            </w:r>
          </w:p>
          <w:p w:rsidR="00CC7CBF" w:rsidRDefault="00CC7CBF" w:rsidP="00CC7CBF">
            <w:pPr>
              <w:pStyle w:val="Box"/>
            </w:pPr>
            <w:r w:rsidRPr="00523519">
              <w:rPr>
                <w:rFonts w:cs="Arial"/>
                <w:color w:val="000000" w:themeColor="text1"/>
                <w:szCs w:val="26"/>
              </w:rPr>
              <w:t xml:space="preserve">Data quality information </w:t>
            </w:r>
            <w:r w:rsidRPr="00C41228">
              <w:rPr>
                <w:rFonts w:cs="Arial"/>
                <w:szCs w:val="26"/>
              </w:rPr>
              <w:t>for this indicator is under development</w:t>
            </w:r>
            <w:r>
              <w:rPr>
                <w:rFonts w:cs="Arial"/>
                <w:szCs w:val="26"/>
              </w:rPr>
              <w:t>.</w:t>
            </w:r>
          </w:p>
        </w:tc>
      </w:tr>
      <w:tr w:rsidR="00CC7CBF" w:rsidTr="00B85BFD">
        <w:trPr>
          <w:cantSplit/>
        </w:trPr>
        <w:tc>
          <w:tcPr>
            <w:tcW w:w="8771" w:type="dxa"/>
            <w:tcBorders>
              <w:top w:val="nil"/>
              <w:left w:val="nil"/>
              <w:bottom w:val="single" w:sz="6" w:space="0" w:color="78A22F"/>
              <w:right w:val="nil"/>
            </w:tcBorders>
            <w:shd w:val="clear" w:color="auto" w:fill="F2F2F2"/>
          </w:tcPr>
          <w:p w:rsidR="00CC7CBF" w:rsidRDefault="00CC7CBF">
            <w:pPr>
              <w:pStyle w:val="Box"/>
              <w:spacing w:before="0" w:line="120" w:lineRule="exact"/>
            </w:pPr>
          </w:p>
        </w:tc>
      </w:tr>
      <w:tr w:rsidR="00CC7CBF" w:rsidRPr="000863A5" w:rsidTr="00B85BFD">
        <w:tc>
          <w:tcPr>
            <w:tcW w:w="8771" w:type="dxa"/>
            <w:tcBorders>
              <w:top w:val="single" w:sz="6" w:space="0" w:color="78A22F"/>
              <w:left w:val="nil"/>
              <w:bottom w:val="nil"/>
              <w:right w:val="nil"/>
            </w:tcBorders>
          </w:tcPr>
          <w:p w:rsidR="00CC7CBF" w:rsidRPr="00626D32" w:rsidRDefault="00CC7CBF" w:rsidP="00B85BFD">
            <w:pPr>
              <w:pStyle w:val="BoxSpaceBelow"/>
            </w:pPr>
          </w:p>
        </w:tc>
      </w:tr>
    </w:tbl>
    <w:p w:rsidR="008F2E04" w:rsidRDefault="000707E5" w:rsidP="008F2E04">
      <w:pPr>
        <w:pStyle w:val="BodyText"/>
        <w:rPr>
          <w:color w:val="000000" w:themeColor="text1"/>
        </w:rPr>
      </w:pPr>
      <w:r w:rsidRPr="0059376A">
        <w:rPr>
          <w:color w:val="000000" w:themeColor="text1"/>
        </w:rPr>
        <w:t xml:space="preserve">Nationally, of clients who needed income assistance when entering homelessness services in </w:t>
      </w:r>
      <w:r>
        <w:rPr>
          <w:color w:val="000000" w:themeColor="text1"/>
        </w:rPr>
        <w:t>2014</w:t>
      </w:r>
      <w:r>
        <w:rPr>
          <w:color w:val="000000" w:themeColor="text1"/>
        </w:rPr>
        <w:noBreakHyphen/>
        <w:t>15</w:t>
      </w:r>
      <w:r w:rsidRPr="0059376A">
        <w:rPr>
          <w:color w:val="000000" w:themeColor="text1"/>
        </w:rPr>
        <w:t xml:space="preserve">, </w:t>
      </w:r>
      <w:r w:rsidR="00457F8D">
        <w:rPr>
          <w:color w:val="000000" w:themeColor="text1"/>
        </w:rPr>
        <w:t>92.9</w:t>
      </w:r>
      <w:r w:rsidRPr="0059376A">
        <w:rPr>
          <w:color w:val="000000" w:themeColor="text1"/>
        </w:rPr>
        <w:t xml:space="preserve"> per cent had an income source after support</w:t>
      </w:r>
      <w:r>
        <w:rPr>
          <w:color w:val="000000" w:themeColor="text1"/>
        </w:rPr>
        <w:t xml:space="preserve">, compared with </w:t>
      </w:r>
      <w:r w:rsidR="00457F8D">
        <w:rPr>
          <w:color w:val="000000" w:themeColor="text1"/>
        </w:rPr>
        <w:t>93.6</w:t>
      </w:r>
      <w:r>
        <w:rPr>
          <w:color w:val="000000" w:themeColor="text1"/>
        </w:rPr>
        <w:t> per cent in 2013</w:t>
      </w:r>
      <w:r>
        <w:rPr>
          <w:color w:val="000000" w:themeColor="text1"/>
        </w:rPr>
        <w:noBreakHyphen/>
        <w:t xml:space="preserve">14 (table </w:t>
      </w:r>
      <w:proofErr w:type="spellStart"/>
      <w:r>
        <w:rPr>
          <w:color w:val="000000" w:themeColor="text1"/>
        </w:rPr>
        <w:t>18A.24</w:t>
      </w:r>
      <w:proofErr w:type="spellEnd"/>
      <w:r>
        <w:rPr>
          <w:color w:val="000000" w:themeColor="text1"/>
        </w:rPr>
        <w:t xml:space="preserve">). </w:t>
      </w:r>
      <w:r w:rsidR="008F2E04">
        <w:rPr>
          <w:color w:val="000000" w:themeColor="text1"/>
        </w:rPr>
        <w:t>The main sources of income after support were:</w:t>
      </w:r>
    </w:p>
    <w:p w:rsidR="00457F8D" w:rsidRDefault="000707E5" w:rsidP="00457F8D">
      <w:pPr>
        <w:pStyle w:val="ListBullet"/>
      </w:pPr>
      <w:r w:rsidRPr="0059376A">
        <w:t xml:space="preserve">a government pension/allowance </w:t>
      </w:r>
      <w:r w:rsidR="008F2E04">
        <w:t xml:space="preserve">— which </w:t>
      </w:r>
      <w:r w:rsidRPr="0059376A">
        <w:t xml:space="preserve">increased from </w:t>
      </w:r>
      <w:r w:rsidR="00457F8D">
        <w:t>73.7</w:t>
      </w:r>
      <w:r w:rsidRPr="0059376A">
        <w:t xml:space="preserve"> per cent before support to </w:t>
      </w:r>
      <w:r w:rsidR="00457F8D">
        <w:t>81.3 </w:t>
      </w:r>
      <w:r w:rsidRPr="0059376A">
        <w:t>per</w:t>
      </w:r>
      <w:r w:rsidR="00457F8D">
        <w:t> </w:t>
      </w:r>
      <w:r w:rsidRPr="0059376A">
        <w:t xml:space="preserve">cent after support </w:t>
      </w:r>
    </w:p>
    <w:p w:rsidR="000707E5" w:rsidRDefault="000707E5" w:rsidP="00457F8D">
      <w:pPr>
        <w:pStyle w:val="ListBullet"/>
      </w:pPr>
      <w:r w:rsidRPr="0059376A">
        <w:t xml:space="preserve">employee/business income </w:t>
      </w:r>
      <w:r w:rsidR="008F2E04">
        <w:t xml:space="preserve">— which </w:t>
      </w:r>
      <w:r w:rsidRPr="0059376A">
        <w:t xml:space="preserve">increased from </w:t>
      </w:r>
      <w:r w:rsidR="00457F8D">
        <w:t>5.9</w:t>
      </w:r>
      <w:r w:rsidRPr="0059376A">
        <w:t xml:space="preserve"> per cent before support to </w:t>
      </w:r>
      <w:r w:rsidR="00457F8D">
        <w:t>7.2</w:t>
      </w:r>
      <w:r w:rsidRPr="0059376A">
        <w:t xml:space="preserve"> per cent after support. Proportions varied across jurisdictions (figure </w:t>
      </w:r>
      <w:r w:rsidR="007A5581">
        <w:t>18.15</w:t>
      </w:r>
      <w:r w:rsidRPr="0059376A">
        <w:t>).</w:t>
      </w:r>
    </w:p>
    <w:p w:rsidR="00457F8D" w:rsidRDefault="00457F8D" w:rsidP="00B85B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57F8D" w:rsidTr="00B85BFD">
        <w:tc>
          <w:tcPr>
            <w:tcW w:w="8771" w:type="dxa"/>
            <w:tcBorders>
              <w:top w:val="single" w:sz="6" w:space="0" w:color="78A22F"/>
              <w:left w:val="nil"/>
              <w:bottom w:val="nil"/>
              <w:right w:val="nil"/>
            </w:tcBorders>
            <w:shd w:val="clear" w:color="auto" w:fill="auto"/>
          </w:tcPr>
          <w:p w:rsidR="00457F8D" w:rsidRPr="00176D3F" w:rsidRDefault="00457F8D" w:rsidP="00624A66">
            <w:pPr>
              <w:pStyle w:val="FigureTitle"/>
            </w:pPr>
            <w:r w:rsidRPr="00784A05">
              <w:rPr>
                <w:b w:val="0"/>
              </w:rPr>
              <w:t xml:space="preserve">Figure </w:t>
            </w:r>
            <w:bookmarkStart w:id="34" w:name="OLE_LINK18"/>
            <w:r w:rsidR="007A5581">
              <w:rPr>
                <w:b w:val="0"/>
              </w:rPr>
              <w:t>18.</w:t>
            </w:r>
            <w:r w:rsidR="007A3D6D">
              <w:rPr>
                <w:b w:val="0"/>
                <w:noProof/>
              </w:rPr>
              <w:t>15</w:t>
            </w:r>
            <w:bookmarkEnd w:id="34"/>
            <w:r>
              <w:tab/>
              <w:t>P</w:t>
            </w:r>
            <w:r w:rsidRPr="003B4A34">
              <w:t xml:space="preserve">roportion of clients who needed income </w:t>
            </w:r>
            <w:r w:rsidRPr="00570CF4">
              <w:t>assistance</w:t>
            </w:r>
            <w:r w:rsidR="00624A66" w:rsidRPr="00570CF4">
              <w:t>,</w:t>
            </w:r>
            <w:r w:rsidRPr="00570CF4">
              <w:t xml:space="preserve"> who</w:t>
            </w:r>
            <w:r w:rsidRPr="003B4A34">
              <w:t xml:space="preserve"> had an income source after support</w:t>
            </w:r>
            <w:r>
              <w:t xml:space="preserve"> (closed support periods</w:t>
            </w:r>
            <w:r w:rsidR="008F2E04">
              <w:t>)</w:t>
            </w:r>
            <w:r w:rsidRPr="003B4A34">
              <w:t>, by income source, 2014</w:t>
            </w:r>
            <w:r>
              <w:noBreakHyphen/>
              <w:t>15</w:t>
            </w:r>
            <w:r w:rsidRPr="003B4A34">
              <w:rPr>
                <w:rStyle w:val="NoteLabel"/>
                <w:b/>
              </w:rPr>
              <w:t>a</w:t>
            </w:r>
          </w:p>
        </w:tc>
      </w:tr>
      <w:tr w:rsidR="00457F8D" w:rsidTr="00B85BFD">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457F8D" w:rsidTr="000C1770">
              <w:trPr>
                <w:jc w:val="center"/>
              </w:trPr>
              <w:tc>
                <w:tcPr>
                  <w:tcW w:w="5000" w:type="pct"/>
                  <w:tcBorders>
                    <w:top w:val="nil"/>
                    <w:bottom w:val="nil"/>
                  </w:tcBorders>
                </w:tcPr>
                <w:p w:rsidR="00457F8D" w:rsidRDefault="00A701B9" w:rsidP="00B85BFD">
                  <w:pPr>
                    <w:pStyle w:val="Figure"/>
                    <w:spacing w:before="60" w:after="60"/>
                  </w:pPr>
                  <w:r>
                    <w:rPr>
                      <w:noProof/>
                    </w:rPr>
                    <w:drawing>
                      <wp:inline distT="0" distB="0" distL="0" distR="0">
                        <wp:extent cx="5400040" cy="2893695"/>
                        <wp:effectExtent l="0" t="0" r="0" b="1905"/>
                        <wp:docPr id="16" name="Picture 16" descr="Figure 18.15 Proportion of clients who needed income assistance, who had an income source after support (closed support periods), by income sourc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040" cy="2893695"/>
                                </a:xfrm>
                                <a:prstGeom prst="rect">
                                  <a:avLst/>
                                </a:prstGeom>
                                <a:noFill/>
                                <a:ln>
                                  <a:noFill/>
                                </a:ln>
                              </pic:spPr>
                            </pic:pic>
                          </a:graphicData>
                        </a:graphic>
                      </wp:inline>
                    </w:drawing>
                  </w:r>
                </w:p>
              </w:tc>
            </w:tr>
          </w:tbl>
          <w:p w:rsidR="00457F8D" w:rsidRDefault="00457F8D" w:rsidP="00B85BFD">
            <w:pPr>
              <w:pStyle w:val="Figure"/>
            </w:pPr>
          </w:p>
        </w:tc>
      </w:tr>
      <w:tr w:rsidR="00457F8D" w:rsidRPr="00176D3F" w:rsidTr="00B85BFD">
        <w:tc>
          <w:tcPr>
            <w:tcW w:w="8771" w:type="dxa"/>
            <w:tcBorders>
              <w:top w:val="nil"/>
              <w:left w:val="nil"/>
              <w:bottom w:val="nil"/>
              <w:right w:val="nil"/>
            </w:tcBorders>
            <w:shd w:val="clear" w:color="auto" w:fill="auto"/>
          </w:tcPr>
          <w:p w:rsidR="00457F8D" w:rsidRPr="00176D3F" w:rsidRDefault="00CC7CBF" w:rsidP="002F4C50">
            <w:pPr>
              <w:pStyle w:val="Note"/>
            </w:pPr>
            <w:r>
              <w:rPr>
                <w:rStyle w:val="NoteLabel"/>
              </w:rPr>
              <w:t>a</w:t>
            </w:r>
            <w:r>
              <w:t xml:space="preserve"> </w:t>
            </w:r>
            <w:r w:rsidRPr="006D3797">
              <w:t xml:space="preserve">See box </w:t>
            </w:r>
            <w:r w:rsidR="007A5581">
              <w:t>18.13</w:t>
            </w:r>
            <w:r w:rsidRPr="006D3797">
              <w:t xml:space="preserve"> and table </w:t>
            </w:r>
            <w:proofErr w:type="spellStart"/>
            <w:r>
              <w:t>18</w:t>
            </w:r>
            <w:r w:rsidRPr="006D3797">
              <w:t>A.</w:t>
            </w:r>
            <w:r>
              <w:t>2</w:t>
            </w:r>
            <w:r w:rsidR="002F4C50">
              <w:t>4</w:t>
            </w:r>
            <w:proofErr w:type="spellEnd"/>
            <w:r w:rsidRPr="006D3797">
              <w:t xml:space="preserve"> for detailed definitions, footnotes and caveats</w:t>
            </w:r>
            <w:r>
              <w:t>.</w:t>
            </w:r>
          </w:p>
        </w:tc>
      </w:tr>
      <w:tr w:rsidR="00457F8D" w:rsidRPr="00176D3F" w:rsidTr="00B85BFD">
        <w:tc>
          <w:tcPr>
            <w:tcW w:w="8771" w:type="dxa"/>
            <w:tcBorders>
              <w:top w:val="nil"/>
              <w:left w:val="nil"/>
              <w:bottom w:val="nil"/>
              <w:right w:val="nil"/>
            </w:tcBorders>
            <w:shd w:val="clear" w:color="auto" w:fill="auto"/>
          </w:tcPr>
          <w:p w:rsidR="00457F8D" w:rsidRPr="00176D3F" w:rsidRDefault="00457F8D" w:rsidP="00B85BFD">
            <w:pPr>
              <w:pStyle w:val="Source"/>
            </w:pPr>
            <w:r>
              <w:rPr>
                <w:i/>
              </w:rPr>
              <w:t>S</w:t>
            </w:r>
            <w:r w:rsidRPr="00784A05">
              <w:rPr>
                <w:i/>
              </w:rPr>
              <w:t>ource</w:t>
            </w:r>
            <w:r w:rsidRPr="00176D3F">
              <w:t xml:space="preserve">: </w:t>
            </w:r>
            <w:proofErr w:type="spellStart"/>
            <w:r w:rsidRPr="00621AAD">
              <w:t>AIHW</w:t>
            </w:r>
            <w:proofErr w:type="spellEnd"/>
            <w:r w:rsidRPr="00621AAD">
              <w:t xml:space="preserve"> (unpublished) </w:t>
            </w:r>
            <w:r w:rsidR="000C1770" w:rsidRPr="000C1770">
              <w:t>Specialist Homelessness Services Collection</w:t>
            </w:r>
            <w:r>
              <w:rPr>
                <w:i/>
              </w:rPr>
              <w:t>;</w:t>
            </w:r>
            <w:r>
              <w:t xml:space="preserve"> table </w:t>
            </w:r>
            <w:proofErr w:type="spellStart"/>
            <w:r>
              <w:t>18A.24</w:t>
            </w:r>
            <w:proofErr w:type="spellEnd"/>
            <w:r>
              <w:t>.</w:t>
            </w:r>
          </w:p>
        </w:tc>
      </w:tr>
      <w:tr w:rsidR="00457F8D" w:rsidTr="00B85BFD">
        <w:tc>
          <w:tcPr>
            <w:tcW w:w="8771" w:type="dxa"/>
            <w:tcBorders>
              <w:top w:val="nil"/>
              <w:left w:val="nil"/>
              <w:bottom w:val="single" w:sz="6" w:space="0" w:color="78A22F"/>
              <w:right w:val="nil"/>
            </w:tcBorders>
            <w:shd w:val="clear" w:color="auto" w:fill="auto"/>
          </w:tcPr>
          <w:p w:rsidR="00457F8D" w:rsidRDefault="00457F8D" w:rsidP="00B85BFD">
            <w:pPr>
              <w:pStyle w:val="Figurespace"/>
            </w:pPr>
          </w:p>
        </w:tc>
      </w:tr>
      <w:tr w:rsidR="00457F8D" w:rsidRPr="000863A5" w:rsidTr="00B85BFD">
        <w:tc>
          <w:tcPr>
            <w:tcW w:w="8771" w:type="dxa"/>
            <w:tcBorders>
              <w:top w:val="single" w:sz="6" w:space="0" w:color="78A22F"/>
              <w:left w:val="nil"/>
              <w:bottom w:val="nil"/>
              <w:right w:val="nil"/>
            </w:tcBorders>
          </w:tcPr>
          <w:p w:rsidR="00457F8D" w:rsidRPr="00626D32" w:rsidRDefault="00457F8D" w:rsidP="00B85BFD">
            <w:pPr>
              <w:pStyle w:val="BoxSpaceBelow"/>
            </w:pPr>
          </w:p>
        </w:tc>
      </w:tr>
    </w:tbl>
    <w:p w:rsidR="00F077E5" w:rsidRDefault="00F077E5" w:rsidP="008F2E04">
      <w:pPr>
        <w:pStyle w:val="BodyText"/>
        <w:rPr>
          <w:color w:val="000000" w:themeColor="text1"/>
        </w:rPr>
      </w:pPr>
      <w:r w:rsidRPr="0059376A">
        <w:rPr>
          <w:color w:val="000000" w:themeColor="text1"/>
        </w:rPr>
        <w:t xml:space="preserve">Nationally, of </w:t>
      </w:r>
      <w:r>
        <w:rPr>
          <w:color w:val="000000" w:themeColor="text1"/>
        </w:rPr>
        <w:t xml:space="preserve">Aboriginal and Torres Strait Islander </w:t>
      </w:r>
      <w:r w:rsidRPr="0059376A">
        <w:rPr>
          <w:color w:val="000000" w:themeColor="text1"/>
        </w:rPr>
        <w:t xml:space="preserve">clients who needed income assistance when entering homelessness services in </w:t>
      </w:r>
      <w:r>
        <w:rPr>
          <w:color w:val="000000" w:themeColor="text1"/>
        </w:rPr>
        <w:t>2014</w:t>
      </w:r>
      <w:r>
        <w:rPr>
          <w:color w:val="000000" w:themeColor="text1"/>
        </w:rPr>
        <w:noBreakHyphen/>
        <w:t>15</w:t>
      </w:r>
      <w:r w:rsidRPr="0059376A">
        <w:rPr>
          <w:color w:val="000000" w:themeColor="text1"/>
        </w:rPr>
        <w:t xml:space="preserve">, </w:t>
      </w:r>
      <w:r>
        <w:rPr>
          <w:color w:val="000000" w:themeColor="text1"/>
        </w:rPr>
        <w:t>93.6</w:t>
      </w:r>
      <w:r w:rsidRPr="0059376A">
        <w:rPr>
          <w:color w:val="000000" w:themeColor="text1"/>
        </w:rPr>
        <w:t xml:space="preserve"> per cent had an income source after support</w:t>
      </w:r>
      <w:r>
        <w:rPr>
          <w:color w:val="000000" w:themeColor="text1"/>
        </w:rPr>
        <w:t>, compared with 94.9 per cent in 2013</w:t>
      </w:r>
      <w:r>
        <w:rPr>
          <w:color w:val="000000" w:themeColor="text1"/>
        </w:rPr>
        <w:noBreakHyphen/>
        <w:t xml:space="preserve">14 (table </w:t>
      </w:r>
      <w:proofErr w:type="spellStart"/>
      <w:r>
        <w:rPr>
          <w:color w:val="000000" w:themeColor="text1"/>
        </w:rPr>
        <w:t>18A.25</w:t>
      </w:r>
      <w:proofErr w:type="spellEnd"/>
      <w:r>
        <w:rPr>
          <w:color w:val="000000" w:themeColor="text1"/>
        </w:rPr>
        <w:t xml:space="preserve">). </w:t>
      </w:r>
      <w:r w:rsidR="008F2E04">
        <w:rPr>
          <w:color w:val="000000" w:themeColor="text1"/>
        </w:rPr>
        <w:t xml:space="preserve">The main </w:t>
      </w:r>
      <w:r>
        <w:rPr>
          <w:color w:val="000000" w:themeColor="text1"/>
        </w:rPr>
        <w:t>source</w:t>
      </w:r>
      <w:r w:rsidR="008F2E04">
        <w:rPr>
          <w:color w:val="000000" w:themeColor="text1"/>
        </w:rPr>
        <w:t>s</w:t>
      </w:r>
      <w:r>
        <w:rPr>
          <w:color w:val="000000" w:themeColor="text1"/>
        </w:rPr>
        <w:t xml:space="preserve"> of income </w:t>
      </w:r>
      <w:r w:rsidR="008F2E04">
        <w:rPr>
          <w:color w:val="000000" w:themeColor="text1"/>
        </w:rPr>
        <w:t xml:space="preserve">after support </w:t>
      </w:r>
      <w:r>
        <w:rPr>
          <w:color w:val="000000" w:themeColor="text1"/>
        </w:rPr>
        <w:t>w</w:t>
      </w:r>
      <w:r w:rsidR="008F2E04">
        <w:rPr>
          <w:color w:val="000000" w:themeColor="text1"/>
        </w:rPr>
        <w:t>ere</w:t>
      </w:r>
      <w:r>
        <w:rPr>
          <w:color w:val="000000" w:themeColor="text1"/>
        </w:rPr>
        <w:t>:</w:t>
      </w:r>
    </w:p>
    <w:p w:rsidR="00F077E5" w:rsidRDefault="00F077E5" w:rsidP="00F077E5">
      <w:pPr>
        <w:pStyle w:val="ListBullet"/>
      </w:pPr>
      <w:r w:rsidRPr="0059376A">
        <w:t xml:space="preserve">a government pension/allowance </w:t>
      </w:r>
      <w:r w:rsidR="008F2E04">
        <w:t xml:space="preserve">— which </w:t>
      </w:r>
      <w:r w:rsidRPr="0059376A">
        <w:t xml:space="preserve">increased from </w:t>
      </w:r>
      <w:r w:rsidR="008F2E04">
        <w:t>81.3</w:t>
      </w:r>
      <w:r w:rsidRPr="0059376A">
        <w:t xml:space="preserve"> per cent before support to </w:t>
      </w:r>
      <w:r w:rsidR="008F2E04">
        <w:t>87.3</w:t>
      </w:r>
      <w:r>
        <w:t> </w:t>
      </w:r>
      <w:r w:rsidRPr="0059376A">
        <w:t>per</w:t>
      </w:r>
      <w:r>
        <w:t> </w:t>
      </w:r>
      <w:r w:rsidRPr="0059376A">
        <w:t xml:space="preserve">cent after support </w:t>
      </w:r>
    </w:p>
    <w:p w:rsidR="00F077E5" w:rsidRDefault="00F077E5" w:rsidP="00F077E5">
      <w:pPr>
        <w:pStyle w:val="ListBullet"/>
      </w:pPr>
      <w:r w:rsidRPr="0059376A">
        <w:t xml:space="preserve">employee/business income </w:t>
      </w:r>
      <w:r w:rsidR="008F2E04">
        <w:t xml:space="preserve">— which </w:t>
      </w:r>
      <w:r w:rsidRPr="0059376A">
        <w:t xml:space="preserve">increased from </w:t>
      </w:r>
      <w:r w:rsidR="008F2E04">
        <w:t>3.6</w:t>
      </w:r>
      <w:r w:rsidRPr="0059376A">
        <w:t xml:space="preserve"> per cent before support to </w:t>
      </w:r>
      <w:r w:rsidR="008F2E04">
        <w:t>3.8</w:t>
      </w:r>
      <w:r w:rsidRPr="0059376A">
        <w:t> per cent after support</w:t>
      </w:r>
      <w:r w:rsidR="008F2E04">
        <w:t xml:space="preserve"> </w:t>
      </w:r>
      <w:r w:rsidR="008F2E04">
        <w:rPr>
          <w:color w:val="000000" w:themeColor="text1"/>
        </w:rPr>
        <w:t xml:space="preserve">(table </w:t>
      </w:r>
      <w:proofErr w:type="spellStart"/>
      <w:r w:rsidR="008F2E04">
        <w:rPr>
          <w:color w:val="000000" w:themeColor="text1"/>
        </w:rPr>
        <w:t>18A.25</w:t>
      </w:r>
      <w:proofErr w:type="spellEnd"/>
      <w:r w:rsidR="008F2E04">
        <w:rPr>
          <w:color w:val="000000" w:themeColor="text1"/>
        </w:rPr>
        <w:t>)</w:t>
      </w:r>
      <w:r w:rsidRPr="0059376A">
        <w:t>.</w:t>
      </w:r>
    </w:p>
    <w:p w:rsidR="000707E5" w:rsidRPr="002F4C50" w:rsidRDefault="000707E5" w:rsidP="002F4C50">
      <w:pPr>
        <w:pStyle w:val="Heading4"/>
      </w:pPr>
      <w:r w:rsidRPr="002F4C50">
        <w:t>Achievement of independent housing on exit</w:t>
      </w:r>
    </w:p>
    <w:p w:rsidR="000707E5" w:rsidRDefault="000707E5" w:rsidP="000707E5">
      <w:pPr>
        <w:pStyle w:val="BodyText"/>
        <w:spacing w:after="240"/>
        <w:rPr>
          <w:bCs/>
        </w:rPr>
      </w:pPr>
      <w:r w:rsidRPr="0007743E">
        <w:t>‘</w:t>
      </w:r>
      <w:r w:rsidRPr="0007743E">
        <w:rPr>
          <w:bCs/>
        </w:rPr>
        <w:t>Achievement of independent housing’ is an indicator of governments’ objective to enable clients to participate as productive and self</w:t>
      </w:r>
      <w:r>
        <w:rPr>
          <w:bCs/>
        </w:rPr>
        <w:noBreakHyphen/>
      </w:r>
      <w:r w:rsidRPr="0007743E">
        <w:rPr>
          <w:bCs/>
        </w:rPr>
        <w:t>reliant members of society at the end of their support period</w:t>
      </w:r>
      <w:r>
        <w:rPr>
          <w:bCs/>
        </w:rPr>
        <w:t xml:space="preserve"> (box </w:t>
      </w:r>
      <w:r w:rsidR="007A5581">
        <w:t>18.14</w:t>
      </w:r>
      <w:r>
        <w:rPr>
          <w:bCs/>
        </w:rPr>
        <w:t>).</w:t>
      </w:r>
    </w:p>
    <w:p w:rsidR="002F4C50" w:rsidRDefault="002F4C5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F4C50" w:rsidTr="00B85BFD">
        <w:tc>
          <w:tcPr>
            <w:tcW w:w="8771" w:type="dxa"/>
            <w:tcBorders>
              <w:top w:val="single" w:sz="6" w:space="0" w:color="78A22F"/>
              <w:left w:val="nil"/>
              <w:bottom w:val="nil"/>
              <w:right w:val="nil"/>
            </w:tcBorders>
            <w:shd w:val="clear" w:color="auto" w:fill="F2F2F2"/>
          </w:tcPr>
          <w:p w:rsidR="002F4C50" w:rsidRDefault="002F4C50">
            <w:pPr>
              <w:pStyle w:val="BoxTitle"/>
            </w:pPr>
            <w:r>
              <w:rPr>
                <w:b w:val="0"/>
              </w:rPr>
              <w:t xml:space="preserve">Box </w:t>
            </w:r>
            <w:bookmarkStart w:id="35" w:name="OLE_LINK19"/>
            <w:r w:rsidR="007A5581">
              <w:rPr>
                <w:b w:val="0"/>
              </w:rPr>
              <w:t>18.</w:t>
            </w:r>
            <w:r w:rsidR="007A3D6D">
              <w:rPr>
                <w:b w:val="0"/>
                <w:noProof/>
              </w:rPr>
              <w:t>14</w:t>
            </w:r>
            <w:bookmarkEnd w:id="35"/>
            <w:r>
              <w:tab/>
            </w:r>
            <w:r w:rsidRPr="0083225A">
              <w:t>Achievement of independent housing on exit</w:t>
            </w:r>
          </w:p>
        </w:tc>
      </w:tr>
      <w:tr w:rsidR="002F4C50" w:rsidTr="00B85BFD">
        <w:trPr>
          <w:cantSplit/>
        </w:trPr>
        <w:tc>
          <w:tcPr>
            <w:tcW w:w="8771" w:type="dxa"/>
            <w:tcBorders>
              <w:top w:val="nil"/>
              <w:left w:val="nil"/>
              <w:bottom w:val="nil"/>
              <w:right w:val="nil"/>
            </w:tcBorders>
            <w:shd w:val="clear" w:color="auto" w:fill="F2F2F2"/>
          </w:tcPr>
          <w:p w:rsidR="00553561" w:rsidRDefault="002F4C50" w:rsidP="002F4C50">
            <w:pPr>
              <w:pStyle w:val="Box"/>
              <w:keepNext w:val="0"/>
              <w:rPr>
                <w:bCs/>
              </w:rPr>
            </w:pPr>
            <w:r>
              <w:rPr>
                <w:bCs/>
              </w:rPr>
              <w:t>‘</w:t>
            </w:r>
            <w:r w:rsidRPr="004A2EAE">
              <w:rPr>
                <w:bCs/>
              </w:rPr>
              <w:t xml:space="preserve">Achievement of </w:t>
            </w:r>
            <w:r w:rsidRPr="0083225A">
              <w:t>independent housing</w:t>
            </w:r>
            <w:r w:rsidRPr="004A2EAE">
              <w:rPr>
                <w:bCs/>
              </w:rPr>
              <w:t xml:space="preserve"> on exit’ is defined </w:t>
            </w:r>
            <w:r>
              <w:rPr>
                <w:bCs/>
              </w:rPr>
              <w:t>by</w:t>
            </w:r>
            <w:r w:rsidR="00553561">
              <w:rPr>
                <w:bCs/>
              </w:rPr>
              <w:t>:</w:t>
            </w:r>
          </w:p>
          <w:p w:rsidR="002F4C50" w:rsidRPr="0003094F" w:rsidRDefault="002F4C50" w:rsidP="0003094F">
            <w:pPr>
              <w:pStyle w:val="BoxListBullet"/>
              <w:rPr>
                <w:bCs/>
              </w:rPr>
            </w:pPr>
            <w:r>
              <w:rPr>
                <w:bCs/>
              </w:rPr>
              <w:t xml:space="preserve">the proportion of </w:t>
            </w:r>
            <w:r w:rsidRPr="004A2EAE">
              <w:rPr>
                <w:bCs/>
              </w:rPr>
              <w:t xml:space="preserve">clients </w:t>
            </w:r>
            <w:r>
              <w:rPr>
                <w:bCs/>
              </w:rPr>
              <w:t>(</w:t>
            </w:r>
            <w:r w:rsidRPr="004A2EAE">
              <w:rPr>
                <w:bCs/>
              </w:rPr>
              <w:t>wi</w:t>
            </w:r>
            <w:r>
              <w:rPr>
                <w:bCs/>
              </w:rPr>
              <w:t>th closed support periods</w:t>
            </w:r>
            <w:r w:rsidR="00B85BFD">
              <w:rPr>
                <w:bCs/>
              </w:rPr>
              <w:t>,</w:t>
            </w:r>
            <w:r>
              <w:rPr>
                <w:bCs/>
              </w:rPr>
              <w:t xml:space="preserve"> </w:t>
            </w:r>
            <w:r w:rsidR="00B85BFD">
              <w:rPr>
                <w:bCs/>
              </w:rPr>
              <w:t>all ages</w:t>
            </w:r>
            <w:r>
              <w:rPr>
                <w:bCs/>
              </w:rPr>
              <w:t xml:space="preserve">) </w:t>
            </w:r>
            <w:r w:rsidR="00B85BFD">
              <w:t>who achieved independent housing at the end of support</w:t>
            </w:r>
            <w:r>
              <w:t xml:space="preserve">, </w:t>
            </w:r>
            <w:r w:rsidR="00B85BFD">
              <w:t>who on presentation</w:t>
            </w:r>
            <w:r w:rsidR="009D3270">
              <w:t xml:space="preserve"> were</w:t>
            </w:r>
            <w:r>
              <w:t xml:space="preserve">: </w:t>
            </w:r>
          </w:p>
          <w:p w:rsidR="002F4C50" w:rsidRDefault="009D3270" w:rsidP="00553561">
            <w:pPr>
              <w:pStyle w:val="BoxListBullet2"/>
            </w:pPr>
            <w:r w:rsidRPr="009D3270">
              <w:rPr>
                <w:i/>
              </w:rPr>
              <w:t>clients with an identified need for assistance to obtain or maintain independent housing</w:t>
            </w:r>
            <w:r>
              <w:t>, including to:</w:t>
            </w:r>
            <w:r w:rsidR="00B85BFD">
              <w:t xml:space="preserve"> obtain long term housing</w:t>
            </w:r>
            <w:r w:rsidR="00B85BFD" w:rsidRPr="0083225A">
              <w:t>; sustain tenancy or prev</w:t>
            </w:r>
            <w:r w:rsidR="00B85BFD">
              <w:t>ent tenancy failure or eviction,</w:t>
            </w:r>
            <w:r w:rsidR="00B85BFD" w:rsidRPr="0083225A">
              <w:t xml:space="preserve"> or</w:t>
            </w:r>
            <w:r w:rsidR="00B85BFD">
              <w:t>;</w:t>
            </w:r>
            <w:r w:rsidR="00B85BFD" w:rsidRPr="0083225A">
              <w:t xml:space="preserve"> prevent foreclosures or for mortgage arrears</w:t>
            </w:r>
          </w:p>
          <w:p w:rsidR="00B85BFD" w:rsidRPr="00B85BFD" w:rsidRDefault="009D3270" w:rsidP="00553561">
            <w:pPr>
              <w:pStyle w:val="BoxListBullet2"/>
              <w:rPr>
                <w:bCs/>
              </w:rPr>
            </w:pPr>
            <w:r w:rsidRPr="009D3270">
              <w:rPr>
                <w:i/>
              </w:rPr>
              <w:t xml:space="preserve">clients </w:t>
            </w:r>
            <w:r w:rsidR="00B85BFD" w:rsidRPr="009D3270">
              <w:rPr>
                <w:i/>
              </w:rPr>
              <w:t>living in non</w:t>
            </w:r>
            <w:r w:rsidR="00B85BFD" w:rsidRPr="009D3270">
              <w:rPr>
                <w:i/>
              </w:rPr>
              <w:noBreakHyphen/>
              <w:t>independent/supported housing</w:t>
            </w:r>
            <w:r>
              <w:rPr>
                <w:i/>
              </w:rPr>
              <w:t xml:space="preserve"> prior to presenting</w:t>
            </w:r>
            <w:r w:rsidR="00553561">
              <w:t>.</w:t>
            </w:r>
          </w:p>
          <w:p w:rsidR="0003094F" w:rsidRPr="0003094F" w:rsidRDefault="0003094F" w:rsidP="009D3270">
            <w:pPr>
              <w:pStyle w:val="BoxListBullet"/>
              <w:rPr>
                <w:bCs/>
              </w:rPr>
            </w:pPr>
            <w:r>
              <w:rPr>
                <w:bCs/>
              </w:rPr>
              <w:t xml:space="preserve">the </w:t>
            </w:r>
            <w:r w:rsidRPr="0003094F">
              <w:rPr>
                <w:bCs/>
              </w:rPr>
              <w:t xml:space="preserve">proportion of </w:t>
            </w:r>
            <w:r>
              <w:rPr>
                <w:bCs/>
                <w:i/>
              </w:rPr>
              <w:t>c</w:t>
            </w:r>
            <w:r w:rsidRPr="0003094F">
              <w:rPr>
                <w:bCs/>
                <w:i/>
              </w:rPr>
              <w:t xml:space="preserve">lients </w:t>
            </w:r>
            <w:r w:rsidRPr="0003094F">
              <w:rPr>
                <w:i/>
              </w:rPr>
              <w:t>who achieved independent housing and who did not present again</w:t>
            </w:r>
            <w:r>
              <w:t xml:space="preserve">, calculated as: </w:t>
            </w:r>
          </w:p>
          <w:p w:rsidR="00553561" w:rsidRPr="009D3270" w:rsidRDefault="00553561" w:rsidP="0003094F">
            <w:pPr>
              <w:pStyle w:val="BoxListBullet2"/>
              <w:rPr>
                <w:bCs/>
              </w:rPr>
            </w:pPr>
            <w:r w:rsidRPr="009D3270">
              <w:rPr>
                <w:bCs/>
              </w:rPr>
              <w:t xml:space="preserve">the proportion of clients (with </w:t>
            </w:r>
            <w:r w:rsidR="00AE0A38" w:rsidRPr="009D3270">
              <w:rPr>
                <w:bCs/>
              </w:rPr>
              <w:t xml:space="preserve">a support period that </w:t>
            </w:r>
            <w:r w:rsidRPr="009D3270">
              <w:rPr>
                <w:bCs/>
              </w:rPr>
              <w:t xml:space="preserve">closed </w:t>
            </w:r>
            <w:r w:rsidR="00AE0A38" w:rsidRPr="009D3270">
              <w:rPr>
                <w:bCs/>
              </w:rPr>
              <w:t>during the financial year</w:t>
            </w:r>
            <w:r w:rsidRPr="009D3270">
              <w:rPr>
                <w:bCs/>
              </w:rPr>
              <w:t xml:space="preserve">, all ages) </w:t>
            </w:r>
            <w:r>
              <w:t>who</w:t>
            </w:r>
            <w:r w:rsidR="009D3270">
              <w:t xml:space="preserve"> </w:t>
            </w:r>
            <w:r>
              <w:t>achieved independent housin</w:t>
            </w:r>
            <w:r w:rsidR="009D3270">
              <w:t xml:space="preserve">g at the end of support AND who </w:t>
            </w:r>
            <w:r>
              <w:t xml:space="preserve">did not present again during the </w:t>
            </w:r>
            <w:r w:rsidR="00AE0A38">
              <w:t xml:space="preserve">financial </w:t>
            </w:r>
            <w:r>
              <w:t>year</w:t>
            </w:r>
            <w:r w:rsidR="00AE0A38">
              <w:t xml:space="preserve"> for ‘short-term or emergency accommodation’</w:t>
            </w:r>
            <w:r>
              <w:t xml:space="preserve">, </w:t>
            </w:r>
            <w:r w:rsidR="009D3270">
              <w:t>who on presentation were:</w:t>
            </w:r>
            <w:r>
              <w:t xml:space="preserve"> </w:t>
            </w:r>
          </w:p>
          <w:p w:rsidR="00B85BFD" w:rsidRPr="00553561" w:rsidRDefault="009D3270" w:rsidP="00553561">
            <w:pPr>
              <w:pStyle w:val="BoxListBullet2"/>
              <w:rPr>
                <w:bCs/>
              </w:rPr>
            </w:pPr>
            <w:r w:rsidRPr="0003094F">
              <w:t>clients with an identified need for assistance to obtain or maintain independent housing</w:t>
            </w:r>
            <w:r w:rsidR="0003094F">
              <w:t xml:space="preserve"> (as defined above)</w:t>
            </w:r>
            <w:r w:rsidR="00553561">
              <w:t>.</w:t>
            </w:r>
          </w:p>
          <w:p w:rsidR="002F4C50" w:rsidRPr="0083225A" w:rsidRDefault="002F4C50" w:rsidP="002F4C50">
            <w:pPr>
              <w:pStyle w:val="Box"/>
            </w:pPr>
            <w:r w:rsidRPr="0083225A">
              <w:rPr>
                <w:bCs/>
              </w:rPr>
              <w:t>Data are reported for all clients, and separately for Aboriginal and Torres Strait Islander clients.</w:t>
            </w:r>
          </w:p>
          <w:p w:rsidR="002F4C50" w:rsidRPr="0083225A" w:rsidRDefault="002F4C50" w:rsidP="002F4C50">
            <w:pPr>
              <w:pStyle w:val="Box"/>
              <w:rPr>
                <w:bCs/>
              </w:rPr>
            </w:pPr>
            <w:r w:rsidRPr="0083225A">
              <w:rPr>
                <w:bCs/>
              </w:rPr>
              <w:t xml:space="preserve">Holding other factors constant, a high or increasing proportion of </w:t>
            </w:r>
            <w:r>
              <w:rPr>
                <w:bCs/>
              </w:rPr>
              <w:t xml:space="preserve">clients who achieved independent housing in closed support periods </w:t>
            </w:r>
            <w:r w:rsidRPr="0083225A">
              <w:rPr>
                <w:bCs/>
              </w:rPr>
              <w:t xml:space="preserve">is desirable. </w:t>
            </w:r>
          </w:p>
          <w:p w:rsidR="002F4C50" w:rsidRPr="0083225A" w:rsidRDefault="002F4C50" w:rsidP="002F4C50">
            <w:pPr>
              <w:pStyle w:val="Box"/>
            </w:pPr>
            <w:r w:rsidRPr="0083225A">
              <w:rPr>
                <w:bCs/>
              </w:rPr>
              <w:t xml:space="preserve">This indicator </w:t>
            </w:r>
            <w:r w:rsidR="00AE0A38">
              <w:rPr>
                <w:bCs/>
              </w:rPr>
              <w:t xml:space="preserve">uses three measures to assess the achievement of </w:t>
            </w:r>
            <w:r w:rsidRPr="0083225A">
              <w:rPr>
                <w:bCs/>
              </w:rPr>
              <w:t xml:space="preserve">independent housing </w:t>
            </w:r>
            <w:r w:rsidR="00C9777D">
              <w:rPr>
                <w:bCs/>
              </w:rPr>
              <w:t xml:space="preserve">at the end of </w:t>
            </w:r>
            <w:r w:rsidRPr="0083225A">
              <w:rPr>
                <w:bCs/>
              </w:rPr>
              <w:t xml:space="preserve">support. It relates to relatively short term outcomes </w:t>
            </w:r>
            <w:r w:rsidR="00C9777D">
              <w:rPr>
                <w:bCs/>
              </w:rPr>
              <w:t>achieved within a financial year</w:t>
            </w:r>
            <w:r w:rsidRPr="0083225A">
              <w:rPr>
                <w:bCs/>
              </w:rPr>
              <w:t>. Longer term outcomes are also important, but more difficult to measure</w:t>
            </w:r>
            <w:r w:rsidRPr="0083225A">
              <w:t>.</w:t>
            </w:r>
          </w:p>
          <w:p w:rsidR="002F4C50" w:rsidRPr="0083225A" w:rsidRDefault="002F4C50" w:rsidP="002F4C50">
            <w:pPr>
              <w:pStyle w:val="Box"/>
            </w:pPr>
            <w:r w:rsidRPr="0083225A">
              <w:t>Data reported for these measures are:</w:t>
            </w:r>
          </w:p>
          <w:p w:rsidR="002F4C50" w:rsidRPr="0083225A" w:rsidRDefault="002F4C50" w:rsidP="00553561">
            <w:pPr>
              <w:pStyle w:val="BoxListBullet2"/>
            </w:pPr>
            <w:r w:rsidRPr="0083225A">
              <w:t>comparable (subject to caveats) across jurisdictions and over time</w:t>
            </w:r>
          </w:p>
          <w:p w:rsidR="002F4C50" w:rsidRPr="0083225A" w:rsidRDefault="002F4C50" w:rsidP="00553561">
            <w:pPr>
              <w:pStyle w:val="BoxListBullet2"/>
            </w:pPr>
            <w:r w:rsidRPr="0083225A">
              <w:t xml:space="preserve">complete for the current reporting period. </w:t>
            </w:r>
            <w:r>
              <w:t>All required 2014</w:t>
            </w:r>
            <w:r>
              <w:noBreakHyphen/>
              <w:t xml:space="preserve">15 </w:t>
            </w:r>
            <w:r w:rsidRPr="0083225A">
              <w:t>data are available for all jurisdictions</w:t>
            </w:r>
            <w:r>
              <w:t>.</w:t>
            </w:r>
          </w:p>
          <w:p w:rsidR="002F4C50" w:rsidRDefault="002F4C50" w:rsidP="002F4C50">
            <w:pPr>
              <w:pStyle w:val="Box"/>
            </w:pPr>
            <w:r w:rsidRPr="0083225A">
              <w:t>Data quality information for this indicator is under development.</w:t>
            </w:r>
          </w:p>
        </w:tc>
      </w:tr>
      <w:tr w:rsidR="002F4C50" w:rsidTr="00B85BFD">
        <w:trPr>
          <w:cantSplit/>
        </w:trPr>
        <w:tc>
          <w:tcPr>
            <w:tcW w:w="8771" w:type="dxa"/>
            <w:tcBorders>
              <w:top w:val="nil"/>
              <w:left w:val="nil"/>
              <w:bottom w:val="single" w:sz="6" w:space="0" w:color="78A22F"/>
              <w:right w:val="nil"/>
            </w:tcBorders>
            <w:shd w:val="clear" w:color="auto" w:fill="F2F2F2"/>
          </w:tcPr>
          <w:p w:rsidR="002F4C50" w:rsidRDefault="002F4C50">
            <w:pPr>
              <w:pStyle w:val="Box"/>
              <w:spacing w:before="0" w:line="120" w:lineRule="exact"/>
            </w:pPr>
          </w:p>
        </w:tc>
      </w:tr>
      <w:tr w:rsidR="002F4C50" w:rsidRPr="000863A5" w:rsidTr="00B85BFD">
        <w:tc>
          <w:tcPr>
            <w:tcW w:w="8771" w:type="dxa"/>
            <w:tcBorders>
              <w:top w:val="single" w:sz="6" w:space="0" w:color="78A22F"/>
              <w:left w:val="nil"/>
              <w:bottom w:val="nil"/>
              <w:right w:val="nil"/>
            </w:tcBorders>
          </w:tcPr>
          <w:p w:rsidR="002F4C50" w:rsidRPr="00626D32" w:rsidRDefault="002F4C50" w:rsidP="00B85BFD">
            <w:pPr>
              <w:pStyle w:val="BoxSpaceBelow"/>
            </w:pPr>
          </w:p>
        </w:tc>
      </w:tr>
    </w:tbl>
    <w:p w:rsidR="00EB1138" w:rsidRDefault="00EB1138" w:rsidP="00EB1138">
      <w:pPr>
        <w:pStyle w:val="Heading5"/>
      </w:pPr>
      <w:r>
        <w:t xml:space="preserve">Clients </w:t>
      </w:r>
      <w:r w:rsidR="00B06BCD">
        <w:t xml:space="preserve">with an identified need for </w:t>
      </w:r>
      <w:r>
        <w:t>assistance to obtain or maintain independent housing</w:t>
      </w:r>
    </w:p>
    <w:p w:rsidR="000707E5" w:rsidRPr="008264BE" w:rsidRDefault="000707E5" w:rsidP="000707E5">
      <w:pPr>
        <w:pStyle w:val="BodyText"/>
        <w:rPr>
          <w:color w:val="000000" w:themeColor="text1"/>
        </w:rPr>
      </w:pPr>
      <w:r w:rsidRPr="008264BE">
        <w:rPr>
          <w:color w:val="000000" w:themeColor="text1"/>
        </w:rPr>
        <w:t>Nationally</w:t>
      </w:r>
      <w:r>
        <w:rPr>
          <w:color w:val="000000" w:themeColor="text1"/>
        </w:rPr>
        <w:t xml:space="preserve"> in 2014-15</w:t>
      </w:r>
      <w:r w:rsidRPr="008264BE">
        <w:rPr>
          <w:color w:val="000000" w:themeColor="text1"/>
        </w:rPr>
        <w:t xml:space="preserve">, </w:t>
      </w:r>
      <w:r w:rsidR="00190CBF">
        <w:rPr>
          <w:color w:val="000000" w:themeColor="text1"/>
        </w:rPr>
        <w:t>63.5</w:t>
      </w:r>
      <w:r>
        <w:rPr>
          <w:color w:val="000000" w:themeColor="text1"/>
        </w:rPr>
        <w:t xml:space="preserve"> </w:t>
      </w:r>
      <w:r w:rsidRPr="008264BE">
        <w:rPr>
          <w:color w:val="000000" w:themeColor="text1"/>
        </w:rPr>
        <w:t xml:space="preserve">per cent of clients who </w:t>
      </w:r>
      <w:r>
        <w:rPr>
          <w:color w:val="000000" w:themeColor="text1"/>
        </w:rPr>
        <w:t xml:space="preserve">had an identified need for assistance with </w:t>
      </w:r>
      <w:r w:rsidRPr="008264BE">
        <w:rPr>
          <w:color w:val="000000" w:themeColor="text1"/>
        </w:rPr>
        <w:t>obtaining or maintaining independent housing</w:t>
      </w:r>
      <w:r>
        <w:rPr>
          <w:color w:val="000000" w:themeColor="text1"/>
        </w:rPr>
        <w:t xml:space="preserve"> </w:t>
      </w:r>
      <w:r w:rsidRPr="008264BE">
        <w:rPr>
          <w:color w:val="000000" w:themeColor="text1"/>
        </w:rPr>
        <w:t>achieved independent housing</w:t>
      </w:r>
      <w:r>
        <w:rPr>
          <w:color w:val="000000" w:themeColor="text1"/>
        </w:rPr>
        <w:t xml:space="preserve"> on exit, compared with </w:t>
      </w:r>
      <w:r w:rsidR="00190CBF">
        <w:rPr>
          <w:color w:val="000000" w:themeColor="text1"/>
        </w:rPr>
        <w:t>63.0</w:t>
      </w:r>
      <w:r>
        <w:rPr>
          <w:color w:val="000000" w:themeColor="text1"/>
        </w:rPr>
        <w:t> per cent in 2013</w:t>
      </w:r>
      <w:r>
        <w:rPr>
          <w:color w:val="000000" w:themeColor="text1"/>
        </w:rPr>
        <w:noBreakHyphen/>
        <w:t>14</w:t>
      </w:r>
      <w:r w:rsidRPr="008264BE">
        <w:rPr>
          <w:color w:val="000000" w:themeColor="text1"/>
        </w:rPr>
        <w:t>. This included clients who moved or returned to private rental housing (</w:t>
      </w:r>
      <w:r w:rsidR="00190CBF">
        <w:rPr>
          <w:color w:val="000000" w:themeColor="text1"/>
        </w:rPr>
        <w:t>39.6 per cent</w:t>
      </w:r>
      <w:r w:rsidRPr="008264BE">
        <w:rPr>
          <w:color w:val="000000" w:themeColor="text1"/>
        </w:rPr>
        <w:t>) and to public or community rental housing (</w:t>
      </w:r>
      <w:r w:rsidR="00B06BCD">
        <w:rPr>
          <w:color w:val="000000" w:themeColor="text1"/>
        </w:rPr>
        <w:t>20.8</w:t>
      </w:r>
      <w:r w:rsidR="00190CBF">
        <w:rPr>
          <w:color w:val="000000" w:themeColor="text1"/>
        </w:rPr>
        <w:t> per cent</w:t>
      </w:r>
      <w:r w:rsidRPr="008264BE">
        <w:rPr>
          <w:color w:val="000000" w:themeColor="text1"/>
        </w:rPr>
        <w:t xml:space="preserve">) </w:t>
      </w:r>
      <w:r w:rsidR="004F06C0" w:rsidRPr="008264BE">
        <w:rPr>
          <w:color w:val="000000" w:themeColor="text1"/>
        </w:rPr>
        <w:t>(figure </w:t>
      </w:r>
      <w:r w:rsidR="007A5581">
        <w:t>18.16</w:t>
      </w:r>
      <w:r w:rsidR="004F06C0">
        <w:rPr>
          <w:color w:val="000000" w:themeColor="text1"/>
        </w:rPr>
        <w:t>)</w:t>
      </w:r>
      <w:r w:rsidRPr="008264BE">
        <w:rPr>
          <w:color w:val="000000" w:themeColor="text1"/>
        </w:rPr>
        <w:t>.</w:t>
      </w:r>
    </w:p>
    <w:p w:rsidR="000707E5" w:rsidRDefault="005501C9" w:rsidP="000707E5">
      <w:pPr>
        <w:pStyle w:val="BodyText"/>
        <w:spacing w:after="240"/>
      </w:pPr>
      <w:r>
        <w:t xml:space="preserve">For </w:t>
      </w:r>
      <w:r w:rsidR="00190CBF">
        <w:t>the 36.5 per cent c</w:t>
      </w:r>
      <w:r w:rsidR="000707E5" w:rsidRPr="004F17C9">
        <w:t xml:space="preserve">lients </w:t>
      </w:r>
      <w:r w:rsidR="000707E5">
        <w:t xml:space="preserve">who </w:t>
      </w:r>
      <w:r w:rsidR="000707E5" w:rsidRPr="004F17C9">
        <w:t>did not achieve independent housing</w:t>
      </w:r>
      <w:r w:rsidR="00190CBF">
        <w:t xml:space="preserve"> in 2014-15, housing tenure after support </w:t>
      </w:r>
      <w:r w:rsidR="000707E5" w:rsidRPr="004F17C9">
        <w:t>included those who moved to, or continued to live in, short to medium term accommodation provided by homelessness services and other forms of non</w:t>
      </w:r>
      <w:r w:rsidR="000707E5">
        <w:noBreakHyphen/>
      </w:r>
      <w:r w:rsidR="000707E5" w:rsidRPr="004F17C9">
        <w:t>independent accommodation (</w:t>
      </w:r>
      <w:r w:rsidR="000707E5">
        <w:t>tables </w:t>
      </w:r>
      <w:proofErr w:type="spellStart"/>
      <w:r w:rsidR="000707E5">
        <w:t>18A.26</w:t>
      </w:r>
      <w:proofErr w:type="spellEnd"/>
      <w:r w:rsidR="000707E5">
        <w:t>).</w:t>
      </w:r>
    </w:p>
    <w:p w:rsidR="00190CBF" w:rsidRDefault="00190CBF" w:rsidP="004F06C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0CBF" w:rsidTr="004F06C0">
        <w:tc>
          <w:tcPr>
            <w:tcW w:w="8771" w:type="dxa"/>
            <w:tcBorders>
              <w:top w:val="single" w:sz="6" w:space="0" w:color="78A22F"/>
              <w:left w:val="nil"/>
              <w:bottom w:val="nil"/>
              <w:right w:val="nil"/>
            </w:tcBorders>
            <w:shd w:val="clear" w:color="auto" w:fill="auto"/>
          </w:tcPr>
          <w:p w:rsidR="00190CBF" w:rsidRPr="00176D3F" w:rsidRDefault="00190CBF" w:rsidP="000D18AC">
            <w:pPr>
              <w:pStyle w:val="FigureTitle"/>
            </w:pPr>
            <w:r w:rsidRPr="00784A05">
              <w:rPr>
                <w:b w:val="0"/>
              </w:rPr>
              <w:t xml:space="preserve">Figure </w:t>
            </w:r>
            <w:bookmarkStart w:id="36" w:name="OLE_LINK20"/>
            <w:r w:rsidR="007A5581">
              <w:rPr>
                <w:b w:val="0"/>
              </w:rPr>
              <w:t>18.</w:t>
            </w:r>
            <w:r w:rsidR="007A3D6D">
              <w:rPr>
                <w:b w:val="0"/>
                <w:noProof/>
              </w:rPr>
              <w:t>16</w:t>
            </w:r>
            <w:bookmarkEnd w:id="36"/>
            <w:r>
              <w:tab/>
            </w:r>
            <w:r w:rsidR="004F06C0">
              <w:t xml:space="preserve">Proportion of clients who needed assistance to obtain or maintain independent </w:t>
            </w:r>
            <w:r w:rsidR="004F06C0" w:rsidRPr="00570CF4">
              <w:t>housing</w:t>
            </w:r>
            <w:r w:rsidR="00624A66" w:rsidRPr="00570CF4">
              <w:t>,</w:t>
            </w:r>
            <w:r w:rsidR="004F06C0" w:rsidRPr="00570CF4">
              <w:t xml:space="preserve"> who</w:t>
            </w:r>
            <w:r w:rsidR="004F06C0">
              <w:t xml:space="preserve"> </w:t>
            </w:r>
            <w:r w:rsidR="00EB1138">
              <w:t>achieved</w:t>
            </w:r>
            <w:r w:rsidR="004F06C0">
              <w:t xml:space="preserve"> independent housing after support </w:t>
            </w:r>
            <w:r w:rsidR="004F06C0" w:rsidRPr="004F06C0">
              <w:t>(closed support periods)</w:t>
            </w:r>
            <w:r w:rsidR="004F06C0" w:rsidRPr="00B410FF">
              <w:rPr>
                <w:rStyle w:val="NoteLabel"/>
                <w:b/>
              </w:rPr>
              <w:t>a,</w:t>
            </w:r>
            <w:r w:rsidR="004F06C0">
              <w:rPr>
                <w:rStyle w:val="NoteLabel"/>
                <w:b/>
              </w:rPr>
              <w:t> </w:t>
            </w:r>
            <w:r w:rsidR="004F06C0" w:rsidRPr="00B410FF">
              <w:rPr>
                <w:rStyle w:val="NoteLabel"/>
                <w:b/>
              </w:rPr>
              <w:t>b</w:t>
            </w:r>
          </w:p>
        </w:tc>
      </w:tr>
      <w:tr w:rsidR="00190CBF" w:rsidTr="004F06C0">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190CBF" w:rsidTr="000C1770">
              <w:trPr>
                <w:jc w:val="center"/>
              </w:trPr>
              <w:tc>
                <w:tcPr>
                  <w:tcW w:w="5000" w:type="pct"/>
                  <w:tcBorders>
                    <w:top w:val="nil"/>
                    <w:bottom w:val="nil"/>
                  </w:tcBorders>
                </w:tcPr>
                <w:p w:rsidR="00190CBF" w:rsidRDefault="00A701B9" w:rsidP="00B26C02">
                  <w:pPr>
                    <w:pStyle w:val="Figure"/>
                    <w:spacing w:before="60" w:after="60"/>
                  </w:pPr>
                  <w:r>
                    <w:rPr>
                      <w:noProof/>
                    </w:rPr>
                    <w:drawing>
                      <wp:inline distT="0" distB="0" distL="0" distR="0">
                        <wp:extent cx="5400040" cy="2689225"/>
                        <wp:effectExtent l="0" t="0" r="0" b="0"/>
                        <wp:docPr id="17" name="Picture 17" descr="Figure 18.16 Proportion of clients who needed assistance to obtain or maintain independent housing, who achieved independent housing after support (closed support perio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040" cy="2689225"/>
                                </a:xfrm>
                                <a:prstGeom prst="rect">
                                  <a:avLst/>
                                </a:prstGeom>
                                <a:noFill/>
                                <a:ln>
                                  <a:noFill/>
                                </a:ln>
                              </pic:spPr>
                            </pic:pic>
                          </a:graphicData>
                        </a:graphic>
                      </wp:inline>
                    </w:drawing>
                  </w:r>
                </w:p>
              </w:tc>
            </w:tr>
          </w:tbl>
          <w:p w:rsidR="00190CBF" w:rsidRDefault="00190CBF" w:rsidP="004F06C0">
            <w:pPr>
              <w:pStyle w:val="Figure"/>
            </w:pPr>
          </w:p>
        </w:tc>
      </w:tr>
      <w:tr w:rsidR="00190CBF" w:rsidRPr="00176D3F" w:rsidTr="004F06C0">
        <w:tc>
          <w:tcPr>
            <w:tcW w:w="8771" w:type="dxa"/>
            <w:tcBorders>
              <w:top w:val="nil"/>
              <w:left w:val="nil"/>
              <w:bottom w:val="nil"/>
              <w:right w:val="nil"/>
            </w:tcBorders>
            <w:shd w:val="clear" w:color="auto" w:fill="auto"/>
          </w:tcPr>
          <w:p w:rsidR="00EB1138" w:rsidRPr="00EB1138" w:rsidRDefault="00EB1138" w:rsidP="00EB1138">
            <w:pPr>
              <w:pStyle w:val="Note"/>
              <w:rPr>
                <w:rStyle w:val="NoteLabel"/>
                <w:b w:val="0"/>
                <w:position w:val="0"/>
              </w:rPr>
            </w:pPr>
            <w:r w:rsidRPr="00570CF4">
              <w:rPr>
                <w:rStyle w:val="NoteLabel"/>
                <w:b w:val="0"/>
                <w:position w:val="0"/>
              </w:rPr>
              <w:t xml:space="preserve">Other independent housing includes: ‘Purchasing/purchased own home’ and ‘Other rental’. </w:t>
            </w:r>
          </w:p>
          <w:p w:rsidR="00190CBF" w:rsidRPr="00176D3F" w:rsidRDefault="004F06C0" w:rsidP="00A84BE8">
            <w:pPr>
              <w:pStyle w:val="Note"/>
            </w:pPr>
            <w:r>
              <w:rPr>
                <w:rStyle w:val="NoteLabel"/>
              </w:rPr>
              <w:t>a</w:t>
            </w:r>
            <w:r>
              <w:t xml:space="preserve"> </w:t>
            </w:r>
            <w:r w:rsidRPr="006D3797">
              <w:t xml:space="preserve">See box </w:t>
            </w:r>
            <w:r w:rsidR="007A5581">
              <w:t>18.14</w:t>
            </w:r>
            <w:r w:rsidRPr="006D3797">
              <w:t xml:space="preserve"> and table </w:t>
            </w:r>
            <w:proofErr w:type="spellStart"/>
            <w:r>
              <w:t>18</w:t>
            </w:r>
            <w:r w:rsidRPr="006D3797">
              <w:t>A.</w:t>
            </w:r>
            <w:r>
              <w:t>2</w:t>
            </w:r>
            <w:r w:rsidR="00EB1138">
              <w:t>6</w:t>
            </w:r>
            <w:proofErr w:type="spellEnd"/>
            <w:r w:rsidRPr="006D3797">
              <w:t xml:space="preserve"> for detailed definitions, footnotes and caveats</w:t>
            </w:r>
            <w:r>
              <w:t>.</w:t>
            </w:r>
            <w:r w:rsidR="00A84BE8">
              <w:t xml:space="preserve"> </w:t>
            </w:r>
            <w:r w:rsidR="00A84BE8">
              <w:rPr>
                <w:rStyle w:val="NoteLabel"/>
              </w:rPr>
              <w:t>b</w:t>
            </w:r>
            <w:r w:rsidR="00A84BE8">
              <w:t xml:space="preserve"> </w:t>
            </w:r>
            <w:r w:rsidR="00EB1138">
              <w:t xml:space="preserve">Data not available for </w:t>
            </w:r>
            <w:r w:rsidR="00EB1138" w:rsidRPr="005025D1">
              <w:t xml:space="preserve">SA </w:t>
            </w:r>
            <w:r w:rsidR="00EB1138">
              <w:t xml:space="preserve">in </w:t>
            </w:r>
            <w:r w:rsidRPr="005025D1">
              <w:t>2011</w:t>
            </w:r>
            <w:r>
              <w:noBreakHyphen/>
            </w:r>
            <w:r w:rsidRPr="005025D1">
              <w:t>12.</w:t>
            </w:r>
          </w:p>
        </w:tc>
      </w:tr>
      <w:tr w:rsidR="00190CBF" w:rsidRPr="00176D3F" w:rsidTr="004F06C0">
        <w:tc>
          <w:tcPr>
            <w:tcW w:w="8771" w:type="dxa"/>
            <w:tcBorders>
              <w:top w:val="nil"/>
              <w:left w:val="nil"/>
              <w:bottom w:val="nil"/>
              <w:right w:val="nil"/>
            </w:tcBorders>
            <w:shd w:val="clear" w:color="auto" w:fill="auto"/>
          </w:tcPr>
          <w:p w:rsidR="00190CBF" w:rsidRPr="00176D3F" w:rsidRDefault="004F06C0" w:rsidP="004F06C0">
            <w:pPr>
              <w:pStyle w:val="Source"/>
            </w:pPr>
            <w:r>
              <w:rPr>
                <w:i/>
              </w:rPr>
              <w:t>Source</w:t>
            </w:r>
            <w:r w:rsidRPr="007D1EA0">
              <w:t>:</w:t>
            </w:r>
            <w:r>
              <w:rPr>
                <w:i/>
              </w:rPr>
              <w:t xml:space="preserve"> </w:t>
            </w:r>
            <w:proofErr w:type="spellStart"/>
            <w:r w:rsidRPr="001071DA">
              <w:t>AIHW</w:t>
            </w:r>
            <w:proofErr w:type="spellEnd"/>
            <w:r w:rsidRPr="001071DA">
              <w:t xml:space="preserve"> (unpublished) </w:t>
            </w:r>
            <w:r w:rsidR="000C1770" w:rsidRPr="000C1770">
              <w:t>Specialist Homelessness Services Collection</w:t>
            </w:r>
            <w:r>
              <w:t xml:space="preserve">; </w:t>
            </w:r>
            <w:r w:rsidRPr="001071DA">
              <w:t xml:space="preserve">table </w:t>
            </w:r>
            <w:proofErr w:type="spellStart"/>
            <w:r w:rsidRPr="001071DA">
              <w:t>18A.2</w:t>
            </w:r>
            <w:r>
              <w:t>6</w:t>
            </w:r>
            <w:proofErr w:type="spellEnd"/>
            <w:r>
              <w:t>.</w:t>
            </w:r>
          </w:p>
        </w:tc>
      </w:tr>
      <w:tr w:rsidR="00190CBF" w:rsidTr="004F06C0">
        <w:tc>
          <w:tcPr>
            <w:tcW w:w="8771" w:type="dxa"/>
            <w:tcBorders>
              <w:top w:val="nil"/>
              <w:left w:val="nil"/>
              <w:bottom w:val="single" w:sz="6" w:space="0" w:color="78A22F"/>
              <w:right w:val="nil"/>
            </w:tcBorders>
            <w:shd w:val="clear" w:color="auto" w:fill="auto"/>
          </w:tcPr>
          <w:p w:rsidR="00190CBF" w:rsidRDefault="00190CBF" w:rsidP="004F06C0">
            <w:pPr>
              <w:pStyle w:val="Figurespace"/>
            </w:pPr>
          </w:p>
        </w:tc>
      </w:tr>
      <w:tr w:rsidR="00190CBF" w:rsidRPr="000863A5" w:rsidTr="004F06C0">
        <w:tc>
          <w:tcPr>
            <w:tcW w:w="8771" w:type="dxa"/>
            <w:tcBorders>
              <w:top w:val="single" w:sz="6" w:space="0" w:color="78A22F"/>
              <w:left w:val="nil"/>
              <w:bottom w:val="nil"/>
              <w:right w:val="nil"/>
            </w:tcBorders>
          </w:tcPr>
          <w:p w:rsidR="00190CBF" w:rsidRPr="00626D32" w:rsidRDefault="00190CBF" w:rsidP="004F06C0">
            <w:pPr>
              <w:pStyle w:val="BoxSpaceBelow"/>
            </w:pPr>
          </w:p>
        </w:tc>
      </w:tr>
    </w:tbl>
    <w:p w:rsidR="000707E5" w:rsidRDefault="000707E5" w:rsidP="000707E5">
      <w:pPr>
        <w:pStyle w:val="BodyText"/>
      </w:pPr>
      <w:r w:rsidRPr="00B410FF">
        <w:t xml:space="preserve">Nationally, of Aboriginal and Torres Strait Islander clients who had an identified need for assistance with obtaining or maintaining independent housing </w:t>
      </w:r>
      <w:r w:rsidR="00EB1138">
        <w:t>61.1</w:t>
      </w:r>
      <w:r w:rsidRPr="00B410FF">
        <w:t xml:space="preserve"> per cent achieved independent housing in 2014</w:t>
      </w:r>
      <w:r>
        <w:noBreakHyphen/>
        <w:t>15</w:t>
      </w:r>
      <w:r w:rsidRPr="00B410FF">
        <w:t xml:space="preserve">. </w:t>
      </w:r>
      <w:r w:rsidR="00EB1138">
        <w:t>Compared to all clients, Aboriginal and Torres Strait Islander clients</w:t>
      </w:r>
      <w:r w:rsidR="005501C9">
        <w:t xml:space="preserve"> had</w:t>
      </w:r>
      <w:r w:rsidR="00EB1138">
        <w:t xml:space="preserve"> </w:t>
      </w:r>
      <w:r w:rsidR="00B06BCD">
        <w:t xml:space="preserve">a lower proportion of clients </w:t>
      </w:r>
      <w:r w:rsidR="005501C9">
        <w:t xml:space="preserve">that </w:t>
      </w:r>
      <w:r w:rsidRPr="00B410FF">
        <w:t>move</w:t>
      </w:r>
      <w:r w:rsidR="00B06BCD">
        <w:t>d</w:t>
      </w:r>
      <w:r w:rsidR="00EB1138">
        <w:t xml:space="preserve"> or return</w:t>
      </w:r>
      <w:r w:rsidR="00B06BCD">
        <w:t>ed</w:t>
      </w:r>
      <w:r w:rsidRPr="00B410FF">
        <w:t xml:space="preserve"> to private rental housing (</w:t>
      </w:r>
      <w:r w:rsidR="00EB1138">
        <w:t>25.6</w:t>
      </w:r>
      <w:r w:rsidRPr="00B410FF">
        <w:t xml:space="preserve"> per cent), </w:t>
      </w:r>
      <w:r w:rsidR="00EB1138">
        <w:t xml:space="preserve">but more </w:t>
      </w:r>
      <w:r w:rsidR="00B06BCD">
        <w:t xml:space="preserve">clients </w:t>
      </w:r>
      <w:r w:rsidR="005501C9">
        <w:t xml:space="preserve">that </w:t>
      </w:r>
      <w:r w:rsidR="00B06BCD">
        <w:t xml:space="preserve">moved </w:t>
      </w:r>
      <w:r w:rsidR="005501C9">
        <w:t xml:space="preserve">to </w:t>
      </w:r>
      <w:r w:rsidR="00B06BCD">
        <w:t xml:space="preserve">or returned </w:t>
      </w:r>
      <w:r w:rsidRPr="00B410FF">
        <w:t>to public or community rental housing (</w:t>
      </w:r>
      <w:r w:rsidR="00B06BCD">
        <w:t>32.7</w:t>
      </w:r>
      <w:r w:rsidRPr="00B410FF">
        <w:t xml:space="preserve"> per cent) (table </w:t>
      </w:r>
      <w:proofErr w:type="spellStart"/>
      <w:r w:rsidRPr="00B410FF">
        <w:t>18A.27</w:t>
      </w:r>
      <w:proofErr w:type="spellEnd"/>
      <w:r w:rsidRPr="00B410FF">
        <w:t>).</w:t>
      </w:r>
      <w:r>
        <w:t xml:space="preserve"> </w:t>
      </w:r>
    </w:p>
    <w:p w:rsidR="00EB1138" w:rsidRDefault="00EB1138" w:rsidP="00EB1138">
      <w:pPr>
        <w:pStyle w:val="Heading5"/>
      </w:pPr>
      <w:r>
        <w:t xml:space="preserve">Clients </w:t>
      </w:r>
      <w:r w:rsidR="00B06BCD">
        <w:t>living in non</w:t>
      </w:r>
      <w:r w:rsidR="00B06BCD">
        <w:noBreakHyphen/>
        <w:t xml:space="preserve">independent housing prior to presenting </w:t>
      </w:r>
    </w:p>
    <w:p w:rsidR="00B06BCD" w:rsidRDefault="00B06BCD" w:rsidP="000707E5">
      <w:pPr>
        <w:pStyle w:val="BodyText"/>
        <w:spacing w:after="240"/>
      </w:pPr>
      <w:r>
        <w:t>Nationally in 2014-15</w:t>
      </w:r>
      <w:r w:rsidR="00AA7404">
        <w:t>,</w:t>
      </w:r>
      <w:r>
        <w:t xml:space="preserve"> a</w:t>
      </w:r>
      <w:r w:rsidR="000707E5" w:rsidRPr="00FC3937">
        <w:t>mongst clients who were living in non</w:t>
      </w:r>
      <w:r w:rsidR="000707E5" w:rsidRPr="00FC3937">
        <w:noBreakHyphen/>
        <w:t xml:space="preserve">independent housing </w:t>
      </w:r>
      <w:r>
        <w:t xml:space="preserve">prior to assistance, the </w:t>
      </w:r>
      <w:r w:rsidR="00AA7404">
        <w:t xml:space="preserve">most common </w:t>
      </w:r>
      <w:r>
        <w:t>type</w:t>
      </w:r>
      <w:r w:rsidR="00AA7404">
        <w:t>s</w:t>
      </w:r>
      <w:r>
        <w:t xml:space="preserve"> of tenure clients were living in before support included:</w:t>
      </w:r>
    </w:p>
    <w:p w:rsidR="00B06BCD" w:rsidRDefault="00B06BCD" w:rsidP="00B06BCD">
      <w:pPr>
        <w:pStyle w:val="ListBullet"/>
      </w:pPr>
      <w:r>
        <w:t>boarding/rooming house (21.3</w:t>
      </w:r>
      <w:r w:rsidR="007D1EA0">
        <w:t xml:space="preserve"> </w:t>
      </w:r>
      <w:r>
        <w:t>per cent of clients)</w:t>
      </w:r>
    </w:p>
    <w:p w:rsidR="00AA7404" w:rsidRDefault="00AA7404" w:rsidP="00AA7404">
      <w:pPr>
        <w:pStyle w:val="ListBullet"/>
      </w:pPr>
      <w:r>
        <w:t>improvised dwelling/sleeping rough (17.7 per cent)</w:t>
      </w:r>
    </w:p>
    <w:p w:rsidR="00AA7404" w:rsidRDefault="00B06BCD" w:rsidP="00AA7404">
      <w:pPr>
        <w:pStyle w:val="ListBullet"/>
      </w:pPr>
      <w:r>
        <w:t>crisis accommodation (13.0 per cent)</w:t>
      </w:r>
    </w:p>
    <w:p w:rsidR="00AA7404" w:rsidRDefault="00AA7404" w:rsidP="00AA7404">
      <w:pPr>
        <w:pStyle w:val="ListBullet"/>
      </w:pPr>
      <w:r>
        <w:t>institutional setting (such as hospitals, correctional facilities, and aged care facilities) (6.5 per cent).</w:t>
      </w:r>
    </w:p>
    <w:p w:rsidR="000707E5" w:rsidRDefault="00AA7404" w:rsidP="000707E5">
      <w:pPr>
        <w:pStyle w:val="BodyText"/>
        <w:spacing w:after="240"/>
        <w:rPr>
          <w:color w:val="000000" w:themeColor="text1"/>
        </w:rPr>
      </w:pPr>
      <w:r>
        <w:lastRenderedPageBreak/>
        <w:t>Of those clients who were living in non</w:t>
      </w:r>
      <w:r>
        <w:noBreakHyphen/>
        <w:t xml:space="preserve">independent housing </w:t>
      </w:r>
      <w:r w:rsidR="000707E5" w:rsidRPr="00FC3937">
        <w:t>and who needed assistance</w:t>
      </w:r>
      <w:r w:rsidR="000707E5" w:rsidRPr="00205B3F">
        <w:rPr>
          <w:color w:val="000000" w:themeColor="text1"/>
        </w:rPr>
        <w:t xml:space="preserve"> to obtain independent housing, </w:t>
      </w:r>
      <w:r w:rsidRPr="00570CF4">
        <w:rPr>
          <w:color w:val="000000" w:themeColor="text1"/>
        </w:rPr>
        <w:t>35.</w:t>
      </w:r>
      <w:r w:rsidR="00AF1945" w:rsidRPr="00570CF4">
        <w:rPr>
          <w:color w:val="000000" w:themeColor="text1"/>
        </w:rPr>
        <w:t>9</w:t>
      </w:r>
      <w:r w:rsidR="000707E5" w:rsidRPr="00570CF4">
        <w:rPr>
          <w:color w:val="000000" w:themeColor="text1"/>
        </w:rPr>
        <w:t xml:space="preserve"> per cent</w:t>
      </w:r>
      <w:r w:rsidR="000707E5" w:rsidRPr="00205B3F">
        <w:rPr>
          <w:color w:val="000000" w:themeColor="text1"/>
        </w:rPr>
        <w:t xml:space="preserve"> achieved independent housing in 201</w:t>
      </w:r>
      <w:r w:rsidR="000707E5">
        <w:rPr>
          <w:color w:val="000000" w:themeColor="text1"/>
        </w:rPr>
        <w:t>4</w:t>
      </w:r>
      <w:r w:rsidR="000707E5">
        <w:rPr>
          <w:color w:val="000000" w:themeColor="text1"/>
        </w:rPr>
        <w:noBreakHyphen/>
      </w:r>
      <w:r w:rsidR="000707E5" w:rsidRPr="00205B3F">
        <w:rPr>
          <w:color w:val="000000" w:themeColor="text1"/>
        </w:rPr>
        <w:t>1</w:t>
      </w:r>
      <w:r w:rsidR="000707E5">
        <w:rPr>
          <w:color w:val="000000" w:themeColor="text1"/>
        </w:rPr>
        <w:t>5</w:t>
      </w:r>
      <w:r w:rsidR="000707E5" w:rsidRPr="00205B3F">
        <w:rPr>
          <w:color w:val="000000" w:themeColor="text1"/>
        </w:rPr>
        <w:t xml:space="preserve">, compared with </w:t>
      </w:r>
      <w:r w:rsidRPr="00570CF4">
        <w:rPr>
          <w:color w:val="000000" w:themeColor="text1"/>
        </w:rPr>
        <w:t>34.</w:t>
      </w:r>
      <w:r w:rsidR="00AF1945" w:rsidRPr="00570CF4">
        <w:rPr>
          <w:color w:val="000000" w:themeColor="text1"/>
        </w:rPr>
        <w:t>2</w:t>
      </w:r>
      <w:r w:rsidR="000707E5" w:rsidRPr="00570CF4">
        <w:rPr>
          <w:color w:val="000000" w:themeColor="text1"/>
        </w:rPr>
        <w:t> per cent</w:t>
      </w:r>
      <w:r w:rsidR="000707E5" w:rsidRPr="00205B3F">
        <w:rPr>
          <w:color w:val="000000" w:themeColor="text1"/>
        </w:rPr>
        <w:t xml:space="preserve"> in 201</w:t>
      </w:r>
      <w:r w:rsidR="000707E5">
        <w:rPr>
          <w:color w:val="000000" w:themeColor="text1"/>
        </w:rPr>
        <w:t>3</w:t>
      </w:r>
      <w:r w:rsidR="000707E5">
        <w:rPr>
          <w:color w:val="000000" w:themeColor="text1"/>
        </w:rPr>
        <w:noBreakHyphen/>
      </w:r>
      <w:r w:rsidR="000707E5" w:rsidRPr="00205B3F">
        <w:rPr>
          <w:color w:val="000000" w:themeColor="text1"/>
        </w:rPr>
        <w:t>1</w:t>
      </w:r>
      <w:r w:rsidR="000707E5">
        <w:rPr>
          <w:color w:val="000000" w:themeColor="text1"/>
        </w:rPr>
        <w:t>4</w:t>
      </w:r>
      <w:r w:rsidR="000707E5" w:rsidRPr="00205B3F">
        <w:rPr>
          <w:color w:val="000000" w:themeColor="text1"/>
        </w:rPr>
        <w:t xml:space="preserve"> (table </w:t>
      </w:r>
      <w:proofErr w:type="spellStart"/>
      <w:r w:rsidR="000707E5" w:rsidRPr="00205B3F">
        <w:rPr>
          <w:color w:val="000000" w:themeColor="text1"/>
        </w:rPr>
        <w:t>18A.28</w:t>
      </w:r>
      <w:proofErr w:type="spellEnd"/>
      <w:r w:rsidR="000707E5" w:rsidRPr="00205B3F">
        <w:rPr>
          <w:color w:val="000000" w:themeColor="text1"/>
        </w:rPr>
        <w:t>). This included clients who moved to private rental housing (</w:t>
      </w:r>
      <w:r>
        <w:rPr>
          <w:color w:val="000000" w:themeColor="text1"/>
        </w:rPr>
        <w:t>17.9</w:t>
      </w:r>
      <w:r w:rsidR="000707E5" w:rsidRPr="00205B3F">
        <w:rPr>
          <w:color w:val="000000" w:themeColor="text1"/>
        </w:rPr>
        <w:t> per cent), and to public</w:t>
      </w:r>
      <w:r w:rsidR="000707E5">
        <w:rPr>
          <w:color w:val="000000" w:themeColor="text1"/>
        </w:rPr>
        <w:t xml:space="preserve"> </w:t>
      </w:r>
      <w:r w:rsidR="000707E5" w:rsidRPr="00205B3F">
        <w:rPr>
          <w:color w:val="000000" w:themeColor="text1"/>
        </w:rPr>
        <w:t>or community rental housing (</w:t>
      </w:r>
      <w:r>
        <w:rPr>
          <w:color w:val="000000" w:themeColor="text1"/>
        </w:rPr>
        <w:t>16.2</w:t>
      </w:r>
      <w:r w:rsidR="000707E5" w:rsidRPr="00205B3F">
        <w:rPr>
          <w:color w:val="000000" w:themeColor="text1"/>
        </w:rPr>
        <w:t> per cent) (figure </w:t>
      </w:r>
      <w:r w:rsidR="007A5581">
        <w:t>18.17</w:t>
      </w:r>
      <w:r w:rsidR="000707E5" w:rsidRPr="00205B3F">
        <w:rPr>
          <w:color w:val="000000" w:themeColor="text1"/>
        </w:rPr>
        <w:t>).</w:t>
      </w:r>
    </w:p>
    <w:p w:rsidR="00AA7404" w:rsidRDefault="00AA7404" w:rsidP="00CA166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7404" w:rsidTr="00CA1668">
        <w:tc>
          <w:tcPr>
            <w:tcW w:w="8771" w:type="dxa"/>
            <w:tcBorders>
              <w:top w:val="single" w:sz="6" w:space="0" w:color="78A22F"/>
              <w:left w:val="nil"/>
              <w:bottom w:val="nil"/>
              <w:right w:val="nil"/>
            </w:tcBorders>
            <w:shd w:val="clear" w:color="auto" w:fill="auto"/>
          </w:tcPr>
          <w:p w:rsidR="00AA7404" w:rsidRPr="00176D3F" w:rsidRDefault="00AA7404" w:rsidP="001243C7">
            <w:pPr>
              <w:pStyle w:val="FigureTitle"/>
            </w:pPr>
            <w:r w:rsidRPr="00784A05">
              <w:rPr>
                <w:b w:val="0"/>
              </w:rPr>
              <w:t xml:space="preserve">Figure </w:t>
            </w:r>
            <w:bookmarkStart w:id="37" w:name="OLE_LINK21"/>
            <w:r w:rsidR="007A5581">
              <w:rPr>
                <w:b w:val="0"/>
              </w:rPr>
              <w:t>18.</w:t>
            </w:r>
            <w:r w:rsidR="007A3D6D">
              <w:rPr>
                <w:b w:val="0"/>
                <w:noProof/>
              </w:rPr>
              <w:t>17</w:t>
            </w:r>
            <w:bookmarkEnd w:id="37"/>
            <w:r>
              <w:tab/>
            </w:r>
            <w:r w:rsidR="001243C7" w:rsidRPr="001243C7">
              <w:t>Proportion of clients living in non</w:t>
            </w:r>
            <w:r w:rsidR="001243C7">
              <w:noBreakHyphen/>
            </w:r>
            <w:r w:rsidR="001243C7" w:rsidRPr="001243C7">
              <w:t xml:space="preserve">independent housing before </w:t>
            </w:r>
            <w:r w:rsidR="001243C7" w:rsidRPr="00570CF4">
              <w:t>support</w:t>
            </w:r>
            <w:r w:rsidR="00624A66" w:rsidRPr="00570CF4">
              <w:t>,</w:t>
            </w:r>
            <w:r w:rsidR="001243C7" w:rsidRPr="00570CF4">
              <w:t xml:space="preserve"> who</w:t>
            </w:r>
            <w:r w:rsidR="001243C7" w:rsidRPr="001243C7">
              <w:t xml:space="preserve"> obtained independent housing after support, by tenure type</w:t>
            </w:r>
            <w:r w:rsidR="001243C7">
              <w:t xml:space="preserve"> </w:t>
            </w:r>
            <w:r w:rsidR="001243C7" w:rsidRPr="004F06C0">
              <w:t>(closed support periods)</w:t>
            </w:r>
            <w:r w:rsidR="000D18AC">
              <w:t>, 2014</w:t>
            </w:r>
            <w:r w:rsidR="000D18AC">
              <w:noBreakHyphen/>
              <w:t>15</w:t>
            </w:r>
            <w:r w:rsidR="00D26B59">
              <w:rPr>
                <w:rStyle w:val="NoteLabel"/>
                <w:b/>
              </w:rPr>
              <w:t>a</w:t>
            </w:r>
          </w:p>
        </w:tc>
      </w:tr>
      <w:tr w:rsidR="00AA7404" w:rsidTr="00CA1668">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AA7404" w:rsidTr="000C1770">
              <w:trPr>
                <w:jc w:val="center"/>
              </w:trPr>
              <w:tc>
                <w:tcPr>
                  <w:tcW w:w="5000" w:type="pct"/>
                  <w:tcBorders>
                    <w:top w:val="nil"/>
                    <w:bottom w:val="nil"/>
                  </w:tcBorders>
                </w:tcPr>
                <w:p w:rsidR="00AA7404" w:rsidRDefault="00A701B9" w:rsidP="00CA1668">
                  <w:pPr>
                    <w:pStyle w:val="Figure"/>
                    <w:spacing w:before="60" w:after="60"/>
                  </w:pPr>
                  <w:r>
                    <w:rPr>
                      <w:noProof/>
                    </w:rPr>
                    <w:drawing>
                      <wp:inline distT="0" distB="0" distL="0" distR="0">
                        <wp:extent cx="5400040" cy="2689225"/>
                        <wp:effectExtent l="0" t="0" r="0" b="0"/>
                        <wp:docPr id="18" name="Picture 18" descr="Figure 18.17 Proportion of clients living in non independent housing before support, who obtained independent housing after support, by tenure type (closed support period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0040" cy="2689225"/>
                                </a:xfrm>
                                <a:prstGeom prst="rect">
                                  <a:avLst/>
                                </a:prstGeom>
                                <a:noFill/>
                                <a:ln>
                                  <a:noFill/>
                                </a:ln>
                              </pic:spPr>
                            </pic:pic>
                          </a:graphicData>
                        </a:graphic>
                      </wp:inline>
                    </w:drawing>
                  </w:r>
                </w:p>
              </w:tc>
            </w:tr>
          </w:tbl>
          <w:p w:rsidR="00AA7404" w:rsidRDefault="00AA7404" w:rsidP="00CA1668">
            <w:pPr>
              <w:pStyle w:val="Figure"/>
            </w:pPr>
          </w:p>
        </w:tc>
      </w:tr>
      <w:tr w:rsidR="00AA7404" w:rsidRPr="00176D3F" w:rsidTr="00CA1668">
        <w:tc>
          <w:tcPr>
            <w:tcW w:w="8771" w:type="dxa"/>
            <w:tcBorders>
              <w:top w:val="nil"/>
              <w:left w:val="nil"/>
              <w:bottom w:val="nil"/>
              <w:right w:val="nil"/>
            </w:tcBorders>
            <w:shd w:val="clear" w:color="auto" w:fill="auto"/>
          </w:tcPr>
          <w:p w:rsidR="00A84BE8" w:rsidRDefault="00A84BE8" w:rsidP="000D087B">
            <w:pPr>
              <w:pStyle w:val="Note"/>
              <w:rPr>
                <w:rStyle w:val="NoteLabel"/>
              </w:rPr>
            </w:pPr>
            <w:r w:rsidRPr="00570CF4">
              <w:rPr>
                <w:rStyle w:val="NoteLabel"/>
                <w:b w:val="0"/>
                <w:position w:val="0"/>
              </w:rPr>
              <w:t>Other independent housing includes: ‘Purchasing/purchased own home’ and ‘Other rental’.</w:t>
            </w:r>
          </w:p>
          <w:p w:rsidR="00AA7404" w:rsidRPr="00176D3F" w:rsidRDefault="00132081" w:rsidP="00D26B59">
            <w:pPr>
              <w:pStyle w:val="Note"/>
            </w:pPr>
            <w:r>
              <w:rPr>
                <w:rStyle w:val="NoteLabel"/>
              </w:rPr>
              <w:t>a</w:t>
            </w:r>
            <w:r>
              <w:t xml:space="preserve"> </w:t>
            </w:r>
            <w:r w:rsidRPr="006D3797">
              <w:t xml:space="preserve">See box </w:t>
            </w:r>
            <w:r w:rsidR="007A5581">
              <w:t>18.14</w:t>
            </w:r>
            <w:r w:rsidRPr="006D3797">
              <w:t xml:space="preserve"> and table </w:t>
            </w:r>
            <w:proofErr w:type="spellStart"/>
            <w:r>
              <w:t>18</w:t>
            </w:r>
            <w:r w:rsidRPr="006D3797">
              <w:t>A.</w:t>
            </w:r>
            <w:r>
              <w:t>28</w:t>
            </w:r>
            <w:proofErr w:type="spellEnd"/>
            <w:r w:rsidRPr="006D3797">
              <w:t xml:space="preserve"> for detailed definitions, footnotes and caveats</w:t>
            </w:r>
            <w:r>
              <w:t xml:space="preserve">. </w:t>
            </w:r>
          </w:p>
        </w:tc>
      </w:tr>
      <w:tr w:rsidR="00AA7404" w:rsidRPr="00176D3F" w:rsidTr="00CA1668">
        <w:tc>
          <w:tcPr>
            <w:tcW w:w="8771" w:type="dxa"/>
            <w:tcBorders>
              <w:top w:val="nil"/>
              <w:left w:val="nil"/>
              <w:bottom w:val="nil"/>
              <w:right w:val="nil"/>
            </w:tcBorders>
            <w:shd w:val="clear" w:color="auto" w:fill="auto"/>
          </w:tcPr>
          <w:p w:rsidR="00AA7404" w:rsidRPr="00176D3F" w:rsidRDefault="000D087B" w:rsidP="00CA1668">
            <w:pPr>
              <w:pStyle w:val="Source"/>
            </w:pPr>
            <w:r>
              <w:rPr>
                <w:i/>
              </w:rPr>
              <w:t>So</w:t>
            </w:r>
            <w:r w:rsidRPr="00784A05">
              <w:rPr>
                <w:i/>
              </w:rPr>
              <w:t>urce</w:t>
            </w:r>
            <w:r w:rsidRPr="00176D3F">
              <w:t xml:space="preserve">: </w:t>
            </w:r>
            <w:proofErr w:type="spellStart"/>
            <w:r w:rsidRPr="001071DA">
              <w:t>AIHW</w:t>
            </w:r>
            <w:proofErr w:type="spellEnd"/>
            <w:r w:rsidRPr="001071DA">
              <w:t xml:space="preserve"> (unpublished) </w:t>
            </w:r>
            <w:r w:rsidR="000C1770" w:rsidRPr="000C1770">
              <w:t>Specialist Homelessness Services Collection</w:t>
            </w:r>
            <w:r>
              <w:rPr>
                <w:i/>
              </w:rPr>
              <w:t xml:space="preserve">; </w:t>
            </w:r>
            <w:r w:rsidRPr="001071DA">
              <w:t xml:space="preserve">table </w:t>
            </w:r>
            <w:proofErr w:type="spellStart"/>
            <w:r w:rsidRPr="001071DA">
              <w:t>18A.2</w:t>
            </w:r>
            <w:r>
              <w:t>8</w:t>
            </w:r>
            <w:proofErr w:type="spellEnd"/>
            <w:r>
              <w:t>.</w:t>
            </w:r>
          </w:p>
        </w:tc>
      </w:tr>
      <w:tr w:rsidR="00AA7404" w:rsidTr="00CA1668">
        <w:tc>
          <w:tcPr>
            <w:tcW w:w="8771" w:type="dxa"/>
            <w:tcBorders>
              <w:top w:val="nil"/>
              <w:left w:val="nil"/>
              <w:bottom w:val="single" w:sz="6" w:space="0" w:color="78A22F"/>
              <w:right w:val="nil"/>
            </w:tcBorders>
            <w:shd w:val="clear" w:color="auto" w:fill="auto"/>
          </w:tcPr>
          <w:p w:rsidR="00AA7404" w:rsidRDefault="00AA7404" w:rsidP="00CA1668">
            <w:pPr>
              <w:pStyle w:val="Figurespace"/>
            </w:pPr>
          </w:p>
        </w:tc>
      </w:tr>
      <w:tr w:rsidR="00AA7404" w:rsidRPr="000863A5" w:rsidTr="00CA1668">
        <w:tc>
          <w:tcPr>
            <w:tcW w:w="8771" w:type="dxa"/>
            <w:tcBorders>
              <w:top w:val="single" w:sz="6" w:space="0" w:color="78A22F"/>
              <w:left w:val="nil"/>
              <w:bottom w:val="nil"/>
              <w:right w:val="nil"/>
            </w:tcBorders>
          </w:tcPr>
          <w:p w:rsidR="00AA7404" w:rsidRPr="00626D32" w:rsidRDefault="00AA7404" w:rsidP="00CA1668">
            <w:pPr>
              <w:pStyle w:val="BoxSpaceBelow"/>
            </w:pPr>
          </w:p>
        </w:tc>
      </w:tr>
    </w:tbl>
    <w:p w:rsidR="000D087B" w:rsidRDefault="000D087B" w:rsidP="000D087B">
      <w:pPr>
        <w:pStyle w:val="Heading5"/>
        <w:rPr>
          <w:color w:val="000000" w:themeColor="text1"/>
        </w:rPr>
      </w:pPr>
      <w:r>
        <w:rPr>
          <w:bCs/>
        </w:rPr>
        <w:t>C</w:t>
      </w:r>
      <w:r w:rsidRPr="004A2EAE">
        <w:rPr>
          <w:bCs/>
        </w:rPr>
        <w:t xml:space="preserve">lients </w:t>
      </w:r>
      <w:r>
        <w:t xml:space="preserve">who achieved independent housing and who did not present again </w:t>
      </w:r>
    </w:p>
    <w:p w:rsidR="00C92AAC" w:rsidRDefault="000707E5" w:rsidP="000707E5">
      <w:pPr>
        <w:pStyle w:val="BodyText"/>
        <w:spacing w:after="240"/>
        <w:rPr>
          <w:color w:val="000000" w:themeColor="text1"/>
        </w:rPr>
      </w:pPr>
      <w:r w:rsidRPr="008159AF">
        <w:rPr>
          <w:color w:val="000000" w:themeColor="text1"/>
        </w:rPr>
        <w:t>Nationally</w:t>
      </w:r>
      <w:r w:rsidR="00753D35">
        <w:rPr>
          <w:color w:val="000000" w:themeColor="text1"/>
        </w:rPr>
        <w:t xml:space="preserve"> in 2014-15</w:t>
      </w:r>
      <w:r w:rsidRPr="008159AF">
        <w:rPr>
          <w:color w:val="000000" w:themeColor="text1"/>
        </w:rPr>
        <w:t xml:space="preserve">, </w:t>
      </w:r>
      <w:r w:rsidR="00753D35">
        <w:rPr>
          <w:color w:val="000000" w:themeColor="text1"/>
        </w:rPr>
        <w:t xml:space="preserve">88.9 per cent of </w:t>
      </w:r>
      <w:r w:rsidR="00753D35" w:rsidRPr="008159AF">
        <w:rPr>
          <w:color w:val="000000" w:themeColor="text1"/>
        </w:rPr>
        <w:t xml:space="preserve">clients who </w:t>
      </w:r>
      <w:r w:rsidR="001B2AFB">
        <w:rPr>
          <w:color w:val="000000" w:themeColor="text1"/>
        </w:rPr>
        <w:t>achieved independent housing after support (who needed assistance to obtain independent housing before support)</w:t>
      </w:r>
      <w:r w:rsidR="00753D35">
        <w:rPr>
          <w:color w:val="000000" w:themeColor="text1"/>
        </w:rPr>
        <w:t xml:space="preserve"> </w:t>
      </w:r>
      <w:r w:rsidR="00753D35" w:rsidRPr="008159AF">
        <w:rPr>
          <w:color w:val="000000" w:themeColor="text1"/>
        </w:rPr>
        <w:t xml:space="preserve">did not present again </w:t>
      </w:r>
      <w:r w:rsidR="001B2AFB">
        <w:rPr>
          <w:color w:val="000000" w:themeColor="text1"/>
        </w:rPr>
        <w:t xml:space="preserve">with a need </w:t>
      </w:r>
      <w:r w:rsidR="00753D35" w:rsidRPr="008159AF">
        <w:rPr>
          <w:color w:val="000000" w:themeColor="text1"/>
        </w:rPr>
        <w:t xml:space="preserve">accommodation </w:t>
      </w:r>
      <w:r w:rsidR="001B2AFB">
        <w:rPr>
          <w:color w:val="000000" w:themeColor="text1"/>
        </w:rPr>
        <w:t xml:space="preserve">services </w:t>
      </w:r>
      <w:r w:rsidR="00753D35" w:rsidRPr="008159AF">
        <w:rPr>
          <w:color w:val="000000" w:themeColor="text1"/>
        </w:rPr>
        <w:t>in 2014</w:t>
      </w:r>
      <w:r w:rsidR="00753D35">
        <w:rPr>
          <w:color w:val="000000" w:themeColor="text1"/>
        </w:rPr>
        <w:noBreakHyphen/>
        <w:t xml:space="preserve">15. </w:t>
      </w:r>
    </w:p>
    <w:p w:rsidR="000707E5" w:rsidRDefault="00753D35" w:rsidP="000707E5">
      <w:pPr>
        <w:pStyle w:val="BodyText"/>
        <w:spacing w:after="240"/>
        <w:rPr>
          <w:color w:val="000000" w:themeColor="text1"/>
        </w:rPr>
      </w:pPr>
      <w:r w:rsidRPr="00570CF4">
        <w:rPr>
          <w:color w:val="000000" w:themeColor="text1"/>
        </w:rPr>
        <w:t xml:space="preserve">This </w:t>
      </w:r>
      <w:r w:rsidR="002F285D" w:rsidRPr="00570CF4">
        <w:rPr>
          <w:color w:val="000000" w:themeColor="text1"/>
        </w:rPr>
        <w:t xml:space="preserve">proportion </w:t>
      </w:r>
      <w:r w:rsidRPr="00570CF4">
        <w:rPr>
          <w:color w:val="000000" w:themeColor="text1"/>
        </w:rPr>
        <w:t xml:space="preserve">mainly comprised clients in private rental (54.2 per cent) or public housing rental (21.8 per cent) after support, although the proportions vary across jurisdictions </w:t>
      </w:r>
      <w:r w:rsidR="000707E5">
        <w:rPr>
          <w:color w:val="000000" w:themeColor="text1"/>
        </w:rPr>
        <w:t>(figure </w:t>
      </w:r>
      <w:r w:rsidR="007A5581">
        <w:t>18.18</w:t>
      </w:r>
      <w:r w:rsidR="000707E5">
        <w:rPr>
          <w:color w:val="000000" w:themeColor="text1"/>
        </w:rPr>
        <w:t>).</w:t>
      </w:r>
    </w:p>
    <w:p w:rsidR="000D087B" w:rsidRDefault="000D087B" w:rsidP="001F77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087B" w:rsidTr="001F7787">
        <w:tc>
          <w:tcPr>
            <w:tcW w:w="8771" w:type="dxa"/>
            <w:tcBorders>
              <w:top w:val="single" w:sz="6" w:space="0" w:color="78A22F"/>
              <w:left w:val="nil"/>
              <w:bottom w:val="nil"/>
              <w:right w:val="nil"/>
            </w:tcBorders>
            <w:shd w:val="clear" w:color="auto" w:fill="auto"/>
          </w:tcPr>
          <w:p w:rsidR="000D087B" w:rsidRPr="00176D3F" w:rsidRDefault="000D087B" w:rsidP="000D087B">
            <w:pPr>
              <w:pStyle w:val="FigureTitle"/>
            </w:pPr>
            <w:r w:rsidRPr="00784A05">
              <w:rPr>
                <w:b w:val="0"/>
              </w:rPr>
              <w:t xml:space="preserve">Figure </w:t>
            </w:r>
            <w:bookmarkStart w:id="38" w:name="OLE_LINK23"/>
            <w:r w:rsidR="007A5581">
              <w:rPr>
                <w:b w:val="0"/>
              </w:rPr>
              <w:t>18.</w:t>
            </w:r>
            <w:r w:rsidR="007A3D6D">
              <w:rPr>
                <w:b w:val="0"/>
                <w:noProof/>
              </w:rPr>
              <w:t>18</w:t>
            </w:r>
            <w:bookmarkEnd w:id="38"/>
            <w:r>
              <w:tab/>
              <w:t>P</w:t>
            </w:r>
            <w:r w:rsidRPr="001071DA">
              <w:t>roportion of clients who needed assistance to obtain or maintain independent housing</w:t>
            </w:r>
            <w:r>
              <w:t>,</w:t>
            </w:r>
            <w:r w:rsidRPr="001071DA">
              <w:t xml:space="preserve"> who achieved independent housing after support and did not present again with a need for accommodation, by tenure type</w:t>
            </w:r>
            <w:r>
              <w:t xml:space="preserve"> (closed support periods)</w:t>
            </w:r>
            <w:r w:rsidRPr="001071DA">
              <w:t xml:space="preserve"> 2014</w:t>
            </w:r>
            <w:r>
              <w:noBreakHyphen/>
              <w:t>15</w:t>
            </w:r>
            <w:r w:rsidRPr="001071DA">
              <w:rPr>
                <w:rStyle w:val="NoteLabel"/>
                <w:b/>
              </w:rPr>
              <w:t>a</w:t>
            </w:r>
          </w:p>
        </w:tc>
      </w:tr>
      <w:tr w:rsidR="000D087B" w:rsidTr="001F7787">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0D087B" w:rsidTr="000C1770">
              <w:trPr>
                <w:jc w:val="center"/>
              </w:trPr>
              <w:tc>
                <w:tcPr>
                  <w:tcW w:w="5000" w:type="pct"/>
                  <w:tcBorders>
                    <w:top w:val="nil"/>
                    <w:bottom w:val="nil"/>
                  </w:tcBorders>
                </w:tcPr>
                <w:p w:rsidR="000D087B" w:rsidRDefault="00A701B9" w:rsidP="001F7787">
                  <w:pPr>
                    <w:pStyle w:val="Figure"/>
                    <w:spacing w:before="60" w:after="60"/>
                  </w:pPr>
                  <w:r>
                    <w:rPr>
                      <w:noProof/>
                    </w:rPr>
                    <w:drawing>
                      <wp:inline distT="0" distB="0" distL="0" distR="0">
                        <wp:extent cx="5400040" cy="2689225"/>
                        <wp:effectExtent l="0" t="0" r="0" b="0"/>
                        <wp:docPr id="19" name="Picture 19" descr="Figure 18.18 Proportion of clients who needed assistance to obtain or maintain independent housing, who achieved independent housing after support and did not present again with a need for accommodation, by tenure type (closed support period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0040" cy="2689225"/>
                                </a:xfrm>
                                <a:prstGeom prst="rect">
                                  <a:avLst/>
                                </a:prstGeom>
                                <a:noFill/>
                                <a:ln>
                                  <a:noFill/>
                                </a:ln>
                              </pic:spPr>
                            </pic:pic>
                          </a:graphicData>
                        </a:graphic>
                      </wp:inline>
                    </w:drawing>
                  </w:r>
                </w:p>
              </w:tc>
            </w:tr>
          </w:tbl>
          <w:p w:rsidR="000D087B" w:rsidRDefault="000D087B" w:rsidP="001F7787">
            <w:pPr>
              <w:pStyle w:val="Figure"/>
            </w:pPr>
          </w:p>
        </w:tc>
      </w:tr>
      <w:tr w:rsidR="000D087B" w:rsidRPr="00176D3F" w:rsidTr="001F7787">
        <w:tc>
          <w:tcPr>
            <w:tcW w:w="8771" w:type="dxa"/>
            <w:tcBorders>
              <w:top w:val="nil"/>
              <w:left w:val="nil"/>
              <w:bottom w:val="nil"/>
              <w:right w:val="nil"/>
            </w:tcBorders>
            <w:shd w:val="clear" w:color="auto" w:fill="auto"/>
          </w:tcPr>
          <w:p w:rsidR="00D26B59" w:rsidRDefault="00D26B59" w:rsidP="00D26B59">
            <w:pPr>
              <w:pStyle w:val="Note"/>
              <w:rPr>
                <w:rStyle w:val="NoteLabel"/>
                <w:b w:val="0"/>
                <w:position w:val="0"/>
              </w:rPr>
            </w:pPr>
            <w:r w:rsidRPr="00570CF4">
              <w:rPr>
                <w:rStyle w:val="NoteLabel"/>
                <w:b w:val="0"/>
                <w:position w:val="0"/>
              </w:rPr>
              <w:t>Other independent housing includes: ‘Purchasing/purchased own home’ and ‘Other rental’.</w:t>
            </w:r>
          </w:p>
          <w:p w:rsidR="000D087B" w:rsidRPr="00176D3F" w:rsidRDefault="00C2344B" w:rsidP="00AF1945">
            <w:pPr>
              <w:pStyle w:val="Note"/>
            </w:pPr>
            <w:r>
              <w:rPr>
                <w:rStyle w:val="NoteLabel"/>
              </w:rPr>
              <w:t>a</w:t>
            </w:r>
            <w:r>
              <w:t xml:space="preserve"> </w:t>
            </w:r>
            <w:r w:rsidRPr="006D3797">
              <w:t xml:space="preserve">See box </w:t>
            </w:r>
            <w:r w:rsidR="007A5581">
              <w:t>18.14</w:t>
            </w:r>
            <w:r w:rsidRPr="006D3797">
              <w:t xml:space="preserve"> and table </w:t>
            </w:r>
            <w:proofErr w:type="spellStart"/>
            <w:r>
              <w:t>18</w:t>
            </w:r>
            <w:r w:rsidRPr="006D3797">
              <w:t>A.</w:t>
            </w:r>
            <w:r>
              <w:t>2</w:t>
            </w:r>
            <w:r w:rsidR="00AF1945">
              <w:t>9</w:t>
            </w:r>
            <w:proofErr w:type="spellEnd"/>
            <w:r w:rsidRPr="006D3797">
              <w:t xml:space="preserve"> for detailed definitions, footnotes and caveats</w:t>
            </w:r>
            <w:r>
              <w:t xml:space="preserve">. </w:t>
            </w:r>
          </w:p>
        </w:tc>
      </w:tr>
      <w:tr w:rsidR="000D087B" w:rsidRPr="00176D3F" w:rsidTr="001F7787">
        <w:tc>
          <w:tcPr>
            <w:tcW w:w="8771" w:type="dxa"/>
            <w:tcBorders>
              <w:top w:val="nil"/>
              <w:left w:val="nil"/>
              <w:bottom w:val="nil"/>
              <w:right w:val="nil"/>
            </w:tcBorders>
            <w:shd w:val="clear" w:color="auto" w:fill="auto"/>
          </w:tcPr>
          <w:p w:rsidR="000D087B" w:rsidRPr="00176D3F" w:rsidRDefault="00C2344B" w:rsidP="00C2344B">
            <w:pPr>
              <w:pStyle w:val="Source"/>
            </w:pPr>
            <w:r>
              <w:rPr>
                <w:i/>
              </w:rPr>
              <w:t>So</w:t>
            </w:r>
            <w:r w:rsidRPr="00784A05">
              <w:rPr>
                <w:i/>
              </w:rPr>
              <w:t>urce</w:t>
            </w:r>
            <w:r w:rsidRPr="00176D3F">
              <w:t xml:space="preserve">: </w:t>
            </w:r>
            <w:proofErr w:type="spellStart"/>
            <w:r w:rsidRPr="001071DA">
              <w:t>AIHW</w:t>
            </w:r>
            <w:proofErr w:type="spellEnd"/>
            <w:r w:rsidRPr="001071DA">
              <w:t xml:space="preserve"> (unpublished) </w:t>
            </w:r>
            <w:r w:rsidR="000C1770" w:rsidRPr="000C1770">
              <w:t>Specialist Homelessness Services Collection</w:t>
            </w:r>
            <w:r>
              <w:rPr>
                <w:i/>
              </w:rPr>
              <w:t xml:space="preserve">; </w:t>
            </w:r>
            <w:r w:rsidRPr="001071DA">
              <w:t xml:space="preserve">table </w:t>
            </w:r>
            <w:proofErr w:type="spellStart"/>
            <w:r w:rsidRPr="001071DA">
              <w:t>18A.2</w:t>
            </w:r>
            <w:r>
              <w:t>9</w:t>
            </w:r>
            <w:proofErr w:type="spellEnd"/>
            <w:r>
              <w:t>.</w:t>
            </w:r>
          </w:p>
        </w:tc>
      </w:tr>
      <w:tr w:rsidR="000D087B" w:rsidTr="001F7787">
        <w:tc>
          <w:tcPr>
            <w:tcW w:w="8771" w:type="dxa"/>
            <w:tcBorders>
              <w:top w:val="nil"/>
              <w:left w:val="nil"/>
              <w:bottom w:val="single" w:sz="6" w:space="0" w:color="78A22F"/>
              <w:right w:val="nil"/>
            </w:tcBorders>
            <w:shd w:val="clear" w:color="auto" w:fill="auto"/>
          </w:tcPr>
          <w:p w:rsidR="000D087B" w:rsidRDefault="000D087B" w:rsidP="001F7787">
            <w:pPr>
              <w:pStyle w:val="Figurespace"/>
            </w:pPr>
          </w:p>
        </w:tc>
      </w:tr>
      <w:tr w:rsidR="000D087B" w:rsidRPr="000863A5" w:rsidTr="001F7787">
        <w:tc>
          <w:tcPr>
            <w:tcW w:w="8771" w:type="dxa"/>
            <w:tcBorders>
              <w:top w:val="single" w:sz="6" w:space="0" w:color="78A22F"/>
              <w:left w:val="nil"/>
              <w:bottom w:val="nil"/>
              <w:right w:val="nil"/>
            </w:tcBorders>
          </w:tcPr>
          <w:p w:rsidR="000D087B" w:rsidRPr="00626D32" w:rsidRDefault="000D087B" w:rsidP="001F7787">
            <w:pPr>
              <w:pStyle w:val="BoxSpaceBelow"/>
            </w:pPr>
          </w:p>
        </w:tc>
      </w:tr>
    </w:tbl>
    <w:p w:rsidR="000D087B" w:rsidRPr="00064BDA" w:rsidRDefault="000D087B" w:rsidP="000D087B">
      <w:pPr>
        <w:pStyle w:val="BodyText"/>
      </w:pPr>
      <w:r>
        <w:t xml:space="preserve">Historical data are included in table </w:t>
      </w:r>
      <w:proofErr w:type="spellStart"/>
      <w:r>
        <w:t>18A.29</w:t>
      </w:r>
      <w:proofErr w:type="spellEnd"/>
      <w:r>
        <w:t>. Data for Aboriginal and Torres Strait Islander clients are included in table </w:t>
      </w:r>
      <w:proofErr w:type="spellStart"/>
      <w:r>
        <w:t>18A.30</w:t>
      </w:r>
      <w:proofErr w:type="spellEnd"/>
      <w:r>
        <w:t>.</w:t>
      </w:r>
    </w:p>
    <w:p w:rsidR="000707E5" w:rsidRPr="00856B79" w:rsidRDefault="000707E5" w:rsidP="000707E5">
      <w:pPr>
        <w:pStyle w:val="Heading4"/>
      </w:pPr>
      <w:r w:rsidRPr="00856B79">
        <w:t>Proportion of people experiencing repeat periods of homelessness</w:t>
      </w:r>
    </w:p>
    <w:p w:rsidR="000707E5" w:rsidRDefault="000707E5" w:rsidP="000707E5">
      <w:pPr>
        <w:pStyle w:val="BodyText"/>
        <w:spacing w:after="240"/>
        <w:rPr>
          <w:bCs/>
        </w:rPr>
      </w:pPr>
      <w:r w:rsidRPr="00131139">
        <w:rPr>
          <w:bCs/>
        </w:rPr>
        <w:t>‘Proportion of people experiencing repeat periods of homelessness’ is an indicator of governments’ objective to enable clients to participate independently in society at the end of their support period</w:t>
      </w:r>
      <w:r>
        <w:rPr>
          <w:bCs/>
        </w:rPr>
        <w:t xml:space="preserve"> (box </w:t>
      </w:r>
      <w:r w:rsidR="007A5581">
        <w:t>18.15</w:t>
      </w:r>
      <w:r>
        <w:rPr>
          <w:bCs/>
        </w:rPr>
        <w:t>).</w:t>
      </w:r>
    </w:p>
    <w:p w:rsidR="00C2344B" w:rsidRDefault="00C2344B" w:rsidP="00C234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344B" w:rsidTr="001F7787">
        <w:tc>
          <w:tcPr>
            <w:tcW w:w="8771" w:type="dxa"/>
            <w:tcBorders>
              <w:top w:val="single" w:sz="6" w:space="0" w:color="78A22F"/>
              <w:left w:val="nil"/>
              <w:bottom w:val="nil"/>
              <w:right w:val="nil"/>
            </w:tcBorders>
            <w:shd w:val="clear" w:color="auto" w:fill="F2F2F2"/>
          </w:tcPr>
          <w:p w:rsidR="00C2344B" w:rsidRDefault="00C2344B" w:rsidP="001F7787">
            <w:pPr>
              <w:pStyle w:val="BoxTitle"/>
            </w:pPr>
            <w:r>
              <w:rPr>
                <w:b w:val="0"/>
              </w:rPr>
              <w:t xml:space="preserve">Box </w:t>
            </w:r>
            <w:bookmarkStart w:id="39" w:name="OLE_LINK22"/>
            <w:r w:rsidR="007A5581">
              <w:rPr>
                <w:b w:val="0"/>
              </w:rPr>
              <w:t>18.</w:t>
            </w:r>
            <w:r w:rsidR="007A3D6D">
              <w:rPr>
                <w:b w:val="0"/>
                <w:noProof/>
              </w:rPr>
              <w:t>15</w:t>
            </w:r>
            <w:bookmarkEnd w:id="39"/>
            <w:r>
              <w:tab/>
              <w:t xml:space="preserve">Clients </w:t>
            </w:r>
            <w:r w:rsidRPr="006C5088">
              <w:t>experiencing repeat periods of homelessness</w:t>
            </w:r>
          </w:p>
        </w:tc>
      </w:tr>
      <w:tr w:rsidR="00C2344B" w:rsidTr="001F7787">
        <w:trPr>
          <w:cantSplit/>
        </w:trPr>
        <w:tc>
          <w:tcPr>
            <w:tcW w:w="8771" w:type="dxa"/>
            <w:tcBorders>
              <w:top w:val="nil"/>
              <w:left w:val="nil"/>
              <w:bottom w:val="nil"/>
              <w:right w:val="nil"/>
            </w:tcBorders>
            <w:shd w:val="clear" w:color="auto" w:fill="F2F2F2"/>
          </w:tcPr>
          <w:p w:rsidR="00C2344B" w:rsidRDefault="00C2344B" w:rsidP="00C2344B">
            <w:pPr>
              <w:pStyle w:val="Box"/>
              <w:rPr>
                <w:bCs/>
                <w:color w:val="000000" w:themeColor="text1"/>
              </w:rPr>
            </w:pPr>
            <w:r>
              <w:rPr>
                <w:bCs/>
                <w:color w:val="000000" w:themeColor="text1"/>
              </w:rPr>
              <w:t xml:space="preserve">‘Clients experiencing repeat periods of homelessness’ is defined as the </w:t>
            </w:r>
            <w:r w:rsidRPr="002608E2">
              <w:rPr>
                <w:bCs/>
                <w:color w:val="000000" w:themeColor="text1"/>
              </w:rPr>
              <w:t>number of</w:t>
            </w:r>
            <w:r w:rsidR="00B3426C">
              <w:rPr>
                <w:bCs/>
                <w:color w:val="000000" w:themeColor="text1"/>
              </w:rPr>
              <w:t xml:space="preserve"> </w:t>
            </w:r>
            <w:r w:rsidR="00B3426C">
              <w:t xml:space="preserve">specialist homelessness service </w:t>
            </w:r>
            <w:r w:rsidRPr="002608E2">
              <w:rPr>
                <w:bCs/>
                <w:color w:val="000000" w:themeColor="text1"/>
              </w:rPr>
              <w:t>clients who change status from ‘homeless’ to ‘not homeless’ and back to ‘homeless</w:t>
            </w:r>
            <w:r>
              <w:rPr>
                <w:bCs/>
                <w:color w:val="000000" w:themeColor="text1"/>
              </w:rPr>
              <w:t>’ in the reporting period, divided by the number o</w:t>
            </w:r>
            <w:r w:rsidRPr="002608E2">
              <w:rPr>
                <w:bCs/>
                <w:color w:val="000000" w:themeColor="text1"/>
              </w:rPr>
              <w:t xml:space="preserve">f clients who experienced homelessness </w:t>
            </w:r>
            <w:r w:rsidR="009C3D34">
              <w:rPr>
                <w:bCs/>
                <w:color w:val="000000" w:themeColor="text1"/>
              </w:rPr>
              <w:t xml:space="preserve">at any time </w:t>
            </w:r>
            <w:r>
              <w:rPr>
                <w:bCs/>
                <w:color w:val="000000" w:themeColor="text1"/>
              </w:rPr>
              <w:t xml:space="preserve">in the </w:t>
            </w:r>
            <w:r w:rsidRPr="002608E2">
              <w:rPr>
                <w:bCs/>
                <w:color w:val="000000" w:themeColor="text1"/>
              </w:rPr>
              <w:t>reporting period.</w:t>
            </w:r>
          </w:p>
          <w:p w:rsidR="00C2344B" w:rsidRDefault="00C2344B" w:rsidP="00C2344B">
            <w:pPr>
              <w:pStyle w:val="Box"/>
            </w:pPr>
            <w:r w:rsidRPr="002608E2">
              <w:t>This is a proxy measure as it only captures homelessness people who access specialist homelessness services rather than all those in the population who experience homelessness.</w:t>
            </w:r>
          </w:p>
          <w:p w:rsidR="00C2344B" w:rsidRPr="001B1609" w:rsidRDefault="00C2344B" w:rsidP="00C2344B">
            <w:pPr>
              <w:pStyle w:val="Box"/>
            </w:pPr>
            <w:r w:rsidRPr="001B1609">
              <w:t>A client is defined as being homeless in each month where at least one of the following describes their housing situation:</w:t>
            </w:r>
          </w:p>
          <w:p w:rsidR="00C2344B" w:rsidRPr="001B1609" w:rsidRDefault="00C2344B" w:rsidP="00C2344B">
            <w:pPr>
              <w:pStyle w:val="BoxListBullet"/>
            </w:pPr>
            <w:r>
              <w:rPr>
                <w:i/>
              </w:rPr>
              <w:t>d</w:t>
            </w:r>
            <w:r w:rsidRPr="001B1609">
              <w:rPr>
                <w:i/>
              </w:rPr>
              <w:t>welling type</w:t>
            </w:r>
            <w:r w:rsidRPr="001B1609">
              <w:t xml:space="preserve"> is caravan, tent, cabin, boat, improvised building/dwelling, no dwelling/street/park/in the open, motor vehicle, boarding/rooming house, emergency accommodation, hotel/motel/bed and breakfast</w:t>
            </w:r>
          </w:p>
          <w:p w:rsidR="00C2344B" w:rsidRPr="001B1609" w:rsidRDefault="00C2344B" w:rsidP="00C2344B">
            <w:pPr>
              <w:pStyle w:val="BoxListBullet"/>
            </w:pPr>
            <w:r>
              <w:rPr>
                <w:i/>
              </w:rPr>
              <w:t>t</w:t>
            </w:r>
            <w:r w:rsidRPr="001B1609">
              <w:rPr>
                <w:i/>
              </w:rPr>
              <w:t>enure type</w:t>
            </w:r>
            <w:r w:rsidRPr="001B1609">
              <w:t xml:space="preserve"> is renting or living rent free in any of transitional housing, caravan park, boarding/rooming house, or emergency accommodation/night shelter/women</w:t>
            </w:r>
            <w:r w:rsidR="007D1EA0">
              <w:t>’</w:t>
            </w:r>
            <w:r w:rsidRPr="001B1609">
              <w:t>s refuge/youth shelter;</w:t>
            </w:r>
            <w:r>
              <w:t xml:space="preserve"> OR if the client has no tenure</w:t>
            </w:r>
          </w:p>
          <w:p w:rsidR="00C2344B" w:rsidRPr="001B1609" w:rsidRDefault="00C2344B" w:rsidP="00C2344B">
            <w:pPr>
              <w:pStyle w:val="BoxListBullet"/>
            </w:pPr>
            <w:r>
              <w:rPr>
                <w:i/>
              </w:rPr>
              <w:t>c</w:t>
            </w:r>
            <w:r w:rsidRPr="001B1609">
              <w:rPr>
                <w:i/>
              </w:rPr>
              <w:t>onditions of occupancy</w:t>
            </w:r>
            <w:r w:rsidRPr="001B1609">
              <w:t xml:space="preserve"> is </w:t>
            </w:r>
            <w:r>
              <w:t>c</w:t>
            </w:r>
            <w:r w:rsidRPr="001B1609">
              <w:t>ouch surfer</w:t>
            </w:r>
            <w:r>
              <w:t>.</w:t>
            </w:r>
          </w:p>
          <w:p w:rsidR="00C2344B" w:rsidRPr="001B1609" w:rsidRDefault="00C2344B" w:rsidP="00C2344B">
            <w:pPr>
              <w:pStyle w:val="Box"/>
            </w:pPr>
            <w:r w:rsidRPr="001B1609">
              <w:t xml:space="preserve">A client is defined as being </w:t>
            </w:r>
            <w:r w:rsidR="007D1EA0">
              <w:t>‘</w:t>
            </w:r>
            <w:r w:rsidRPr="001B1609">
              <w:t>not homeless</w:t>
            </w:r>
            <w:r w:rsidR="007D1EA0">
              <w:t>’</w:t>
            </w:r>
            <w:r w:rsidRPr="001B1609">
              <w:t xml:space="preserve"> in each month where they have provided a response and none of the above conditions are met</w:t>
            </w:r>
            <w:r>
              <w:t>.</w:t>
            </w:r>
          </w:p>
          <w:p w:rsidR="00C2344B" w:rsidRDefault="00C2344B" w:rsidP="00C2344B">
            <w:pPr>
              <w:pStyle w:val="Box"/>
            </w:pPr>
            <w:r w:rsidRPr="001B1609">
              <w:t>Regardless of tenure or conditions of occupancy, a client is not considered to be homeless if the dwelling type is reported as ‘Institution’ in one of these categories: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More details can be found within the text surrounding this image."/>
            </w:tblPr>
            <w:tblGrid>
              <w:gridCol w:w="3713"/>
              <w:gridCol w:w="4776"/>
            </w:tblGrid>
            <w:tr w:rsidR="00C2344B" w:rsidTr="001F7787">
              <w:tc>
                <w:tcPr>
                  <w:tcW w:w="3713" w:type="dxa"/>
                </w:tcPr>
                <w:p w:rsidR="00C2344B" w:rsidRDefault="00C2344B" w:rsidP="001F7787">
                  <w:pPr>
                    <w:pStyle w:val="BoxListBullet"/>
                  </w:pPr>
                  <w:r>
                    <w:t>hospital (excluding psychiatric)</w:t>
                  </w:r>
                </w:p>
                <w:p w:rsidR="00C2344B" w:rsidRDefault="00C2344B" w:rsidP="001F7787">
                  <w:pPr>
                    <w:pStyle w:val="BoxListBullet"/>
                  </w:pPr>
                  <w:r>
                    <w:t>psychiatric hospital/unit</w:t>
                  </w:r>
                </w:p>
                <w:p w:rsidR="00C2344B" w:rsidRPr="001B1609" w:rsidRDefault="00C2344B" w:rsidP="001F7787">
                  <w:pPr>
                    <w:pStyle w:val="BoxListBullet"/>
                  </w:pPr>
                  <w:r>
                    <w:t>d</w:t>
                  </w:r>
                  <w:r w:rsidRPr="001B1609">
                    <w:t>isability support</w:t>
                  </w:r>
                </w:p>
                <w:p w:rsidR="00C2344B" w:rsidRDefault="00C2344B" w:rsidP="001F7787">
                  <w:pPr>
                    <w:pStyle w:val="BoxListBullet"/>
                  </w:pPr>
                  <w:r>
                    <w:t>r</w:t>
                  </w:r>
                  <w:r w:rsidRPr="001B1609">
                    <w:t>ehabilitation</w:t>
                  </w:r>
                </w:p>
                <w:p w:rsidR="00C2344B" w:rsidRDefault="00C2344B" w:rsidP="001F7787">
                  <w:pPr>
                    <w:pStyle w:val="BoxListBullet"/>
                  </w:pPr>
                  <w:r>
                    <w:t>adult correctional facility</w:t>
                  </w:r>
                </w:p>
              </w:tc>
              <w:tc>
                <w:tcPr>
                  <w:tcW w:w="4776" w:type="dxa"/>
                </w:tcPr>
                <w:p w:rsidR="00C2344B" w:rsidRPr="001B1609" w:rsidRDefault="00C2344B" w:rsidP="001F7787">
                  <w:pPr>
                    <w:pStyle w:val="BoxListBullet"/>
                  </w:pPr>
                  <w:r>
                    <w:t>y</w:t>
                  </w:r>
                  <w:r w:rsidRPr="001B1609">
                    <w:t>outh/juvenile justice correctional centre</w:t>
                  </w:r>
                </w:p>
                <w:p w:rsidR="00C2344B" w:rsidRPr="001B1609" w:rsidRDefault="00C2344B" w:rsidP="001F7787">
                  <w:pPr>
                    <w:pStyle w:val="BoxListBullet"/>
                  </w:pPr>
                  <w:r>
                    <w:t>b</w:t>
                  </w:r>
                  <w:r w:rsidRPr="001B1609">
                    <w:t>oarding school/residential college</w:t>
                  </w:r>
                </w:p>
                <w:p w:rsidR="00C2344B" w:rsidRDefault="00C2344B" w:rsidP="001F7787">
                  <w:pPr>
                    <w:pStyle w:val="BoxListBullet"/>
                  </w:pPr>
                  <w:r>
                    <w:t>a</w:t>
                  </w:r>
                  <w:r w:rsidRPr="001B1609">
                    <w:t>ged care facility</w:t>
                  </w:r>
                </w:p>
                <w:p w:rsidR="00C2344B" w:rsidRDefault="00C2344B" w:rsidP="001F7787">
                  <w:pPr>
                    <w:pStyle w:val="BoxListBullet"/>
                  </w:pPr>
                  <w:r>
                    <w:t>i</w:t>
                  </w:r>
                  <w:r w:rsidRPr="001B1609">
                    <w:t>mmigration detention centre</w:t>
                  </w:r>
                  <w:r>
                    <w:t>.</w:t>
                  </w:r>
                </w:p>
              </w:tc>
            </w:tr>
          </w:tbl>
          <w:p w:rsidR="00C2344B" w:rsidRDefault="00C2344B" w:rsidP="00C2344B">
            <w:pPr>
              <w:pStyle w:val="Box"/>
            </w:pPr>
            <w:r w:rsidRPr="00247A5A">
              <w:t>Holding other factors constant, a low or decreasing proportion of clients who required housing or accommodation support more than once is desirable.</w:t>
            </w:r>
          </w:p>
          <w:p w:rsidR="00C2344B" w:rsidRDefault="00C2344B" w:rsidP="00C2344B">
            <w:pPr>
              <w:pStyle w:val="Box"/>
            </w:pPr>
            <w:r>
              <w:t>Data reported for this indicator are:</w:t>
            </w:r>
          </w:p>
          <w:p w:rsidR="00C2344B" w:rsidRDefault="00C2344B" w:rsidP="00C2344B">
            <w:pPr>
              <w:pStyle w:val="BoxListBullet"/>
            </w:pPr>
            <w:r>
              <w:t>comparable (subject to caveats) across jurisdictions and over time</w:t>
            </w:r>
          </w:p>
          <w:p w:rsidR="00C2344B" w:rsidRPr="00324827" w:rsidRDefault="00C2344B" w:rsidP="00C2344B">
            <w:pPr>
              <w:pStyle w:val="BoxListBullet"/>
            </w:pPr>
            <w:r>
              <w:t>complete for the current reporting period. All required 2014</w:t>
            </w:r>
            <w:r>
              <w:noBreakHyphen/>
              <w:t>15 data are available for all jurisdictions.</w:t>
            </w:r>
          </w:p>
          <w:p w:rsidR="00C2344B" w:rsidRDefault="00C2344B" w:rsidP="00C2344B">
            <w:pPr>
              <w:pStyle w:val="Box"/>
            </w:pPr>
            <w:r w:rsidRPr="002608E2">
              <w:t>Data quality information for this indicator</w:t>
            </w:r>
            <w:r>
              <w:t xml:space="preserve"> is at </w:t>
            </w:r>
            <w:proofErr w:type="spellStart"/>
            <w:r>
              <w:t>www.pc.gov.au</w:t>
            </w:r>
            <w:proofErr w:type="spellEnd"/>
            <w:r w:rsidRPr="002608E2">
              <w:t>/</w:t>
            </w:r>
            <w:proofErr w:type="spellStart"/>
            <w:r w:rsidRPr="002608E2">
              <w:t>rogs</w:t>
            </w:r>
            <w:proofErr w:type="spellEnd"/>
            <w:r w:rsidRPr="002608E2">
              <w:t>/</w:t>
            </w:r>
            <w:r>
              <w:t>2016</w:t>
            </w:r>
            <w:r w:rsidRPr="0017421E">
              <w:rPr>
                <w:rFonts w:cs="Arial"/>
                <w:color w:val="000000" w:themeColor="text1"/>
                <w:szCs w:val="26"/>
              </w:rPr>
              <w:t>.</w:t>
            </w:r>
          </w:p>
        </w:tc>
      </w:tr>
      <w:tr w:rsidR="00C2344B" w:rsidTr="001F7787">
        <w:trPr>
          <w:cantSplit/>
        </w:trPr>
        <w:tc>
          <w:tcPr>
            <w:tcW w:w="8771" w:type="dxa"/>
            <w:tcBorders>
              <w:top w:val="nil"/>
              <w:left w:val="nil"/>
              <w:bottom w:val="single" w:sz="6" w:space="0" w:color="78A22F"/>
              <w:right w:val="nil"/>
            </w:tcBorders>
            <w:shd w:val="clear" w:color="auto" w:fill="F2F2F2"/>
          </w:tcPr>
          <w:p w:rsidR="00C2344B" w:rsidRDefault="00C2344B" w:rsidP="001F7787">
            <w:pPr>
              <w:pStyle w:val="Box"/>
              <w:spacing w:before="0" w:line="120" w:lineRule="exact"/>
            </w:pPr>
          </w:p>
        </w:tc>
      </w:tr>
      <w:tr w:rsidR="00C2344B" w:rsidRPr="000863A5" w:rsidTr="001F7787">
        <w:tc>
          <w:tcPr>
            <w:tcW w:w="8771" w:type="dxa"/>
            <w:tcBorders>
              <w:top w:val="single" w:sz="6" w:space="0" w:color="78A22F"/>
              <w:left w:val="nil"/>
              <w:bottom w:val="nil"/>
              <w:right w:val="nil"/>
            </w:tcBorders>
          </w:tcPr>
          <w:p w:rsidR="00C2344B" w:rsidRPr="00626D32" w:rsidRDefault="00C2344B" w:rsidP="001F7787">
            <w:pPr>
              <w:pStyle w:val="BoxSpaceBelow"/>
            </w:pPr>
          </w:p>
        </w:tc>
      </w:tr>
    </w:tbl>
    <w:p w:rsidR="000707E5" w:rsidRDefault="000707E5" w:rsidP="000707E5">
      <w:pPr>
        <w:pStyle w:val="BodyText"/>
      </w:pPr>
      <w:r w:rsidRPr="002B0725">
        <w:t>Nationally</w:t>
      </w:r>
      <w:r>
        <w:t xml:space="preserve"> in 2014-15</w:t>
      </w:r>
      <w:r w:rsidRPr="002B0725">
        <w:t xml:space="preserve">, of all clients who experienced homelessness </w:t>
      </w:r>
      <w:r w:rsidR="00C2344B">
        <w:t>5.7</w:t>
      </w:r>
      <w:r w:rsidRPr="002B0725">
        <w:t xml:space="preserve"> per cent </w:t>
      </w:r>
      <w:r>
        <w:t>had experienced</w:t>
      </w:r>
      <w:r w:rsidRPr="002B0725">
        <w:t xml:space="preserve"> more than one period of homelessness</w:t>
      </w:r>
      <w:r>
        <w:t xml:space="preserve"> </w:t>
      </w:r>
      <w:r w:rsidR="001B2AFB" w:rsidRPr="00570CF4">
        <w:t xml:space="preserve">in the reporting year </w:t>
      </w:r>
      <w:r>
        <w:t xml:space="preserve">— </w:t>
      </w:r>
      <w:r w:rsidRPr="002B0725">
        <w:t xml:space="preserve">compared with </w:t>
      </w:r>
      <w:r w:rsidR="00C2344B">
        <w:t>5.0</w:t>
      </w:r>
      <w:r>
        <w:t> </w:t>
      </w:r>
      <w:r w:rsidRPr="002B0725">
        <w:t>per</w:t>
      </w:r>
      <w:r>
        <w:t> </w:t>
      </w:r>
      <w:r w:rsidRPr="002B0725">
        <w:t>cent in 2013</w:t>
      </w:r>
      <w:r>
        <w:noBreakHyphen/>
        <w:t>14</w:t>
      </w:r>
      <w:r w:rsidRPr="002B0725">
        <w:t xml:space="preserve"> (figure </w:t>
      </w:r>
      <w:r w:rsidR="007A5581">
        <w:t>18.19</w:t>
      </w:r>
      <w:r w:rsidRPr="002B0725">
        <w:t>). The proportion of Aboriginal and Torres Strait Islander clients who experienced homelessness and who had more than one period o</w:t>
      </w:r>
      <w:r>
        <w:t xml:space="preserve">f homelessness </w:t>
      </w:r>
      <w:r w:rsidRPr="002B0725">
        <w:t xml:space="preserve">increased from </w:t>
      </w:r>
      <w:r w:rsidR="00FD5E8F">
        <w:t>5.7</w:t>
      </w:r>
      <w:r w:rsidRPr="002B0725">
        <w:t xml:space="preserve"> per cent in 2013</w:t>
      </w:r>
      <w:r>
        <w:noBreakHyphen/>
        <w:t>14</w:t>
      </w:r>
      <w:r w:rsidRPr="002B0725">
        <w:t xml:space="preserve"> to </w:t>
      </w:r>
      <w:r w:rsidR="00FD5E8F">
        <w:t>6.3</w:t>
      </w:r>
      <w:r w:rsidRPr="002B0725">
        <w:t xml:space="preserve"> per cent in 2014</w:t>
      </w:r>
      <w:r>
        <w:noBreakHyphen/>
        <w:t>15</w:t>
      </w:r>
      <w:r w:rsidR="00FD5E8F">
        <w:t xml:space="preserve"> </w:t>
      </w:r>
      <w:r w:rsidRPr="002B0725">
        <w:t>(figure</w:t>
      </w:r>
      <w:r w:rsidR="001B2AFB">
        <w:t> </w:t>
      </w:r>
      <w:r w:rsidR="007A5581">
        <w:t>18.19</w:t>
      </w:r>
      <w:r w:rsidRPr="002B0725">
        <w:t>).</w:t>
      </w:r>
    </w:p>
    <w:p w:rsidR="000707E5" w:rsidRDefault="000707E5" w:rsidP="000707E5">
      <w:pPr>
        <w:pStyle w:val="BodyText"/>
      </w:pPr>
      <w:r>
        <w:lastRenderedPageBreak/>
        <w:t>Nationally in 2014</w:t>
      </w:r>
      <w:r>
        <w:noBreakHyphen/>
        <w:t xml:space="preserve">15, capital city clients had </w:t>
      </w:r>
      <w:r w:rsidR="007B37E2">
        <w:t>lower</w:t>
      </w:r>
      <w:r>
        <w:t xml:space="preserve"> rates of repeat homelessness (</w:t>
      </w:r>
      <w:r w:rsidR="007B37E2">
        <w:t>5.5</w:t>
      </w:r>
      <w:r>
        <w:t> per cent) than those clients living in the rest of state (</w:t>
      </w:r>
      <w:r w:rsidR="007B37E2">
        <w:t>5.9</w:t>
      </w:r>
      <w:r>
        <w:t xml:space="preserve"> per cent) (table </w:t>
      </w:r>
      <w:proofErr w:type="spellStart"/>
      <w:r>
        <w:t>18A.31</w:t>
      </w:r>
      <w:proofErr w:type="spellEnd"/>
      <w:r>
        <w:t xml:space="preserve">). </w:t>
      </w:r>
    </w:p>
    <w:p w:rsidR="00C2344B" w:rsidRDefault="00C2344B" w:rsidP="001F77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344B" w:rsidTr="001F7787">
        <w:tc>
          <w:tcPr>
            <w:tcW w:w="8771" w:type="dxa"/>
            <w:tcBorders>
              <w:top w:val="single" w:sz="6" w:space="0" w:color="78A22F"/>
              <w:left w:val="nil"/>
              <w:bottom w:val="nil"/>
              <w:right w:val="nil"/>
            </w:tcBorders>
            <w:shd w:val="clear" w:color="auto" w:fill="auto"/>
          </w:tcPr>
          <w:p w:rsidR="00C2344B" w:rsidRPr="00176D3F" w:rsidRDefault="00C2344B" w:rsidP="00C2344B">
            <w:pPr>
              <w:pStyle w:val="FigureTitle"/>
            </w:pPr>
            <w:r w:rsidRPr="00784A05">
              <w:rPr>
                <w:b w:val="0"/>
              </w:rPr>
              <w:t xml:space="preserve">Figure </w:t>
            </w:r>
            <w:bookmarkStart w:id="40" w:name="OLE_LINK24"/>
            <w:r w:rsidR="007A5581">
              <w:rPr>
                <w:b w:val="0"/>
              </w:rPr>
              <w:t>18.</w:t>
            </w:r>
            <w:r w:rsidR="007A3D6D">
              <w:rPr>
                <w:b w:val="0"/>
                <w:noProof/>
              </w:rPr>
              <w:t>19</w:t>
            </w:r>
            <w:bookmarkEnd w:id="40"/>
            <w:r>
              <w:tab/>
            </w:r>
            <w:r w:rsidRPr="006C5088">
              <w:t>Clients who had more than one period of homelessness, all clients and Aboriginal and Torres Strait Islander clients</w:t>
            </w:r>
            <w:r w:rsidRPr="00A6327B">
              <w:rPr>
                <w:rStyle w:val="NoteLabel"/>
                <w:b/>
              </w:rPr>
              <w:t>a</w:t>
            </w:r>
          </w:p>
        </w:tc>
      </w:tr>
      <w:tr w:rsidR="00C2344B" w:rsidTr="001F7787">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C2344B" w:rsidTr="000C1770">
              <w:trPr>
                <w:jc w:val="center"/>
              </w:trPr>
              <w:tc>
                <w:tcPr>
                  <w:tcW w:w="5000" w:type="pct"/>
                  <w:tcBorders>
                    <w:top w:val="nil"/>
                    <w:bottom w:val="nil"/>
                  </w:tcBorders>
                </w:tcPr>
                <w:p w:rsidR="00C2344B" w:rsidRDefault="00A701B9" w:rsidP="00C2344B">
                  <w:pPr>
                    <w:pStyle w:val="Figure"/>
                    <w:spacing w:before="60" w:after="60"/>
                  </w:pPr>
                  <w:r>
                    <w:rPr>
                      <w:noProof/>
                    </w:rPr>
                    <w:drawing>
                      <wp:inline distT="0" distB="0" distL="0" distR="0">
                        <wp:extent cx="5400040" cy="1979295"/>
                        <wp:effectExtent l="0" t="0" r="0" b="1905"/>
                        <wp:docPr id="20" name="Picture 20" descr="Figure 18.19 Clients who had more than one period of homelessness, all clients and Aboriginal and Torres Strait Islander clients&#10;&#10;All clie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0040" cy="1979295"/>
                                </a:xfrm>
                                <a:prstGeom prst="rect">
                                  <a:avLst/>
                                </a:prstGeom>
                                <a:noFill/>
                                <a:ln>
                                  <a:noFill/>
                                </a:ln>
                              </pic:spPr>
                            </pic:pic>
                          </a:graphicData>
                        </a:graphic>
                      </wp:inline>
                    </w:drawing>
                  </w:r>
                </w:p>
                <w:p w:rsidR="00C2344B" w:rsidRDefault="00A701B9" w:rsidP="001F7787">
                  <w:pPr>
                    <w:pStyle w:val="Figure"/>
                    <w:spacing w:before="60" w:after="60"/>
                  </w:pPr>
                  <w:r>
                    <w:rPr>
                      <w:noProof/>
                    </w:rPr>
                    <w:drawing>
                      <wp:inline distT="0" distB="0" distL="0" distR="0">
                        <wp:extent cx="5400040" cy="2194560"/>
                        <wp:effectExtent l="0" t="0" r="0" b="0"/>
                        <wp:docPr id="21" name="Picture 21" descr="Figure 18.19 Clients who had more than one period of homelessness, all clients and Aboriginal and Torres Strait Islander clients&#10;&#10;Aboriginal and Torres Strait Islander clie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00040" cy="2194560"/>
                                </a:xfrm>
                                <a:prstGeom prst="rect">
                                  <a:avLst/>
                                </a:prstGeom>
                                <a:noFill/>
                                <a:ln>
                                  <a:noFill/>
                                </a:ln>
                              </pic:spPr>
                            </pic:pic>
                          </a:graphicData>
                        </a:graphic>
                      </wp:inline>
                    </w:drawing>
                  </w:r>
                </w:p>
              </w:tc>
            </w:tr>
          </w:tbl>
          <w:p w:rsidR="00C2344B" w:rsidRDefault="00C2344B" w:rsidP="001F7787">
            <w:pPr>
              <w:pStyle w:val="Figure"/>
            </w:pPr>
          </w:p>
        </w:tc>
      </w:tr>
      <w:tr w:rsidR="00C2344B" w:rsidRPr="00176D3F" w:rsidTr="001F7787">
        <w:tc>
          <w:tcPr>
            <w:tcW w:w="8771" w:type="dxa"/>
            <w:tcBorders>
              <w:top w:val="nil"/>
              <w:left w:val="nil"/>
              <w:bottom w:val="nil"/>
              <w:right w:val="nil"/>
            </w:tcBorders>
            <w:shd w:val="clear" w:color="auto" w:fill="auto"/>
          </w:tcPr>
          <w:p w:rsidR="00C2344B" w:rsidRPr="00176D3F" w:rsidRDefault="00C2344B" w:rsidP="007B37E2">
            <w:pPr>
              <w:pStyle w:val="Note"/>
            </w:pPr>
            <w:r>
              <w:rPr>
                <w:rStyle w:val="NoteLabel"/>
              </w:rPr>
              <w:t>a</w:t>
            </w:r>
            <w:r>
              <w:t xml:space="preserve"> </w:t>
            </w:r>
            <w:r w:rsidRPr="006D3797">
              <w:t xml:space="preserve">See box </w:t>
            </w:r>
            <w:r w:rsidR="007A5581">
              <w:t>18.15</w:t>
            </w:r>
            <w:r w:rsidRPr="006D3797">
              <w:t xml:space="preserve"> and table</w:t>
            </w:r>
            <w:r w:rsidR="007A3D6D">
              <w:t>s</w:t>
            </w:r>
            <w:r w:rsidRPr="006D3797">
              <w:t xml:space="preserve"> </w:t>
            </w:r>
            <w:proofErr w:type="spellStart"/>
            <w:r>
              <w:t>18</w:t>
            </w:r>
            <w:r w:rsidRPr="006D3797">
              <w:t>A.</w:t>
            </w:r>
            <w:r w:rsidR="007A3D6D">
              <w:t>31</w:t>
            </w:r>
            <w:proofErr w:type="spellEnd"/>
            <w:r w:rsidR="007A3D6D">
              <w:t>-</w:t>
            </w:r>
            <w:r>
              <w:t xml:space="preserve">32 </w:t>
            </w:r>
            <w:r w:rsidRPr="006D3797">
              <w:t>or detailed definitions, footnotes and caveats</w:t>
            </w:r>
            <w:r>
              <w:t xml:space="preserve">. </w:t>
            </w:r>
          </w:p>
        </w:tc>
      </w:tr>
      <w:tr w:rsidR="00C2344B" w:rsidRPr="00176D3F" w:rsidTr="001F7787">
        <w:tc>
          <w:tcPr>
            <w:tcW w:w="8771" w:type="dxa"/>
            <w:tcBorders>
              <w:top w:val="nil"/>
              <w:left w:val="nil"/>
              <w:bottom w:val="nil"/>
              <w:right w:val="nil"/>
            </w:tcBorders>
            <w:shd w:val="clear" w:color="auto" w:fill="auto"/>
          </w:tcPr>
          <w:p w:rsidR="00C2344B" w:rsidRPr="00176D3F" w:rsidRDefault="00C2344B" w:rsidP="00C2344B">
            <w:pPr>
              <w:pStyle w:val="Source"/>
            </w:pPr>
            <w:r>
              <w:rPr>
                <w:i/>
              </w:rPr>
              <w:t>So</w:t>
            </w:r>
            <w:r w:rsidRPr="00784A05">
              <w:rPr>
                <w:i/>
              </w:rPr>
              <w:t>urce</w:t>
            </w:r>
            <w:r w:rsidRPr="00176D3F">
              <w:t xml:space="preserve">: </w:t>
            </w:r>
            <w:proofErr w:type="spellStart"/>
            <w:r w:rsidRPr="001071DA">
              <w:t>AIHW</w:t>
            </w:r>
            <w:proofErr w:type="spellEnd"/>
            <w:r w:rsidRPr="001071DA">
              <w:t xml:space="preserve"> (unpublished) </w:t>
            </w:r>
            <w:r w:rsidR="000C1770" w:rsidRPr="000C1770">
              <w:t>Specialist Homelessness Services Collection</w:t>
            </w:r>
            <w:r>
              <w:rPr>
                <w:i/>
              </w:rPr>
              <w:t xml:space="preserve">; </w:t>
            </w:r>
            <w:r w:rsidRPr="001071DA">
              <w:t>table</w:t>
            </w:r>
            <w:r w:rsidR="007A3D6D">
              <w:t>s</w:t>
            </w:r>
            <w:r w:rsidRPr="001071DA">
              <w:t xml:space="preserve"> </w:t>
            </w:r>
            <w:proofErr w:type="spellStart"/>
            <w:r w:rsidRPr="001071DA">
              <w:t>18A.</w:t>
            </w:r>
            <w:r w:rsidR="000147A0">
              <w:t>31</w:t>
            </w:r>
            <w:proofErr w:type="spellEnd"/>
            <w:r w:rsidR="000147A0">
              <w:t>-</w:t>
            </w:r>
            <w:r>
              <w:t>32.</w:t>
            </w:r>
          </w:p>
        </w:tc>
      </w:tr>
      <w:tr w:rsidR="00C2344B" w:rsidTr="001F7787">
        <w:tc>
          <w:tcPr>
            <w:tcW w:w="8771" w:type="dxa"/>
            <w:tcBorders>
              <w:top w:val="nil"/>
              <w:left w:val="nil"/>
              <w:bottom w:val="single" w:sz="6" w:space="0" w:color="78A22F"/>
              <w:right w:val="nil"/>
            </w:tcBorders>
            <w:shd w:val="clear" w:color="auto" w:fill="auto"/>
          </w:tcPr>
          <w:p w:rsidR="00C2344B" w:rsidRDefault="00C2344B" w:rsidP="001F7787">
            <w:pPr>
              <w:pStyle w:val="Figurespace"/>
            </w:pPr>
          </w:p>
        </w:tc>
      </w:tr>
      <w:tr w:rsidR="00C2344B" w:rsidRPr="000863A5" w:rsidTr="001F7787">
        <w:tc>
          <w:tcPr>
            <w:tcW w:w="8771" w:type="dxa"/>
            <w:tcBorders>
              <w:top w:val="single" w:sz="6" w:space="0" w:color="78A22F"/>
              <w:left w:val="nil"/>
              <w:bottom w:val="nil"/>
              <w:right w:val="nil"/>
            </w:tcBorders>
          </w:tcPr>
          <w:p w:rsidR="00C2344B" w:rsidRPr="00626D32" w:rsidRDefault="00C2344B" w:rsidP="001F7787">
            <w:pPr>
              <w:pStyle w:val="BoxSpaceBelow"/>
            </w:pPr>
          </w:p>
        </w:tc>
      </w:tr>
    </w:tbl>
    <w:p w:rsidR="000707E5" w:rsidRPr="00856B79" w:rsidRDefault="000707E5" w:rsidP="007B37E2">
      <w:pPr>
        <w:pStyle w:val="Heading4"/>
      </w:pPr>
      <w:r w:rsidRPr="00856B79">
        <w:t xml:space="preserve">Goals </w:t>
      </w:r>
      <w:r w:rsidRPr="007B37E2">
        <w:t>achieved</w:t>
      </w:r>
      <w:r w:rsidRPr="00856B79">
        <w:t xml:space="preserve"> on exit from service</w:t>
      </w:r>
    </w:p>
    <w:p w:rsidR="000707E5" w:rsidRDefault="000707E5" w:rsidP="000707E5">
      <w:pPr>
        <w:pStyle w:val="BodyText"/>
        <w:spacing w:after="240"/>
        <w:rPr>
          <w:bCs/>
        </w:rPr>
      </w:pPr>
      <w:r w:rsidRPr="004E4C69">
        <w:rPr>
          <w:bCs/>
        </w:rPr>
        <w:t>‘Goals achieved on exit’ is an indicator of governments’ objective to ensure homelessness services meet the needs and expectations of clients</w:t>
      </w:r>
      <w:r>
        <w:rPr>
          <w:bCs/>
        </w:rPr>
        <w:t xml:space="preserve"> (box </w:t>
      </w:r>
      <w:r w:rsidR="007A5581">
        <w:t>18.16</w:t>
      </w:r>
      <w:r>
        <w:rPr>
          <w:bCs/>
        </w:rPr>
        <w:t>).</w:t>
      </w:r>
    </w:p>
    <w:p w:rsidR="007B37E2" w:rsidRDefault="007B37E2" w:rsidP="007B37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37E2" w:rsidTr="001F7787">
        <w:tc>
          <w:tcPr>
            <w:tcW w:w="8771" w:type="dxa"/>
            <w:tcBorders>
              <w:top w:val="single" w:sz="6" w:space="0" w:color="78A22F"/>
              <w:left w:val="nil"/>
              <w:bottom w:val="nil"/>
              <w:right w:val="nil"/>
            </w:tcBorders>
            <w:shd w:val="clear" w:color="auto" w:fill="F2F2F2"/>
          </w:tcPr>
          <w:p w:rsidR="007B37E2" w:rsidRDefault="007B37E2" w:rsidP="001F7787">
            <w:pPr>
              <w:pStyle w:val="BoxTitle"/>
            </w:pPr>
            <w:r>
              <w:rPr>
                <w:b w:val="0"/>
              </w:rPr>
              <w:t xml:space="preserve">Box </w:t>
            </w:r>
            <w:bookmarkStart w:id="41" w:name="OLE_LINK25"/>
            <w:r w:rsidR="007A5581">
              <w:rPr>
                <w:b w:val="0"/>
              </w:rPr>
              <w:t>18.</w:t>
            </w:r>
            <w:r w:rsidR="007A3D6D">
              <w:rPr>
                <w:b w:val="0"/>
                <w:noProof/>
              </w:rPr>
              <w:t>16</w:t>
            </w:r>
            <w:bookmarkEnd w:id="41"/>
            <w:r>
              <w:tab/>
            </w:r>
            <w:r w:rsidRPr="00856B79">
              <w:t>Goals achieved on exit from service</w:t>
            </w:r>
          </w:p>
        </w:tc>
      </w:tr>
      <w:tr w:rsidR="007B37E2" w:rsidTr="001F7787">
        <w:trPr>
          <w:cantSplit/>
        </w:trPr>
        <w:tc>
          <w:tcPr>
            <w:tcW w:w="8771" w:type="dxa"/>
            <w:tcBorders>
              <w:top w:val="nil"/>
              <w:left w:val="nil"/>
              <w:bottom w:val="nil"/>
              <w:right w:val="nil"/>
            </w:tcBorders>
            <w:shd w:val="clear" w:color="auto" w:fill="F2F2F2"/>
          </w:tcPr>
          <w:p w:rsidR="007B37E2" w:rsidRPr="00856B79" w:rsidRDefault="007B37E2" w:rsidP="001F7787">
            <w:pPr>
              <w:pStyle w:val="Box"/>
              <w:rPr>
                <w:bCs/>
              </w:rPr>
            </w:pPr>
            <w:r w:rsidRPr="00856B79">
              <w:rPr>
                <w:bCs/>
              </w:rPr>
              <w:t xml:space="preserve">‘Goals achieved on exit from service’ is defined as the proportion of </w:t>
            </w:r>
            <w:r>
              <w:rPr>
                <w:bCs/>
              </w:rPr>
              <w:t xml:space="preserve">closed support periods with an individual case management plan where ‘no goals’, up to half the goals’, ‘half or more of the goals’ or ‘all goals’ have been achieved. </w:t>
            </w:r>
          </w:p>
          <w:p w:rsidR="007B37E2" w:rsidRPr="00856B79" w:rsidRDefault="007B37E2" w:rsidP="001F7787">
            <w:pPr>
              <w:pStyle w:val="Box"/>
              <w:rPr>
                <w:bCs/>
              </w:rPr>
            </w:pPr>
            <w:r w:rsidRPr="00856B79">
              <w:rPr>
                <w:bCs/>
              </w:rPr>
              <w:t>This indicator should be interpreted in conjunction with the ‘development of an agreed case management plan’ indicator which identifies the proportion of case management plans developed.</w:t>
            </w:r>
          </w:p>
          <w:p w:rsidR="007B37E2" w:rsidRPr="00856B79" w:rsidRDefault="007B37E2" w:rsidP="001F7787">
            <w:pPr>
              <w:pStyle w:val="Box"/>
              <w:rPr>
                <w:bCs/>
              </w:rPr>
            </w:pPr>
            <w:r w:rsidRPr="00856B79">
              <w:rPr>
                <w:bCs/>
              </w:rPr>
              <w:t>Holding other factors constant, a high or increasing proportion of achieved goals is desirable.</w:t>
            </w:r>
          </w:p>
          <w:p w:rsidR="007B37E2" w:rsidRPr="00856B79" w:rsidRDefault="007B37E2" w:rsidP="001F7787">
            <w:pPr>
              <w:pStyle w:val="Box"/>
            </w:pPr>
            <w:r w:rsidRPr="00856B79">
              <w:t>Data reported for these measures are:</w:t>
            </w:r>
          </w:p>
          <w:p w:rsidR="007B37E2" w:rsidRPr="00856B79" w:rsidRDefault="007B37E2" w:rsidP="001F7787">
            <w:pPr>
              <w:pStyle w:val="BoxListBullet"/>
            </w:pPr>
            <w:r w:rsidRPr="00856B79">
              <w:t>comparable (subject to caveats) across jurisdictions and over time</w:t>
            </w:r>
          </w:p>
          <w:p w:rsidR="007B37E2" w:rsidRPr="003B4A34" w:rsidRDefault="007B37E2" w:rsidP="001F7787">
            <w:pPr>
              <w:pStyle w:val="BoxListBullet"/>
              <w:rPr>
                <w:color w:val="000000" w:themeColor="text2"/>
              </w:rPr>
            </w:pPr>
            <w:r w:rsidRPr="00856B79">
              <w:t xml:space="preserve">complete for the current reporting period. </w:t>
            </w:r>
            <w:r>
              <w:t>All required 2014</w:t>
            </w:r>
            <w:r>
              <w:noBreakHyphen/>
              <w:t xml:space="preserve">15 </w:t>
            </w:r>
            <w:r w:rsidRPr="00856B79">
              <w:t>data are available for all jurisdictions</w:t>
            </w:r>
          </w:p>
          <w:p w:rsidR="007B37E2" w:rsidRDefault="007B37E2" w:rsidP="001F7787">
            <w:pPr>
              <w:pStyle w:val="Box"/>
            </w:pPr>
            <w:r w:rsidRPr="003B4A34">
              <w:rPr>
                <w:color w:val="000000" w:themeColor="text2"/>
              </w:rPr>
              <w:t>Data quality information for this indicator is under development.</w:t>
            </w:r>
          </w:p>
        </w:tc>
      </w:tr>
      <w:tr w:rsidR="007B37E2" w:rsidTr="001F7787">
        <w:trPr>
          <w:cantSplit/>
        </w:trPr>
        <w:tc>
          <w:tcPr>
            <w:tcW w:w="8771" w:type="dxa"/>
            <w:tcBorders>
              <w:top w:val="nil"/>
              <w:left w:val="nil"/>
              <w:bottom w:val="single" w:sz="6" w:space="0" w:color="78A22F"/>
              <w:right w:val="nil"/>
            </w:tcBorders>
            <w:shd w:val="clear" w:color="auto" w:fill="F2F2F2"/>
          </w:tcPr>
          <w:p w:rsidR="007B37E2" w:rsidRDefault="007B37E2" w:rsidP="001F7787">
            <w:pPr>
              <w:pStyle w:val="Box"/>
              <w:spacing w:before="0" w:line="120" w:lineRule="exact"/>
            </w:pPr>
          </w:p>
        </w:tc>
      </w:tr>
      <w:tr w:rsidR="007B37E2" w:rsidRPr="000863A5" w:rsidTr="001F7787">
        <w:tc>
          <w:tcPr>
            <w:tcW w:w="8771" w:type="dxa"/>
            <w:tcBorders>
              <w:top w:val="single" w:sz="6" w:space="0" w:color="78A22F"/>
              <w:left w:val="nil"/>
              <w:bottom w:val="nil"/>
              <w:right w:val="nil"/>
            </w:tcBorders>
          </w:tcPr>
          <w:p w:rsidR="007B37E2" w:rsidRPr="00626D32" w:rsidRDefault="007B37E2" w:rsidP="001F7787">
            <w:pPr>
              <w:pStyle w:val="BoxSpaceBelow"/>
            </w:pPr>
          </w:p>
        </w:tc>
      </w:tr>
    </w:tbl>
    <w:p w:rsidR="000707E5" w:rsidRDefault="000707E5" w:rsidP="000707E5">
      <w:pPr>
        <w:pStyle w:val="BodyText"/>
        <w:rPr>
          <w:color w:val="000000" w:themeColor="text1"/>
        </w:rPr>
      </w:pPr>
      <w:r w:rsidRPr="00952FEE">
        <w:rPr>
          <w:color w:val="000000" w:themeColor="text1"/>
        </w:rPr>
        <w:t>Nationally</w:t>
      </w:r>
      <w:r>
        <w:rPr>
          <w:color w:val="000000" w:themeColor="text1"/>
        </w:rPr>
        <w:t xml:space="preserve"> in 2014-15</w:t>
      </w:r>
      <w:r w:rsidRPr="00952FEE">
        <w:rPr>
          <w:color w:val="000000" w:themeColor="text1"/>
        </w:rPr>
        <w:t xml:space="preserve">, </w:t>
      </w:r>
      <w:r>
        <w:rPr>
          <w:color w:val="000000" w:themeColor="text1"/>
        </w:rPr>
        <w:t>at least half of all</w:t>
      </w:r>
      <w:r w:rsidRPr="00952FEE">
        <w:rPr>
          <w:color w:val="000000" w:themeColor="text1"/>
        </w:rPr>
        <w:t xml:space="preserve"> case management goals were achieved at the end of support for </w:t>
      </w:r>
      <w:r w:rsidR="002C4A26">
        <w:rPr>
          <w:color w:val="000000" w:themeColor="text1"/>
        </w:rPr>
        <w:t>70.7 </w:t>
      </w:r>
      <w:r w:rsidRPr="00952FEE">
        <w:rPr>
          <w:color w:val="000000" w:themeColor="text1"/>
        </w:rPr>
        <w:t>per cent of closed support periods with individual case management plans</w:t>
      </w:r>
      <w:r>
        <w:rPr>
          <w:color w:val="000000" w:themeColor="text1"/>
        </w:rPr>
        <w:t xml:space="preserve"> —</w:t>
      </w:r>
      <w:r w:rsidR="002C4A26">
        <w:rPr>
          <w:color w:val="000000" w:themeColor="text1"/>
        </w:rPr>
        <w:t xml:space="preserve"> </w:t>
      </w:r>
      <w:r w:rsidRPr="002C4A26">
        <w:rPr>
          <w:color w:val="000000" w:themeColor="text1"/>
        </w:rPr>
        <w:t xml:space="preserve">an </w:t>
      </w:r>
      <w:r w:rsidR="002C4A26" w:rsidRPr="002C4A26">
        <w:rPr>
          <w:color w:val="000000" w:themeColor="text1"/>
        </w:rPr>
        <w:t xml:space="preserve">of </w:t>
      </w:r>
      <w:r w:rsidRPr="002C4A26">
        <w:rPr>
          <w:color w:val="000000" w:themeColor="text1"/>
        </w:rPr>
        <w:t>increase</w:t>
      </w:r>
      <w:r w:rsidR="002C4A26" w:rsidRPr="002C4A26">
        <w:rPr>
          <w:color w:val="000000" w:themeColor="text1"/>
        </w:rPr>
        <w:t xml:space="preserve"> of 9.2 percentage points</w:t>
      </w:r>
      <w:r w:rsidRPr="002C4A26">
        <w:rPr>
          <w:color w:val="000000" w:themeColor="text1"/>
        </w:rPr>
        <w:t xml:space="preserve"> from </w:t>
      </w:r>
      <w:r w:rsidR="002C4A26" w:rsidRPr="002C4A26">
        <w:rPr>
          <w:color w:val="000000" w:themeColor="text1"/>
        </w:rPr>
        <w:t>61.5</w:t>
      </w:r>
      <w:r w:rsidRPr="002C4A26">
        <w:rPr>
          <w:color w:val="000000" w:themeColor="text1"/>
        </w:rPr>
        <w:t xml:space="preserve"> per cent in 2011-12</w:t>
      </w:r>
      <w:r w:rsidRPr="00952FEE">
        <w:rPr>
          <w:color w:val="000000" w:themeColor="text1"/>
        </w:rPr>
        <w:t xml:space="preserve"> (figure</w:t>
      </w:r>
      <w:r w:rsidR="002C4A26">
        <w:rPr>
          <w:color w:val="000000" w:themeColor="text1"/>
        </w:rPr>
        <w:t> </w:t>
      </w:r>
      <w:r w:rsidR="007A5581">
        <w:t>18.20</w:t>
      </w:r>
      <w:r w:rsidRPr="00952FEE">
        <w:rPr>
          <w:color w:val="000000" w:themeColor="text1"/>
        </w:rPr>
        <w:t>).</w:t>
      </w:r>
    </w:p>
    <w:p w:rsidR="007B37E2" w:rsidRDefault="007B37E2" w:rsidP="001F77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37E2" w:rsidTr="001F7787">
        <w:tc>
          <w:tcPr>
            <w:tcW w:w="8771" w:type="dxa"/>
            <w:tcBorders>
              <w:top w:val="single" w:sz="6" w:space="0" w:color="78A22F"/>
              <w:left w:val="nil"/>
              <w:bottom w:val="nil"/>
              <w:right w:val="nil"/>
            </w:tcBorders>
            <w:shd w:val="clear" w:color="auto" w:fill="auto"/>
          </w:tcPr>
          <w:p w:rsidR="007B37E2" w:rsidRPr="00176D3F" w:rsidRDefault="007B37E2" w:rsidP="007B37E2">
            <w:pPr>
              <w:pStyle w:val="FigureTitle"/>
            </w:pPr>
            <w:r w:rsidRPr="00784A05">
              <w:rPr>
                <w:b w:val="0"/>
              </w:rPr>
              <w:t xml:space="preserve">Figure </w:t>
            </w:r>
            <w:bookmarkStart w:id="42" w:name="OLE_LINK26"/>
            <w:r w:rsidR="007A5581">
              <w:rPr>
                <w:b w:val="0"/>
              </w:rPr>
              <w:t>18.</w:t>
            </w:r>
            <w:r w:rsidR="007A3D6D">
              <w:rPr>
                <w:b w:val="0"/>
                <w:noProof/>
              </w:rPr>
              <w:t>20</w:t>
            </w:r>
            <w:bookmarkEnd w:id="42"/>
            <w:r>
              <w:tab/>
              <w:t>Case management goals achieved (closed support periods)</w:t>
            </w:r>
            <w:r w:rsidRPr="0097546E">
              <w:rPr>
                <w:rStyle w:val="NoteLabel"/>
                <w:b/>
              </w:rPr>
              <w:t>a</w:t>
            </w:r>
            <w:r>
              <w:rPr>
                <w:rStyle w:val="NoteLabel"/>
                <w:b/>
              </w:rPr>
              <w:t>, b</w:t>
            </w:r>
          </w:p>
        </w:tc>
      </w:tr>
      <w:tr w:rsidR="007B37E2" w:rsidTr="001F778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B37E2" w:rsidTr="001F7787">
              <w:trPr>
                <w:jc w:val="center"/>
              </w:trPr>
              <w:tc>
                <w:tcPr>
                  <w:tcW w:w="5000" w:type="pct"/>
                  <w:tcBorders>
                    <w:top w:val="nil"/>
                    <w:bottom w:val="nil"/>
                  </w:tcBorders>
                </w:tcPr>
                <w:p w:rsidR="007B37E2" w:rsidRDefault="00A701B9" w:rsidP="007B37E2">
                  <w:pPr>
                    <w:pStyle w:val="Figure"/>
                    <w:spacing w:before="60" w:after="60"/>
                  </w:pPr>
                  <w:r>
                    <w:rPr>
                      <w:noProof/>
                    </w:rPr>
                    <w:drawing>
                      <wp:inline distT="0" distB="0" distL="0" distR="0">
                        <wp:extent cx="5400040" cy="2893695"/>
                        <wp:effectExtent l="0" t="0" r="0" b="1905"/>
                        <wp:docPr id="22" name="Picture 22" descr="Figure 18.20 Case management goals achieved (closed support perio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00040" cy="2893695"/>
                                </a:xfrm>
                                <a:prstGeom prst="rect">
                                  <a:avLst/>
                                </a:prstGeom>
                                <a:noFill/>
                                <a:ln>
                                  <a:noFill/>
                                </a:ln>
                              </pic:spPr>
                            </pic:pic>
                          </a:graphicData>
                        </a:graphic>
                      </wp:inline>
                    </w:drawing>
                  </w:r>
                </w:p>
              </w:tc>
            </w:tr>
          </w:tbl>
          <w:p w:rsidR="007B37E2" w:rsidRDefault="007B37E2" w:rsidP="001F7787">
            <w:pPr>
              <w:pStyle w:val="Figure"/>
            </w:pPr>
          </w:p>
        </w:tc>
      </w:tr>
      <w:tr w:rsidR="007B37E2" w:rsidRPr="00176D3F" w:rsidTr="001F7787">
        <w:tc>
          <w:tcPr>
            <w:tcW w:w="8771" w:type="dxa"/>
            <w:tcBorders>
              <w:top w:val="nil"/>
              <w:left w:val="nil"/>
              <w:bottom w:val="nil"/>
              <w:right w:val="nil"/>
            </w:tcBorders>
            <w:shd w:val="clear" w:color="auto" w:fill="auto"/>
          </w:tcPr>
          <w:p w:rsidR="007B37E2" w:rsidRPr="00176D3F" w:rsidRDefault="007B37E2" w:rsidP="00AF1945">
            <w:pPr>
              <w:pStyle w:val="Note"/>
            </w:pPr>
            <w:r>
              <w:rPr>
                <w:rStyle w:val="NoteLabel"/>
              </w:rPr>
              <w:t>a</w:t>
            </w:r>
            <w:r>
              <w:t xml:space="preserve"> </w:t>
            </w:r>
            <w:r w:rsidRPr="006D3797">
              <w:t xml:space="preserve">See box </w:t>
            </w:r>
            <w:r w:rsidR="007A5581">
              <w:t>18.14</w:t>
            </w:r>
            <w:r w:rsidRPr="006D3797">
              <w:t xml:space="preserve"> and table </w:t>
            </w:r>
            <w:proofErr w:type="spellStart"/>
            <w:r>
              <w:t>18</w:t>
            </w:r>
            <w:r w:rsidRPr="006D3797">
              <w:t>A.</w:t>
            </w:r>
            <w:r w:rsidR="00AF1945">
              <w:t>33</w:t>
            </w:r>
            <w:proofErr w:type="spellEnd"/>
            <w:r w:rsidRPr="006D3797">
              <w:t xml:space="preserve"> for detailed definitions, footnotes and caveats</w:t>
            </w:r>
            <w:r>
              <w:t xml:space="preserve">. </w:t>
            </w:r>
            <w:r>
              <w:rPr>
                <w:rStyle w:val="NoteLabel"/>
              </w:rPr>
              <w:t>b</w:t>
            </w:r>
            <w:r>
              <w:t xml:space="preserve"> </w:t>
            </w:r>
            <w:r w:rsidR="00C85B76">
              <w:t>SA 2013-14 case management goals achieved data are not available</w:t>
            </w:r>
            <w:r>
              <w:t>.</w:t>
            </w:r>
          </w:p>
        </w:tc>
      </w:tr>
      <w:tr w:rsidR="007B37E2" w:rsidRPr="00176D3F" w:rsidTr="001F7787">
        <w:tc>
          <w:tcPr>
            <w:tcW w:w="8771" w:type="dxa"/>
            <w:tcBorders>
              <w:top w:val="nil"/>
              <w:left w:val="nil"/>
              <w:bottom w:val="nil"/>
              <w:right w:val="nil"/>
            </w:tcBorders>
            <w:shd w:val="clear" w:color="auto" w:fill="auto"/>
          </w:tcPr>
          <w:p w:rsidR="007B37E2" w:rsidRPr="00176D3F" w:rsidRDefault="007B37E2" w:rsidP="00AF1945">
            <w:pPr>
              <w:pStyle w:val="Source"/>
            </w:pPr>
            <w:r>
              <w:rPr>
                <w:i/>
              </w:rPr>
              <w:t>So</w:t>
            </w:r>
            <w:r w:rsidRPr="00784A05">
              <w:rPr>
                <w:i/>
              </w:rPr>
              <w:t>urce</w:t>
            </w:r>
            <w:r w:rsidRPr="00176D3F">
              <w:t xml:space="preserve">: </w:t>
            </w:r>
            <w:proofErr w:type="spellStart"/>
            <w:r w:rsidRPr="001071DA">
              <w:t>AIHW</w:t>
            </w:r>
            <w:proofErr w:type="spellEnd"/>
            <w:r w:rsidRPr="001071DA">
              <w:t xml:space="preserve"> (unpublished) </w:t>
            </w:r>
            <w:r w:rsidR="000C1770" w:rsidRPr="000C1770">
              <w:t>Specialist Homelessness Services Collection</w:t>
            </w:r>
            <w:r>
              <w:rPr>
                <w:i/>
              </w:rPr>
              <w:t xml:space="preserve">; </w:t>
            </w:r>
            <w:r w:rsidRPr="001071DA">
              <w:t xml:space="preserve">table </w:t>
            </w:r>
            <w:proofErr w:type="spellStart"/>
            <w:r w:rsidRPr="001071DA">
              <w:t>18A.</w:t>
            </w:r>
            <w:r>
              <w:t>3</w:t>
            </w:r>
            <w:r w:rsidR="00AF1945">
              <w:t>3</w:t>
            </w:r>
            <w:proofErr w:type="spellEnd"/>
            <w:r>
              <w:t>.</w:t>
            </w:r>
          </w:p>
        </w:tc>
      </w:tr>
      <w:tr w:rsidR="007B37E2" w:rsidTr="001F7787">
        <w:tc>
          <w:tcPr>
            <w:tcW w:w="8771" w:type="dxa"/>
            <w:tcBorders>
              <w:top w:val="nil"/>
              <w:left w:val="nil"/>
              <w:bottom w:val="single" w:sz="6" w:space="0" w:color="78A22F"/>
              <w:right w:val="nil"/>
            </w:tcBorders>
            <w:shd w:val="clear" w:color="auto" w:fill="auto"/>
          </w:tcPr>
          <w:p w:rsidR="007B37E2" w:rsidRDefault="007B37E2" w:rsidP="000D18AC">
            <w:pPr>
              <w:pStyle w:val="Figurespace"/>
              <w:keepNext w:val="0"/>
            </w:pPr>
          </w:p>
        </w:tc>
      </w:tr>
    </w:tbl>
    <w:p w:rsidR="000707E5" w:rsidRDefault="007A5581" w:rsidP="000707E5">
      <w:pPr>
        <w:pStyle w:val="Heading2"/>
      </w:pPr>
      <w:bookmarkStart w:id="43" w:name="_Toc341801418"/>
      <w:bookmarkStart w:id="44" w:name="_Toc396143172"/>
      <w:bookmarkStart w:id="45" w:name="_Toc429075902"/>
      <w:r>
        <w:lastRenderedPageBreak/>
        <w:t>18.</w:t>
      </w:r>
      <w:r w:rsidR="007A3D6D">
        <w:rPr>
          <w:noProof/>
        </w:rPr>
        <w:t>4</w:t>
      </w:r>
      <w:r w:rsidR="000707E5">
        <w:tab/>
      </w:r>
      <w:r w:rsidR="000707E5" w:rsidRPr="007500A5">
        <w:t>Future directions in performance reporting</w:t>
      </w:r>
      <w:bookmarkEnd w:id="43"/>
      <w:bookmarkEnd w:id="44"/>
      <w:bookmarkEnd w:id="45"/>
    </w:p>
    <w:p w:rsidR="00EB649D" w:rsidRPr="00587B7C" w:rsidRDefault="000707E5" w:rsidP="008D5D8E">
      <w:pPr>
        <w:pStyle w:val="BodyText"/>
      </w:pPr>
      <w:r w:rsidRPr="003F5A83">
        <w:t xml:space="preserve">The </w:t>
      </w:r>
      <w:r>
        <w:t>Steering Committee</w:t>
      </w:r>
      <w:r w:rsidRPr="003F5A83">
        <w:t xml:space="preserve"> will </w:t>
      </w:r>
      <w:r w:rsidRPr="00D17AA6">
        <w:t xml:space="preserve">continue to improve the appropriateness and completeness of the performance indicator framework. </w:t>
      </w:r>
      <w:r w:rsidR="00EB649D">
        <w:t xml:space="preserve">For homelessness services, </w:t>
      </w:r>
      <w:r w:rsidR="008D5D8E">
        <w:t xml:space="preserve">the Steering Committee will investigate </w:t>
      </w:r>
      <w:r w:rsidR="00EB649D">
        <w:t xml:space="preserve">the impact of central intake services on data comparability </w:t>
      </w:r>
      <w:r w:rsidR="008D5D8E">
        <w:t xml:space="preserve">across homelessness performance indicators </w:t>
      </w:r>
      <w:r w:rsidR="00EB649D">
        <w:t xml:space="preserve">and </w:t>
      </w:r>
      <w:r w:rsidR="008D5D8E">
        <w:t xml:space="preserve">consider options to improve reporting for </w:t>
      </w:r>
      <w:r w:rsidR="00EB649D">
        <w:t>affected indicators</w:t>
      </w:r>
      <w:r w:rsidR="008D5D8E">
        <w:t>.</w:t>
      </w:r>
    </w:p>
    <w:p w:rsidR="000707E5" w:rsidRDefault="007A5581" w:rsidP="000707E5">
      <w:pPr>
        <w:pStyle w:val="Heading2"/>
      </w:pPr>
      <w:bookmarkStart w:id="46" w:name="_Toc309313620"/>
      <w:bookmarkStart w:id="47" w:name="_Toc341801420"/>
      <w:bookmarkStart w:id="48" w:name="_Toc429075903"/>
      <w:r>
        <w:t>18.</w:t>
      </w:r>
      <w:r w:rsidR="007A3D6D">
        <w:rPr>
          <w:noProof/>
        </w:rPr>
        <w:t>5</w:t>
      </w:r>
      <w:r w:rsidR="000707E5">
        <w:tab/>
      </w:r>
      <w:r w:rsidR="000707E5" w:rsidRPr="00CB4E91">
        <w:t>Definitions of key terms</w:t>
      </w:r>
      <w:bookmarkEnd w:id="46"/>
      <w:bookmarkEnd w:id="47"/>
      <w:bookmarkEnd w:id="48"/>
    </w:p>
    <w:p w:rsidR="000707E5" w:rsidRPr="00C40C3C" w:rsidRDefault="000707E5" w:rsidP="000707E5">
      <w:pPr>
        <w:pStyle w:val="Space"/>
      </w:pPr>
    </w:p>
    <w:tbl>
      <w:tblPr>
        <w:tblW w:w="0" w:type="auto"/>
        <w:tblInd w:w="108" w:type="dxa"/>
        <w:tblLayout w:type="fixed"/>
        <w:tblLook w:val="0000" w:firstRow="0" w:lastRow="0" w:firstColumn="0" w:lastColumn="0" w:noHBand="0" w:noVBand="0"/>
      </w:tblPr>
      <w:tblGrid>
        <w:gridCol w:w="1701"/>
        <w:gridCol w:w="7088"/>
      </w:tblGrid>
      <w:tr w:rsidR="000707E5" w:rsidRPr="00CD7195" w:rsidTr="00094389">
        <w:tc>
          <w:tcPr>
            <w:tcW w:w="1701" w:type="dxa"/>
            <w:shd w:val="clear" w:color="auto" w:fill="auto"/>
          </w:tcPr>
          <w:p w:rsidR="000707E5" w:rsidRPr="00690ED2" w:rsidRDefault="000707E5" w:rsidP="00094389">
            <w:pPr>
              <w:pStyle w:val="Box"/>
              <w:jc w:val="left"/>
              <w:rPr>
                <w:b/>
              </w:rPr>
            </w:pPr>
            <w:r w:rsidRPr="00690ED2">
              <w:rPr>
                <w:b/>
              </w:rPr>
              <w:t>Age</w:t>
            </w:r>
          </w:p>
        </w:tc>
        <w:tc>
          <w:tcPr>
            <w:tcW w:w="7088" w:type="dxa"/>
            <w:shd w:val="clear" w:color="auto" w:fill="auto"/>
          </w:tcPr>
          <w:p w:rsidR="000707E5" w:rsidRPr="00CD7195" w:rsidRDefault="000707E5" w:rsidP="00094389">
            <w:pPr>
              <w:pStyle w:val="Box"/>
              <w:spacing w:line="240" w:lineRule="auto"/>
            </w:pPr>
            <w:r w:rsidRPr="00CD7195">
              <w:t>Age is calculated as age of the client on the start date of their first support period of the reporting period or the first date of the reporting period, whichever of the two is the later date.</w:t>
            </w:r>
          </w:p>
        </w:tc>
      </w:tr>
      <w:tr w:rsidR="000707E5" w:rsidRPr="00CD7195" w:rsidTr="00094389">
        <w:tc>
          <w:tcPr>
            <w:tcW w:w="1701" w:type="dxa"/>
            <w:shd w:val="clear" w:color="auto" w:fill="auto"/>
          </w:tcPr>
          <w:p w:rsidR="000707E5" w:rsidRPr="00690ED2" w:rsidRDefault="000707E5" w:rsidP="00094389">
            <w:pPr>
              <w:pStyle w:val="Box"/>
              <w:jc w:val="left"/>
              <w:rPr>
                <w:b/>
              </w:rPr>
            </w:pPr>
            <w:r w:rsidRPr="00954BC6">
              <w:rPr>
                <w:b/>
              </w:rPr>
              <w:t>Client</w:t>
            </w:r>
          </w:p>
        </w:tc>
        <w:tc>
          <w:tcPr>
            <w:tcW w:w="7088" w:type="dxa"/>
            <w:shd w:val="clear" w:color="auto" w:fill="auto"/>
          </w:tcPr>
          <w:p w:rsidR="000707E5" w:rsidRPr="00954BC6" w:rsidRDefault="000707E5" w:rsidP="00094389">
            <w:pPr>
              <w:pStyle w:val="Box"/>
              <w:spacing w:line="240" w:lineRule="auto"/>
            </w:pPr>
            <w:r w:rsidRPr="00954BC6">
              <w:t>A person who receives a specialist homelessness service. A client can be of any age.</w:t>
            </w:r>
          </w:p>
          <w:p w:rsidR="000707E5" w:rsidRDefault="000707E5" w:rsidP="00094389">
            <w:pPr>
              <w:pStyle w:val="Box"/>
              <w:spacing w:line="240" w:lineRule="auto"/>
            </w:pPr>
            <w:r w:rsidRPr="00954BC6">
              <w:t xml:space="preserve">To be a client, the person must directly receive a service and not just be a beneficiary of a service. Children who present with a parent or guardian and receive a service are considered to be a client. This includes a service that they share with their parent or guardian </w:t>
            </w:r>
            <w:r>
              <w:t>such as meals or accommodation.</w:t>
            </w:r>
          </w:p>
          <w:p w:rsidR="000707E5" w:rsidRPr="00CD7195" w:rsidRDefault="000707E5" w:rsidP="00094389">
            <w:pPr>
              <w:pStyle w:val="Box"/>
              <w:spacing w:line="240" w:lineRule="auto"/>
            </w:pPr>
            <w:r w:rsidRPr="00954BC6">
              <w:t>Children who present with a parent or guardian but do not directly receive a service are not considered to be clients. This includes situations where the parent or guardian receives assistance to prevent tenancy failure or eviction.</w:t>
            </w:r>
          </w:p>
        </w:tc>
      </w:tr>
      <w:tr w:rsidR="000707E5" w:rsidRPr="00CD7195" w:rsidTr="00094389">
        <w:tc>
          <w:tcPr>
            <w:tcW w:w="1701" w:type="dxa"/>
            <w:shd w:val="clear" w:color="auto" w:fill="auto"/>
          </w:tcPr>
          <w:p w:rsidR="000707E5" w:rsidRPr="00690ED2" w:rsidRDefault="000707E5" w:rsidP="00094389">
            <w:pPr>
              <w:pStyle w:val="Box"/>
              <w:jc w:val="left"/>
              <w:rPr>
                <w:b/>
              </w:rPr>
            </w:pPr>
          </w:p>
        </w:tc>
        <w:tc>
          <w:tcPr>
            <w:tcW w:w="7088" w:type="dxa"/>
            <w:shd w:val="clear" w:color="auto" w:fill="auto"/>
          </w:tcPr>
          <w:p w:rsidR="000707E5" w:rsidRPr="00954BC6" w:rsidRDefault="000707E5" w:rsidP="00094389">
            <w:pPr>
              <w:pStyle w:val="Box"/>
            </w:pPr>
            <w:r w:rsidRPr="00954BC6">
              <w:t>Clients can be counted differently according to the data item that is being reported:</w:t>
            </w:r>
          </w:p>
          <w:p w:rsidR="000707E5" w:rsidRPr="00CD7195" w:rsidRDefault="000707E5" w:rsidP="00094389">
            <w:pPr>
              <w:pStyle w:val="BoxListBullet"/>
              <w:spacing w:line="240" w:lineRule="auto"/>
            </w:pPr>
            <w:r w:rsidRPr="00CD7195">
              <w:t>Clients (demographic)—For clients with multiple support periods, reported data is determined based on the information at the start date of the client’s first support period in the reporting period or the first date of the reporting period, whichever is later</w:t>
            </w:r>
          </w:p>
          <w:p w:rsidR="000707E5" w:rsidRPr="00CD7195" w:rsidRDefault="000707E5" w:rsidP="00094389">
            <w:pPr>
              <w:pStyle w:val="BoxListBullet"/>
              <w:spacing w:line="240" w:lineRule="auto"/>
            </w:pPr>
            <w:r w:rsidRPr="00CD7195">
              <w:t>Clients (counted by support periods)—For each data item, clients are counted based on support periods with distinct client information. The same client can be counted more than once if they have multiple support periods with a different response for the data item. The result is that percentages do not add up to 100</w:t>
            </w:r>
          </w:p>
          <w:p w:rsidR="000707E5" w:rsidRPr="00CD7195" w:rsidRDefault="000707E5" w:rsidP="00094389">
            <w:pPr>
              <w:pStyle w:val="BoxListBullet"/>
              <w:spacing w:line="240" w:lineRule="auto"/>
            </w:pPr>
            <w:r w:rsidRPr="00CD7195">
              <w:t>Clients (outcomes) – Clients are counted based on closed support periods where a valid response is recorded both when presenting to an agency and at the end of support.</w:t>
            </w:r>
          </w:p>
        </w:tc>
      </w:tr>
      <w:tr w:rsidR="000707E5" w:rsidRPr="00CD7195" w:rsidTr="00094389">
        <w:tc>
          <w:tcPr>
            <w:tcW w:w="1701" w:type="dxa"/>
            <w:shd w:val="clear" w:color="auto" w:fill="auto"/>
          </w:tcPr>
          <w:p w:rsidR="000707E5" w:rsidRPr="00690ED2" w:rsidRDefault="000707E5" w:rsidP="00094389">
            <w:pPr>
              <w:pStyle w:val="Box"/>
              <w:jc w:val="left"/>
              <w:rPr>
                <w:b/>
              </w:rPr>
            </w:pPr>
            <w:r w:rsidRPr="00690ED2">
              <w:rPr>
                <w:b/>
              </w:rPr>
              <w:t>Closed support period</w:t>
            </w:r>
          </w:p>
        </w:tc>
        <w:tc>
          <w:tcPr>
            <w:tcW w:w="7088" w:type="dxa"/>
            <w:shd w:val="clear" w:color="auto" w:fill="auto"/>
          </w:tcPr>
          <w:p w:rsidR="000707E5" w:rsidRPr="00CD7195" w:rsidRDefault="000707E5" w:rsidP="00094389">
            <w:pPr>
              <w:keepNext/>
              <w:keepLines/>
              <w:spacing w:before="120" w:after="120" w:line="220" w:lineRule="atLeast"/>
              <w:ind w:left="6" w:right="113"/>
              <w:rPr>
                <w:rFonts w:ascii="Arial" w:hAnsi="Arial"/>
                <w:sz w:val="20"/>
                <w:szCs w:val="20"/>
              </w:rPr>
            </w:pPr>
            <w:r w:rsidRPr="00CD7195">
              <w:rPr>
                <w:rFonts w:ascii="Arial" w:hAnsi="Arial"/>
                <w:sz w:val="20"/>
                <w:szCs w:val="20"/>
              </w:rPr>
              <w:t>A support period that had finished on or before the end of the reporting period.</w:t>
            </w:r>
          </w:p>
        </w:tc>
      </w:tr>
      <w:tr w:rsidR="000707E5" w:rsidRPr="00CB4E91" w:rsidTr="00094389">
        <w:trPr>
          <w:trHeight w:val="584"/>
        </w:trPr>
        <w:tc>
          <w:tcPr>
            <w:tcW w:w="1701" w:type="dxa"/>
            <w:shd w:val="clear" w:color="auto" w:fill="auto"/>
          </w:tcPr>
          <w:p w:rsidR="000707E5" w:rsidRPr="00690ED2" w:rsidRDefault="000707E5" w:rsidP="00094389">
            <w:pPr>
              <w:pStyle w:val="Box"/>
              <w:jc w:val="left"/>
              <w:rPr>
                <w:b/>
              </w:rPr>
            </w:pPr>
            <w:r w:rsidRPr="00690ED2">
              <w:rPr>
                <w:b/>
              </w:rPr>
              <w:t>Comparability</w:t>
            </w:r>
          </w:p>
        </w:tc>
        <w:tc>
          <w:tcPr>
            <w:tcW w:w="7088" w:type="dxa"/>
            <w:shd w:val="clear" w:color="auto" w:fill="auto"/>
          </w:tcPr>
          <w:p w:rsidR="000707E5" w:rsidRPr="00CD7195" w:rsidRDefault="000707E5" w:rsidP="00094389">
            <w:pPr>
              <w:pStyle w:val="Box"/>
              <w:spacing w:line="240" w:lineRule="auto"/>
            </w:pPr>
            <w:r w:rsidRPr="00CD7195">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0707E5" w:rsidRPr="00CB4E91" w:rsidTr="00094389">
        <w:trPr>
          <w:trHeight w:val="584"/>
        </w:trPr>
        <w:tc>
          <w:tcPr>
            <w:tcW w:w="1701" w:type="dxa"/>
            <w:shd w:val="clear" w:color="auto" w:fill="auto"/>
          </w:tcPr>
          <w:p w:rsidR="000707E5" w:rsidRPr="00690ED2" w:rsidRDefault="000707E5" w:rsidP="00094389">
            <w:pPr>
              <w:pStyle w:val="Box"/>
              <w:jc w:val="left"/>
              <w:rPr>
                <w:b/>
              </w:rPr>
            </w:pPr>
            <w:r w:rsidRPr="00690ED2">
              <w:rPr>
                <w:b/>
              </w:rPr>
              <w:t>Completeness</w:t>
            </w:r>
          </w:p>
        </w:tc>
        <w:tc>
          <w:tcPr>
            <w:tcW w:w="7088" w:type="dxa"/>
            <w:shd w:val="clear" w:color="auto" w:fill="auto"/>
          </w:tcPr>
          <w:p w:rsidR="000707E5" w:rsidRPr="00CD7195" w:rsidRDefault="000707E5" w:rsidP="00094389">
            <w:pPr>
              <w:pStyle w:val="Box"/>
              <w:spacing w:line="240" w:lineRule="auto"/>
            </w:pPr>
            <w:r w:rsidRPr="00CD7195">
              <w:t>Data are considered complete if all required data are available for all jurisdictions that provide the service</w:t>
            </w:r>
          </w:p>
        </w:tc>
      </w:tr>
    </w:tbl>
    <w:p w:rsidR="000707E5" w:rsidRDefault="000707E5" w:rsidP="000707E5"/>
    <w:tbl>
      <w:tblPr>
        <w:tblW w:w="0" w:type="auto"/>
        <w:tblInd w:w="108" w:type="dxa"/>
        <w:tblLayout w:type="fixed"/>
        <w:tblLook w:val="0000" w:firstRow="0" w:lastRow="0" w:firstColumn="0" w:lastColumn="0" w:noHBand="0" w:noVBand="0"/>
      </w:tblPr>
      <w:tblGrid>
        <w:gridCol w:w="1843"/>
        <w:gridCol w:w="6946"/>
      </w:tblGrid>
      <w:tr w:rsidR="000707E5" w:rsidRPr="00CB4E91" w:rsidTr="008D5D8E">
        <w:trPr>
          <w:trHeight w:val="584"/>
        </w:trPr>
        <w:tc>
          <w:tcPr>
            <w:tcW w:w="1843" w:type="dxa"/>
            <w:shd w:val="clear" w:color="auto" w:fill="auto"/>
          </w:tcPr>
          <w:p w:rsidR="000707E5" w:rsidRPr="00690ED2" w:rsidRDefault="000707E5" w:rsidP="00094389">
            <w:pPr>
              <w:pStyle w:val="Box"/>
              <w:jc w:val="left"/>
              <w:rPr>
                <w:b/>
              </w:rPr>
            </w:pPr>
            <w:r w:rsidRPr="00690ED2">
              <w:rPr>
                <w:b/>
              </w:rPr>
              <w:lastRenderedPageBreak/>
              <w:t>Disability</w:t>
            </w:r>
          </w:p>
        </w:tc>
        <w:tc>
          <w:tcPr>
            <w:tcW w:w="6946" w:type="dxa"/>
            <w:shd w:val="clear" w:color="auto" w:fill="auto"/>
          </w:tcPr>
          <w:p w:rsidR="000707E5" w:rsidRPr="00CD7195" w:rsidRDefault="000707E5" w:rsidP="00094389">
            <w:pPr>
              <w:pStyle w:val="Box"/>
              <w:spacing w:line="240" w:lineRule="auto"/>
            </w:pPr>
            <w:proofErr w:type="spellStart"/>
            <w:r w:rsidRPr="00CD7195">
              <w:t>SHS</w:t>
            </w:r>
            <w:proofErr w:type="spellEnd"/>
            <w:r w:rsidRPr="00CD7195">
              <w:t xml:space="preserve"> clients who have identified as having a long-term health condition or disability who need assistance with core activities (including needing assistance with self-care, mobility or communication).</w:t>
            </w:r>
          </w:p>
          <w:p w:rsidR="000707E5" w:rsidRPr="00CD7195" w:rsidRDefault="000707E5" w:rsidP="00094389">
            <w:pPr>
              <w:pStyle w:val="Box"/>
              <w:spacing w:line="240" w:lineRule="auto"/>
            </w:pPr>
            <w:r w:rsidRPr="00CD7195">
              <w:t xml:space="preserve">From July 2013, the </w:t>
            </w:r>
            <w:proofErr w:type="spellStart"/>
            <w:r w:rsidRPr="00CD7195">
              <w:t>SHSC</w:t>
            </w:r>
            <w:proofErr w:type="spellEnd"/>
            <w:r w:rsidRPr="00CD7195">
              <w:t xml:space="preserve"> collects information on whether, and to what extent, a long-term health condition or disability restricts clients’ everyday activities across the following three life areas</w:t>
            </w:r>
            <w:r>
              <w:t xml:space="preserve"> and they need help/supervision with these tasks</w:t>
            </w:r>
            <w:r w:rsidRPr="00CD7195">
              <w:t xml:space="preserve">: </w:t>
            </w:r>
          </w:p>
          <w:p w:rsidR="000707E5" w:rsidRDefault="000707E5" w:rsidP="008D5D8E">
            <w:pPr>
              <w:pStyle w:val="BoxListBullet"/>
              <w:spacing w:before="60" w:line="240" w:lineRule="auto"/>
            </w:pPr>
            <w:r w:rsidRPr="00CD7195">
              <w:t xml:space="preserve">self-care </w:t>
            </w:r>
          </w:p>
          <w:p w:rsidR="000707E5" w:rsidRPr="00CD7195" w:rsidRDefault="000707E5" w:rsidP="008D5D8E">
            <w:pPr>
              <w:pStyle w:val="BoxListBullet"/>
              <w:spacing w:before="60" w:line="240" w:lineRule="auto"/>
            </w:pPr>
            <w:r w:rsidRPr="00CD7195">
              <w:t xml:space="preserve">mobility </w:t>
            </w:r>
          </w:p>
          <w:p w:rsidR="000707E5" w:rsidRPr="00CD7195" w:rsidRDefault="000707E5" w:rsidP="008D5D8E">
            <w:pPr>
              <w:pStyle w:val="BoxListBullet"/>
              <w:spacing w:before="60" w:line="240" w:lineRule="auto"/>
            </w:pPr>
            <w:r w:rsidRPr="00CD7195">
              <w:t>communication.</w:t>
            </w:r>
          </w:p>
          <w:p w:rsidR="000707E5" w:rsidRPr="00CD7195" w:rsidRDefault="000707E5" w:rsidP="00094389">
            <w:pPr>
              <w:pStyle w:val="Box"/>
            </w:pPr>
            <w:r w:rsidRPr="00CD7195">
              <w:t>The information is consistent with data collected in the 2011 Census and the 2014 National Social Housing Survey. Questions are based on the ‘Core Activity Need for Assistance’.</w:t>
            </w:r>
          </w:p>
        </w:tc>
      </w:tr>
      <w:tr w:rsidR="000707E5" w:rsidRPr="00CB4E91" w:rsidTr="008D5D8E">
        <w:tc>
          <w:tcPr>
            <w:tcW w:w="1843" w:type="dxa"/>
            <w:shd w:val="clear" w:color="auto" w:fill="auto"/>
          </w:tcPr>
          <w:p w:rsidR="000707E5" w:rsidRPr="00690ED2" w:rsidRDefault="000707E5" w:rsidP="00094389">
            <w:pPr>
              <w:pStyle w:val="Box"/>
              <w:jc w:val="left"/>
              <w:rPr>
                <w:b/>
              </w:rPr>
            </w:pPr>
            <w:r w:rsidRPr="00690ED2">
              <w:rPr>
                <w:b/>
                <w:bCs/>
              </w:rPr>
              <w:t>No tenure</w:t>
            </w:r>
          </w:p>
        </w:tc>
        <w:tc>
          <w:tcPr>
            <w:tcW w:w="6946" w:type="dxa"/>
            <w:shd w:val="clear" w:color="auto" w:fill="auto"/>
          </w:tcPr>
          <w:p w:rsidR="000707E5" w:rsidRPr="00954BC6" w:rsidRDefault="000707E5" w:rsidP="00094389">
            <w:pPr>
              <w:pStyle w:val="Box"/>
            </w:pPr>
            <w:r w:rsidRPr="00954BC6">
              <w:t>A type of housing tenure recorded for clients who are sleeping rough or do not have a legal right to occupy a dwelling and may be asked to leave at any time. It includes couch surfing, living in an institutional setting, living on the streets, sleeping in parks, squatting, using cars or railway carriages, improvised dwellings or living in long grass.</w:t>
            </w:r>
          </w:p>
        </w:tc>
      </w:tr>
      <w:tr w:rsidR="000707E5" w:rsidRPr="00CB4E91" w:rsidTr="008D5D8E">
        <w:tc>
          <w:tcPr>
            <w:tcW w:w="1843" w:type="dxa"/>
            <w:shd w:val="clear" w:color="auto" w:fill="auto"/>
          </w:tcPr>
          <w:p w:rsidR="000707E5" w:rsidRPr="00690ED2" w:rsidRDefault="000707E5" w:rsidP="00094389">
            <w:pPr>
              <w:pStyle w:val="Box"/>
              <w:jc w:val="left"/>
              <w:rPr>
                <w:b/>
              </w:rPr>
            </w:pPr>
            <w:r w:rsidRPr="00690ED2">
              <w:rPr>
                <w:b/>
                <w:bCs/>
              </w:rPr>
              <w:t>Non</w:t>
            </w:r>
            <w:r>
              <w:rPr>
                <w:b/>
                <w:bCs/>
              </w:rPr>
              <w:noBreakHyphen/>
            </w:r>
            <w:r w:rsidR="008D5D8E">
              <w:rPr>
                <w:b/>
                <w:bCs/>
              </w:rPr>
              <w:br/>
            </w:r>
            <w:r w:rsidRPr="00690ED2">
              <w:rPr>
                <w:b/>
                <w:bCs/>
              </w:rPr>
              <w:t>conventional accommodation</w:t>
            </w:r>
          </w:p>
        </w:tc>
        <w:tc>
          <w:tcPr>
            <w:tcW w:w="6946" w:type="dxa"/>
            <w:shd w:val="clear" w:color="auto" w:fill="auto"/>
          </w:tcPr>
          <w:p w:rsidR="000707E5" w:rsidRDefault="000707E5" w:rsidP="00094389">
            <w:pPr>
              <w:pStyle w:val="Box"/>
            </w:pPr>
            <w:r w:rsidRPr="00CD7195">
              <w:t>Non</w:t>
            </w:r>
            <w:r>
              <w:noBreakHyphen/>
            </w:r>
            <w:r w:rsidRPr="00954BC6">
              <w:t>conventional</w:t>
            </w:r>
            <w:r w:rsidRPr="00CD7195">
              <w:t xml:space="preserve"> accommodation is defined as:</w:t>
            </w:r>
          </w:p>
          <w:tbl>
            <w:tblPr>
              <w:tblStyle w:val="TableGrid"/>
              <w:tblW w:w="63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More details can be found within the text surrounding this image."/>
            </w:tblPr>
            <w:tblGrid>
              <w:gridCol w:w="2552"/>
              <w:gridCol w:w="3846"/>
            </w:tblGrid>
            <w:tr w:rsidR="000707E5" w:rsidTr="00094389">
              <w:tc>
                <w:tcPr>
                  <w:tcW w:w="2552" w:type="dxa"/>
                </w:tcPr>
                <w:p w:rsidR="000707E5" w:rsidRPr="00954BC6" w:rsidRDefault="000707E5" w:rsidP="008D5D8E">
                  <w:pPr>
                    <w:pStyle w:val="BoxListBullet"/>
                    <w:spacing w:before="60"/>
                  </w:pPr>
                  <w:r w:rsidRPr="00954BC6">
                    <w:t>living on the streets</w:t>
                  </w:r>
                </w:p>
                <w:p w:rsidR="000707E5" w:rsidRPr="00954BC6" w:rsidRDefault="000707E5" w:rsidP="008D5D8E">
                  <w:pPr>
                    <w:pStyle w:val="BoxListBullet"/>
                    <w:spacing w:before="60"/>
                  </w:pPr>
                  <w:r w:rsidRPr="00954BC6">
                    <w:t>sleeping in parks</w:t>
                  </w:r>
                </w:p>
                <w:p w:rsidR="000707E5" w:rsidRDefault="000707E5" w:rsidP="008D5D8E">
                  <w:pPr>
                    <w:pStyle w:val="BoxListBullet"/>
                    <w:spacing w:before="60"/>
                  </w:pPr>
                  <w:r>
                    <w:t>squatting</w:t>
                  </w:r>
                </w:p>
              </w:tc>
              <w:tc>
                <w:tcPr>
                  <w:tcW w:w="3846" w:type="dxa"/>
                </w:tcPr>
                <w:p w:rsidR="000707E5" w:rsidRPr="00954BC6" w:rsidRDefault="000707E5" w:rsidP="008D5D8E">
                  <w:pPr>
                    <w:pStyle w:val="BoxListBullet"/>
                    <w:spacing w:before="60"/>
                  </w:pPr>
                  <w:r w:rsidRPr="00954BC6">
                    <w:t>staying in cars or railway carriages</w:t>
                  </w:r>
                </w:p>
                <w:p w:rsidR="000707E5" w:rsidRDefault="000707E5" w:rsidP="008D5D8E">
                  <w:pPr>
                    <w:pStyle w:val="BoxListBullet"/>
                    <w:spacing w:before="60"/>
                  </w:pPr>
                  <w:r w:rsidRPr="00954BC6">
                    <w:t>living in improvised dwellings</w:t>
                  </w:r>
                </w:p>
                <w:p w:rsidR="000707E5" w:rsidRDefault="000707E5" w:rsidP="008D5D8E">
                  <w:pPr>
                    <w:pStyle w:val="BoxListBullet"/>
                    <w:spacing w:before="60"/>
                  </w:pPr>
                  <w:r w:rsidRPr="00954BC6">
                    <w:t>living in long grass.</w:t>
                  </w:r>
                </w:p>
              </w:tc>
            </w:tr>
          </w:tbl>
          <w:p w:rsidR="000707E5" w:rsidRPr="00CD7195" w:rsidRDefault="000707E5" w:rsidP="00094389">
            <w:pPr>
              <w:pStyle w:val="BoxListBullet"/>
              <w:numPr>
                <w:ilvl w:val="0"/>
                <w:numId w:val="0"/>
              </w:numPr>
              <w:ind w:left="284"/>
            </w:pPr>
          </w:p>
        </w:tc>
      </w:tr>
      <w:tr w:rsidR="006E3B63" w:rsidRPr="00CB4E91" w:rsidTr="008D5D8E">
        <w:tc>
          <w:tcPr>
            <w:tcW w:w="1843" w:type="dxa"/>
            <w:shd w:val="clear" w:color="auto" w:fill="auto"/>
          </w:tcPr>
          <w:p w:rsidR="006E3B63" w:rsidRPr="006E3B63" w:rsidRDefault="006E3B63" w:rsidP="006E3B63">
            <w:pPr>
              <w:pStyle w:val="Box"/>
              <w:ind w:right="-108"/>
              <w:jc w:val="left"/>
              <w:rPr>
                <w:b/>
                <w:bCs/>
              </w:rPr>
            </w:pPr>
            <w:r w:rsidRPr="006E3B63">
              <w:rPr>
                <w:b/>
              </w:rPr>
              <w:t>Non-main English speak countries (non</w:t>
            </w:r>
            <w:r w:rsidRPr="006E3B63">
              <w:rPr>
                <w:b/>
              </w:rPr>
              <w:noBreakHyphen/>
              <w:t>MESC)</w:t>
            </w:r>
          </w:p>
        </w:tc>
        <w:tc>
          <w:tcPr>
            <w:tcW w:w="6946" w:type="dxa"/>
            <w:shd w:val="clear" w:color="auto" w:fill="auto"/>
          </w:tcPr>
          <w:p w:rsidR="006E3B63" w:rsidRPr="00CD7195" w:rsidRDefault="006E3B63" w:rsidP="006E3B63">
            <w:pPr>
              <w:pStyle w:val="Box"/>
            </w:pPr>
            <w:r w:rsidRPr="006E3B63">
              <w:t>Non</w:t>
            </w:r>
            <w:r>
              <w:noBreakHyphen/>
            </w:r>
            <w:r w:rsidRPr="006E3B63">
              <w:t>MESC are all countries except Australia, United Kingdom, Republic of Ireland, New Zealand, Canada, United States of America and South Africa.</w:t>
            </w:r>
          </w:p>
        </w:tc>
      </w:tr>
      <w:tr w:rsidR="000707E5" w:rsidRPr="00CB4E91" w:rsidTr="008D5D8E">
        <w:tc>
          <w:tcPr>
            <w:tcW w:w="1843" w:type="dxa"/>
            <w:shd w:val="clear" w:color="auto" w:fill="auto"/>
          </w:tcPr>
          <w:p w:rsidR="000707E5" w:rsidRPr="00690ED2" w:rsidRDefault="000707E5" w:rsidP="00094389">
            <w:pPr>
              <w:pStyle w:val="Box"/>
              <w:jc w:val="left"/>
              <w:rPr>
                <w:b/>
              </w:rPr>
            </w:pPr>
            <w:r w:rsidRPr="00690ED2">
              <w:rPr>
                <w:b/>
                <w:bCs/>
              </w:rPr>
              <w:t>Ongoing support period</w:t>
            </w:r>
          </w:p>
        </w:tc>
        <w:tc>
          <w:tcPr>
            <w:tcW w:w="6946" w:type="dxa"/>
            <w:shd w:val="clear" w:color="auto" w:fill="auto"/>
          </w:tcPr>
          <w:p w:rsidR="000707E5" w:rsidRPr="00CD7195" w:rsidRDefault="000707E5" w:rsidP="00094389">
            <w:pPr>
              <w:pStyle w:val="Box"/>
            </w:pPr>
            <w:r w:rsidRPr="00CD7195">
              <w:t>A support period is considered ongoing at the end of the reporting</w:t>
            </w:r>
            <w:r>
              <w:t xml:space="preserve"> </w:t>
            </w:r>
            <w:r w:rsidRPr="00CD7195">
              <w:t>period if each of the following conditions is met:</w:t>
            </w:r>
          </w:p>
          <w:p w:rsidR="000707E5" w:rsidRPr="00954BC6" w:rsidRDefault="000707E5" w:rsidP="008D5D8E">
            <w:pPr>
              <w:pStyle w:val="BoxListBullet"/>
              <w:spacing w:before="60"/>
            </w:pPr>
            <w:r w:rsidRPr="00954BC6">
              <w:t>no support end</w:t>
            </w:r>
            <w:r>
              <w:noBreakHyphen/>
            </w:r>
            <w:r w:rsidRPr="00954BC6">
              <w:t>date is provided</w:t>
            </w:r>
          </w:p>
          <w:p w:rsidR="000707E5" w:rsidRPr="00954BC6" w:rsidRDefault="000707E5" w:rsidP="008D5D8E">
            <w:pPr>
              <w:pStyle w:val="BoxListBullet"/>
              <w:spacing w:before="60"/>
            </w:pPr>
            <w:r w:rsidRPr="00954BC6">
              <w:t>no after</w:t>
            </w:r>
            <w:r>
              <w:noBreakHyphen/>
            </w:r>
            <w:r w:rsidRPr="00954BC6">
              <w:t>support information is provided</w:t>
            </w:r>
          </w:p>
          <w:p w:rsidR="000707E5" w:rsidRPr="00CD7195" w:rsidRDefault="000707E5" w:rsidP="008D5D8E">
            <w:pPr>
              <w:pStyle w:val="BoxListBullet"/>
              <w:spacing w:before="60"/>
            </w:pPr>
            <w:r w:rsidRPr="00954BC6">
              <w:t>corresponding client data was received in the month following the end of the reporting period.</w:t>
            </w:r>
          </w:p>
        </w:tc>
      </w:tr>
      <w:tr w:rsidR="000707E5" w:rsidRPr="00CB4E91" w:rsidTr="008D5D8E">
        <w:tc>
          <w:tcPr>
            <w:tcW w:w="1843" w:type="dxa"/>
            <w:shd w:val="clear" w:color="auto" w:fill="auto"/>
          </w:tcPr>
          <w:p w:rsidR="000707E5" w:rsidRPr="00954BC6" w:rsidRDefault="000707E5" w:rsidP="00094389">
            <w:pPr>
              <w:pStyle w:val="Box"/>
              <w:jc w:val="left"/>
              <w:rPr>
                <w:b/>
                <w:bCs/>
              </w:rPr>
            </w:pPr>
            <w:r w:rsidRPr="00954BC6">
              <w:rPr>
                <w:b/>
                <w:bCs/>
              </w:rPr>
              <w:t>Real expenditure</w:t>
            </w:r>
          </w:p>
        </w:tc>
        <w:tc>
          <w:tcPr>
            <w:tcW w:w="6946" w:type="dxa"/>
            <w:shd w:val="clear" w:color="auto" w:fill="auto"/>
          </w:tcPr>
          <w:p w:rsidR="000707E5" w:rsidRPr="00954BC6" w:rsidRDefault="000707E5" w:rsidP="00094389">
            <w:pPr>
              <w:pStyle w:val="Box"/>
            </w:pPr>
            <w:r w:rsidRPr="00954BC6">
              <w:t>Actual expenditure adjusted for changes in prices. Adjustments are made using the General Government Final Consumption Expenditure (</w:t>
            </w:r>
            <w:proofErr w:type="spellStart"/>
            <w:r w:rsidRPr="00954BC6">
              <w:t>GGFCE</w:t>
            </w:r>
            <w:proofErr w:type="spellEnd"/>
            <w:r w:rsidRPr="00954BC6">
              <w:t>) chain price deflator (2014</w:t>
            </w:r>
            <w:r w:rsidRPr="00954BC6">
              <w:noBreakHyphen/>
              <w:t>15=100).</w:t>
            </w:r>
          </w:p>
        </w:tc>
      </w:tr>
      <w:tr w:rsidR="000707E5" w:rsidRPr="00CB4E91" w:rsidTr="008D5D8E">
        <w:tc>
          <w:tcPr>
            <w:tcW w:w="1843" w:type="dxa"/>
            <w:shd w:val="clear" w:color="auto" w:fill="auto"/>
          </w:tcPr>
          <w:p w:rsidR="000707E5" w:rsidRPr="00954BC6" w:rsidRDefault="000707E5" w:rsidP="00094389">
            <w:pPr>
              <w:pStyle w:val="Box"/>
              <w:jc w:val="left"/>
              <w:rPr>
                <w:b/>
                <w:bCs/>
              </w:rPr>
            </w:pPr>
            <w:r w:rsidRPr="00954BC6">
              <w:rPr>
                <w:b/>
                <w:bCs/>
              </w:rPr>
              <w:t>Referral</w:t>
            </w:r>
          </w:p>
        </w:tc>
        <w:tc>
          <w:tcPr>
            <w:tcW w:w="6946" w:type="dxa"/>
            <w:shd w:val="clear" w:color="auto" w:fill="auto"/>
          </w:tcPr>
          <w:p w:rsidR="000707E5" w:rsidRPr="00954BC6" w:rsidRDefault="000707E5" w:rsidP="00094389">
            <w:pPr>
              <w:pStyle w:val="Box"/>
            </w:pPr>
            <w:r w:rsidRPr="00954BC6">
              <w:t>When an agency contacts another agency and that agency accepts the person concerned for an appointment or interview. A referral is not provided if the person is not accepted for an appointment or interview.</w:t>
            </w:r>
          </w:p>
        </w:tc>
      </w:tr>
    </w:tbl>
    <w:p w:rsidR="006E3B63" w:rsidRDefault="006E3B63"/>
    <w:tbl>
      <w:tblPr>
        <w:tblW w:w="0" w:type="auto"/>
        <w:tblInd w:w="108" w:type="dxa"/>
        <w:tblLayout w:type="fixed"/>
        <w:tblLook w:val="0000" w:firstRow="0" w:lastRow="0" w:firstColumn="0" w:lastColumn="0" w:noHBand="0" w:noVBand="0"/>
      </w:tblPr>
      <w:tblGrid>
        <w:gridCol w:w="1843"/>
        <w:gridCol w:w="28"/>
        <w:gridCol w:w="6918"/>
      </w:tblGrid>
      <w:tr w:rsidR="008D5D8E" w:rsidRPr="00CB4E91" w:rsidTr="008D5D8E">
        <w:tc>
          <w:tcPr>
            <w:tcW w:w="1843" w:type="dxa"/>
            <w:shd w:val="clear" w:color="auto" w:fill="auto"/>
          </w:tcPr>
          <w:p w:rsidR="008D5D8E" w:rsidRPr="008D5D8E" w:rsidRDefault="008D5D8E" w:rsidP="001F7787">
            <w:pPr>
              <w:pStyle w:val="Box"/>
              <w:jc w:val="left"/>
              <w:rPr>
                <w:b/>
                <w:bCs/>
              </w:rPr>
            </w:pPr>
            <w:r w:rsidRPr="00690ED2">
              <w:rPr>
                <w:b/>
                <w:bCs/>
              </w:rPr>
              <w:lastRenderedPageBreak/>
              <w:t>Short</w:t>
            </w:r>
            <w:r>
              <w:rPr>
                <w:b/>
                <w:bCs/>
              </w:rPr>
              <w:noBreakHyphen/>
            </w:r>
            <w:r w:rsidRPr="00690ED2">
              <w:rPr>
                <w:b/>
                <w:bCs/>
              </w:rPr>
              <w:t>term or emergency accommodation</w:t>
            </w:r>
          </w:p>
        </w:tc>
        <w:tc>
          <w:tcPr>
            <w:tcW w:w="6946" w:type="dxa"/>
            <w:gridSpan w:val="2"/>
            <w:shd w:val="clear" w:color="auto" w:fill="auto"/>
          </w:tcPr>
          <w:p w:rsidR="008D5D8E" w:rsidRPr="00954BC6" w:rsidRDefault="008D5D8E" w:rsidP="001F7787">
            <w:pPr>
              <w:pStyle w:val="Box"/>
            </w:pPr>
            <w:r w:rsidRPr="00CD7195">
              <w:t>Short</w:t>
            </w:r>
            <w:r>
              <w:noBreakHyphen/>
            </w:r>
            <w:r w:rsidRPr="00CD7195">
              <w:t xml:space="preserve">term or </w:t>
            </w:r>
            <w:r w:rsidRPr="00954BC6">
              <w:t>emergency</w:t>
            </w:r>
            <w:r w:rsidRPr="00CD7195">
              <w:t xml:space="preserve"> accommodation</w:t>
            </w:r>
            <w:r>
              <w:t xml:space="preserve"> </w:t>
            </w:r>
            <w:r w:rsidRPr="00CD7195">
              <w:t>includes:</w:t>
            </w:r>
            <w:r>
              <w:t xml:space="preserve"> </w:t>
            </w:r>
            <w:r w:rsidRPr="00954BC6">
              <w:t>refuges</w:t>
            </w:r>
            <w:r>
              <w:t xml:space="preserve">; </w:t>
            </w:r>
            <w:r w:rsidRPr="00954BC6">
              <w:t>crisis shelter</w:t>
            </w:r>
            <w:r>
              <w:t xml:space="preserve">; </w:t>
            </w:r>
            <w:r w:rsidRPr="00954BC6">
              <w:t>couch surfing</w:t>
            </w:r>
            <w:r>
              <w:t xml:space="preserve">; </w:t>
            </w:r>
            <w:r w:rsidRPr="00954BC6">
              <w:t>living temporarily with friends and relatives</w:t>
            </w:r>
            <w:r>
              <w:t xml:space="preserve">; </w:t>
            </w:r>
            <w:r w:rsidRPr="00954BC6">
              <w:t>insecure accommodation on a short</w:t>
            </w:r>
            <w:r>
              <w:noBreakHyphen/>
            </w:r>
            <w:r w:rsidRPr="00954BC6">
              <w:t>term basis</w:t>
            </w:r>
            <w:r>
              <w:t xml:space="preserve">; and, </w:t>
            </w:r>
            <w:r w:rsidRPr="00954BC6">
              <w:t>emergency accommodation arranged by a specialist homelessness agency (e.g. in hotels, motels etc.).</w:t>
            </w:r>
          </w:p>
          <w:p w:rsidR="008D5D8E" w:rsidRPr="00CD7195" w:rsidRDefault="008D5D8E" w:rsidP="001F7787">
            <w:pPr>
              <w:pStyle w:val="Box"/>
            </w:pPr>
            <w:r w:rsidRPr="00CD7195">
              <w:t xml:space="preserve">The </w:t>
            </w:r>
            <w:r w:rsidRPr="00954BC6">
              <w:t>following</w:t>
            </w:r>
            <w:r w:rsidRPr="00CD7195">
              <w:t xml:space="preserve"> short</w:t>
            </w:r>
            <w:r>
              <w:noBreakHyphen/>
            </w:r>
            <w:r w:rsidRPr="00CD7195">
              <w:t>term accommodation options are not included:</w:t>
            </w:r>
          </w:p>
          <w:p w:rsidR="008D5D8E" w:rsidRPr="00954BC6" w:rsidRDefault="008D5D8E" w:rsidP="008D5D8E">
            <w:pPr>
              <w:pStyle w:val="BoxListBullet"/>
              <w:spacing w:before="60"/>
            </w:pPr>
            <w:r w:rsidRPr="00954BC6">
              <w:t>hotels, motels, caravan parks and other temporary accommodation used when a person is on holiday or travelling</w:t>
            </w:r>
          </w:p>
          <w:p w:rsidR="008D5D8E" w:rsidRPr="00954BC6" w:rsidRDefault="008D5D8E" w:rsidP="008D5D8E">
            <w:pPr>
              <w:pStyle w:val="BoxListBullet"/>
              <w:spacing w:before="60"/>
            </w:pPr>
            <w:r w:rsidRPr="008D5D8E">
              <w:t>custodial</w:t>
            </w:r>
            <w:r w:rsidRPr="00954BC6">
              <w:t xml:space="preserve"> and care arrangements, such as prisons and hospitals</w:t>
            </w:r>
          </w:p>
          <w:p w:rsidR="008D5D8E" w:rsidRPr="00CD7195" w:rsidRDefault="008D5D8E" w:rsidP="008D5D8E">
            <w:pPr>
              <w:pStyle w:val="BoxListBullet"/>
              <w:spacing w:before="60"/>
            </w:pPr>
            <w:r w:rsidRPr="00954BC6">
              <w:t>temporary accommodation used by a person while renovating usual residence or building a new residence (e.g. weekenders, caravans).</w:t>
            </w:r>
          </w:p>
        </w:tc>
      </w:tr>
      <w:tr w:rsidR="000707E5" w:rsidRPr="00CB4E91" w:rsidTr="00094389">
        <w:tc>
          <w:tcPr>
            <w:tcW w:w="1871" w:type="dxa"/>
            <w:gridSpan w:val="2"/>
            <w:shd w:val="clear" w:color="auto" w:fill="auto"/>
          </w:tcPr>
          <w:p w:rsidR="000707E5" w:rsidRPr="00690ED2" w:rsidRDefault="000707E5" w:rsidP="00094389">
            <w:pPr>
              <w:pStyle w:val="Box"/>
              <w:jc w:val="left"/>
              <w:rPr>
                <w:b/>
              </w:rPr>
            </w:pPr>
            <w:r w:rsidRPr="00690ED2">
              <w:rPr>
                <w:b/>
                <w:bCs/>
              </w:rPr>
              <w:t>Specialist homelessness agency</w:t>
            </w:r>
          </w:p>
        </w:tc>
        <w:tc>
          <w:tcPr>
            <w:tcW w:w="6918" w:type="dxa"/>
            <w:shd w:val="clear" w:color="auto" w:fill="auto"/>
          </w:tcPr>
          <w:p w:rsidR="000707E5" w:rsidRPr="00954BC6" w:rsidRDefault="000707E5" w:rsidP="00094389">
            <w:pPr>
              <w:pStyle w:val="Box"/>
            </w:pPr>
            <w:r w:rsidRPr="00CD7195">
              <w:t xml:space="preserve">An organisation that receives government funding to deliver specialist </w:t>
            </w:r>
            <w:r w:rsidRPr="00954BC6">
              <w:t>homelessness services. Assistance is provided to clients aimed at responding to or preventing homelessness. Agencies may also receive funding from other sources.</w:t>
            </w:r>
          </w:p>
          <w:p w:rsidR="000707E5" w:rsidRPr="00CD7195" w:rsidRDefault="000707E5" w:rsidP="00094389">
            <w:pPr>
              <w:pStyle w:val="Box"/>
              <w:spacing w:after="120"/>
            </w:pPr>
            <w:r w:rsidRPr="00954BC6">
              <w:t xml:space="preserve">Inclusion of agencies in the </w:t>
            </w:r>
            <w:proofErr w:type="spellStart"/>
            <w:r w:rsidRPr="00954BC6">
              <w:t>SHSC</w:t>
            </w:r>
            <w:proofErr w:type="spellEnd"/>
            <w:r w:rsidRPr="00954BC6">
              <w:t xml:space="preserve"> is determined by the state and territory departments responsible for administering the government response to homelessness. Not all funde</w:t>
            </w:r>
            <w:r w:rsidRPr="00CD7195">
              <w:t>d agencies are required to participate in data collection.</w:t>
            </w:r>
          </w:p>
        </w:tc>
      </w:tr>
      <w:tr w:rsidR="000707E5" w:rsidRPr="00CB4E91" w:rsidTr="00094389">
        <w:tc>
          <w:tcPr>
            <w:tcW w:w="1871" w:type="dxa"/>
            <w:gridSpan w:val="2"/>
            <w:shd w:val="clear" w:color="auto" w:fill="auto"/>
          </w:tcPr>
          <w:p w:rsidR="000707E5" w:rsidRPr="00690ED2" w:rsidRDefault="000707E5" w:rsidP="00094389">
            <w:pPr>
              <w:pStyle w:val="Box"/>
              <w:keepNext w:val="0"/>
              <w:jc w:val="left"/>
              <w:rPr>
                <w:b/>
                <w:bCs/>
              </w:rPr>
            </w:pPr>
            <w:r w:rsidRPr="00690ED2">
              <w:rPr>
                <w:b/>
                <w:bCs/>
              </w:rPr>
              <w:t>Specialist homelessness service(s)</w:t>
            </w:r>
          </w:p>
        </w:tc>
        <w:tc>
          <w:tcPr>
            <w:tcW w:w="6918" w:type="dxa"/>
            <w:shd w:val="clear" w:color="auto" w:fill="auto"/>
          </w:tcPr>
          <w:p w:rsidR="000707E5" w:rsidRPr="00CD7195" w:rsidRDefault="000707E5" w:rsidP="00094389">
            <w:pPr>
              <w:pStyle w:val="Box"/>
            </w:pPr>
            <w:r w:rsidRPr="00954BC6">
              <w:t>Assistance</w:t>
            </w:r>
            <w:r w:rsidRPr="00CD7195">
              <w:t xml:space="preserve"> provided by a specialist homelessness agency</w:t>
            </w:r>
            <w:r>
              <w:t xml:space="preserve"> </w:t>
            </w:r>
            <w:r w:rsidRPr="00CD7195">
              <w:t>to a client aimed at responding to or preventing homelessness. The specialist homelessness services that are in scope for this collection and that may be provided during a support period are:</w:t>
            </w:r>
          </w:p>
          <w:p w:rsidR="000707E5" w:rsidRPr="00CD7195" w:rsidRDefault="000707E5" w:rsidP="00094389">
            <w:pPr>
              <w:pStyle w:val="Box"/>
            </w:pPr>
            <w:r w:rsidRPr="00C84BB5">
              <w:rPr>
                <w:i/>
              </w:rPr>
              <w:t>Housing/accommodation services</w:t>
            </w:r>
            <w:r w:rsidRPr="00CD7195">
              <w:t>:</w:t>
            </w:r>
          </w:p>
          <w:p w:rsidR="000707E5" w:rsidRPr="00954BC6" w:rsidRDefault="000707E5" w:rsidP="00094389">
            <w:pPr>
              <w:pStyle w:val="BoxListBullet"/>
              <w:spacing w:before="60" w:line="240" w:lineRule="atLeast"/>
              <w:jc w:val="left"/>
            </w:pPr>
            <w:r w:rsidRPr="00954BC6">
              <w:t>short</w:t>
            </w:r>
            <w:r>
              <w:noBreakHyphen/>
            </w:r>
            <w:r w:rsidRPr="00954BC6">
              <w:t>term or emergency accommodation</w:t>
            </w:r>
          </w:p>
          <w:p w:rsidR="000707E5" w:rsidRPr="00954BC6" w:rsidRDefault="000707E5" w:rsidP="00094389">
            <w:pPr>
              <w:pStyle w:val="BoxListBullet"/>
              <w:spacing w:before="60" w:line="240" w:lineRule="atLeast"/>
              <w:jc w:val="left"/>
            </w:pPr>
            <w:r w:rsidRPr="00954BC6">
              <w:t>medium</w:t>
            </w:r>
            <w:r>
              <w:noBreakHyphen/>
            </w:r>
            <w:r w:rsidRPr="00954BC6">
              <w:t>term/transitional housing</w:t>
            </w:r>
          </w:p>
          <w:p w:rsidR="000707E5" w:rsidRPr="00954BC6" w:rsidRDefault="000707E5" w:rsidP="00094389">
            <w:pPr>
              <w:pStyle w:val="BoxListBullet"/>
              <w:spacing w:before="60" w:line="240" w:lineRule="atLeast"/>
              <w:jc w:val="left"/>
            </w:pPr>
            <w:r w:rsidRPr="00954BC6">
              <w:t>long</w:t>
            </w:r>
            <w:r>
              <w:noBreakHyphen/>
            </w:r>
            <w:r w:rsidRPr="00954BC6">
              <w:t>term housing</w:t>
            </w:r>
          </w:p>
          <w:p w:rsidR="000707E5" w:rsidRPr="00954BC6" w:rsidRDefault="000707E5" w:rsidP="00094389">
            <w:pPr>
              <w:pStyle w:val="BoxListBullet"/>
              <w:spacing w:before="60" w:line="240" w:lineRule="atLeast"/>
              <w:jc w:val="left"/>
            </w:pPr>
            <w:r w:rsidRPr="00954BC6">
              <w:t>assistance to sustain tenancy or prevent tenancy failure or eviction</w:t>
            </w:r>
          </w:p>
          <w:p w:rsidR="000707E5" w:rsidRDefault="000707E5" w:rsidP="00094389">
            <w:pPr>
              <w:pStyle w:val="BoxListBullet"/>
              <w:spacing w:before="60" w:line="240" w:lineRule="atLeast"/>
              <w:jc w:val="left"/>
            </w:pPr>
            <w:r w:rsidRPr="00954BC6">
              <w:t>assistance to prevent foreclosures or for mortgage arrears.</w:t>
            </w:r>
          </w:p>
          <w:p w:rsidR="006E3B63" w:rsidRDefault="006E3B63" w:rsidP="006E3B63">
            <w:pPr>
              <w:pStyle w:val="Box"/>
            </w:pPr>
            <w:r w:rsidRPr="00C84BB5">
              <w:rPr>
                <w:i/>
              </w:rPr>
              <w:t>Specialised services</w:t>
            </w:r>
            <w:r w:rsidRPr="00CD7195">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More details can be found within the text surrounding this image."/>
            </w:tblPr>
            <w:tblGrid>
              <w:gridCol w:w="3470"/>
              <w:gridCol w:w="3402"/>
            </w:tblGrid>
            <w:tr w:rsidR="006E3B63" w:rsidTr="00D70D08">
              <w:tc>
                <w:tcPr>
                  <w:tcW w:w="3470" w:type="dxa"/>
                  <w:shd w:val="clear" w:color="auto" w:fill="FFFFFF" w:themeFill="background1"/>
                </w:tcPr>
                <w:p w:rsidR="006E3B63" w:rsidRPr="00C84BB5" w:rsidRDefault="006E3B63" w:rsidP="00D70D08">
                  <w:pPr>
                    <w:pStyle w:val="BoxListBullet"/>
                    <w:spacing w:before="60" w:line="240" w:lineRule="atLeast"/>
                    <w:jc w:val="left"/>
                  </w:pPr>
                  <w:r w:rsidRPr="00C84BB5">
                    <w:t>child protection services</w:t>
                  </w:r>
                </w:p>
                <w:p w:rsidR="006E3B63" w:rsidRPr="00C84BB5" w:rsidRDefault="006E3B63" w:rsidP="00D70D08">
                  <w:pPr>
                    <w:pStyle w:val="BoxListBullet"/>
                    <w:spacing w:before="60" w:line="240" w:lineRule="atLeast"/>
                    <w:jc w:val="left"/>
                  </w:pPr>
                  <w:r w:rsidRPr="00C84BB5">
                    <w:t>parenting skills education</w:t>
                  </w:r>
                </w:p>
                <w:p w:rsidR="006E3B63" w:rsidRPr="00C84BB5" w:rsidRDefault="006E3B63" w:rsidP="00D70D08">
                  <w:pPr>
                    <w:pStyle w:val="BoxListBullet"/>
                    <w:spacing w:before="60" w:line="240" w:lineRule="atLeast"/>
                    <w:jc w:val="left"/>
                  </w:pPr>
                  <w:r w:rsidRPr="00C84BB5">
                    <w:t>child</w:t>
                  </w:r>
                  <w:r w:rsidRPr="00C84BB5">
                    <w:noBreakHyphen/>
                    <w:t>specific specialist counselling services</w:t>
                  </w:r>
                </w:p>
                <w:p w:rsidR="006E3B63" w:rsidRPr="00C84BB5" w:rsidRDefault="006E3B63" w:rsidP="00D70D08">
                  <w:pPr>
                    <w:pStyle w:val="BoxListBullet"/>
                    <w:spacing w:before="60" w:line="240" w:lineRule="atLeast"/>
                    <w:jc w:val="left"/>
                  </w:pPr>
                  <w:r w:rsidRPr="00C84BB5">
                    <w:t>psychological services</w:t>
                  </w:r>
                </w:p>
                <w:p w:rsidR="006E3B63" w:rsidRPr="00C84BB5" w:rsidRDefault="006E3B63" w:rsidP="00D70D08">
                  <w:pPr>
                    <w:pStyle w:val="BoxListBullet"/>
                    <w:spacing w:before="60" w:line="240" w:lineRule="atLeast"/>
                    <w:jc w:val="left"/>
                  </w:pPr>
                  <w:r w:rsidRPr="00C84BB5">
                    <w:t>psychiatric services</w:t>
                  </w:r>
                </w:p>
                <w:p w:rsidR="006E3B63" w:rsidRPr="00C84BB5" w:rsidRDefault="006E3B63" w:rsidP="00D70D08">
                  <w:pPr>
                    <w:pStyle w:val="BoxListBullet"/>
                    <w:spacing w:before="60" w:line="240" w:lineRule="atLeast"/>
                    <w:jc w:val="left"/>
                  </w:pPr>
                  <w:r w:rsidRPr="00C84BB5">
                    <w:t>mental health services</w:t>
                  </w:r>
                </w:p>
                <w:p w:rsidR="006E3B63" w:rsidRPr="00C84BB5" w:rsidRDefault="006E3B63" w:rsidP="00D70D08">
                  <w:pPr>
                    <w:pStyle w:val="BoxListBullet"/>
                    <w:spacing w:before="60" w:line="240" w:lineRule="atLeast"/>
                    <w:jc w:val="left"/>
                  </w:pPr>
                  <w:r w:rsidRPr="00C84BB5">
                    <w:t>pregnancy assistance</w:t>
                  </w:r>
                </w:p>
                <w:p w:rsidR="006E3B63" w:rsidRPr="00C84BB5" w:rsidRDefault="006E3B63" w:rsidP="00D70D08">
                  <w:pPr>
                    <w:pStyle w:val="BoxListBullet"/>
                    <w:spacing w:before="60" w:line="240" w:lineRule="atLeast"/>
                    <w:jc w:val="left"/>
                  </w:pPr>
                  <w:r w:rsidRPr="00C84BB5">
                    <w:t>family planning support</w:t>
                  </w:r>
                </w:p>
                <w:p w:rsidR="006E3B63" w:rsidRPr="00C84BB5" w:rsidRDefault="006E3B63" w:rsidP="00D70D08">
                  <w:pPr>
                    <w:pStyle w:val="BoxListBullet"/>
                    <w:spacing w:before="60" w:line="240" w:lineRule="atLeast"/>
                    <w:jc w:val="left"/>
                  </w:pPr>
                  <w:r w:rsidRPr="00C84BB5">
                    <w:t>physical disability services</w:t>
                  </w:r>
                </w:p>
                <w:p w:rsidR="006E3B63" w:rsidRPr="00C84BB5" w:rsidRDefault="006E3B63" w:rsidP="00D70D08">
                  <w:pPr>
                    <w:pStyle w:val="BoxListBullet"/>
                    <w:spacing w:before="60" w:line="240" w:lineRule="atLeast"/>
                    <w:jc w:val="left"/>
                  </w:pPr>
                  <w:r w:rsidRPr="00C84BB5">
                    <w:t>intellectual disability services</w:t>
                  </w:r>
                </w:p>
                <w:p w:rsidR="006E3B63" w:rsidRPr="00C84BB5" w:rsidRDefault="006E3B63" w:rsidP="00D70D08">
                  <w:pPr>
                    <w:pStyle w:val="BoxListBullet"/>
                    <w:spacing w:before="60" w:line="240" w:lineRule="atLeast"/>
                    <w:jc w:val="left"/>
                  </w:pPr>
                  <w:r w:rsidRPr="00C84BB5">
                    <w:t>health/medical services</w:t>
                  </w:r>
                </w:p>
              </w:tc>
              <w:tc>
                <w:tcPr>
                  <w:tcW w:w="3402" w:type="dxa"/>
                  <w:shd w:val="clear" w:color="auto" w:fill="FFFFFF" w:themeFill="background1"/>
                </w:tcPr>
                <w:p w:rsidR="006E3B63" w:rsidRPr="00C84BB5" w:rsidRDefault="006E3B63" w:rsidP="00D70D08">
                  <w:pPr>
                    <w:pStyle w:val="BoxListBullet"/>
                    <w:spacing w:before="60" w:line="240" w:lineRule="atLeast"/>
                    <w:jc w:val="left"/>
                  </w:pPr>
                  <w:r w:rsidRPr="00C84BB5">
                    <w:t xml:space="preserve">professional legal services </w:t>
                  </w:r>
                </w:p>
                <w:p w:rsidR="006E3B63" w:rsidRPr="00C84BB5" w:rsidRDefault="006E3B63" w:rsidP="00D70D08">
                  <w:pPr>
                    <w:pStyle w:val="BoxListBullet"/>
                    <w:spacing w:before="60" w:line="240" w:lineRule="atLeast"/>
                    <w:jc w:val="left"/>
                  </w:pPr>
                  <w:r w:rsidRPr="00C84BB5">
                    <w:t>financial advice and counselling</w:t>
                  </w:r>
                </w:p>
                <w:p w:rsidR="006E3B63" w:rsidRPr="00C84BB5" w:rsidRDefault="006E3B63" w:rsidP="00D70D08">
                  <w:pPr>
                    <w:pStyle w:val="BoxListBullet"/>
                    <w:spacing w:before="60" w:line="240" w:lineRule="atLeast"/>
                    <w:jc w:val="left"/>
                  </w:pPr>
                  <w:r w:rsidRPr="00C84BB5">
                    <w:t>counselling for problem gambling</w:t>
                  </w:r>
                </w:p>
                <w:p w:rsidR="006E3B63" w:rsidRPr="00C84BB5" w:rsidRDefault="006E3B63" w:rsidP="00D70D08">
                  <w:pPr>
                    <w:pStyle w:val="BoxListBullet"/>
                    <w:spacing w:before="60" w:line="240" w:lineRule="atLeast"/>
                    <w:jc w:val="left"/>
                  </w:pPr>
                  <w:r w:rsidRPr="00C84BB5">
                    <w:t>drug/alcohol counselling</w:t>
                  </w:r>
                </w:p>
                <w:p w:rsidR="006E3B63" w:rsidRPr="00C84BB5" w:rsidRDefault="006E3B63" w:rsidP="00D70D08">
                  <w:pPr>
                    <w:pStyle w:val="BoxListBullet"/>
                    <w:spacing w:before="60" w:line="240" w:lineRule="atLeast"/>
                    <w:jc w:val="left"/>
                  </w:pPr>
                  <w:r w:rsidRPr="00C84BB5">
                    <w:t>specialist counselling services</w:t>
                  </w:r>
                </w:p>
                <w:p w:rsidR="006E3B63" w:rsidRPr="00C84BB5" w:rsidRDefault="006E3B63" w:rsidP="00D70D08">
                  <w:pPr>
                    <w:pStyle w:val="BoxListBullet"/>
                    <w:spacing w:before="60" w:line="240" w:lineRule="atLeast"/>
                    <w:jc w:val="left"/>
                  </w:pPr>
                  <w:r w:rsidRPr="00C84BB5">
                    <w:t>interpreter services</w:t>
                  </w:r>
                </w:p>
                <w:p w:rsidR="006E3B63" w:rsidRPr="00C84BB5" w:rsidRDefault="006E3B63" w:rsidP="00D70D08">
                  <w:pPr>
                    <w:pStyle w:val="BoxListBullet"/>
                    <w:spacing w:before="60" w:line="240" w:lineRule="atLeast"/>
                    <w:jc w:val="left"/>
                  </w:pPr>
                  <w:r w:rsidRPr="00C84BB5">
                    <w:t>assistance with immigration services</w:t>
                  </w:r>
                </w:p>
                <w:p w:rsidR="006E3B63" w:rsidRPr="00C84BB5" w:rsidRDefault="006E3B63" w:rsidP="00D70D08">
                  <w:pPr>
                    <w:pStyle w:val="BoxListBullet"/>
                    <w:spacing w:before="60" w:line="240" w:lineRule="atLeast"/>
                    <w:jc w:val="left"/>
                  </w:pPr>
                  <w:r w:rsidRPr="00C84BB5">
                    <w:t>culturally specific services</w:t>
                  </w:r>
                </w:p>
                <w:p w:rsidR="006E3B63" w:rsidRPr="00C84BB5" w:rsidRDefault="006E3B63" w:rsidP="00D70D08">
                  <w:pPr>
                    <w:pStyle w:val="BoxListBullet"/>
                    <w:spacing w:before="60" w:line="240" w:lineRule="atLeast"/>
                    <w:jc w:val="left"/>
                  </w:pPr>
                  <w:r w:rsidRPr="00C84BB5">
                    <w:t>assistance to connect culturally</w:t>
                  </w:r>
                </w:p>
                <w:p w:rsidR="006E3B63" w:rsidRPr="00C84BB5" w:rsidRDefault="006E3B63" w:rsidP="00D70D08">
                  <w:pPr>
                    <w:pStyle w:val="BoxListBullet"/>
                    <w:spacing w:before="60" w:line="240" w:lineRule="atLeast"/>
                    <w:jc w:val="left"/>
                  </w:pPr>
                  <w:r w:rsidRPr="00C84BB5">
                    <w:t>other specialised services.</w:t>
                  </w:r>
                </w:p>
              </w:tc>
            </w:tr>
          </w:tbl>
          <w:p w:rsidR="006E3B63" w:rsidRPr="00CD7195" w:rsidRDefault="006E3B63" w:rsidP="006E3B63">
            <w:pPr>
              <w:pStyle w:val="BoxListBullet"/>
              <w:numPr>
                <w:ilvl w:val="0"/>
                <w:numId w:val="0"/>
              </w:numPr>
              <w:spacing w:before="60" w:line="240" w:lineRule="atLeast"/>
              <w:ind w:left="284"/>
              <w:jc w:val="left"/>
            </w:pPr>
          </w:p>
        </w:tc>
      </w:tr>
      <w:tr w:rsidR="006E3B63" w:rsidRPr="00CB4E91" w:rsidTr="00094389">
        <w:tc>
          <w:tcPr>
            <w:tcW w:w="1871" w:type="dxa"/>
            <w:gridSpan w:val="2"/>
            <w:shd w:val="clear" w:color="auto" w:fill="auto"/>
          </w:tcPr>
          <w:p w:rsidR="006E3B63" w:rsidRPr="00690ED2" w:rsidRDefault="006E3B63" w:rsidP="00094389">
            <w:pPr>
              <w:pStyle w:val="Continued"/>
              <w:keepNext/>
              <w:jc w:val="left"/>
            </w:pPr>
            <w:r w:rsidRPr="008D5D8E">
              <w:lastRenderedPageBreak/>
              <w:t>Specialist homelessness service(s) — continued</w:t>
            </w:r>
          </w:p>
        </w:tc>
        <w:tc>
          <w:tcPr>
            <w:tcW w:w="6918" w:type="dxa"/>
            <w:shd w:val="clear" w:color="auto" w:fill="auto"/>
          </w:tcPr>
          <w:p w:rsidR="006E3B63" w:rsidRPr="008D5D8E" w:rsidRDefault="006E3B63" w:rsidP="00D70D08">
            <w:pPr>
              <w:pStyle w:val="Box"/>
              <w:rPr>
                <w:i/>
              </w:rPr>
            </w:pPr>
            <w:r w:rsidRPr="008D5D8E">
              <w:rPr>
                <w:i/>
              </w:rPr>
              <w:t>General assistance and support services: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More details can be found within the text surrounding this image."/>
            </w:tblPr>
            <w:tblGrid>
              <w:gridCol w:w="3351"/>
              <w:gridCol w:w="3351"/>
            </w:tblGrid>
            <w:tr w:rsidR="006E3B63" w:rsidRPr="00B01CE3" w:rsidTr="00D70D08">
              <w:tc>
                <w:tcPr>
                  <w:tcW w:w="2500" w:type="pct"/>
                  <w:shd w:val="clear" w:color="auto" w:fill="FFFFFF" w:themeFill="background1"/>
                </w:tcPr>
                <w:p w:rsidR="006E3B63" w:rsidRPr="00954BC6" w:rsidRDefault="006E3B63" w:rsidP="00D70D08">
                  <w:pPr>
                    <w:pStyle w:val="BoxListBullet"/>
                    <w:spacing w:before="60" w:line="240" w:lineRule="atLeast"/>
                    <w:jc w:val="left"/>
                  </w:pPr>
                  <w:r w:rsidRPr="00954BC6">
                    <w:t>assertive outreach</w:t>
                  </w:r>
                </w:p>
                <w:p w:rsidR="006E3B63" w:rsidRPr="00954BC6" w:rsidRDefault="006E3B63" w:rsidP="00D70D08">
                  <w:pPr>
                    <w:pStyle w:val="BoxListBullet"/>
                    <w:spacing w:before="60" w:line="240" w:lineRule="atLeast"/>
                    <w:jc w:val="left"/>
                  </w:pPr>
                  <w:r w:rsidRPr="00954BC6">
                    <w:t>assistance to obtain/maintain government allowance</w:t>
                  </w:r>
                </w:p>
                <w:p w:rsidR="006E3B63" w:rsidRPr="00954BC6" w:rsidRDefault="006E3B63" w:rsidP="00D70D08">
                  <w:pPr>
                    <w:pStyle w:val="BoxListBullet"/>
                    <w:spacing w:before="60" w:line="240" w:lineRule="atLeast"/>
                    <w:jc w:val="left"/>
                  </w:pPr>
                  <w:r w:rsidRPr="00954BC6">
                    <w:t>employment assistance</w:t>
                  </w:r>
                </w:p>
                <w:p w:rsidR="006E3B63" w:rsidRPr="00954BC6" w:rsidRDefault="006E3B63" w:rsidP="00D70D08">
                  <w:pPr>
                    <w:pStyle w:val="BoxListBullet"/>
                    <w:spacing w:before="60" w:line="240" w:lineRule="atLeast"/>
                    <w:jc w:val="left"/>
                  </w:pPr>
                  <w:r w:rsidRPr="00954BC6">
                    <w:t>training assistance</w:t>
                  </w:r>
                </w:p>
                <w:p w:rsidR="006E3B63" w:rsidRPr="00954BC6" w:rsidRDefault="006E3B63" w:rsidP="00D70D08">
                  <w:pPr>
                    <w:pStyle w:val="BoxListBullet"/>
                    <w:spacing w:before="60" w:line="240" w:lineRule="atLeast"/>
                    <w:jc w:val="left"/>
                  </w:pPr>
                  <w:r w:rsidRPr="00954BC6">
                    <w:t>educational assistance</w:t>
                  </w:r>
                </w:p>
                <w:p w:rsidR="006E3B63" w:rsidRPr="00954BC6" w:rsidRDefault="006E3B63" w:rsidP="00D70D08">
                  <w:pPr>
                    <w:pStyle w:val="BoxListBullet"/>
                    <w:spacing w:before="60" w:line="240" w:lineRule="atLeast"/>
                    <w:jc w:val="left"/>
                  </w:pPr>
                  <w:r w:rsidRPr="00954BC6">
                    <w:t>financial information</w:t>
                  </w:r>
                </w:p>
                <w:p w:rsidR="006E3B63" w:rsidRPr="00954BC6" w:rsidRDefault="006E3B63" w:rsidP="00D70D08">
                  <w:pPr>
                    <w:pStyle w:val="BoxListBullet"/>
                    <w:spacing w:before="60" w:line="240" w:lineRule="atLeast"/>
                    <w:jc w:val="left"/>
                  </w:pPr>
                  <w:r w:rsidRPr="00954BC6">
                    <w:t>material aid/brokerage</w:t>
                  </w:r>
                </w:p>
                <w:p w:rsidR="006E3B63" w:rsidRPr="00954BC6" w:rsidRDefault="006E3B63" w:rsidP="00D70D08">
                  <w:pPr>
                    <w:pStyle w:val="BoxListBullet"/>
                    <w:spacing w:before="60" w:line="240" w:lineRule="atLeast"/>
                    <w:jc w:val="left"/>
                  </w:pPr>
                  <w:r w:rsidRPr="00954BC6">
                    <w:t>assistance for incest/sexual</w:t>
                  </w:r>
                </w:p>
                <w:p w:rsidR="006E3B63" w:rsidRDefault="006E3B63" w:rsidP="00D70D08">
                  <w:pPr>
                    <w:pStyle w:val="BoxListBullet"/>
                    <w:spacing w:before="60" w:line="240" w:lineRule="atLeast"/>
                    <w:jc w:val="left"/>
                  </w:pPr>
                  <w:r w:rsidRPr="00954BC6">
                    <w:t>assistance for domestic/family violence</w:t>
                  </w:r>
                </w:p>
                <w:p w:rsidR="006E3B63" w:rsidRPr="00954BC6" w:rsidRDefault="006E3B63" w:rsidP="006E3B63">
                  <w:pPr>
                    <w:pStyle w:val="BoxListBullet"/>
                    <w:spacing w:before="60" w:line="240" w:lineRule="atLeast"/>
                    <w:jc w:val="left"/>
                  </w:pPr>
                  <w:r w:rsidRPr="00954BC6">
                    <w:t>family/relationship assistance</w:t>
                  </w:r>
                </w:p>
                <w:p w:rsidR="006E3B63" w:rsidRPr="00954BC6" w:rsidRDefault="006E3B63" w:rsidP="006E3B63">
                  <w:pPr>
                    <w:pStyle w:val="BoxListBullet"/>
                    <w:spacing w:before="60" w:line="240" w:lineRule="atLeast"/>
                    <w:jc w:val="left"/>
                  </w:pPr>
                  <w:r w:rsidRPr="00954BC6">
                    <w:t>assistance for trauma</w:t>
                  </w:r>
                </w:p>
                <w:p w:rsidR="006E3B63" w:rsidRPr="00954BC6" w:rsidRDefault="006E3B63" w:rsidP="006E3B63">
                  <w:pPr>
                    <w:pStyle w:val="BoxListBullet"/>
                    <w:spacing w:before="60" w:line="240" w:lineRule="atLeast"/>
                    <w:jc w:val="left"/>
                  </w:pPr>
                  <w:r w:rsidRPr="00954BC6">
                    <w:t>assistance with challenging social/behavioural problems</w:t>
                  </w:r>
                </w:p>
                <w:p w:rsidR="006E3B63" w:rsidRPr="00954BC6" w:rsidRDefault="006E3B63" w:rsidP="006E3B63">
                  <w:pPr>
                    <w:pStyle w:val="BoxListBullet"/>
                    <w:spacing w:before="60" w:line="240" w:lineRule="atLeast"/>
                    <w:jc w:val="left"/>
                  </w:pPr>
                  <w:r w:rsidRPr="00954BC6">
                    <w:t>living skills/personal development</w:t>
                  </w:r>
                </w:p>
                <w:p w:rsidR="006E3B63" w:rsidRPr="00954BC6" w:rsidRDefault="006E3B63" w:rsidP="006E3B63">
                  <w:pPr>
                    <w:pStyle w:val="BoxListBullet"/>
                    <w:spacing w:before="60" w:line="240" w:lineRule="atLeast"/>
                    <w:jc w:val="left"/>
                  </w:pPr>
                  <w:r w:rsidRPr="00954BC6">
                    <w:t>legal information</w:t>
                  </w:r>
                </w:p>
              </w:tc>
              <w:tc>
                <w:tcPr>
                  <w:tcW w:w="2500" w:type="pct"/>
                  <w:shd w:val="clear" w:color="auto" w:fill="FFFFFF" w:themeFill="background1"/>
                </w:tcPr>
                <w:p w:rsidR="006E3B63" w:rsidRPr="00954BC6" w:rsidRDefault="006E3B63" w:rsidP="00D70D08">
                  <w:pPr>
                    <w:pStyle w:val="BoxListBullet"/>
                    <w:spacing w:before="60" w:line="240" w:lineRule="atLeast"/>
                    <w:jc w:val="left"/>
                  </w:pPr>
                  <w:r w:rsidRPr="00954BC6">
                    <w:t>court support</w:t>
                  </w:r>
                </w:p>
                <w:p w:rsidR="006E3B63" w:rsidRPr="00954BC6" w:rsidRDefault="006E3B63" w:rsidP="00D70D08">
                  <w:pPr>
                    <w:pStyle w:val="BoxListBullet"/>
                    <w:spacing w:before="60" w:line="240" w:lineRule="atLeast"/>
                    <w:jc w:val="left"/>
                  </w:pPr>
                  <w:r w:rsidRPr="00954BC6">
                    <w:t>advice/information</w:t>
                  </w:r>
                </w:p>
                <w:p w:rsidR="006E3B63" w:rsidRPr="00954BC6" w:rsidRDefault="006E3B63" w:rsidP="00D70D08">
                  <w:pPr>
                    <w:pStyle w:val="BoxListBullet"/>
                    <w:spacing w:before="60" w:line="240" w:lineRule="atLeast"/>
                    <w:jc w:val="left"/>
                  </w:pPr>
                  <w:r w:rsidRPr="00954BC6">
                    <w:t>retrieval/storage/removal of personal belongings</w:t>
                  </w:r>
                </w:p>
                <w:p w:rsidR="006E3B63" w:rsidRPr="00954BC6" w:rsidRDefault="006E3B63" w:rsidP="00D70D08">
                  <w:pPr>
                    <w:pStyle w:val="BoxListBullet"/>
                    <w:spacing w:before="60" w:line="240" w:lineRule="atLeast"/>
                    <w:jc w:val="left"/>
                  </w:pPr>
                  <w:r w:rsidRPr="00954BC6">
                    <w:t>advocacy/liaison on behalf of client</w:t>
                  </w:r>
                </w:p>
                <w:p w:rsidR="006E3B63" w:rsidRPr="00954BC6" w:rsidRDefault="006E3B63" w:rsidP="00D70D08">
                  <w:pPr>
                    <w:pStyle w:val="BoxListBullet"/>
                    <w:spacing w:before="60" w:line="240" w:lineRule="atLeast"/>
                    <w:jc w:val="left"/>
                  </w:pPr>
                  <w:r w:rsidRPr="00954BC6">
                    <w:t>school liaison</w:t>
                  </w:r>
                </w:p>
                <w:p w:rsidR="006E3B63" w:rsidRDefault="006E3B63" w:rsidP="00D70D08">
                  <w:pPr>
                    <w:pStyle w:val="BoxListBullet"/>
                    <w:spacing w:before="60" w:line="240" w:lineRule="atLeast"/>
                    <w:jc w:val="left"/>
                  </w:pPr>
                  <w:r w:rsidRPr="00954BC6">
                    <w:t>child c</w:t>
                  </w:r>
                  <w:r>
                    <w:t>are</w:t>
                  </w:r>
                </w:p>
                <w:p w:rsidR="006E3B63" w:rsidRPr="00954BC6" w:rsidRDefault="006E3B63" w:rsidP="00D70D08">
                  <w:pPr>
                    <w:pStyle w:val="BoxListBullet"/>
                    <w:spacing w:before="60" w:line="240" w:lineRule="atLeast"/>
                    <w:jc w:val="left"/>
                  </w:pPr>
                  <w:r w:rsidRPr="00954BC6">
                    <w:t>structured play/skills development</w:t>
                  </w:r>
                </w:p>
                <w:p w:rsidR="006E3B63" w:rsidRDefault="006E3B63" w:rsidP="00D70D08">
                  <w:pPr>
                    <w:pStyle w:val="BoxListBullet"/>
                    <w:spacing w:before="60" w:line="240" w:lineRule="atLeast"/>
                    <w:jc w:val="left"/>
                  </w:pPr>
                  <w:r w:rsidRPr="00954BC6">
                    <w:t>child contact and residence arrangements</w:t>
                  </w:r>
                </w:p>
                <w:p w:rsidR="006E3B63" w:rsidRPr="00954BC6" w:rsidRDefault="006E3B63" w:rsidP="006E3B63">
                  <w:pPr>
                    <w:pStyle w:val="BoxListBullet"/>
                    <w:spacing w:before="60" w:line="240" w:lineRule="atLeast"/>
                    <w:jc w:val="left"/>
                  </w:pPr>
                  <w:r w:rsidRPr="00954BC6">
                    <w:t>meals</w:t>
                  </w:r>
                </w:p>
                <w:p w:rsidR="006E3B63" w:rsidRPr="00954BC6" w:rsidRDefault="006E3B63" w:rsidP="006E3B63">
                  <w:pPr>
                    <w:pStyle w:val="BoxListBullet"/>
                    <w:spacing w:before="60" w:line="240" w:lineRule="atLeast"/>
                    <w:jc w:val="left"/>
                  </w:pPr>
                  <w:r w:rsidRPr="00954BC6">
                    <w:t>laundry/shower facilities</w:t>
                  </w:r>
                </w:p>
                <w:p w:rsidR="006E3B63" w:rsidRPr="00954BC6" w:rsidRDefault="006E3B63" w:rsidP="006E3B63">
                  <w:pPr>
                    <w:pStyle w:val="BoxListBullet"/>
                    <w:spacing w:before="60" w:line="240" w:lineRule="atLeast"/>
                    <w:jc w:val="left"/>
                  </w:pPr>
                  <w:r w:rsidRPr="00954BC6">
                    <w:t>recreation</w:t>
                  </w:r>
                </w:p>
                <w:p w:rsidR="006E3B63" w:rsidRPr="00954BC6" w:rsidRDefault="006E3B63" w:rsidP="006E3B63">
                  <w:pPr>
                    <w:pStyle w:val="BoxListBullet"/>
                    <w:spacing w:before="60" w:line="240" w:lineRule="atLeast"/>
                    <w:jc w:val="left"/>
                  </w:pPr>
                  <w:r w:rsidRPr="00954BC6">
                    <w:t>transport</w:t>
                  </w:r>
                </w:p>
                <w:p w:rsidR="006E3B63" w:rsidRPr="00954BC6" w:rsidRDefault="006E3B63" w:rsidP="006E3B63">
                  <w:pPr>
                    <w:pStyle w:val="BoxListBullet"/>
                    <w:spacing w:before="60" w:line="240" w:lineRule="atLeast"/>
                    <w:jc w:val="left"/>
                  </w:pPr>
                  <w:r w:rsidRPr="00954BC6">
                    <w:t>other basic assistance.</w:t>
                  </w:r>
                </w:p>
              </w:tc>
            </w:tr>
          </w:tbl>
          <w:p w:rsidR="006E3B63" w:rsidRPr="00CD7195" w:rsidRDefault="006E3B63" w:rsidP="00D70D08">
            <w:pPr>
              <w:pStyle w:val="TableBullet"/>
              <w:numPr>
                <w:ilvl w:val="0"/>
                <w:numId w:val="0"/>
              </w:numPr>
              <w:ind w:left="170"/>
              <w:rPr>
                <w:sz w:val="20"/>
              </w:rPr>
            </w:pPr>
          </w:p>
        </w:tc>
      </w:tr>
      <w:tr w:rsidR="000707E5" w:rsidRPr="00CB4E91" w:rsidTr="00094389">
        <w:tc>
          <w:tcPr>
            <w:tcW w:w="1871" w:type="dxa"/>
            <w:gridSpan w:val="2"/>
            <w:shd w:val="clear" w:color="auto" w:fill="auto"/>
          </w:tcPr>
          <w:p w:rsidR="000707E5" w:rsidRPr="00954BC6" w:rsidRDefault="000707E5" w:rsidP="00094389">
            <w:pPr>
              <w:pStyle w:val="Box"/>
              <w:jc w:val="left"/>
              <w:rPr>
                <w:b/>
              </w:rPr>
            </w:pPr>
            <w:r w:rsidRPr="00954BC6">
              <w:rPr>
                <w:b/>
              </w:rPr>
              <w:t>Support period</w:t>
            </w:r>
          </w:p>
        </w:tc>
        <w:tc>
          <w:tcPr>
            <w:tcW w:w="6918" w:type="dxa"/>
            <w:shd w:val="clear" w:color="auto" w:fill="auto"/>
          </w:tcPr>
          <w:p w:rsidR="000707E5" w:rsidRPr="00954BC6" w:rsidRDefault="000707E5" w:rsidP="00094389">
            <w:pPr>
              <w:pStyle w:val="Box"/>
            </w:pPr>
            <w:r w:rsidRPr="00954BC6">
              <w:t>The period of time a client receives services from an agency is referred to as a support period. A support period starts on the day the client first receives a service from an agency</w:t>
            </w:r>
            <w:r>
              <w:t xml:space="preserve"> and</w:t>
            </w:r>
            <w:r w:rsidRPr="00954BC6">
              <w:t xml:space="preserve"> ends when:</w:t>
            </w:r>
          </w:p>
          <w:p w:rsidR="000707E5" w:rsidRPr="00CD7195" w:rsidRDefault="000707E5" w:rsidP="00094389">
            <w:pPr>
              <w:pStyle w:val="BoxListBullet"/>
              <w:spacing w:line="240" w:lineRule="auto"/>
            </w:pPr>
            <w:r w:rsidRPr="00CD7195">
              <w:t>the relationship between the client and the agency ends</w:t>
            </w:r>
          </w:p>
          <w:p w:rsidR="000707E5" w:rsidRPr="00CD7195" w:rsidRDefault="000707E5" w:rsidP="00094389">
            <w:pPr>
              <w:pStyle w:val="BoxListBullet"/>
              <w:spacing w:line="240" w:lineRule="auto"/>
            </w:pPr>
            <w:r w:rsidRPr="00CD7195">
              <w:t>the client has reached their maximum amount of support the agency can offer</w:t>
            </w:r>
          </w:p>
          <w:p w:rsidR="000707E5" w:rsidRDefault="000707E5" w:rsidP="00094389">
            <w:pPr>
              <w:pStyle w:val="BoxListBullet"/>
              <w:spacing w:line="240" w:lineRule="auto"/>
            </w:pPr>
            <w:r w:rsidRPr="00CD7195">
              <w:t>a client has not received any services from the agency for a whole calendar month</w:t>
            </w:r>
          </w:p>
          <w:p w:rsidR="000707E5" w:rsidRPr="00CD7195" w:rsidRDefault="000707E5" w:rsidP="00094389">
            <w:pPr>
              <w:pStyle w:val="BoxListBullet"/>
              <w:spacing w:line="240" w:lineRule="auto"/>
            </w:pPr>
            <w:r w:rsidRPr="00CD7195">
              <w:t>there is no ongoing relationship.</w:t>
            </w:r>
          </w:p>
        </w:tc>
      </w:tr>
      <w:tr w:rsidR="000707E5" w:rsidRPr="00CB4E91" w:rsidTr="00094389">
        <w:tc>
          <w:tcPr>
            <w:tcW w:w="1871" w:type="dxa"/>
            <w:gridSpan w:val="2"/>
            <w:shd w:val="clear" w:color="auto" w:fill="auto"/>
          </w:tcPr>
          <w:p w:rsidR="000707E5" w:rsidRPr="001B55C8" w:rsidRDefault="000707E5" w:rsidP="00094389">
            <w:pPr>
              <w:pStyle w:val="Continued"/>
              <w:keepNext/>
              <w:jc w:val="left"/>
            </w:pPr>
          </w:p>
        </w:tc>
        <w:tc>
          <w:tcPr>
            <w:tcW w:w="6918" w:type="dxa"/>
            <w:shd w:val="clear" w:color="auto" w:fill="auto"/>
          </w:tcPr>
          <w:p w:rsidR="000707E5" w:rsidRPr="00CD7195" w:rsidRDefault="000707E5" w:rsidP="00094389">
            <w:pPr>
              <w:pStyle w:val="Box"/>
            </w:pPr>
            <w:r w:rsidRPr="00CD7195">
              <w:t>Where a client has an appointment with the agency which is more than a calendar month in the future, then it is not necessary to close the support period. This is because it is expected that there is an ongoing relationship with the client. The end of the support period is the day the client last received services from an agency.</w:t>
            </w:r>
          </w:p>
        </w:tc>
      </w:tr>
      <w:tr w:rsidR="000707E5" w:rsidRPr="00CB4E91" w:rsidTr="00094389">
        <w:tc>
          <w:tcPr>
            <w:tcW w:w="1871" w:type="dxa"/>
            <w:gridSpan w:val="2"/>
            <w:shd w:val="clear" w:color="auto" w:fill="FFFFFF" w:themeFill="background1"/>
          </w:tcPr>
          <w:p w:rsidR="000707E5" w:rsidRPr="00690ED2" w:rsidRDefault="000707E5" w:rsidP="00094389">
            <w:pPr>
              <w:pStyle w:val="Box"/>
              <w:jc w:val="left"/>
              <w:rPr>
                <w:b/>
              </w:rPr>
            </w:pPr>
            <w:r w:rsidRPr="00690ED2">
              <w:rPr>
                <w:b/>
              </w:rPr>
              <w:t>Unmet demand</w:t>
            </w:r>
          </w:p>
        </w:tc>
        <w:tc>
          <w:tcPr>
            <w:tcW w:w="6918" w:type="dxa"/>
            <w:shd w:val="clear" w:color="auto" w:fill="FFFFFF" w:themeFill="background1"/>
          </w:tcPr>
          <w:p w:rsidR="000707E5" w:rsidRPr="00CD7195" w:rsidRDefault="000707E5" w:rsidP="00094389">
            <w:pPr>
              <w:pStyle w:val="Box"/>
            </w:pPr>
            <w:r w:rsidRPr="00CD7195">
              <w:t xml:space="preserve">A </w:t>
            </w:r>
            <w:r w:rsidRPr="00C84BB5">
              <w:t>homeless</w:t>
            </w:r>
            <w:r w:rsidRPr="00CD7195">
              <w:t xml:space="preserve"> person who seeks supported accommodation or support, but is not provided with that supported accommodation or support. The person may receive one</w:t>
            </w:r>
            <w:r>
              <w:noBreakHyphen/>
            </w:r>
            <w:r w:rsidRPr="00CD7195">
              <w:t>off assistance.</w:t>
            </w:r>
          </w:p>
        </w:tc>
      </w:tr>
    </w:tbl>
    <w:p w:rsidR="006E3B63" w:rsidRDefault="006E3B63" w:rsidP="006E3B63">
      <w:pPr>
        <w:pStyle w:val="BodyText"/>
      </w:pPr>
      <w:bookmarkStart w:id="49" w:name="_Toc309313621"/>
      <w:bookmarkStart w:id="50" w:name="_Toc341801421"/>
    </w:p>
    <w:p w:rsidR="006E3B63" w:rsidRDefault="006E3B63" w:rsidP="006E3B63">
      <w:pPr>
        <w:pStyle w:val="BodyText"/>
      </w:pPr>
    </w:p>
    <w:p w:rsidR="000707E5" w:rsidRDefault="007A5581" w:rsidP="000707E5">
      <w:pPr>
        <w:pStyle w:val="Heading2"/>
      </w:pPr>
      <w:bookmarkStart w:id="51" w:name="_Toc429075904"/>
      <w:r>
        <w:lastRenderedPageBreak/>
        <w:t>18.</w:t>
      </w:r>
      <w:r w:rsidR="007A3D6D">
        <w:rPr>
          <w:noProof/>
        </w:rPr>
        <w:t>6</w:t>
      </w:r>
      <w:r w:rsidR="000707E5" w:rsidRPr="00425DB3">
        <w:tab/>
        <w:t>List of attachment tables</w:t>
      </w:r>
      <w:bookmarkEnd w:id="49"/>
      <w:bookmarkEnd w:id="50"/>
      <w:bookmarkEnd w:id="51"/>
      <w:r w:rsidR="000707E5" w:rsidRPr="00425DB3">
        <w:t xml:space="preserve"> </w:t>
      </w:r>
    </w:p>
    <w:p w:rsidR="000707E5" w:rsidRDefault="000707E5" w:rsidP="000707E5">
      <w:pPr>
        <w:pStyle w:val="BodyText"/>
      </w:pPr>
      <w:r w:rsidRPr="00D36A1F">
        <w:t>Attachment</w:t>
      </w:r>
      <w:r w:rsidRPr="00425DB3">
        <w:t xml:space="preserve"> tables are identified in references throughout this chapter by an ‘</w:t>
      </w:r>
      <w:proofErr w:type="spellStart"/>
      <w:r w:rsidRPr="00425DB3">
        <w:t>18A</w:t>
      </w:r>
      <w:proofErr w:type="spellEnd"/>
      <w:r w:rsidRPr="00425DB3">
        <w:t xml:space="preserve">’ prefix (for example, table </w:t>
      </w:r>
      <w:proofErr w:type="spellStart"/>
      <w:r w:rsidRPr="00425DB3">
        <w:t>18A.1</w:t>
      </w:r>
      <w:proofErr w:type="spellEnd"/>
      <w:r w:rsidRPr="00425DB3">
        <w:t xml:space="preserve"> is table 1). Attachment tables are provided on the website (</w:t>
      </w:r>
      <w:proofErr w:type="spellStart"/>
      <w:r w:rsidRPr="000D18AC">
        <w:t>www.pc.gov.au</w:t>
      </w:r>
      <w:proofErr w:type="spellEnd"/>
      <w:r w:rsidRPr="000D18AC">
        <w:t>/</w:t>
      </w:r>
      <w:proofErr w:type="spellStart"/>
      <w:r w:rsidR="000D18AC">
        <w:t>rogs</w:t>
      </w:r>
      <w:proofErr w:type="spellEnd"/>
      <w:r w:rsidR="000D18AC">
        <w:t>/2016</w:t>
      </w:r>
      <w:r w:rsidRPr="00425DB3">
        <w:t>).</w:t>
      </w:r>
    </w:p>
    <w:p w:rsidR="000707E5" w:rsidRDefault="000707E5" w:rsidP="000707E5">
      <w:pPr>
        <w:pStyle w:val="BoxSpaceAbove"/>
      </w:pPr>
    </w:p>
    <w:tbl>
      <w:tblPr>
        <w:tblW w:w="8860" w:type="dxa"/>
        <w:tblInd w:w="93" w:type="dxa"/>
        <w:tblLook w:val="04A0" w:firstRow="1" w:lastRow="0" w:firstColumn="1" w:lastColumn="0" w:noHBand="0" w:noVBand="1"/>
      </w:tblPr>
      <w:tblGrid>
        <w:gridCol w:w="1440"/>
        <w:gridCol w:w="7420"/>
      </w:tblGrid>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18A.1</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Composition of support provided, all clients</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18A.2</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Nominal expenditure on homelessness services</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18A.3</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Total recurrent expenditure on homeless</w:t>
            </w:r>
            <w:r w:rsidR="00904BFA">
              <w:t>ness services, 2014-15 dollars</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18A.4</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Real recurrent homelessness expenditure per person in the residential population, 2014-15 dollars</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18A.5</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Proportion of clients — with accommodation and services other than accommodation needs that were met — who were Aboriginal and Torres Strait Islander clients</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18A.6</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 xml:space="preserve">Proportion of clients — with accommodation and services other than accommodation needs that were met — who were people born in non–main English speaking countries (non–MESC)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18A.7</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Proportion of clients — with accommodation and services other than accommodation needs that were met — who were people with disability</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18A.8</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Aboriginal and Torres Strait Islander people, people born in non–main English speaking countries (MESC) and people with disability, as a proportion of all clients who accessed specialist homelessness services and in the population</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18A.9</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 xml:space="preserve">Average daily unassisted requests for accommodation and services other than accommodation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18A.10</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 xml:space="preserve">Proportion of clients with unmet needs for accommodation and services other than accommodation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18A.11</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Proportion of clients with a case management plan (closed support periods)</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18A.12</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Proportion of Aboriginal and Torres Strait Islander clients with a case management plan (closed support periods)</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18A.13</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Support needs of clients, summary</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18A.14</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 xml:space="preserve">Support needs of clients by service assistance type, all clients (closed support periods)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18A.15</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 xml:space="preserve">Support needs of clients, by service assistance type, Aboriginal and Torres Strait Islander clients (closed support periods)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18A.16</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Support needs of clients, by service assistance type, clients born in non–main English speaking countries (closed support periods)</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18A.17</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Proportion of clients aged 12 to 18 years who needed education and/or training assistance who were enrolled in formal study or training after support, status before and after support (closed support periods)</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18A.18</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Recurrent cost per completed support period, 2014-15 dollars</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18A.19</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Recurrent cost per client accessing homelessness services, 2014-15 dollars</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18A.20</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Recurrent cost per day of support for clients, 2014-15 dollars</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lastRenderedPageBreak/>
              <w:t xml:space="preserve">Table </w:t>
            </w:r>
            <w:proofErr w:type="spellStart"/>
            <w:r w:rsidRPr="006E3FA2">
              <w:rPr>
                <w:b/>
              </w:rPr>
              <w:t>18A.21</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Labour force status of clients who needed employment and/or training assistance before support, before and after support (closed support periods)</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18A.22</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Proportion of Aboriginal and Torres Strait Islander clients who needed employment and/or training assistance and who were employed after support (closed support periods)</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18A.23</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 xml:space="preserve">Proportion of clients who needed employment and/or training assistance and who were unemployed or not in the labour force before support, who were employed after support (closed support periods), by labour force status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18A.24</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 xml:space="preserve">Proportion of clients who needed income assistance and who had an income source after support (closed support periods)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18A.25</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 xml:space="preserve">Proportion of Aboriginal and Torres Strait Islander clients who needed income assistance and who had an income source after support (closed support periods)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18A.26</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Proportion of clients who needed assistance to obtain or maintain independent housing, type of tenure before and after support (closed support periods)</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18A.27</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Proportion of Aboriginal and Torres Strait Islander clients who needed assistance to obtain or maintain independent housing (closed support periods), type of tenure before and after support</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18A.28</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Proportion of clients who were living in non–independent housing before support who obtained independent housing after support (closed support periods)</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18A.29</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Proportion of clients who needed assistance to obtain or maintain independent housing and who achieved independent housing after support, and did not present again with a need for accommodation within the reporting period, by tenure type after support (closed support periods)</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18A.30</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Proportion of Aboriginal and Torres Strait Islander clients who needed assistance to obtain or maintain independent housing and who achieved independent housing after support, and did not present again with a need for accommodation within the reporting period, by tenure type after support (closed support periods)</w:t>
            </w:r>
            <w:r w:rsidR="007D1EA0">
              <w:t xml:space="preserve">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18A.31</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 xml:space="preserve">Proportion of clients experiencing homelessness who had repeat periods of homelessness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6E3FA2">
            <w:pPr>
              <w:pStyle w:val="Box"/>
              <w:keepNext w:val="0"/>
              <w:spacing w:before="0" w:after="80"/>
              <w:rPr>
                <w:b/>
              </w:rPr>
            </w:pPr>
            <w:r w:rsidRPr="006E3FA2">
              <w:rPr>
                <w:b/>
              </w:rPr>
              <w:t xml:space="preserve">Table </w:t>
            </w:r>
            <w:proofErr w:type="spellStart"/>
            <w:r w:rsidRPr="006E3FA2">
              <w:rPr>
                <w:b/>
              </w:rPr>
              <w:t>18A.32</w:t>
            </w:r>
            <w:proofErr w:type="spellEnd"/>
          </w:p>
        </w:tc>
        <w:tc>
          <w:tcPr>
            <w:tcW w:w="7420" w:type="dxa"/>
            <w:tcBorders>
              <w:top w:val="nil"/>
              <w:left w:val="nil"/>
              <w:bottom w:val="nil"/>
              <w:right w:val="nil"/>
            </w:tcBorders>
            <w:shd w:val="clear" w:color="auto" w:fill="auto"/>
          </w:tcPr>
          <w:p w:rsidR="00890D11" w:rsidRDefault="00890D11" w:rsidP="006E3FA2">
            <w:pPr>
              <w:pStyle w:val="Box"/>
              <w:keepNext w:val="0"/>
              <w:spacing w:before="0" w:after="80"/>
            </w:pPr>
            <w:r>
              <w:t xml:space="preserve">Proportion of Aboriginal and Torres Strait Islander clients experiencing homelessness who had repeat periods of homelessness </w:t>
            </w:r>
          </w:p>
        </w:tc>
      </w:tr>
      <w:tr w:rsidR="00F82453" w:rsidRPr="00425DB3" w:rsidTr="00865373">
        <w:trPr>
          <w:cantSplit/>
          <w:trHeight w:val="340"/>
        </w:trPr>
        <w:tc>
          <w:tcPr>
            <w:tcW w:w="1440" w:type="dxa"/>
            <w:tcBorders>
              <w:top w:val="nil"/>
              <w:left w:val="nil"/>
              <w:bottom w:val="nil"/>
              <w:right w:val="nil"/>
            </w:tcBorders>
            <w:shd w:val="clear" w:color="auto" w:fill="auto"/>
            <w:noWrap/>
          </w:tcPr>
          <w:p w:rsidR="00F82453" w:rsidRPr="006E3FA2" w:rsidRDefault="00F82453" w:rsidP="00865373">
            <w:pPr>
              <w:pStyle w:val="Box"/>
              <w:keepNext w:val="0"/>
              <w:spacing w:before="0" w:after="80"/>
              <w:rPr>
                <w:b/>
              </w:rPr>
            </w:pPr>
            <w:r w:rsidRPr="006E3FA2">
              <w:rPr>
                <w:b/>
              </w:rPr>
              <w:t xml:space="preserve">Table </w:t>
            </w:r>
            <w:proofErr w:type="spellStart"/>
            <w:r w:rsidRPr="006E3FA2">
              <w:rPr>
                <w:b/>
              </w:rPr>
              <w:t>18A.33</w:t>
            </w:r>
            <w:proofErr w:type="spellEnd"/>
          </w:p>
        </w:tc>
        <w:tc>
          <w:tcPr>
            <w:tcW w:w="7420" w:type="dxa"/>
            <w:tcBorders>
              <w:top w:val="nil"/>
              <w:left w:val="nil"/>
              <w:bottom w:val="nil"/>
              <w:right w:val="nil"/>
            </w:tcBorders>
            <w:shd w:val="clear" w:color="auto" w:fill="auto"/>
          </w:tcPr>
          <w:p w:rsidR="00F82453" w:rsidRDefault="00F82453" w:rsidP="00865373">
            <w:pPr>
              <w:pStyle w:val="Box"/>
              <w:keepNext w:val="0"/>
              <w:spacing w:before="0" w:after="80"/>
            </w:pPr>
            <w:r>
              <w:t xml:space="preserve">Case management goals achieved after support (closed support periods) </w:t>
            </w:r>
          </w:p>
        </w:tc>
      </w:tr>
      <w:tr w:rsidR="00890D11" w:rsidRPr="00425DB3" w:rsidTr="00890D11">
        <w:trPr>
          <w:cantSplit/>
          <w:trHeight w:val="340"/>
        </w:trPr>
        <w:tc>
          <w:tcPr>
            <w:tcW w:w="1440" w:type="dxa"/>
            <w:tcBorders>
              <w:top w:val="nil"/>
              <w:left w:val="nil"/>
              <w:bottom w:val="nil"/>
              <w:right w:val="nil"/>
            </w:tcBorders>
            <w:shd w:val="clear" w:color="auto" w:fill="auto"/>
            <w:noWrap/>
          </w:tcPr>
          <w:p w:rsidR="00890D11" w:rsidRPr="006E3FA2" w:rsidRDefault="00890D11" w:rsidP="00F82453">
            <w:pPr>
              <w:pStyle w:val="Box"/>
              <w:keepNext w:val="0"/>
              <w:spacing w:before="0" w:after="80"/>
              <w:rPr>
                <w:b/>
              </w:rPr>
            </w:pPr>
            <w:r w:rsidRPr="006E3FA2">
              <w:rPr>
                <w:b/>
              </w:rPr>
              <w:t xml:space="preserve">Table </w:t>
            </w:r>
            <w:proofErr w:type="spellStart"/>
            <w:r w:rsidRPr="006E3FA2">
              <w:rPr>
                <w:b/>
              </w:rPr>
              <w:t>18A.3</w:t>
            </w:r>
            <w:r w:rsidR="00F82453">
              <w:rPr>
                <w:b/>
              </w:rPr>
              <w:t>4</w:t>
            </w:r>
            <w:proofErr w:type="spellEnd"/>
          </w:p>
        </w:tc>
        <w:tc>
          <w:tcPr>
            <w:tcW w:w="7420" w:type="dxa"/>
            <w:tcBorders>
              <w:top w:val="nil"/>
              <w:left w:val="nil"/>
              <w:bottom w:val="nil"/>
              <w:right w:val="nil"/>
            </w:tcBorders>
            <w:shd w:val="clear" w:color="auto" w:fill="auto"/>
          </w:tcPr>
          <w:p w:rsidR="00890D11" w:rsidRDefault="00F82453" w:rsidP="006E3FA2">
            <w:pPr>
              <w:pStyle w:val="Box"/>
              <w:keepNext w:val="0"/>
              <w:spacing w:before="0" w:after="80"/>
            </w:pPr>
            <w:r w:rsidRPr="00F82453">
              <w:t>General Government Final Consumption Expenditure Price Deflator, Chain price Index (</w:t>
            </w:r>
            <w:proofErr w:type="spellStart"/>
            <w:r w:rsidRPr="00F82453">
              <w:t>GGFCE</w:t>
            </w:r>
            <w:proofErr w:type="spellEnd"/>
            <w:r w:rsidRPr="00F82453">
              <w:t>)</w:t>
            </w:r>
          </w:p>
        </w:tc>
      </w:tr>
    </w:tbl>
    <w:p w:rsidR="000707E5" w:rsidRPr="006B71EA" w:rsidRDefault="007A5581" w:rsidP="000707E5">
      <w:pPr>
        <w:pStyle w:val="Heading2"/>
        <w:rPr>
          <w:color w:val="000000" w:themeColor="text1"/>
        </w:rPr>
      </w:pPr>
      <w:bookmarkStart w:id="52" w:name="_Toc341801422"/>
      <w:bookmarkStart w:id="53" w:name="_Toc396143174"/>
      <w:bookmarkStart w:id="54" w:name="_Toc429075905"/>
      <w:r>
        <w:rPr>
          <w:color w:val="000000" w:themeColor="text1"/>
        </w:rPr>
        <w:t>18.</w:t>
      </w:r>
      <w:r w:rsidR="007A3D6D">
        <w:rPr>
          <w:noProof/>
          <w:color w:val="000000" w:themeColor="text1"/>
        </w:rPr>
        <w:t>7</w:t>
      </w:r>
      <w:r w:rsidR="000707E5" w:rsidRPr="006602B5">
        <w:rPr>
          <w:color w:val="000000" w:themeColor="text1"/>
        </w:rPr>
        <w:tab/>
      </w:r>
      <w:r w:rsidR="000707E5" w:rsidRPr="006B71EA">
        <w:rPr>
          <w:color w:val="000000" w:themeColor="text1"/>
        </w:rPr>
        <w:t>References</w:t>
      </w:r>
      <w:bookmarkEnd w:id="52"/>
      <w:bookmarkEnd w:id="53"/>
      <w:bookmarkEnd w:id="54"/>
      <w:r w:rsidR="000707E5" w:rsidRPr="006B71EA">
        <w:rPr>
          <w:color w:val="000000" w:themeColor="text1"/>
        </w:rPr>
        <w:t xml:space="preserve"> </w:t>
      </w:r>
    </w:p>
    <w:p w:rsidR="000707E5" w:rsidRPr="006B71EA" w:rsidRDefault="000707E5" w:rsidP="000707E5">
      <w:pPr>
        <w:pStyle w:val="Reference"/>
      </w:pPr>
      <w:r w:rsidRPr="006B71EA">
        <w:t xml:space="preserve">ABS </w:t>
      </w:r>
      <w:proofErr w:type="spellStart"/>
      <w:r w:rsidRPr="006B71EA">
        <w:t>2012a</w:t>
      </w:r>
      <w:proofErr w:type="spellEnd"/>
      <w:r w:rsidRPr="006B71EA">
        <w:t>, Methodology for Estimating Homelessness from the Census of Population and Housing</w:t>
      </w:r>
      <w:r>
        <w:t>, Cat. no. 2049.0.55.001</w:t>
      </w:r>
      <w:r w:rsidRPr="006B71EA">
        <w:t>.</w:t>
      </w:r>
    </w:p>
    <w:p w:rsidR="000707E5" w:rsidRPr="00954BC6" w:rsidRDefault="000707E5" w:rsidP="000707E5">
      <w:pPr>
        <w:pStyle w:val="Reference"/>
      </w:pPr>
      <w:r w:rsidRPr="006B71EA">
        <w:t>—— </w:t>
      </w:r>
      <w:proofErr w:type="spellStart"/>
      <w:r w:rsidRPr="006B71EA">
        <w:t>2012b</w:t>
      </w:r>
      <w:proofErr w:type="spellEnd"/>
      <w:r w:rsidRPr="006B71EA">
        <w:t>, Information Paper: A Statistical Definition of Homelessness</w:t>
      </w:r>
      <w:r>
        <w:t>, Cat. n</w:t>
      </w:r>
      <w:r w:rsidRPr="006B71EA">
        <w:t>o.</w:t>
      </w:r>
      <w:r>
        <w:t> </w:t>
      </w:r>
      <w:r w:rsidRPr="006B71EA">
        <w:t>4922.0, Canb</w:t>
      </w:r>
      <w:r>
        <w:t>erra.</w:t>
      </w:r>
    </w:p>
    <w:p w:rsidR="000707E5" w:rsidRPr="006B71EA" w:rsidRDefault="000707E5" w:rsidP="000707E5">
      <w:pPr>
        <w:pStyle w:val="Reference"/>
      </w:pPr>
      <w:r w:rsidRPr="006B71EA">
        <w:t>—— </w:t>
      </w:r>
      <w:proofErr w:type="spellStart"/>
      <w:r w:rsidRPr="006B71EA">
        <w:t>2012c</w:t>
      </w:r>
      <w:proofErr w:type="spellEnd"/>
      <w:r w:rsidRPr="006B71EA">
        <w:t>, Census of Population and Housing: Estimating homelessness</w:t>
      </w:r>
      <w:r>
        <w:t>, Cat. </w:t>
      </w:r>
      <w:r w:rsidRPr="006B71EA">
        <w:t>no.</w:t>
      </w:r>
      <w:r>
        <w:t> </w:t>
      </w:r>
      <w:r w:rsidRPr="006B71EA">
        <w:t>2049.0, Canberra.</w:t>
      </w:r>
    </w:p>
    <w:p w:rsidR="000707E5" w:rsidRDefault="000707E5" w:rsidP="000707E5">
      <w:pPr>
        <w:pStyle w:val="Reference"/>
      </w:pPr>
      <w:proofErr w:type="spellStart"/>
      <w:r w:rsidRPr="006B71EA">
        <w:lastRenderedPageBreak/>
        <w:t>AIHW</w:t>
      </w:r>
      <w:proofErr w:type="spellEnd"/>
      <w:r w:rsidRPr="006B71EA">
        <w:t xml:space="preserve"> (</w:t>
      </w:r>
      <w:r w:rsidRPr="00954BC6">
        <w:t>Australian</w:t>
      </w:r>
      <w:r w:rsidRPr="006B71EA">
        <w:t xml:space="preserve"> Institute of Health and Welfare) </w:t>
      </w:r>
      <w:proofErr w:type="spellStart"/>
      <w:r>
        <w:t>2015a</w:t>
      </w:r>
      <w:proofErr w:type="spellEnd"/>
      <w:r>
        <w:t xml:space="preserve">, </w:t>
      </w:r>
      <w:r w:rsidRPr="003548B5">
        <w:rPr>
          <w:i/>
        </w:rPr>
        <w:t>Specialist homelessness services report</w:t>
      </w:r>
      <w:r>
        <w:rPr>
          <w:i/>
        </w:rPr>
        <w:t>, 2014-15</w:t>
      </w:r>
      <w:r>
        <w:t xml:space="preserve">, Cat. no. </w:t>
      </w:r>
      <w:proofErr w:type="spellStart"/>
      <w:r>
        <w:t>HOU</w:t>
      </w:r>
      <w:proofErr w:type="spellEnd"/>
      <w:r>
        <w:t xml:space="preserve"> 276, Canberra.</w:t>
      </w:r>
    </w:p>
    <w:p w:rsidR="000707E5" w:rsidRPr="00B8254C" w:rsidRDefault="000707E5" w:rsidP="000707E5">
      <w:pPr>
        <w:pStyle w:val="Reference"/>
      </w:pPr>
      <w:r>
        <w:t xml:space="preserve">—— </w:t>
      </w:r>
      <w:proofErr w:type="spellStart"/>
      <w:r>
        <w:t>2015b</w:t>
      </w:r>
      <w:proofErr w:type="spellEnd"/>
      <w:r>
        <w:t xml:space="preserve">, </w:t>
      </w:r>
      <w:r w:rsidRPr="002769CD">
        <w:rPr>
          <w:i/>
        </w:rPr>
        <w:t>Exploring transitions between homelessness and public housing: 1 July 2011 to 30 June 2013</w:t>
      </w:r>
      <w:r>
        <w:t xml:space="preserve">, Cat. no. </w:t>
      </w:r>
      <w:proofErr w:type="spellStart"/>
      <w:r>
        <w:t>HOU</w:t>
      </w:r>
      <w:proofErr w:type="spellEnd"/>
      <w:r>
        <w:t xml:space="preserve"> 277, Canberra.</w:t>
      </w:r>
    </w:p>
    <w:p w:rsidR="000707E5" w:rsidRPr="006B71EA" w:rsidRDefault="000707E5" w:rsidP="000707E5">
      <w:pPr>
        <w:pStyle w:val="Reference"/>
        <w:rPr>
          <w:b/>
        </w:rPr>
      </w:pPr>
      <w:r>
        <w:t>—— </w:t>
      </w:r>
      <w:r w:rsidRPr="006B71EA">
        <w:t>2011, Australia’s welfare 2011. Australia’s welfare series no. 10</w:t>
      </w:r>
      <w:r>
        <w:t>, Cat. </w:t>
      </w:r>
      <w:r w:rsidRPr="006B71EA">
        <w:t>no.</w:t>
      </w:r>
      <w:r>
        <w:t> </w:t>
      </w:r>
      <w:proofErr w:type="spellStart"/>
      <w:r>
        <w:t>AUS</w:t>
      </w:r>
      <w:proofErr w:type="spellEnd"/>
      <w:r>
        <w:t> </w:t>
      </w:r>
      <w:r w:rsidRPr="006B71EA">
        <w:t>142</w:t>
      </w:r>
      <w:r>
        <w:t xml:space="preserve">, </w:t>
      </w:r>
      <w:r w:rsidRPr="006B71EA">
        <w:t>Canberra</w:t>
      </w:r>
    </w:p>
    <w:p w:rsidR="000707E5" w:rsidRPr="006B71EA" w:rsidRDefault="000707E5" w:rsidP="000707E5">
      <w:pPr>
        <w:pStyle w:val="Reference"/>
      </w:pPr>
      <w:r w:rsidRPr="006B71EA">
        <w:t xml:space="preserve">—— </w:t>
      </w:r>
      <w:r>
        <w:t xml:space="preserve">various years, </w:t>
      </w:r>
      <w:r w:rsidRPr="006B71EA">
        <w:t>Specialist homelessness services collection</w:t>
      </w:r>
      <w:r>
        <w:t xml:space="preserve">, </w:t>
      </w:r>
      <w:r w:rsidRPr="006B71EA">
        <w:t>Canberra.</w:t>
      </w:r>
    </w:p>
    <w:p w:rsidR="000707E5" w:rsidRPr="00FD1BDD" w:rsidRDefault="000707E5" w:rsidP="000707E5">
      <w:pPr>
        <w:pStyle w:val="Reference"/>
      </w:pPr>
      <w:r>
        <w:t xml:space="preserve">Australian Government 2015, </w:t>
      </w:r>
      <w:r>
        <w:rPr>
          <w:i/>
        </w:rPr>
        <w:t>Budget Paper No. 3 – Federal Financial Relations 2015</w:t>
      </w:r>
      <w:r>
        <w:rPr>
          <w:i/>
        </w:rPr>
        <w:noBreakHyphen/>
        <w:t>16</w:t>
      </w:r>
      <w:r>
        <w:t>, viewed 28 August 2015 &lt;</w:t>
      </w:r>
      <w:proofErr w:type="spellStart"/>
      <w:r>
        <w:t>www.budget.gov.au</w:t>
      </w:r>
      <w:proofErr w:type="spellEnd"/>
      <w:r>
        <w:t>/2015-16/content/</w:t>
      </w:r>
      <w:proofErr w:type="spellStart"/>
      <w:r>
        <w:t>bp3</w:t>
      </w:r>
      <w:proofErr w:type="spellEnd"/>
      <w:r>
        <w:t>/html/index/</w:t>
      </w:r>
      <w:proofErr w:type="spellStart"/>
      <w:r>
        <w:t>htm</w:t>
      </w:r>
      <w:proofErr w:type="spellEnd"/>
      <w:r>
        <w:t>&gt;.</w:t>
      </w:r>
    </w:p>
    <w:p w:rsidR="000707E5" w:rsidRDefault="000707E5" w:rsidP="000707E5">
      <w:pPr>
        <w:pStyle w:val="Reference"/>
        <w:rPr>
          <w:rStyle w:val="ReferenceChar"/>
        </w:rPr>
      </w:pPr>
      <w:proofErr w:type="spellStart"/>
      <w:r w:rsidRPr="00EF5A5F">
        <w:t>COAG</w:t>
      </w:r>
      <w:proofErr w:type="spellEnd"/>
      <w:r w:rsidRPr="00EF5A5F">
        <w:t xml:space="preserve"> (Council of Australian Governments</w:t>
      </w:r>
      <w:r w:rsidRPr="009D604A">
        <w:t xml:space="preserve">) </w:t>
      </w:r>
      <w:proofErr w:type="spellStart"/>
      <w:r w:rsidRPr="009D604A">
        <w:t>20</w:t>
      </w:r>
      <w:r>
        <w:t>12a</w:t>
      </w:r>
      <w:proofErr w:type="spellEnd"/>
      <w:r w:rsidRPr="009D604A">
        <w:t xml:space="preserve">, </w:t>
      </w:r>
      <w:r w:rsidRPr="009D604A">
        <w:rPr>
          <w:i/>
        </w:rPr>
        <w:t xml:space="preserve">National </w:t>
      </w:r>
      <w:r>
        <w:rPr>
          <w:i/>
        </w:rPr>
        <w:t xml:space="preserve">Affordable Housing </w:t>
      </w:r>
      <w:r w:rsidRPr="009D604A">
        <w:rPr>
          <w:i/>
        </w:rPr>
        <w:t>Agreement</w:t>
      </w:r>
      <w:r w:rsidRPr="009D604A">
        <w:t xml:space="preserve">, </w:t>
      </w:r>
      <w:r>
        <w:t>view</w:t>
      </w:r>
      <w:r w:rsidRPr="009D604A">
        <w:t xml:space="preserve">ed </w:t>
      </w:r>
      <w:r>
        <w:t>1 September 2015</w:t>
      </w:r>
      <w:r>
        <w:rPr>
          <w:rStyle w:val="ReferenceChar"/>
        </w:rPr>
        <w:t xml:space="preserve"> &lt;</w:t>
      </w:r>
      <w:proofErr w:type="spellStart"/>
      <w:r w:rsidRPr="00E70BD2">
        <w:t>www.federalfinancialrelations.gov.au</w:t>
      </w:r>
      <w:proofErr w:type="spellEnd"/>
      <w:r w:rsidRPr="00E70BD2">
        <w:t>/content/</w:t>
      </w:r>
      <w:r>
        <w:br/>
      </w:r>
      <w:r w:rsidRPr="00E70BD2">
        <w:t>national_</w:t>
      </w:r>
      <w:r>
        <w:t xml:space="preserve"> </w:t>
      </w:r>
      <w:proofErr w:type="spellStart"/>
      <w:r w:rsidRPr="00E70BD2">
        <w:t>agreements.aspx</w:t>
      </w:r>
      <w:proofErr w:type="spellEnd"/>
      <w:r>
        <w:t>&gt;</w:t>
      </w:r>
      <w:r w:rsidRPr="00EF5A5F">
        <w:rPr>
          <w:rStyle w:val="ReferenceChar"/>
        </w:rPr>
        <w:t>.</w:t>
      </w:r>
    </w:p>
    <w:p w:rsidR="000707E5" w:rsidRDefault="000707E5" w:rsidP="000707E5">
      <w:pPr>
        <w:pStyle w:val="Reference"/>
      </w:pPr>
      <w:r>
        <w:rPr>
          <w:rStyle w:val="ReferenceChar"/>
        </w:rPr>
        <w:t xml:space="preserve">—— </w:t>
      </w:r>
      <w:proofErr w:type="spellStart"/>
      <w:r>
        <w:rPr>
          <w:rStyle w:val="ReferenceChar"/>
        </w:rPr>
        <w:t>2012b</w:t>
      </w:r>
      <w:proofErr w:type="spellEnd"/>
      <w:r>
        <w:rPr>
          <w:rStyle w:val="ReferenceChar"/>
        </w:rPr>
        <w:t xml:space="preserve">, </w:t>
      </w:r>
      <w:r w:rsidRPr="008A63EF">
        <w:rPr>
          <w:rStyle w:val="ReferenceChar"/>
          <w:i/>
        </w:rPr>
        <w:t xml:space="preserve">National Partnership Agreement on </w:t>
      </w:r>
      <w:r>
        <w:rPr>
          <w:rStyle w:val="ReferenceChar"/>
          <w:i/>
        </w:rPr>
        <w:t>Affordable Housing</w:t>
      </w:r>
      <w:r>
        <w:rPr>
          <w:rStyle w:val="ReferenceChar"/>
        </w:rPr>
        <w:t xml:space="preserve">, viewed 18 August 2015, </w:t>
      </w:r>
      <w:r>
        <w:t>&lt;</w:t>
      </w:r>
      <w:proofErr w:type="spellStart"/>
      <w:r w:rsidRPr="008A63EF">
        <w:t>www.federalfinancialrelations.gov.au</w:t>
      </w:r>
      <w:proofErr w:type="spellEnd"/>
      <w:r w:rsidRPr="008A63EF">
        <w:t>/content/</w:t>
      </w:r>
      <w:proofErr w:type="spellStart"/>
      <w:r w:rsidRPr="008A63EF">
        <w:t>npa</w:t>
      </w:r>
      <w:proofErr w:type="spellEnd"/>
      <w:r w:rsidRPr="008A63EF">
        <w:t>/</w:t>
      </w:r>
      <w:proofErr w:type="spellStart"/>
      <w:r>
        <w:t>housing</w:t>
      </w:r>
      <w:r w:rsidRPr="008A63EF">
        <w:t>.aspx</w:t>
      </w:r>
      <w:proofErr w:type="spellEnd"/>
      <w:r>
        <w:t>&gt;.</w:t>
      </w:r>
    </w:p>
    <w:p w:rsidR="000707E5" w:rsidRDefault="000707E5" w:rsidP="000707E5">
      <w:pPr>
        <w:pStyle w:val="Reference"/>
      </w:pPr>
      <w:r>
        <w:rPr>
          <w:rStyle w:val="ReferenceChar"/>
        </w:rPr>
        <w:t xml:space="preserve">—— 2013, </w:t>
      </w:r>
      <w:r w:rsidRPr="008A63EF">
        <w:rPr>
          <w:rStyle w:val="ReferenceChar"/>
          <w:i/>
        </w:rPr>
        <w:t xml:space="preserve">National Partnership Agreement on </w:t>
      </w:r>
      <w:r>
        <w:rPr>
          <w:rStyle w:val="ReferenceChar"/>
          <w:i/>
        </w:rPr>
        <w:t>Affordable Housing</w:t>
      </w:r>
      <w:r w:rsidR="007D1EA0">
        <w:rPr>
          <w:rStyle w:val="ReferenceChar"/>
          <w:i/>
        </w:rPr>
        <w:t xml:space="preserve"> </w:t>
      </w:r>
      <w:r>
        <w:rPr>
          <w:rStyle w:val="ReferenceChar"/>
          <w:i/>
        </w:rPr>
        <w:t>— 2013</w:t>
      </w:r>
      <w:r>
        <w:rPr>
          <w:rStyle w:val="ReferenceChar"/>
          <w:i/>
        </w:rPr>
        <w:noBreakHyphen/>
        <w:t>14</w:t>
      </w:r>
      <w:r>
        <w:rPr>
          <w:rStyle w:val="ReferenceChar"/>
        </w:rPr>
        <w:t xml:space="preserve">, viewed 18 August 2015, </w:t>
      </w:r>
      <w:r>
        <w:t>&lt;</w:t>
      </w:r>
      <w:proofErr w:type="spellStart"/>
      <w:r w:rsidRPr="008A63EF">
        <w:t>www.federalfinancialrelations.gov.au</w:t>
      </w:r>
      <w:proofErr w:type="spellEnd"/>
      <w:r w:rsidRPr="008A63EF">
        <w:t>/content/</w:t>
      </w:r>
      <w:proofErr w:type="spellStart"/>
      <w:r w:rsidRPr="008A63EF">
        <w:t>npa</w:t>
      </w:r>
      <w:proofErr w:type="spellEnd"/>
      <w:r w:rsidRPr="008A63EF">
        <w:t>/</w:t>
      </w:r>
      <w:proofErr w:type="spellStart"/>
      <w:r>
        <w:t>housing</w:t>
      </w:r>
      <w:r w:rsidRPr="008A63EF">
        <w:t>.aspx</w:t>
      </w:r>
      <w:proofErr w:type="spellEnd"/>
      <w:r>
        <w:t>&gt;.</w:t>
      </w:r>
    </w:p>
    <w:p w:rsidR="000707E5" w:rsidRDefault="000707E5" w:rsidP="000707E5">
      <w:pPr>
        <w:pStyle w:val="Reference"/>
      </w:pPr>
      <w:r>
        <w:rPr>
          <w:rStyle w:val="ReferenceChar"/>
        </w:rPr>
        <w:t xml:space="preserve">—— 2014, </w:t>
      </w:r>
      <w:r w:rsidRPr="008A63EF">
        <w:rPr>
          <w:rStyle w:val="ReferenceChar"/>
          <w:i/>
        </w:rPr>
        <w:t xml:space="preserve">National Partnership Agreement on </w:t>
      </w:r>
      <w:r>
        <w:rPr>
          <w:rStyle w:val="ReferenceChar"/>
          <w:i/>
        </w:rPr>
        <w:t>Affordable Housing — 2014</w:t>
      </w:r>
      <w:r>
        <w:rPr>
          <w:rStyle w:val="ReferenceChar"/>
          <w:i/>
        </w:rPr>
        <w:noBreakHyphen/>
        <w:t>15</w:t>
      </w:r>
      <w:r>
        <w:rPr>
          <w:rStyle w:val="ReferenceChar"/>
        </w:rPr>
        <w:t xml:space="preserve">, viewed 18 August 2015, </w:t>
      </w:r>
      <w:r>
        <w:t>&lt;</w:t>
      </w:r>
      <w:proofErr w:type="spellStart"/>
      <w:r w:rsidRPr="008A63EF">
        <w:t>www.federalfinancialrelations.gov.au</w:t>
      </w:r>
      <w:proofErr w:type="spellEnd"/>
      <w:r w:rsidRPr="008A63EF">
        <w:t>/content/</w:t>
      </w:r>
      <w:proofErr w:type="spellStart"/>
      <w:r w:rsidRPr="008A63EF">
        <w:t>npa</w:t>
      </w:r>
      <w:proofErr w:type="spellEnd"/>
      <w:r w:rsidRPr="008A63EF">
        <w:t>/</w:t>
      </w:r>
      <w:proofErr w:type="spellStart"/>
      <w:r>
        <w:t>housing</w:t>
      </w:r>
      <w:r w:rsidRPr="008A63EF">
        <w:t>.aspx</w:t>
      </w:r>
      <w:proofErr w:type="spellEnd"/>
      <w:r>
        <w:t>&gt;.</w:t>
      </w:r>
    </w:p>
    <w:p w:rsidR="00F00299" w:rsidRPr="000707E5" w:rsidRDefault="000707E5" w:rsidP="006E3FA2">
      <w:pPr>
        <w:pStyle w:val="Reference"/>
      </w:pPr>
      <w:proofErr w:type="spellStart"/>
      <w:r w:rsidRPr="006B71EA">
        <w:t>COAG</w:t>
      </w:r>
      <w:proofErr w:type="spellEnd"/>
      <w:r w:rsidRPr="006B71EA">
        <w:t xml:space="preserve"> Reform Council 2010, National Affordable Housing Agreement: Baseline</w:t>
      </w:r>
      <w:r w:rsidRPr="006B71EA">
        <w:br/>
        <w:t xml:space="preserve"> performance report for 2008</w:t>
      </w:r>
      <w:r>
        <w:noBreakHyphen/>
      </w:r>
      <w:r w:rsidRPr="006B71EA">
        <w:t xml:space="preserve">09, </w:t>
      </w:r>
      <w:proofErr w:type="spellStart"/>
      <w:r w:rsidRPr="006B71EA">
        <w:t>www.coagreformcouncil.gov.au</w:t>
      </w:r>
      <w:proofErr w:type="spellEnd"/>
      <w:r w:rsidRPr="006B71EA">
        <w:t>/reports/</w:t>
      </w:r>
      <w:proofErr w:type="spellStart"/>
      <w:r w:rsidRPr="006B71EA">
        <w:t>housing.cfm</w:t>
      </w:r>
      <w:proofErr w:type="spellEnd"/>
      <w:r w:rsidRPr="006B71EA">
        <w:t xml:space="preserve"> (accessed 1 October 2010).</w:t>
      </w:r>
    </w:p>
    <w:sectPr w:rsidR="00F00299" w:rsidRPr="000707E5" w:rsidSect="00CA053F">
      <w:headerReference w:type="even" r:id="rId31"/>
      <w:headerReference w:type="default" r:id="rId32"/>
      <w:footerReference w:type="even" r:id="rId33"/>
      <w:footerReference w:type="default" r:id="rId34"/>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4FC" w:rsidRDefault="007254FC">
      <w:r>
        <w:separator/>
      </w:r>
    </w:p>
  </w:endnote>
  <w:endnote w:type="continuationSeparator" w:id="0">
    <w:p w:rsidR="007254FC" w:rsidRDefault="0072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254FC" w:rsidTr="00836DB1">
      <w:trPr>
        <w:trHeight w:hRule="exact" w:val="567"/>
      </w:trPr>
      <w:tc>
        <w:tcPr>
          <w:tcW w:w="510" w:type="dxa"/>
        </w:tcPr>
        <w:p w:rsidR="007254FC" w:rsidRPr="00A24443" w:rsidRDefault="007254FC" w:rsidP="00836DB1">
          <w:pPr>
            <w:pStyle w:val="Footer"/>
            <w:tabs>
              <w:tab w:val="left" w:pos="0"/>
            </w:tabs>
            <w:ind w:right="0"/>
            <w:rPr>
              <w:rStyle w:val="PageNumber"/>
              <w:caps w:val="0"/>
            </w:rPr>
          </w:pPr>
          <w:r>
            <w:rPr>
              <w:rStyle w:val="PageNumber"/>
              <w:caps w:val="0"/>
            </w:rPr>
            <w:t>18.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725B8">
            <w:rPr>
              <w:rStyle w:val="PageNumber"/>
              <w:caps w:val="0"/>
              <w:noProof/>
            </w:rPr>
            <w:t>42</w:t>
          </w:r>
          <w:r w:rsidRPr="00A24443">
            <w:rPr>
              <w:rStyle w:val="PageNumber"/>
              <w:caps w:val="0"/>
            </w:rPr>
            <w:fldChar w:fldCharType="end"/>
          </w:r>
        </w:p>
      </w:tc>
      <w:tc>
        <w:tcPr>
          <w:tcW w:w="7767" w:type="dxa"/>
        </w:tcPr>
        <w:p w:rsidR="007254FC" w:rsidRPr="0013739A" w:rsidRDefault="007254FC" w:rsidP="006A63FA">
          <w:pPr>
            <w:pStyle w:val="Footer"/>
            <w:rPr>
              <w:rFonts w:cs="Arial"/>
            </w:rPr>
          </w:pPr>
          <w:r>
            <w:rPr>
              <w:rFonts w:cs="Arial"/>
            </w:rPr>
            <w:t>Report on government services 2016</w:t>
          </w:r>
        </w:p>
      </w:tc>
      <w:tc>
        <w:tcPr>
          <w:tcW w:w="510" w:type="dxa"/>
        </w:tcPr>
        <w:p w:rsidR="007254FC" w:rsidRDefault="007254FC" w:rsidP="00836DB1">
          <w:pPr>
            <w:pStyle w:val="Footer"/>
          </w:pPr>
        </w:p>
      </w:tc>
    </w:tr>
  </w:tbl>
  <w:p w:rsidR="007254FC" w:rsidRDefault="007254FC" w:rsidP="00210849">
    <w:pPr>
      <w:pStyle w:val="FooterEnd"/>
    </w:pPr>
  </w:p>
  <w:p w:rsidR="007254FC" w:rsidRDefault="007254F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254FC" w:rsidTr="00836DB1">
      <w:trPr>
        <w:trHeight w:hRule="exact" w:val="567"/>
      </w:trPr>
      <w:tc>
        <w:tcPr>
          <w:tcW w:w="510" w:type="dxa"/>
        </w:tcPr>
        <w:p w:rsidR="007254FC" w:rsidRDefault="007254FC" w:rsidP="00836DB1">
          <w:pPr>
            <w:pStyle w:val="Footer"/>
            <w:ind w:right="360" w:firstLine="360"/>
          </w:pPr>
        </w:p>
      </w:tc>
      <w:tc>
        <w:tcPr>
          <w:tcW w:w="7767" w:type="dxa"/>
        </w:tcPr>
        <w:p w:rsidR="007254FC" w:rsidRPr="00BA5B14" w:rsidRDefault="007254FC" w:rsidP="006A63FA">
          <w:pPr>
            <w:pStyle w:val="Footer"/>
            <w:jc w:val="right"/>
            <w:rPr>
              <w:rFonts w:cs="Arial"/>
            </w:rPr>
          </w:pPr>
          <w:r>
            <w:rPr>
              <w:rFonts w:cs="Arial"/>
            </w:rPr>
            <w:t>homelessness services</w:t>
          </w:r>
          <w:bookmarkStart w:id="55" w:name="DraftReportOdd"/>
          <w:bookmarkEnd w:id="55"/>
          <w:r>
            <w:rPr>
              <w:rFonts w:cs="Arial"/>
            </w:rPr>
            <w:t xml:space="preserve"> </w:t>
          </w:r>
        </w:p>
      </w:tc>
      <w:tc>
        <w:tcPr>
          <w:tcW w:w="510" w:type="dxa"/>
        </w:tcPr>
        <w:p w:rsidR="007254FC" w:rsidRPr="00A24443" w:rsidRDefault="007254FC" w:rsidP="00836DB1">
          <w:pPr>
            <w:pStyle w:val="Footer"/>
            <w:jc w:val="right"/>
            <w:rPr>
              <w:caps w:val="0"/>
            </w:rPr>
          </w:pPr>
          <w:r>
            <w:rPr>
              <w:rStyle w:val="PageNumber"/>
              <w:caps w:val="0"/>
            </w:rPr>
            <w:t>18.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725B8">
            <w:rPr>
              <w:rStyle w:val="PageNumber"/>
              <w:caps w:val="0"/>
              <w:noProof/>
            </w:rPr>
            <w:t>1</w:t>
          </w:r>
          <w:r w:rsidRPr="00A24443">
            <w:rPr>
              <w:rStyle w:val="PageNumber"/>
              <w:caps w:val="0"/>
            </w:rPr>
            <w:fldChar w:fldCharType="end"/>
          </w:r>
        </w:p>
      </w:tc>
    </w:tr>
  </w:tbl>
  <w:p w:rsidR="007254FC" w:rsidRDefault="007254FC">
    <w:pPr>
      <w:pStyle w:val="FooterEnd"/>
    </w:pPr>
  </w:p>
  <w:p w:rsidR="007254FC" w:rsidRDefault="007254F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4FC" w:rsidRDefault="007254FC">
      <w:r>
        <w:separator/>
      </w:r>
    </w:p>
  </w:footnote>
  <w:footnote w:type="continuationSeparator" w:id="0">
    <w:p w:rsidR="007254FC" w:rsidRDefault="007254FC">
      <w:r>
        <w:continuationSeparator/>
      </w:r>
    </w:p>
  </w:footnote>
  <w:footnote w:id="1">
    <w:p w:rsidR="007254FC" w:rsidRDefault="007254FC" w:rsidP="000707E5">
      <w:pPr>
        <w:pStyle w:val="FootnoteText"/>
      </w:pPr>
      <w:r w:rsidRPr="005B0F54">
        <w:rPr>
          <w:color w:val="000000" w:themeColor="text1"/>
        </w:rPr>
        <w:footnoteRef/>
      </w:r>
      <w:r w:rsidRPr="005B0F54">
        <w:rPr>
          <w:color w:val="000000" w:themeColor="text1"/>
        </w:rPr>
        <w:t xml:space="preserve"> The ABS categorises a dwelling as severely crowded if it requires four or more extra bedrooms to accommodate the number of people who usually live there</w:t>
      </w:r>
      <w:r>
        <w:rPr>
          <w:color w:val="000000" w:themeColor="text1"/>
        </w:rPr>
        <w:t xml:space="preserve">, based on the </w:t>
      </w:r>
      <w:r w:rsidRPr="005B0F54">
        <w:rPr>
          <w:color w:val="000000" w:themeColor="text1"/>
        </w:rPr>
        <w:t>Canadian National Occupancy Standard</w:t>
      </w:r>
      <w:r>
        <w:rPr>
          <w:color w:val="000000" w:themeColor="text1"/>
        </w:rPr>
        <w:t xml:space="preserve"> </w:t>
      </w:r>
      <w:r w:rsidRPr="005B0F54">
        <w:rPr>
          <w:color w:val="000000" w:themeColor="text1"/>
        </w:rPr>
        <w:t xml:space="preserve">(ABS </w:t>
      </w:r>
      <w:proofErr w:type="spellStart"/>
      <w:r w:rsidRPr="005B0F54">
        <w:rPr>
          <w:color w:val="000000" w:themeColor="text1"/>
        </w:rPr>
        <w:t>2012</w:t>
      </w:r>
      <w:r>
        <w:rPr>
          <w:color w:val="000000" w:themeColor="text1"/>
        </w:rPr>
        <w:t>b</w:t>
      </w:r>
      <w:proofErr w:type="spellEnd"/>
      <w:r w:rsidRPr="005B0F54">
        <w:rPr>
          <w:color w:val="000000" w:themeColor="text1"/>
        </w:rPr>
        <w:t>).</w:t>
      </w:r>
    </w:p>
  </w:footnote>
  <w:footnote w:id="2">
    <w:p w:rsidR="007254FC" w:rsidRDefault="007254FC" w:rsidP="000707E5">
      <w:pPr>
        <w:pStyle w:val="FootnoteText"/>
      </w:pPr>
      <w:r w:rsidRPr="00370873">
        <w:rPr>
          <w:color w:val="000000" w:themeColor="text1"/>
        </w:rPr>
        <w:footnoteRef/>
      </w:r>
      <w:r w:rsidRPr="00370873">
        <w:rPr>
          <w:color w:val="000000" w:themeColor="text1"/>
        </w:rPr>
        <w:t xml:space="preserve"> The Post Enumeration Survey </w:t>
      </w:r>
      <w:r w:rsidRPr="00E86340">
        <w:rPr>
          <w:color w:val="000000" w:themeColor="text1"/>
        </w:rPr>
        <w:t>is used to estimate for the under</w:t>
      </w:r>
      <w:r>
        <w:rPr>
          <w:color w:val="000000" w:themeColor="text1"/>
        </w:rPr>
        <w:noBreakHyphen/>
      </w:r>
      <w:r w:rsidRPr="00E86340">
        <w:rPr>
          <w:color w:val="000000" w:themeColor="text1"/>
        </w:rPr>
        <w:t xml:space="preserve">enumeration of the Australian population in the Census. </w:t>
      </w:r>
      <w:r>
        <w:rPr>
          <w:color w:val="000000" w:themeColor="text1"/>
        </w:rPr>
        <w:t xml:space="preserve">They survey </w:t>
      </w:r>
      <w:r w:rsidRPr="00370873">
        <w:rPr>
          <w:color w:val="000000" w:themeColor="text1"/>
        </w:rPr>
        <w:t xml:space="preserve">only covers people in private dwellings at the time of the </w:t>
      </w:r>
      <w:r>
        <w:rPr>
          <w:color w:val="000000" w:themeColor="text1"/>
        </w:rPr>
        <w:t xml:space="preserve">survey and so cannot be used to estimate under–enumeration of the homeless population in the Census </w:t>
      </w:r>
      <w:r w:rsidRPr="00370873">
        <w:rPr>
          <w:color w:val="000000" w:themeColor="text1"/>
        </w:rPr>
        <w:t>(ABS</w:t>
      </w:r>
      <w:r>
        <w:rPr>
          <w:color w:val="000000" w:themeColor="text1"/>
        </w:rPr>
        <w:t> </w:t>
      </w:r>
      <w:proofErr w:type="spellStart"/>
      <w:r w:rsidRPr="00370873">
        <w:rPr>
          <w:color w:val="000000" w:themeColor="text1"/>
        </w:rPr>
        <w:t>2012</w:t>
      </w:r>
      <w:r>
        <w:rPr>
          <w:color w:val="000000" w:themeColor="text1"/>
        </w:rPr>
        <w:t>c</w:t>
      </w:r>
      <w:proofErr w:type="spellEnd"/>
      <w:r w:rsidRPr="00370873">
        <w:rPr>
          <w:color w:val="000000" w:themeColor="tex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7254FC" w:rsidTr="007603DD">
      <w:tc>
        <w:tcPr>
          <w:tcW w:w="2155" w:type="dxa"/>
          <w:tcBorders>
            <w:top w:val="single" w:sz="24" w:space="0" w:color="auto"/>
          </w:tcBorders>
        </w:tcPr>
        <w:p w:rsidR="007254FC" w:rsidRDefault="007254FC" w:rsidP="00836DB1">
          <w:pPr>
            <w:pStyle w:val="HeaderEven"/>
          </w:pPr>
        </w:p>
      </w:tc>
      <w:tc>
        <w:tcPr>
          <w:tcW w:w="6634" w:type="dxa"/>
          <w:tcBorders>
            <w:top w:val="single" w:sz="6" w:space="0" w:color="auto"/>
          </w:tcBorders>
        </w:tcPr>
        <w:p w:rsidR="007254FC" w:rsidRDefault="007254FC" w:rsidP="004F14D1">
          <w:pPr>
            <w:pStyle w:val="HeaderEven"/>
            <w:jc w:val="right"/>
          </w:pPr>
        </w:p>
      </w:tc>
    </w:tr>
  </w:tbl>
  <w:p w:rsidR="007254FC" w:rsidRDefault="007254FC" w:rsidP="00210849">
    <w:pPr>
      <w:pStyle w:val="HeaderEnd"/>
    </w:pPr>
  </w:p>
  <w:p w:rsidR="007254FC" w:rsidRDefault="007254F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254FC" w:rsidTr="00836DB1">
      <w:tc>
        <w:tcPr>
          <w:tcW w:w="6634" w:type="dxa"/>
          <w:tcBorders>
            <w:top w:val="single" w:sz="6" w:space="0" w:color="auto"/>
          </w:tcBorders>
        </w:tcPr>
        <w:p w:rsidR="007254FC" w:rsidRDefault="007254FC" w:rsidP="00836DB1">
          <w:pPr>
            <w:pStyle w:val="HeaderOdd"/>
          </w:pPr>
        </w:p>
      </w:tc>
      <w:tc>
        <w:tcPr>
          <w:tcW w:w="2155" w:type="dxa"/>
          <w:tcBorders>
            <w:top w:val="single" w:sz="24" w:space="0" w:color="auto"/>
          </w:tcBorders>
        </w:tcPr>
        <w:p w:rsidR="007254FC" w:rsidRDefault="007254FC" w:rsidP="00836DB1">
          <w:pPr>
            <w:pStyle w:val="HeaderOdd"/>
          </w:pPr>
        </w:p>
      </w:tc>
    </w:tr>
  </w:tbl>
  <w:p w:rsidR="007254FC" w:rsidRDefault="007254FC" w:rsidP="00210849">
    <w:pPr>
      <w:pStyle w:val="HeaderEnd"/>
    </w:pPr>
  </w:p>
  <w:p w:rsidR="007254FC" w:rsidRDefault="007254FC">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2068"/>
    <w:lvl w:ilvl="0">
      <w:start w:val="1"/>
      <w:numFmt w:val="decimal"/>
      <w:lvlText w:val="%1."/>
      <w:lvlJc w:val="left"/>
      <w:pPr>
        <w:tabs>
          <w:tab w:val="num" w:pos="1492"/>
        </w:tabs>
        <w:ind w:left="1492" w:hanging="360"/>
      </w:pPr>
    </w:lvl>
  </w:abstractNum>
  <w:abstractNum w:abstractNumId="1">
    <w:nsid w:val="FFFFFF7D"/>
    <w:multiLevelType w:val="singleLevel"/>
    <w:tmpl w:val="42B8F854"/>
    <w:lvl w:ilvl="0">
      <w:start w:val="1"/>
      <w:numFmt w:val="decimal"/>
      <w:lvlText w:val="%1."/>
      <w:lvlJc w:val="left"/>
      <w:pPr>
        <w:tabs>
          <w:tab w:val="num" w:pos="1209"/>
        </w:tabs>
        <w:ind w:left="1209" w:hanging="360"/>
      </w:pPr>
    </w:lvl>
  </w:abstractNum>
  <w:abstractNum w:abstractNumId="2">
    <w:nsid w:val="FFFFFF80"/>
    <w:multiLevelType w:val="singleLevel"/>
    <w:tmpl w:val="A57AB570"/>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2194B0B8"/>
    <w:lvl w:ilvl="0">
      <w:start w:val="1"/>
      <w:numFmt w:val="bullet"/>
      <w:lvlText w:val=""/>
      <w:lvlJc w:val="left"/>
      <w:pPr>
        <w:tabs>
          <w:tab w:val="num" w:pos="1209"/>
        </w:tabs>
        <w:ind w:left="1209"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FE"/>
    <w:multiLevelType w:val="singleLevel"/>
    <w:tmpl w:val="FFFFFFFF"/>
    <w:lvl w:ilvl="0">
      <w:numFmt w:val="decimal"/>
      <w:lvlText w:val="*"/>
      <w:lvlJc w:val="left"/>
    </w:lvl>
  </w:abstractNum>
  <w:abstractNum w:abstractNumId="6">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5F3792D"/>
    <w:multiLevelType w:val="hybridMultilevel"/>
    <w:tmpl w:val="7756BEEE"/>
    <w:lvl w:ilvl="0" w:tplc="DCF8B612">
      <w:start w:val="1"/>
      <w:numFmt w:val="lowerLetter"/>
      <w:lvlText w:val="(%1)"/>
      <w:lvlJc w:val="left"/>
      <w:pPr>
        <w:ind w:left="720" w:hanging="360"/>
      </w:pPr>
      <w:rPr>
        <w:rFonts w:asciiTheme="majorHAnsi" w:hAnsiTheme="majorHAnsi" w:cstheme="majorHAnsi" w:hint="default"/>
        <w:b/>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AC72229"/>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14B341AC"/>
    <w:multiLevelType w:val="hybridMultilevel"/>
    <w:tmpl w:val="57AE1FDC"/>
    <w:lvl w:ilvl="0" w:tplc="6400C8F6">
      <w:start w:val="1"/>
      <w:numFmt w:val="bullet"/>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1AB25CDE"/>
    <w:multiLevelType w:val="singleLevel"/>
    <w:tmpl w:val="3086CA22"/>
    <w:lvl w:ilvl="0">
      <w:start w:val="1"/>
      <w:numFmt w:val="decimal"/>
      <w:lvlText w:val="%1."/>
      <w:legacy w:legacy="1" w:legacySpace="0" w:legacyIndent="340"/>
      <w:lvlJc w:val="left"/>
      <w:pPr>
        <w:ind w:left="340" w:hanging="340"/>
      </w:pPr>
    </w:lvl>
  </w:abstractNum>
  <w:abstractNum w:abstractNumId="18">
    <w:nsid w:val="1DB7383C"/>
    <w:multiLevelType w:val="hybridMultilevel"/>
    <w:tmpl w:val="26BE939E"/>
    <w:lvl w:ilvl="0" w:tplc="55B68680">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458457B"/>
    <w:multiLevelType w:val="hybridMultilevel"/>
    <w:tmpl w:val="17C2AF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A0457ED"/>
    <w:multiLevelType w:val="hybridMultilevel"/>
    <w:tmpl w:val="ECCAC4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3A5916B4"/>
    <w:multiLevelType w:val="hybridMultilevel"/>
    <w:tmpl w:val="870658F4"/>
    <w:lvl w:ilvl="0" w:tplc="105C0ADE">
      <w:start w:val="1"/>
      <w:numFmt w:val="bullet"/>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25">
    <w:nsid w:val="3EEE64F6"/>
    <w:multiLevelType w:val="hybridMultilevel"/>
    <w:tmpl w:val="E3C4755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6D00F300">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4">
    <w:nsid w:val="6D7318A7"/>
    <w:multiLevelType w:val="hybridMultilevel"/>
    <w:tmpl w:val="8B68B71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14"/>
  </w:num>
  <w:num w:numId="3">
    <w:abstractNumId w:val="27"/>
  </w:num>
  <w:num w:numId="4">
    <w:abstractNumId w:val="21"/>
  </w:num>
  <w:num w:numId="5">
    <w:abstractNumId w:val="35"/>
  </w:num>
  <w:num w:numId="6">
    <w:abstractNumId w:val="36"/>
  </w:num>
  <w:num w:numId="7">
    <w:abstractNumId w:val="19"/>
  </w:num>
  <w:num w:numId="8">
    <w:abstractNumId w:val="28"/>
  </w:num>
  <w:num w:numId="9">
    <w:abstractNumId w:val="29"/>
  </w:num>
  <w:num w:numId="10">
    <w:abstractNumId w:val="7"/>
  </w:num>
  <w:num w:numId="11">
    <w:abstractNumId w:val="12"/>
  </w:num>
  <w:num w:numId="12">
    <w:abstractNumId w:val="20"/>
  </w:num>
  <w:num w:numId="13">
    <w:abstractNumId w:val="26"/>
  </w:num>
  <w:num w:numId="14">
    <w:abstractNumId w:val="11"/>
  </w:num>
  <w:num w:numId="15">
    <w:abstractNumId w:val="30"/>
  </w:num>
  <w:num w:numId="16">
    <w:abstractNumId w:val="34"/>
  </w:num>
  <w:num w:numId="17">
    <w:abstractNumId w:val="6"/>
  </w:num>
  <w:num w:numId="18">
    <w:abstractNumId w:val="31"/>
  </w:num>
  <w:num w:numId="19">
    <w:abstractNumId w:val="3"/>
  </w:num>
  <w:num w:numId="20">
    <w:abstractNumId w:val="2"/>
  </w:num>
  <w:num w:numId="21">
    <w:abstractNumId w:val="1"/>
  </w:num>
  <w:num w:numId="22">
    <w:abstractNumId w:val="0"/>
  </w:num>
  <w:num w:numId="23">
    <w:abstractNumId w:val="16"/>
  </w:num>
  <w:num w:numId="24">
    <w:abstractNumId w:val="24"/>
  </w:num>
  <w:num w:numId="25">
    <w:abstractNumId w:val="25"/>
  </w:num>
  <w:num w:numId="26">
    <w:abstractNumId w:val="8"/>
  </w:num>
  <w:num w:numId="27">
    <w:abstractNumId w:val="33"/>
  </w:num>
  <w:num w:numId="28">
    <w:abstractNumId w:val="13"/>
  </w:num>
  <w:num w:numId="29">
    <w:abstractNumId w:val="32"/>
  </w:num>
  <w:num w:numId="30">
    <w:abstractNumId w:val="15"/>
  </w:num>
  <w:num w:numId="31">
    <w:abstractNumId w:val="9"/>
  </w:num>
  <w:num w:numId="32">
    <w:abstractNumId w:val="23"/>
  </w:num>
  <w:num w:numId="33">
    <w:abstractNumId w:val="4"/>
  </w:num>
  <w:num w:numId="34">
    <w:abstractNumId w:val="5"/>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35">
    <w:abstractNumId w:val="18"/>
  </w:num>
  <w:num w:numId="36">
    <w:abstractNumId w:val="17"/>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2"/>
  </w:num>
  <w:num w:numId="45">
    <w:abstractNumId w:val="27"/>
  </w:num>
  <w:num w:numId="46">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rawingGridHorizontalSpacing w:val="130"/>
  <w:displayHorizontalDrawingGridEvery w:val="0"/>
  <w:displayVerticalDrawingGridEvery w:val="0"/>
  <w:noPunctuationKerning/>
  <w:characterSpacingControl w:val="doNotCompress"/>
  <w:hdrShapeDefaults>
    <o:shapedefaults v:ext="edit" spidmax="638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Homelessness services"/>
    <w:docVar w:name="ShortReportTitle" w:val="Report on Government Services 2013"/>
    <w:docVar w:name="SideNote" w:val="1"/>
    <w:docVar w:name="UseShortChapter" w:val="0"/>
    <w:docVar w:name="UseShortReport" w:val="0"/>
  </w:docVars>
  <w:rsids>
    <w:rsidRoot w:val="00B35BD8"/>
    <w:rsid w:val="00000178"/>
    <w:rsid w:val="00000497"/>
    <w:rsid w:val="0000057F"/>
    <w:rsid w:val="000007C3"/>
    <w:rsid w:val="00000AAB"/>
    <w:rsid w:val="000015C1"/>
    <w:rsid w:val="000016DD"/>
    <w:rsid w:val="00002576"/>
    <w:rsid w:val="00002710"/>
    <w:rsid w:val="00003E7A"/>
    <w:rsid w:val="00004028"/>
    <w:rsid w:val="00004607"/>
    <w:rsid w:val="00004C0A"/>
    <w:rsid w:val="00004D06"/>
    <w:rsid w:val="000051A2"/>
    <w:rsid w:val="00005A73"/>
    <w:rsid w:val="00005C41"/>
    <w:rsid w:val="00005FC1"/>
    <w:rsid w:val="00006B2D"/>
    <w:rsid w:val="00006BDD"/>
    <w:rsid w:val="00006CC6"/>
    <w:rsid w:val="00006D6F"/>
    <w:rsid w:val="00006E1E"/>
    <w:rsid w:val="00006F10"/>
    <w:rsid w:val="000073E4"/>
    <w:rsid w:val="00007DA8"/>
    <w:rsid w:val="0001025A"/>
    <w:rsid w:val="00010A23"/>
    <w:rsid w:val="000112F4"/>
    <w:rsid w:val="0001183D"/>
    <w:rsid w:val="0001185B"/>
    <w:rsid w:val="00011B2A"/>
    <w:rsid w:val="00011DF8"/>
    <w:rsid w:val="0001215B"/>
    <w:rsid w:val="0001221E"/>
    <w:rsid w:val="00012284"/>
    <w:rsid w:val="00012609"/>
    <w:rsid w:val="000133C7"/>
    <w:rsid w:val="00013526"/>
    <w:rsid w:val="0001384D"/>
    <w:rsid w:val="00013B3A"/>
    <w:rsid w:val="00013B6F"/>
    <w:rsid w:val="000140B0"/>
    <w:rsid w:val="000141E1"/>
    <w:rsid w:val="0001456B"/>
    <w:rsid w:val="000146EB"/>
    <w:rsid w:val="000147A0"/>
    <w:rsid w:val="00014CA4"/>
    <w:rsid w:val="00015128"/>
    <w:rsid w:val="000151EF"/>
    <w:rsid w:val="00016F1B"/>
    <w:rsid w:val="0001733A"/>
    <w:rsid w:val="0001765F"/>
    <w:rsid w:val="0001789E"/>
    <w:rsid w:val="000205E1"/>
    <w:rsid w:val="000206B8"/>
    <w:rsid w:val="000216C4"/>
    <w:rsid w:val="00022044"/>
    <w:rsid w:val="00022660"/>
    <w:rsid w:val="000226A8"/>
    <w:rsid w:val="000227FE"/>
    <w:rsid w:val="00022870"/>
    <w:rsid w:val="000228B4"/>
    <w:rsid w:val="00022953"/>
    <w:rsid w:val="00022D8D"/>
    <w:rsid w:val="00023067"/>
    <w:rsid w:val="000234D4"/>
    <w:rsid w:val="000234E2"/>
    <w:rsid w:val="0002361F"/>
    <w:rsid w:val="00023E59"/>
    <w:rsid w:val="00023F22"/>
    <w:rsid w:val="00023F48"/>
    <w:rsid w:val="0002414F"/>
    <w:rsid w:val="00024237"/>
    <w:rsid w:val="000243BC"/>
    <w:rsid w:val="00024728"/>
    <w:rsid w:val="00025044"/>
    <w:rsid w:val="000252D7"/>
    <w:rsid w:val="0002546A"/>
    <w:rsid w:val="00025832"/>
    <w:rsid w:val="00025E5F"/>
    <w:rsid w:val="0002631F"/>
    <w:rsid w:val="000263BD"/>
    <w:rsid w:val="000266C7"/>
    <w:rsid w:val="000267AB"/>
    <w:rsid w:val="000268BB"/>
    <w:rsid w:val="0003027E"/>
    <w:rsid w:val="00030539"/>
    <w:rsid w:val="000305F4"/>
    <w:rsid w:val="0003094F"/>
    <w:rsid w:val="00030D9F"/>
    <w:rsid w:val="00030E45"/>
    <w:rsid w:val="00031251"/>
    <w:rsid w:val="00031304"/>
    <w:rsid w:val="000314F7"/>
    <w:rsid w:val="0003166B"/>
    <w:rsid w:val="000316A8"/>
    <w:rsid w:val="00031A08"/>
    <w:rsid w:val="00031EDE"/>
    <w:rsid w:val="00032030"/>
    <w:rsid w:val="000320F3"/>
    <w:rsid w:val="00032408"/>
    <w:rsid w:val="000325B9"/>
    <w:rsid w:val="00032889"/>
    <w:rsid w:val="000330D3"/>
    <w:rsid w:val="00033A07"/>
    <w:rsid w:val="0003409B"/>
    <w:rsid w:val="00034137"/>
    <w:rsid w:val="00034613"/>
    <w:rsid w:val="00034B85"/>
    <w:rsid w:val="00034B96"/>
    <w:rsid w:val="00034E05"/>
    <w:rsid w:val="00035116"/>
    <w:rsid w:val="000354AD"/>
    <w:rsid w:val="000355D4"/>
    <w:rsid w:val="00035606"/>
    <w:rsid w:val="000358DC"/>
    <w:rsid w:val="00035C27"/>
    <w:rsid w:val="00035FFD"/>
    <w:rsid w:val="00036043"/>
    <w:rsid w:val="000362FE"/>
    <w:rsid w:val="000365EB"/>
    <w:rsid w:val="000365F8"/>
    <w:rsid w:val="00037040"/>
    <w:rsid w:val="000374C0"/>
    <w:rsid w:val="00037A05"/>
    <w:rsid w:val="00037F14"/>
    <w:rsid w:val="00040340"/>
    <w:rsid w:val="000405B6"/>
    <w:rsid w:val="00040759"/>
    <w:rsid w:val="0004098F"/>
    <w:rsid w:val="00041252"/>
    <w:rsid w:val="00041CCB"/>
    <w:rsid w:val="00041E6A"/>
    <w:rsid w:val="000426DE"/>
    <w:rsid w:val="000429F9"/>
    <w:rsid w:val="00042E95"/>
    <w:rsid w:val="00043253"/>
    <w:rsid w:val="0004335B"/>
    <w:rsid w:val="0004364F"/>
    <w:rsid w:val="0004371C"/>
    <w:rsid w:val="00043761"/>
    <w:rsid w:val="00043887"/>
    <w:rsid w:val="00043A8B"/>
    <w:rsid w:val="00043DA6"/>
    <w:rsid w:val="00044036"/>
    <w:rsid w:val="00044474"/>
    <w:rsid w:val="00045B10"/>
    <w:rsid w:val="00045E1D"/>
    <w:rsid w:val="00046100"/>
    <w:rsid w:val="00046C83"/>
    <w:rsid w:val="0004710D"/>
    <w:rsid w:val="00047D24"/>
    <w:rsid w:val="000510B1"/>
    <w:rsid w:val="00051184"/>
    <w:rsid w:val="0005140F"/>
    <w:rsid w:val="00051999"/>
    <w:rsid w:val="00051B5D"/>
    <w:rsid w:val="00051C74"/>
    <w:rsid w:val="00051F32"/>
    <w:rsid w:val="00052088"/>
    <w:rsid w:val="00052238"/>
    <w:rsid w:val="000522F9"/>
    <w:rsid w:val="0005274B"/>
    <w:rsid w:val="00052762"/>
    <w:rsid w:val="00052D45"/>
    <w:rsid w:val="00053B07"/>
    <w:rsid w:val="00053B3B"/>
    <w:rsid w:val="00054BF1"/>
    <w:rsid w:val="00054C95"/>
    <w:rsid w:val="00054DEE"/>
    <w:rsid w:val="00054F3A"/>
    <w:rsid w:val="0005506B"/>
    <w:rsid w:val="0005522E"/>
    <w:rsid w:val="000553FD"/>
    <w:rsid w:val="00055791"/>
    <w:rsid w:val="000558B6"/>
    <w:rsid w:val="00055E96"/>
    <w:rsid w:val="00056C30"/>
    <w:rsid w:val="00057250"/>
    <w:rsid w:val="00057479"/>
    <w:rsid w:val="000575B5"/>
    <w:rsid w:val="0006029A"/>
    <w:rsid w:val="00060315"/>
    <w:rsid w:val="0006071C"/>
    <w:rsid w:val="00061021"/>
    <w:rsid w:val="00061391"/>
    <w:rsid w:val="0006139A"/>
    <w:rsid w:val="00061C4A"/>
    <w:rsid w:val="00061FB3"/>
    <w:rsid w:val="00062470"/>
    <w:rsid w:val="00062CEE"/>
    <w:rsid w:val="00062DFE"/>
    <w:rsid w:val="000633CA"/>
    <w:rsid w:val="000633EA"/>
    <w:rsid w:val="00063AA8"/>
    <w:rsid w:val="00063BF7"/>
    <w:rsid w:val="0006449E"/>
    <w:rsid w:val="000644D3"/>
    <w:rsid w:val="0006457C"/>
    <w:rsid w:val="00064867"/>
    <w:rsid w:val="000650C6"/>
    <w:rsid w:val="0006568D"/>
    <w:rsid w:val="0006650C"/>
    <w:rsid w:val="00066DCD"/>
    <w:rsid w:val="00066F6B"/>
    <w:rsid w:val="000676A9"/>
    <w:rsid w:val="00067765"/>
    <w:rsid w:val="00067BE7"/>
    <w:rsid w:val="00067CEE"/>
    <w:rsid w:val="00067D5F"/>
    <w:rsid w:val="000707E5"/>
    <w:rsid w:val="0007098A"/>
    <w:rsid w:val="00070BA6"/>
    <w:rsid w:val="00070BAD"/>
    <w:rsid w:val="00071055"/>
    <w:rsid w:val="00071807"/>
    <w:rsid w:val="00071F19"/>
    <w:rsid w:val="0007238E"/>
    <w:rsid w:val="00072CF6"/>
    <w:rsid w:val="00072DFE"/>
    <w:rsid w:val="00072EC1"/>
    <w:rsid w:val="000733EA"/>
    <w:rsid w:val="000734B9"/>
    <w:rsid w:val="000742A2"/>
    <w:rsid w:val="000747E7"/>
    <w:rsid w:val="000752EF"/>
    <w:rsid w:val="000753E6"/>
    <w:rsid w:val="00075964"/>
    <w:rsid w:val="000762CC"/>
    <w:rsid w:val="00076763"/>
    <w:rsid w:val="0007691D"/>
    <w:rsid w:val="00076F0E"/>
    <w:rsid w:val="0007743E"/>
    <w:rsid w:val="00077575"/>
    <w:rsid w:val="00077590"/>
    <w:rsid w:val="00077DA5"/>
    <w:rsid w:val="00080120"/>
    <w:rsid w:val="000801D0"/>
    <w:rsid w:val="000802CC"/>
    <w:rsid w:val="0008032D"/>
    <w:rsid w:val="000804DC"/>
    <w:rsid w:val="000809AE"/>
    <w:rsid w:val="00081079"/>
    <w:rsid w:val="00081A6A"/>
    <w:rsid w:val="00081AEF"/>
    <w:rsid w:val="00081C6B"/>
    <w:rsid w:val="00081E48"/>
    <w:rsid w:val="000821DC"/>
    <w:rsid w:val="00082709"/>
    <w:rsid w:val="000827A6"/>
    <w:rsid w:val="00083453"/>
    <w:rsid w:val="00083456"/>
    <w:rsid w:val="00083A29"/>
    <w:rsid w:val="000841E5"/>
    <w:rsid w:val="00084E0B"/>
    <w:rsid w:val="00084F01"/>
    <w:rsid w:val="000851ED"/>
    <w:rsid w:val="000857EA"/>
    <w:rsid w:val="000858C9"/>
    <w:rsid w:val="000863DD"/>
    <w:rsid w:val="000864F4"/>
    <w:rsid w:val="000866CA"/>
    <w:rsid w:val="00086B73"/>
    <w:rsid w:val="000872F7"/>
    <w:rsid w:val="00087779"/>
    <w:rsid w:val="000877B8"/>
    <w:rsid w:val="0008783F"/>
    <w:rsid w:val="000878E6"/>
    <w:rsid w:val="00087953"/>
    <w:rsid w:val="00090B25"/>
    <w:rsid w:val="00090D77"/>
    <w:rsid w:val="0009103D"/>
    <w:rsid w:val="000916A7"/>
    <w:rsid w:val="00091B21"/>
    <w:rsid w:val="00091DE3"/>
    <w:rsid w:val="00091E7A"/>
    <w:rsid w:val="00092064"/>
    <w:rsid w:val="0009208D"/>
    <w:rsid w:val="00092241"/>
    <w:rsid w:val="00092351"/>
    <w:rsid w:val="00092A3C"/>
    <w:rsid w:val="00092E3C"/>
    <w:rsid w:val="000930D4"/>
    <w:rsid w:val="00093657"/>
    <w:rsid w:val="00093A1F"/>
    <w:rsid w:val="00093A27"/>
    <w:rsid w:val="00093D30"/>
    <w:rsid w:val="00094389"/>
    <w:rsid w:val="00094BB7"/>
    <w:rsid w:val="00095543"/>
    <w:rsid w:val="00095E93"/>
    <w:rsid w:val="00096CE7"/>
    <w:rsid w:val="00096F38"/>
    <w:rsid w:val="00096F7B"/>
    <w:rsid w:val="00097199"/>
    <w:rsid w:val="000977C5"/>
    <w:rsid w:val="00097A6C"/>
    <w:rsid w:val="000A00CC"/>
    <w:rsid w:val="000A0769"/>
    <w:rsid w:val="000A0821"/>
    <w:rsid w:val="000A0A71"/>
    <w:rsid w:val="000A0B61"/>
    <w:rsid w:val="000A0E0E"/>
    <w:rsid w:val="000A1209"/>
    <w:rsid w:val="000A18CB"/>
    <w:rsid w:val="000A1C8F"/>
    <w:rsid w:val="000A1D09"/>
    <w:rsid w:val="000A1EE4"/>
    <w:rsid w:val="000A22AF"/>
    <w:rsid w:val="000A23F4"/>
    <w:rsid w:val="000A2CA8"/>
    <w:rsid w:val="000A2D86"/>
    <w:rsid w:val="000A3071"/>
    <w:rsid w:val="000A3157"/>
    <w:rsid w:val="000A3CE7"/>
    <w:rsid w:val="000A3F12"/>
    <w:rsid w:val="000A428E"/>
    <w:rsid w:val="000A4342"/>
    <w:rsid w:val="000A4746"/>
    <w:rsid w:val="000A52AA"/>
    <w:rsid w:val="000A56D8"/>
    <w:rsid w:val="000A58B5"/>
    <w:rsid w:val="000A5C99"/>
    <w:rsid w:val="000A5E9B"/>
    <w:rsid w:val="000A62CE"/>
    <w:rsid w:val="000A6662"/>
    <w:rsid w:val="000A67F2"/>
    <w:rsid w:val="000A6BB4"/>
    <w:rsid w:val="000A6CA2"/>
    <w:rsid w:val="000B06B6"/>
    <w:rsid w:val="000B0C2F"/>
    <w:rsid w:val="000B0E72"/>
    <w:rsid w:val="000B13FE"/>
    <w:rsid w:val="000B14F9"/>
    <w:rsid w:val="000B17C5"/>
    <w:rsid w:val="000B1C98"/>
    <w:rsid w:val="000B1E0C"/>
    <w:rsid w:val="000B1FFF"/>
    <w:rsid w:val="000B201B"/>
    <w:rsid w:val="000B217E"/>
    <w:rsid w:val="000B24D9"/>
    <w:rsid w:val="000B2587"/>
    <w:rsid w:val="000B2681"/>
    <w:rsid w:val="000B2847"/>
    <w:rsid w:val="000B288E"/>
    <w:rsid w:val="000B2A91"/>
    <w:rsid w:val="000B2F52"/>
    <w:rsid w:val="000B3919"/>
    <w:rsid w:val="000B3AE3"/>
    <w:rsid w:val="000B42D9"/>
    <w:rsid w:val="000B46A9"/>
    <w:rsid w:val="000B5230"/>
    <w:rsid w:val="000B58FE"/>
    <w:rsid w:val="000B60E9"/>
    <w:rsid w:val="000B6910"/>
    <w:rsid w:val="000B74D6"/>
    <w:rsid w:val="000B7C97"/>
    <w:rsid w:val="000B7FD3"/>
    <w:rsid w:val="000C02C0"/>
    <w:rsid w:val="000C02E2"/>
    <w:rsid w:val="000C0303"/>
    <w:rsid w:val="000C095F"/>
    <w:rsid w:val="000C0E53"/>
    <w:rsid w:val="000C1466"/>
    <w:rsid w:val="000C16A4"/>
    <w:rsid w:val="000C1770"/>
    <w:rsid w:val="000C1F40"/>
    <w:rsid w:val="000C2210"/>
    <w:rsid w:val="000C28F8"/>
    <w:rsid w:val="000C2D82"/>
    <w:rsid w:val="000C2F45"/>
    <w:rsid w:val="000C3767"/>
    <w:rsid w:val="000C4037"/>
    <w:rsid w:val="000C43F5"/>
    <w:rsid w:val="000C4429"/>
    <w:rsid w:val="000C465C"/>
    <w:rsid w:val="000C4CCB"/>
    <w:rsid w:val="000C5613"/>
    <w:rsid w:val="000C5A73"/>
    <w:rsid w:val="000C5DE2"/>
    <w:rsid w:val="000C60B5"/>
    <w:rsid w:val="000C617B"/>
    <w:rsid w:val="000C6BE5"/>
    <w:rsid w:val="000C6E42"/>
    <w:rsid w:val="000C7359"/>
    <w:rsid w:val="000C7CEC"/>
    <w:rsid w:val="000C7F8D"/>
    <w:rsid w:val="000D039A"/>
    <w:rsid w:val="000D0848"/>
    <w:rsid w:val="000D087B"/>
    <w:rsid w:val="000D118A"/>
    <w:rsid w:val="000D18AC"/>
    <w:rsid w:val="000D1952"/>
    <w:rsid w:val="000D1A7B"/>
    <w:rsid w:val="000D1CBD"/>
    <w:rsid w:val="000D1D88"/>
    <w:rsid w:val="000D2287"/>
    <w:rsid w:val="000D2318"/>
    <w:rsid w:val="000D2F6C"/>
    <w:rsid w:val="000D2F8A"/>
    <w:rsid w:val="000D3C26"/>
    <w:rsid w:val="000D3C6C"/>
    <w:rsid w:val="000D3E6A"/>
    <w:rsid w:val="000D3E70"/>
    <w:rsid w:val="000D3EFA"/>
    <w:rsid w:val="000D4250"/>
    <w:rsid w:val="000D42BD"/>
    <w:rsid w:val="000D4526"/>
    <w:rsid w:val="000D4821"/>
    <w:rsid w:val="000D48B2"/>
    <w:rsid w:val="000D4B9B"/>
    <w:rsid w:val="000D4BCA"/>
    <w:rsid w:val="000D4D6C"/>
    <w:rsid w:val="000D551B"/>
    <w:rsid w:val="000D5A0F"/>
    <w:rsid w:val="000D5A53"/>
    <w:rsid w:val="000D5C46"/>
    <w:rsid w:val="000D5F86"/>
    <w:rsid w:val="000D5F96"/>
    <w:rsid w:val="000D619B"/>
    <w:rsid w:val="000D66B5"/>
    <w:rsid w:val="000D6A0D"/>
    <w:rsid w:val="000D6C06"/>
    <w:rsid w:val="000D7A3D"/>
    <w:rsid w:val="000D7E95"/>
    <w:rsid w:val="000E0555"/>
    <w:rsid w:val="000E05E0"/>
    <w:rsid w:val="000E07BF"/>
    <w:rsid w:val="000E0A3E"/>
    <w:rsid w:val="000E0D89"/>
    <w:rsid w:val="000E10CC"/>
    <w:rsid w:val="000E1A06"/>
    <w:rsid w:val="000E1BE1"/>
    <w:rsid w:val="000E1DDC"/>
    <w:rsid w:val="000E2B1B"/>
    <w:rsid w:val="000E3502"/>
    <w:rsid w:val="000E3891"/>
    <w:rsid w:val="000E3BA7"/>
    <w:rsid w:val="000E437F"/>
    <w:rsid w:val="000E439E"/>
    <w:rsid w:val="000E4DD8"/>
    <w:rsid w:val="000E521D"/>
    <w:rsid w:val="000E5C3D"/>
    <w:rsid w:val="000E603D"/>
    <w:rsid w:val="000E6177"/>
    <w:rsid w:val="000E6E5B"/>
    <w:rsid w:val="000E7703"/>
    <w:rsid w:val="000E7DA1"/>
    <w:rsid w:val="000E7F97"/>
    <w:rsid w:val="000F0643"/>
    <w:rsid w:val="000F0C18"/>
    <w:rsid w:val="000F0C4E"/>
    <w:rsid w:val="000F0C78"/>
    <w:rsid w:val="000F0CBF"/>
    <w:rsid w:val="000F0CDF"/>
    <w:rsid w:val="000F0F68"/>
    <w:rsid w:val="000F1032"/>
    <w:rsid w:val="000F1832"/>
    <w:rsid w:val="000F25A0"/>
    <w:rsid w:val="000F27A4"/>
    <w:rsid w:val="000F2FB6"/>
    <w:rsid w:val="000F3ABB"/>
    <w:rsid w:val="000F3D4C"/>
    <w:rsid w:val="000F41AF"/>
    <w:rsid w:val="000F45D2"/>
    <w:rsid w:val="000F46F1"/>
    <w:rsid w:val="000F4878"/>
    <w:rsid w:val="000F4BC9"/>
    <w:rsid w:val="000F4BFC"/>
    <w:rsid w:val="000F4D93"/>
    <w:rsid w:val="000F621B"/>
    <w:rsid w:val="000F65C4"/>
    <w:rsid w:val="000F66CC"/>
    <w:rsid w:val="000F6895"/>
    <w:rsid w:val="000F6AE5"/>
    <w:rsid w:val="000F6B6C"/>
    <w:rsid w:val="000F6D51"/>
    <w:rsid w:val="000F6E42"/>
    <w:rsid w:val="000F74ED"/>
    <w:rsid w:val="000F78CE"/>
    <w:rsid w:val="000F7AAB"/>
    <w:rsid w:val="000F7BE8"/>
    <w:rsid w:val="0010047C"/>
    <w:rsid w:val="0010069A"/>
    <w:rsid w:val="00100EDA"/>
    <w:rsid w:val="00101207"/>
    <w:rsid w:val="00101315"/>
    <w:rsid w:val="00101619"/>
    <w:rsid w:val="001018B0"/>
    <w:rsid w:val="00101B43"/>
    <w:rsid w:val="00101D45"/>
    <w:rsid w:val="0010216A"/>
    <w:rsid w:val="001021AE"/>
    <w:rsid w:val="00102488"/>
    <w:rsid w:val="00102EBF"/>
    <w:rsid w:val="00102F87"/>
    <w:rsid w:val="001032F5"/>
    <w:rsid w:val="00103658"/>
    <w:rsid w:val="00103830"/>
    <w:rsid w:val="00103BCB"/>
    <w:rsid w:val="00103F64"/>
    <w:rsid w:val="00104615"/>
    <w:rsid w:val="00104810"/>
    <w:rsid w:val="00105547"/>
    <w:rsid w:val="001056FC"/>
    <w:rsid w:val="00105B41"/>
    <w:rsid w:val="00106285"/>
    <w:rsid w:val="0010647E"/>
    <w:rsid w:val="001064F7"/>
    <w:rsid w:val="00106CF7"/>
    <w:rsid w:val="001070D2"/>
    <w:rsid w:val="001071DA"/>
    <w:rsid w:val="00107A6D"/>
    <w:rsid w:val="00107A9C"/>
    <w:rsid w:val="00107C14"/>
    <w:rsid w:val="001103B9"/>
    <w:rsid w:val="0011063C"/>
    <w:rsid w:val="00110A5C"/>
    <w:rsid w:val="0011201F"/>
    <w:rsid w:val="0011219A"/>
    <w:rsid w:val="001121E5"/>
    <w:rsid w:val="00112332"/>
    <w:rsid w:val="00112542"/>
    <w:rsid w:val="00112935"/>
    <w:rsid w:val="0011337B"/>
    <w:rsid w:val="00113725"/>
    <w:rsid w:val="0011372F"/>
    <w:rsid w:val="001139DD"/>
    <w:rsid w:val="00113ABB"/>
    <w:rsid w:val="00113DAE"/>
    <w:rsid w:val="00113FA5"/>
    <w:rsid w:val="001143B4"/>
    <w:rsid w:val="00114417"/>
    <w:rsid w:val="00114638"/>
    <w:rsid w:val="0011519D"/>
    <w:rsid w:val="001153FF"/>
    <w:rsid w:val="0011544C"/>
    <w:rsid w:val="00115C34"/>
    <w:rsid w:val="00115D00"/>
    <w:rsid w:val="00115D7E"/>
    <w:rsid w:val="00115F2F"/>
    <w:rsid w:val="00116344"/>
    <w:rsid w:val="00116C27"/>
    <w:rsid w:val="00116F3F"/>
    <w:rsid w:val="00117DF5"/>
    <w:rsid w:val="001200F4"/>
    <w:rsid w:val="001201D2"/>
    <w:rsid w:val="00120283"/>
    <w:rsid w:val="00120298"/>
    <w:rsid w:val="001209FB"/>
    <w:rsid w:val="00120A29"/>
    <w:rsid w:val="00120AC2"/>
    <w:rsid w:val="00120EF6"/>
    <w:rsid w:val="001211F8"/>
    <w:rsid w:val="0012207F"/>
    <w:rsid w:val="00122478"/>
    <w:rsid w:val="00122B7A"/>
    <w:rsid w:val="001230A4"/>
    <w:rsid w:val="001230C4"/>
    <w:rsid w:val="001237DF"/>
    <w:rsid w:val="00123EF3"/>
    <w:rsid w:val="001243C7"/>
    <w:rsid w:val="001245DE"/>
    <w:rsid w:val="001246EE"/>
    <w:rsid w:val="001249A6"/>
    <w:rsid w:val="00124AC5"/>
    <w:rsid w:val="0012504B"/>
    <w:rsid w:val="00125061"/>
    <w:rsid w:val="00125118"/>
    <w:rsid w:val="0012548B"/>
    <w:rsid w:val="00125820"/>
    <w:rsid w:val="00125B61"/>
    <w:rsid w:val="00125F3C"/>
    <w:rsid w:val="0012665F"/>
    <w:rsid w:val="00126680"/>
    <w:rsid w:val="00127A74"/>
    <w:rsid w:val="00127E28"/>
    <w:rsid w:val="00130445"/>
    <w:rsid w:val="00130A3E"/>
    <w:rsid w:val="00130BBA"/>
    <w:rsid w:val="00131139"/>
    <w:rsid w:val="00131242"/>
    <w:rsid w:val="0013143F"/>
    <w:rsid w:val="001318C4"/>
    <w:rsid w:val="0013200C"/>
    <w:rsid w:val="00132081"/>
    <w:rsid w:val="001322BC"/>
    <w:rsid w:val="00132600"/>
    <w:rsid w:val="0013266C"/>
    <w:rsid w:val="00132724"/>
    <w:rsid w:val="00132847"/>
    <w:rsid w:val="001329A2"/>
    <w:rsid w:val="00132E71"/>
    <w:rsid w:val="001337BC"/>
    <w:rsid w:val="00133905"/>
    <w:rsid w:val="001339B5"/>
    <w:rsid w:val="00133BC4"/>
    <w:rsid w:val="00133C3B"/>
    <w:rsid w:val="00133C67"/>
    <w:rsid w:val="00133D75"/>
    <w:rsid w:val="00133F58"/>
    <w:rsid w:val="001340BD"/>
    <w:rsid w:val="0013427B"/>
    <w:rsid w:val="001346C8"/>
    <w:rsid w:val="001348BE"/>
    <w:rsid w:val="001348DA"/>
    <w:rsid w:val="00135B36"/>
    <w:rsid w:val="00136004"/>
    <w:rsid w:val="00136B70"/>
    <w:rsid w:val="00136EE5"/>
    <w:rsid w:val="0013735B"/>
    <w:rsid w:val="00137621"/>
    <w:rsid w:val="001400DE"/>
    <w:rsid w:val="00140AC4"/>
    <w:rsid w:val="00140D05"/>
    <w:rsid w:val="001414D6"/>
    <w:rsid w:val="001418E3"/>
    <w:rsid w:val="00141CAA"/>
    <w:rsid w:val="001421F8"/>
    <w:rsid w:val="001424FB"/>
    <w:rsid w:val="0014257C"/>
    <w:rsid w:val="001425BE"/>
    <w:rsid w:val="001427E5"/>
    <w:rsid w:val="00142AA1"/>
    <w:rsid w:val="00142B64"/>
    <w:rsid w:val="001436FA"/>
    <w:rsid w:val="001437A3"/>
    <w:rsid w:val="00143837"/>
    <w:rsid w:val="001438CD"/>
    <w:rsid w:val="00144134"/>
    <w:rsid w:val="001443E6"/>
    <w:rsid w:val="00144509"/>
    <w:rsid w:val="00144E31"/>
    <w:rsid w:val="001452A1"/>
    <w:rsid w:val="00145345"/>
    <w:rsid w:val="00145513"/>
    <w:rsid w:val="00145FDA"/>
    <w:rsid w:val="00146107"/>
    <w:rsid w:val="001467D8"/>
    <w:rsid w:val="0014697E"/>
    <w:rsid w:val="00146A84"/>
    <w:rsid w:val="00146D93"/>
    <w:rsid w:val="00146FF0"/>
    <w:rsid w:val="0014716B"/>
    <w:rsid w:val="001471BE"/>
    <w:rsid w:val="00147557"/>
    <w:rsid w:val="001478DF"/>
    <w:rsid w:val="00147CB4"/>
    <w:rsid w:val="00147F6D"/>
    <w:rsid w:val="00147FE0"/>
    <w:rsid w:val="0015038F"/>
    <w:rsid w:val="001507C9"/>
    <w:rsid w:val="00150BAE"/>
    <w:rsid w:val="001512BA"/>
    <w:rsid w:val="00151317"/>
    <w:rsid w:val="0015162E"/>
    <w:rsid w:val="00151905"/>
    <w:rsid w:val="00151931"/>
    <w:rsid w:val="001519A3"/>
    <w:rsid w:val="001521DE"/>
    <w:rsid w:val="0015240F"/>
    <w:rsid w:val="001525C6"/>
    <w:rsid w:val="00152715"/>
    <w:rsid w:val="001528FF"/>
    <w:rsid w:val="001546AC"/>
    <w:rsid w:val="00154E32"/>
    <w:rsid w:val="00154EC1"/>
    <w:rsid w:val="0015554C"/>
    <w:rsid w:val="00155D6F"/>
    <w:rsid w:val="001561DE"/>
    <w:rsid w:val="00156B46"/>
    <w:rsid w:val="00156C1C"/>
    <w:rsid w:val="00156C88"/>
    <w:rsid w:val="00156D55"/>
    <w:rsid w:val="001570DC"/>
    <w:rsid w:val="001575AA"/>
    <w:rsid w:val="001577B1"/>
    <w:rsid w:val="00157DB3"/>
    <w:rsid w:val="00160941"/>
    <w:rsid w:val="0016096B"/>
    <w:rsid w:val="00160977"/>
    <w:rsid w:val="00160CFB"/>
    <w:rsid w:val="0016124C"/>
    <w:rsid w:val="00161873"/>
    <w:rsid w:val="00161B30"/>
    <w:rsid w:val="00161C03"/>
    <w:rsid w:val="00162107"/>
    <w:rsid w:val="00162202"/>
    <w:rsid w:val="00162213"/>
    <w:rsid w:val="001624D2"/>
    <w:rsid w:val="0016294C"/>
    <w:rsid w:val="00162D91"/>
    <w:rsid w:val="001632EA"/>
    <w:rsid w:val="001636B6"/>
    <w:rsid w:val="001636CC"/>
    <w:rsid w:val="0016384A"/>
    <w:rsid w:val="00163FF6"/>
    <w:rsid w:val="0016407A"/>
    <w:rsid w:val="00164333"/>
    <w:rsid w:val="00164A20"/>
    <w:rsid w:val="001656BB"/>
    <w:rsid w:val="00165938"/>
    <w:rsid w:val="00165B37"/>
    <w:rsid w:val="00166051"/>
    <w:rsid w:val="00166366"/>
    <w:rsid w:val="00166891"/>
    <w:rsid w:val="0017069C"/>
    <w:rsid w:val="00171859"/>
    <w:rsid w:val="0017206D"/>
    <w:rsid w:val="001722C9"/>
    <w:rsid w:val="00172B5F"/>
    <w:rsid w:val="00172E13"/>
    <w:rsid w:val="00172E3F"/>
    <w:rsid w:val="00172EEF"/>
    <w:rsid w:val="00172F5E"/>
    <w:rsid w:val="001733CF"/>
    <w:rsid w:val="001735C5"/>
    <w:rsid w:val="00173CAC"/>
    <w:rsid w:val="0017421E"/>
    <w:rsid w:val="001745A4"/>
    <w:rsid w:val="00174676"/>
    <w:rsid w:val="001748D0"/>
    <w:rsid w:val="00174A31"/>
    <w:rsid w:val="00174AAA"/>
    <w:rsid w:val="00174F2C"/>
    <w:rsid w:val="00175892"/>
    <w:rsid w:val="00175A37"/>
    <w:rsid w:val="00175A50"/>
    <w:rsid w:val="00175E03"/>
    <w:rsid w:val="00175FD9"/>
    <w:rsid w:val="001801BE"/>
    <w:rsid w:val="00180578"/>
    <w:rsid w:val="00180B10"/>
    <w:rsid w:val="00181829"/>
    <w:rsid w:val="00181FCA"/>
    <w:rsid w:val="00182395"/>
    <w:rsid w:val="00182850"/>
    <w:rsid w:val="00182DD5"/>
    <w:rsid w:val="00182E77"/>
    <w:rsid w:val="001830DE"/>
    <w:rsid w:val="0018366F"/>
    <w:rsid w:val="00183750"/>
    <w:rsid w:val="00183FE9"/>
    <w:rsid w:val="001842F9"/>
    <w:rsid w:val="00184436"/>
    <w:rsid w:val="00184BD1"/>
    <w:rsid w:val="001851FE"/>
    <w:rsid w:val="0018581C"/>
    <w:rsid w:val="00185F9E"/>
    <w:rsid w:val="0018615F"/>
    <w:rsid w:val="001861EC"/>
    <w:rsid w:val="00186932"/>
    <w:rsid w:val="0018697D"/>
    <w:rsid w:val="0018764F"/>
    <w:rsid w:val="00187683"/>
    <w:rsid w:val="0018778C"/>
    <w:rsid w:val="00187B8E"/>
    <w:rsid w:val="001908FF"/>
    <w:rsid w:val="00190BD9"/>
    <w:rsid w:val="00190C25"/>
    <w:rsid w:val="00190CBF"/>
    <w:rsid w:val="00191048"/>
    <w:rsid w:val="00191322"/>
    <w:rsid w:val="0019135D"/>
    <w:rsid w:val="00191678"/>
    <w:rsid w:val="00191B3C"/>
    <w:rsid w:val="00191DF6"/>
    <w:rsid w:val="0019223F"/>
    <w:rsid w:val="001923C6"/>
    <w:rsid w:val="00192584"/>
    <w:rsid w:val="0019262A"/>
    <w:rsid w:val="00192BE4"/>
    <w:rsid w:val="00192D95"/>
    <w:rsid w:val="00193189"/>
    <w:rsid w:val="0019333F"/>
    <w:rsid w:val="0019339B"/>
    <w:rsid w:val="001937C6"/>
    <w:rsid w:val="001937E8"/>
    <w:rsid w:val="00193AA9"/>
    <w:rsid w:val="00193AC3"/>
    <w:rsid w:val="0019414A"/>
    <w:rsid w:val="00194152"/>
    <w:rsid w:val="001944AC"/>
    <w:rsid w:val="001952D9"/>
    <w:rsid w:val="0019542F"/>
    <w:rsid w:val="001956A0"/>
    <w:rsid w:val="001959EC"/>
    <w:rsid w:val="00195F9D"/>
    <w:rsid w:val="0019633E"/>
    <w:rsid w:val="00196405"/>
    <w:rsid w:val="00196C0C"/>
    <w:rsid w:val="00196C0E"/>
    <w:rsid w:val="00196F7B"/>
    <w:rsid w:val="00197914"/>
    <w:rsid w:val="0019794D"/>
    <w:rsid w:val="001979FB"/>
    <w:rsid w:val="00197AB7"/>
    <w:rsid w:val="00197AE3"/>
    <w:rsid w:val="00197B1F"/>
    <w:rsid w:val="00197DCE"/>
    <w:rsid w:val="00197EC8"/>
    <w:rsid w:val="001A02C0"/>
    <w:rsid w:val="001A0446"/>
    <w:rsid w:val="001A07A3"/>
    <w:rsid w:val="001A12D5"/>
    <w:rsid w:val="001A1894"/>
    <w:rsid w:val="001A18A4"/>
    <w:rsid w:val="001A1FA5"/>
    <w:rsid w:val="001A266E"/>
    <w:rsid w:val="001A2672"/>
    <w:rsid w:val="001A27A7"/>
    <w:rsid w:val="001A2953"/>
    <w:rsid w:val="001A2BDB"/>
    <w:rsid w:val="001A3260"/>
    <w:rsid w:val="001A32EA"/>
    <w:rsid w:val="001A3604"/>
    <w:rsid w:val="001A36BA"/>
    <w:rsid w:val="001A3B92"/>
    <w:rsid w:val="001A4290"/>
    <w:rsid w:val="001A49E1"/>
    <w:rsid w:val="001A4AB3"/>
    <w:rsid w:val="001A4B99"/>
    <w:rsid w:val="001A4D5B"/>
    <w:rsid w:val="001A5951"/>
    <w:rsid w:val="001A597C"/>
    <w:rsid w:val="001A5D45"/>
    <w:rsid w:val="001A6259"/>
    <w:rsid w:val="001A6891"/>
    <w:rsid w:val="001A6DDD"/>
    <w:rsid w:val="001A7042"/>
    <w:rsid w:val="001A7134"/>
    <w:rsid w:val="001A725F"/>
    <w:rsid w:val="001B05EA"/>
    <w:rsid w:val="001B1154"/>
    <w:rsid w:val="001B1609"/>
    <w:rsid w:val="001B1784"/>
    <w:rsid w:val="001B212A"/>
    <w:rsid w:val="001B2657"/>
    <w:rsid w:val="001B2AFB"/>
    <w:rsid w:val="001B2CAB"/>
    <w:rsid w:val="001B2DFC"/>
    <w:rsid w:val="001B2FDC"/>
    <w:rsid w:val="001B379F"/>
    <w:rsid w:val="001B3D3A"/>
    <w:rsid w:val="001B3D53"/>
    <w:rsid w:val="001B43DD"/>
    <w:rsid w:val="001B47DF"/>
    <w:rsid w:val="001B49D2"/>
    <w:rsid w:val="001B51B1"/>
    <w:rsid w:val="001B55C8"/>
    <w:rsid w:val="001B58CE"/>
    <w:rsid w:val="001B592F"/>
    <w:rsid w:val="001B5B95"/>
    <w:rsid w:val="001B6420"/>
    <w:rsid w:val="001B68EA"/>
    <w:rsid w:val="001B6BF0"/>
    <w:rsid w:val="001B6FE7"/>
    <w:rsid w:val="001B71A4"/>
    <w:rsid w:val="001B7317"/>
    <w:rsid w:val="001B7BFD"/>
    <w:rsid w:val="001B7D7C"/>
    <w:rsid w:val="001C0EF4"/>
    <w:rsid w:val="001C12AE"/>
    <w:rsid w:val="001C161A"/>
    <w:rsid w:val="001C1D1A"/>
    <w:rsid w:val="001C244C"/>
    <w:rsid w:val="001C28BE"/>
    <w:rsid w:val="001C2B3B"/>
    <w:rsid w:val="001C2B47"/>
    <w:rsid w:val="001C2D5C"/>
    <w:rsid w:val="001C30C8"/>
    <w:rsid w:val="001C33A4"/>
    <w:rsid w:val="001C36F3"/>
    <w:rsid w:val="001C36F9"/>
    <w:rsid w:val="001C38ED"/>
    <w:rsid w:val="001C3D44"/>
    <w:rsid w:val="001C461A"/>
    <w:rsid w:val="001C4829"/>
    <w:rsid w:val="001C4C75"/>
    <w:rsid w:val="001C56D9"/>
    <w:rsid w:val="001C59AA"/>
    <w:rsid w:val="001C5BB2"/>
    <w:rsid w:val="001C5DB9"/>
    <w:rsid w:val="001C5DEB"/>
    <w:rsid w:val="001C5E65"/>
    <w:rsid w:val="001C61FB"/>
    <w:rsid w:val="001C64EB"/>
    <w:rsid w:val="001C6789"/>
    <w:rsid w:val="001C68D9"/>
    <w:rsid w:val="001C68EB"/>
    <w:rsid w:val="001C700A"/>
    <w:rsid w:val="001C7549"/>
    <w:rsid w:val="001D043C"/>
    <w:rsid w:val="001D0511"/>
    <w:rsid w:val="001D19D5"/>
    <w:rsid w:val="001D19FE"/>
    <w:rsid w:val="001D1C42"/>
    <w:rsid w:val="001D20D1"/>
    <w:rsid w:val="001D214B"/>
    <w:rsid w:val="001D28B0"/>
    <w:rsid w:val="001D2EE7"/>
    <w:rsid w:val="001D2FB9"/>
    <w:rsid w:val="001D3831"/>
    <w:rsid w:val="001D4068"/>
    <w:rsid w:val="001D435D"/>
    <w:rsid w:val="001D4674"/>
    <w:rsid w:val="001D471F"/>
    <w:rsid w:val="001D49C5"/>
    <w:rsid w:val="001D4BD2"/>
    <w:rsid w:val="001D4C83"/>
    <w:rsid w:val="001D4C9D"/>
    <w:rsid w:val="001D4DB2"/>
    <w:rsid w:val="001D5040"/>
    <w:rsid w:val="001D5813"/>
    <w:rsid w:val="001D5D0B"/>
    <w:rsid w:val="001D6205"/>
    <w:rsid w:val="001D6368"/>
    <w:rsid w:val="001D6722"/>
    <w:rsid w:val="001D689D"/>
    <w:rsid w:val="001D6A02"/>
    <w:rsid w:val="001D6A14"/>
    <w:rsid w:val="001D6A48"/>
    <w:rsid w:val="001D6D0B"/>
    <w:rsid w:val="001D711D"/>
    <w:rsid w:val="001D717D"/>
    <w:rsid w:val="001D7DFE"/>
    <w:rsid w:val="001D7E9F"/>
    <w:rsid w:val="001E0C9F"/>
    <w:rsid w:val="001E1055"/>
    <w:rsid w:val="001E1281"/>
    <w:rsid w:val="001E1625"/>
    <w:rsid w:val="001E16C6"/>
    <w:rsid w:val="001E1B64"/>
    <w:rsid w:val="001E1EB5"/>
    <w:rsid w:val="001E2113"/>
    <w:rsid w:val="001E22A7"/>
    <w:rsid w:val="001E2339"/>
    <w:rsid w:val="001E2A5C"/>
    <w:rsid w:val="001E2F2A"/>
    <w:rsid w:val="001E316E"/>
    <w:rsid w:val="001E47B5"/>
    <w:rsid w:val="001E60C3"/>
    <w:rsid w:val="001E61F6"/>
    <w:rsid w:val="001E65AB"/>
    <w:rsid w:val="001E6B53"/>
    <w:rsid w:val="001E6D7F"/>
    <w:rsid w:val="001E723E"/>
    <w:rsid w:val="001E7AB2"/>
    <w:rsid w:val="001E7B4B"/>
    <w:rsid w:val="001E7C87"/>
    <w:rsid w:val="001E7E81"/>
    <w:rsid w:val="001F011F"/>
    <w:rsid w:val="001F04F2"/>
    <w:rsid w:val="001F06FF"/>
    <w:rsid w:val="001F07D0"/>
    <w:rsid w:val="001F07E9"/>
    <w:rsid w:val="001F103D"/>
    <w:rsid w:val="001F117E"/>
    <w:rsid w:val="001F140F"/>
    <w:rsid w:val="001F1511"/>
    <w:rsid w:val="001F169B"/>
    <w:rsid w:val="001F1A59"/>
    <w:rsid w:val="001F1C5F"/>
    <w:rsid w:val="001F21AD"/>
    <w:rsid w:val="001F29DD"/>
    <w:rsid w:val="001F2D2A"/>
    <w:rsid w:val="001F33B6"/>
    <w:rsid w:val="001F399A"/>
    <w:rsid w:val="001F3B38"/>
    <w:rsid w:val="001F3CE7"/>
    <w:rsid w:val="001F45E1"/>
    <w:rsid w:val="001F4BD3"/>
    <w:rsid w:val="001F5222"/>
    <w:rsid w:val="001F56C7"/>
    <w:rsid w:val="001F5799"/>
    <w:rsid w:val="001F5A8F"/>
    <w:rsid w:val="001F5BA6"/>
    <w:rsid w:val="001F6039"/>
    <w:rsid w:val="001F63DE"/>
    <w:rsid w:val="001F6468"/>
    <w:rsid w:val="001F70A9"/>
    <w:rsid w:val="001F7182"/>
    <w:rsid w:val="001F72BC"/>
    <w:rsid w:val="001F74AF"/>
    <w:rsid w:val="001F751B"/>
    <w:rsid w:val="001F758A"/>
    <w:rsid w:val="001F759A"/>
    <w:rsid w:val="001F7652"/>
    <w:rsid w:val="001F7787"/>
    <w:rsid w:val="001F780D"/>
    <w:rsid w:val="001F7DAE"/>
    <w:rsid w:val="00200398"/>
    <w:rsid w:val="00200B19"/>
    <w:rsid w:val="00200D34"/>
    <w:rsid w:val="00200EF3"/>
    <w:rsid w:val="0020107E"/>
    <w:rsid w:val="0020130A"/>
    <w:rsid w:val="002013F7"/>
    <w:rsid w:val="002014E6"/>
    <w:rsid w:val="0020154F"/>
    <w:rsid w:val="00201731"/>
    <w:rsid w:val="002017DB"/>
    <w:rsid w:val="00201D30"/>
    <w:rsid w:val="00201DEC"/>
    <w:rsid w:val="00201E11"/>
    <w:rsid w:val="00201E9F"/>
    <w:rsid w:val="00201EDE"/>
    <w:rsid w:val="00202244"/>
    <w:rsid w:val="00202E22"/>
    <w:rsid w:val="00202F39"/>
    <w:rsid w:val="00203048"/>
    <w:rsid w:val="0020325D"/>
    <w:rsid w:val="002033B3"/>
    <w:rsid w:val="002036DF"/>
    <w:rsid w:val="002038C0"/>
    <w:rsid w:val="00204716"/>
    <w:rsid w:val="0020496B"/>
    <w:rsid w:val="00204B71"/>
    <w:rsid w:val="00204F16"/>
    <w:rsid w:val="00205408"/>
    <w:rsid w:val="00205B3F"/>
    <w:rsid w:val="00205C06"/>
    <w:rsid w:val="00205F85"/>
    <w:rsid w:val="0020609C"/>
    <w:rsid w:val="002062B2"/>
    <w:rsid w:val="0020631F"/>
    <w:rsid w:val="00206724"/>
    <w:rsid w:val="00210243"/>
    <w:rsid w:val="0021028B"/>
    <w:rsid w:val="00210849"/>
    <w:rsid w:val="00210BCB"/>
    <w:rsid w:val="00210C53"/>
    <w:rsid w:val="00210F99"/>
    <w:rsid w:val="00211749"/>
    <w:rsid w:val="00212137"/>
    <w:rsid w:val="002121E6"/>
    <w:rsid w:val="0021236C"/>
    <w:rsid w:val="002123A9"/>
    <w:rsid w:val="00212BA4"/>
    <w:rsid w:val="00212BE9"/>
    <w:rsid w:val="00213384"/>
    <w:rsid w:val="002134B3"/>
    <w:rsid w:val="00213F6B"/>
    <w:rsid w:val="00214539"/>
    <w:rsid w:val="002147D2"/>
    <w:rsid w:val="00214929"/>
    <w:rsid w:val="00214A27"/>
    <w:rsid w:val="00214C72"/>
    <w:rsid w:val="00215CD9"/>
    <w:rsid w:val="00215D59"/>
    <w:rsid w:val="002160CC"/>
    <w:rsid w:val="00216375"/>
    <w:rsid w:val="002163D2"/>
    <w:rsid w:val="002168CA"/>
    <w:rsid w:val="002174A7"/>
    <w:rsid w:val="0021751B"/>
    <w:rsid w:val="0022002E"/>
    <w:rsid w:val="002201CF"/>
    <w:rsid w:val="0022028E"/>
    <w:rsid w:val="00220FCB"/>
    <w:rsid w:val="002213A3"/>
    <w:rsid w:val="002218A1"/>
    <w:rsid w:val="00221D03"/>
    <w:rsid w:val="00221DFE"/>
    <w:rsid w:val="00221E66"/>
    <w:rsid w:val="002220E0"/>
    <w:rsid w:val="00222392"/>
    <w:rsid w:val="00223599"/>
    <w:rsid w:val="00223C12"/>
    <w:rsid w:val="00223D7B"/>
    <w:rsid w:val="00224AAE"/>
    <w:rsid w:val="00224E37"/>
    <w:rsid w:val="00225774"/>
    <w:rsid w:val="0022577A"/>
    <w:rsid w:val="00225BF3"/>
    <w:rsid w:val="0022603D"/>
    <w:rsid w:val="00226221"/>
    <w:rsid w:val="0022622A"/>
    <w:rsid w:val="0022623E"/>
    <w:rsid w:val="002268C4"/>
    <w:rsid w:val="00226AF9"/>
    <w:rsid w:val="00226F68"/>
    <w:rsid w:val="0022720D"/>
    <w:rsid w:val="0022775F"/>
    <w:rsid w:val="00227BAA"/>
    <w:rsid w:val="00227E83"/>
    <w:rsid w:val="002300BD"/>
    <w:rsid w:val="00230701"/>
    <w:rsid w:val="002308FA"/>
    <w:rsid w:val="00230F64"/>
    <w:rsid w:val="00230F6D"/>
    <w:rsid w:val="00231223"/>
    <w:rsid w:val="0023158B"/>
    <w:rsid w:val="002321D0"/>
    <w:rsid w:val="00232357"/>
    <w:rsid w:val="002331EA"/>
    <w:rsid w:val="00233E2E"/>
    <w:rsid w:val="00234831"/>
    <w:rsid w:val="00234C9E"/>
    <w:rsid w:val="00234F13"/>
    <w:rsid w:val="00235076"/>
    <w:rsid w:val="002351E6"/>
    <w:rsid w:val="002351F0"/>
    <w:rsid w:val="00235499"/>
    <w:rsid w:val="0023561F"/>
    <w:rsid w:val="00235744"/>
    <w:rsid w:val="00235C6E"/>
    <w:rsid w:val="00236229"/>
    <w:rsid w:val="00236278"/>
    <w:rsid w:val="00236613"/>
    <w:rsid w:val="00237246"/>
    <w:rsid w:val="0023756F"/>
    <w:rsid w:val="002377A3"/>
    <w:rsid w:val="002378AB"/>
    <w:rsid w:val="002378F6"/>
    <w:rsid w:val="002401B9"/>
    <w:rsid w:val="00240B1C"/>
    <w:rsid w:val="00241067"/>
    <w:rsid w:val="0024168E"/>
    <w:rsid w:val="002418EB"/>
    <w:rsid w:val="00241E98"/>
    <w:rsid w:val="00242108"/>
    <w:rsid w:val="002424A7"/>
    <w:rsid w:val="00242A72"/>
    <w:rsid w:val="00242BC7"/>
    <w:rsid w:val="00243028"/>
    <w:rsid w:val="00243704"/>
    <w:rsid w:val="00243878"/>
    <w:rsid w:val="00243A3E"/>
    <w:rsid w:val="002442C7"/>
    <w:rsid w:val="0024446E"/>
    <w:rsid w:val="00244B8B"/>
    <w:rsid w:val="00244BE9"/>
    <w:rsid w:val="00244C08"/>
    <w:rsid w:val="0024524D"/>
    <w:rsid w:val="002455A5"/>
    <w:rsid w:val="002456F3"/>
    <w:rsid w:val="00245815"/>
    <w:rsid w:val="002458D6"/>
    <w:rsid w:val="00245AFF"/>
    <w:rsid w:val="00245BA8"/>
    <w:rsid w:val="0024636D"/>
    <w:rsid w:val="00246515"/>
    <w:rsid w:val="0024690E"/>
    <w:rsid w:val="00246C81"/>
    <w:rsid w:val="00246D2E"/>
    <w:rsid w:val="00247240"/>
    <w:rsid w:val="00247A5A"/>
    <w:rsid w:val="002503F4"/>
    <w:rsid w:val="002507A5"/>
    <w:rsid w:val="00250BDB"/>
    <w:rsid w:val="00250EB5"/>
    <w:rsid w:val="00250FAB"/>
    <w:rsid w:val="002515E8"/>
    <w:rsid w:val="0025160F"/>
    <w:rsid w:val="00251837"/>
    <w:rsid w:val="00252739"/>
    <w:rsid w:val="002528F9"/>
    <w:rsid w:val="00252A86"/>
    <w:rsid w:val="00252DAC"/>
    <w:rsid w:val="00252E68"/>
    <w:rsid w:val="002532FB"/>
    <w:rsid w:val="0025330F"/>
    <w:rsid w:val="002533F5"/>
    <w:rsid w:val="00253557"/>
    <w:rsid w:val="00253662"/>
    <w:rsid w:val="00253682"/>
    <w:rsid w:val="00253D55"/>
    <w:rsid w:val="0025418F"/>
    <w:rsid w:val="002547CF"/>
    <w:rsid w:val="00254CE0"/>
    <w:rsid w:val="00254ECA"/>
    <w:rsid w:val="00255265"/>
    <w:rsid w:val="0025556B"/>
    <w:rsid w:val="00255818"/>
    <w:rsid w:val="00255F91"/>
    <w:rsid w:val="00256014"/>
    <w:rsid w:val="00256192"/>
    <w:rsid w:val="00256250"/>
    <w:rsid w:val="002563C4"/>
    <w:rsid w:val="00256553"/>
    <w:rsid w:val="00256B92"/>
    <w:rsid w:val="00256DE9"/>
    <w:rsid w:val="002573E8"/>
    <w:rsid w:val="002576A2"/>
    <w:rsid w:val="00257944"/>
    <w:rsid w:val="00257D28"/>
    <w:rsid w:val="00257E36"/>
    <w:rsid w:val="002602C2"/>
    <w:rsid w:val="0026044D"/>
    <w:rsid w:val="002605DF"/>
    <w:rsid w:val="00260760"/>
    <w:rsid w:val="002608E2"/>
    <w:rsid w:val="00260BEC"/>
    <w:rsid w:val="00261889"/>
    <w:rsid w:val="00261B67"/>
    <w:rsid w:val="00262044"/>
    <w:rsid w:val="0026227C"/>
    <w:rsid w:val="0026255B"/>
    <w:rsid w:val="00262628"/>
    <w:rsid w:val="00262BA6"/>
    <w:rsid w:val="00262C6A"/>
    <w:rsid w:val="0026335D"/>
    <w:rsid w:val="0026343B"/>
    <w:rsid w:val="00263CAA"/>
    <w:rsid w:val="00264874"/>
    <w:rsid w:val="00264ABA"/>
    <w:rsid w:val="0026500A"/>
    <w:rsid w:val="00265455"/>
    <w:rsid w:val="00265A15"/>
    <w:rsid w:val="002661BB"/>
    <w:rsid w:val="00266589"/>
    <w:rsid w:val="00266635"/>
    <w:rsid w:val="00266664"/>
    <w:rsid w:val="00266951"/>
    <w:rsid w:val="00266AF6"/>
    <w:rsid w:val="00266FC4"/>
    <w:rsid w:val="00267485"/>
    <w:rsid w:val="00267D4B"/>
    <w:rsid w:val="00267F85"/>
    <w:rsid w:val="00270ED7"/>
    <w:rsid w:val="002712C8"/>
    <w:rsid w:val="0027134A"/>
    <w:rsid w:val="002713DB"/>
    <w:rsid w:val="0027143D"/>
    <w:rsid w:val="002718CE"/>
    <w:rsid w:val="00271930"/>
    <w:rsid w:val="002719ED"/>
    <w:rsid w:val="00271B75"/>
    <w:rsid w:val="00271EB8"/>
    <w:rsid w:val="00272265"/>
    <w:rsid w:val="002723B8"/>
    <w:rsid w:val="0027279D"/>
    <w:rsid w:val="00272DEB"/>
    <w:rsid w:val="00273160"/>
    <w:rsid w:val="0027338D"/>
    <w:rsid w:val="002744CB"/>
    <w:rsid w:val="0027482D"/>
    <w:rsid w:val="00274AC6"/>
    <w:rsid w:val="00274D4D"/>
    <w:rsid w:val="002752F0"/>
    <w:rsid w:val="002753A8"/>
    <w:rsid w:val="00275800"/>
    <w:rsid w:val="00275B35"/>
    <w:rsid w:val="00275D66"/>
    <w:rsid w:val="002761BB"/>
    <w:rsid w:val="002769CD"/>
    <w:rsid w:val="002769EE"/>
    <w:rsid w:val="00276A09"/>
    <w:rsid w:val="00277004"/>
    <w:rsid w:val="00277507"/>
    <w:rsid w:val="0027784E"/>
    <w:rsid w:val="00280025"/>
    <w:rsid w:val="0028023C"/>
    <w:rsid w:val="00280AA4"/>
    <w:rsid w:val="00280F26"/>
    <w:rsid w:val="0028106B"/>
    <w:rsid w:val="00281F54"/>
    <w:rsid w:val="00282075"/>
    <w:rsid w:val="00282450"/>
    <w:rsid w:val="002824E1"/>
    <w:rsid w:val="00282716"/>
    <w:rsid w:val="00282971"/>
    <w:rsid w:val="00282C4E"/>
    <w:rsid w:val="00283097"/>
    <w:rsid w:val="00283099"/>
    <w:rsid w:val="00283943"/>
    <w:rsid w:val="00283EA0"/>
    <w:rsid w:val="00284359"/>
    <w:rsid w:val="00284B30"/>
    <w:rsid w:val="0028529B"/>
    <w:rsid w:val="0028543C"/>
    <w:rsid w:val="00285DB8"/>
    <w:rsid w:val="00286267"/>
    <w:rsid w:val="002863C7"/>
    <w:rsid w:val="002869F9"/>
    <w:rsid w:val="00286B3E"/>
    <w:rsid w:val="00286CEA"/>
    <w:rsid w:val="00286E89"/>
    <w:rsid w:val="00286FF5"/>
    <w:rsid w:val="00287482"/>
    <w:rsid w:val="002878E4"/>
    <w:rsid w:val="002902E1"/>
    <w:rsid w:val="00290407"/>
    <w:rsid w:val="00290705"/>
    <w:rsid w:val="00290E89"/>
    <w:rsid w:val="0029106F"/>
    <w:rsid w:val="0029138D"/>
    <w:rsid w:val="00291984"/>
    <w:rsid w:val="00291ABF"/>
    <w:rsid w:val="00291C0E"/>
    <w:rsid w:val="00291DE6"/>
    <w:rsid w:val="00291EAD"/>
    <w:rsid w:val="00291F8C"/>
    <w:rsid w:val="00292373"/>
    <w:rsid w:val="00292406"/>
    <w:rsid w:val="002925BC"/>
    <w:rsid w:val="002929BF"/>
    <w:rsid w:val="00292ABF"/>
    <w:rsid w:val="00292C2F"/>
    <w:rsid w:val="00292E1D"/>
    <w:rsid w:val="00292E3B"/>
    <w:rsid w:val="00293669"/>
    <w:rsid w:val="00293EFF"/>
    <w:rsid w:val="00294195"/>
    <w:rsid w:val="00294BC3"/>
    <w:rsid w:val="00295868"/>
    <w:rsid w:val="00295CAC"/>
    <w:rsid w:val="00296078"/>
    <w:rsid w:val="00296E96"/>
    <w:rsid w:val="002976AD"/>
    <w:rsid w:val="002977CB"/>
    <w:rsid w:val="0029784D"/>
    <w:rsid w:val="002979AC"/>
    <w:rsid w:val="00297AC9"/>
    <w:rsid w:val="002A0198"/>
    <w:rsid w:val="002A05CE"/>
    <w:rsid w:val="002A0728"/>
    <w:rsid w:val="002A08A0"/>
    <w:rsid w:val="002A094B"/>
    <w:rsid w:val="002A094E"/>
    <w:rsid w:val="002A0A66"/>
    <w:rsid w:val="002A0A9B"/>
    <w:rsid w:val="002A0D56"/>
    <w:rsid w:val="002A0EED"/>
    <w:rsid w:val="002A1787"/>
    <w:rsid w:val="002A186F"/>
    <w:rsid w:val="002A1CC2"/>
    <w:rsid w:val="002A1CCA"/>
    <w:rsid w:val="002A2873"/>
    <w:rsid w:val="002A2AFE"/>
    <w:rsid w:val="002A2F94"/>
    <w:rsid w:val="002A322B"/>
    <w:rsid w:val="002A328D"/>
    <w:rsid w:val="002A3308"/>
    <w:rsid w:val="002A379B"/>
    <w:rsid w:val="002A4AD8"/>
    <w:rsid w:val="002A50CB"/>
    <w:rsid w:val="002A51DA"/>
    <w:rsid w:val="002A579E"/>
    <w:rsid w:val="002A618D"/>
    <w:rsid w:val="002A748C"/>
    <w:rsid w:val="002A749F"/>
    <w:rsid w:val="002A7811"/>
    <w:rsid w:val="002A7898"/>
    <w:rsid w:val="002A7EF1"/>
    <w:rsid w:val="002A7EF8"/>
    <w:rsid w:val="002B0500"/>
    <w:rsid w:val="002B0725"/>
    <w:rsid w:val="002B08F5"/>
    <w:rsid w:val="002B0BDD"/>
    <w:rsid w:val="002B1110"/>
    <w:rsid w:val="002B1814"/>
    <w:rsid w:val="002B19E8"/>
    <w:rsid w:val="002B297D"/>
    <w:rsid w:val="002B3390"/>
    <w:rsid w:val="002B3E3A"/>
    <w:rsid w:val="002B4111"/>
    <w:rsid w:val="002B531A"/>
    <w:rsid w:val="002B5450"/>
    <w:rsid w:val="002B54B5"/>
    <w:rsid w:val="002B5944"/>
    <w:rsid w:val="002B5C01"/>
    <w:rsid w:val="002B5CB5"/>
    <w:rsid w:val="002B5D8B"/>
    <w:rsid w:val="002B62F8"/>
    <w:rsid w:val="002B6C0E"/>
    <w:rsid w:val="002B6D18"/>
    <w:rsid w:val="002B6E67"/>
    <w:rsid w:val="002B6E72"/>
    <w:rsid w:val="002B70BA"/>
    <w:rsid w:val="002B71EB"/>
    <w:rsid w:val="002B72F5"/>
    <w:rsid w:val="002B7311"/>
    <w:rsid w:val="002B767A"/>
    <w:rsid w:val="002B7A0D"/>
    <w:rsid w:val="002B7B64"/>
    <w:rsid w:val="002C0357"/>
    <w:rsid w:val="002C073F"/>
    <w:rsid w:val="002C09C3"/>
    <w:rsid w:val="002C0B6B"/>
    <w:rsid w:val="002C11C0"/>
    <w:rsid w:val="002C15B6"/>
    <w:rsid w:val="002C1635"/>
    <w:rsid w:val="002C1905"/>
    <w:rsid w:val="002C1918"/>
    <w:rsid w:val="002C19F0"/>
    <w:rsid w:val="002C20BD"/>
    <w:rsid w:val="002C289F"/>
    <w:rsid w:val="002C2AED"/>
    <w:rsid w:val="002C2BB2"/>
    <w:rsid w:val="002C2BCC"/>
    <w:rsid w:val="002C2E83"/>
    <w:rsid w:val="002C2FDF"/>
    <w:rsid w:val="002C313C"/>
    <w:rsid w:val="002C32D6"/>
    <w:rsid w:val="002C334F"/>
    <w:rsid w:val="002C34FA"/>
    <w:rsid w:val="002C351B"/>
    <w:rsid w:val="002C380D"/>
    <w:rsid w:val="002C4238"/>
    <w:rsid w:val="002C4296"/>
    <w:rsid w:val="002C4A26"/>
    <w:rsid w:val="002C4FCC"/>
    <w:rsid w:val="002C5B6F"/>
    <w:rsid w:val="002C5C6D"/>
    <w:rsid w:val="002C5C9F"/>
    <w:rsid w:val="002C64B7"/>
    <w:rsid w:val="002C6680"/>
    <w:rsid w:val="002C6823"/>
    <w:rsid w:val="002C6AD0"/>
    <w:rsid w:val="002C6CF3"/>
    <w:rsid w:val="002C721C"/>
    <w:rsid w:val="002C78B3"/>
    <w:rsid w:val="002D05B6"/>
    <w:rsid w:val="002D067E"/>
    <w:rsid w:val="002D080E"/>
    <w:rsid w:val="002D0EC6"/>
    <w:rsid w:val="002D13B0"/>
    <w:rsid w:val="002D13EC"/>
    <w:rsid w:val="002D1467"/>
    <w:rsid w:val="002D1FC8"/>
    <w:rsid w:val="002D2113"/>
    <w:rsid w:val="002D266D"/>
    <w:rsid w:val="002D318B"/>
    <w:rsid w:val="002D33F1"/>
    <w:rsid w:val="002D3521"/>
    <w:rsid w:val="002D38FB"/>
    <w:rsid w:val="002D3A8D"/>
    <w:rsid w:val="002D3C11"/>
    <w:rsid w:val="002D3D05"/>
    <w:rsid w:val="002D3D83"/>
    <w:rsid w:val="002D3E15"/>
    <w:rsid w:val="002D4321"/>
    <w:rsid w:val="002D4424"/>
    <w:rsid w:val="002D44AA"/>
    <w:rsid w:val="002D4781"/>
    <w:rsid w:val="002D47AF"/>
    <w:rsid w:val="002D53A5"/>
    <w:rsid w:val="002D540B"/>
    <w:rsid w:val="002D627A"/>
    <w:rsid w:val="002D6533"/>
    <w:rsid w:val="002D6C59"/>
    <w:rsid w:val="002D709B"/>
    <w:rsid w:val="002D7124"/>
    <w:rsid w:val="002D7A7E"/>
    <w:rsid w:val="002E01C7"/>
    <w:rsid w:val="002E09D5"/>
    <w:rsid w:val="002E0AFB"/>
    <w:rsid w:val="002E0DEF"/>
    <w:rsid w:val="002E0E13"/>
    <w:rsid w:val="002E0F2C"/>
    <w:rsid w:val="002E1247"/>
    <w:rsid w:val="002E1C4E"/>
    <w:rsid w:val="002E1DE3"/>
    <w:rsid w:val="002E2C59"/>
    <w:rsid w:val="002E2C65"/>
    <w:rsid w:val="002E3086"/>
    <w:rsid w:val="002E30E2"/>
    <w:rsid w:val="002E32A2"/>
    <w:rsid w:val="002E3331"/>
    <w:rsid w:val="002E3482"/>
    <w:rsid w:val="002E349D"/>
    <w:rsid w:val="002E3902"/>
    <w:rsid w:val="002E3A83"/>
    <w:rsid w:val="002E3D13"/>
    <w:rsid w:val="002E4301"/>
    <w:rsid w:val="002E430C"/>
    <w:rsid w:val="002E475A"/>
    <w:rsid w:val="002E4E77"/>
    <w:rsid w:val="002E53B6"/>
    <w:rsid w:val="002E53BF"/>
    <w:rsid w:val="002E55D6"/>
    <w:rsid w:val="002E5772"/>
    <w:rsid w:val="002E5B5F"/>
    <w:rsid w:val="002E5BE5"/>
    <w:rsid w:val="002E5E63"/>
    <w:rsid w:val="002E60EE"/>
    <w:rsid w:val="002E61E0"/>
    <w:rsid w:val="002E62E0"/>
    <w:rsid w:val="002E6DF6"/>
    <w:rsid w:val="002E72FE"/>
    <w:rsid w:val="002E7D80"/>
    <w:rsid w:val="002E7FAA"/>
    <w:rsid w:val="002F068E"/>
    <w:rsid w:val="002F0C23"/>
    <w:rsid w:val="002F0C2F"/>
    <w:rsid w:val="002F0F2A"/>
    <w:rsid w:val="002F13CC"/>
    <w:rsid w:val="002F1436"/>
    <w:rsid w:val="002F285D"/>
    <w:rsid w:val="002F2957"/>
    <w:rsid w:val="002F297D"/>
    <w:rsid w:val="002F2A35"/>
    <w:rsid w:val="002F2B87"/>
    <w:rsid w:val="002F2E82"/>
    <w:rsid w:val="002F3162"/>
    <w:rsid w:val="002F34A0"/>
    <w:rsid w:val="002F35F6"/>
    <w:rsid w:val="002F36E4"/>
    <w:rsid w:val="002F3FAC"/>
    <w:rsid w:val="002F4479"/>
    <w:rsid w:val="002F4C50"/>
    <w:rsid w:val="002F557D"/>
    <w:rsid w:val="002F56C4"/>
    <w:rsid w:val="002F60F7"/>
    <w:rsid w:val="002F6577"/>
    <w:rsid w:val="002F6F08"/>
    <w:rsid w:val="002F715A"/>
    <w:rsid w:val="002F7540"/>
    <w:rsid w:val="002F7B59"/>
    <w:rsid w:val="00300784"/>
    <w:rsid w:val="00300D97"/>
    <w:rsid w:val="00301052"/>
    <w:rsid w:val="00301C7E"/>
    <w:rsid w:val="0030251B"/>
    <w:rsid w:val="003028DA"/>
    <w:rsid w:val="003033A5"/>
    <w:rsid w:val="00303E5C"/>
    <w:rsid w:val="003044CA"/>
    <w:rsid w:val="003045FF"/>
    <w:rsid w:val="00304859"/>
    <w:rsid w:val="00304E72"/>
    <w:rsid w:val="00304FF3"/>
    <w:rsid w:val="003056E7"/>
    <w:rsid w:val="0030579F"/>
    <w:rsid w:val="0030584C"/>
    <w:rsid w:val="00305BFE"/>
    <w:rsid w:val="00306205"/>
    <w:rsid w:val="00306A63"/>
    <w:rsid w:val="00306C4C"/>
    <w:rsid w:val="00306CD4"/>
    <w:rsid w:val="00307577"/>
    <w:rsid w:val="00307756"/>
    <w:rsid w:val="003106DC"/>
    <w:rsid w:val="00310BE5"/>
    <w:rsid w:val="00310EAD"/>
    <w:rsid w:val="00310F75"/>
    <w:rsid w:val="00311505"/>
    <w:rsid w:val="00311936"/>
    <w:rsid w:val="00311AFA"/>
    <w:rsid w:val="00312053"/>
    <w:rsid w:val="003121B9"/>
    <w:rsid w:val="0031229E"/>
    <w:rsid w:val="0031246E"/>
    <w:rsid w:val="00312F50"/>
    <w:rsid w:val="00312F5D"/>
    <w:rsid w:val="00312F79"/>
    <w:rsid w:val="00312F88"/>
    <w:rsid w:val="0031302B"/>
    <w:rsid w:val="003131FD"/>
    <w:rsid w:val="00313367"/>
    <w:rsid w:val="003133AE"/>
    <w:rsid w:val="0031379E"/>
    <w:rsid w:val="0031388F"/>
    <w:rsid w:val="00313DB3"/>
    <w:rsid w:val="00314A24"/>
    <w:rsid w:val="00314DBE"/>
    <w:rsid w:val="00314E68"/>
    <w:rsid w:val="00315815"/>
    <w:rsid w:val="00315A5B"/>
    <w:rsid w:val="00315C24"/>
    <w:rsid w:val="00315CD9"/>
    <w:rsid w:val="0031691C"/>
    <w:rsid w:val="00317153"/>
    <w:rsid w:val="003178B1"/>
    <w:rsid w:val="003208A4"/>
    <w:rsid w:val="0032090D"/>
    <w:rsid w:val="003209F9"/>
    <w:rsid w:val="00320D3E"/>
    <w:rsid w:val="00321836"/>
    <w:rsid w:val="00322503"/>
    <w:rsid w:val="00322827"/>
    <w:rsid w:val="00323524"/>
    <w:rsid w:val="0032375F"/>
    <w:rsid w:val="00323A07"/>
    <w:rsid w:val="00323C58"/>
    <w:rsid w:val="0032409A"/>
    <w:rsid w:val="003244AE"/>
    <w:rsid w:val="0032468B"/>
    <w:rsid w:val="00324827"/>
    <w:rsid w:val="00324920"/>
    <w:rsid w:val="00324BC6"/>
    <w:rsid w:val="00324C8F"/>
    <w:rsid w:val="00325223"/>
    <w:rsid w:val="00325445"/>
    <w:rsid w:val="003255CC"/>
    <w:rsid w:val="00325F86"/>
    <w:rsid w:val="0032636F"/>
    <w:rsid w:val="0032642E"/>
    <w:rsid w:val="00326688"/>
    <w:rsid w:val="00327165"/>
    <w:rsid w:val="00330209"/>
    <w:rsid w:val="00330322"/>
    <w:rsid w:val="0033037F"/>
    <w:rsid w:val="00330414"/>
    <w:rsid w:val="00330D9F"/>
    <w:rsid w:val="00330E4B"/>
    <w:rsid w:val="00330E65"/>
    <w:rsid w:val="003312BB"/>
    <w:rsid w:val="0033159C"/>
    <w:rsid w:val="0033172B"/>
    <w:rsid w:val="00331913"/>
    <w:rsid w:val="00332037"/>
    <w:rsid w:val="003321C8"/>
    <w:rsid w:val="00332E70"/>
    <w:rsid w:val="00332EE5"/>
    <w:rsid w:val="00333B36"/>
    <w:rsid w:val="00333F65"/>
    <w:rsid w:val="00334102"/>
    <w:rsid w:val="0033417A"/>
    <w:rsid w:val="00334434"/>
    <w:rsid w:val="00334760"/>
    <w:rsid w:val="0033491B"/>
    <w:rsid w:val="00334A51"/>
    <w:rsid w:val="00334C90"/>
    <w:rsid w:val="00334D2A"/>
    <w:rsid w:val="00334F07"/>
    <w:rsid w:val="003357D0"/>
    <w:rsid w:val="003358F4"/>
    <w:rsid w:val="00335B24"/>
    <w:rsid w:val="00335C99"/>
    <w:rsid w:val="00335CFB"/>
    <w:rsid w:val="0033607D"/>
    <w:rsid w:val="00336718"/>
    <w:rsid w:val="00336E8B"/>
    <w:rsid w:val="003374DC"/>
    <w:rsid w:val="00337902"/>
    <w:rsid w:val="00337F56"/>
    <w:rsid w:val="003400AF"/>
    <w:rsid w:val="003404CD"/>
    <w:rsid w:val="00341924"/>
    <w:rsid w:val="0034246F"/>
    <w:rsid w:val="00342EAF"/>
    <w:rsid w:val="0034342E"/>
    <w:rsid w:val="003434CA"/>
    <w:rsid w:val="00343645"/>
    <w:rsid w:val="00343806"/>
    <w:rsid w:val="00343C4A"/>
    <w:rsid w:val="003449E4"/>
    <w:rsid w:val="00344AB7"/>
    <w:rsid w:val="00344B92"/>
    <w:rsid w:val="00344D69"/>
    <w:rsid w:val="00344F50"/>
    <w:rsid w:val="003450B6"/>
    <w:rsid w:val="00345299"/>
    <w:rsid w:val="003455FC"/>
    <w:rsid w:val="00345A74"/>
    <w:rsid w:val="00345EE1"/>
    <w:rsid w:val="003461F3"/>
    <w:rsid w:val="003462AE"/>
    <w:rsid w:val="00346333"/>
    <w:rsid w:val="00346354"/>
    <w:rsid w:val="0034667E"/>
    <w:rsid w:val="00346991"/>
    <w:rsid w:val="00346D01"/>
    <w:rsid w:val="0034738F"/>
    <w:rsid w:val="00347550"/>
    <w:rsid w:val="00347C26"/>
    <w:rsid w:val="003500F4"/>
    <w:rsid w:val="00350318"/>
    <w:rsid w:val="003504FE"/>
    <w:rsid w:val="0035060A"/>
    <w:rsid w:val="00350923"/>
    <w:rsid w:val="00350C41"/>
    <w:rsid w:val="00350F04"/>
    <w:rsid w:val="0035102B"/>
    <w:rsid w:val="00351A10"/>
    <w:rsid w:val="00351D65"/>
    <w:rsid w:val="00352178"/>
    <w:rsid w:val="00352372"/>
    <w:rsid w:val="00352DB4"/>
    <w:rsid w:val="003531BE"/>
    <w:rsid w:val="00353312"/>
    <w:rsid w:val="0035390A"/>
    <w:rsid w:val="003539C9"/>
    <w:rsid w:val="00353A86"/>
    <w:rsid w:val="00353E9F"/>
    <w:rsid w:val="00354328"/>
    <w:rsid w:val="00354387"/>
    <w:rsid w:val="003548B5"/>
    <w:rsid w:val="00355A29"/>
    <w:rsid w:val="00355F40"/>
    <w:rsid w:val="003563A5"/>
    <w:rsid w:val="00356522"/>
    <w:rsid w:val="0035678C"/>
    <w:rsid w:val="00356C7C"/>
    <w:rsid w:val="00356DAE"/>
    <w:rsid w:val="003574B3"/>
    <w:rsid w:val="00357CBE"/>
    <w:rsid w:val="003600D0"/>
    <w:rsid w:val="00360603"/>
    <w:rsid w:val="003607EC"/>
    <w:rsid w:val="00361105"/>
    <w:rsid w:val="003614D4"/>
    <w:rsid w:val="003623E0"/>
    <w:rsid w:val="00362AE2"/>
    <w:rsid w:val="00362DCE"/>
    <w:rsid w:val="00362E19"/>
    <w:rsid w:val="00362FC6"/>
    <w:rsid w:val="003632F5"/>
    <w:rsid w:val="003634BC"/>
    <w:rsid w:val="003635A9"/>
    <w:rsid w:val="00363ABF"/>
    <w:rsid w:val="00363D96"/>
    <w:rsid w:val="00363E0E"/>
    <w:rsid w:val="00364058"/>
    <w:rsid w:val="0036486F"/>
    <w:rsid w:val="00364C7D"/>
    <w:rsid w:val="00364DA7"/>
    <w:rsid w:val="00364F40"/>
    <w:rsid w:val="00364FD2"/>
    <w:rsid w:val="003652C2"/>
    <w:rsid w:val="00365423"/>
    <w:rsid w:val="003654F2"/>
    <w:rsid w:val="0036578D"/>
    <w:rsid w:val="003658D8"/>
    <w:rsid w:val="0036599B"/>
    <w:rsid w:val="00365A03"/>
    <w:rsid w:val="003661FF"/>
    <w:rsid w:val="0036636C"/>
    <w:rsid w:val="0036644D"/>
    <w:rsid w:val="00366659"/>
    <w:rsid w:val="00366FAE"/>
    <w:rsid w:val="003677A5"/>
    <w:rsid w:val="00367882"/>
    <w:rsid w:val="0037083C"/>
    <w:rsid w:val="00370873"/>
    <w:rsid w:val="003711A0"/>
    <w:rsid w:val="003711E8"/>
    <w:rsid w:val="00371AB1"/>
    <w:rsid w:val="003721CA"/>
    <w:rsid w:val="0037267E"/>
    <w:rsid w:val="00372825"/>
    <w:rsid w:val="003729AE"/>
    <w:rsid w:val="00372B6D"/>
    <w:rsid w:val="003732F9"/>
    <w:rsid w:val="00373B2F"/>
    <w:rsid w:val="00374072"/>
    <w:rsid w:val="003744FC"/>
    <w:rsid w:val="00374B7A"/>
    <w:rsid w:val="00374C44"/>
    <w:rsid w:val="00375462"/>
    <w:rsid w:val="00375657"/>
    <w:rsid w:val="00375715"/>
    <w:rsid w:val="00375B40"/>
    <w:rsid w:val="00375D9B"/>
    <w:rsid w:val="003766BA"/>
    <w:rsid w:val="00376B17"/>
    <w:rsid w:val="00376EC9"/>
    <w:rsid w:val="00376F52"/>
    <w:rsid w:val="00377795"/>
    <w:rsid w:val="00377C91"/>
    <w:rsid w:val="00377D4C"/>
    <w:rsid w:val="00377F9F"/>
    <w:rsid w:val="0038097C"/>
    <w:rsid w:val="00381420"/>
    <w:rsid w:val="0038259C"/>
    <w:rsid w:val="00382A18"/>
    <w:rsid w:val="00382D9D"/>
    <w:rsid w:val="0038329B"/>
    <w:rsid w:val="003832D1"/>
    <w:rsid w:val="0038364B"/>
    <w:rsid w:val="00383A74"/>
    <w:rsid w:val="00383B67"/>
    <w:rsid w:val="00383ED9"/>
    <w:rsid w:val="00383EDD"/>
    <w:rsid w:val="003840C6"/>
    <w:rsid w:val="003841DD"/>
    <w:rsid w:val="00385001"/>
    <w:rsid w:val="00385108"/>
    <w:rsid w:val="0038561C"/>
    <w:rsid w:val="003859FC"/>
    <w:rsid w:val="00386163"/>
    <w:rsid w:val="003864B5"/>
    <w:rsid w:val="00386A3D"/>
    <w:rsid w:val="00386DAC"/>
    <w:rsid w:val="00386E95"/>
    <w:rsid w:val="003871D9"/>
    <w:rsid w:val="003874A6"/>
    <w:rsid w:val="003876B3"/>
    <w:rsid w:val="003876E1"/>
    <w:rsid w:val="00387707"/>
    <w:rsid w:val="00387A47"/>
    <w:rsid w:val="00387D33"/>
    <w:rsid w:val="00387D75"/>
    <w:rsid w:val="003910E1"/>
    <w:rsid w:val="0039131A"/>
    <w:rsid w:val="003914F4"/>
    <w:rsid w:val="003916C7"/>
    <w:rsid w:val="0039178F"/>
    <w:rsid w:val="00391C9C"/>
    <w:rsid w:val="00392289"/>
    <w:rsid w:val="0039302C"/>
    <w:rsid w:val="00393E6B"/>
    <w:rsid w:val="00393E90"/>
    <w:rsid w:val="00393ECA"/>
    <w:rsid w:val="00394378"/>
    <w:rsid w:val="003946C5"/>
    <w:rsid w:val="00394803"/>
    <w:rsid w:val="00395AA9"/>
    <w:rsid w:val="00395B82"/>
    <w:rsid w:val="00395D9E"/>
    <w:rsid w:val="003969C4"/>
    <w:rsid w:val="0039780C"/>
    <w:rsid w:val="00397940"/>
    <w:rsid w:val="00397952"/>
    <w:rsid w:val="00397C32"/>
    <w:rsid w:val="00397E35"/>
    <w:rsid w:val="00397E6A"/>
    <w:rsid w:val="003A0213"/>
    <w:rsid w:val="003A0814"/>
    <w:rsid w:val="003A0AB0"/>
    <w:rsid w:val="003A147C"/>
    <w:rsid w:val="003A18A3"/>
    <w:rsid w:val="003A1A0A"/>
    <w:rsid w:val="003A1C7D"/>
    <w:rsid w:val="003A2AE2"/>
    <w:rsid w:val="003A2D08"/>
    <w:rsid w:val="003A310D"/>
    <w:rsid w:val="003A338F"/>
    <w:rsid w:val="003A34EA"/>
    <w:rsid w:val="003A35A7"/>
    <w:rsid w:val="003A3695"/>
    <w:rsid w:val="003A3A24"/>
    <w:rsid w:val="003A44E3"/>
    <w:rsid w:val="003A4DC6"/>
    <w:rsid w:val="003A5025"/>
    <w:rsid w:val="003A5647"/>
    <w:rsid w:val="003A5B21"/>
    <w:rsid w:val="003A60E7"/>
    <w:rsid w:val="003A6383"/>
    <w:rsid w:val="003A6498"/>
    <w:rsid w:val="003A66F2"/>
    <w:rsid w:val="003A6FD4"/>
    <w:rsid w:val="003A70D4"/>
    <w:rsid w:val="003A721F"/>
    <w:rsid w:val="003A744A"/>
    <w:rsid w:val="003A74F7"/>
    <w:rsid w:val="003A7758"/>
    <w:rsid w:val="003A7B89"/>
    <w:rsid w:val="003A7BED"/>
    <w:rsid w:val="003B01A5"/>
    <w:rsid w:val="003B02E3"/>
    <w:rsid w:val="003B0453"/>
    <w:rsid w:val="003B13D8"/>
    <w:rsid w:val="003B1457"/>
    <w:rsid w:val="003B160D"/>
    <w:rsid w:val="003B1769"/>
    <w:rsid w:val="003B1B37"/>
    <w:rsid w:val="003B1C04"/>
    <w:rsid w:val="003B1C24"/>
    <w:rsid w:val="003B1C78"/>
    <w:rsid w:val="003B1D91"/>
    <w:rsid w:val="003B229C"/>
    <w:rsid w:val="003B22AE"/>
    <w:rsid w:val="003B235D"/>
    <w:rsid w:val="003B2B01"/>
    <w:rsid w:val="003B2C4F"/>
    <w:rsid w:val="003B2C75"/>
    <w:rsid w:val="003B2D99"/>
    <w:rsid w:val="003B4460"/>
    <w:rsid w:val="003B4553"/>
    <w:rsid w:val="003B4794"/>
    <w:rsid w:val="003B4842"/>
    <w:rsid w:val="003B4A34"/>
    <w:rsid w:val="003B4B3F"/>
    <w:rsid w:val="003B4BC0"/>
    <w:rsid w:val="003B4E4E"/>
    <w:rsid w:val="003B5570"/>
    <w:rsid w:val="003B590B"/>
    <w:rsid w:val="003B5BB4"/>
    <w:rsid w:val="003B5C00"/>
    <w:rsid w:val="003B5C93"/>
    <w:rsid w:val="003B5CB3"/>
    <w:rsid w:val="003B5D5E"/>
    <w:rsid w:val="003B6152"/>
    <w:rsid w:val="003B61D5"/>
    <w:rsid w:val="003B6224"/>
    <w:rsid w:val="003B64F5"/>
    <w:rsid w:val="003B6530"/>
    <w:rsid w:val="003B74B7"/>
    <w:rsid w:val="003B78ED"/>
    <w:rsid w:val="003B7BE1"/>
    <w:rsid w:val="003B7BEF"/>
    <w:rsid w:val="003B7D45"/>
    <w:rsid w:val="003B7E30"/>
    <w:rsid w:val="003B7ED9"/>
    <w:rsid w:val="003C00E0"/>
    <w:rsid w:val="003C04E5"/>
    <w:rsid w:val="003C06A5"/>
    <w:rsid w:val="003C11A8"/>
    <w:rsid w:val="003C145F"/>
    <w:rsid w:val="003C14A4"/>
    <w:rsid w:val="003C154A"/>
    <w:rsid w:val="003C163A"/>
    <w:rsid w:val="003C1787"/>
    <w:rsid w:val="003C1AF2"/>
    <w:rsid w:val="003C20A8"/>
    <w:rsid w:val="003C2122"/>
    <w:rsid w:val="003C212A"/>
    <w:rsid w:val="003C265D"/>
    <w:rsid w:val="003C2FA6"/>
    <w:rsid w:val="003C2FF2"/>
    <w:rsid w:val="003C441D"/>
    <w:rsid w:val="003C45B6"/>
    <w:rsid w:val="003C46EF"/>
    <w:rsid w:val="003C4B25"/>
    <w:rsid w:val="003C4DE0"/>
    <w:rsid w:val="003C4EC8"/>
    <w:rsid w:val="003C53DD"/>
    <w:rsid w:val="003C6C93"/>
    <w:rsid w:val="003C6D1F"/>
    <w:rsid w:val="003C74B1"/>
    <w:rsid w:val="003C7778"/>
    <w:rsid w:val="003C786F"/>
    <w:rsid w:val="003C7A20"/>
    <w:rsid w:val="003C7A72"/>
    <w:rsid w:val="003C7D85"/>
    <w:rsid w:val="003D0462"/>
    <w:rsid w:val="003D0BE4"/>
    <w:rsid w:val="003D12AE"/>
    <w:rsid w:val="003D2417"/>
    <w:rsid w:val="003D2418"/>
    <w:rsid w:val="003D2941"/>
    <w:rsid w:val="003D2B5C"/>
    <w:rsid w:val="003D2E3F"/>
    <w:rsid w:val="003D2E9D"/>
    <w:rsid w:val="003D3121"/>
    <w:rsid w:val="003D3267"/>
    <w:rsid w:val="003D35B4"/>
    <w:rsid w:val="003D3778"/>
    <w:rsid w:val="003D3C21"/>
    <w:rsid w:val="003D4B83"/>
    <w:rsid w:val="003D516F"/>
    <w:rsid w:val="003D5314"/>
    <w:rsid w:val="003D5687"/>
    <w:rsid w:val="003D5E08"/>
    <w:rsid w:val="003D6164"/>
    <w:rsid w:val="003D6205"/>
    <w:rsid w:val="003D637D"/>
    <w:rsid w:val="003D6E9B"/>
    <w:rsid w:val="003D70CC"/>
    <w:rsid w:val="003D78B0"/>
    <w:rsid w:val="003D7CFF"/>
    <w:rsid w:val="003D7D86"/>
    <w:rsid w:val="003E025E"/>
    <w:rsid w:val="003E068E"/>
    <w:rsid w:val="003E0EF9"/>
    <w:rsid w:val="003E1AC7"/>
    <w:rsid w:val="003E1C34"/>
    <w:rsid w:val="003E1D97"/>
    <w:rsid w:val="003E2204"/>
    <w:rsid w:val="003E2B17"/>
    <w:rsid w:val="003E2C5F"/>
    <w:rsid w:val="003E2DAD"/>
    <w:rsid w:val="003E2E6C"/>
    <w:rsid w:val="003E2EB2"/>
    <w:rsid w:val="003E2EC4"/>
    <w:rsid w:val="003E45DE"/>
    <w:rsid w:val="003E48F1"/>
    <w:rsid w:val="003E4CC1"/>
    <w:rsid w:val="003E4EE5"/>
    <w:rsid w:val="003E5247"/>
    <w:rsid w:val="003E5638"/>
    <w:rsid w:val="003E57CF"/>
    <w:rsid w:val="003E6339"/>
    <w:rsid w:val="003E6389"/>
    <w:rsid w:val="003E680A"/>
    <w:rsid w:val="003E6934"/>
    <w:rsid w:val="003E7034"/>
    <w:rsid w:val="003E73A4"/>
    <w:rsid w:val="003E73D2"/>
    <w:rsid w:val="003E74F5"/>
    <w:rsid w:val="003E759E"/>
    <w:rsid w:val="003E781E"/>
    <w:rsid w:val="003E7EBE"/>
    <w:rsid w:val="003E7EE1"/>
    <w:rsid w:val="003F0335"/>
    <w:rsid w:val="003F050B"/>
    <w:rsid w:val="003F0A2F"/>
    <w:rsid w:val="003F0BB9"/>
    <w:rsid w:val="003F0E0F"/>
    <w:rsid w:val="003F14F4"/>
    <w:rsid w:val="003F17B2"/>
    <w:rsid w:val="003F1B9F"/>
    <w:rsid w:val="003F1BA4"/>
    <w:rsid w:val="003F1D98"/>
    <w:rsid w:val="003F1E43"/>
    <w:rsid w:val="003F2219"/>
    <w:rsid w:val="003F231F"/>
    <w:rsid w:val="003F2C06"/>
    <w:rsid w:val="003F2ECF"/>
    <w:rsid w:val="003F2F46"/>
    <w:rsid w:val="003F3249"/>
    <w:rsid w:val="003F39EC"/>
    <w:rsid w:val="003F3B58"/>
    <w:rsid w:val="003F3C0C"/>
    <w:rsid w:val="003F3FFE"/>
    <w:rsid w:val="003F49D2"/>
    <w:rsid w:val="003F4D53"/>
    <w:rsid w:val="003F4DA7"/>
    <w:rsid w:val="003F4DB5"/>
    <w:rsid w:val="003F4F1E"/>
    <w:rsid w:val="003F5039"/>
    <w:rsid w:val="003F5095"/>
    <w:rsid w:val="003F548D"/>
    <w:rsid w:val="003F5575"/>
    <w:rsid w:val="003F560D"/>
    <w:rsid w:val="003F57F9"/>
    <w:rsid w:val="003F5CD4"/>
    <w:rsid w:val="003F5E9B"/>
    <w:rsid w:val="003F61CA"/>
    <w:rsid w:val="003F627B"/>
    <w:rsid w:val="003F693F"/>
    <w:rsid w:val="003F6F71"/>
    <w:rsid w:val="003F7055"/>
    <w:rsid w:val="003F7118"/>
    <w:rsid w:val="003F7277"/>
    <w:rsid w:val="003F7492"/>
    <w:rsid w:val="003F7911"/>
    <w:rsid w:val="003F7C22"/>
    <w:rsid w:val="003F7CCD"/>
    <w:rsid w:val="00400138"/>
    <w:rsid w:val="004004B5"/>
    <w:rsid w:val="004009BB"/>
    <w:rsid w:val="004009CE"/>
    <w:rsid w:val="00400AC8"/>
    <w:rsid w:val="00400D27"/>
    <w:rsid w:val="004011B8"/>
    <w:rsid w:val="00401378"/>
    <w:rsid w:val="00401779"/>
    <w:rsid w:val="00402033"/>
    <w:rsid w:val="00402679"/>
    <w:rsid w:val="004028C8"/>
    <w:rsid w:val="0040347E"/>
    <w:rsid w:val="004035A5"/>
    <w:rsid w:val="004035FF"/>
    <w:rsid w:val="004038D9"/>
    <w:rsid w:val="00403C55"/>
    <w:rsid w:val="00403D40"/>
    <w:rsid w:val="00404057"/>
    <w:rsid w:val="0040415C"/>
    <w:rsid w:val="0040436F"/>
    <w:rsid w:val="00404509"/>
    <w:rsid w:val="00404EC6"/>
    <w:rsid w:val="0040543E"/>
    <w:rsid w:val="00405DFA"/>
    <w:rsid w:val="00406007"/>
    <w:rsid w:val="0040631D"/>
    <w:rsid w:val="00407419"/>
    <w:rsid w:val="00407434"/>
    <w:rsid w:val="0040772F"/>
    <w:rsid w:val="0040775A"/>
    <w:rsid w:val="00407AB0"/>
    <w:rsid w:val="004104A9"/>
    <w:rsid w:val="00410807"/>
    <w:rsid w:val="004109BE"/>
    <w:rsid w:val="00410C92"/>
    <w:rsid w:val="004111A4"/>
    <w:rsid w:val="00411745"/>
    <w:rsid w:val="00411787"/>
    <w:rsid w:val="0041187A"/>
    <w:rsid w:val="00411C98"/>
    <w:rsid w:val="00412EAF"/>
    <w:rsid w:val="0041306C"/>
    <w:rsid w:val="004133A1"/>
    <w:rsid w:val="004138F8"/>
    <w:rsid w:val="00413B09"/>
    <w:rsid w:val="00413FDE"/>
    <w:rsid w:val="00414017"/>
    <w:rsid w:val="00414F7D"/>
    <w:rsid w:val="0041549C"/>
    <w:rsid w:val="00415725"/>
    <w:rsid w:val="00415E45"/>
    <w:rsid w:val="00416018"/>
    <w:rsid w:val="00416075"/>
    <w:rsid w:val="00416404"/>
    <w:rsid w:val="0041644E"/>
    <w:rsid w:val="004164E9"/>
    <w:rsid w:val="00416731"/>
    <w:rsid w:val="00416F9A"/>
    <w:rsid w:val="00416FDE"/>
    <w:rsid w:val="00417061"/>
    <w:rsid w:val="004173CD"/>
    <w:rsid w:val="0041782D"/>
    <w:rsid w:val="004178E2"/>
    <w:rsid w:val="00417BA0"/>
    <w:rsid w:val="00417BD8"/>
    <w:rsid w:val="00417E7D"/>
    <w:rsid w:val="00420115"/>
    <w:rsid w:val="00420212"/>
    <w:rsid w:val="0042040A"/>
    <w:rsid w:val="00420736"/>
    <w:rsid w:val="00420739"/>
    <w:rsid w:val="00420B8D"/>
    <w:rsid w:val="00420D19"/>
    <w:rsid w:val="00420F93"/>
    <w:rsid w:val="00420FD7"/>
    <w:rsid w:val="00421144"/>
    <w:rsid w:val="0042119B"/>
    <w:rsid w:val="00421534"/>
    <w:rsid w:val="00421C1A"/>
    <w:rsid w:val="00421C75"/>
    <w:rsid w:val="004220DF"/>
    <w:rsid w:val="0042220E"/>
    <w:rsid w:val="00422316"/>
    <w:rsid w:val="004249C3"/>
    <w:rsid w:val="00424DE4"/>
    <w:rsid w:val="00424DF6"/>
    <w:rsid w:val="004258AE"/>
    <w:rsid w:val="00425DB3"/>
    <w:rsid w:val="00426105"/>
    <w:rsid w:val="0042728E"/>
    <w:rsid w:val="004276F9"/>
    <w:rsid w:val="00430150"/>
    <w:rsid w:val="00430501"/>
    <w:rsid w:val="00431672"/>
    <w:rsid w:val="004317CB"/>
    <w:rsid w:val="004319A3"/>
    <w:rsid w:val="00431C8E"/>
    <w:rsid w:val="00431E50"/>
    <w:rsid w:val="004325C5"/>
    <w:rsid w:val="00432EBC"/>
    <w:rsid w:val="00433007"/>
    <w:rsid w:val="00433476"/>
    <w:rsid w:val="00433A37"/>
    <w:rsid w:val="00433C33"/>
    <w:rsid w:val="00433D30"/>
    <w:rsid w:val="00434654"/>
    <w:rsid w:val="00434918"/>
    <w:rsid w:val="00434947"/>
    <w:rsid w:val="00434C33"/>
    <w:rsid w:val="00435821"/>
    <w:rsid w:val="0043586F"/>
    <w:rsid w:val="004359D0"/>
    <w:rsid w:val="00435ADC"/>
    <w:rsid w:val="00435DD3"/>
    <w:rsid w:val="00435E07"/>
    <w:rsid w:val="004361D1"/>
    <w:rsid w:val="0043637A"/>
    <w:rsid w:val="004363F2"/>
    <w:rsid w:val="00436462"/>
    <w:rsid w:val="00436618"/>
    <w:rsid w:val="0043699D"/>
    <w:rsid w:val="00436B98"/>
    <w:rsid w:val="00436F84"/>
    <w:rsid w:val="00437104"/>
    <w:rsid w:val="00437223"/>
    <w:rsid w:val="004403D2"/>
    <w:rsid w:val="00440A5B"/>
    <w:rsid w:val="00440BC1"/>
    <w:rsid w:val="00440C61"/>
    <w:rsid w:val="00440ECF"/>
    <w:rsid w:val="0044167F"/>
    <w:rsid w:val="004416D0"/>
    <w:rsid w:val="00442142"/>
    <w:rsid w:val="0044225A"/>
    <w:rsid w:val="00442266"/>
    <w:rsid w:val="00442360"/>
    <w:rsid w:val="0044253B"/>
    <w:rsid w:val="0044283F"/>
    <w:rsid w:val="004429C7"/>
    <w:rsid w:val="004430DF"/>
    <w:rsid w:val="0044386C"/>
    <w:rsid w:val="0044393E"/>
    <w:rsid w:val="00443BCC"/>
    <w:rsid w:val="00443D13"/>
    <w:rsid w:val="00443F0F"/>
    <w:rsid w:val="00444477"/>
    <w:rsid w:val="00444A40"/>
    <w:rsid w:val="00444D48"/>
    <w:rsid w:val="00444F1B"/>
    <w:rsid w:val="00444FB8"/>
    <w:rsid w:val="0044549C"/>
    <w:rsid w:val="0044562D"/>
    <w:rsid w:val="0044564B"/>
    <w:rsid w:val="00445E6F"/>
    <w:rsid w:val="00445F10"/>
    <w:rsid w:val="00445FC8"/>
    <w:rsid w:val="0044619B"/>
    <w:rsid w:val="004461F9"/>
    <w:rsid w:val="00446613"/>
    <w:rsid w:val="00446EDB"/>
    <w:rsid w:val="004473F4"/>
    <w:rsid w:val="004477F5"/>
    <w:rsid w:val="00447A80"/>
    <w:rsid w:val="00450168"/>
    <w:rsid w:val="004505B8"/>
    <w:rsid w:val="004507B4"/>
    <w:rsid w:val="004508EC"/>
    <w:rsid w:val="00451339"/>
    <w:rsid w:val="004515A5"/>
    <w:rsid w:val="00451F9A"/>
    <w:rsid w:val="00452A4C"/>
    <w:rsid w:val="00452A9B"/>
    <w:rsid w:val="00452E24"/>
    <w:rsid w:val="004536AC"/>
    <w:rsid w:val="004539F7"/>
    <w:rsid w:val="00453E6F"/>
    <w:rsid w:val="0045409B"/>
    <w:rsid w:val="0045466B"/>
    <w:rsid w:val="00454AF5"/>
    <w:rsid w:val="0045530C"/>
    <w:rsid w:val="004555F9"/>
    <w:rsid w:val="00455E9A"/>
    <w:rsid w:val="004562E5"/>
    <w:rsid w:val="00456779"/>
    <w:rsid w:val="00456FFE"/>
    <w:rsid w:val="00457151"/>
    <w:rsid w:val="004571CE"/>
    <w:rsid w:val="0045721E"/>
    <w:rsid w:val="0045724E"/>
    <w:rsid w:val="00457413"/>
    <w:rsid w:val="004574C2"/>
    <w:rsid w:val="0045797A"/>
    <w:rsid w:val="004579D9"/>
    <w:rsid w:val="00457B6E"/>
    <w:rsid w:val="00457E7C"/>
    <w:rsid w:val="00457F8D"/>
    <w:rsid w:val="00460761"/>
    <w:rsid w:val="00460CFA"/>
    <w:rsid w:val="0046129F"/>
    <w:rsid w:val="004612C7"/>
    <w:rsid w:val="004615B5"/>
    <w:rsid w:val="004615D2"/>
    <w:rsid w:val="00461819"/>
    <w:rsid w:val="00461A16"/>
    <w:rsid w:val="0046209D"/>
    <w:rsid w:val="004621D7"/>
    <w:rsid w:val="004625D9"/>
    <w:rsid w:val="00462C11"/>
    <w:rsid w:val="00462D52"/>
    <w:rsid w:val="00463202"/>
    <w:rsid w:val="0046385E"/>
    <w:rsid w:val="004639BB"/>
    <w:rsid w:val="00463A8C"/>
    <w:rsid w:val="00464316"/>
    <w:rsid w:val="00464940"/>
    <w:rsid w:val="0046495D"/>
    <w:rsid w:val="00464962"/>
    <w:rsid w:val="00464BD1"/>
    <w:rsid w:val="00464C8C"/>
    <w:rsid w:val="004651AE"/>
    <w:rsid w:val="004656A7"/>
    <w:rsid w:val="004657B9"/>
    <w:rsid w:val="00465838"/>
    <w:rsid w:val="00465A39"/>
    <w:rsid w:val="00465A4C"/>
    <w:rsid w:val="00465BB5"/>
    <w:rsid w:val="00465E1A"/>
    <w:rsid w:val="00466188"/>
    <w:rsid w:val="00467220"/>
    <w:rsid w:val="00467302"/>
    <w:rsid w:val="00467CBD"/>
    <w:rsid w:val="0047035F"/>
    <w:rsid w:val="00470612"/>
    <w:rsid w:val="00470A53"/>
    <w:rsid w:val="00471268"/>
    <w:rsid w:val="00471275"/>
    <w:rsid w:val="004713B7"/>
    <w:rsid w:val="0047145E"/>
    <w:rsid w:val="00471518"/>
    <w:rsid w:val="004715E0"/>
    <w:rsid w:val="00471CFD"/>
    <w:rsid w:val="004727C9"/>
    <w:rsid w:val="00472BCF"/>
    <w:rsid w:val="004734FA"/>
    <w:rsid w:val="004736EC"/>
    <w:rsid w:val="00474002"/>
    <w:rsid w:val="004740BA"/>
    <w:rsid w:val="0047515F"/>
    <w:rsid w:val="0047668A"/>
    <w:rsid w:val="004770DC"/>
    <w:rsid w:val="00477FB2"/>
    <w:rsid w:val="004800E4"/>
    <w:rsid w:val="004803D0"/>
    <w:rsid w:val="00480B24"/>
    <w:rsid w:val="00480C06"/>
    <w:rsid w:val="0048182D"/>
    <w:rsid w:val="00481887"/>
    <w:rsid w:val="004820FE"/>
    <w:rsid w:val="004821F8"/>
    <w:rsid w:val="00482B3A"/>
    <w:rsid w:val="00482CD7"/>
    <w:rsid w:val="00482F1B"/>
    <w:rsid w:val="004831DA"/>
    <w:rsid w:val="004840CD"/>
    <w:rsid w:val="00484460"/>
    <w:rsid w:val="004844D5"/>
    <w:rsid w:val="00484533"/>
    <w:rsid w:val="0048454D"/>
    <w:rsid w:val="0048457E"/>
    <w:rsid w:val="0048513D"/>
    <w:rsid w:val="00485B30"/>
    <w:rsid w:val="00485B6D"/>
    <w:rsid w:val="00485D22"/>
    <w:rsid w:val="00485FD8"/>
    <w:rsid w:val="00486396"/>
    <w:rsid w:val="00486A0F"/>
    <w:rsid w:val="00486A10"/>
    <w:rsid w:val="00486B19"/>
    <w:rsid w:val="00486B7A"/>
    <w:rsid w:val="00486BFC"/>
    <w:rsid w:val="00487906"/>
    <w:rsid w:val="00487A6F"/>
    <w:rsid w:val="00487C91"/>
    <w:rsid w:val="004913C6"/>
    <w:rsid w:val="00491C35"/>
    <w:rsid w:val="0049210F"/>
    <w:rsid w:val="0049229B"/>
    <w:rsid w:val="004929AA"/>
    <w:rsid w:val="00492C9B"/>
    <w:rsid w:val="00492E14"/>
    <w:rsid w:val="0049301E"/>
    <w:rsid w:val="00493106"/>
    <w:rsid w:val="004931AD"/>
    <w:rsid w:val="00493302"/>
    <w:rsid w:val="00493B2F"/>
    <w:rsid w:val="00493D18"/>
    <w:rsid w:val="00494459"/>
    <w:rsid w:val="00494631"/>
    <w:rsid w:val="004948C5"/>
    <w:rsid w:val="00494980"/>
    <w:rsid w:val="00494D92"/>
    <w:rsid w:val="00495EE5"/>
    <w:rsid w:val="00495F42"/>
    <w:rsid w:val="004960B6"/>
    <w:rsid w:val="0049645F"/>
    <w:rsid w:val="004966D5"/>
    <w:rsid w:val="00496771"/>
    <w:rsid w:val="00496B28"/>
    <w:rsid w:val="0049722D"/>
    <w:rsid w:val="004972EB"/>
    <w:rsid w:val="004973F0"/>
    <w:rsid w:val="00497D78"/>
    <w:rsid w:val="00497D95"/>
    <w:rsid w:val="004A0D8C"/>
    <w:rsid w:val="004A0F0B"/>
    <w:rsid w:val="004A101D"/>
    <w:rsid w:val="004A1B2C"/>
    <w:rsid w:val="004A1DA9"/>
    <w:rsid w:val="004A1F18"/>
    <w:rsid w:val="004A255C"/>
    <w:rsid w:val="004A2D1A"/>
    <w:rsid w:val="004A2DEE"/>
    <w:rsid w:val="004A2EAE"/>
    <w:rsid w:val="004A3031"/>
    <w:rsid w:val="004A34AA"/>
    <w:rsid w:val="004A3A62"/>
    <w:rsid w:val="004A41F0"/>
    <w:rsid w:val="004A524E"/>
    <w:rsid w:val="004A53C1"/>
    <w:rsid w:val="004A53D0"/>
    <w:rsid w:val="004A570D"/>
    <w:rsid w:val="004A571D"/>
    <w:rsid w:val="004A5B69"/>
    <w:rsid w:val="004A5C36"/>
    <w:rsid w:val="004A5CB4"/>
    <w:rsid w:val="004A62F2"/>
    <w:rsid w:val="004A67AF"/>
    <w:rsid w:val="004A6995"/>
    <w:rsid w:val="004A6A5E"/>
    <w:rsid w:val="004A6E14"/>
    <w:rsid w:val="004A774E"/>
    <w:rsid w:val="004A77BC"/>
    <w:rsid w:val="004A7862"/>
    <w:rsid w:val="004A79E6"/>
    <w:rsid w:val="004A7A06"/>
    <w:rsid w:val="004A7A70"/>
    <w:rsid w:val="004A7AD7"/>
    <w:rsid w:val="004A7D7D"/>
    <w:rsid w:val="004B0062"/>
    <w:rsid w:val="004B00D3"/>
    <w:rsid w:val="004B077B"/>
    <w:rsid w:val="004B0BE6"/>
    <w:rsid w:val="004B1055"/>
    <w:rsid w:val="004B106F"/>
    <w:rsid w:val="004B1098"/>
    <w:rsid w:val="004B1326"/>
    <w:rsid w:val="004B18C9"/>
    <w:rsid w:val="004B198F"/>
    <w:rsid w:val="004B208D"/>
    <w:rsid w:val="004B259E"/>
    <w:rsid w:val="004B2889"/>
    <w:rsid w:val="004B2B5F"/>
    <w:rsid w:val="004B2D76"/>
    <w:rsid w:val="004B2DF0"/>
    <w:rsid w:val="004B300E"/>
    <w:rsid w:val="004B31A1"/>
    <w:rsid w:val="004B353D"/>
    <w:rsid w:val="004B3F15"/>
    <w:rsid w:val="004B40A1"/>
    <w:rsid w:val="004B41AA"/>
    <w:rsid w:val="004B438F"/>
    <w:rsid w:val="004B5064"/>
    <w:rsid w:val="004B51F7"/>
    <w:rsid w:val="004B60E2"/>
    <w:rsid w:val="004B622F"/>
    <w:rsid w:val="004B6C7E"/>
    <w:rsid w:val="004B7563"/>
    <w:rsid w:val="004B7850"/>
    <w:rsid w:val="004C0513"/>
    <w:rsid w:val="004C056F"/>
    <w:rsid w:val="004C068A"/>
    <w:rsid w:val="004C0878"/>
    <w:rsid w:val="004C0BAB"/>
    <w:rsid w:val="004C0D6B"/>
    <w:rsid w:val="004C0D7D"/>
    <w:rsid w:val="004C0E25"/>
    <w:rsid w:val="004C1551"/>
    <w:rsid w:val="004C1723"/>
    <w:rsid w:val="004C19D9"/>
    <w:rsid w:val="004C1CFB"/>
    <w:rsid w:val="004C1FB9"/>
    <w:rsid w:val="004C22DA"/>
    <w:rsid w:val="004C271A"/>
    <w:rsid w:val="004C2990"/>
    <w:rsid w:val="004C2E21"/>
    <w:rsid w:val="004C2FDD"/>
    <w:rsid w:val="004C319C"/>
    <w:rsid w:val="004C4309"/>
    <w:rsid w:val="004C460B"/>
    <w:rsid w:val="004C4707"/>
    <w:rsid w:val="004C500F"/>
    <w:rsid w:val="004C503E"/>
    <w:rsid w:val="004C5B44"/>
    <w:rsid w:val="004C615B"/>
    <w:rsid w:val="004C7006"/>
    <w:rsid w:val="004C7111"/>
    <w:rsid w:val="004D03B3"/>
    <w:rsid w:val="004D0939"/>
    <w:rsid w:val="004D0A37"/>
    <w:rsid w:val="004D0A80"/>
    <w:rsid w:val="004D0BB3"/>
    <w:rsid w:val="004D0CD9"/>
    <w:rsid w:val="004D1534"/>
    <w:rsid w:val="004D15E0"/>
    <w:rsid w:val="004D1C9C"/>
    <w:rsid w:val="004D1DA6"/>
    <w:rsid w:val="004D2262"/>
    <w:rsid w:val="004D23AA"/>
    <w:rsid w:val="004D2466"/>
    <w:rsid w:val="004D2715"/>
    <w:rsid w:val="004D297A"/>
    <w:rsid w:val="004D299A"/>
    <w:rsid w:val="004D2B58"/>
    <w:rsid w:val="004D2E8E"/>
    <w:rsid w:val="004D2EBC"/>
    <w:rsid w:val="004D3416"/>
    <w:rsid w:val="004D345D"/>
    <w:rsid w:val="004D3780"/>
    <w:rsid w:val="004D3CF1"/>
    <w:rsid w:val="004D3F88"/>
    <w:rsid w:val="004D44C0"/>
    <w:rsid w:val="004D5756"/>
    <w:rsid w:val="004D5768"/>
    <w:rsid w:val="004D57D1"/>
    <w:rsid w:val="004D5A50"/>
    <w:rsid w:val="004D636F"/>
    <w:rsid w:val="004D6591"/>
    <w:rsid w:val="004D691E"/>
    <w:rsid w:val="004D6F56"/>
    <w:rsid w:val="004D75E2"/>
    <w:rsid w:val="004D782B"/>
    <w:rsid w:val="004D7926"/>
    <w:rsid w:val="004E02D7"/>
    <w:rsid w:val="004E065F"/>
    <w:rsid w:val="004E0820"/>
    <w:rsid w:val="004E0AAF"/>
    <w:rsid w:val="004E1124"/>
    <w:rsid w:val="004E19D1"/>
    <w:rsid w:val="004E1A5E"/>
    <w:rsid w:val="004E1F98"/>
    <w:rsid w:val="004E22DE"/>
    <w:rsid w:val="004E241F"/>
    <w:rsid w:val="004E311D"/>
    <w:rsid w:val="004E340E"/>
    <w:rsid w:val="004E359E"/>
    <w:rsid w:val="004E380D"/>
    <w:rsid w:val="004E3CC4"/>
    <w:rsid w:val="004E4169"/>
    <w:rsid w:val="004E43B2"/>
    <w:rsid w:val="004E491E"/>
    <w:rsid w:val="004E4960"/>
    <w:rsid w:val="004E4B74"/>
    <w:rsid w:val="004E4C69"/>
    <w:rsid w:val="004E4F58"/>
    <w:rsid w:val="004E508E"/>
    <w:rsid w:val="004E5228"/>
    <w:rsid w:val="004E53E4"/>
    <w:rsid w:val="004E547D"/>
    <w:rsid w:val="004E57B8"/>
    <w:rsid w:val="004E5AFD"/>
    <w:rsid w:val="004E5B44"/>
    <w:rsid w:val="004E5B62"/>
    <w:rsid w:val="004E5F38"/>
    <w:rsid w:val="004E5F8D"/>
    <w:rsid w:val="004E628A"/>
    <w:rsid w:val="004E6834"/>
    <w:rsid w:val="004E6891"/>
    <w:rsid w:val="004E6B33"/>
    <w:rsid w:val="004E73A7"/>
    <w:rsid w:val="004E773C"/>
    <w:rsid w:val="004E7845"/>
    <w:rsid w:val="004E78D3"/>
    <w:rsid w:val="004E7D43"/>
    <w:rsid w:val="004E7DB5"/>
    <w:rsid w:val="004E7E6F"/>
    <w:rsid w:val="004E7F04"/>
    <w:rsid w:val="004F02D0"/>
    <w:rsid w:val="004F04CE"/>
    <w:rsid w:val="004F05B2"/>
    <w:rsid w:val="004F06C0"/>
    <w:rsid w:val="004F09D2"/>
    <w:rsid w:val="004F12C6"/>
    <w:rsid w:val="004F14D1"/>
    <w:rsid w:val="004F17C9"/>
    <w:rsid w:val="004F1A75"/>
    <w:rsid w:val="004F1AC6"/>
    <w:rsid w:val="004F1C94"/>
    <w:rsid w:val="004F2344"/>
    <w:rsid w:val="004F2354"/>
    <w:rsid w:val="004F2356"/>
    <w:rsid w:val="004F2B40"/>
    <w:rsid w:val="004F2BE5"/>
    <w:rsid w:val="004F33EA"/>
    <w:rsid w:val="004F3801"/>
    <w:rsid w:val="004F3B74"/>
    <w:rsid w:val="004F448E"/>
    <w:rsid w:val="004F44DF"/>
    <w:rsid w:val="004F44F5"/>
    <w:rsid w:val="004F466D"/>
    <w:rsid w:val="004F48E4"/>
    <w:rsid w:val="004F4945"/>
    <w:rsid w:val="004F497A"/>
    <w:rsid w:val="004F4CAF"/>
    <w:rsid w:val="004F52FE"/>
    <w:rsid w:val="004F5C82"/>
    <w:rsid w:val="004F6032"/>
    <w:rsid w:val="004F687F"/>
    <w:rsid w:val="004F698D"/>
    <w:rsid w:val="004F6AF9"/>
    <w:rsid w:val="004F70AF"/>
    <w:rsid w:val="004F772F"/>
    <w:rsid w:val="004F795A"/>
    <w:rsid w:val="004F7CB8"/>
    <w:rsid w:val="004F7DC4"/>
    <w:rsid w:val="004F7F54"/>
    <w:rsid w:val="00500A1D"/>
    <w:rsid w:val="00501429"/>
    <w:rsid w:val="005014BA"/>
    <w:rsid w:val="00501714"/>
    <w:rsid w:val="00501814"/>
    <w:rsid w:val="00501E89"/>
    <w:rsid w:val="00501EAE"/>
    <w:rsid w:val="005021A2"/>
    <w:rsid w:val="005025D1"/>
    <w:rsid w:val="0050275D"/>
    <w:rsid w:val="00502C59"/>
    <w:rsid w:val="00502CE1"/>
    <w:rsid w:val="00502D26"/>
    <w:rsid w:val="00502D50"/>
    <w:rsid w:val="00503427"/>
    <w:rsid w:val="00503467"/>
    <w:rsid w:val="00503F3F"/>
    <w:rsid w:val="00505418"/>
    <w:rsid w:val="00505563"/>
    <w:rsid w:val="00505887"/>
    <w:rsid w:val="0050691F"/>
    <w:rsid w:val="00507971"/>
    <w:rsid w:val="00507FE8"/>
    <w:rsid w:val="0051044A"/>
    <w:rsid w:val="00510D38"/>
    <w:rsid w:val="005111FF"/>
    <w:rsid w:val="005115FE"/>
    <w:rsid w:val="00511E37"/>
    <w:rsid w:val="00511FA1"/>
    <w:rsid w:val="005123F3"/>
    <w:rsid w:val="005125E1"/>
    <w:rsid w:val="005127D6"/>
    <w:rsid w:val="00512B7A"/>
    <w:rsid w:val="00512D45"/>
    <w:rsid w:val="00512E30"/>
    <w:rsid w:val="005133F0"/>
    <w:rsid w:val="00513480"/>
    <w:rsid w:val="0051360F"/>
    <w:rsid w:val="00514304"/>
    <w:rsid w:val="0051442B"/>
    <w:rsid w:val="0051450E"/>
    <w:rsid w:val="005145F0"/>
    <w:rsid w:val="0051473A"/>
    <w:rsid w:val="005149B9"/>
    <w:rsid w:val="00514B89"/>
    <w:rsid w:val="00514E72"/>
    <w:rsid w:val="0051507E"/>
    <w:rsid w:val="005156CB"/>
    <w:rsid w:val="00515913"/>
    <w:rsid w:val="00515E3B"/>
    <w:rsid w:val="00515FA1"/>
    <w:rsid w:val="00516002"/>
    <w:rsid w:val="00516DA8"/>
    <w:rsid w:val="0051771E"/>
    <w:rsid w:val="0051795F"/>
    <w:rsid w:val="005179C3"/>
    <w:rsid w:val="00517C8F"/>
    <w:rsid w:val="0052017A"/>
    <w:rsid w:val="00520262"/>
    <w:rsid w:val="005205F3"/>
    <w:rsid w:val="00520B8E"/>
    <w:rsid w:val="00520C1E"/>
    <w:rsid w:val="00521173"/>
    <w:rsid w:val="00521263"/>
    <w:rsid w:val="0052139B"/>
    <w:rsid w:val="005217D2"/>
    <w:rsid w:val="00521C97"/>
    <w:rsid w:val="0052209F"/>
    <w:rsid w:val="0052243A"/>
    <w:rsid w:val="005226FC"/>
    <w:rsid w:val="00522701"/>
    <w:rsid w:val="00522C86"/>
    <w:rsid w:val="00522ED1"/>
    <w:rsid w:val="00522FD3"/>
    <w:rsid w:val="0052318B"/>
    <w:rsid w:val="0052320A"/>
    <w:rsid w:val="005232AE"/>
    <w:rsid w:val="00523519"/>
    <w:rsid w:val="005235F3"/>
    <w:rsid w:val="0052383E"/>
    <w:rsid w:val="00523994"/>
    <w:rsid w:val="00523B8D"/>
    <w:rsid w:val="00523BC6"/>
    <w:rsid w:val="00523DD6"/>
    <w:rsid w:val="00523E53"/>
    <w:rsid w:val="00523F13"/>
    <w:rsid w:val="005245E0"/>
    <w:rsid w:val="00524A89"/>
    <w:rsid w:val="00524D17"/>
    <w:rsid w:val="00524E0B"/>
    <w:rsid w:val="00524F58"/>
    <w:rsid w:val="00525461"/>
    <w:rsid w:val="0052553B"/>
    <w:rsid w:val="005256BE"/>
    <w:rsid w:val="005262F0"/>
    <w:rsid w:val="0052634B"/>
    <w:rsid w:val="00526444"/>
    <w:rsid w:val="00526598"/>
    <w:rsid w:val="005266EB"/>
    <w:rsid w:val="00526715"/>
    <w:rsid w:val="00526BD4"/>
    <w:rsid w:val="00526CF5"/>
    <w:rsid w:val="00527129"/>
    <w:rsid w:val="0052723C"/>
    <w:rsid w:val="005273DB"/>
    <w:rsid w:val="00527C5D"/>
    <w:rsid w:val="00527EC3"/>
    <w:rsid w:val="005309C3"/>
    <w:rsid w:val="00531424"/>
    <w:rsid w:val="00531A77"/>
    <w:rsid w:val="005323DE"/>
    <w:rsid w:val="0053299E"/>
    <w:rsid w:val="00532FBF"/>
    <w:rsid w:val="00533430"/>
    <w:rsid w:val="0053399E"/>
    <w:rsid w:val="00533D25"/>
    <w:rsid w:val="00533DB8"/>
    <w:rsid w:val="00534396"/>
    <w:rsid w:val="005347CF"/>
    <w:rsid w:val="005357DB"/>
    <w:rsid w:val="00535B0A"/>
    <w:rsid w:val="005360D5"/>
    <w:rsid w:val="00536A6E"/>
    <w:rsid w:val="00536C5F"/>
    <w:rsid w:val="0053765E"/>
    <w:rsid w:val="00537674"/>
    <w:rsid w:val="00537883"/>
    <w:rsid w:val="00537F1B"/>
    <w:rsid w:val="00537F33"/>
    <w:rsid w:val="00537F88"/>
    <w:rsid w:val="00540561"/>
    <w:rsid w:val="00541370"/>
    <w:rsid w:val="0054188A"/>
    <w:rsid w:val="00541999"/>
    <w:rsid w:val="00541F8F"/>
    <w:rsid w:val="00542118"/>
    <w:rsid w:val="005424C1"/>
    <w:rsid w:val="0054282C"/>
    <w:rsid w:val="005429D7"/>
    <w:rsid w:val="005435C9"/>
    <w:rsid w:val="005439E8"/>
    <w:rsid w:val="00543EE7"/>
    <w:rsid w:val="005444F6"/>
    <w:rsid w:val="00544BA5"/>
    <w:rsid w:val="00544C44"/>
    <w:rsid w:val="0054525E"/>
    <w:rsid w:val="005452FF"/>
    <w:rsid w:val="0054584A"/>
    <w:rsid w:val="005459C8"/>
    <w:rsid w:val="00545B4C"/>
    <w:rsid w:val="00545B53"/>
    <w:rsid w:val="00545C72"/>
    <w:rsid w:val="00545D28"/>
    <w:rsid w:val="00545ECA"/>
    <w:rsid w:val="005469EA"/>
    <w:rsid w:val="00546B4D"/>
    <w:rsid w:val="00546F4C"/>
    <w:rsid w:val="0054732D"/>
    <w:rsid w:val="005473D0"/>
    <w:rsid w:val="0054783B"/>
    <w:rsid w:val="0054792D"/>
    <w:rsid w:val="00547C5F"/>
    <w:rsid w:val="00547D0B"/>
    <w:rsid w:val="005501C9"/>
    <w:rsid w:val="0055049F"/>
    <w:rsid w:val="005508A5"/>
    <w:rsid w:val="00550C3D"/>
    <w:rsid w:val="00550CF7"/>
    <w:rsid w:val="00551428"/>
    <w:rsid w:val="00551BB8"/>
    <w:rsid w:val="0055216E"/>
    <w:rsid w:val="005522FA"/>
    <w:rsid w:val="00552301"/>
    <w:rsid w:val="00552799"/>
    <w:rsid w:val="0055296B"/>
    <w:rsid w:val="00552D77"/>
    <w:rsid w:val="005532ED"/>
    <w:rsid w:val="00553379"/>
    <w:rsid w:val="00553561"/>
    <w:rsid w:val="0055374E"/>
    <w:rsid w:val="0055429D"/>
    <w:rsid w:val="0055430F"/>
    <w:rsid w:val="00554582"/>
    <w:rsid w:val="0055547C"/>
    <w:rsid w:val="00555533"/>
    <w:rsid w:val="005559D0"/>
    <w:rsid w:val="00555E0F"/>
    <w:rsid w:val="00555FC0"/>
    <w:rsid w:val="00556212"/>
    <w:rsid w:val="00556A06"/>
    <w:rsid w:val="005570CF"/>
    <w:rsid w:val="005575D3"/>
    <w:rsid w:val="0055764E"/>
    <w:rsid w:val="00557CA3"/>
    <w:rsid w:val="00557D9E"/>
    <w:rsid w:val="005600D1"/>
    <w:rsid w:val="005601BB"/>
    <w:rsid w:val="00560336"/>
    <w:rsid w:val="00560637"/>
    <w:rsid w:val="00560A27"/>
    <w:rsid w:val="0056194C"/>
    <w:rsid w:val="00561AA6"/>
    <w:rsid w:val="005623AD"/>
    <w:rsid w:val="0056254E"/>
    <w:rsid w:val="00562D53"/>
    <w:rsid w:val="00563080"/>
    <w:rsid w:val="00563360"/>
    <w:rsid w:val="005633BE"/>
    <w:rsid w:val="005641BC"/>
    <w:rsid w:val="005643AC"/>
    <w:rsid w:val="005644BD"/>
    <w:rsid w:val="00564A8D"/>
    <w:rsid w:val="00565210"/>
    <w:rsid w:val="00565409"/>
    <w:rsid w:val="00565712"/>
    <w:rsid w:val="00565C08"/>
    <w:rsid w:val="00565D9C"/>
    <w:rsid w:val="00565E11"/>
    <w:rsid w:val="00565EAC"/>
    <w:rsid w:val="00565F67"/>
    <w:rsid w:val="00566435"/>
    <w:rsid w:val="00566455"/>
    <w:rsid w:val="00566CC3"/>
    <w:rsid w:val="0056713F"/>
    <w:rsid w:val="0056734B"/>
    <w:rsid w:val="00567395"/>
    <w:rsid w:val="005674C7"/>
    <w:rsid w:val="00567759"/>
    <w:rsid w:val="00567878"/>
    <w:rsid w:val="005678A1"/>
    <w:rsid w:val="0056791C"/>
    <w:rsid w:val="00570CF4"/>
    <w:rsid w:val="00570D77"/>
    <w:rsid w:val="0057149A"/>
    <w:rsid w:val="005719BE"/>
    <w:rsid w:val="00571E78"/>
    <w:rsid w:val="0057201C"/>
    <w:rsid w:val="005721AA"/>
    <w:rsid w:val="0057221C"/>
    <w:rsid w:val="005722D0"/>
    <w:rsid w:val="00572D22"/>
    <w:rsid w:val="0057305D"/>
    <w:rsid w:val="005734B2"/>
    <w:rsid w:val="00573B40"/>
    <w:rsid w:val="00573D2F"/>
    <w:rsid w:val="00573E62"/>
    <w:rsid w:val="00574439"/>
    <w:rsid w:val="005745FC"/>
    <w:rsid w:val="00574836"/>
    <w:rsid w:val="005748C6"/>
    <w:rsid w:val="00574F46"/>
    <w:rsid w:val="00575132"/>
    <w:rsid w:val="00575603"/>
    <w:rsid w:val="00575853"/>
    <w:rsid w:val="0057641C"/>
    <w:rsid w:val="005764B4"/>
    <w:rsid w:val="00576789"/>
    <w:rsid w:val="00576797"/>
    <w:rsid w:val="00576A76"/>
    <w:rsid w:val="00576ADA"/>
    <w:rsid w:val="00576D60"/>
    <w:rsid w:val="005773ED"/>
    <w:rsid w:val="0057792C"/>
    <w:rsid w:val="00577A8C"/>
    <w:rsid w:val="00577E8D"/>
    <w:rsid w:val="0058001C"/>
    <w:rsid w:val="00581198"/>
    <w:rsid w:val="00581BA0"/>
    <w:rsid w:val="00581E1A"/>
    <w:rsid w:val="005823BC"/>
    <w:rsid w:val="005828A8"/>
    <w:rsid w:val="00582F8A"/>
    <w:rsid w:val="0058300A"/>
    <w:rsid w:val="00583113"/>
    <w:rsid w:val="005832E2"/>
    <w:rsid w:val="00583509"/>
    <w:rsid w:val="005835C9"/>
    <w:rsid w:val="00583B09"/>
    <w:rsid w:val="00583BDC"/>
    <w:rsid w:val="005848D0"/>
    <w:rsid w:val="005849AD"/>
    <w:rsid w:val="00584D38"/>
    <w:rsid w:val="00585005"/>
    <w:rsid w:val="005853B7"/>
    <w:rsid w:val="005856E5"/>
    <w:rsid w:val="00585974"/>
    <w:rsid w:val="00585DF1"/>
    <w:rsid w:val="00585FDA"/>
    <w:rsid w:val="005862B7"/>
    <w:rsid w:val="0058651A"/>
    <w:rsid w:val="00586932"/>
    <w:rsid w:val="00587864"/>
    <w:rsid w:val="00587A57"/>
    <w:rsid w:val="00587C47"/>
    <w:rsid w:val="00587CB0"/>
    <w:rsid w:val="00587D70"/>
    <w:rsid w:val="00587DA3"/>
    <w:rsid w:val="00587EAB"/>
    <w:rsid w:val="00590149"/>
    <w:rsid w:val="00590596"/>
    <w:rsid w:val="00590AA3"/>
    <w:rsid w:val="00591465"/>
    <w:rsid w:val="00591669"/>
    <w:rsid w:val="00591797"/>
    <w:rsid w:val="00591F57"/>
    <w:rsid w:val="00591FA9"/>
    <w:rsid w:val="0059212D"/>
    <w:rsid w:val="0059215C"/>
    <w:rsid w:val="00592176"/>
    <w:rsid w:val="005922CB"/>
    <w:rsid w:val="0059248B"/>
    <w:rsid w:val="00592C25"/>
    <w:rsid w:val="00592DAB"/>
    <w:rsid w:val="00592E22"/>
    <w:rsid w:val="00592EAE"/>
    <w:rsid w:val="00592EE0"/>
    <w:rsid w:val="00593056"/>
    <w:rsid w:val="0059316B"/>
    <w:rsid w:val="00593403"/>
    <w:rsid w:val="005935C9"/>
    <w:rsid w:val="005936DC"/>
    <w:rsid w:val="0059376A"/>
    <w:rsid w:val="005937B0"/>
    <w:rsid w:val="005937D3"/>
    <w:rsid w:val="005937F2"/>
    <w:rsid w:val="00593B9D"/>
    <w:rsid w:val="00593F63"/>
    <w:rsid w:val="0059416C"/>
    <w:rsid w:val="0059468F"/>
    <w:rsid w:val="0059486D"/>
    <w:rsid w:val="00594916"/>
    <w:rsid w:val="00594C4E"/>
    <w:rsid w:val="00594F87"/>
    <w:rsid w:val="00595330"/>
    <w:rsid w:val="0059545F"/>
    <w:rsid w:val="005957F7"/>
    <w:rsid w:val="0059586E"/>
    <w:rsid w:val="0059615C"/>
    <w:rsid w:val="00596896"/>
    <w:rsid w:val="005974EB"/>
    <w:rsid w:val="00597AB6"/>
    <w:rsid w:val="005A00FE"/>
    <w:rsid w:val="005A01EF"/>
    <w:rsid w:val="005A027C"/>
    <w:rsid w:val="005A0DBB"/>
    <w:rsid w:val="005A1240"/>
    <w:rsid w:val="005A21E3"/>
    <w:rsid w:val="005A257E"/>
    <w:rsid w:val="005A2A89"/>
    <w:rsid w:val="005A2B3E"/>
    <w:rsid w:val="005A2C50"/>
    <w:rsid w:val="005A32C8"/>
    <w:rsid w:val="005A3C49"/>
    <w:rsid w:val="005A3CD5"/>
    <w:rsid w:val="005A3EAE"/>
    <w:rsid w:val="005A3EDC"/>
    <w:rsid w:val="005A43CB"/>
    <w:rsid w:val="005A4786"/>
    <w:rsid w:val="005A480E"/>
    <w:rsid w:val="005A4964"/>
    <w:rsid w:val="005A4C95"/>
    <w:rsid w:val="005A4D61"/>
    <w:rsid w:val="005A5011"/>
    <w:rsid w:val="005A51C5"/>
    <w:rsid w:val="005A6158"/>
    <w:rsid w:val="005A649B"/>
    <w:rsid w:val="005A6614"/>
    <w:rsid w:val="005A676A"/>
    <w:rsid w:val="005A709B"/>
    <w:rsid w:val="005A74A8"/>
    <w:rsid w:val="005A74F7"/>
    <w:rsid w:val="005A7671"/>
    <w:rsid w:val="005A7B62"/>
    <w:rsid w:val="005B00B7"/>
    <w:rsid w:val="005B0292"/>
    <w:rsid w:val="005B07BC"/>
    <w:rsid w:val="005B0F54"/>
    <w:rsid w:val="005B130F"/>
    <w:rsid w:val="005B14B4"/>
    <w:rsid w:val="005B15CA"/>
    <w:rsid w:val="005B17A8"/>
    <w:rsid w:val="005B18BE"/>
    <w:rsid w:val="005B1F10"/>
    <w:rsid w:val="005B20B8"/>
    <w:rsid w:val="005B2C76"/>
    <w:rsid w:val="005B2DE1"/>
    <w:rsid w:val="005B2F44"/>
    <w:rsid w:val="005B301D"/>
    <w:rsid w:val="005B318A"/>
    <w:rsid w:val="005B32A2"/>
    <w:rsid w:val="005B36CF"/>
    <w:rsid w:val="005B39A9"/>
    <w:rsid w:val="005B3DF5"/>
    <w:rsid w:val="005B3E2C"/>
    <w:rsid w:val="005B4C1A"/>
    <w:rsid w:val="005B5BDB"/>
    <w:rsid w:val="005B60DA"/>
    <w:rsid w:val="005B623F"/>
    <w:rsid w:val="005B6A4E"/>
    <w:rsid w:val="005B7088"/>
    <w:rsid w:val="005B7732"/>
    <w:rsid w:val="005B7828"/>
    <w:rsid w:val="005B7872"/>
    <w:rsid w:val="005B7B39"/>
    <w:rsid w:val="005B7BDC"/>
    <w:rsid w:val="005C0AD9"/>
    <w:rsid w:val="005C0B92"/>
    <w:rsid w:val="005C0C54"/>
    <w:rsid w:val="005C1112"/>
    <w:rsid w:val="005C1637"/>
    <w:rsid w:val="005C1BEA"/>
    <w:rsid w:val="005C1DEF"/>
    <w:rsid w:val="005C1E97"/>
    <w:rsid w:val="005C1F8B"/>
    <w:rsid w:val="005C2659"/>
    <w:rsid w:val="005C2F79"/>
    <w:rsid w:val="005C2FD8"/>
    <w:rsid w:val="005C32F9"/>
    <w:rsid w:val="005C3B9B"/>
    <w:rsid w:val="005C3CB4"/>
    <w:rsid w:val="005C4641"/>
    <w:rsid w:val="005C4C75"/>
    <w:rsid w:val="005C5381"/>
    <w:rsid w:val="005C5736"/>
    <w:rsid w:val="005C5A0F"/>
    <w:rsid w:val="005C5E96"/>
    <w:rsid w:val="005C6863"/>
    <w:rsid w:val="005C6C70"/>
    <w:rsid w:val="005C76F8"/>
    <w:rsid w:val="005C7F3B"/>
    <w:rsid w:val="005C7FBF"/>
    <w:rsid w:val="005D0149"/>
    <w:rsid w:val="005D0515"/>
    <w:rsid w:val="005D05DB"/>
    <w:rsid w:val="005D0614"/>
    <w:rsid w:val="005D1D84"/>
    <w:rsid w:val="005D1EB0"/>
    <w:rsid w:val="005D2494"/>
    <w:rsid w:val="005D3992"/>
    <w:rsid w:val="005D438E"/>
    <w:rsid w:val="005D4899"/>
    <w:rsid w:val="005D4CF6"/>
    <w:rsid w:val="005D50FF"/>
    <w:rsid w:val="005D525C"/>
    <w:rsid w:val="005D5AAD"/>
    <w:rsid w:val="005D6A90"/>
    <w:rsid w:val="005D7309"/>
    <w:rsid w:val="005D7919"/>
    <w:rsid w:val="005D797E"/>
    <w:rsid w:val="005D7E32"/>
    <w:rsid w:val="005E0C21"/>
    <w:rsid w:val="005E0C56"/>
    <w:rsid w:val="005E0EDB"/>
    <w:rsid w:val="005E0F07"/>
    <w:rsid w:val="005E115E"/>
    <w:rsid w:val="005E13EA"/>
    <w:rsid w:val="005E13FC"/>
    <w:rsid w:val="005E1AA2"/>
    <w:rsid w:val="005E24D6"/>
    <w:rsid w:val="005E2682"/>
    <w:rsid w:val="005E2695"/>
    <w:rsid w:val="005E2AA7"/>
    <w:rsid w:val="005E2BB1"/>
    <w:rsid w:val="005E3115"/>
    <w:rsid w:val="005E3AA6"/>
    <w:rsid w:val="005E3DCA"/>
    <w:rsid w:val="005E42F7"/>
    <w:rsid w:val="005E435D"/>
    <w:rsid w:val="005E4906"/>
    <w:rsid w:val="005E4972"/>
    <w:rsid w:val="005E4BA9"/>
    <w:rsid w:val="005E4BB0"/>
    <w:rsid w:val="005E53E8"/>
    <w:rsid w:val="005E5750"/>
    <w:rsid w:val="005E5A24"/>
    <w:rsid w:val="005E5BD7"/>
    <w:rsid w:val="005E60DB"/>
    <w:rsid w:val="005E620C"/>
    <w:rsid w:val="005E6B23"/>
    <w:rsid w:val="005E6B88"/>
    <w:rsid w:val="005E76A0"/>
    <w:rsid w:val="005E789B"/>
    <w:rsid w:val="005E7A1F"/>
    <w:rsid w:val="005E7AFF"/>
    <w:rsid w:val="005F028A"/>
    <w:rsid w:val="005F062A"/>
    <w:rsid w:val="005F0743"/>
    <w:rsid w:val="005F0B31"/>
    <w:rsid w:val="005F0FD9"/>
    <w:rsid w:val="005F1181"/>
    <w:rsid w:val="005F1587"/>
    <w:rsid w:val="005F15CC"/>
    <w:rsid w:val="005F1B36"/>
    <w:rsid w:val="005F247A"/>
    <w:rsid w:val="005F2B28"/>
    <w:rsid w:val="005F2CB8"/>
    <w:rsid w:val="005F3002"/>
    <w:rsid w:val="005F30F7"/>
    <w:rsid w:val="005F3AA0"/>
    <w:rsid w:val="005F3C69"/>
    <w:rsid w:val="005F41B2"/>
    <w:rsid w:val="005F4585"/>
    <w:rsid w:val="005F488A"/>
    <w:rsid w:val="005F4956"/>
    <w:rsid w:val="005F4D3A"/>
    <w:rsid w:val="005F4D8B"/>
    <w:rsid w:val="005F4EBF"/>
    <w:rsid w:val="005F4FBC"/>
    <w:rsid w:val="005F5092"/>
    <w:rsid w:val="005F5C74"/>
    <w:rsid w:val="005F6B6D"/>
    <w:rsid w:val="005F6B76"/>
    <w:rsid w:val="005F6BD1"/>
    <w:rsid w:val="005F6FE7"/>
    <w:rsid w:val="005F70B3"/>
    <w:rsid w:val="005F783A"/>
    <w:rsid w:val="005F7856"/>
    <w:rsid w:val="006007D0"/>
    <w:rsid w:val="00600C0C"/>
    <w:rsid w:val="00600F7F"/>
    <w:rsid w:val="0060113B"/>
    <w:rsid w:val="0060118B"/>
    <w:rsid w:val="00601B7D"/>
    <w:rsid w:val="00602065"/>
    <w:rsid w:val="00602073"/>
    <w:rsid w:val="00602189"/>
    <w:rsid w:val="0060220C"/>
    <w:rsid w:val="006022DF"/>
    <w:rsid w:val="006027F8"/>
    <w:rsid w:val="00602958"/>
    <w:rsid w:val="00602AC5"/>
    <w:rsid w:val="00603F62"/>
    <w:rsid w:val="00604331"/>
    <w:rsid w:val="00604A82"/>
    <w:rsid w:val="00604CEA"/>
    <w:rsid w:val="00605221"/>
    <w:rsid w:val="006056B7"/>
    <w:rsid w:val="006058C4"/>
    <w:rsid w:val="00605B10"/>
    <w:rsid w:val="00606471"/>
    <w:rsid w:val="006067DC"/>
    <w:rsid w:val="006067DE"/>
    <w:rsid w:val="0060684D"/>
    <w:rsid w:val="00606962"/>
    <w:rsid w:val="00606AEC"/>
    <w:rsid w:val="00606CEA"/>
    <w:rsid w:val="00606FA0"/>
    <w:rsid w:val="006078F6"/>
    <w:rsid w:val="00607CA8"/>
    <w:rsid w:val="0061000A"/>
    <w:rsid w:val="006104E6"/>
    <w:rsid w:val="00610CC3"/>
    <w:rsid w:val="00610E4F"/>
    <w:rsid w:val="00610ED8"/>
    <w:rsid w:val="006112D7"/>
    <w:rsid w:val="00611B59"/>
    <w:rsid w:val="00611B5C"/>
    <w:rsid w:val="00611C0E"/>
    <w:rsid w:val="006122DE"/>
    <w:rsid w:val="0061230C"/>
    <w:rsid w:val="00612608"/>
    <w:rsid w:val="00612E20"/>
    <w:rsid w:val="006140AC"/>
    <w:rsid w:val="00614275"/>
    <w:rsid w:val="0061444B"/>
    <w:rsid w:val="0061492D"/>
    <w:rsid w:val="0061497C"/>
    <w:rsid w:val="00614BF0"/>
    <w:rsid w:val="006151BB"/>
    <w:rsid w:val="00615808"/>
    <w:rsid w:val="006159EE"/>
    <w:rsid w:val="006165B1"/>
    <w:rsid w:val="006165C6"/>
    <w:rsid w:val="00616F29"/>
    <w:rsid w:val="0061764C"/>
    <w:rsid w:val="00617C58"/>
    <w:rsid w:val="006200C9"/>
    <w:rsid w:val="00620282"/>
    <w:rsid w:val="006206A1"/>
    <w:rsid w:val="00620997"/>
    <w:rsid w:val="00620CCD"/>
    <w:rsid w:val="006210A7"/>
    <w:rsid w:val="006211E8"/>
    <w:rsid w:val="00621622"/>
    <w:rsid w:val="006218AB"/>
    <w:rsid w:val="00621AAD"/>
    <w:rsid w:val="00621D3A"/>
    <w:rsid w:val="006220BA"/>
    <w:rsid w:val="00622440"/>
    <w:rsid w:val="006225DB"/>
    <w:rsid w:val="00622630"/>
    <w:rsid w:val="006229D6"/>
    <w:rsid w:val="00622BBE"/>
    <w:rsid w:val="00622C54"/>
    <w:rsid w:val="00622DC4"/>
    <w:rsid w:val="006239A5"/>
    <w:rsid w:val="00623ABE"/>
    <w:rsid w:val="00623BB3"/>
    <w:rsid w:val="0062491F"/>
    <w:rsid w:val="00624A66"/>
    <w:rsid w:val="00624DAB"/>
    <w:rsid w:val="0062505C"/>
    <w:rsid w:val="00625206"/>
    <w:rsid w:val="00625714"/>
    <w:rsid w:val="0062586D"/>
    <w:rsid w:val="00625A7B"/>
    <w:rsid w:val="00625D58"/>
    <w:rsid w:val="00625FE2"/>
    <w:rsid w:val="006260D0"/>
    <w:rsid w:val="00626A22"/>
    <w:rsid w:val="00626DC7"/>
    <w:rsid w:val="0062766B"/>
    <w:rsid w:val="006302C3"/>
    <w:rsid w:val="0063044F"/>
    <w:rsid w:val="00630855"/>
    <w:rsid w:val="0063098C"/>
    <w:rsid w:val="00630BFD"/>
    <w:rsid w:val="00630D19"/>
    <w:rsid w:val="00630F42"/>
    <w:rsid w:val="006313CB"/>
    <w:rsid w:val="006315BF"/>
    <w:rsid w:val="00631D0C"/>
    <w:rsid w:val="00632525"/>
    <w:rsid w:val="00632893"/>
    <w:rsid w:val="006330A3"/>
    <w:rsid w:val="00633434"/>
    <w:rsid w:val="006335C8"/>
    <w:rsid w:val="006340F1"/>
    <w:rsid w:val="006347EF"/>
    <w:rsid w:val="00634E35"/>
    <w:rsid w:val="006354C7"/>
    <w:rsid w:val="00635E1C"/>
    <w:rsid w:val="0063604C"/>
    <w:rsid w:val="006367B2"/>
    <w:rsid w:val="0063695E"/>
    <w:rsid w:val="00636A37"/>
    <w:rsid w:val="00636CD2"/>
    <w:rsid w:val="00636F91"/>
    <w:rsid w:val="00637215"/>
    <w:rsid w:val="00637342"/>
    <w:rsid w:val="00637D13"/>
    <w:rsid w:val="00637F0D"/>
    <w:rsid w:val="006404C0"/>
    <w:rsid w:val="006407F4"/>
    <w:rsid w:val="006409B1"/>
    <w:rsid w:val="00641B24"/>
    <w:rsid w:val="00642492"/>
    <w:rsid w:val="0064263A"/>
    <w:rsid w:val="00642F08"/>
    <w:rsid w:val="0064352C"/>
    <w:rsid w:val="00643707"/>
    <w:rsid w:val="00643B83"/>
    <w:rsid w:val="00643CC9"/>
    <w:rsid w:val="00643E74"/>
    <w:rsid w:val="006441E4"/>
    <w:rsid w:val="006444DE"/>
    <w:rsid w:val="00644533"/>
    <w:rsid w:val="00644887"/>
    <w:rsid w:val="00644B6D"/>
    <w:rsid w:val="00644CE3"/>
    <w:rsid w:val="006453BC"/>
    <w:rsid w:val="006454CC"/>
    <w:rsid w:val="0064577C"/>
    <w:rsid w:val="00645E83"/>
    <w:rsid w:val="006460C9"/>
    <w:rsid w:val="00646220"/>
    <w:rsid w:val="00646B57"/>
    <w:rsid w:val="00646C46"/>
    <w:rsid w:val="00646CCD"/>
    <w:rsid w:val="006471A2"/>
    <w:rsid w:val="006472AC"/>
    <w:rsid w:val="0064798B"/>
    <w:rsid w:val="00647E09"/>
    <w:rsid w:val="0065095D"/>
    <w:rsid w:val="006516CE"/>
    <w:rsid w:val="00652878"/>
    <w:rsid w:val="006528EA"/>
    <w:rsid w:val="00653E2E"/>
    <w:rsid w:val="00653E41"/>
    <w:rsid w:val="006545AD"/>
    <w:rsid w:val="006546FD"/>
    <w:rsid w:val="00654719"/>
    <w:rsid w:val="00654947"/>
    <w:rsid w:val="00654B00"/>
    <w:rsid w:val="00655573"/>
    <w:rsid w:val="00655A47"/>
    <w:rsid w:val="00655C7C"/>
    <w:rsid w:val="0065679C"/>
    <w:rsid w:val="00656A14"/>
    <w:rsid w:val="006575B2"/>
    <w:rsid w:val="00657605"/>
    <w:rsid w:val="0065799E"/>
    <w:rsid w:val="00657FC6"/>
    <w:rsid w:val="006602B5"/>
    <w:rsid w:val="006606D6"/>
    <w:rsid w:val="00661A5D"/>
    <w:rsid w:val="0066235F"/>
    <w:rsid w:val="00662636"/>
    <w:rsid w:val="00663096"/>
    <w:rsid w:val="00663445"/>
    <w:rsid w:val="006637E3"/>
    <w:rsid w:val="00663B28"/>
    <w:rsid w:val="00663CEE"/>
    <w:rsid w:val="00663E48"/>
    <w:rsid w:val="00663F10"/>
    <w:rsid w:val="00664118"/>
    <w:rsid w:val="006645B2"/>
    <w:rsid w:val="006650BB"/>
    <w:rsid w:val="00665107"/>
    <w:rsid w:val="00665128"/>
    <w:rsid w:val="006652CE"/>
    <w:rsid w:val="006653E9"/>
    <w:rsid w:val="00665F1D"/>
    <w:rsid w:val="00666036"/>
    <w:rsid w:val="00666369"/>
    <w:rsid w:val="0066690E"/>
    <w:rsid w:val="00666948"/>
    <w:rsid w:val="006672C7"/>
    <w:rsid w:val="00670427"/>
    <w:rsid w:val="0067050A"/>
    <w:rsid w:val="0067086D"/>
    <w:rsid w:val="00670C90"/>
    <w:rsid w:val="00670E5F"/>
    <w:rsid w:val="00671133"/>
    <w:rsid w:val="0067168A"/>
    <w:rsid w:val="006716D6"/>
    <w:rsid w:val="006719AA"/>
    <w:rsid w:val="00671AF9"/>
    <w:rsid w:val="00671F3F"/>
    <w:rsid w:val="00671F71"/>
    <w:rsid w:val="006730C1"/>
    <w:rsid w:val="00673142"/>
    <w:rsid w:val="006731AA"/>
    <w:rsid w:val="00673C18"/>
    <w:rsid w:val="00673D47"/>
    <w:rsid w:val="006740AC"/>
    <w:rsid w:val="006740E7"/>
    <w:rsid w:val="00674612"/>
    <w:rsid w:val="0067475C"/>
    <w:rsid w:val="00674FB2"/>
    <w:rsid w:val="00675A92"/>
    <w:rsid w:val="006760AA"/>
    <w:rsid w:val="006760BA"/>
    <w:rsid w:val="00676405"/>
    <w:rsid w:val="0067699C"/>
    <w:rsid w:val="00676C20"/>
    <w:rsid w:val="00676D08"/>
    <w:rsid w:val="0067701B"/>
    <w:rsid w:val="00677099"/>
    <w:rsid w:val="006773AE"/>
    <w:rsid w:val="0067745C"/>
    <w:rsid w:val="00677607"/>
    <w:rsid w:val="00677AC8"/>
    <w:rsid w:val="00677C69"/>
    <w:rsid w:val="0068050F"/>
    <w:rsid w:val="006806CF"/>
    <w:rsid w:val="006808CB"/>
    <w:rsid w:val="00680E26"/>
    <w:rsid w:val="006814BF"/>
    <w:rsid w:val="00681598"/>
    <w:rsid w:val="00681BC6"/>
    <w:rsid w:val="00681DFA"/>
    <w:rsid w:val="00682ABE"/>
    <w:rsid w:val="0068352C"/>
    <w:rsid w:val="006837DA"/>
    <w:rsid w:val="006841D3"/>
    <w:rsid w:val="006842D6"/>
    <w:rsid w:val="00684719"/>
    <w:rsid w:val="006850E7"/>
    <w:rsid w:val="0068552E"/>
    <w:rsid w:val="006855E2"/>
    <w:rsid w:val="00685620"/>
    <w:rsid w:val="00685717"/>
    <w:rsid w:val="00685AC6"/>
    <w:rsid w:val="00685D9D"/>
    <w:rsid w:val="006866DE"/>
    <w:rsid w:val="00686C3C"/>
    <w:rsid w:val="00686CC7"/>
    <w:rsid w:val="00686E08"/>
    <w:rsid w:val="00686E7C"/>
    <w:rsid w:val="00686F86"/>
    <w:rsid w:val="00686F8D"/>
    <w:rsid w:val="00686FED"/>
    <w:rsid w:val="00687229"/>
    <w:rsid w:val="006872D0"/>
    <w:rsid w:val="00687319"/>
    <w:rsid w:val="0068751A"/>
    <w:rsid w:val="006900B5"/>
    <w:rsid w:val="006901A2"/>
    <w:rsid w:val="00690437"/>
    <w:rsid w:val="00690ED2"/>
    <w:rsid w:val="00690F1F"/>
    <w:rsid w:val="00690F57"/>
    <w:rsid w:val="0069137D"/>
    <w:rsid w:val="00691789"/>
    <w:rsid w:val="0069184A"/>
    <w:rsid w:val="0069286B"/>
    <w:rsid w:val="00692A42"/>
    <w:rsid w:val="00692A9D"/>
    <w:rsid w:val="00692B28"/>
    <w:rsid w:val="006935D6"/>
    <w:rsid w:val="00693622"/>
    <w:rsid w:val="0069383F"/>
    <w:rsid w:val="00693EF6"/>
    <w:rsid w:val="006946CF"/>
    <w:rsid w:val="0069491C"/>
    <w:rsid w:val="0069583B"/>
    <w:rsid w:val="006958AA"/>
    <w:rsid w:val="00696318"/>
    <w:rsid w:val="00696E5A"/>
    <w:rsid w:val="00697344"/>
    <w:rsid w:val="006975E7"/>
    <w:rsid w:val="00697601"/>
    <w:rsid w:val="006979BE"/>
    <w:rsid w:val="00697D55"/>
    <w:rsid w:val="00697D62"/>
    <w:rsid w:val="006A02AB"/>
    <w:rsid w:val="006A0BE9"/>
    <w:rsid w:val="006A0DA8"/>
    <w:rsid w:val="006A155F"/>
    <w:rsid w:val="006A1726"/>
    <w:rsid w:val="006A19C0"/>
    <w:rsid w:val="006A1CCC"/>
    <w:rsid w:val="006A1D5F"/>
    <w:rsid w:val="006A1DC1"/>
    <w:rsid w:val="006A1E6A"/>
    <w:rsid w:val="006A1F07"/>
    <w:rsid w:val="006A272C"/>
    <w:rsid w:val="006A35A1"/>
    <w:rsid w:val="006A3ADC"/>
    <w:rsid w:val="006A3B8A"/>
    <w:rsid w:val="006A3F6E"/>
    <w:rsid w:val="006A3F86"/>
    <w:rsid w:val="006A4116"/>
    <w:rsid w:val="006A4408"/>
    <w:rsid w:val="006A45BF"/>
    <w:rsid w:val="006A4910"/>
    <w:rsid w:val="006A4FAA"/>
    <w:rsid w:val="006A5264"/>
    <w:rsid w:val="006A61AC"/>
    <w:rsid w:val="006A63FA"/>
    <w:rsid w:val="006A6A78"/>
    <w:rsid w:val="006A6F3D"/>
    <w:rsid w:val="006A77DE"/>
    <w:rsid w:val="006A7965"/>
    <w:rsid w:val="006A7EF1"/>
    <w:rsid w:val="006B0188"/>
    <w:rsid w:val="006B0652"/>
    <w:rsid w:val="006B1458"/>
    <w:rsid w:val="006B1EDC"/>
    <w:rsid w:val="006B2748"/>
    <w:rsid w:val="006B2C36"/>
    <w:rsid w:val="006B2C5D"/>
    <w:rsid w:val="006B2E83"/>
    <w:rsid w:val="006B2FED"/>
    <w:rsid w:val="006B323B"/>
    <w:rsid w:val="006B43E6"/>
    <w:rsid w:val="006B4488"/>
    <w:rsid w:val="006B4696"/>
    <w:rsid w:val="006B4B42"/>
    <w:rsid w:val="006B520E"/>
    <w:rsid w:val="006B5B9C"/>
    <w:rsid w:val="006B5BEF"/>
    <w:rsid w:val="006B5DC1"/>
    <w:rsid w:val="006B6161"/>
    <w:rsid w:val="006B70C8"/>
    <w:rsid w:val="006B71EA"/>
    <w:rsid w:val="006B73E9"/>
    <w:rsid w:val="006B78AE"/>
    <w:rsid w:val="006B7957"/>
    <w:rsid w:val="006B7A20"/>
    <w:rsid w:val="006B7C8C"/>
    <w:rsid w:val="006C0AB1"/>
    <w:rsid w:val="006C0FD7"/>
    <w:rsid w:val="006C17A3"/>
    <w:rsid w:val="006C1D09"/>
    <w:rsid w:val="006C1FE8"/>
    <w:rsid w:val="006C23A6"/>
    <w:rsid w:val="006C2E56"/>
    <w:rsid w:val="006C2F27"/>
    <w:rsid w:val="006C320D"/>
    <w:rsid w:val="006C3338"/>
    <w:rsid w:val="006C33F8"/>
    <w:rsid w:val="006C391C"/>
    <w:rsid w:val="006C3EB0"/>
    <w:rsid w:val="006C3F57"/>
    <w:rsid w:val="006C43DB"/>
    <w:rsid w:val="006C4652"/>
    <w:rsid w:val="006C4E62"/>
    <w:rsid w:val="006C5088"/>
    <w:rsid w:val="006C52B2"/>
    <w:rsid w:val="006C56FE"/>
    <w:rsid w:val="006C5A74"/>
    <w:rsid w:val="006C5DC6"/>
    <w:rsid w:val="006C5E0F"/>
    <w:rsid w:val="006C5E29"/>
    <w:rsid w:val="006C64D5"/>
    <w:rsid w:val="006C6937"/>
    <w:rsid w:val="006C6F1A"/>
    <w:rsid w:val="006C72C1"/>
    <w:rsid w:val="006C75AE"/>
    <w:rsid w:val="006C78C1"/>
    <w:rsid w:val="006C79EB"/>
    <w:rsid w:val="006C7BC5"/>
    <w:rsid w:val="006C7C08"/>
    <w:rsid w:val="006C7E13"/>
    <w:rsid w:val="006D0274"/>
    <w:rsid w:val="006D09BD"/>
    <w:rsid w:val="006D09E2"/>
    <w:rsid w:val="006D0A24"/>
    <w:rsid w:val="006D1223"/>
    <w:rsid w:val="006D1229"/>
    <w:rsid w:val="006D2044"/>
    <w:rsid w:val="006D272C"/>
    <w:rsid w:val="006D2B40"/>
    <w:rsid w:val="006D2CF3"/>
    <w:rsid w:val="006D31BC"/>
    <w:rsid w:val="006D3797"/>
    <w:rsid w:val="006D390E"/>
    <w:rsid w:val="006D3CBA"/>
    <w:rsid w:val="006D44A6"/>
    <w:rsid w:val="006D4746"/>
    <w:rsid w:val="006D4810"/>
    <w:rsid w:val="006D5312"/>
    <w:rsid w:val="006D5A1D"/>
    <w:rsid w:val="006D5B71"/>
    <w:rsid w:val="006D61E6"/>
    <w:rsid w:val="006D6435"/>
    <w:rsid w:val="006D672A"/>
    <w:rsid w:val="006D69D1"/>
    <w:rsid w:val="006D7D2C"/>
    <w:rsid w:val="006D7DE0"/>
    <w:rsid w:val="006D7FB6"/>
    <w:rsid w:val="006E0277"/>
    <w:rsid w:val="006E0CF9"/>
    <w:rsid w:val="006E1D93"/>
    <w:rsid w:val="006E2628"/>
    <w:rsid w:val="006E272E"/>
    <w:rsid w:val="006E2AAB"/>
    <w:rsid w:val="006E2F88"/>
    <w:rsid w:val="006E3B63"/>
    <w:rsid w:val="006E3DF5"/>
    <w:rsid w:val="006E3FA2"/>
    <w:rsid w:val="006E4070"/>
    <w:rsid w:val="006E443E"/>
    <w:rsid w:val="006E4AE2"/>
    <w:rsid w:val="006E5594"/>
    <w:rsid w:val="006E5596"/>
    <w:rsid w:val="006E59AC"/>
    <w:rsid w:val="006E5D3D"/>
    <w:rsid w:val="006E5EED"/>
    <w:rsid w:val="006E66EF"/>
    <w:rsid w:val="006E672E"/>
    <w:rsid w:val="006E69D8"/>
    <w:rsid w:val="006E6D23"/>
    <w:rsid w:val="006E754A"/>
    <w:rsid w:val="006E7B27"/>
    <w:rsid w:val="006E7B8A"/>
    <w:rsid w:val="006E7C3C"/>
    <w:rsid w:val="006F05FF"/>
    <w:rsid w:val="006F0904"/>
    <w:rsid w:val="006F09D2"/>
    <w:rsid w:val="006F0CE5"/>
    <w:rsid w:val="006F174F"/>
    <w:rsid w:val="006F2108"/>
    <w:rsid w:val="006F215C"/>
    <w:rsid w:val="006F2654"/>
    <w:rsid w:val="006F2EF6"/>
    <w:rsid w:val="006F3315"/>
    <w:rsid w:val="006F3B75"/>
    <w:rsid w:val="006F3FB9"/>
    <w:rsid w:val="006F4003"/>
    <w:rsid w:val="006F4428"/>
    <w:rsid w:val="006F52DC"/>
    <w:rsid w:val="006F5C29"/>
    <w:rsid w:val="006F6168"/>
    <w:rsid w:val="006F61C5"/>
    <w:rsid w:val="006F6505"/>
    <w:rsid w:val="006F6E76"/>
    <w:rsid w:val="006F6F12"/>
    <w:rsid w:val="006F717C"/>
    <w:rsid w:val="006F71F5"/>
    <w:rsid w:val="006F7BB1"/>
    <w:rsid w:val="006F7D27"/>
    <w:rsid w:val="006F7FA1"/>
    <w:rsid w:val="00700AA1"/>
    <w:rsid w:val="00700B2A"/>
    <w:rsid w:val="00700FBF"/>
    <w:rsid w:val="00701204"/>
    <w:rsid w:val="00701481"/>
    <w:rsid w:val="007016EB"/>
    <w:rsid w:val="007017E2"/>
    <w:rsid w:val="00701FE1"/>
    <w:rsid w:val="00702784"/>
    <w:rsid w:val="00702BE0"/>
    <w:rsid w:val="00702CE5"/>
    <w:rsid w:val="007033E2"/>
    <w:rsid w:val="00703F6A"/>
    <w:rsid w:val="0070477D"/>
    <w:rsid w:val="00704784"/>
    <w:rsid w:val="007047BC"/>
    <w:rsid w:val="0070493A"/>
    <w:rsid w:val="00704D24"/>
    <w:rsid w:val="00704D6E"/>
    <w:rsid w:val="00705E5B"/>
    <w:rsid w:val="00706397"/>
    <w:rsid w:val="00706475"/>
    <w:rsid w:val="00706509"/>
    <w:rsid w:val="00707C86"/>
    <w:rsid w:val="00710655"/>
    <w:rsid w:val="0071085B"/>
    <w:rsid w:val="00710867"/>
    <w:rsid w:val="00710929"/>
    <w:rsid w:val="00711073"/>
    <w:rsid w:val="007114E7"/>
    <w:rsid w:val="00711AF3"/>
    <w:rsid w:val="00711E86"/>
    <w:rsid w:val="00711F20"/>
    <w:rsid w:val="0071243B"/>
    <w:rsid w:val="007124F1"/>
    <w:rsid w:val="00712650"/>
    <w:rsid w:val="0071270A"/>
    <w:rsid w:val="00712D87"/>
    <w:rsid w:val="00712F72"/>
    <w:rsid w:val="0071396E"/>
    <w:rsid w:val="0071414F"/>
    <w:rsid w:val="00714BA0"/>
    <w:rsid w:val="00714CEE"/>
    <w:rsid w:val="00714E89"/>
    <w:rsid w:val="00715A86"/>
    <w:rsid w:val="0071691A"/>
    <w:rsid w:val="00716963"/>
    <w:rsid w:val="0071698D"/>
    <w:rsid w:val="00716B93"/>
    <w:rsid w:val="00716C27"/>
    <w:rsid w:val="00716EA1"/>
    <w:rsid w:val="00717BEB"/>
    <w:rsid w:val="00717C66"/>
    <w:rsid w:val="00717E54"/>
    <w:rsid w:val="00717F8E"/>
    <w:rsid w:val="00720029"/>
    <w:rsid w:val="00720092"/>
    <w:rsid w:val="007207E1"/>
    <w:rsid w:val="00720D24"/>
    <w:rsid w:val="0072120D"/>
    <w:rsid w:val="00721A0E"/>
    <w:rsid w:val="00721B45"/>
    <w:rsid w:val="007229F1"/>
    <w:rsid w:val="007230B9"/>
    <w:rsid w:val="00723705"/>
    <w:rsid w:val="00723F7C"/>
    <w:rsid w:val="0072425A"/>
    <w:rsid w:val="007244BF"/>
    <w:rsid w:val="007248AC"/>
    <w:rsid w:val="0072502D"/>
    <w:rsid w:val="007254FC"/>
    <w:rsid w:val="00725739"/>
    <w:rsid w:val="00725830"/>
    <w:rsid w:val="0072630A"/>
    <w:rsid w:val="00726A51"/>
    <w:rsid w:val="00726F98"/>
    <w:rsid w:val="0072708E"/>
    <w:rsid w:val="007272D5"/>
    <w:rsid w:val="00727914"/>
    <w:rsid w:val="00727AC4"/>
    <w:rsid w:val="007300B3"/>
    <w:rsid w:val="007302F6"/>
    <w:rsid w:val="00730369"/>
    <w:rsid w:val="00730C3B"/>
    <w:rsid w:val="0073152E"/>
    <w:rsid w:val="00731F26"/>
    <w:rsid w:val="00731F94"/>
    <w:rsid w:val="0073267F"/>
    <w:rsid w:val="00732839"/>
    <w:rsid w:val="007328F7"/>
    <w:rsid w:val="00732C8B"/>
    <w:rsid w:val="00733481"/>
    <w:rsid w:val="00733511"/>
    <w:rsid w:val="00733591"/>
    <w:rsid w:val="00733B76"/>
    <w:rsid w:val="00733ECE"/>
    <w:rsid w:val="0073454A"/>
    <w:rsid w:val="00734785"/>
    <w:rsid w:val="007348DB"/>
    <w:rsid w:val="00734D73"/>
    <w:rsid w:val="00734DA9"/>
    <w:rsid w:val="00736332"/>
    <w:rsid w:val="00736523"/>
    <w:rsid w:val="00737209"/>
    <w:rsid w:val="00737403"/>
    <w:rsid w:val="007414BD"/>
    <w:rsid w:val="00741822"/>
    <w:rsid w:val="00741886"/>
    <w:rsid w:val="007418F1"/>
    <w:rsid w:val="00741CB5"/>
    <w:rsid w:val="00742012"/>
    <w:rsid w:val="00742034"/>
    <w:rsid w:val="00742EB9"/>
    <w:rsid w:val="00743082"/>
    <w:rsid w:val="0074322E"/>
    <w:rsid w:val="00743744"/>
    <w:rsid w:val="00743F18"/>
    <w:rsid w:val="00744055"/>
    <w:rsid w:val="007442DD"/>
    <w:rsid w:val="007443C1"/>
    <w:rsid w:val="0074442A"/>
    <w:rsid w:val="007449F5"/>
    <w:rsid w:val="00744D35"/>
    <w:rsid w:val="0074571F"/>
    <w:rsid w:val="00745A45"/>
    <w:rsid w:val="00745BC9"/>
    <w:rsid w:val="00745CB3"/>
    <w:rsid w:val="00746192"/>
    <w:rsid w:val="00746496"/>
    <w:rsid w:val="00746537"/>
    <w:rsid w:val="007466D3"/>
    <w:rsid w:val="00746B97"/>
    <w:rsid w:val="00746CA7"/>
    <w:rsid w:val="007470BA"/>
    <w:rsid w:val="007470C9"/>
    <w:rsid w:val="007470E3"/>
    <w:rsid w:val="00747208"/>
    <w:rsid w:val="0074764C"/>
    <w:rsid w:val="007500A5"/>
    <w:rsid w:val="0075074B"/>
    <w:rsid w:val="007508B9"/>
    <w:rsid w:val="0075091B"/>
    <w:rsid w:val="00750AA9"/>
    <w:rsid w:val="00750B87"/>
    <w:rsid w:val="00750CE9"/>
    <w:rsid w:val="00750EA5"/>
    <w:rsid w:val="007515EC"/>
    <w:rsid w:val="007516E8"/>
    <w:rsid w:val="00751EBA"/>
    <w:rsid w:val="00752232"/>
    <w:rsid w:val="007524E8"/>
    <w:rsid w:val="00752792"/>
    <w:rsid w:val="0075282D"/>
    <w:rsid w:val="00752A72"/>
    <w:rsid w:val="00752B44"/>
    <w:rsid w:val="0075317F"/>
    <w:rsid w:val="00753304"/>
    <w:rsid w:val="00753682"/>
    <w:rsid w:val="007536A6"/>
    <w:rsid w:val="00753C2F"/>
    <w:rsid w:val="00753D35"/>
    <w:rsid w:val="007545F4"/>
    <w:rsid w:val="00754627"/>
    <w:rsid w:val="00754B24"/>
    <w:rsid w:val="00754E6E"/>
    <w:rsid w:val="00754FF6"/>
    <w:rsid w:val="00755A54"/>
    <w:rsid w:val="00755B71"/>
    <w:rsid w:val="00755B8B"/>
    <w:rsid w:val="007560CA"/>
    <w:rsid w:val="007563FD"/>
    <w:rsid w:val="00756764"/>
    <w:rsid w:val="007568D8"/>
    <w:rsid w:val="0075735C"/>
    <w:rsid w:val="007575F7"/>
    <w:rsid w:val="0075779E"/>
    <w:rsid w:val="00757898"/>
    <w:rsid w:val="00757DE9"/>
    <w:rsid w:val="00760148"/>
    <w:rsid w:val="007603AA"/>
    <w:rsid w:val="007603D0"/>
    <w:rsid w:val="007603DD"/>
    <w:rsid w:val="007606F1"/>
    <w:rsid w:val="00760D54"/>
    <w:rsid w:val="00760E8D"/>
    <w:rsid w:val="007612EB"/>
    <w:rsid w:val="007613FF"/>
    <w:rsid w:val="0076177D"/>
    <w:rsid w:val="00761981"/>
    <w:rsid w:val="00761B70"/>
    <w:rsid w:val="00761D61"/>
    <w:rsid w:val="0076210E"/>
    <w:rsid w:val="007623FC"/>
    <w:rsid w:val="007624DF"/>
    <w:rsid w:val="007624F3"/>
    <w:rsid w:val="00762AD2"/>
    <w:rsid w:val="007630F3"/>
    <w:rsid w:val="007632C8"/>
    <w:rsid w:val="00763500"/>
    <w:rsid w:val="00763827"/>
    <w:rsid w:val="0076451D"/>
    <w:rsid w:val="007657EA"/>
    <w:rsid w:val="007663D3"/>
    <w:rsid w:val="007664F0"/>
    <w:rsid w:val="007672D4"/>
    <w:rsid w:val="0076734C"/>
    <w:rsid w:val="00767989"/>
    <w:rsid w:val="00767DA5"/>
    <w:rsid w:val="00767E49"/>
    <w:rsid w:val="007701B4"/>
    <w:rsid w:val="00770345"/>
    <w:rsid w:val="007705CC"/>
    <w:rsid w:val="00770865"/>
    <w:rsid w:val="00770C35"/>
    <w:rsid w:val="00770D5E"/>
    <w:rsid w:val="007710B7"/>
    <w:rsid w:val="00771303"/>
    <w:rsid w:val="0077158B"/>
    <w:rsid w:val="0077163E"/>
    <w:rsid w:val="007720CD"/>
    <w:rsid w:val="0077231C"/>
    <w:rsid w:val="00772DDE"/>
    <w:rsid w:val="00772FE7"/>
    <w:rsid w:val="0077302E"/>
    <w:rsid w:val="00773074"/>
    <w:rsid w:val="007742C9"/>
    <w:rsid w:val="007745B8"/>
    <w:rsid w:val="00774C6F"/>
    <w:rsid w:val="007753BE"/>
    <w:rsid w:val="00775502"/>
    <w:rsid w:val="00775B5C"/>
    <w:rsid w:val="00776B96"/>
    <w:rsid w:val="0077766F"/>
    <w:rsid w:val="00780758"/>
    <w:rsid w:val="0078168D"/>
    <w:rsid w:val="0078172D"/>
    <w:rsid w:val="00782744"/>
    <w:rsid w:val="0078279C"/>
    <w:rsid w:val="00782A40"/>
    <w:rsid w:val="00782C11"/>
    <w:rsid w:val="00782D13"/>
    <w:rsid w:val="00783149"/>
    <w:rsid w:val="007832AB"/>
    <w:rsid w:val="0078340D"/>
    <w:rsid w:val="00783449"/>
    <w:rsid w:val="007835AB"/>
    <w:rsid w:val="00783675"/>
    <w:rsid w:val="00783676"/>
    <w:rsid w:val="00783FD8"/>
    <w:rsid w:val="007843D1"/>
    <w:rsid w:val="00784636"/>
    <w:rsid w:val="0078478D"/>
    <w:rsid w:val="00784823"/>
    <w:rsid w:val="00784B47"/>
    <w:rsid w:val="00784E67"/>
    <w:rsid w:val="00785635"/>
    <w:rsid w:val="007858E5"/>
    <w:rsid w:val="007865FB"/>
    <w:rsid w:val="00786A00"/>
    <w:rsid w:val="00786A91"/>
    <w:rsid w:val="00786DB7"/>
    <w:rsid w:val="00786F49"/>
    <w:rsid w:val="0078769D"/>
    <w:rsid w:val="00787AF6"/>
    <w:rsid w:val="007900AB"/>
    <w:rsid w:val="007902D2"/>
    <w:rsid w:val="0079034F"/>
    <w:rsid w:val="00790485"/>
    <w:rsid w:val="0079055C"/>
    <w:rsid w:val="00791ACB"/>
    <w:rsid w:val="00791CB8"/>
    <w:rsid w:val="0079263B"/>
    <w:rsid w:val="00792AA2"/>
    <w:rsid w:val="00792C70"/>
    <w:rsid w:val="00792FF8"/>
    <w:rsid w:val="00793646"/>
    <w:rsid w:val="00793EB4"/>
    <w:rsid w:val="00794443"/>
    <w:rsid w:val="007958D1"/>
    <w:rsid w:val="00795ADA"/>
    <w:rsid w:val="00795D69"/>
    <w:rsid w:val="00796109"/>
    <w:rsid w:val="007969DA"/>
    <w:rsid w:val="00796A6A"/>
    <w:rsid w:val="00796F46"/>
    <w:rsid w:val="007970C3"/>
    <w:rsid w:val="007A000A"/>
    <w:rsid w:val="007A0C18"/>
    <w:rsid w:val="007A0C7F"/>
    <w:rsid w:val="007A0D80"/>
    <w:rsid w:val="007A0F22"/>
    <w:rsid w:val="007A0F7A"/>
    <w:rsid w:val="007A14CB"/>
    <w:rsid w:val="007A16BC"/>
    <w:rsid w:val="007A17E8"/>
    <w:rsid w:val="007A1EC5"/>
    <w:rsid w:val="007A237A"/>
    <w:rsid w:val="007A280C"/>
    <w:rsid w:val="007A287C"/>
    <w:rsid w:val="007A294F"/>
    <w:rsid w:val="007A2A0F"/>
    <w:rsid w:val="007A2A80"/>
    <w:rsid w:val="007A2BA6"/>
    <w:rsid w:val="007A2C81"/>
    <w:rsid w:val="007A2E1A"/>
    <w:rsid w:val="007A2EA0"/>
    <w:rsid w:val="007A2FCE"/>
    <w:rsid w:val="007A3293"/>
    <w:rsid w:val="007A3365"/>
    <w:rsid w:val="007A3552"/>
    <w:rsid w:val="007A3591"/>
    <w:rsid w:val="007A35C4"/>
    <w:rsid w:val="007A35C7"/>
    <w:rsid w:val="007A3D6D"/>
    <w:rsid w:val="007A42A5"/>
    <w:rsid w:val="007A4423"/>
    <w:rsid w:val="007A467A"/>
    <w:rsid w:val="007A485C"/>
    <w:rsid w:val="007A5083"/>
    <w:rsid w:val="007A532D"/>
    <w:rsid w:val="007A53F4"/>
    <w:rsid w:val="007A54CB"/>
    <w:rsid w:val="007A5581"/>
    <w:rsid w:val="007A6AC9"/>
    <w:rsid w:val="007A6C3D"/>
    <w:rsid w:val="007A71BD"/>
    <w:rsid w:val="007A72EA"/>
    <w:rsid w:val="007A7820"/>
    <w:rsid w:val="007B1023"/>
    <w:rsid w:val="007B1070"/>
    <w:rsid w:val="007B124F"/>
    <w:rsid w:val="007B1345"/>
    <w:rsid w:val="007B13BA"/>
    <w:rsid w:val="007B13D6"/>
    <w:rsid w:val="007B18C1"/>
    <w:rsid w:val="007B1974"/>
    <w:rsid w:val="007B23A8"/>
    <w:rsid w:val="007B2574"/>
    <w:rsid w:val="007B2989"/>
    <w:rsid w:val="007B29E9"/>
    <w:rsid w:val="007B2F6D"/>
    <w:rsid w:val="007B32BD"/>
    <w:rsid w:val="007B379C"/>
    <w:rsid w:val="007B37E2"/>
    <w:rsid w:val="007B413D"/>
    <w:rsid w:val="007B4922"/>
    <w:rsid w:val="007B49B3"/>
    <w:rsid w:val="007B5070"/>
    <w:rsid w:val="007B5428"/>
    <w:rsid w:val="007B546E"/>
    <w:rsid w:val="007B56B7"/>
    <w:rsid w:val="007B581F"/>
    <w:rsid w:val="007B5AE1"/>
    <w:rsid w:val="007B5CB6"/>
    <w:rsid w:val="007B5E5A"/>
    <w:rsid w:val="007B6060"/>
    <w:rsid w:val="007B62AA"/>
    <w:rsid w:val="007B6960"/>
    <w:rsid w:val="007B6D59"/>
    <w:rsid w:val="007B72F7"/>
    <w:rsid w:val="007B7BCC"/>
    <w:rsid w:val="007B7FF4"/>
    <w:rsid w:val="007C03ED"/>
    <w:rsid w:val="007C05A5"/>
    <w:rsid w:val="007C0AC1"/>
    <w:rsid w:val="007C0B43"/>
    <w:rsid w:val="007C0F7A"/>
    <w:rsid w:val="007C0FE1"/>
    <w:rsid w:val="007C1047"/>
    <w:rsid w:val="007C1454"/>
    <w:rsid w:val="007C1547"/>
    <w:rsid w:val="007C1BBA"/>
    <w:rsid w:val="007C1D38"/>
    <w:rsid w:val="007C1D46"/>
    <w:rsid w:val="007C1D9C"/>
    <w:rsid w:val="007C2434"/>
    <w:rsid w:val="007C24F3"/>
    <w:rsid w:val="007C26F9"/>
    <w:rsid w:val="007C2898"/>
    <w:rsid w:val="007C2E05"/>
    <w:rsid w:val="007C2E76"/>
    <w:rsid w:val="007C3478"/>
    <w:rsid w:val="007C34AF"/>
    <w:rsid w:val="007C35E2"/>
    <w:rsid w:val="007C3718"/>
    <w:rsid w:val="007C3A86"/>
    <w:rsid w:val="007C3B5F"/>
    <w:rsid w:val="007C3FCC"/>
    <w:rsid w:val="007C46AF"/>
    <w:rsid w:val="007C4A4F"/>
    <w:rsid w:val="007C5013"/>
    <w:rsid w:val="007C5444"/>
    <w:rsid w:val="007C619E"/>
    <w:rsid w:val="007C6445"/>
    <w:rsid w:val="007C6C1A"/>
    <w:rsid w:val="007C6C9E"/>
    <w:rsid w:val="007C6E4D"/>
    <w:rsid w:val="007C7268"/>
    <w:rsid w:val="007C7730"/>
    <w:rsid w:val="007C797C"/>
    <w:rsid w:val="007D055D"/>
    <w:rsid w:val="007D069A"/>
    <w:rsid w:val="007D0B6D"/>
    <w:rsid w:val="007D0D76"/>
    <w:rsid w:val="007D10C6"/>
    <w:rsid w:val="007D1876"/>
    <w:rsid w:val="007D1EA0"/>
    <w:rsid w:val="007D23D7"/>
    <w:rsid w:val="007D2742"/>
    <w:rsid w:val="007D393C"/>
    <w:rsid w:val="007D3AE4"/>
    <w:rsid w:val="007D3F6D"/>
    <w:rsid w:val="007D43EF"/>
    <w:rsid w:val="007D4478"/>
    <w:rsid w:val="007D4632"/>
    <w:rsid w:val="007D480B"/>
    <w:rsid w:val="007D4B35"/>
    <w:rsid w:val="007D4C68"/>
    <w:rsid w:val="007D4E63"/>
    <w:rsid w:val="007D51F6"/>
    <w:rsid w:val="007D5257"/>
    <w:rsid w:val="007D5328"/>
    <w:rsid w:val="007D5771"/>
    <w:rsid w:val="007D635C"/>
    <w:rsid w:val="007D6553"/>
    <w:rsid w:val="007D6722"/>
    <w:rsid w:val="007D6FD8"/>
    <w:rsid w:val="007D720C"/>
    <w:rsid w:val="007D7775"/>
    <w:rsid w:val="007D7BBD"/>
    <w:rsid w:val="007E044F"/>
    <w:rsid w:val="007E0B5F"/>
    <w:rsid w:val="007E0D1E"/>
    <w:rsid w:val="007E1147"/>
    <w:rsid w:val="007E1275"/>
    <w:rsid w:val="007E1781"/>
    <w:rsid w:val="007E1B8B"/>
    <w:rsid w:val="007E1DB2"/>
    <w:rsid w:val="007E1DB9"/>
    <w:rsid w:val="007E1DDA"/>
    <w:rsid w:val="007E1F51"/>
    <w:rsid w:val="007E2535"/>
    <w:rsid w:val="007E25C0"/>
    <w:rsid w:val="007E2700"/>
    <w:rsid w:val="007E2F37"/>
    <w:rsid w:val="007E56FE"/>
    <w:rsid w:val="007E5962"/>
    <w:rsid w:val="007E64B8"/>
    <w:rsid w:val="007E6911"/>
    <w:rsid w:val="007E6F88"/>
    <w:rsid w:val="007E7176"/>
    <w:rsid w:val="007E793D"/>
    <w:rsid w:val="007E7FE9"/>
    <w:rsid w:val="007F0931"/>
    <w:rsid w:val="007F14FA"/>
    <w:rsid w:val="007F1EA6"/>
    <w:rsid w:val="007F1F73"/>
    <w:rsid w:val="007F2420"/>
    <w:rsid w:val="007F259C"/>
    <w:rsid w:val="007F330C"/>
    <w:rsid w:val="007F347A"/>
    <w:rsid w:val="007F38CD"/>
    <w:rsid w:val="007F4B39"/>
    <w:rsid w:val="007F4C08"/>
    <w:rsid w:val="007F4DEE"/>
    <w:rsid w:val="007F53D2"/>
    <w:rsid w:val="007F5959"/>
    <w:rsid w:val="007F5A48"/>
    <w:rsid w:val="007F5D8E"/>
    <w:rsid w:val="007F6ADC"/>
    <w:rsid w:val="007F6E13"/>
    <w:rsid w:val="007F6FAD"/>
    <w:rsid w:val="007F7240"/>
    <w:rsid w:val="007F763F"/>
    <w:rsid w:val="0080068A"/>
    <w:rsid w:val="0080086F"/>
    <w:rsid w:val="00800BD7"/>
    <w:rsid w:val="00800C5C"/>
    <w:rsid w:val="00800F3C"/>
    <w:rsid w:val="00801400"/>
    <w:rsid w:val="0080201A"/>
    <w:rsid w:val="008023B0"/>
    <w:rsid w:val="00802D7D"/>
    <w:rsid w:val="00803025"/>
    <w:rsid w:val="008033D8"/>
    <w:rsid w:val="0080354C"/>
    <w:rsid w:val="0080354D"/>
    <w:rsid w:val="0080394A"/>
    <w:rsid w:val="00803FDB"/>
    <w:rsid w:val="00804677"/>
    <w:rsid w:val="008047FE"/>
    <w:rsid w:val="00804BDE"/>
    <w:rsid w:val="00804C75"/>
    <w:rsid w:val="00804F8F"/>
    <w:rsid w:val="0080530A"/>
    <w:rsid w:val="0080593B"/>
    <w:rsid w:val="008059EB"/>
    <w:rsid w:val="00806774"/>
    <w:rsid w:val="008068CE"/>
    <w:rsid w:val="00806E32"/>
    <w:rsid w:val="00807128"/>
    <w:rsid w:val="008071F9"/>
    <w:rsid w:val="008078A1"/>
    <w:rsid w:val="008078F9"/>
    <w:rsid w:val="00807D68"/>
    <w:rsid w:val="00807D88"/>
    <w:rsid w:val="00810764"/>
    <w:rsid w:val="00810968"/>
    <w:rsid w:val="00810D1F"/>
    <w:rsid w:val="00810EA2"/>
    <w:rsid w:val="00811644"/>
    <w:rsid w:val="0081164D"/>
    <w:rsid w:val="00811712"/>
    <w:rsid w:val="008117AF"/>
    <w:rsid w:val="0081224C"/>
    <w:rsid w:val="008125CA"/>
    <w:rsid w:val="008129A9"/>
    <w:rsid w:val="00812A47"/>
    <w:rsid w:val="0081352B"/>
    <w:rsid w:val="008136C2"/>
    <w:rsid w:val="008136E6"/>
    <w:rsid w:val="008138D6"/>
    <w:rsid w:val="00813CF4"/>
    <w:rsid w:val="00813D63"/>
    <w:rsid w:val="00813F7C"/>
    <w:rsid w:val="00814CC6"/>
    <w:rsid w:val="00814DE8"/>
    <w:rsid w:val="008159AF"/>
    <w:rsid w:val="00816066"/>
    <w:rsid w:val="0081625B"/>
    <w:rsid w:val="0081646F"/>
    <w:rsid w:val="00816520"/>
    <w:rsid w:val="008167AC"/>
    <w:rsid w:val="00816FAD"/>
    <w:rsid w:val="00817283"/>
    <w:rsid w:val="008175D1"/>
    <w:rsid w:val="00817D27"/>
    <w:rsid w:val="008202BB"/>
    <w:rsid w:val="00820B59"/>
    <w:rsid w:val="00820CA2"/>
    <w:rsid w:val="00820ECE"/>
    <w:rsid w:val="00820FF2"/>
    <w:rsid w:val="00821156"/>
    <w:rsid w:val="0082186F"/>
    <w:rsid w:val="00821F73"/>
    <w:rsid w:val="00822313"/>
    <w:rsid w:val="008223E3"/>
    <w:rsid w:val="00822562"/>
    <w:rsid w:val="00822B84"/>
    <w:rsid w:val="00822ED3"/>
    <w:rsid w:val="008232DC"/>
    <w:rsid w:val="00823DAD"/>
    <w:rsid w:val="0082413E"/>
    <w:rsid w:val="00824543"/>
    <w:rsid w:val="00824891"/>
    <w:rsid w:val="008248B3"/>
    <w:rsid w:val="00824F39"/>
    <w:rsid w:val="008251D6"/>
    <w:rsid w:val="00825582"/>
    <w:rsid w:val="00825E75"/>
    <w:rsid w:val="00825FD1"/>
    <w:rsid w:val="00826392"/>
    <w:rsid w:val="0082640C"/>
    <w:rsid w:val="008264BE"/>
    <w:rsid w:val="00826AE9"/>
    <w:rsid w:val="008270DB"/>
    <w:rsid w:val="00827452"/>
    <w:rsid w:val="008274B4"/>
    <w:rsid w:val="00827A16"/>
    <w:rsid w:val="00830206"/>
    <w:rsid w:val="00830662"/>
    <w:rsid w:val="0083083B"/>
    <w:rsid w:val="00831152"/>
    <w:rsid w:val="00831353"/>
    <w:rsid w:val="00831576"/>
    <w:rsid w:val="008315C4"/>
    <w:rsid w:val="00831813"/>
    <w:rsid w:val="00831832"/>
    <w:rsid w:val="00832073"/>
    <w:rsid w:val="0083225A"/>
    <w:rsid w:val="00832281"/>
    <w:rsid w:val="00832322"/>
    <w:rsid w:val="008325E4"/>
    <w:rsid w:val="00832931"/>
    <w:rsid w:val="00832985"/>
    <w:rsid w:val="00832B22"/>
    <w:rsid w:val="00833297"/>
    <w:rsid w:val="00833494"/>
    <w:rsid w:val="008337B8"/>
    <w:rsid w:val="008339D9"/>
    <w:rsid w:val="00833A63"/>
    <w:rsid w:val="00833D9B"/>
    <w:rsid w:val="00833FCE"/>
    <w:rsid w:val="008350F4"/>
    <w:rsid w:val="00835E3D"/>
    <w:rsid w:val="00835E89"/>
    <w:rsid w:val="008365F7"/>
    <w:rsid w:val="00836DB1"/>
    <w:rsid w:val="008370AB"/>
    <w:rsid w:val="0083765E"/>
    <w:rsid w:val="00837FE4"/>
    <w:rsid w:val="00840273"/>
    <w:rsid w:val="00840585"/>
    <w:rsid w:val="00840A7E"/>
    <w:rsid w:val="00840EB9"/>
    <w:rsid w:val="00841011"/>
    <w:rsid w:val="00841593"/>
    <w:rsid w:val="008420AF"/>
    <w:rsid w:val="00842146"/>
    <w:rsid w:val="0084227E"/>
    <w:rsid w:val="008424A4"/>
    <w:rsid w:val="008427A0"/>
    <w:rsid w:val="00842E17"/>
    <w:rsid w:val="00843067"/>
    <w:rsid w:val="00843612"/>
    <w:rsid w:val="00843870"/>
    <w:rsid w:val="00843B59"/>
    <w:rsid w:val="0084466B"/>
    <w:rsid w:val="00844F95"/>
    <w:rsid w:val="0084512E"/>
    <w:rsid w:val="00845731"/>
    <w:rsid w:val="00845830"/>
    <w:rsid w:val="00846288"/>
    <w:rsid w:val="00847BF1"/>
    <w:rsid w:val="00847C6F"/>
    <w:rsid w:val="0085011B"/>
    <w:rsid w:val="008502B5"/>
    <w:rsid w:val="0085045F"/>
    <w:rsid w:val="00850DAB"/>
    <w:rsid w:val="008511D9"/>
    <w:rsid w:val="00851305"/>
    <w:rsid w:val="008514A4"/>
    <w:rsid w:val="00851AE0"/>
    <w:rsid w:val="00851B3F"/>
    <w:rsid w:val="00851DE4"/>
    <w:rsid w:val="0085235D"/>
    <w:rsid w:val="00852816"/>
    <w:rsid w:val="00852F9D"/>
    <w:rsid w:val="00853505"/>
    <w:rsid w:val="00853682"/>
    <w:rsid w:val="00853730"/>
    <w:rsid w:val="00853859"/>
    <w:rsid w:val="00853B34"/>
    <w:rsid w:val="00853D5C"/>
    <w:rsid w:val="00853EA5"/>
    <w:rsid w:val="0085422B"/>
    <w:rsid w:val="008547A3"/>
    <w:rsid w:val="00854ADC"/>
    <w:rsid w:val="0085506E"/>
    <w:rsid w:val="008558B7"/>
    <w:rsid w:val="00855B69"/>
    <w:rsid w:val="008560FA"/>
    <w:rsid w:val="00856226"/>
    <w:rsid w:val="008562A9"/>
    <w:rsid w:val="008563D9"/>
    <w:rsid w:val="00856486"/>
    <w:rsid w:val="0085671A"/>
    <w:rsid w:val="008567F7"/>
    <w:rsid w:val="00856B79"/>
    <w:rsid w:val="00856B99"/>
    <w:rsid w:val="00856CAB"/>
    <w:rsid w:val="008570E1"/>
    <w:rsid w:val="0085730F"/>
    <w:rsid w:val="008579EA"/>
    <w:rsid w:val="00857EFB"/>
    <w:rsid w:val="008608E7"/>
    <w:rsid w:val="00860B1D"/>
    <w:rsid w:val="00860BA0"/>
    <w:rsid w:val="00861015"/>
    <w:rsid w:val="008612A9"/>
    <w:rsid w:val="008612F9"/>
    <w:rsid w:val="00861688"/>
    <w:rsid w:val="00861934"/>
    <w:rsid w:val="00862105"/>
    <w:rsid w:val="008623CE"/>
    <w:rsid w:val="00862930"/>
    <w:rsid w:val="00862F01"/>
    <w:rsid w:val="00862FD5"/>
    <w:rsid w:val="00863343"/>
    <w:rsid w:val="00863612"/>
    <w:rsid w:val="00863EC8"/>
    <w:rsid w:val="008640AF"/>
    <w:rsid w:val="00864189"/>
    <w:rsid w:val="008644B6"/>
    <w:rsid w:val="008646F3"/>
    <w:rsid w:val="00864750"/>
    <w:rsid w:val="00864B37"/>
    <w:rsid w:val="00865373"/>
    <w:rsid w:val="00865567"/>
    <w:rsid w:val="0086618D"/>
    <w:rsid w:val="00866328"/>
    <w:rsid w:val="0086676B"/>
    <w:rsid w:val="008676EC"/>
    <w:rsid w:val="00867D52"/>
    <w:rsid w:val="00870732"/>
    <w:rsid w:val="0087124F"/>
    <w:rsid w:val="0087172B"/>
    <w:rsid w:val="008719B9"/>
    <w:rsid w:val="00871C98"/>
    <w:rsid w:val="00871E5D"/>
    <w:rsid w:val="008724E7"/>
    <w:rsid w:val="00872909"/>
    <w:rsid w:val="00872991"/>
    <w:rsid w:val="008734E4"/>
    <w:rsid w:val="0087373C"/>
    <w:rsid w:val="00873830"/>
    <w:rsid w:val="00874170"/>
    <w:rsid w:val="00874A1C"/>
    <w:rsid w:val="00874AC8"/>
    <w:rsid w:val="00874D73"/>
    <w:rsid w:val="00874E9A"/>
    <w:rsid w:val="00875265"/>
    <w:rsid w:val="0087530F"/>
    <w:rsid w:val="00875449"/>
    <w:rsid w:val="0087582C"/>
    <w:rsid w:val="00875D58"/>
    <w:rsid w:val="00875D64"/>
    <w:rsid w:val="00875EE5"/>
    <w:rsid w:val="00876257"/>
    <w:rsid w:val="00876294"/>
    <w:rsid w:val="008766CA"/>
    <w:rsid w:val="008768B3"/>
    <w:rsid w:val="00877226"/>
    <w:rsid w:val="00877252"/>
    <w:rsid w:val="00877AB8"/>
    <w:rsid w:val="00877E2A"/>
    <w:rsid w:val="008801EA"/>
    <w:rsid w:val="00880B28"/>
    <w:rsid w:val="00880BFF"/>
    <w:rsid w:val="00880D10"/>
    <w:rsid w:val="00881705"/>
    <w:rsid w:val="008821F8"/>
    <w:rsid w:val="00882D21"/>
    <w:rsid w:val="00883266"/>
    <w:rsid w:val="00883297"/>
    <w:rsid w:val="008838C7"/>
    <w:rsid w:val="00883989"/>
    <w:rsid w:val="00883A78"/>
    <w:rsid w:val="00883BF0"/>
    <w:rsid w:val="00884021"/>
    <w:rsid w:val="0088418A"/>
    <w:rsid w:val="0088446A"/>
    <w:rsid w:val="008849EA"/>
    <w:rsid w:val="00884F54"/>
    <w:rsid w:val="0088500F"/>
    <w:rsid w:val="0088525B"/>
    <w:rsid w:val="008852C0"/>
    <w:rsid w:val="008853F7"/>
    <w:rsid w:val="0088560E"/>
    <w:rsid w:val="00885A48"/>
    <w:rsid w:val="008866A7"/>
    <w:rsid w:val="00886865"/>
    <w:rsid w:val="00886E3B"/>
    <w:rsid w:val="0088717C"/>
    <w:rsid w:val="008907A0"/>
    <w:rsid w:val="00890900"/>
    <w:rsid w:val="00890960"/>
    <w:rsid w:val="0089096D"/>
    <w:rsid w:val="00890D11"/>
    <w:rsid w:val="008911A1"/>
    <w:rsid w:val="008915CA"/>
    <w:rsid w:val="00891B51"/>
    <w:rsid w:val="00891CE1"/>
    <w:rsid w:val="00891CE9"/>
    <w:rsid w:val="008920D1"/>
    <w:rsid w:val="008921F7"/>
    <w:rsid w:val="008922D7"/>
    <w:rsid w:val="008924C2"/>
    <w:rsid w:val="00892610"/>
    <w:rsid w:val="008926B4"/>
    <w:rsid w:val="00892939"/>
    <w:rsid w:val="00892CDB"/>
    <w:rsid w:val="008938ED"/>
    <w:rsid w:val="00893FF2"/>
    <w:rsid w:val="008941AA"/>
    <w:rsid w:val="0089444F"/>
    <w:rsid w:val="00894622"/>
    <w:rsid w:val="00894805"/>
    <w:rsid w:val="00894D83"/>
    <w:rsid w:val="00894EE0"/>
    <w:rsid w:val="008955C7"/>
    <w:rsid w:val="008962EF"/>
    <w:rsid w:val="00896395"/>
    <w:rsid w:val="00896BF6"/>
    <w:rsid w:val="00896E1F"/>
    <w:rsid w:val="00897091"/>
    <w:rsid w:val="00897220"/>
    <w:rsid w:val="00897468"/>
    <w:rsid w:val="0089769E"/>
    <w:rsid w:val="00897895"/>
    <w:rsid w:val="00897B4A"/>
    <w:rsid w:val="00897E15"/>
    <w:rsid w:val="00897E49"/>
    <w:rsid w:val="008A022C"/>
    <w:rsid w:val="008A052D"/>
    <w:rsid w:val="008A0D1C"/>
    <w:rsid w:val="008A0DA2"/>
    <w:rsid w:val="008A1136"/>
    <w:rsid w:val="008A1E70"/>
    <w:rsid w:val="008A1F5C"/>
    <w:rsid w:val="008A24C3"/>
    <w:rsid w:val="008A272B"/>
    <w:rsid w:val="008A2AF9"/>
    <w:rsid w:val="008A2B26"/>
    <w:rsid w:val="008A2E17"/>
    <w:rsid w:val="008A3284"/>
    <w:rsid w:val="008A36C2"/>
    <w:rsid w:val="008A469F"/>
    <w:rsid w:val="008A501F"/>
    <w:rsid w:val="008A535D"/>
    <w:rsid w:val="008A53AF"/>
    <w:rsid w:val="008A593F"/>
    <w:rsid w:val="008A5DAA"/>
    <w:rsid w:val="008A61CF"/>
    <w:rsid w:val="008A71BA"/>
    <w:rsid w:val="008A7570"/>
    <w:rsid w:val="008A7BC7"/>
    <w:rsid w:val="008B017B"/>
    <w:rsid w:val="008B16E7"/>
    <w:rsid w:val="008B173C"/>
    <w:rsid w:val="008B2037"/>
    <w:rsid w:val="008B2242"/>
    <w:rsid w:val="008B23D0"/>
    <w:rsid w:val="008B2434"/>
    <w:rsid w:val="008B2567"/>
    <w:rsid w:val="008B26E5"/>
    <w:rsid w:val="008B2844"/>
    <w:rsid w:val="008B2A7F"/>
    <w:rsid w:val="008B2D84"/>
    <w:rsid w:val="008B384A"/>
    <w:rsid w:val="008B3CAA"/>
    <w:rsid w:val="008B4013"/>
    <w:rsid w:val="008B4978"/>
    <w:rsid w:val="008B50C6"/>
    <w:rsid w:val="008B51DD"/>
    <w:rsid w:val="008B5662"/>
    <w:rsid w:val="008B583A"/>
    <w:rsid w:val="008B5939"/>
    <w:rsid w:val="008B593F"/>
    <w:rsid w:val="008B5E86"/>
    <w:rsid w:val="008B5F23"/>
    <w:rsid w:val="008B612F"/>
    <w:rsid w:val="008B6641"/>
    <w:rsid w:val="008B6764"/>
    <w:rsid w:val="008B6850"/>
    <w:rsid w:val="008B69B3"/>
    <w:rsid w:val="008B6FED"/>
    <w:rsid w:val="008B726A"/>
    <w:rsid w:val="008B783C"/>
    <w:rsid w:val="008B7BFD"/>
    <w:rsid w:val="008C03CA"/>
    <w:rsid w:val="008C05BF"/>
    <w:rsid w:val="008C0709"/>
    <w:rsid w:val="008C10BF"/>
    <w:rsid w:val="008C1593"/>
    <w:rsid w:val="008C16B5"/>
    <w:rsid w:val="008C186D"/>
    <w:rsid w:val="008C1CC8"/>
    <w:rsid w:val="008C201D"/>
    <w:rsid w:val="008C224C"/>
    <w:rsid w:val="008C2BA1"/>
    <w:rsid w:val="008C31FB"/>
    <w:rsid w:val="008C3393"/>
    <w:rsid w:val="008C3A9B"/>
    <w:rsid w:val="008C3EA8"/>
    <w:rsid w:val="008C418B"/>
    <w:rsid w:val="008C45B5"/>
    <w:rsid w:val="008C4FD2"/>
    <w:rsid w:val="008C5026"/>
    <w:rsid w:val="008C53F1"/>
    <w:rsid w:val="008C59A2"/>
    <w:rsid w:val="008C702E"/>
    <w:rsid w:val="008C71CC"/>
    <w:rsid w:val="008C7D7E"/>
    <w:rsid w:val="008D04B5"/>
    <w:rsid w:val="008D0650"/>
    <w:rsid w:val="008D07A2"/>
    <w:rsid w:val="008D0C39"/>
    <w:rsid w:val="008D0D2D"/>
    <w:rsid w:val="008D1148"/>
    <w:rsid w:val="008D24A3"/>
    <w:rsid w:val="008D27C4"/>
    <w:rsid w:val="008D2C39"/>
    <w:rsid w:val="008D3B98"/>
    <w:rsid w:val="008D3EDC"/>
    <w:rsid w:val="008D43AB"/>
    <w:rsid w:val="008D4488"/>
    <w:rsid w:val="008D4532"/>
    <w:rsid w:val="008D45CA"/>
    <w:rsid w:val="008D4BA7"/>
    <w:rsid w:val="008D5511"/>
    <w:rsid w:val="008D5D8E"/>
    <w:rsid w:val="008D5DAB"/>
    <w:rsid w:val="008D5FB7"/>
    <w:rsid w:val="008D630A"/>
    <w:rsid w:val="008D66D5"/>
    <w:rsid w:val="008D6943"/>
    <w:rsid w:val="008D6AA5"/>
    <w:rsid w:val="008D6F1A"/>
    <w:rsid w:val="008D6F32"/>
    <w:rsid w:val="008D705E"/>
    <w:rsid w:val="008D7102"/>
    <w:rsid w:val="008D7831"/>
    <w:rsid w:val="008D7CEE"/>
    <w:rsid w:val="008D7E26"/>
    <w:rsid w:val="008E0B55"/>
    <w:rsid w:val="008E14C5"/>
    <w:rsid w:val="008E1690"/>
    <w:rsid w:val="008E2767"/>
    <w:rsid w:val="008E293B"/>
    <w:rsid w:val="008E3128"/>
    <w:rsid w:val="008E313A"/>
    <w:rsid w:val="008E370D"/>
    <w:rsid w:val="008E4110"/>
    <w:rsid w:val="008E43AD"/>
    <w:rsid w:val="008E4831"/>
    <w:rsid w:val="008E4A23"/>
    <w:rsid w:val="008E4F01"/>
    <w:rsid w:val="008E5666"/>
    <w:rsid w:val="008E5797"/>
    <w:rsid w:val="008E57C2"/>
    <w:rsid w:val="008E5FB6"/>
    <w:rsid w:val="008E62C7"/>
    <w:rsid w:val="008E658F"/>
    <w:rsid w:val="008E661D"/>
    <w:rsid w:val="008E7CF3"/>
    <w:rsid w:val="008E7EFE"/>
    <w:rsid w:val="008F0020"/>
    <w:rsid w:val="008F003E"/>
    <w:rsid w:val="008F055F"/>
    <w:rsid w:val="008F0710"/>
    <w:rsid w:val="008F0973"/>
    <w:rsid w:val="008F1B47"/>
    <w:rsid w:val="008F1D2F"/>
    <w:rsid w:val="008F1E41"/>
    <w:rsid w:val="008F20BA"/>
    <w:rsid w:val="008F21DD"/>
    <w:rsid w:val="008F2285"/>
    <w:rsid w:val="008F2E04"/>
    <w:rsid w:val="008F2F58"/>
    <w:rsid w:val="008F318F"/>
    <w:rsid w:val="008F364D"/>
    <w:rsid w:val="008F37BB"/>
    <w:rsid w:val="008F38E6"/>
    <w:rsid w:val="008F3C60"/>
    <w:rsid w:val="008F41A7"/>
    <w:rsid w:val="008F4257"/>
    <w:rsid w:val="008F4895"/>
    <w:rsid w:val="008F4BF2"/>
    <w:rsid w:val="008F4DC6"/>
    <w:rsid w:val="008F5D16"/>
    <w:rsid w:val="008F619F"/>
    <w:rsid w:val="008F62F8"/>
    <w:rsid w:val="008F6354"/>
    <w:rsid w:val="008F652C"/>
    <w:rsid w:val="008F65E7"/>
    <w:rsid w:val="008F689B"/>
    <w:rsid w:val="008F6A1E"/>
    <w:rsid w:val="008F7924"/>
    <w:rsid w:val="009006C5"/>
    <w:rsid w:val="00900B3F"/>
    <w:rsid w:val="00900FFB"/>
    <w:rsid w:val="00901052"/>
    <w:rsid w:val="00901057"/>
    <w:rsid w:val="00901494"/>
    <w:rsid w:val="00901AB3"/>
    <w:rsid w:val="00901AC7"/>
    <w:rsid w:val="00902236"/>
    <w:rsid w:val="0090254A"/>
    <w:rsid w:val="0090267E"/>
    <w:rsid w:val="00903330"/>
    <w:rsid w:val="00903722"/>
    <w:rsid w:val="00903E58"/>
    <w:rsid w:val="00903E8E"/>
    <w:rsid w:val="00903FE0"/>
    <w:rsid w:val="0090456D"/>
    <w:rsid w:val="0090462E"/>
    <w:rsid w:val="00904BFA"/>
    <w:rsid w:val="00904CDC"/>
    <w:rsid w:val="00904EEF"/>
    <w:rsid w:val="00904F8B"/>
    <w:rsid w:val="00905035"/>
    <w:rsid w:val="0090555C"/>
    <w:rsid w:val="0090622D"/>
    <w:rsid w:val="00906402"/>
    <w:rsid w:val="00906599"/>
    <w:rsid w:val="00906B61"/>
    <w:rsid w:val="00906CCE"/>
    <w:rsid w:val="00907261"/>
    <w:rsid w:val="009072E9"/>
    <w:rsid w:val="00907C93"/>
    <w:rsid w:val="00907E0D"/>
    <w:rsid w:val="009100D7"/>
    <w:rsid w:val="0091164B"/>
    <w:rsid w:val="0091205B"/>
    <w:rsid w:val="0091207A"/>
    <w:rsid w:val="00912295"/>
    <w:rsid w:val="00912309"/>
    <w:rsid w:val="0091254D"/>
    <w:rsid w:val="00912900"/>
    <w:rsid w:val="00912A7B"/>
    <w:rsid w:val="00912CC3"/>
    <w:rsid w:val="00912EF3"/>
    <w:rsid w:val="0091344B"/>
    <w:rsid w:val="0091345F"/>
    <w:rsid w:val="00913942"/>
    <w:rsid w:val="00913994"/>
    <w:rsid w:val="00913AB8"/>
    <w:rsid w:val="00913AFE"/>
    <w:rsid w:val="00913D12"/>
    <w:rsid w:val="00913F55"/>
    <w:rsid w:val="009141AE"/>
    <w:rsid w:val="00914304"/>
    <w:rsid w:val="00914564"/>
    <w:rsid w:val="00914750"/>
    <w:rsid w:val="0091475D"/>
    <w:rsid w:val="00914B87"/>
    <w:rsid w:val="0091503A"/>
    <w:rsid w:val="00915448"/>
    <w:rsid w:val="009155F8"/>
    <w:rsid w:val="00915ABC"/>
    <w:rsid w:val="00915D9A"/>
    <w:rsid w:val="00916196"/>
    <w:rsid w:val="00916284"/>
    <w:rsid w:val="0091704C"/>
    <w:rsid w:val="009176EE"/>
    <w:rsid w:val="00917C71"/>
    <w:rsid w:val="00917DA5"/>
    <w:rsid w:val="009204AB"/>
    <w:rsid w:val="009208F1"/>
    <w:rsid w:val="00920C0A"/>
    <w:rsid w:val="00920FA8"/>
    <w:rsid w:val="00921FBE"/>
    <w:rsid w:val="0092233C"/>
    <w:rsid w:val="00922866"/>
    <w:rsid w:val="0092325D"/>
    <w:rsid w:val="0092346B"/>
    <w:rsid w:val="009236BE"/>
    <w:rsid w:val="00923747"/>
    <w:rsid w:val="00923984"/>
    <w:rsid w:val="00923C78"/>
    <w:rsid w:val="00923D6F"/>
    <w:rsid w:val="00924317"/>
    <w:rsid w:val="00924605"/>
    <w:rsid w:val="00924B6C"/>
    <w:rsid w:val="00924EA2"/>
    <w:rsid w:val="009250F3"/>
    <w:rsid w:val="00925C7A"/>
    <w:rsid w:val="00925D4F"/>
    <w:rsid w:val="00926911"/>
    <w:rsid w:val="00926CBA"/>
    <w:rsid w:val="00926EA8"/>
    <w:rsid w:val="00927090"/>
    <w:rsid w:val="009271A0"/>
    <w:rsid w:val="009272EB"/>
    <w:rsid w:val="009272F0"/>
    <w:rsid w:val="0092760A"/>
    <w:rsid w:val="0092765E"/>
    <w:rsid w:val="009277B3"/>
    <w:rsid w:val="00927A46"/>
    <w:rsid w:val="00927A79"/>
    <w:rsid w:val="00927D68"/>
    <w:rsid w:val="0093048C"/>
    <w:rsid w:val="00930917"/>
    <w:rsid w:val="00930D3D"/>
    <w:rsid w:val="00931016"/>
    <w:rsid w:val="009316DB"/>
    <w:rsid w:val="00931982"/>
    <w:rsid w:val="00931A76"/>
    <w:rsid w:val="00931F63"/>
    <w:rsid w:val="00932633"/>
    <w:rsid w:val="009327C8"/>
    <w:rsid w:val="00932DE1"/>
    <w:rsid w:val="00932E8B"/>
    <w:rsid w:val="0093330D"/>
    <w:rsid w:val="00933711"/>
    <w:rsid w:val="00933825"/>
    <w:rsid w:val="0093391D"/>
    <w:rsid w:val="0093396A"/>
    <w:rsid w:val="00933C53"/>
    <w:rsid w:val="00933E82"/>
    <w:rsid w:val="00933FBF"/>
    <w:rsid w:val="009340D1"/>
    <w:rsid w:val="00934C9F"/>
    <w:rsid w:val="009351FB"/>
    <w:rsid w:val="009353CC"/>
    <w:rsid w:val="00935448"/>
    <w:rsid w:val="009354D8"/>
    <w:rsid w:val="0093550F"/>
    <w:rsid w:val="00935575"/>
    <w:rsid w:val="00935598"/>
    <w:rsid w:val="00935AF0"/>
    <w:rsid w:val="00935B66"/>
    <w:rsid w:val="00935C19"/>
    <w:rsid w:val="00935D90"/>
    <w:rsid w:val="00935DE2"/>
    <w:rsid w:val="009367CC"/>
    <w:rsid w:val="0093680B"/>
    <w:rsid w:val="0093687B"/>
    <w:rsid w:val="0093698F"/>
    <w:rsid w:val="00936A11"/>
    <w:rsid w:val="00936D52"/>
    <w:rsid w:val="009377D9"/>
    <w:rsid w:val="00937E9E"/>
    <w:rsid w:val="00940037"/>
    <w:rsid w:val="00940377"/>
    <w:rsid w:val="00940957"/>
    <w:rsid w:val="00940EC4"/>
    <w:rsid w:val="00941347"/>
    <w:rsid w:val="009414F7"/>
    <w:rsid w:val="009417D2"/>
    <w:rsid w:val="00941E27"/>
    <w:rsid w:val="00942898"/>
    <w:rsid w:val="00942B16"/>
    <w:rsid w:val="00942DDC"/>
    <w:rsid w:val="00942F92"/>
    <w:rsid w:val="009430F2"/>
    <w:rsid w:val="009437CE"/>
    <w:rsid w:val="00943B71"/>
    <w:rsid w:val="00943BE9"/>
    <w:rsid w:val="00943CA4"/>
    <w:rsid w:val="00943ECD"/>
    <w:rsid w:val="00945101"/>
    <w:rsid w:val="009458BF"/>
    <w:rsid w:val="00945A62"/>
    <w:rsid w:val="00945C75"/>
    <w:rsid w:val="00946202"/>
    <w:rsid w:val="00946930"/>
    <w:rsid w:val="00946AAE"/>
    <w:rsid w:val="00946BF2"/>
    <w:rsid w:val="00946FBB"/>
    <w:rsid w:val="009473F4"/>
    <w:rsid w:val="00947485"/>
    <w:rsid w:val="00947687"/>
    <w:rsid w:val="00947736"/>
    <w:rsid w:val="009479F3"/>
    <w:rsid w:val="00950260"/>
    <w:rsid w:val="00950C97"/>
    <w:rsid w:val="00950EBF"/>
    <w:rsid w:val="00951E73"/>
    <w:rsid w:val="009524E6"/>
    <w:rsid w:val="00952567"/>
    <w:rsid w:val="00952D88"/>
    <w:rsid w:val="00952FEE"/>
    <w:rsid w:val="00953211"/>
    <w:rsid w:val="00953ABB"/>
    <w:rsid w:val="00954498"/>
    <w:rsid w:val="00954682"/>
    <w:rsid w:val="00954BC6"/>
    <w:rsid w:val="009550B3"/>
    <w:rsid w:val="009551A4"/>
    <w:rsid w:val="00955441"/>
    <w:rsid w:val="00955B60"/>
    <w:rsid w:val="00956037"/>
    <w:rsid w:val="0095619F"/>
    <w:rsid w:val="00956FF8"/>
    <w:rsid w:val="00957023"/>
    <w:rsid w:val="00957DD3"/>
    <w:rsid w:val="0096008C"/>
    <w:rsid w:val="009603FB"/>
    <w:rsid w:val="00960672"/>
    <w:rsid w:val="0096068F"/>
    <w:rsid w:val="0096081C"/>
    <w:rsid w:val="00960B35"/>
    <w:rsid w:val="00961975"/>
    <w:rsid w:val="00961FE9"/>
    <w:rsid w:val="009623D1"/>
    <w:rsid w:val="00962A95"/>
    <w:rsid w:val="00962C85"/>
    <w:rsid w:val="009632CE"/>
    <w:rsid w:val="00963A43"/>
    <w:rsid w:val="00963B0C"/>
    <w:rsid w:val="0096414A"/>
    <w:rsid w:val="0096464D"/>
    <w:rsid w:val="009648EA"/>
    <w:rsid w:val="00965414"/>
    <w:rsid w:val="00965909"/>
    <w:rsid w:val="00965D0F"/>
    <w:rsid w:val="00965E8A"/>
    <w:rsid w:val="009666AC"/>
    <w:rsid w:val="009667DE"/>
    <w:rsid w:val="0096683D"/>
    <w:rsid w:val="00966B76"/>
    <w:rsid w:val="00966D00"/>
    <w:rsid w:val="00966D85"/>
    <w:rsid w:val="00967014"/>
    <w:rsid w:val="00967134"/>
    <w:rsid w:val="00967410"/>
    <w:rsid w:val="009675AD"/>
    <w:rsid w:val="0096769F"/>
    <w:rsid w:val="009678BF"/>
    <w:rsid w:val="009678E1"/>
    <w:rsid w:val="00967B20"/>
    <w:rsid w:val="00967C86"/>
    <w:rsid w:val="00967FB1"/>
    <w:rsid w:val="00970008"/>
    <w:rsid w:val="009709F2"/>
    <w:rsid w:val="00970B3F"/>
    <w:rsid w:val="00970CFA"/>
    <w:rsid w:val="00970DDE"/>
    <w:rsid w:val="0097121A"/>
    <w:rsid w:val="009714B8"/>
    <w:rsid w:val="00971840"/>
    <w:rsid w:val="00971B24"/>
    <w:rsid w:val="00971BEE"/>
    <w:rsid w:val="0097279C"/>
    <w:rsid w:val="00972D54"/>
    <w:rsid w:val="00972E72"/>
    <w:rsid w:val="00972FBE"/>
    <w:rsid w:val="00973A37"/>
    <w:rsid w:val="00973AFA"/>
    <w:rsid w:val="009745C7"/>
    <w:rsid w:val="009745F5"/>
    <w:rsid w:val="009746A1"/>
    <w:rsid w:val="00974907"/>
    <w:rsid w:val="00974CE4"/>
    <w:rsid w:val="00974D17"/>
    <w:rsid w:val="0097546E"/>
    <w:rsid w:val="00975503"/>
    <w:rsid w:val="009756A7"/>
    <w:rsid w:val="009759FC"/>
    <w:rsid w:val="00975CA5"/>
    <w:rsid w:val="00975FE4"/>
    <w:rsid w:val="0097636B"/>
    <w:rsid w:val="009766C4"/>
    <w:rsid w:val="009769A4"/>
    <w:rsid w:val="009769FB"/>
    <w:rsid w:val="00976F26"/>
    <w:rsid w:val="00977282"/>
    <w:rsid w:val="009774CD"/>
    <w:rsid w:val="009774E3"/>
    <w:rsid w:val="00977609"/>
    <w:rsid w:val="00977657"/>
    <w:rsid w:val="00977973"/>
    <w:rsid w:val="00977B5E"/>
    <w:rsid w:val="009802E4"/>
    <w:rsid w:val="0098159D"/>
    <w:rsid w:val="0098172D"/>
    <w:rsid w:val="00981786"/>
    <w:rsid w:val="009817F8"/>
    <w:rsid w:val="009818F5"/>
    <w:rsid w:val="00981D60"/>
    <w:rsid w:val="00982A1A"/>
    <w:rsid w:val="00982E0F"/>
    <w:rsid w:val="0098307E"/>
    <w:rsid w:val="00983F62"/>
    <w:rsid w:val="009843C2"/>
    <w:rsid w:val="00984527"/>
    <w:rsid w:val="009845D3"/>
    <w:rsid w:val="009846C1"/>
    <w:rsid w:val="00984792"/>
    <w:rsid w:val="00984997"/>
    <w:rsid w:val="009849CE"/>
    <w:rsid w:val="009852E7"/>
    <w:rsid w:val="00985567"/>
    <w:rsid w:val="0098580B"/>
    <w:rsid w:val="00985913"/>
    <w:rsid w:val="00985D7C"/>
    <w:rsid w:val="009869DF"/>
    <w:rsid w:val="00987681"/>
    <w:rsid w:val="009876E8"/>
    <w:rsid w:val="00987911"/>
    <w:rsid w:val="009904D9"/>
    <w:rsid w:val="009905B8"/>
    <w:rsid w:val="00990972"/>
    <w:rsid w:val="00990A3A"/>
    <w:rsid w:val="00990FD4"/>
    <w:rsid w:val="00991389"/>
    <w:rsid w:val="009914BA"/>
    <w:rsid w:val="0099183D"/>
    <w:rsid w:val="00991F0E"/>
    <w:rsid w:val="009930A7"/>
    <w:rsid w:val="0099332E"/>
    <w:rsid w:val="009934FB"/>
    <w:rsid w:val="0099384B"/>
    <w:rsid w:val="00993A5C"/>
    <w:rsid w:val="00993B28"/>
    <w:rsid w:val="00993C9A"/>
    <w:rsid w:val="00994AE6"/>
    <w:rsid w:val="00994FA2"/>
    <w:rsid w:val="00994FD4"/>
    <w:rsid w:val="00995489"/>
    <w:rsid w:val="009954D6"/>
    <w:rsid w:val="009954FE"/>
    <w:rsid w:val="00995DFE"/>
    <w:rsid w:val="00995E2A"/>
    <w:rsid w:val="00995FF3"/>
    <w:rsid w:val="0099601E"/>
    <w:rsid w:val="00996B90"/>
    <w:rsid w:val="0099766A"/>
    <w:rsid w:val="00997684"/>
    <w:rsid w:val="00997916"/>
    <w:rsid w:val="009A05A2"/>
    <w:rsid w:val="009A0CCE"/>
    <w:rsid w:val="009A0D47"/>
    <w:rsid w:val="009A0D7E"/>
    <w:rsid w:val="009A0E7A"/>
    <w:rsid w:val="009A110F"/>
    <w:rsid w:val="009A187B"/>
    <w:rsid w:val="009A1DB8"/>
    <w:rsid w:val="009A2526"/>
    <w:rsid w:val="009A2AF8"/>
    <w:rsid w:val="009A3388"/>
    <w:rsid w:val="009A36B5"/>
    <w:rsid w:val="009A3991"/>
    <w:rsid w:val="009A3EF4"/>
    <w:rsid w:val="009A42F3"/>
    <w:rsid w:val="009A4543"/>
    <w:rsid w:val="009A4724"/>
    <w:rsid w:val="009A482D"/>
    <w:rsid w:val="009A4842"/>
    <w:rsid w:val="009A4A33"/>
    <w:rsid w:val="009A4F2E"/>
    <w:rsid w:val="009A5114"/>
    <w:rsid w:val="009A5600"/>
    <w:rsid w:val="009A568B"/>
    <w:rsid w:val="009A581C"/>
    <w:rsid w:val="009A59D0"/>
    <w:rsid w:val="009A61B5"/>
    <w:rsid w:val="009A654E"/>
    <w:rsid w:val="009A6CB2"/>
    <w:rsid w:val="009A723A"/>
    <w:rsid w:val="009A75DA"/>
    <w:rsid w:val="009A7AAE"/>
    <w:rsid w:val="009A7D34"/>
    <w:rsid w:val="009A7EB6"/>
    <w:rsid w:val="009B1258"/>
    <w:rsid w:val="009B132D"/>
    <w:rsid w:val="009B1E53"/>
    <w:rsid w:val="009B1F5D"/>
    <w:rsid w:val="009B21FF"/>
    <w:rsid w:val="009B23B7"/>
    <w:rsid w:val="009B2CEB"/>
    <w:rsid w:val="009B2E8B"/>
    <w:rsid w:val="009B365A"/>
    <w:rsid w:val="009B3877"/>
    <w:rsid w:val="009B3BA1"/>
    <w:rsid w:val="009B3F6F"/>
    <w:rsid w:val="009B4D67"/>
    <w:rsid w:val="009B54C0"/>
    <w:rsid w:val="009B57DD"/>
    <w:rsid w:val="009B5BC2"/>
    <w:rsid w:val="009B5DA4"/>
    <w:rsid w:val="009B6151"/>
    <w:rsid w:val="009B6416"/>
    <w:rsid w:val="009B65E4"/>
    <w:rsid w:val="009B68C0"/>
    <w:rsid w:val="009B77A0"/>
    <w:rsid w:val="009B7975"/>
    <w:rsid w:val="009B7A4A"/>
    <w:rsid w:val="009B7E4B"/>
    <w:rsid w:val="009C08B2"/>
    <w:rsid w:val="009C08CC"/>
    <w:rsid w:val="009C117F"/>
    <w:rsid w:val="009C1493"/>
    <w:rsid w:val="009C17C7"/>
    <w:rsid w:val="009C1950"/>
    <w:rsid w:val="009C1D96"/>
    <w:rsid w:val="009C24B1"/>
    <w:rsid w:val="009C2904"/>
    <w:rsid w:val="009C2AAB"/>
    <w:rsid w:val="009C2C95"/>
    <w:rsid w:val="009C3590"/>
    <w:rsid w:val="009C3D34"/>
    <w:rsid w:val="009C40BE"/>
    <w:rsid w:val="009C4262"/>
    <w:rsid w:val="009C4311"/>
    <w:rsid w:val="009C46C8"/>
    <w:rsid w:val="009C4999"/>
    <w:rsid w:val="009C4BA2"/>
    <w:rsid w:val="009C4C63"/>
    <w:rsid w:val="009C4F57"/>
    <w:rsid w:val="009C50D4"/>
    <w:rsid w:val="009C5161"/>
    <w:rsid w:val="009C56CE"/>
    <w:rsid w:val="009C5811"/>
    <w:rsid w:val="009C636E"/>
    <w:rsid w:val="009C67DE"/>
    <w:rsid w:val="009C7718"/>
    <w:rsid w:val="009C78AE"/>
    <w:rsid w:val="009C7A9E"/>
    <w:rsid w:val="009C7C31"/>
    <w:rsid w:val="009C7F5F"/>
    <w:rsid w:val="009C7F77"/>
    <w:rsid w:val="009C7F99"/>
    <w:rsid w:val="009D03C8"/>
    <w:rsid w:val="009D0DD8"/>
    <w:rsid w:val="009D150C"/>
    <w:rsid w:val="009D1546"/>
    <w:rsid w:val="009D16C3"/>
    <w:rsid w:val="009D1D02"/>
    <w:rsid w:val="009D208B"/>
    <w:rsid w:val="009D2368"/>
    <w:rsid w:val="009D23AC"/>
    <w:rsid w:val="009D2441"/>
    <w:rsid w:val="009D3270"/>
    <w:rsid w:val="009D32FC"/>
    <w:rsid w:val="009D3418"/>
    <w:rsid w:val="009D3A70"/>
    <w:rsid w:val="009D3F22"/>
    <w:rsid w:val="009D4429"/>
    <w:rsid w:val="009D4677"/>
    <w:rsid w:val="009D4C75"/>
    <w:rsid w:val="009D5B89"/>
    <w:rsid w:val="009D5E21"/>
    <w:rsid w:val="009D6554"/>
    <w:rsid w:val="009D6A8D"/>
    <w:rsid w:val="009D6CF0"/>
    <w:rsid w:val="009D6F03"/>
    <w:rsid w:val="009D728E"/>
    <w:rsid w:val="009D72CE"/>
    <w:rsid w:val="009D7482"/>
    <w:rsid w:val="009D7A57"/>
    <w:rsid w:val="009D7ABA"/>
    <w:rsid w:val="009E029E"/>
    <w:rsid w:val="009E0505"/>
    <w:rsid w:val="009E057D"/>
    <w:rsid w:val="009E0D74"/>
    <w:rsid w:val="009E0DD3"/>
    <w:rsid w:val="009E12B1"/>
    <w:rsid w:val="009E1456"/>
    <w:rsid w:val="009E1D0A"/>
    <w:rsid w:val="009E1D6F"/>
    <w:rsid w:val="009E2125"/>
    <w:rsid w:val="009E2523"/>
    <w:rsid w:val="009E269F"/>
    <w:rsid w:val="009E2BFC"/>
    <w:rsid w:val="009E2DED"/>
    <w:rsid w:val="009E2EEB"/>
    <w:rsid w:val="009E305E"/>
    <w:rsid w:val="009E3AB9"/>
    <w:rsid w:val="009E3BDD"/>
    <w:rsid w:val="009E3F1D"/>
    <w:rsid w:val="009E4751"/>
    <w:rsid w:val="009E4A01"/>
    <w:rsid w:val="009E53D2"/>
    <w:rsid w:val="009E57B7"/>
    <w:rsid w:val="009E5AEC"/>
    <w:rsid w:val="009E5CE0"/>
    <w:rsid w:val="009E5D4E"/>
    <w:rsid w:val="009E5F62"/>
    <w:rsid w:val="009E6711"/>
    <w:rsid w:val="009E6A45"/>
    <w:rsid w:val="009E6A68"/>
    <w:rsid w:val="009E6C56"/>
    <w:rsid w:val="009E6CFC"/>
    <w:rsid w:val="009E6EA1"/>
    <w:rsid w:val="009E6F08"/>
    <w:rsid w:val="009E70D4"/>
    <w:rsid w:val="009F0DCA"/>
    <w:rsid w:val="009F1007"/>
    <w:rsid w:val="009F1567"/>
    <w:rsid w:val="009F1652"/>
    <w:rsid w:val="009F16BB"/>
    <w:rsid w:val="009F20A2"/>
    <w:rsid w:val="009F2B3A"/>
    <w:rsid w:val="009F30F4"/>
    <w:rsid w:val="009F3316"/>
    <w:rsid w:val="009F3A1E"/>
    <w:rsid w:val="009F3B6C"/>
    <w:rsid w:val="009F439F"/>
    <w:rsid w:val="009F4860"/>
    <w:rsid w:val="009F48BD"/>
    <w:rsid w:val="009F4FF0"/>
    <w:rsid w:val="009F5383"/>
    <w:rsid w:val="009F5507"/>
    <w:rsid w:val="009F56E6"/>
    <w:rsid w:val="009F592E"/>
    <w:rsid w:val="009F5965"/>
    <w:rsid w:val="009F60A2"/>
    <w:rsid w:val="009F672E"/>
    <w:rsid w:val="009F69B2"/>
    <w:rsid w:val="009F6A79"/>
    <w:rsid w:val="009F7719"/>
    <w:rsid w:val="009F78D6"/>
    <w:rsid w:val="009F7C29"/>
    <w:rsid w:val="009F7EF2"/>
    <w:rsid w:val="009F7FFA"/>
    <w:rsid w:val="00A004E1"/>
    <w:rsid w:val="00A006C4"/>
    <w:rsid w:val="00A00958"/>
    <w:rsid w:val="00A012D6"/>
    <w:rsid w:val="00A01332"/>
    <w:rsid w:val="00A01517"/>
    <w:rsid w:val="00A01E4D"/>
    <w:rsid w:val="00A01E8B"/>
    <w:rsid w:val="00A0212B"/>
    <w:rsid w:val="00A022C4"/>
    <w:rsid w:val="00A022FF"/>
    <w:rsid w:val="00A025E3"/>
    <w:rsid w:val="00A02F56"/>
    <w:rsid w:val="00A030D4"/>
    <w:rsid w:val="00A033A0"/>
    <w:rsid w:val="00A03998"/>
    <w:rsid w:val="00A03E94"/>
    <w:rsid w:val="00A04294"/>
    <w:rsid w:val="00A05863"/>
    <w:rsid w:val="00A05DC4"/>
    <w:rsid w:val="00A0606A"/>
    <w:rsid w:val="00A0680C"/>
    <w:rsid w:val="00A071ED"/>
    <w:rsid w:val="00A07270"/>
    <w:rsid w:val="00A0727D"/>
    <w:rsid w:val="00A07435"/>
    <w:rsid w:val="00A106EC"/>
    <w:rsid w:val="00A10705"/>
    <w:rsid w:val="00A10AB3"/>
    <w:rsid w:val="00A10C9C"/>
    <w:rsid w:val="00A10E48"/>
    <w:rsid w:val="00A10F0C"/>
    <w:rsid w:val="00A11225"/>
    <w:rsid w:val="00A11280"/>
    <w:rsid w:val="00A118BC"/>
    <w:rsid w:val="00A11AFC"/>
    <w:rsid w:val="00A11EBA"/>
    <w:rsid w:val="00A1270A"/>
    <w:rsid w:val="00A127A1"/>
    <w:rsid w:val="00A12AAF"/>
    <w:rsid w:val="00A12BE8"/>
    <w:rsid w:val="00A1352C"/>
    <w:rsid w:val="00A135AA"/>
    <w:rsid w:val="00A13C08"/>
    <w:rsid w:val="00A13CEA"/>
    <w:rsid w:val="00A14164"/>
    <w:rsid w:val="00A14174"/>
    <w:rsid w:val="00A14479"/>
    <w:rsid w:val="00A14657"/>
    <w:rsid w:val="00A1521F"/>
    <w:rsid w:val="00A1532C"/>
    <w:rsid w:val="00A15488"/>
    <w:rsid w:val="00A15685"/>
    <w:rsid w:val="00A159EF"/>
    <w:rsid w:val="00A15A63"/>
    <w:rsid w:val="00A16103"/>
    <w:rsid w:val="00A161B5"/>
    <w:rsid w:val="00A161F1"/>
    <w:rsid w:val="00A16461"/>
    <w:rsid w:val="00A16BC0"/>
    <w:rsid w:val="00A16E57"/>
    <w:rsid w:val="00A16FD5"/>
    <w:rsid w:val="00A17703"/>
    <w:rsid w:val="00A1779C"/>
    <w:rsid w:val="00A17A23"/>
    <w:rsid w:val="00A17A5C"/>
    <w:rsid w:val="00A17BA9"/>
    <w:rsid w:val="00A17BAB"/>
    <w:rsid w:val="00A20988"/>
    <w:rsid w:val="00A20BD6"/>
    <w:rsid w:val="00A2135A"/>
    <w:rsid w:val="00A213D0"/>
    <w:rsid w:val="00A214B1"/>
    <w:rsid w:val="00A21572"/>
    <w:rsid w:val="00A21841"/>
    <w:rsid w:val="00A2198B"/>
    <w:rsid w:val="00A219C5"/>
    <w:rsid w:val="00A2207D"/>
    <w:rsid w:val="00A2215B"/>
    <w:rsid w:val="00A22C31"/>
    <w:rsid w:val="00A22E77"/>
    <w:rsid w:val="00A23A43"/>
    <w:rsid w:val="00A23E95"/>
    <w:rsid w:val="00A241A2"/>
    <w:rsid w:val="00A2433A"/>
    <w:rsid w:val="00A24472"/>
    <w:rsid w:val="00A24478"/>
    <w:rsid w:val="00A24795"/>
    <w:rsid w:val="00A254B3"/>
    <w:rsid w:val="00A2562A"/>
    <w:rsid w:val="00A25779"/>
    <w:rsid w:val="00A25968"/>
    <w:rsid w:val="00A25C3B"/>
    <w:rsid w:val="00A25F56"/>
    <w:rsid w:val="00A26DC8"/>
    <w:rsid w:val="00A2738E"/>
    <w:rsid w:val="00A27C29"/>
    <w:rsid w:val="00A27C4C"/>
    <w:rsid w:val="00A27C57"/>
    <w:rsid w:val="00A27FC0"/>
    <w:rsid w:val="00A30186"/>
    <w:rsid w:val="00A305FF"/>
    <w:rsid w:val="00A30814"/>
    <w:rsid w:val="00A30998"/>
    <w:rsid w:val="00A30A34"/>
    <w:rsid w:val="00A30A8D"/>
    <w:rsid w:val="00A3133E"/>
    <w:rsid w:val="00A31BBF"/>
    <w:rsid w:val="00A31C97"/>
    <w:rsid w:val="00A31CAF"/>
    <w:rsid w:val="00A31EBC"/>
    <w:rsid w:val="00A3244F"/>
    <w:rsid w:val="00A32899"/>
    <w:rsid w:val="00A330EA"/>
    <w:rsid w:val="00A33257"/>
    <w:rsid w:val="00A33EE2"/>
    <w:rsid w:val="00A3426B"/>
    <w:rsid w:val="00A34632"/>
    <w:rsid w:val="00A348F8"/>
    <w:rsid w:val="00A34C4A"/>
    <w:rsid w:val="00A34C66"/>
    <w:rsid w:val="00A35596"/>
    <w:rsid w:val="00A355EF"/>
    <w:rsid w:val="00A356BD"/>
    <w:rsid w:val="00A35C5B"/>
    <w:rsid w:val="00A35CE8"/>
    <w:rsid w:val="00A360BC"/>
    <w:rsid w:val="00A36133"/>
    <w:rsid w:val="00A362B2"/>
    <w:rsid w:val="00A363A8"/>
    <w:rsid w:val="00A36AC5"/>
    <w:rsid w:val="00A36B35"/>
    <w:rsid w:val="00A3765C"/>
    <w:rsid w:val="00A402FB"/>
    <w:rsid w:val="00A40437"/>
    <w:rsid w:val="00A4176F"/>
    <w:rsid w:val="00A41EAD"/>
    <w:rsid w:val="00A422AD"/>
    <w:rsid w:val="00A424E8"/>
    <w:rsid w:val="00A425D3"/>
    <w:rsid w:val="00A42679"/>
    <w:rsid w:val="00A42715"/>
    <w:rsid w:val="00A430ED"/>
    <w:rsid w:val="00A43187"/>
    <w:rsid w:val="00A432C1"/>
    <w:rsid w:val="00A43F57"/>
    <w:rsid w:val="00A44576"/>
    <w:rsid w:val="00A44A7C"/>
    <w:rsid w:val="00A450C4"/>
    <w:rsid w:val="00A45F88"/>
    <w:rsid w:val="00A4674F"/>
    <w:rsid w:val="00A46BA4"/>
    <w:rsid w:val="00A46E6C"/>
    <w:rsid w:val="00A46EC5"/>
    <w:rsid w:val="00A476BC"/>
    <w:rsid w:val="00A47CEE"/>
    <w:rsid w:val="00A47D8E"/>
    <w:rsid w:val="00A47F79"/>
    <w:rsid w:val="00A50A82"/>
    <w:rsid w:val="00A520E3"/>
    <w:rsid w:val="00A52692"/>
    <w:rsid w:val="00A527E0"/>
    <w:rsid w:val="00A529D1"/>
    <w:rsid w:val="00A52B1C"/>
    <w:rsid w:val="00A52D05"/>
    <w:rsid w:val="00A52F85"/>
    <w:rsid w:val="00A53101"/>
    <w:rsid w:val="00A5311C"/>
    <w:rsid w:val="00A53155"/>
    <w:rsid w:val="00A53AC9"/>
    <w:rsid w:val="00A53B93"/>
    <w:rsid w:val="00A53C08"/>
    <w:rsid w:val="00A53DBC"/>
    <w:rsid w:val="00A542B4"/>
    <w:rsid w:val="00A5440E"/>
    <w:rsid w:val="00A545C5"/>
    <w:rsid w:val="00A54FAC"/>
    <w:rsid w:val="00A5530D"/>
    <w:rsid w:val="00A554CA"/>
    <w:rsid w:val="00A55A94"/>
    <w:rsid w:val="00A5612B"/>
    <w:rsid w:val="00A56159"/>
    <w:rsid w:val="00A57044"/>
    <w:rsid w:val="00A5726D"/>
    <w:rsid w:val="00A5736B"/>
    <w:rsid w:val="00A5753B"/>
    <w:rsid w:val="00A57924"/>
    <w:rsid w:val="00A5798E"/>
    <w:rsid w:val="00A57E4C"/>
    <w:rsid w:val="00A57E57"/>
    <w:rsid w:val="00A57EBC"/>
    <w:rsid w:val="00A57FB5"/>
    <w:rsid w:val="00A6034F"/>
    <w:rsid w:val="00A60849"/>
    <w:rsid w:val="00A60924"/>
    <w:rsid w:val="00A6110C"/>
    <w:rsid w:val="00A61964"/>
    <w:rsid w:val="00A61BD1"/>
    <w:rsid w:val="00A61C98"/>
    <w:rsid w:val="00A61F10"/>
    <w:rsid w:val="00A61F26"/>
    <w:rsid w:val="00A62139"/>
    <w:rsid w:val="00A6245A"/>
    <w:rsid w:val="00A62542"/>
    <w:rsid w:val="00A62CEE"/>
    <w:rsid w:val="00A631C9"/>
    <w:rsid w:val="00A6327B"/>
    <w:rsid w:val="00A633FB"/>
    <w:rsid w:val="00A63689"/>
    <w:rsid w:val="00A63E88"/>
    <w:rsid w:val="00A641B1"/>
    <w:rsid w:val="00A641D7"/>
    <w:rsid w:val="00A64A01"/>
    <w:rsid w:val="00A64A1D"/>
    <w:rsid w:val="00A64AE4"/>
    <w:rsid w:val="00A64F6B"/>
    <w:rsid w:val="00A65046"/>
    <w:rsid w:val="00A65047"/>
    <w:rsid w:val="00A65109"/>
    <w:rsid w:val="00A65184"/>
    <w:rsid w:val="00A6552E"/>
    <w:rsid w:val="00A6557F"/>
    <w:rsid w:val="00A65970"/>
    <w:rsid w:val="00A65B51"/>
    <w:rsid w:val="00A65E70"/>
    <w:rsid w:val="00A66325"/>
    <w:rsid w:val="00A663EF"/>
    <w:rsid w:val="00A6659C"/>
    <w:rsid w:val="00A669C0"/>
    <w:rsid w:val="00A66FC1"/>
    <w:rsid w:val="00A670CB"/>
    <w:rsid w:val="00A67153"/>
    <w:rsid w:val="00A67220"/>
    <w:rsid w:val="00A674F3"/>
    <w:rsid w:val="00A67BA8"/>
    <w:rsid w:val="00A67BB3"/>
    <w:rsid w:val="00A7003B"/>
    <w:rsid w:val="00A701B9"/>
    <w:rsid w:val="00A7028A"/>
    <w:rsid w:val="00A704E0"/>
    <w:rsid w:val="00A70E04"/>
    <w:rsid w:val="00A70F81"/>
    <w:rsid w:val="00A71398"/>
    <w:rsid w:val="00A7177F"/>
    <w:rsid w:val="00A7193D"/>
    <w:rsid w:val="00A71A72"/>
    <w:rsid w:val="00A722BD"/>
    <w:rsid w:val="00A7238D"/>
    <w:rsid w:val="00A72413"/>
    <w:rsid w:val="00A7255F"/>
    <w:rsid w:val="00A72705"/>
    <w:rsid w:val="00A727D5"/>
    <w:rsid w:val="00A728BA"/>
    <w:rsid w:val="00A72FB2"/>
    <w:rsid w:val="00A737E9"/>
    <w:rsid w:val="00A73836"/>
    <w:rsid w:val="00A73E7E"/>
    <w:rsid w:val="00A7491E"/>
    <w:rsid w:val="00A74D60"/>
    <w:rsid w:val="00A757C6"/>
    <w:rsid w:val="00A7669A"/>
    <w:rsid w:val="00A76823"/>
    <w:rsid w:val="00A76A3F"/>
    <w:rsid w:val="00A771F6"/>
    <w:rsid w:val="00A7766C"/>
    <w:rsid w:val="00A77775"/>
    <w:rsid w:val="00A77978"/>
    <w:rsid w:val="00A77CC1"/>
    <w:rsid w:val="00A77F87"/>
    <w:rsid w:val="00A80083"/>
    <w:rsid w:val="00A800F8"/>
    <w:rsid w:val="00A803FB"/>
    <w:rsid w:val="00A80773"/>
    <w:rsid w:val="00A812D3"/>
    <w:rsid w:val="00A813BD"/>
    <w:rsid w:val="00A81710"/>
    <w:rsid w:val="00A81C40"/>
    <w:rsid w:val="00A8243C"/>
    <w:rsid w:val="00A82506"/>
    <w:rsid w:val="00A82946"/>
    <w:rsid w:val="00A82B81"/>
    <w:rsid w:val="00A82E8B"/>
    <w:rsid w:val="00A8328A"/>
    <w:rsid w:val="00A83584"/>
    <w:rsid w:val="00A83A79"/>
    <w:rsid w:val="00A840F9"/>
    <w:rsid w:val="00A8439C"/>
    <w:rsid w:val="00A843FB"/>
    <w:rsid w:val="00A8457E"/>
    <w:rsid w:val="00A8477C"/>
    <w:rsid w:val="00A84962"/>
    <w:rsid w:val="00A84A27"/>
    <w:rsid w:val="00A84BE8"/>
    <w:rsid w:val="00A84E1A"/>
    <w:rsid w:val="00A84F33"/>
    <w:rsid w:val="00A852B9"/>
    <w:rsid w:val="00A85577"/>
    <w:rsid w:val="00A85592"/>
    <w:rsid w:val="00A85638"/>
    <w:rsid w:val="00A857ED"/>
    <w:rsid w:val="00A860F5"/>
    <w:rsid w:val="00A866B9"/>
    <w:rsid w:val="00A86C02"/>
    <w:rsid w:val="00A86DB2"/>
    <w:rsid w:val="00A871B7"/>
    <w:rsid w:val="00A87232"/>
    <w:rsid w:val="00A87954"/>
    <w:rsid w:val="00A87B22"/>
    <w:rsid w:val="00A90218"/>
    <w:rsid w:val="00A90C6E"/>
    <w:rsid w:val="00A91051"/>
    <w:rsid w:val="00A910B7"/>
    <w:rsid w:val="00A9181E"/>
    <w:rsid w:val="00A92498"/>
    <w:rsid w:val="00A926A9"/>
    <w:rsid w:val="00A930B2"/>
    <w:rsid w:val="00A932C2"/>
    <w:rsid w:val="00A935B1"/>
    <w:rsid w:val="00A936DF"/>
    <w:rsid w:val="00A938ED"/>
    <w:rsid w:val="00A93EAA"/>
    <w:rsid w:val="00A9406D"/>
    <w:rsid w:val="00A94B71"/>
    <w:rsid w:val="00A94CF5"/>
    <w:rsid w:val="00A95721"/>
    <w:rsid w:val="00A959C7"/>
    <w:rsid w:val="00A95A1A"/>
    <w:rsid w:val="00A95DDD"/>
    <w:rsid w:val="00A95F00"/>
    <w:rsid w:val="00A963E9"/>
    <w:rsid w:val="00A965DE"/>
    <w:rsid w:val="00A967EF"/>
    <w:rsid w:val="00A9681D"/>
    <w:rsid w:val="00A96905"/>
    <w:rsid w:val="00A96BFF"/>
    <w:rsid w:val="00A96DA1"/>
    <w:rsid w:val="00A97237"/>
    <w:rsid w:val="00A97424"/>
    <w:rsid w:val="00A97841"/>
    <w:rsid w:val="00A97CDC"/>
    <w:rsid w:val="00AA0D6D"/>
    <w:rsid w:val="00AA15CA"/>
    <w:rsid w:val="00AA167B"/>
    <w:rsid w:val="00AA169B"/>
    <w:rsid w:val="00AA1790"/>
    <w:rsid w:val="00AA17CD"/>
    <w:rsid w:val="00AA19F6"/>
    <w:rsid w:val="00AA1BA3"/>
    <w:rsid w:val="00AA1E8C"/>
    <w:rsid w:val="00AA22C5"/>
    <w:rsid w:val="00AA2FF1"/>
    <w:rsid w:val="00AA3018"/>
    <w:rsid w:val="00AA303E"/>
    <w:rsid w:val="00AA35C2"/>
    <w:rsid w:val="00AA37CD"/>
    <w:rsid w:val="00AA389B"/>
    <w:rsid w:val="00AA3A4C"/>
    <w:rsid w:val="00AA3A65"/>
    <w:rsid w:val="00AA3BC0"/>
    <w:rsid w:val="00AA4027"/>
    <w:rsid w:val="00AA41B1"/>
    <w:rsid w:val="00AA4620"/>
    <w:rsid w:val="00AA464C"/>
    <w:rsid w:val="00AA4785"/>
    <w:rsid w:val="00AA48BA"/>
    <w:rsid w:val="00AA49C8"/>
    <w:rsid w:val="00AA4FFE"/>
    <w:rsid w:val="00AA5570"/>
    <w:rsid w:val="00AA56FE"/>
    <w:rsid w:val="00AA617B"/>
    <w:rsid w:val="00AA661C"/>
    <w:rsid w:val="00AA700F"/>
    <w:rsid w:val="00AA7277"/>
    <w:rsid w:val="00AA72CD"/>
    <w:rsid w:val="00AA7404"/>
    <w:rsid w:val="00AA78E8"/>
    <w:rsid w:val="00AA7965"/>
    <w:rsid w:val="00AA79CC"/>
    <w:rsid w:val="00AA7AB1"/>
    <w:rsid w:val="00AA7B67"/>
    <w:rsid w:val="00AB0AB0"/>
    <w:rsid w:val="00AB0BFB"/>
    <w:rsid w:val="00AB0D86"/>
    <w:rsid w:val="00AB1334"/>
    <w:rsid w:val="00AB19A6"/>
    <w:rsid w:val="00AB1BF5"/>
    <w:rsid w:val="00AB1F77"/>
    <w:rsid w:val="00AB1FD7"/>
    <w:rsid w:val="00AB2285"/>
    <w:rsid w:val="00AB2527"/>
    <w:rsid w:val="00AB258F"/>
    <w:rsid w:val="00AB27ED"/>
    <w:rsid w:val="00AB2B30"/>
    <w:rsid w:val="00AB3040"/>
    <w:rsid w:val="00AB391C"/>
    <w:rsid w:val="00AB398D"/>
    <w:rsid w:val="00AB41D3"/>
    <w:rsid w:val="00AB45DA"/>
    <w:rsid w:val="00AB462E"/>
    <w:rsid w:val="00AB5775"/>
    <w:rsid w:val="00AB6BC9"/>
    <w:rsid w:val="00AB6C20"/>
    <w:rsid w:val="00AB6F31"/>
    <w:rsid w:val="00AB74F0"/>
    <w:rsid w:val="00AB78D6"/>
    <w:rsid w:val="00AC026B"/>
    <w:rsid w:val="00AC0B0E"/>
    <w:rsid w:val="00AC0B55"/>
    <w:rsid w:val="00AC0C8D"/>
    <w:rsid w:val="00AC10EC"/>
    <w:rsid w:val="00AC16BD"/>
    <w:rsid w:val="00AC16E1"/>
    <w:rsid w:val="00AC18FE"/>
    <w:rsid w:val="00AC1B70"/>
    <w:rsid w:val="00AC1DA2"/>
    <w:rsid w:val="00AC1FA8"/>
    <w:rsid w:val="00AC2997"/>
    <w:rsid w:val="00AC2D53"/>
    <w:rsid w:val="00AC40EA"/>
    <w:rsid w:val="00AC49C5"/>
    <w:rsid w:val="00AC4C37"/>
    <w:rsid w:val="00AC4E41"/>
    <w:rsid w:val="00AC5946"/>
    <w:rsid w:val="00AC5F08"/>
    <w:rsid w:val="00AC5FA6"/>
    <w:rsid w:val="00AC60CE"/>
    <w:rsid w:val="00AC629B"/>
    <w:rsid w:val="00AC64A6"/>
    <w:rsid w:val="00AC6902"/>
    <w:rsid w:val="00AC6D5C"/>
    <w:rsid w:val="00AC7168"/>
    <w:rsid w:val="00AC7BE7"/>
    <w:rsid w:val="00AC7DB1"/>
    <w:rsid w:val="00AC7E9A"/>
    <w:rsid w:val="00AD05C8"/>
    <w:rsid w:val="00AD074A"/>
    <w:rsid w:val="00AD0C32"/>
    <w:rsid w:val="00AD0C7B"/>
    <w:rsid w:val="00AD1170"/>
    <w:rsid w:val="00AD145B"/>
    <w:rsid w:val="00AD1810"/>
    <w:rsid w:val="00AD25FC"/>
    <w:rsid w:val="00AD28D3"/>
    <w:rsid w:val="00AD2A66"/>
    <w:rsid w:val="00AD2CD8"/>
    <w:rsid w:val="00AD2EF1"/>
    <w:rsid w:val="00AD31E6"/>
    <w:rsid w:val="00AD32D2"/>
    <w:rsid w:val="00AD34A2"/>
    <w:rsid w:val="00AD467A"/>
    <w:rsid w:val="00AD4CE7"/>
    <w:rsid w:val="00AD52E9"/>
    <w:rsid w:val="00AD54A4"/>
    <w:rsid w:val="00AD5A8C"/>
    <w:rsid w:val="00AD5D7E"/>
    <w:rsid w:val="00AD5DD2"/>
    <w:rsid w:val="00AD65B3"/>
    <w:rsid w:val="00AD720F"/>
    <w:rsid w:val="00AD7DA8"/>
    <w:rsid w:val="00AE0330"/>
    <w:rsid w:val="00AE065E"/>
    <w:rsid w:val="00AE0A38"/>
    <w:rsid w:val="00AE15EC"/>
    <w:rsid w:val="00AE1C38"/>
    <w:rsid w:val="00AE1F00"/>
    <w:rsid w:val="00AE20EE"/>
    <w:rsid w:val="00AE254B"/>
    <w:rsid w:val="00AE3034"/>
    <w:rsid w:val="00AE3748"/>
    <w:rsid w:val="00AE3BA4"/>
    <w:rsid w:val="00AE3E35"/>
    <w:rsid w:val="00AE4E83"/>
    <w:rsid w:val="00AE50B4"/>
    <w:rsid w:val="00AE543F"/>
    <w:rsid w:val="00AE5617"/>
    <w:rsid w:val="00AE5A5C"/>
    <w:rsid w:val="00AE5B04"/>
    <w:rsid w:val="00AE61E5"/>
    <w:rsid w:val="00AE7433"/>
    <w:rsid w:val="00AE75E7"/>
    <w:rsid w:val="00AE780F"/>
    <w:rsid w:val="00AE79A8"/>
    <w:rsid w:val="00AF0637"/>
    <w:rsid w:val="00AF0714"/>
    <w:rsid w:val="00AF074C"/>
    <w:rsid w:val="00AF0D3D"/>
    <w:rsid w:val="00AF0E36"/>
    <w:rsid w:val="00AF1595"/>
    <w:rsid w:val="00AF184F"/>
    <w:rsid w:val="00AF1945"/>
    <w:rsid w:val="00AF1B76"/>
    <w:rsid w:val="00AF1F5E"/>
    <w:rsid w:val="00AF2311"/>
    <w:rsid w:val="00AF2329"/>
    <w:rsid w:val="00AF264C"/>
    <w:rsid w:val="00AF2CE9"/>
    <w:rsid w:val="00AF2D12"/>
    <w:rsid w:val="00AF31B1"/>
    <w:rsid w:val="00AF347D"/>
    <w:rsid w:val="00AF35C9"/>
    <w:rsid w:val="00AF3831"/>
    <w:rsid w:val="00AF3ABA"/>
    <w:rsid w:val="00AF4253"/>
    <w:rsid w:val="00AF48B7"/>
    <w:rsid w:val="00AF4B7E"/>
    <w:rsid w:val="00AF5379"/>
    <w:rsid w:val="00AF54F8"/>
    <w:rsid w:val="00AF58DB"/>
    <w:rsid w:val="00AF5BA2"/>
    <w:rsid w:val="00AF5E77"/>
    <w:rsid w:val="00AF6BE9"/>
    <w:rsid w:val="00AF6ECF"/>
    <w:rsid w:val="00AF7185"/>
    <w:rsid w:val="00AF7328"/>
    <w:rsid w:val="00AF787C"/>
    <w:rsid w:val="00B000C2"/>
    <w:rsid w:val="00B007A6"/>
    <w:rsid w:val="00B00805"/>
    <w:rsid w:val="00B00A6D"/>
    <w:rsid w:val="00B00B36"/>
    <w:rsid w:val="00B00FC8"/>
    <w:rsid w:val="00B01696"/>
    <w:rsid w:val="00B01CE3"/>
    <w:rsid w:val="00B025E2"/>
    <w:rsid w:val="00B02794"/>
    <w:rsid w:val="00B02A74"/>
    <w:rsid w:val="00B030DA"/>
    <w:rsid w:val="00B0312A"/>
    <w:rsid w:val="00B0314C"/>
    <w:rsid w:val="00B03513"/>
    <w:rsid w:val="00B0371E"/>
    <w:rsid w:val="00B03F5A"/>
    <w:rsid w:val="00B03FB0"/>
    <w:rsid w:val="00B0405F"/>
    <w:rsid w:val="00B043AC"/>
    <w:rsid w:val="00B04E81"/>
    <w:rsid w:val="00B051C8"/>
    <w:rsid w:val="00B057C7"/>
    <w:rsid w:val="00B057D1"/>
    <w:rsid w:val="00B05C20"/>
    <w:rsid w:val="00B06054"/>
    <w:rsid w:val="00B06076"/>
    <w:rsid w:val="00B06584"/>
    <w:rsid w:val="00B06B8F"/>
    <w:rsid w:val="00B06BCD"/>
    <w:rsid w:val="00B06BCE"/>
    <w:rsid w:val="00B06ED2"/>
    <w:rsid w:val="00B073CC"/>
    <w:rsid w:val="00B076FD"/>
    <w:rsid w:val="00B07952"/>
    <w:rsid w:val="00B07AE8"/>
    <w:rsid w:val="00B10046"/>
    <w:rsid w:val="00B10343"/>
    <w:rsid w:val="00B10512"/>
    <w:rsid w:val="00B1087D"/>
    <w:rsid w:val="00B11383"/>
    <w:rsid w:val="00B11F2D"/>
    <w:rsid w:val="00B121FD"/>
    <w:rsid w:val="00B12322"/>
    <w:rsid w:val="00B12DA6"/>
    <w:rsid w:val="00B130D3"/>
    <w:rsid w:val="00B13354"/>
    <w:rsid w:val="00B13804"/>
    <w:rsid w:val="00B13A3F"/>
    <w:rsid w:val="00B1417D"/>
    <w:rsid w:val="00B144AF"/>
    <w:rsid w:val="00B144B7"/>
    <w:rsid w:val="00B145CB"/>
    <w:rsid w:val="00B1477D"/>
    <w:rsid w:val="00B14BFD"/>
    <w:rsid w:val="00B14D0F"/>
    <w:rsid w:val="00B14D2E"/>
    <w:rsid w:val="00B14DB3"/>
    <w:rsid w:val="00B14DF2"/>
    <w:rsid w:val="00B14FE8"/>
    <w:rsid w:val="00B15AFB"/>
    <w:rsid w:val="00B15C7B"/>
    <w:rsid w:val="00B162B4"/>
    <w:rsid w:val="00B1678D"/>
    <w:rsid w:val="00B16FC9"/>
    <w:rsid w:val="00B179B8"/>
    <w:rsid w:val="00B17C2D"/>
    <w:rsid w:val="00B204EE"/>
    <w:rsid w:val="00B205C0"/>
    <w:rsid w:val="00B20B91"/>
    <w:rsid w:val="00B20EFF"/>
    <w:rsid w:val="00B20FB0"/>
    <w:rsid w:val="00B21995"/>
    <w:rsid w:val="00B21AB3"/>
    <w:rsid w:val="00B21AE8"/>
    <w:rsid w:val="00B21B7F"/>
    <w:rsid w:val="00B21F53"/>
    <w:rsid w:val="00B22088"/>
    <w:rsid w:val="00B2283C"/>
    <w:rsid w:val="00B22D41"/>
    <w:rsid w:val="00B22F2A"/>
    <w:rsid w:val="00B2318F"/>
    <w:rsid w:val="00B23717"/>
    <w:rsid w:val="00B23B09"/>
    <w:rsid w:val="00B23FC2"/>
    <w:rsid w:val="00B24655"/>
    <w:rsid w:val="00B26041"/>
    <w:rsid w:val="00B2624C"/>
    <w:rsid w:val="00B2677A"/>
    <w:rsid w:val="00B26985"/>
    <w:rsid w:val="00B26C02"/>
    <w:rsid w:val="00B26C5F"/>
    <w:rsid w:val="00B277BF"/>
    <w:rsid w:val="00B27841"/>
    <w:rsid w:val="00B2798B"/>
    <w:rsid w:val="00B27D95"/>
    <w:rsid w:val="00B30094"/>
    <w:rsid w:val="00B3017E"/>
    <w:rsid w:val="00B305F7"/>
    <w:rsid w:val="00B30840"/>
    <w:rsid w:val="00B30CEC"/>
    <w:rsid w:val="00B30EA8"/>
    <w:rsid w:val="00B30ECD"/>
    <w:rsid w:val="00B31764"/>
    <w:rsid w:val="00B31B98"/>
    <w:rsid w:val="00B31DEA"/>
    <w:rsid w:val="00B31E69"/>
    <w:rsid w:val="00B31F55"/>
    <w:rsid w:val="00B3244F"/>
    <w:rsid w:val="00B329BE"/>
    <w:rsid w:val="00B32FE5"/>
    <w:rsid w:val="00B3337F"/>
    <w:rsid w:val="00B334EE"/>
    <w:rsid w:val="00B33543"/>
    <w:rsid w:val="00B33956"/>
    <w:rsid w:val="00B33A41"/>
    <w:rsid w:val="00B33D75"/>
    <w:rsid w:val="00B3426C"/>
    <w:rsid w:val="00B34531"/>
    <w:rsid w:val="00B34606"/>
    <w:rsid w:val="00B3473F"/>
    <w:rsid w:val="00B347C3"/>
    <w:rsid w:val="00B34D9D"/>
    <w:rsid w:val="00B34FCD"/>
    <w:rsid w:val="00B35444"/>
    <w:rsid w:val="00B35BD8"/>
    <w:rsid w:val="00B35C1F"/>
    <w:rsid w:val="00B3621F"/>
    <w:rsid w:val="00B36230"/>
    <w:rsid w:val="00B3662C"/>
    <w:rsid w:val="00B3670C"/>
    <w:rsid w:val="00B36AA2"/>
    <w:rsid w:val="00B36BD5"/>
    <w:rsid w:val="00B36EC7"/>
    <w:rsid w:val="00B370F7"/>
    <w:rsid w:val="00B37A8E"/>
    <w:rsid w:val="00B40405"/>
    <w:rsid w:val="00B40565"/>
    <w:rsid w:val="00B405E7"/>
    <w:rsid w:val="00B40A5F"/>
    <w:rsid w:val="00B410FF"/>
    <w:rsid w:val="00B41AE6"/>
    <w:rsid w:val="00B41B8B"/>
    <w:rsid w:val="00B41E29"/>
    <w:rsid w:val="00B41EFC"/>
    <w:rsid w:val="00B42288"/>
    <w:rsid w:val="00B4249C"/>
    <w:rsid w:val="00B42FDB"/>
    <w:rsid w:val="00B4317D"/>
    <w:rsid w:val="00B432D5"/>
    <w:rsid w:val="00B43B32"/>
    <w:rsid w:val="00B441C2"/>
    <w:rsid w:val="00B447ED"/>
    <w:rsid w:val="00B44803"/>
    <w:rsid w:val="00B44A57"/>
    <w:rsid w:val="00B44AB8"/>
    <w:rsid w:val="00B44B52"/>
    <w:rsid w:val="00B44DB7"/>
    <w:rsid w:val="00B45B9C"/>
    <w:rsid w:val="00B461AC"/>
    <w:rsid w:val="00B4620D"/>
    <w:rsid w:val="00B4687F"/>
    <w:rsid w:val="00B46AA8"/>
    <w:rsid w:val="00B46CFE"/>
    <w:rsid w:val="00B46D11"/>
    <w:rsid w:val="00B46D4B"/>
    <w:rsid w:val="00B46F26"/>
    <w:rsid w:val="00B472B7"/>
    <w:rsid w:val="00B47372"/>
    <w:rsid w:val="00B4794F"/>
    <w:rsid w:val="00B47D73"/>
    <w:rsid w:val="00B50042"/>
    <w:rsid w:val="00B504AB"/>
    <w:rsid w:val="00B5083C"/>
    <w:rsid w:val="00B50B43"/>
    <w:rsid w:val="00B51428"/>
    <w:rsid w:val="00B5183A"/>
    <w:rsid w:val="00B51C2B"/>
    <w:rsid w:val="00B51D90"/>
    <w:rsid w:val="00B51EC0"/>
    <w:rsid w:val="00B52215"/>
    <w:rsid w:val="00B532EA"/>
    <w:rsid w:val="00B533C0"/>
    <w:rsid w:val="00B533C8"/>
    <w:rsid w:val="00B5345D"/>
    <w:rsid w:val="00B537B4"/>
    <w:rsid w:val="00B54160"/>
    <w:rsid w:val="00B54599"/>
    <w:rsid w:val="00B550E8"/>
    <w:rsid w:val="00B5538A"/>
    <w:rsid w:val="00B5590D"/>
    <w:rsid w:val="00B55A2E"/>
    <w:rsid w:val="00B55F16"/>
    <w:rsid w:val="00B56570"/>
    <w:rsid w:val="00B5657E"/>
    <w:rsid w:val="00B56D7F"/>
    <w:rsid w:val="00B56E15"/>
    <w:rsid w:val="00B57D08"/>
    <w:rsid w:val="00B60038"/>
    <w:rsid w:val="00B600BC"/>
    <w:rsid w:val="00B60F60"/>
    <w:rsid w:val="00B61080"/>
    <w:rsid w:val="00B612FB"/>
    <w:rsid w:val="00B613EA"/>
    <w:rsid w:val="00B6154B"/>
    <w:rsid w:val="00B6188C"/>
    <w:rsid w:val="00B6243C"/>
    <w:rsid w:val="00B626CA"/>
    <w:rsid w:val="00B627E3"/>
    <w:rsid w:val="00B63505"/>
    <w:rsid w:val="00B6391A"/>
    <w:rsid w:val="00B63B20"/>
    <w:rsid w:val="00B63DBB"/>
    <w:rsid w:val="00B64128"/>
    <w:rsid w:val="00B645E3"/>
    <w:rsid w:val="00B6479D"/>
    <w:rsid w:val="00B6488D"/>
    <w:rsid w:val="00B65302"/>
    <w:rsid w:val="00B65BC1"/>
    <w:rsid w:val="00B65E14"/>
    <w:rsid w:val="00B6625B"/>
    <w:rsid w:val="00B66B84"/>
    <w:rsid w:val="00B66C8F"/>
    <w:rsid w:val="00B672FF"/>
    <w:rsid w:val="00B67A3C"/>
    <w:rsid w:val="00B67A62"/>
    <w:rsid w:val="00B7031E"/>
    <w:rsid w:val="00B7077D"/>
    <w:rsid w:val="00B707A2"/>
    <w:rsid w:val="00B7095B"/>
    <w:rsid w:val="00B709B3"/>
    <w:rsid w:val="00B70D54"/>
    <w:rsid w:val="00B7155A"/>
    <w:rsid w:val="00B71888"/>
    <w:rsid w:val="00B71D69"/>
    <w:rsid w:val="00B71E0A"/>
    <w:rsid w:val="00B72090"/>
    <w:rsid w:val="00B7232A"/>
    <w:rsid w:val="00B72D15"/>
    <w:rsid w:val="00B730EE"/>
    <w:rsid w:val="00B73789"/>
    <w:rsid w:val="00B737B4"/>
    <w:rsid w:val="00B73E26"/>
    <w:rsid w:val="00B74156"/>
    <w:rsid w:val="00B74939"/>
    <w:rsid w:val="00B749C4"/>
    <w:rsid w:val="00B74E16"/>
    <w:rsid w:val="00B750C9"/>
    <w:rsid w:val="00B7510C"/>
    <w:rsid w:val="00B758BC"/>
    <w:rsid w:val="00B758FC"/>
    <w:rsid w:val="00B75F01"/>
    <w:rsid w:val="00B763F4"/>
    <w:rsid w:val="00B76908"/>
    <w:rsid w:val="00B76F00"/>
    <w:rsid w:val="00B76F49"/>
    <w:rsid w:val="00B77444"/>
    <w:rsid w:val="00B778A3"/>
    <w:rsid w:val="00B779EA"/>
    <w:rsid w:val="00B80477"/>
    <w:rsid w:val="00B80483"/>
    <w:rsid w:val="00B80640"/>
    <w:rsid w:val="00B80AA1"/>
    <w:rsid w:val="00B81162"/>
    <w:rsid w:val="00B8119F"/>
    <w:rsid w:val="00B81215"/>
    <w:rsid w:val="00B81523"/>
    <w:rsid w:val="00B81536"/>
    <w:rsid w:val="00B8175E"/>
    <w:rsid w:val="00B82026"/>
    <w:rsid w:val="00B8202C"/>
    <w:rsid w:val="00B8254C"/>
    <w:rsid w:val="00B8258E"/>
    <w:rsid w:val="00B826C6"/>
    <w:rsid w:val="00B82D33"/>
    <w:rsid w:val="00B82DF8"/>
    <w:rsid w:val="00B833F8"/>
    <w:rsid w:val="00B835EB"/>
    <w:rsid w:val="00B837DF"/>
    <w:rsid w:val="00B83D8B"/>
    <w:rsid w:val="00B83F4C"/>
    <w:rsid w:val="00B84467"/>
    <w:rsid w:val="00B8452A"/>
    <w:rsid w:val="00B847EE"/>
    <w:rsid w:val="00B84DFE"/>
    <w:rsid w:val="00B852CD"/>
    <w:rsid w:val="00B85619"/>
    <w:rsid w:val="00B85BFD"/>
    <w:rsid w:val="00B85E8A"/>
    <w:rsid w:val="00B85EB2"/>
    <w:rsid w:val="00B86096"/>
    <w:rsid w:val="00B86101"/>
    <w:rsid w:val="00B86980"/>
    <w:rsid w:val="00B86ACD"/>
    <w:rsid w:val="00B87978"/>
    <w:rsid w:val="00B87F1C"/>
    <w:rsid w:val="00B87FF8"/>
    <w:rsid w:val="00B90187"/>
    <w:rsid w:val="00B902C7"/>
    <w:rsid w:val="00B90354"/>
    <w:rsid w:val="00B906EE"/>
    <w:rsid w:val="00B90C06"/>
    <w:rsid w:val="00B90D61"/>
    <w:rsid w:val="00B9149F"/>
    <w:rsid w:val="00B917E3"/>
    <w:rsid w:val="00B9188D"/>
    <w:rsid w:val="00B91AE2"/>
    <w:rsid w:val="00B91E77"/>
    <w:rsid w:val="00B9208E"/>
    <w:rsid w:val="00B920AD"/>
    <w:rsid w:val="00B92110"/>
    <w:rsid w:val="00B92480"/>
    <w:rsid w:val="00B92559"/>
    <w:rsid w:val="00B92601"/>
    <w:rsid w:val="00B9290E"/>
    <w:rsid w:val="00B92943"/>
    <w:rsid w:val="00B92F6F"/>
    <w:rsid w:val="00B93390"/>
    <w:rsid w:val="00B93442"/>
    <w:rsid w:val="00B9349C"/>
    <w:rsid w:val="00B938FB"/>
    <w:rsid w:val="00B941F8"/>
    <w:rsid w:val="00B943BD"/>
    <w:rsid w:val="00B946BA"/>
    <w:rsid w:val="00B94928"/>
    <w:rsid w:val="00B949A0"/>
    <w:rsid w:val="00B94C66"/>
    <w:rsid w:val="00B94DF3"/>
    <w:rsid w:val="00B951B0"/>
    <w:rsid w:val="00B95563"/>
    <w:rsid w:val="00B963F2"/>
    <w:rsid w:val="00B9642E"/>
    <w:rsid w:val="00B965DF"/>
    <w:rsid w:val="00B96C08"/>
    <w:rsid w:val="00B96DF8"/>
    <w:rsid w:val="00B97008"/>
    <w:rsid w:val="00B9743F"/>
    <w:rsid w:val="00B97CFC"/>
    <w:rsid w:val="00BA0282"/>
    <w:rsid w:val="00BA02AB"/>
    <w:rsid w:val="00BA09B8"/>
    <w:rsid w:val="00BA0E3D"/>
    <w:rsid w:val="00BA0EA4"/>
    <w:rsid w:val="00BA0F4B"/>
    <w:rsid w:val="00BA11E6"/>
    <w:rsid w:val="00BA1982"/>
    <w:rsid w:val="00BA1A01"/>
    <w:rsid w:val="00BA1C6F"/>
    <w:rsid w:val="00BA1D0D"/>
    <w:rsid w:val="00BA1D15"/>
    <w:rsid w:val="00BA20B4"/>
    <w:rsid w:val="00BA2244"/>
    <w:rsid w:val="00BA2327"/>
    <w:rsid w:val="00BA2390"/>
    <w:rsid w:val="00BA23DA"/>
    <w:rsid w:val="00BA2424"/>
    <w:rsid w:val="00BA2762"/>
    <w:rsid w:val="00BA283F"/>
    <w:rsid w:val="00BA325F"/>
    <w:rsid w:val="00BA3EA2"/>
    <w:rsid w:val="00BA47BE"/>
    <w:rsid w:val="00BA4E9A"/>
    <w:rsid w:val="00BA56AD"/>
    <w:rsid w:val="00BA5A19"/>
    <w:rsid w:val="00BA5CAB"/>
    <w:rsid w:val="00BA5EA9"/>
    <w:rsid w:val="00BA5F27"/>
    <w:rsid w:val="00BA6210"/>
    <w:rsid w:val="00BA6398"/>
    <w:rsid w:val="00BA67E8"/>
    <w:rsid w:val="00BA67FB"/>
    <w:rsid w:val="00BA7BCE"/>
    <w:rsid w:val="00BA7F5F"/>
    <w:rsid w:val="00BB033E"/>
    <w:rsid w:val="00BB0371"/>
    <w:rsid w:val="00BB0762"/>
    <w:rsid w:val="00BB09F2"/>
    <w:rsid w:val="00BB0ACA"/>
    <w:rsid w:val="00BB105D"/>
    <w:rsid w:val="00BB121A"/>
    <w:rsid w:val="00BB1350"/>
    <w:rsid w:val="00BB1598"/>
    <w:rsid w:val="00BB16E1"/>
    <w:rsid w:val="00BB2934"/>
    <w:rsid w:val="00BB2A2A"/>
    <w:rsid w:val="00BB2A4D"/>
    <w:rsid w:val="00BB34BD"/>
    <w:rsid w:val="00BB3D63"/>
    <w:rsid w:val="00BB3DA9"/>
    <w:rsid w:val="00BB3E7A"/>
    <w:rsid w:val="00BB40CF"/>
    <w:rsid w:val="00BB4549"/>
    <w:rsid w:val="00BB4740"/>
    <w:rsid w:val="00BB49E6"/>
    <w:rsid w:val="00BB4C0D"/>
    <w:rsid w:val="00BB573C"/>
    <w:rsid w:val="00BB584F"/>
    <w:rsid w:val="00BB5E3C"/>
    <w:rsid w:val="00BB61D7"/>
    <w:rsid w:val="00BB6483"/>
    <w:rsid w:val="00BB64EB"/>
    <w:rsid w:val="00BB6B86"/>
    <w:rsid w:val="00BB6DAC"/>
    <w:rsid w:val="00BB6E33"/>
    <w:rsid w:val="00BB7381"/>
    <w:rsid w:val="00BB7580"/>
    <w:rsid w:val="00BB76B8"/>
    <w:rsid w:val="00BC0328"/>
    <w:rsid w:val="00BC0341"/>
    <w:rsid w:val="00BC04AB"/>
    <w:rsid w:val="00BC07B7"/>
    <w:rsid w:val="00BC0D66"/>
    <w:rsid w:val="00BC10F7"/>
    <w:rsid w:val="00BC1313"/>
    <w:rsid w:val="00BC1400"/>
    <w:rsid w:val="00BC16A4"/>
    <w:rsid w:val="00BC1885"/>
    <w:rsid w:val="00BC2395"/>
    <w:rsid w:val="00BC2A9F"/>
    <w:rsid w:val="00BC2CF5"/>
    <w:rsid w:val="00BC2CF8"/>
    <w:rsid w:val="00BC2F44"/>
    <w:rsid w:val="00BC31FC"/>
    <w:rsid w:val="00BC3556"/>
    <w:rsid w:val="00BC3C44"/>
    <w:rsid w:val="00BC44EF"/>
    <w:rsid w:val="00BC4538"/>
    <w:rsid w:val="00BC4AEA"/>
    <w:rsid w:val="00BC4E7C"/>
    <w:rsid w:val="00BC4ED2"/>
    <w:rsid w:val="00BC4EF9"/>
    <w:rsid w:val="00BC5AB2"/>
    <w:rsid w:val="00BC5E10"/>
    <w:rsid w:val="00BC6363"/>
    <w:rsid w:val="00BC661F"/>
    <w:rsid w:val="00BC6B2C"/>
    <w:rsid w:val="00BC6F57"/>
    <w:rsid w:val="00BC78BC"/>
    <w:rsid w:val="00BC7951"/>
    <w:rsid w:val="00BC7BA7"/>
    <w:rsid w:val="00BD0668"/>
    <w:rsid w:val="00BD07B9"/>
    <w:rsid w:val="00BD0866"/>
    <w:rsid w:val="00BD0ADA"/>
    <w:rsid w:val="00BD0DF5"/>
    <w:rsid w:val="00BD0EE3"/>
    <w:rsid w:val="00BD10CD"/>
    <w:rsid w:val="00BD126E"/>
    <w:rsid w:val="00BD158B"/>
    <w:rsid w:val="00BD17FB"/>
    <w:rsid w:val="00BD196C"/>
    <w:rsid w:val="00BD285E"/>
    <w:rsid w:val="00BD2F1A"/>
    <w:rsid w:val="00BD2F40"/>
    <w:rsid w:val="00BD3560"/>
    <w:rsid w:val="00BD35B7"/>
    <w:rsid w:val="00BD3669"/>
    <w:rsid w:val="00BD3765"/>
    <w:rsid w:val="00BD3A40"/>
    <w:rsid w:val="00BD4440"/>
    <w:rsid w:val="00BD48EA"/>
    <w:rsid w:val="00BD5808"/>
    <w:rsid w:val="00BD60F9"/>
    <w:rsid w:val="00BD62EF"/>
    <w:rsid w:val="00BD693B"/>
    <w:rsid w:val="00BD6E30"/>
    <w:rsid w:val="00BD6FD6"/>
    <w:rsid w:val="00BD7080"/>
    <w:rsid w:val="00BD7557"/>
    <w:rsid w:val="00BD7D82"/>
    <w:rsid w:val="00BE00EF"/>
    <w:rsid w:val="00BE0897"/>
    <w:rsid w:val="00BE08D4"/>
    <w:rsid w:val="00BE0980"/>
    <w:rsid w:val="00BE0AD0"/>
    <w:rsid w:val="00BE0C03"/>
    <w:rsid w:val="00BE0C10"/>
    <w:rsid w:val="00BE0D54"/>
    <w:rsid w:val="00BE0F3D"/>
    <w:rsid w:val="00BE10E4"/>
    <w:rsid w:val="00BE1F5C"/>
    <w:rsid w:val="00BE2040"/>
    <w:rsid w:val="00BE26F2"/>
    <w:rsid w:val="00BE3369"/>
    <w:rsid w:val="00BE3C5D"/>
    <w:rsid w:val="00BE4078"/>
    <w:rsid w:val="00BE42DF"/>
    <w:rsid w:val="00BE4795"/>
    <w:rsid w:val="00BE47F4"/>
    <w:rsid w:val="00BE4B2B"/>
    <w:rsid w:val="00BE4D7A"/>
    <w:rsid w:val="00BE505A"/>
    <w:rsid w:val="00BE54AC"/>
    <w:rsid w:val="00BE5550"/>
    <w:rsid w:val="00BE5B8B"/>
    <w:rsid w:val="00BE62F2"/>
    <w:rsid w:val="00BE636D"/>
    <w:rsid w:val="00BE6C39"/>
    <w:rsid w:val="00BE70A9"/>
    <w:rsid w:val="00BE7343"/>
    <w:rsid w:val="00BE7956"/>
    <w:rsid w:val="00BE7A63"/>
    <w:rsid w:val="00BE7F3C"/>
    <w:rsid w:val="00BE7FB6"/>
    <w:rsid w:val="00BF0937"/>
    <w:rsid w:val="00BF0E4E"/>
    <w:rsid w:val="00BF0EBA"/>
    <w:rsid w:val="00BF1189"/>
    <w:rsid w:val="00BF17B5"/>
    <w:rsid w:val="00BF19B4"/>
    <w:rsid w:val="00BF1C87"/>
    <w:rsid w:val="00BF2458"/>
    <w:rsid w:val="00BF285E"/>
    <w:rsid w:val="00BF2CD2"/>
    <w:rsid w:val="00BF31B3"/>
    <w:rsid w:val="00BF394B"/>
    <w:rsid w:val="00BF3AD1"/>
    <w:rsid w:val="00BF3F13"/>
    <w:rsid w:val="00BF43B9"/>
    <w:rsid w:val="00BF4EAE"/>
    <w:rsid w:val="00BF50E2"/>
    <w:rsid w:val="00BF5140"/>
    <w:rsid w:val="00BF5920"/>
    <w:rsid w:val="00BF5EBF"/>
    <w:rsid w:val="00BF61D1"/>
    <w:rsid w:val="00BF67E1"/>
    <w:rsid w:val="00BF6B9C"/>
    <w:rsid w:val="00BF70CD"/>
    <w:rsid w:val="00BF7144"/>
    <w:rsid w:val="00BF75CF"/>
    <w:rsid w:val="00BF7982"/>
    <w:rsid w:val="00BF7BAB"/>
    <w:rsid w:val="00BF7DCA"/>
    <w:rsid w:val="00C000E4"/>
    <w:rsid w:val="00C001FC"/>
    <w:rsid w:val="00C00340"/>
    <w:rsid w:val="00C00404"/>
    <w:rsid w:val="00C00BC4"/>
    <w:rsid w:val="00C0101C"/>
    <w:rsid w:val="00C01116"/>
    <w:rsid w:val="00C012E7"/>
    <w:rsid w:val="00C013A4"/>
    <w:rsid w:val="00C01483"/>
    <w:rsid w:val="00C01666"/>
    <w:rsid w:val="00C01D01"/>
    <w:rsid w:val="00C028ED"/>
    <w:rsid w:val="00C02A60"/>
    <w:rsid w:val="00C02CCD"/>
    <w:rsid w:val="00C02EE5"/>
    <w:rsid w:val="00C031A8"/>
    <w:rsid w:val="00C031E3"/>
    <w:rsid w:val="00C034BD"/>
    <w:rsid w:val="00C038DB"/>
    <w:rsid w:val="00C0394E"/>
    <w:rsid w:val="00C03D79"/>
    <w:rsid w:val="00C04975"/>
    <w:rsid w:val="00C05336"/>
    <w:rsid w:val="00C05398"/>
    <w:rsid w:val="00C055AC"/>
    <w:rsid w:val="00C0591C"/>
    <w:rsid w:val="00C05C10"/>
    <w:rsid w:val="00C05D17"/>
    <w:rsid w:val="00C05D1A"/>
    <w:rsid w:val="00C05DFC"/>
    <w:rsid w:val="00C06736"/>
    <w:rsid w:val="00C06E6C"/>
    <w:rsid w:val="00C06EDA"/>
    <w:rsid w:val="00C06FDC"/>
    <w:rsid w:val="00C0791F"/>
    <w:rsid w:val="00C10B5C"/>
    <w:rsid w:val="00C10DC2"/>
    <w:rsid w:val="00C10ED3"/>
    <w:rsid w:val="00C113C8"/>
    <w:rsid w:val="00C114A1"/>
    <w:rsid w:val="00C118E4"/>
    <w:rsid w:val="00C11928"/>
    <w:rsid w:val="00C119A7"/>
    <w:rsid w:val="00C11B13"/>
    <w:rsid w:val="00C11BF4"/>
    <w:rsid w:val="00C121AF"/>
    <w:rsid w:val="00C127DA"/>
    <w:rsid w:val="00C12ADE"/>
    <w:rsid w:val="00C12D98"/>
    <w:rsid w:val="00C12D99"/>
    <w:rsid w:val="00C1396E"/>
    <w:rsid w:val="00C14032"/>
    <w:rsid w:val="00C145F4"/>
    <w:rsid w:val="00C14C98"/>
    <w:rsid w:val="00C15455"/>
    <w:rsid w:val="00C15F2F"/>
    <w:rsid w:val="00C162C1"/>
    <w:rsid w:val="00C1675A"/>
    <w:rsid w:val="00C16CDD"/>
    <w:rsid w:val="00C16E9F"/>
    <w:rsid w:val="00C201E5"/>
    <w:rsid w:val="00C202C5"/>
    <w:rsid w:val="00C203D3"/>
    <w:rsid w:val="00C2042D"/>
    <w:rsid w:val="00C2046B"/>
    <w:rsid w:val="00C210F7"/>
    <w:rsid w:val="00C21237"/>
    <w:rsid w:val="00C21280"/>
    <w:rsid w:val="00C21461"/>
    <w:rsid w:val="00C222B5"/>
    <w:rsid w:val="00C22395"/>
    <w:rsid w:val="00C22B24"/>
    <w:rsid w:val="00C23243"/>
    <w:rsid w:val="00C2344B"/>
    <w:rsid w:val="00C2344C"/>
    <w:rsid w:val="00C234D7"/>
    <w:rsid w:val="00C23B2B"/>
    <w:rsid w:val="00C247E5"/>
    <w:rsid w:val="00C2489F"/>
    <w:rsid w:val="00C24A42"/>
    <w:rsid w:val="00C24B97"/>
    <w:rsid w:val="00C251D4"/>
    <w:rsid w:val="00C25426"/>
    <w:rsid w:val="00C25607"/>
    <w:rsid w:val="00C256CE"/>
    <w:rsid w:val="00C2596F"/>
    <w:rsid w:val="00C25EC8"/>
    <w:rsid w:val="00C26384"/>
    <w:rsid w:val="00C26EBF"/>
    <w:rsid w:val="00C27037"/>
    <w:rsid w:val="00C27840"/>
    <w:rsid w:val="00C27867"/>
    <w:rsid w:val="00C27A77"/>
    <w:rsid w:val="00C27FEC"/>
    <w:rsid w:val="00C3023F"/>
    <w:rsid w:val="00C303E2"/>
    <w:rsid w:val="00C30ED3"/>
    <w:rsid w:val="00C31060"/>
    <w:rsid w:val="00C316A7"/>
    <w:rsid w:val="00C317EB"/>
    <w:rsid w:val="00C3187B"/>
    <w:rsid w:val="00C3197F"/>
    <w:rsid w:val="00C31B34"/>
    <w:rsid w:val="00C32544"/>
    <w:rsid w:val="00C328D3"/>
    <w:rsid w:val="00C32AF0"/>
    <w:rsid w:val="00C32B4B"/>
    <w:rsid w:val="00C32C3B"/>
    <w:rsid w:val="00C32C52"/>
    <w:rsid w:val="00C33305"/>
    <w:rsid w:val="00C334D0"/>
    <w:rsid w:val="00C33690"/>
    <w:rsid w:val="00C34783"/>
    <w:rsid w:val="00C349AC"/>
    <w:rsid w:val="00C34E35"/>
    <w:rsid w:val="00C35D04"/>
    <w:rsid w:val="00C362A9"/>
    <w:rsid w:val="00C36347"/>
    <w:rsid w:val="00C36C4B"/>
    <w:rsid w:val="00C36C8F"/>
    <w:rsid w:val="00C36CD6"/>
    <w:rsid w:val="00C36D44"/>
    <w:rsid w:val="00C374C6"/>
    <w:rsid w:val="00C376A9"/>
    <w:rsid w:val="00C3789D"/>
    <w:rsid w:val="00C37BA2"/>
    <w:rsid w:val="00C37EDF"/>
    <w:rsid w:val="00C40166"/>
    <w:rsid w:val="00C4056B"/>
    <w:rsid w:val="00C4061D"/>
    <w:rsid w:val="00C407AD"/>
    <w:rsid w:val="00C40CDB"/>
    <w:rsid w:val="00C40E17"/>
    <w:rsid w:val="00C41238"/>
    <w:rsid w:val="00C41360"/>
    <w:rsid w:val="00C414D0"/>
    <w:rsid w:val="00C41509"/>
    <w:rsid w:val="00C416A8"/>
    <w:rsid w:val="00C41CCA"/>
    <w:rsid w:val="00C42020"/>
    <w:rsid w:val="00C4212F"/>
    <w:rsid w:val="00C42386"/>
    <w:rsid w:val="00C42969"/>
    <w:rsid w:val="00C429A1"/>
    <w:rsid w:val="00C42EF1"/>
    <w:rsid w:val="00C43944"/>
    <w:rsid w:val="00C43AAC"/>
    <w:rsid w:val="00C43D93"/>
    <w:rsid w:val="00C44003"/>
    <w:rsid w:val="00C44083"/>
    <w:rsid w:val="00C44352"/>
    <w:rsid w:val="00C446FA"/>
    <w:rsid w:val="00C44FAC"/>
    <w:rsid w:val="00C45351"/>
    <w:rsid w:val="00C45D96"/>
    <w:rsid w:val="00C461DE"/>
    <w:rsid w:val="00C463CA"/>
    <w:rsid w:val="00C46836"/>
    <w:rsid w:val="00C46E1D"/>
    <w:rsid w:val="00C46EB5"/>
    <w:rsid w:val="00C47063"/>
    <w:rsid w:val="00C47100"/>
    <w:rsid w:val="00C472C8"/>
    <w:rsid w:val="00C47C6A"/>
    <w:rsid w:val="00C47F35"/>
    <w:rsid w:val="00C504B6"/>
    <w:rsid w:val="00C50697"/>
    <w:rsid w:val="00C506AE"/>
    <w:rsid w:val="00C50750"/>
    <w:rsid w:val="00C50FAF"/>
    <w:rsid w:val="00C51204"/>
    <w:rsid w:val="00C51308"/>
    <w:rsid w:val="00C51AD5"/>
    <w:rsid w:val="00C51C73"/>
    <w:rsid w:val="00C525BA"/>
    <w:rsid w:val="00C526AF"/>
    <w:rsid w:val="00C52997"/>
    <w:rsid w:val="00C52FF1"/>
    <w:rsid w:val="00C54501"/>
    <w:rsid w:val="00C54A40"/>
    <w:rsid w:val="00C54BA7"/>
    <w:rsid w:val="00C54DEA"/>
    <w:rsid w:val="00C550D8"/>
    <w:rsid w:val="00C561CD"/>
    <w:rsid w:val="00C563C3"/>
    <w:rsid w:val="00C565F1"/>
    <w:rsid w:val="00C565FE"/>
    <w:rsid w:val="00C5668C"/>
    <w:rsid w:val="00C569A3"/>
    <w:rsid w:val="00C56B68"/>
    <w:rsid w:val="00C57290"/>
    <w:rsid w:val="00C57620"/>
    <w:rsid w:val="00C57C44"/>
    <w:rsid w:val="00C57D23"/>
    <w:rsid w:val="00C57EDA"/>
    <w:rsid w:val="00C602AE"/>
    <w:rsid w:val="00C6046A"/>
    <w:rsid w:val="00C60664"/>
    <w:rsid w:val="00C611DB"/>
    <w:rsid w:val="00C612D0"/>
    <w:rsid w:val="00C619FF"/>
    <w:rsid w:val="00C61A15"/>
    <w:rsid w:val="00C61CA9"/>
    <w:rsid w:val="00C61E7A"/>
    <w:rsid w:val="00C6218D"/>
    <w:rsid w:val="00C622C1"/>
    <w:rsid w:val="00C62492"/>
    <w:rsid w:val="00C629CD"/>
    <w:rsid w:val="00C634C8"/>
    <w:rsid w:val="00C6363A"/>
    <w:rsid w:val="00C63A43"/>
    <w:rsid w:val="00C63D35"/>
    <w:rsid w:val="00C64648"/>
    <w:rsid w:val="00C64873"/>
    <w:rsid w:val="00C64A71"/>
    <w:rsid w:val="00C64BB8"/>
    <w:rsid w:val="00C64D84"/>
    <w:rsid w:val="00C64FA6"/>
    <w:rsid w:val="00C65612"/>
    <w:rsid w:val="00C657FB"/>
    <w:rsid w:val="00C658E4"/>
    <w:rsid w:val="00C6593B"/>
    <w:rsid w:val="00C65F09"/>
    <w:rsid w:val="00C65FFB"/>
    <w:rsid w:val="00C6630F"/>
    <w:rsid w:val="00C663B7"/>
    <w:rsid w:val="00C66963"/>
    <w:rsid w:val="00C669A0"/>
    <w:rsid w:val="00C66A3D"/>
    <w:rsid w:val="00C670F2"/>
    <w:rsid w:val="00C67473"/>
    <w:rsid w:val="00C67566"/>
    <w:rsid w:val="00C67576"/>
    <w:rsid w:val="00C67717"/>
    <w:rsid w:val="00C67823"/>
    <w:rsid w:val="00C67840"/>
    <w:rsid w:val="00C701AF"/>
    <w:rsid w:val="00C70271"/>
    <w:rsid w:val="00C70284"/>
    <w:rsid w:val="00C70443"/>
    <w:rsid w:val="00C70C53"/>
    <w:rsid w:val="00C70E73"/>
    <w:rsid w:val="00C70F54"/>
    <w:rsid w:val="00C714FF"/>
    <w:rsid w:val="00C7180E"/>
    <w:rsid w:val="00C7184D"/>
    <w:rsid w:val="00C71A6B"/>
    <w:rsid w:val="00C71EAF"/>
    <w:rsid w:val="00C722AE"/>
    <w:rsid w:val="00C724AF"/>
    <w:rsid w:val="00C7272C"/>
    <w:rsid w:val="00C73357"/>
    <w:rsid w:val="00C73403"/>
    <w:rsid w:val="00C7371A"/>
    <w:rsid w:val="00C73AF9"/>
    <w:rsid w:val="00C746CE"/>
    <w:rsid w:val="00C74C19"/>
    <w:rsid w:val="00C75179"/>
    <w:rsid w:val="00C76381"/>
    <w:rsid w:val="00C7665D"/>
    <w:rsid w:val="00C774F0"/>
    <w:rsid w:val="00C778E8"/>
    <w:rsid w:val="00C800E1"/>
    <w:rsid w:val="00C8017F"/>
    <w:rsid w:val="00C803BE"/>
    <w:rsid w:val="00C80F15"/>
    <w:rsid w:val="00C8123F"/>
    <w:rsid w:val="00C81725"/>
    <w:rsid w:val="00C817EA"/>
    <w:rsid w:val="00C8187B"/>
    <w:rsid w:val="00C829F9"/>
    <w:rsid w:val="00C83785"/>
    <w:rsid w:val="00C83CF4"/>
    <w:rsid w:val="00C83D98"/>
    <w:rsid w:val="00C843FC"/>
    <w:rsid w:val="00C849CE"/>
    <w:rsid w:val="00C84B31"/>
    <w:rsid w:val="00C85936"/>
    <w:rsid w:val="00C85B76"/>
    <w:rsid w:val="00C85DDB"/>
    <w:rsid w:val="00C86852"/>
    <w:rsid w:val="00C86B5C"/>
    <w:rsid w:val="00C86E49"/>
    <w:rsid w:val="00C87BA1"/>
    <w:rsid w:val="00C87DB9"/>
    <w:rsid w:val="00C90088"/>
    <w:rsid w:val="00C9058F"/>
    <w:rsid w:val="00C90AA7"/>
    <w:rsid w:val="00C91686"/>
    <w:rsid w:val="00C9281E"/>
    <w:rsid w:val="00C92AAC"/>
    <w:rsid w:val="00C92C15"/>
    <w:rsid w:val="00C92D5E"/>
    <w:rsid w:val="00C93499"/>
    <w:rsid w:val="00C9382F"/>
    <w:rsid w:val="00C93993"/>
    <w:rsid w:val="00C93AAE"/>
    <w:rsid w:val="00C93EDE"/>
    <w:rsid w:val="00C945FE"/>
    <w:rsid w:val="00C94AED"/>
    <w:rsid w:val="00C94B03"/>
    <w:rsid w:val="00C94D85"/>
    <w:rsid w:val="00C94E67"/>
    <w:rsid w:val="00C95652"/>
    <w:rsid w:val="00C95B33"/>
    <w:rsid w:val="00C95C45"/>
    <w:rsid w:val="00C96983"/>
    <w:rsid w:val="00C96BB6"/>
    <w:rsid w:val="00C96EC4"/>
    <w:rsid w:val="00C9722C"/>
    <w:rsid w:val="00C9776B"/>
    <w:rsid w:val="00C9777D"/>
    <w:rsid w:val="00C97B1A"/>
    <w:rsid w:val="00C97C37"/>
    <w:rsid w:val="00C97DD4"/>
    <w:rsid w:val="00C97DF9"/>
    <w:rsid w:val="00CA04FD"/>
    <w:rsid w:val="00CA053F"/>
    <w:rsid w:val="00CA0800"/>
    <w:rsid w:val="00CA089D"/>
    <w:rsid w:val="00CA0EB3"/>
    <w:rsid w:val="00CA0F5C"/>
    <w:rsid w:val="00CA15CA"/>
    <w:rsid w:val="00CA1668"/>
    <w:rsid w:val="00CA16E8"/>
    <w:rsid w:val="00CA1ED2"/>
    <w:rsid w:val="00CA24EA"/>
    <w:rsid w:val="00CA25F7"/>
    <w:rsid w:val="00CA2624"/>
    <w:rsid w:val="00CA26D0"/>
    <w:rsid w:val="00CA2954"/>
    <w:rsid w:val="00CA29A4"/>
    <w:rsid w:val="00CA2B83"/>
    <w:rsid w:val="00CA2F3A"/>
    <w:rsid w:val="00CA30E6"/>
    <w:rsid w:val="00CA3477"/>
    <w:rsid w:val="00CA3695"/>
    <w:rsid w:val="00CA3B8E"/>
    <w:rsid w:val="00CA3E83"/>
    <w:rsid w:val="00CA4076"/>
    <w:rsid w:val="00CA407F"/>
    <w:rsid w:val="00CA40A8"/>
    <w:rsid w:val="00CA47A5"/>
    <w:rsid w:val="00CA4EB4"/>
    <w:rsid w:val="00CA54B6"/>
    <w:rsid w:val="00CA57C7"/>
    <w:rsid w:val="00CA6C8D"/>
    <w:rsid w:val="00CA6D9B"/>
    <w:rsid w:val="00CA710B"/>
    <w:rsid w:val="00CA74C6"/>
    <w:rsid w:val="00CA7787"/>
    <w:rsid w:val="00CB07F0"/>
    <w:rsid w:val="00CB09A9"/>
    <w:rsid w:val="00CB0BAF"/>
    <w:rsid w:val="00CB0BD0"/>
    <w:rsid w:val="00CB1B03"/>
    <w:rsid w:val="00CB234D"/>
    <w:rsid w:val="00CB27D0"/>
    <w:rsid w:val="00CB29B2"/>
    <w:rsid w:val="00CB2CB7"/>
    <w:rsid w:val="00CB3057"/>
    <w:rsid w:val="00CB32F3"/>
    <w:rsid w:val="00CB36F3"/>
    <w:rsid w:val="00CB37C0"/>
    <w:rsid w:val="00CB3B4A"/>
    <w:rsid w:val="00CB3E6F"/>
    <w:rsid w:val="00CB43A6"/>
    <w:rsid w:val="00CB4A30"/>
    <w:rsid w:val="00CB4A71"/>
    <w:rsid w:val="00CB4D98"/>
    <w:rsid w:val="00CB4E91"/>
    <w:rsid w:val="00CB53FA"/>
    <w:rsid w:val="00CB54DD"/>
    <w:rsid w:val="00CB569A"/>
    <w:rsid w:val="00CB57AA"/>
    <w:rsid w:val="00CB59A8"/>
    <w:rsid w:val="00CB6094"/>
    <w:rsid w:val="00CB6B2C"/>
    <w:rsid w:val="00CB6C57"/>
    <w:rsid w:val="00CB6C86"/>
    <w:rsid w:val="00CB721E"/>
    <w:rsid w:val="00CB75C1"/>
    <w:rsid w:val="00CB75E8"/>
    <w:rsid w:val="00CB79B6"/>
    <w:rsid w:val="00CB7B95"/>
    <w:rsid w:val="00CB7F08"/>
    <w:rsid w:val="00CB7FD2"/>
    <w:rsid w:val="00CC0025"/>
    <w:rsid w:val="00CC02DA"/>
    <w:rsid w:val="00CC08DD"/>
    <w:rsid w:val="00CC0D18"/>
    <w:rsid w:val="00CC1172"/>
    <w:rsid w:val="00CC1DC2"/>
    <w:rsid w:val="00CC27BE"/>
    <w:rsid w:val="00CC29FF"/>
    <w:rsid w:val="00CC2AE8"/>
    <w:rsid w:val="00CC32CD"/>
    <w:rsid w:val="00CC3BF2"/>
    <w:rsid w:val="00CC40C8"/>
    <w:rsid w:val="00CC45E7"/>
    <w:rsid w:val="00CC4AE1"/>
    <w:rsid w:val="00CC56B0"/>
    <w:rsid w:val="00CC5E6D"/>
    <w:rsid w:val="00CC5FFA"/>
    <w:rsid w:val="00CC6221"/>
    <w:rsid w:val="00CC62DB"/>
    <w:rsid w:val="00CC65C3"/>
    <w:rsid w:val="00CC68A9"/>
    <w:rsid w:val="00CC6AFD"/>
    <w:rsid w:val="00CC6B46"/>
    <w:rsid w:val="00CC7500"/>
    <w:rsid w:val="00CC7C81"/>
    <w:rsid w:val="00CC7CBF"/>
    <w:rsid w:val="00CC7D02"/>
    <w:rsid w:val="00CD00A5"/>
    <w:rsid w:val="00CD00B8"/>
    <w:rsid w:val="00CD0950"/>
    <w:rsid w:val="00CD1677"/>
    <w:rsid w:val="00CD19F1"/>
    <w:rsid w:val="00CD1AE6"/>
    <w:rsid w:val="00CD1CDB"/>
    <w:rsid w:val="00CD219F"/>
    <w:rsid w:val="00CD2480"/>
    <w:rsid w:val="00CD2536"/>
    <w:rsid w:val="00CD275E"/>
    <w:rsid w:val="00CD2799"/>
    <w:rsid w:val="00CD28E1"/>
    <w:rsid w:val="00CD2D2C"/>
    <w:rsid w:val="00CD2D2D"/>
    <w:rsid w:val="00CD38E0"/>
    <w:rsid w:val="00CD3917"/>
    <w:rsid w:val="00CD3B70"/>
    <w:rsid w:val="00CD3C1B"/>
    <w:rsid w:val="00CD4215"/>
    <w:rsid w:val="00CD42BD"/>
    <w:rsid w:val="00CD4544"/>
    <w:rsid w:val="00CD45C6"/>
    <w:rsid w:val="00CD47FB"/>
    <w:rsid w:val="00CD4B09"/>
    <w:rsid w:val="00CD5646"/>
    <w:rsid w:val="00CD6562"/>
    <w:rsid w:val="00CD65AC"/>
    <w:rsid w:val="00CD6665"/>
    <w:rsid w:val="00CD6781"/>
    <w:rsid w:val="00CD6DA3"/>
    <w:rsid w:val="00CD6F59"/>
    <w:rsid w:val="00CD7195"/>
    <w:rsid w:val="00CD7505"/>
    <w:rsid w:val="00CD763E"/>
    <w:rsid w:val="00CD765B"/>
    <w:rsid w:val="00CD76B0"/>
    <w:rsid w:val="00CD76EF"/>
    <w:rsid w:val="00CD77F7"/>
    <w:rsid w:val="00CD77FB"/>
    <w:rsid w:val="00CD78FD"/>
    <w:rsid w:val="00CE07C1"/>
    <w:rsid w:val="00CE0EEF"/>
    <w:rsid w:val="00CE147F"/>
    <w:rsid w:val="00CE16B0"/>
    <w:rsid w:val="00CE1D30"/>
    <w:rsid w:val="00CE1DF8"/>
    <w:rsid w:val="00CE22D4"/>
    <w:rsid w:val="00CE26CC"/>
    <w:rsid w:val="00CE2E87"/>
    <w:rsid w:val="00CE3029"/>
    <w:rsid w:val="00CE31FA"/>
    <w:rsid w:val="00CE3357"/>
    <w:rsid w:val="00CE3414"/>
    <w:rsid w:val="00CE3490"/>
    <w:rsid w:val="00CE359E"/>
    <w:rsid w:val="00CE3AB9"/>
    <w:rsid w:val="00CE3BA2"/>
    <w:rsid w:val="00CE420E"/>
    <w:rsid w:val="00CE4848"/>
    <w:rsid w:val="00CE4D20"/>
    <w:rsid w:val="00CE51E2"/>
    <w:rsid w:val="00CE530A"/>
    <w:rsid w:val="00CE533E"/>
    <w:rsid w:val="00CE5982"/>
    <w:rsid w:val="00CE5C29"/>
    <w:rsid w:val="00CE5E78"/>
    <w:rsid w:val="00CE617E"/>
    <w:rsid w:val="00CE6192"/>
    <w:rsid w:val="00CE620D"/>
    <w:rsid w:val="00CE68D7"/>
    <w:rsid w:val="00CE69CA"/>
    <w:rsid w:val="00CE6F99"/>
    <w:rsid w:val="00CE729F"/>
    <w:rsid w:val="00CE73E5"/>
    <w:rsid w:val="00CE78E5"/>
    <w:rsid w:val="00CE7943"/>
    <w:rsid w:val="00CE7CF3"/>
    <w:rsid w:val="00CE7E5D"/>
    <w:rsid w:val="00CE7FD8"/>
    <w:rsid w:val="00CF0B93"/>
    <w:rsid w:val="00CF0BE5"/>
    <w:rsid w:val="00CF0DED"/>
    <w:rsid w:val="00CF0F34"/>
    <w:rsid w:val="00CF0F7A"/>
    <w:rsid w:val="00CF13B6"/>
    <w:rsid w:val="00CF1509"/>
    <w:rsid w:val="00CF1612"/>
    <w:rsid w:val="00CF171C"/>
    <w:rsid w:val="00CF191B"/>
    <w:rsid w:val="00CF1C2A"/>
    <w:rsid w:val="00CF328C"/>
    <w:rsid w:val="00CF374C"/>
    <w:rsid w:val="00CF39CF"/>
    <w:rsid w:val="00CF3A30"/>
    <w:rsid w:val="00CF3DBB"/>
    <w:rsid w:val="00CF3E6D"/>
    <w:rsid w:val="00CF428E"/>
    <w:rsid w:val="00CF4561"/>
    <w:rsid w:val="00CF46C1"/>
    <w:rsid w:val="00CF49BA"/>
    <w:rsid w:val="00CF4FBF"/>
    <w:rsid w:val="00CF514B"/>
    <w:rsid w:val="00CF52ED"/>
    <w:rsid w:val="00CF5401"/>
    <w:rsid w:val="00CF552B"/>
    <w:rsid w:val="00CF5F0B"/>
    <w:rsid w:val="00CF6460"/>
    <w:rsid w:val="00CF6539"/>
    <w:rsid w:val="00CF6996"/>
    <w:rsid w:val="00CF6EDF"/>
    <w:rsid w:val="00CF724E"/>
    <w:rsid w:val="00CF73E8"/>
    <w:rsid w:val="00CF76EE"/>
    <w:rsid w:val="00CF7AC9"/>
    <w:rsid w:val="00D003B4"/>
    <w:rsid w:val="00D003F4"/>
    <w:rsid w:val="00D0064E"/>
    <w:rsid w:val="00D0115B"/>
    <w:rsid w:val="00D011FE"/>
    <w:rsid w:val="00D0132C"/>
    <w:rsid w:val="00D014FA"/>
    <w:rsid w:val="00D015E4"/>
    <w:rsid w:val="00D01890"/>
    <w:rsid w:val="00D018AA"/>
    <w:rsid w:val="00D01F19"/>
    <w:rsid w:val="00D02BF0"/>
    <w:rsid w:val="00D03214"/>
    <w:rsid w:val="00D0328C"/>
    <w:rsid w:val="00D03295"/>
    <w:rsid w:val="00D03828"/>
    <w:rsid w:val="00D03A7F"/>
    <w:rsid w:val="00D04218"/>
    <w:rsid w:val="00D042C4"/>
    <w:rsid w:val="00D0433B"/>
    <w:rsid w:val="00D043B7"/>
    <w:rsid w:val="00D04563"/>
    <w:rsid w:val="00D04606"/>
    <w:rsid w:val="00D049BB"/>
    <w:rsid w:val="00D050CC"/>
    <w:rsid w:val="00D051FC"/>
    <w:rsid w:val="00D057A8"/>
    <w:rsid w:val="00D05AB7"/>
    <w:rsid w:val="00D05E57"/>
    <w:rsid w:val="00D05F15"/>
    <w:rsid w:val="00D06687"/>
    <w:rsid w:val="00D0672E"/>
    <w:rsid w:val="00D06C5D"/>
    <w:rsid w:val="00D072D3"/>
    <w:rsid w:val="00D073D8"/>
    <w:rsid w:val="00D07492"/>
    <w:rsid w:val="00D07A1C"/>
    <w:rsid w:val="00D07D91"/>
    <w:rsid w:val="00D101FD"/>
    <w:rsid w:val="00D103A6"/>
    <w:rsid w:val="00D103DF"/>
    <w:rsid w:val="00D1084F"/>
    <w:rsid w:val="00D1093D"/>
    <w:rsid w:val="00D10A4A"/>
    <w:rsid w:val="00D1166C"/>
    <w:rsid w:val="00D11A95"/>
    <w:rsid w:val="00D11E27"/>
    <w:rsid w:val="00D11E39"/>
    <w:rsid w:val="00D11FB0"/>
    <w:rsid w:val="00D1332A"/>
    <w:rsid w:val="00D13799"/>
    <w:rsid w:val="00D13CD5"/>
    <w:rsid w:val="00D13D1C"/>
    <w:rsid w:val="00D142FE"/>
    <w:rsid w:val="00D15007"/>
    <w:rsid w:val="00D15133"/>
    <w:rsid w:val="00D152FD"/>
    <w:rsid w:val="00D154BC"/>
    <w:rsid w:val="00D165F6"/>
    <w:rsid w:val="00D168FA"/>
    <w:rsid w:val="00D16AA6"/>
    <w:rsid w:val="00D16F6A"/>
    <w:rsid w:val="00D17697"/>
    <w:rsid w:val="00D177EE"/>
    <w:rsid w:val="00D17E3E"/>
    <w:rsid w:val="00D17F33"/>
    <w:rsid w:val="00D2002D"/>
    <w:rsid w:val="00D20483"/>
    <w:rsid w:val="00D20985"/>
    <w:rsid w:val="00D20C52"/>
    <w:rsid w:val="00D21BEC"/>
    <w:rsid w:val="00D22165"/>
    <w:rsid w:val="00D2268B"/>
    <w:rsid w:val="00D2282D"/>
    <w:rsid w:val="00D22956"/>
    <w:rsid w:val="00D23023"/>
    <w:rsid w:val="00D2317A"/>
    <w:rsid w:val="00D23378"/>
    <w:rsid w:val="00D23444"/>
    <w:rsid w:val="00D234DF"/>
    <w:rsid w:val="00D2380F"/>
    <w:rsid w:val="00D23F8B"/>
    <w:rsid w:val="00D24885"/>
    <w:rsid w:val="00D24C8B"/>
    <w:rsid w:val="00D24FA3"/>
    <w:rsid w:val="00D25095"/>
    <w:rsid w:val="00D250AE"/>
    <w:rsid w:val="00D2511A"/>
    <w:rsid w:val="00D2587E"/>
    <w:rsid w:val="00D25FEF"/>
    <w:rsid w:val="00D26771"/>
    <w:rsid w:val="00D26B59"/>
    <w:rsid w:val="00D26BAB"/>
    <w:rsid w:val="00D27369"/>
    <w:rsid w:val="00D27C81"/>
    <w:rsid w:val="00D3005E"/>
    <w:rsid w:val="00D3018D"/>
    <w:rsid w:val="00D302F2"/>
    <w:rsid w:val="00D316F3"/>
    <w:rsid w:val="00D316FB"/>
    <w:rsid w:val="00D31772"/>
    <w:rsid w:val="00D31A02"/>
    <w:rsid w:val="00D31E6F"/>
    <w:rsid w:val="00D31E74"/>
    <w:rsid w:val="00D3229C"/>
    <w:rsid w:val="00D3290B"/>
    <w:rsid w:val="00D32E04"/>
    <w:rsid w:val="00D32F8B"/>
    <w:rsid w:val="00D32FE9"/>
    <w:rsid w:val="00D331CE"/>
    <w:rsid w:val="00D33311"/>
    <w:rsid w:val="00D338D6"/>
    <w:rsid w:val="00D33E2A"/>
    <w:rsid w:val="00D33F85"/>
    <w:rsid w:val="00D3484B"/>
    <w:rsid w:val="00D349AD"/>
    <w:rsid w:val="00D34A23"/>
    <w:rsid w:val="00D35242"/>
    <w:rsid w:val="00D35268"/>
    <w:rsid w:val="00D352D5"/>
    <w:rsid w:val="00D35CE8"/>
    <w:rsid w:val="00D35DE3"/>
    <w:rsid w:val="00D35F81"/>
    <w:rsid w:val="00D365C8"/>
    <w:rsid w:val="00D368E1"/>
    <w:rsid w:val="00D36A1F"/>
    <w:rsid w:val="00D36BCF"/>
    <w:rsid w:val="00D36E23"/>
    <w:rsid w:val="00D374DA"/>
    <w:rsid w:val="00D375D3"/>
    <w:rsid w:val="00D37C16"/>
    <w:rsid w:val="00D37D19"/>
    <w:rsid w:val="00D37DC6"/>
    <w:rsid w:val="00D401E6"/>
    <w:rsid w:val="00D4041D"/>
    <w:rsid w:val="00D40E56"/>
    <w:rsid w:val="00D40F65"/>
    <w:rsid w:val="00D4204A"/>
    <w:rsid w:val="00D42363"/>
    <w:rsid w:val="00D423FD"/>
    <w:rsid w:val="00D42746"/>
    <w:rsid w:val="00D42861"/>
    <w:rsid w:val="00D42F31"/>
    <w:rsid w:val="00D43207"/>
    <w:rsid w:val="00D434CB"/>
    <w:rsid w:val="00D43625"/>
    <w:rsid w:val="00D4397B"/>
    <w:rsid w:val="00D43982"/>
    <w:rsid w:val="00D43A54"/>
    <w:rsid w:val="00D442E7"/>
    <w:rsid w:val="00D44970"/>
    <w:rsid w:val="00D44D0B"/>
    <w:rsid w:val="00D44EC9"/>
    <w:rsid w:val="00D451BE"/>
    <w:rsid w:val="00D45616"/>
    <w:rsid w:val="00D45C6D"/>
    <w:rsid w:val="00D45D21"/>
    <w:rsid w:val="00D46A96"/>
    <w:rsid w:val="00D47092"/>
    <w:rsid w:val="00D4757D"/>
    <w:rsid w:val="00D47BC4"/>
    <w:rsid w:val="00D47D1E"/>
    <w:rsid w:val="00D47D95"/>
    <w:rsid w:val="00D50531"/>
    <w:rsid w:val="00D509BD"/>
    <w:rsid w:val="00D50C05"/>
    <w:rsid w:val="00D51009"/>
    <w:rsid w:val="00D5108E"/>
    <w:rsid w:val="00D5120B"/>
    <w:rsid w:val="00D51A1A"/>
    <w:rsid w:val="00D51E2C"/>
    <w:rsid w:val="00D52178"/>
    <w:rsid w:val="00D52506"/>
    <w:rsid w:val="00D529FA"/>
    <w:rsid w:val="00D52DAB"/>
    <w:rsid w:val="00D52F0F"/>
    <w:rsid w:val="00D53005"/>
    <w:rsid w:val="00D5332A"/>
    <w:rsid w:val="00D54430"/>
    <w:rsid w:val="00D54450"/>
    <w:rsid w:val="00D54881"/>
    <w:rsid w:val="00D54A1E"/>
    <w:rsid w:val="00D54CA9"/>
    <w:rsid w:val="00D552DA"/>
    <w:rsid w:val="00D55387"/>
    <w:rsid w:val="00D558C3"/>
    <w:rsid w:val="00D55944"/>
    <w:rsid w:val="00D55F5E"/>
    <w:rsid w:val="00D56A32"/>
    <w:rsid w:val="00D600A6"/>
    <w:rsid w:val="00D601C9"/>
    <w:rsid w:val="00D60301"/>
    <w:rsid w:val="00D6030F"/>
    <w:rsid w:val="00D60964"/>
    <w:rsid w:val="00D60C96"/>
    <w:rsid w:val="00D60EF3"/>
    <w:rsid w:val="00D61386"/>
    <w:rsid w:val="00D615DF"/>
    <w:rsid w:val="00D625F9"/>
    <w:rsid w:val="00D62940"/>
    <w:rsid w:val="00D62CE6"/>
    <w:rsid w:val="00D62D6D"/>
    <w:rsid w:val="00D62E2C"/>
    <w:rsid w:val="00D62EC7"/>
    <w:rsid w:val="00D62FA5"/>
    <w:rsid w:val="00D6307D"/>
    <w:rsid w:val="00D6314E"/>
    <w:rsid w:val="00D63663"/>
    <w:rsid w:val="00D63A43"/>
    <w:rsid w:val="00D64128"/>
    <w:rsid w:val="00D64A89"/>
    <w:rsid w:val="00D64DAA"/>
    <w:rsid w:val="00D64F78"/>
    <w:rsid w:val="00D650E6"/>
    <w:rsid w:val="00D65218"/>
    <w:rsid w:val="00D6538B"/>
    <w:rsid w:val="00D65CCB"/>
    <w:rsid w:val="00D6605A"/>
    <w:rsid w:val="00D6619D"/>
    <w:rsid w:val="00D665E0"/>
    <w:rsid w:val="00D665EE"/>
    <w:rsid w:val="00D6689B"/>
    <w:rsid w:val="00D674E2"/>
    <w:rsid w:val="00D67BF7"/>
    <w:rsid w:val="00D67FA3"/>
    <w:rsid w:val="00D7027F"/>
    <w:rsid w:val="00D707D2"/>
    <w:rsid w:val="00D7092A"/>
    <w:rsid w:val="00D70D08"/>
    <w:rsid w:val="00D70DDD"/>
    <w:rsid w:val="00D712F8"/>
    <w:rsid w:val="00D714F2"/>
    <w:rsid w:val="00D717B7"/>
    <w:rsid w:val="00D718A5"/>
    <w:rsid w:val="00D71FEE"/>
    <w:rsid w:val="00D7212F"/>
    <w:rsid w:val="00D723A7"/>
    <w:rsid w:val="00D723C3"/>
    <w:rsid w:val="00D728A8"/>
    <w:rsid w:val="00D72AC8"/>
    <w:rsid w:val="00D72C77"/>
    <w:rsid w:val="00D72DA8"/>
    <w:rsid w:val="00D73316"/>
    <w:rsid w:val="00D73E08"/>
    <w:rsid w:val="00D74008"/>
    <w:rsid w:val="00D741D5"/>
    <w:rsid w:val="00D753E6"/>
    <w:rsid w:val="00D75888"/>
    <w:rsid w:val="00D75DFE"/>
    <w:rsid w:val="00D75E98"/>
    <w:rsid w:val="00D7657F"/>
    <w:rsid w:val="00D76EE9"/>
    <w:rsid w:val="00D771F7"/>
    <w:rsid w:val="00D77A3C"/>
    <w:rsid w:val="00D77E52"/>
    <w:rsid w:val="00D80182"/>
    <w:rsid w:val="00D803E3"/>
    <w:rsid w:val="00D80522"/>
    <w:rsid w:val="00D80622"/>
    <w:rsid w:val="00D80A14"/>
    <w:rsid w:val="00D80D2F"/>
    <w:rsid w:val="00D80F03"/>
    <w:rsid w:val="00D8126B"/>
    <w:rsid w:val="00D81EDC"/>
    <w:rsid w:val="00D820D2"/>
    <w:rsid w:val="00D820F6"/>
    <w:rsid w:val="00D821D2"/>
    <w:rsid w:val="00D82675"/>
    <w:rsid w:val="00D82CE7"/>
    <w:rsid w:val="00D846A7"/>
    <w:rsid w:val="00D848D1"/>
    <w:rsid w:val="00D84AA4"/>
    <w:rsid w:val="00D84FA4"/>
    <w:rsid w:val="00D85257"/>
    <w:rsid w:val="00D85450"/>
    <w:rsid w:val="00D8553E"/>
    <w:rsid w:val="00D85CB1"/>
    <w:rsid w:val="00D86701"/>
    <w:rsid w:val="00D86884"/>
    <w:rsid w:val="00D86930"/>
    <w:rsid w:val="00D870A8"/>
    <w:rsid w:val="00D872B3"/>
    <w:rsid w:val="00D877FA"/>
    <w:rsid w:val="00D87D27"/>
    <w:rsid w:val="00D9019F"/>
    <w:rsid w:val="00D90251"/>
    <w:rsid w:val="00D90A8D"/>
    <w:rsid w:val="00D90CE7"/>
    <w:rsid w:val="00D915A2"/>
    <w:rsid w:val="00D91830"/>
    <w:rsid w:val="00D91950"/>
    <w:rsid w:val="00D91BAC"/>
    <w:rsid w:val="00D91C43"/>
    <w:rsid w:val="00D91F6C"/>
    <w:rsid w:val="00D924CF"/>
    <w:rsid w:val="00D930A1"/>
    <w:rsid w:val="00D931EC"/>
    <w:rsid w:val="00D934A8"/>
    <w:rsid w:val="00D9363B"/>
    <w:rsid w:val="00D946D9"/>
    <w:rsid w:val="00D947FD"/>
    <w:rsid w:val="00D94BA3"/>
    <w:rsid w:val="00D94C05"/>
    <w:rsid w:val="00D94E65"/>
    <w:rsid w:val="00D94F1A"/>
    <w:rsid w:val="00D95521"/>
    <w:rsid w:val="00D957C2"/>
    <w:rsid w:val="00D9585A"/>
    <w:rsid w:val="00D95D73"/>
    <w:rsid w:val="00D95E47"/>
    <w:rsid w:val="00D95EDA"/>
    <w:rsid w:val="00D969AB"/>
    <w:rsid w:val="00D96B6A"/>
    <w:rsid w:val="00D96BDC"/>
    <w:rsid w:val="00D96CD3"/>
    <w:rsid w:val="00D97477"/>
    <w:rsid w:val="00D97D43"/>
    <w:rsid w:val="00D97FCC"/>
    <w:rsid w:val="00DA0530"/>
    <w:rsid w:val="00DA0826"/>
    <w:rsid w:val="00DA0C08"/>
    <w:rsid w:val="00DA1024"/>
    <w:rsid w:val="00DA11BE"/>
    <w:rsid w:val="00DA1949"/>
    <w:rsid w:val="00DA1F2E"/>
    <w:rsid w:val="00DA1F44"/>
    <w:rsid w:val="00DA209C"/>
    <w:rsid w:val="00DA2578"/>
    <w:rsid w:val="00DA2700"/>
    <w:rsid w:val="00DA2CEC"/>
    <w:rsid w:val="00DA31A9"/>
    <w:rsid w:val="00DA3882"/>
    <w:rsid w:val="00DA3F30"/>
    <w:rsid w:val="00DA3F7E"/>
    <w:rsid w:val="00DA4742"/>
    <w:rsid w:val="00DA47BF"/>
    <w:rsid w:val="00DA48B2"/>
    <w:rsid w:val="00DA5304"/>
    <w:rsid w:val="00DA5BD5"/>
    <w:rsid w:val="00DA69EC"/>
    <w:rsid w:val="00DA705F"/>
    <w:rsid w:val="00DA7490"/>
    <w:rsid w:val="00DA755C"/>
    <w:rsid w:val="00DA75C2"/>
    <w:rsid w:val="00DA78BB"/>
    <w:rsid w:val="00DA7C3E"/>
    <w:rsid w:val="00DB00C6"/>
    <w:rsid w:val="00DB0919"/>
    <w:rsid w:val="00DB0D50"/>
    <w:rsid w:val="00DB1082"/>
    <w:rsid w:val="00DB1AE4"/>
    <w:rsid w:val="00DB1BF9"/>
    <w:rsid w:val="00DB1EE0"/>
    <w:rsid w:val="00DB2044"/>
    <w:rsid w:val="00DB2813"/>
    <w:rsid w:val="00DB2BA5"/>
    <w:rsid w:val="00DB2C33"/>
    <w:rsid w:val="00DB2DA9"/>
    <w:rsid w:val="00DB3100"/>
    <w:rsid w:val="00DB34AF"/>
    <w:rsid w:val="00DB3AAF"/>
    <w:rsid w:val="00DB4177"/>
    <w:rsid w:val="00DB45F5"/>
    <w:rsid w:val="00DB4B09"/>
    <w:rsid w:val="00DB4B68"/>
    <w:rsid w:val="00DB4CE9"/>
    <w:rsid w:val="00DB5271"/>
    <w:rsid w:val="00DB54D8"/>
    <w:rsid w:val="00DB572D"/>
    <w:rsid w:val="00DB5B1B"/>
    <w:rsid w:val="00DB5B69"/>
    <w:rsid w:val="00DB5BDE"/>
    <w:rsid w:val="00DB6342"/>
    <w:rsid w:val="00DB66A5"/>
    <w:rsid w:val="00DB6919"/>
    <w:rsid w:val="00DB6A45"/>
    <w:rsid w:val="00DB6EAB"/>
    <w:rsid w:val="00DB71B3"/>
    <w:rsid w:val="00DB751C"/>
    <w:rsid w:val="00DB78D6"/>
    <w:rsid w:val="00DB7A42"/>
    <w:rsid w:val="00DB7FE2"/>
    <w:rsid w:val="00DC0354"/>
    <w:rsid w:val="00DC09D6"/>
    <w:rsid w:val="00DC0A13"/>
    <w:rsid w:val="00DC0ADB"/>
    <w:rsid w:val="00DC0B4F"/>
    <w:rsid w:val="00DC12D2"/>
    <w:rsid w:val="00DC1318"/>
    <w:rsid w:val="00DC194B"/>
    <w:rsid w:val="00DC1A36"/>
    <w:rsid w:val="00DC1E3F"/>
    <w:rsid w:val="00DC1F79"/>
    <w:rsid w:val="00DC23A4"/>
    <w:rsid w:val="00DC268B"/>
    <w:rsid w:val="00DC29EE"/>
    <w:rsid w:val="00DC32FA"/>
    <w:rsid w:val="00DC3316"/>
    <w:rsid w:val="00DC3A38"/>
    <w:rsid w:val="00DC4177"/>
    <w:rsid w:val="00DC44C1"/>
    <w:rsid w:val="00DC4987"/>
    <w:rsid w:val="00DC4B4F"/>
    <w:rsid w:val="00DC4BA3"/>
    <w:rsid w:val="00DC530E"/>
    <w:rsid w:val="00DC6B42"/>
    <w:rsid w:val="00DC6DC0"/>
    <w:rsid w:val="00DC6E1F"/>
    <w:rsid w:val="00DC7387"/>
    <w:rsid w:val="00DC7A56"/>
    <w:rsid w:val="00DC7B9F"/>
    <w:rsid w:val="00DD0125"/>
    <w:rsid w:val="00DD0226"/>
    <w:rsid w:val="00DD040B"/>
    <w:rsid w:val="00DD04D2"/>
    <w:rsid w:val="00DD05FC"/>
    <w:rsid w:val="00DD09D8"/>
    <w:rsid w:val="00DD0B6F"/>
    <w:rsid w:val="00DD0F47"/>
    <w:rsid w:val="00DD11C2"/>
    <w:rsid w:val="00DD146D"/>
    <w:rsid w:val="00DD154C"/>
    <w:rsid w:val="00DD1A03"/>
    <w:rsid w:val="00DD1C2C"/>
    <w:rsid w:val="00DD1E33"/>
    <w:rsid w:val="00DD22FE"/>
    <w:rsid w:val="00DD2961"/>
    <w:rsid w:val="00DD2FEB"/>
    <w:rsid w:val="00DD315E"/>
    <w:rsid w:val="00DD3907"/>
    <w:rsid w:val="00DD4127"/>
    <w:rsid w:val="00DD41A6"/>
    <w:rsid w:val="00DD5021"/>
    <w:rsid w:val="00DD5B7A"/>
    <w:rsid w:val="00DD6214"/>
    <w:rsid w:val="00DD6B6C"/>
    <w:rsid w:val="00DD6BEA"/>
    <w:rsid w:val="00DD6D7A"/>
    <w:rsid w:val="00DD7140"/>
    <w:rsid w:val="00DD7244"/>
    <w:rsid w:val="00DD7349"/>
    <w:rsid w:val="00DD7402"/>
    <w:rsid w:val="00DD76E6"/>
    <w:rsid w:val="00DD7CD1"/>
    <w:rsid w:val="00DD7E17"/>
    <w:rsid w:val="00DD7ED8"/>
    <w:rsid w:val="00DE01CC"/>
    <w:rsid w:val="00DE053A"/>
    <w:rsid w:val="00DE0581"/>
    <w:rsid w:val="00DE121B"/>
    <w:rsid w:val="00DE1766"/>
    <w:rsid w:val="00DE185F"/>
    <w:rsid w:val="00DE267D"/>
    <w:rsid w:val="00DE298C"/>
    <w:rsid w:val="00DE2B6F"/>
    <w:rsid w:val="00DE2BBB"/>
    <w:rsid w:val="00DE2CCF"/>
    <w:rsid w:val="00DE2D3C"/>
    <w:rsid w:val="00DE31EA"/>
    <w:rsid w:val="00DE3C0F"/>
    <w:rsid w:val="00DE3EB3"/>
    <w:rsid w:val="00DE417B"/>
    <w:rsid w:val="00DE4CEE"/>
    <w:rsid w:val="00DE5714"/>
    <w:rsid w:val="00DE58D3"/>
    <w:rsid w:val="00DE60FE"/>
    <w:rsid w:val="00DE6509"/>
    <w:rsid w:val="00DE6610"/>
    <w:rsid w:val="00DE67D9"/>
    <w:rsid w:val="00DF016C"/>
    <w:rsid w:val="00DF084F"/>
    <w:rsid w:val="00DF0ED3"/>
    <w:rsid w:val="00DF11DD"/>
    <w:rsid w:val="00DF2031"/>
    <w:rsid w:val="00DF2BF4"/>
    <w:rsid w:val="00DF2D93"/>
    <w:rsid w:val="00DF300B"/>
    <w:rsid w:val="00DF330D"/>
    <w:rsid w:val="00DF3E48"/>
    <w:rsid w:val="00DF4028"/>
    <w:rsid w:val="00DF45DC"/>
    <w:rsid w:val="00DF4607"/>
    <w:rsid w:val="00DF47D1"/>
    <w:rsid w:val="00DF49F7"/>
    <w:rsid w:val="00DF4EEE"/>
    <w:rsid w:val="00DF53E1"/>
    <w:rsid w:val="00DF547E"/>
    <w:rsid w:val="00DF5AD5"/>
    <w:rsid w:val="00DF5E4F"/>
    <w:rsid w:val="00DF6001"/>
    <w:rsid w:val="00DF634E"/>
    <w:rsid w:val="00DF6B11"/>
    <w:rsid w:val="00DF6F46"/>
    <w:rsid w:val="00DF722C"/>
    <w:rsid w:val="00DF76F1"/>
    <w:rsid w:val="00DF777C"/>
    <w:rsid w:val="00DF7F77"/>
    <w:rsid w:val="00E00140"/>
    <w:rsid w:val="00E00564"/>
    <w:rsid w:val="00E00A17"/>
    <w:rsid w:val="00E00AB7"/>
    <w:rsid w:val="00E00DCD"/>
    <w:rsid w:val="00E010FE"/>
    <w:rsid w:val="00E01320"/>
    <w:rsid w:val="00E02465"/>
    <w:rsid w:val="00E02850"/>
    <w:rsid w:val="00E029C9"/>
    <w:rsid w:val="00E02A24"/>
    <w:rsid w:val="00E02AA9"/>
    <w:rsid w:val="00E02AC9"/>
    <w:rsid w:val="00E02C0F"/>
    <w:rsid w:val="00E02D75"/>
    <w:rsid w:val="00E0316D"/>
    <w:rsid w:val="00E0324C"/>
    <w:rsid w:val="00E036D9"/>
    <w:rsid w:val="00E036FE"/>
    <w:rsid w:val="00E039D8"/>
    <w:rsid w:val="00E03CAA"/>
    <w:rsid w:val="00E042BE"/>
    <w:rsid w:val="00E044C5"/>
    <w:rsid w:val="00E0487F"/>
    <w:rsid w:val="00E0497F"/>
    <w:rsid w:val="00E04A73"/>
    <w:rsid w:val="00E04C35"/>
    <w:rsid w:val="00E04DCD"/>
    <w:rsid w:val="00E05119"/>
    <w:rsid w:val="00E051E8"/>
    <w:rsid w:val="00E0557F"/>
    <w:rsid w:val="00E05B47"/>
    <w:rsid w:val="00E05C7B"/>
    <w:rsid w:val="00E05D92"/>
    <w:rsid w:val="00E05EEB"/>
    <w:rsid w:val="00E06528"/>
    <w:rsid w:val="00E065A8"/>
    <w:rsid w:val="00E065BF"/>
    <w:rsid w:val="00E065C0"/>
    <w:rsid w:val="00E06765"/>
    <w:rsid w:val="00E109AB"/>
    <w:rsid w:val="00E10C66"/>
    <w:rsid w:val="00E10C9E"/>
    <w:rsid w:val="00E10CD1"/>
    <w:rsid w:val="00E11031"/>
    <w:rsid w:val="00E1188F"/>
    <w:rsid w:val="00E11CF4"/>
    <w:rsid w:val="00E12217"/>
    <w:rsid w:val="00E1240F"/>
    <w:rsid w:val="00E12ABB"/>
    <w:rsid w:val="00E12B04"/>
    <w:rsid w:val="00E12D26"/>
    <w:rsid w:val="00E12E91"/>
    <w:rsid w:val="00E13900"/>
    <w:rsid w:val="00E141A7"/>
    <w:rsid w:val="00E1441F"/>
    <w:rsid w:val="00E146EB"/>
    <w:rsid w:val="00E14914"/>
    <w:rsid w:val="00E14B6E"/>
    <w:rsid w:val="00E14BDC"/>
    <w:rsid w:val="00E14BF6"/>
    <w:rsid w:val="00E15097"/>
    <w:rsid w:val="00E150C5"/>
    <w:rsid w:val="00E15219"/>
    <w:rsid w:val="00E159BB"/>
    <w:rsid w:val="00E15B05"/>
    <w:rsid w:val="00E15D3A"/>
    <w:rsid w:val="00E1640E"/>
    <w:rsid w:val="00E16946"/>
    <w:rsid w:val="00E16AEC"/>
    <w:rsid w:val="00E1722B"/>
    <w:rsid w:val="00E176AA"/>
    <w:rsid w:val="00E17958"/>
    <w:rsid w:val="00E17D05"/>
    <w:rsid w:val="00E17FF2"/>
    <w:rsid w:val="00E207D2"/>
    <w:rsid w:val="00E209F0"/>
    <w:rsid w:val="00E21868"/>
    <w:rsid w:val="00E21E9E"/>
    <w:rsid w:val="00E220B2"/>
    <w:rsid w:val="00E225F2"/>
    <w:rsid w:val="00E226B0"/>
    <w:rsid w:val="00E226C4"/>
    <w:rsid w:val="00E226CC"/>
    <w:rsid w:val="00E229E8"/>
    <w:rsid w:val="00E22EFA"/>
    <w:rsid w:val="00E22F1B"/>
    <w:rsid w:val="00E23BDA"/>
    <w:rsid w:val="00E23E22"/>
    <w:rsid w:val="00E24244"/>
    <w:rsid w:val="00E2453E"/>
    <w:rsid w:val="00E2502B"/>
    <w:rsid w:val="00E25034"/>
    <w:rsid w:val="00E2512C"/>
    <w:rsid w:val="00E25320"/>
    <w:rsid w:val="00E25C21"/>
    <w:rsid w:val="00E26198"/>
    <w:rsid w:val="00E261D6"/>
    <w:rsid w:val="00E262D5"/>
    <w:rsid w:val="00E26496"/>
    <w:rsid w:val="00E2651D"/>
    <w:rsid w:val="00E26830"/>
    <w:rsid w:val="00E269CE"/>
    <w:rsid w:val="00E2716F"/>
    <w:rsid w:val="00E27352"/>
    <w:rsid w:val="00E27704"/>
    <w:rsid w:val="00E2777D"/>
    <w:rsid w:val="00E27A91"/>
    <w:rsid w:val="00E27AF4"/>
    <w:rsid w:val="00E30078"/>
    <w:rsid w:val="00E311A5"/>
    <w:rsid w:val="00E312A4"/>
    <w:rsid w:val="00E31437"/>
    <w:rsid w:val="00E315CF"/>
    <w:rsid w:val="00E31FF0"/>
    <w:rsid w:val="00E329B1"/>
    <w:rsid w:val="00E33B4D"/>
    <w:rsid w:val="00E33B8D"/>
    <w:rsid w:val="00E33C46"/>
    <w:rsid w:val="00E33E23"/>
    <w:rsid w:val="00E33EA4"/>
    <w:rsid w:val="00E347AA"/>
    <w:rsid w:val="00E34A19"/>
    <w:rsid w:val="00E34E0B"/>
    <w:rsid w:val="00E34F34"/>
    <w:rsid w:val="00E350EE"/>
    <w:rsid w:val="00E353B6"/>
    <w:rsid w:val="00E356D2"/>
    <w:rsid w:val="00E35EA4"/>
    <w:rsid w:val="00E36209"/>
    <w:rsid w:val="00E36259"/>
    <w:rsid w:val="00E364B3"/>
    <w:rsid w:val="00E36CAA"/>
    <w:rsid w:val="00E36FD0"/>
    <w:rsid w:val="00E3765B"/>
    <w:rsid w:val="00E3780A"/>
    <w:rsid w:val="00E378BC"/>
    <w:rsid w:val="00E405C7"/>
    <w:rsid w:val="00E407CF"/>
    <w:rsid w:val="00E4137A"/>
    <w:rsid w:val="00E415DD"/>
    <w:rsid w:val="00E41CA5"/>
    <w:rsid w:val="00E41D26"/>
    <w:rsid w:val="00E42DDA"/>
    <w:rsid w:val="00E42E90"/>
    <w:rsid w:val="00E43217"/>
    <w:rsid w:val="00E432B6"/>
    <w:rsid w:val="00E434C9"/>
    <w:rsid w:val="00E43CC0"/>
    <w:rsid w:val="00E43F75"/>
    <w:rsid w:val="00E443C3"/>
    <w:rsid w:val="00E443E9"/>
    <w:rsid w:val="00E4475D"/>
    <w:rsid w:val="00E44952"/>
    <w:rsid w:val="00E44CB2"/>
    <w:rsid w:val="00E4504C"/>
    <w:rsid w:val="00E45B30"/>
    <w:rsid w:val="00E45FB2"/>
    <w:rsid w:val="00E460B2"/>
    <w:rsid w:val="00E46435"/>
    <w:rsid w:val="00E4649C"/>
    <w:rsid w:val="00E46C8F"/>
    <w:rsid w:val="00E476F6"/>
    <w:rsid w:val="00E50722"/>
    <w:rsid w:val="00E508B4"/>
    <w:rsid w:val="00E50A85"/>
    <w:rsid w:val="00E50B0E"/>
    <w:rsid w:val="00E50D70"/>
    <w:rsid w:val="00E51B3A"/>
    <w:rsid w:val="00E52534"/>
    <w:rsid w:val="00E531B3"/>
    <w:rsid w:val="00E536BF"/>
    <w:rsid w:val="00E53A9A"/>
    <w:rsid w:val="00E53D08"/>
    <w:rsid w:val="00E54225"/>
    <w:rsid w:val="00E54307"/>
    <w:rsid w:val="00E544C2"/>
    <w:rsid w:val="00E54F9B"/>
    <w:rsid w:val="00E553EC"/>
    <w:rsid w:val="00E55FDD"/>
    <w:rsid w:val="00E5616C"/>
    <w:rsid w:val="00E56876"/>
    <w:rsid w:val="00E56BDE"/>
    <w:rsid w:val="00E56D75"/>
    <w:rsid w:val="00E57B28"/>
    <w:rsid w:val="00E6032A"/>
    <w:rsid w:val="00E60486"/>
    <w:rsid w:val="00E60AD1"/>
    <w:rsid w:val="00E60E04"/>
    <w:rsid w:val="00E60F20"/>
    <w:rsid w:val="00E60F54"/>
    <w:rsid w:val="00E61256"/>
    <w:rsid w:val="00E6176F"/>
    <w:rsid w:val="00E61C2A"/>
    <w:rsid w:val="00E61DDC"/>
    <w:rsid w:val="00E61FB1"/>
    <w:rsid w:val="00E621AF"/>
    <w:rsid w:val="00E623B9"/>
    <w:rsid w:val="00E629D0"/>
    <w:rsid w:val="00E62DC0"/>
    <w:rsid w:val="00E62ED5"/>
    <w:rsid w:val="00E62FA6"/>
    <w:rsid w:val="00E632DF"/>
    <w:rsid w:val="00E63363"/>
    <w:rsid w:val="00E6336A"/>
    <w:rsid w:val="00E634AC"/>
    <w:rsid w:val="00E63526"/>
    <w:rsid w:val="00E637F3"/>
    <w:rsid w:val="00E64363"/>
    <w:rsid w:val="00E64727"/>
    <w:rsid w:val="00E64878"/>
    <w:rsid w:val="00E648CC"/>
    <w:rsid w:val="00E65803"/>
    <w:rsid w:val="00E65C79"/>
    <w:rsid w:val="00E65D5B"/>
    <w:rsid w:val="00E65F69"/>
    <w:rsid w:val="00E661A5"/>
    <w:rsid w:val="00E66C2F"/>
    <w:rsid w:val="00E66D9A"/>
    <w:rsid w:val="00E672DA"/>
    <w:rsid w:val="00E6735D"/>
    <w:rsid w:val="00E677C6"/>
    <w:rsid w:val="00E67AD9"/>
    <w:rsid w:val="00E67D23"/>
    <w:rsid w:val="00E7006F"/>
    <w:rsid w:val="00E701F5"/>
    <w:rsid w:val="00E70B8B"/>
    <w:rsid w:val="00E70BBB"/>
    <w:rsid w:val="00E70D56"/>
    <w:rsid w:val="00E70F6C"/>
    <w:rsid w:val="00E712B4"/>
    <w:rsid w:val="00E71521"/>
    <w:rsid w:val="00E71B71"/>
    <w:rsid w:val="00E725B8"/>
    <w:rsid w:val="00E7264E"/>
    <w:rsid w:val="00E72D05"/>
    <w:rsid w:val="00E72DF5"/>
    <w:rsid w:val="00E72EA4"/>
    <w:rsid w:val="00E73499"/>
    <w:rsid w:val="00E73AD5"/>
    <w:rsid w:val="00E73C67"/>
    <w:rsid w:val="00E73DCF"/>
    <w:rsid w:val="00E73EFA"/>
    <w:rsid w:val="00E741FB"/>
    <w:rsid w:val="00E74215"/>
    <w:rsid w:val="00E74325"/>
    <w:rsid w:val="00E74574"/>
    <w:rsid w:val="00E749C9"/>
    <w:rsid w:val="00E74B6D"/>
    <w:rsid w:val="00E74E46"/>
    <w:rsid w:val="00E750EA"/>
    <w:rsid w:val="00E75735"/>
    <w:rsid w:val="00E764C2"/>
    <w:rsid w:val="00E77983"/>
    <w:rsid w:val="00E77A5C"/>
    <w:rsid w:val="00E77C05"/>
    <w:rsid w:val="00E77D71"/>
    <w:rsid w:val="00E77FA7"/>
    <w:rsid w:val="00E80643"/>
    <w:rsid w:val="00E81551"/>
    <w:rsid w:val="00E819E0"/>
    <w:rsid w:val="00E82182"/>
    <w:rsid w:val="00E82838"/>
    <w:rsid w:val="00E82848"/>
    <w:rsid w:val="00E82A9F"/>
    <w:rsid w:val="00E82AF2"/>
    <w:rsid w:val="00E82C09"/>
    <w:rsid w:val="00E82E84"/>
    <w:rsid w:val="00E8349F"/>
    <w:rsid w:val="00E83556"/>
    <w:rsid w:val="00E83912"/>
    <w:rsid w:val="00E843EF"/>
    <w:rsid w:val="00E84792"/>
    <w:rsid w:val="00E848AA"/>
    <w:rsid w:val="00E84EA8"/>
    <w:rsid w:val="00E8572D"/>
    <w:rsid w:val="00E85E7B"/>
    <w:rsid w:val="00E86340"/>
    <w:rsid w:val="00E863D0"/>
    <w:rsid w:val="00E86512"/>
    <w:rsid w:val="00E86E8B"/>
    <w:rsid w:val="00E8708C"/>
    <w:rsid w:val="00E8710C"/>
    <w:rsid w:val="00E87131"/>
    <w:rsid w:val="00E87437"/>
    <w:rsid w:val="00E874A8"/>
    <w:rsid w:val="00E874CA"/>
    <w:rsid w:val="00E874EE"/>
    <w:rsid w:val="00E87CED"/>
    <w:rsid w:val="00E87D70"/>
    <w:rsid w:val="00E907C2"/>
    <w:rsid w:val="00E90867"/>
    <w:rsid w:val="00E90C63"/>
    <w:rsid w:val="00E9143C"/>
    <w:rsid w:val="00E91BFE"/>
    <w:rsid w:val="00E92453"/>
    <w:rsid w:val="00E92662"/>
    <w:rsid w:val="00E92AE0"/>
    <w:rsid w:val="00E92E0A"/>
    <w:rsid w:val="00E92F56"/>
    <w:rsid w:val="00E92FD0"/>
    <w:rsid w:val="00E9310A"/>
    <w:rsid w:val="00E9347C"/>
    <w:rsid w:val="00E93DC1"/>
    <w:rsid w:val="00E956DF"/>
    <w:rsid w:val="00E95DA6"/>
    <w:rsid w:val="00E95DCA"/>
    <w:rsid w:val="00E95F6D"/>
    <w:rsid w:val="00E96001"/>
    <w:rsid w:val="00E966FF"/>
    <w:rsid w:val="00E96AB3"/>
    <w:rsid w:val="00E96BCE"/>
    <w:rsid w:val="00E96D18"/>
    <w:rsid w:val="00E96EAA"/>
    <w:rsid w:val="00E96FB9"/>
    <w:rsid w:val="00E9769F"/>
    <w:rsid w:val="00E9789A"/>
    <w:rsid w:val="00EA0050"/>
    <w:rsid w:val="00EA07EF"/>
    <w:rsid w:val="00EA0934"/>
    <w:rsid w:val="00EA09B1"/>
    <w:rsid w:val="00EA0B9D"/>
    <w:rsid w:val="00EA0BF7"/>
    <w:rsid w:val="00EA0E6A"/>
    <w:rsid w:val="00EA0F27"/>
    <w:rsid w:val="00EA125F"/>
    <w:rsid w:val="00EA1341"/>
    <w:rsid w:val="00EA1347"/>
    <w:rsid w:val="00EA16D4"/>
    <w:rsid w:val="00EA174B"/>
    <w:rsid w:val="00EA1FDE"/>
    <w:rsid w:val="00EA23BE"/>
    <w:rsid w:val="00EA25ED"/>
    <w:rsid w:val="00EA2759"/>
    <w:rsid w:val="00EA2BD7"/>
    <w:rsid w:val="00EA302F"/>
    <w:rsid w:val="00EA3D6E"/>
    <w:rsid w:val="00EA457B"/>
    <w:rsid w:val="00EA45CE"/>
    <w:rsid w:val="00EA4917"/>
    <w:rsid w:val="00EA4930"/>
    <w:rsid w:val="00EA596C"/>
    <w:rsid w:val="00EA5B5C"/>
    <w:rsid w:val="00EA5F6D"/>
    <w:rsid w:val="00EA67DB"/>
    <w:rsid w:val="00EA69BE"/>
    <w:rsid w:val="00EA6A0F"/>
    <w:rsid w:val="00EA6AED"/>
    <w:rsid w:val="00EA7131"/>
    <w:rsid w:val="00EA7454"/>
    <w:rsid w:val="00EA7878"/>
    <w:rsid w:val="00EA7C4D"/>
    <w:rsid w:val="00EA7F68"/>
    <w:rsid w:val="00EB0E26"/>
    <w:rsid w:val="00EB0E7C"/>
    <w:rsid w:val="00EB1138"/>
    <w:rsid w:val="00EB1A6A"/>
    <w:rsid w:val="00EB1DAD"/>
    <w:rsid w:val="00EB2C2F"/>
    <w:rsid w:val="00EB300D"/>
    <w:rsid w:val="00EB3420"/>
    <w:rsid w:val="00EB3BF2"/>
    <w:rsid w:val="00EB4028"/>
    <w:rsid w:val="00EB510F"/>
    <w:rsid w:val="00EB5852"/>
    <w:rsid w:val="00EB5DD2"/>
    <w:rsid w:val="00EB649D"/>
    <w:rsid w:val="00EB6CD8"/>
    <w:rsid w:val="00EB6F58"/>
    <w:rsid w:val="00EB72E0"/>
    <w:rsid w:val="00EB73AD"/>
    <w:rsid w:val="00EB7494"/>
    <w:rsid w:val="00EB76DB"/>
    <w:rsid w:val="00EB78CE"/>
    <w:rsid w:val="00EB78D6"/>
    <w:rsid w:val="00EB7C82"/>
    <w:rsid w:val="00EB7DE1"/>
    <w:rsid w:val="00EC02CF"/>
    <w:rsid w:val="00EC09DF"/>
    <w:rsid w:val="00EC0AC7"/>
    <w:rsid w:val="00EC116B"/>
    <w:rsid w:val="00EC13C6"/>
    <w:rsid w:val="00EC14B7"/>
    <w:rsid w:val="00EC16FD"/>
    <w:rsid w:val="00EC1CB7"/>
    <w:rsid w:val="00EC201C"/>
    <w:rsid w:val="00EC28AE"/>
    <w:rsid w:val="00EC28B8"/>
    <w:rsid w:val="00EC2A78"/>
    <w:rsid w:val="00EC2BF8"/>
    <w:rsid w:val="00EC319D"/>
    <w:rsid w:val="00EC32DA"/>
    <w:rsid w:val="00EC38FA"/>
    <w:rsid w:val="00EC3BE9"/>
    <w:rsid w:val="00EC3D9F"/>
    <w:rsid w:val="00EC3ECA"/>
    <w:rsid w:val="00EC419E"/>
    <w:rsid w:val="00EC43BE"/>
    <w:rsid w:val="00EC54C7"/>
    <w:rsid w:val="00EC59A4"/>
    <w:rsid w:val="00EC5E2D"/>
    <w:rsid w:val="00EC62A6"/>
    <w:rsid w:val="00EC65A8"/>
    <w:rsid w:val="00EC65CB"/>
    <w:rsid w:val="00EC66B8"/>
    <w:rsid w:val="00EC6805"/>
    <w:rsid w:val="00EC680D"/>
    <w:rsid w:val="00EC6D39"/>
    <w:rsid w:val="00EC71D5"/>
    <w:rsid w:val="00EC7255"/>
    <w:rsid w:val="00EC7496"/>
    <w:rsid w:val="00EC76B3"/>
    <w:rsid w:val="00EC7835"/>
    <w:rsid w:val="00EC7905"/>
    <w:rsid w:val="00EC7D0A"/>
    <w:rsid w:val="00EC7F26"/>
    <w:rsid w:val="00ED0401"/>
    <w:rsid w:val="00ED0533"/>
    <w:rsid w:val="00ED05D9"/>
    <w:rsid w:val="00ED0C7A"/>
    <w:rsid w:val="00ED0D53"/>
    <w:rsid w:val="00ED0DA3"/>
    <w:rsid w:val="00ED123B"/>
    <w:rsid w:val="00ED14C0"/>
    <w:rsid w:val="00ED1981"/>
    <w:rsid w:val="00ED1CAB"/>
    <w:rsid w:val="00ED27F3"/>
    <w:rsid w:val="00ED280F"/>
    <w:rsid w:val="00ED2C74"/>
    <w:rsid w:val="00ED38C4"/>
    <w:rsid w:val="00ED38E7"/>
    <w:rsid w:val="00ED3955"/>
    <w:rsid w:val="00ED3D26"/>
    <w:rsid w:val="00ED3EA5"/>
    <w:rsid w:val="00ED45BE"/>
    <w:rsid w:val="00ED45F1"/>
    <w:rsid w:val="00ED4BD4"/>
    <w:rsid w:val="00ED5151"/>
    <w:rsid w:val="00ED5BF8"/>
    <w:rsid w:val="00ED5C45"/>
    <w:rsid w:val="00ED6D4A"/>
    <w:rsid w:val="00ED7B66"/>
    <w:rsid w:val="00EE031F"/>
    <w:rsid w:val="00EE051A"/>
    <w:rsid w:val="00EE0F4E"/>
    <w:rsid w:val="00EE1494"/>
    <w:rsid w:val="00EE18C6"/>
    <w:rsid w:val="00EE1979"/>
    <w:rsid w:val="00EE19EE"/>
    <w:rsid w:val="00EE1BF1"/>
    <w:rsid w:val="00EE1C7A"/>
    <w:rsid w:val="00EE1D92"/>
    <w:rsid w:val="00EE1F31"/>
    <w:rsid w:val="00EE2363"/>
    <w:rsid w:val="00EE23AC"/>
    <w:rsid w:val="00EE23CE"/>
    <w:rsid w:val="00EE2542"/>
    <w:rsid w:val="00EE25A9"/>
    <w:rsid w:val="00EE27F4"/>
    <w:rsid w:val="00EE2A6A"/>
    <w:rsid w:val="00EE2AE0"/>
    <w:rsid w:val="00EE2D70"/>
    <w:rsid w:val="00EE37A2"/>
    <w:rsid w:val="00EE3998"/>
    <w:rsid w:val="00EE3DA1"/>
    <w:rsid w:val="00EE4756"/>
    <w:rsid w:val="00EE48E2"/>
    <w:rsid w:val="00EE77B9"/>
    <w:rsid w:val="00EE790D"/>
    <w:rsid w:val="00EE7943"/>
    <w:rsid w:val="00EF07D7"/>
    <w:rsid w:val="00EF1721"/>
    <w:rsid w:val="00EF1919"/>
    <w:rsid w:val="00EF1AC5"/>
    <w:rsid w:val="00EF1ADD"/>
    <w:rsid w:val="00EF21BA"/>
    <w:rsid w:val="00EF253E"/>
    <w:rsid w:val="00EF27F5"/>
    <w:rsid w:val="00EF2FCA"/>
    <w:rsid w:val="00EF33F6"/>
    <w:rsid w:val="00EF3882"/>
    <w:rsid w:val="00EF438C"/>
    <w:rsid w:val="00EF43D2"/>
    <w:rsid w:val="00EF44F3"/>
    <w:rsid w:val="00EF47EC"/>
    <w:rsid w:val="00EF48E7"/>
    <w:rsid w:val="00EF4FBD"/>
    <w:rsid w:val="00EF524F"/>
    <w:rsid w:val="00EF5680"/>
    <w:rsid w:val="00EF5D18"/>
    <w:rsid w:val="00EF6C20"/>
    <w:rsid w:val="00EF7431"/>
    <w:rsid w:val="00EF7639"/>
    <w:rsid w:val="00EF7C74"/>
    <w:rsid w:val="00F001FB"/>
    <w:rsid w:val="00F00218"/>
    <w:rsid w:val="00F00299"/>
    <w:rsid w:val="00F00484"/>
    <w:rsid w:val="00F004C3"/>
    <w:rsid w:val="00F00F43"/>
    <w:rsid w:val="00F0162F"/>
    <w:rsid w:val="00F0206F"/>
    <w:rsid w:val="00F021FF"/>
    <w:rsid w:val="00F023D8"/>
    <w:rsid w:val="00F026D7"/>
    <w:rsid w:val="00F028B0"/>
    <w:rsid w:val="00F0297A"/>
    <w:rsid w:val="00F0334F"/>
    <w:rsid w:val="00F037B9"/>
    <w:rsid w:val="00F03D5E"/>
    <w:rsid w:val="00F03D99"/>
    <w:rsid w:val="00F04128"/>
    <w:rsid w:val="00F04256"/>
    <w:rsid w:val="00F04328"/>
    <w:rsid w:val="00F045C3"/>
    <w:rsid w:val="00F0476C"/>
    <w:rsid w:val="00F049F1"/>
    <w:rsid w:val="00F04D35"/>
    <w:rsid w:val="00F04DE3"/>
    <w:rsid w:val="00F05183"/>
    <w:rsid w:val="00F05676"/>
    <w:rsid w:val="00F0646A"/>
    <w:rsid w:val="00F0688F"/>
    <w:rsid w:val="00F06BEB"/>
    <w:rsid w:val="00F06EB2"/>
    <w:rsid w:val="00F07453"/>
    <w:rsid w:val="00F077E5"/>
    <w:rsid w:val="00F106F6"/>
    <w:rsid w:val="00F10AF7"/>
    <w:rsid w:val="00F10B1D"/>
    <w:rsid w:val="00F10D2B"/>
    <w:rsid w:val="00F11375"/>
    <w:rsid w:val="00F117AF"/>
    <w:rsid w:val="00F12377"/>
    <w:rsid w:val="00F12421"/>
    <w:rsid w:val="00F12D10"/>
    <w:rsid w:val="00F12D8C"/>
    <w:rsid w:val="00F13564"/>
    <w:rsid w:val="00F13694"/>
    <w:rsid w:val="00F138F0"/>
    <w:rsid w:val="00F13CD8"/>
    <w:rsid w:val="00F13FD9"/>
    <w:rsid w:val="00F1507A"/>
    <w:rsid w:val="00F154F1"/>
    <w:rsid w:val="00F1577C"/>
    <w:rsid w:val="00F158AA"/>
    <w:rsid w:val="00F158FB"/>
    <w:rsid w:val="00F1655E"/>
    <w:rsid w:val="00F16AFB"/>
    <w:rsid w:val="00F16CEB"/>
    <w:rsid w:val="00F17191"/>
    <w:rsid w:val="00F174DF"/>
    <w:rsid w:val="00F1765A"/>
    <w:rsid w:val="00F179C1"/>
    <w:rsid w:val="00F17C8D"/>
    <w:rsid w:val="00F203AE"/>
    <w:rsid w:val="00F208A2"/>
    <w:rsid w:val="00F20E98"/>
    <w:rsid w:val="00F21FE6"/>
    <w:rsid w:val="00F224C3"/>
    <w:rsid w:val="00F22BE5"/>
    <w:rsid w:val="00F22DC8"/>
    <w:rsid w:val="00F23048"/>
    <w:rsid w:val="00F232C3"/>
    <w:rsid w:val="00F234E9"/>
    <w:rsid w:val="00F234FE"/>
    <w:rsid w:val="00F23AB0"/>
    <w:rsid w:val="00F24BB7"/>
    <w:rsid w:val="00F24BB8"/>
    <w:rsid w:val="00F2519D"/>
    <w:rsid w:val="00F252F9"/>
    <w:rsid w:val="00F260ED"/>
    <w:rsid w:val="00F26329"/>
    <w:rsid w:val="00F26402"/>
    <w:rsid w:val="00F2654F"/>
    <w:rsid w:val="00F26887"/>
    <w:rsid w:val="00F26B52"/>
    <w:rsid w:val="00F27097"/>
    <w:rsid w:val="00F270E9"/>
    <w:rsid w:val="00F27101"/>
    <w:rsid w:val="00F27BD8"/>
    <w:rsid w:val="00F27C32"/>
    <w:rsid w:val="00F27D64"/>
    <w:rsid w:val="00F300C3"/>
    <w:rsid w:val="00F3121E"/>
    <w:rsid w:val="00F31BB0"/>
    <w:rsid w:val="00F31FBF"/>
    <w:rsid w:val="00F3200F"/>
    <w:rsid w:val="00F3211C"/>
    <w:rsid w:val="00F323B2"/>
    <w:rsid w:val="00F32524"/>
    <w:rsid w:val="00F32790"/>
    <w:rsid w:val="00F32AD4"/>
    <w:rsid w:val="00F32AE7"/>
    <w:rsid w:val="00F32C6D"/>
    <w:rsid w:val="00F32DFB"/>
    <w:rsid w:val="00F33037"/>
    <w:rsid w:val="00F334A9"/>
    <w:rsid w:val="00F336D1"/>
    <w:rsid w:val="00F340FB"/>
    <w:rsid w:val="00F341F1"/>
    <w:rsid w:val="00F35347"/>
    <w:rsid w:val="00F354B2"/>
    <w:rsid w:val="00F3554E"/>
    <w:rsid w:val="00F35601"/>
    <w:rsid w:val="00F35615"/>
    <w:rsid w:val="00F3594D"/>
    <w:rsid w:val="00F35BE0"/>
    <w:rsid w:val="00F35C9E"/>
    <w:rsid w:val="00F35D2F"/>
    <w:rsid w:val="00F35EB1"/>
    <w:rsid w:val="00F362B0"/>
    <w:rsid w:val="00F3680C"/>
    <w:rsid w:val="00F36B1D"/>
    <w:rsid w:val="00F37731"/>
    <w:rsid w:val="00F37D5F"/>
    <w:rsid w:val="00F37EF4"/>
    <w:rsid w:val="00F40288"/>
    <w:rsid w:val="00F40378"/>
    <w:rsid w:val="00F40637"/>
    <w:rsid w:val="00F40AA1"/>
    <w:rsid w:val="00F40F3B"/>
    <w:rsid w:val="00F41003"/>
    <w:rsid w:val="00F422C6"/>
    <w:rsid w:val="00F423D2"/>
    <w:rsid w:val="00F425A6"/>
    <w:rsid w:val="00F4300B"/>
    <w:rsid w:val="00F432F8"/>
    <w:rsid w:val="00F437AB"/>
    <w:rsid w:val="00F43869"/>
    <w:rsid w:val="00F4433E"/>
    <w:rsid w:val="00F44C5F"/>
    <w:rsid w:val="00F44D27"/>
    <w:rsid w:val="00F44E68"/>
    <w:rsid w:val="00F45297"/>
    <w:rsid w:val="00F45424"/>
    <w:rsid w:val="00F455CA"/>
    <w:rsid w:val="00F457A1"/>
    <w:rsid w:val="00F459AA"/>
    <w:rsid w:val="00F4644A"/>
    <w:rsid w:val="00F46897"/>
    <w:rsid w:val="00F46DB4"/>
    <w:rsid w:val="00F470FF"/>
    <w:rsid w:val="00F47259"/>
    <w:rsid w:val="00F47674"/>
    <w:rsid w:val="00F476E6"/>
    <w:rsid w:val="00F47881"/>
    <w:rsid w:val="00F50D9D"/>
    <w:rsid w:val="00F50E36"/>
    <w:rsid w:val="00F50EBE"/>
    <w:rsid w:val="00F514DD"/>
    <w:rsid w:val="00F51BEA"/>
    <w:rsid w:val="00F51CCF"/>
    <w:rsid w:val="00F525FA"/>
    <w:rsid w:val="00F52D13"/>
    <w:rsid w:val="00F5300B"/>
    <w:rsid w:val="00F5323B"/>
    <w:rsid w:val="00F53E0B"/>
    <w:rsid w:val="00F54614"/>
    <w:rsid w:val="00F54B5A"/>
    <w:rsid w:val="00F54BB1"/>
    <w:rsid w:val="00F55148"/>
    <w:rsid w:val="00F55209"/>
    <w:rsid w:val="00F56549"/>
    <w:rsid w:val="00F56AA0"/>
    <w:rsid w:val="00F56FAC"/>
    <w:rsid w:val="00F6022D"/>
    <w:rsid w:val="00F60268"/>
    <w:rsid w:val="00F60658"/>
    <w:rsid w:val="00F606F8"/>
    <w:rsid w:val="00F60AB4"/>
    <w:rsid w:val="00F60C00"/>
    <w:rsid w:val="00F61007"/>
    <w:rsid w:val="00F611F6"/>
    <w:rsid w:val="00F61375"/>
    <w:rsid w:val="00F616A5"/>
    <w:rsid w:val="00F616D4"/>
    <w:rsid w:val="00F619B5"/>
    <w:rsid w:val="00F61F82"/>
    <w:rsid w:val="00F62007"/>
    <w:rsid w:val="00F6236A"/>
    <w:rsid w:val="00F627EB"/>
    <w:rsid w:val="00F62B8D"/>
    <w:rsid w:val="00F62BC7"/>
    <w:rsid w:val="00F63272"/>
    <w:rsid w:val="00F6346E"/>
    <w:rsid w:val="00F63BDD"/>
    <w:rsid w:val="00F63C27"/>
    <w:rsid w:val="00F63FB4"/>
    <w:rsid w:val="00F6409D"/>
    <w:rsid w:val="00F650B4"/>
    <w:rsid w:val="00F65E0D"/>
    <w:rsid w:val="00F6636D"/>
    <w:rsid w:val="00F664C1"/>
    <w:rsid w:val="00F666B8"/>
    <w:rsid w:val="00F667BA"/>
    <w:rsid w:val="00F66924"/>
    <w:rsid w:val="00F6698E"/>
    <w:rsid w:val="00F66A0D"/>
    <w:rsid w:val="00F66D4C"/>
    <w:rsid w:val="00F66F32"/>
    <w:rsid w:val="00F672E0"/>
    <w:rsid w:val="00F67B22"/>
    <w:rsid w:val="00F67E4F"/>
    <w:rsid w:val="00F67E96"/>
    <w:rsid w:val="00F7013B"/>
    <w:rsid w:val="00F702EF"/>
    <w:rsid w:val="00F70520"/>
    <w:rsid w:val="00F706E0"/>
    <w:rsid w:val="00F70B21"/>
    <w:rsid w:val="00F70BFF"/>
    <w:rsid w:val="00F70EB2"/>
    <w:rsid w:val="00F70F0B"/>
    <w:rsid w:val="00F71095"/>
    <w:rsid w:val="00F71BE3"/>
    <w:rsid w:val="00F71DA6"/>
    <w:rsid w:val="00F71DED"/>
    <w:rsid w:val="00F71E20"/>
    <w:rsid w:val="00F72148"/>
    <w:rsid w:val="00F72752"/>
    <w:rsid w:val="00F72B09"/>
    <w:rsid w:val="00F72BD4"/>
    <w:rsid w:val="00F72CAF"/>
    <w:rsid w:val="00F739E6"/>
    <w:rsid w:val="00F73B6D"/>
    <w:rsid w:val="00F73C89"/>
    <w:rsid w:val="00F73D7C"/>
    <w:rsid w:val="00F74A19"/>
    <w:rsid w:val="00F74A1C"/>
    <w:rsid w:val="00F74AC3"/>
    <w:rsid w:val="00F74C96"/>
    <w:rsid w:val="00F74FB2"/>
    <w:rsid w:val="00F75129"/>
    <w:rsid w:val="00F752CA"/>
    <w:rsid w:val="00F75C97"/>
    <w:rsid w:val="00F763ED"/>
    <w:rsid w:val="00F765FF"/>
    <w:rsid w:val="00F767A6"/>
    <w:rsid w:val="00F76A68"/>
    <w:rsid w:val="00F76F65"/>
    <w:rsid w:val="00F7705B"/>
    <w:rsid w:val="00F77093"/>
    <w:rsid w:val="00F775D3"/>
    <w:rsid w:val="00F776EA"/>
    <w:rsid w:val="00F77823"/>
    <w:rsid w:val="00F77BEC"/>
    <w:rsid w:val="00F8028C"/>
    <w:rsid w:val="00F8043A"/>
    <w:rsid w:val="00F813AB"/>
    <w:rsid w:val="00F815F1"/>
    <w:rsid w:val="00F81F21"/>
    <w:rsid w:val="00F8208C"/>
    <w:rsid w:val="00F82453"/>
    <w:rsid w:val="00F827C8"/>
    <w:rsid w:val="00F82A76"/>
    <w:rsid w:val="00F82B28"/>
    <w:rsid w:val="00F82C55"/>
    <w:rsid w:val="00F82F6C"/>
    <w:rsid w:val="00F830F8"/>
    <w:rsid w:val="00F831E3"/>
    <w:rsid w:val="00F83483"/>
    <w:rsid w:val="00F835AE"/>
    <w:rsid w:val="00F83D1F"/>
    <w:rsid w:val="00F83D61"/>
    <w:rsid w:val="00F83F3D"/>
    <w:rsid w:val="00F84303"/>
    <w:rsid w:val="00F8432E"/>
    <w:rsid w:val="00F849F2"/>
    <w:rsid w:val="00F84B2D"/>
    <w:rsid w:val="00F84BB1"/>
    <w:rsid w:val="00F85002"/>
    <w:rsid w:val="00F855FD"/>
    <w:rsid w:val="00F85D1E"/>
    <w:rsid w:val="00F862D0"/>
    <w:rsid w:val="00F86786"/>
    <w:rsid w:val="00F8698F"/>
    <w:rsid w:val="00F86C5F"/>
    <w:rsid w:val="00F86C77"/>
    <w:rsid w:val="00F86C8D"/>
    <w:rsid w:val="00F870FB"/>
    <w:rsid w:val="00F87242"/>
    <w:rsid w:val="00F8781D"/>
    <w:rsid w:val="00F87CAC"/>
    <w:rsid w:val="00F90568"/>
    <w:rsid w:val="00F906D9"/>
    <w:rsid w:val="00F90868"/>
    <w:rsid w:val="00F9086B"/>
    <w:rsid w:val="00F90EE9"/>
    <w:rsid w:val="00F9107C"/>
    <w:rsid w:val="00F9142C"/>
    <w:rsid w:val="00F91649"/>
    <w:rsid w:val="00F91657"/>
    <w:rsid w:val="00F91C22"/>
    <w:rsid w:val="00F91D1A"/>
    <w:rsid w:val="00F9206A"/>
    <w:rsid w:val="00F92463"/>
    <w:rsid w:val="00F92894"/>
    <w:rsid w:val="00F92D19"/>
    <w:rsid w:val="00F9319B"/>
    <w:rsid w:val="00F9324D"/>
    <w:rsid w:val="00F93C47"/>
    <w:rsid w:val="00F93D1D"/>
    <w:rsid w:val="00F9419F"/>
    <w:rsid w:val="00F94263"/>
    <w:rsid w:val="00F9462A"/>
    <w:rsid w:val="00F94708"/>
    <w:rsid w:val="00F94B52"/>
    <w:rsid w:val="00F94C38"/>
    <w:rsid w:val="00F95031"/>
    <w:rsid w:val="00F95860"/>
    <w:rsid w:val="00F9586E"/>
    <w:rsid w:val="00F958DE"/>
    <w:rsid w:val="00F96331"/>
    <w:rsid w:val="00F969D6"/>
    <w:rsid w:val="00F96DBB"/>
    <w:rsid w:val="00F97650"/>
    <w:rsid w:val="00F97F0F"/>
    <w:rsid w:val="00F97FC6"/>
    <w:rsid w:val="00FA02B6"/>
    <w:rsid w:val="00FA0312"/>
    <w:rsid w:val="00FA0546"/>
    <w:rsid w:val="00FA0614"/>
    <w:rsid w:val="00FA0A73"/>
    <w:rsid w:val="00FA0D35"/>
    <w:rsid w:val="00FA0D71"/>
    <w:rsid w:val="00FA1523"/>
    <w:rsid w:val="00FA1897"/>
    <w:rsid w:val="00FA1E0F"/>
    <w:rsid w:val="00FA2243"/>
    <w:rsid w:val="00FA226D"/>
    <w:rsid w:val="00FA2677"/>
    <w:rsid w:val="00FA2949"/>
    <w:rsid w:val="00FA2BB8"/>
    <w:rsid w:val="00FA30AE"/>
    <w:rsid w:val="00FA3650"/>
    <w:rsid w:val="00FA3783"/>
    <w:rsid w:val="00FA39DA"/>
    <w:rsid w:val="00FA3AE1"/>
    <w:rsid w:val="00FA3B39"/>
    <w:rsid w:val="00FA3FA3"/>
    <w:rsid w:val="00FA42E8"/>
    <w:rsid w:val="00FA4E28"/>
    <w:rsid w:val="00FA57C8"/>
    <w:rsid w:val="00FA5B0B"/>
    <w:rsid w:val="00FA5EE2"/>
    <w:rsid w:val="00FA5FD3"/>
    <w:rsid w:val="00FA699C"/>
    <w:rsid w:val="00FA6CEE"/>
    <w:rsid w:val="00FA6D2A"/>
    <w:rsid w:val="00FA6E64"/>
    <w:rsid w:val="00FA6F16"/>
    <w:rsid w:val="00FA73B1"/>
    <w:rsid w:val="00FA744A"/>
    <w:rsid w:val="00FA78DA"/>
    <w:rsid w:val="00FA7D47"/>
    <w:rsid w:val="00FA7E17"/>
    <w:rsid w:val="00FA7EA3"/>
    <w:rsid w:val="00FB120D"/>
    <w:rsid w:val="00FB17DE"/>
    <w:rsid w:val="00FB183D"/>
    <w:rsid w:val="00FB1957"/>
    <w:rsid w:val="00FB2128"/>
    <w:rsid w:val="00FB25C8"/>
    <w:rsid w:val="00FB26C6"/>
    <w:rsid w:val="00FB2D3C"/>
    <w:rsid w:val="00FB2D7D"/>
    <w:rsid w:val="00FB3845"/>
    <w:rsid w:val="00FB3C28"/>
    <w:rsid w:val="00FB3C48"/>
    <w:rsid w:val="00FB3C79"/>
    <w:rsid w:val="00FB3E00"/>
    <w:rsid w:val="00FB3EA4"/>
    <w:rsid w:val="00FB3F3B"/>
    <w:rsid w:val="00FB3FBD"/>
    <w:rsid w:val="00FB41E0"/>
    <w:rsid w:val="00FB45EF"/>
    <w:rsid w:val="00FB46FC"/>
    <w:rsid w:val="00FB48A8"/>
    <w:rsid w:val="00FB4A58"/>
    <w:rsid w:val="00FB4C9C"/>
    <w:rsid w:val="00FB4F02"/>
    <w:rsid w:val="00FB50F3"/>
    <w:rsid w:val="00FB58EC"/>
    <w:rsid w:val="00FB59BD"/>
    <w:rsid w:val="00FB59E5"/>
    <w:rsid w:val="00FB5DB5"/>
    <w:rsid w:val="00FB611B"/>
    <w:rsid w:val="00FB64E8"/>
    <w:rsid w:val="00FB6613"/>
    <w:rsid w:val="00FB6697"/>
    <w:rsid w:val="00FB6721"/>
    <w:rsid w:val="00FB7371"/>
    <w:rsid w:val="00FC0B58"/>
    <w:rsid w:val="00FC0E1E"/>
    <w:rsid w:val="00FC1068"/>
    <w:rsid w:val="00FC132A"/>
    <w:rsid w:val="00FC1351"/>
    <w:rsid w:val="00FC1874"/>
    <w:rsid w:val="00FC1AC0"/>
    <w:rsid w:val="00FC20BA"/>
    <w:rsid w:val="00FC2A0E"/>
    <w:rsid w:val="00FC2A17"/>
    <w:rsid w:val="00FC2DF9"/>
    <w:rsid w:val="00FC2FF9"/>
    <w:rsid w:val="00FC3565"/>
    <w:rsid w:val="00FC3940"/>
    <w:rsid w:val="00FC3AD2"/>
    <w:rsid w:val="00FC3E06"/>
    <w:rsid w:val="00FC4039"/>
    <w:rsid w:val="00FC4247"/>
    <w:rsid w:val="00FC45C2"/>
    <w:rsid w:val="00FC464A"/>
    <w:rsid w:val="00FC46B3"/>
    <w:rsid w:val="00FC46DE"/>
    <w:rsid w:val="00FC4AA9"/>
    <w:rsid w:val="00FC4FE5"/>
    <w:rsid w:val="00FC5417"/>
    <w:rsid w:val="00FC60E8"/>
    <w:rsid w:val="00FC65B2"/>
    <w:rsid w:val="00FC6A9D"/>
    <w:rsid w:val="00FC6D68"/>
    <w:rsid w:val="00FC7C69"/>
    <w:rsid w:val="00FC7F54"/>
    <w:rsid w:val="00FD0409"/>
    <w:rsid w:val="00FD0628"/>
    <w:rsid w:val="00FD07F5"/>
    <w:rsid w:val="00FD0B87"/>
    <w:rsid w:val="00FD0D28"/>
    <w:rsid w:val="00FD0DC2"/>
    <w:rsid w:val="00FD10D4"/>
    <w:rsid w:val="00FD1395"/>
    <w:rsid w:val="00FD170F"/>
    <w:rsid w:val="00FD1BDD"/>
    <w:rsid w:val="00FD20A3"/>
    <w:rsid w:val="00FD262B"/>
    <w:rsid w:val="00FD2830"/>
    <w:rsid w:val="00FD28F6"/>
    <w:rsid w:val="00FD2929"/>
    <w:rsid w:val="00FD2DC4"/>
    <w:rsid w:val="00FD3A94"/>
    <w:rsid w:val="00FD3E78"/>
    <w:rsid w:val="00FD42C5"/>
    <w:rsid w:val="00FD4CA2"/>
    <w:rsid w:val="00FD4E76"/>
    <w:rsid w:val="00FD51C0"/>
    <w:rsid w:val="00FD57DF"/>
    <w:rsid w:val="00FD58F5"/>
    <w:rsid w:val="00FD5E73"/>
    <w:rsid w:val="00FD5E8F"/>
    <w:rsid w:val="00FD5F4E"/>
    <w:rsid w:val="00FD680B"/>
    <w:rsid w:val="00FD6CA3"/>
    <w:rsid w:val="00FD704C"/>
    <w:rsid w:val="00FD77E3"/>
    <w:rsid w:val="00FD796D"/>
    <w:rsid w:val="00FD7A9D"/>
    <w:rsid w:val="00FE0197"/>
    <w:rsid w:val="00FE05E4"/>
    <w:rsid w:val="00FE0747"/>
    <w:rsid w:val="00FE0AFA"/>
    <w:rsid w:val="00FE11EC"/>
    <w:rsid w:val="00FE176E"/>
    <w:rsid w:val="00FE181F"/>
    <w:rsid w:val="00FE1FB2"/>
    <w:rsid w:val="00FE265F"/>
    <w:rsid w:val="00FE2967"/>
    <w:rsid w:val="00FE2A80"/>
    <w:rsid w:val="00FE3212"/>
    <w:rsid w:val="00FE3979"/>
    <w:rsid w:val="00FE4062"/>
    <w:rsid w:val="00FE4ADF"/>
    <w:rsid w:val="00FE55FA"/>
    <w:rsid w:val="00FE56D0"/>
    <w:rsid w:val="00FE5F66"/>
    <w:rsid w:val="00FE60B7"/>
    <w:rsid w:val="00FE621A"/>
    <w:rsid w:val="00FE6E09"/>
    <w:rsid w:val="00FE713C"/>
    <w:rsid w:val="00FE74DE"/>
    <w:rsid w:val="00FE76F8"/>
    <w:rsid w:val="00FF0137"/>
    <w:rsid w:val="00FF01DC"/>
    <w:rsid w:val="00FF0258"/>
    <w:rsid w:val="00FF027C"/>
    <w:rsid w:val="00FF0952"/>
    <w:rsid w:val="00FF0B87"/>
    <w:rsid w:val="00FF0DC6"/>
    <w:rsid w:val="00FF0E4F"/>
    <w:rsid w:val="00FF1571"/>
    <w:rsid w:val="00FF19BC"/>
    <w:rsid w:val="00FF1AA2"/>
    <w:rsid w:val="00FF22C4"/>
    <w:rsid w:val="00FF2CF6"/>
    <w:rsid w:val="00FF31E6"/>
    <w:rsid w:val="00FF33BD"/>
    <w:rsid w:val="00FF3714"/>
    <w:rsid w:val="00FF37B1"/>
    <w:rsid w:val="00FF4305"/>
    <w:rsid w:val="00FF484E"/>
    <w:rsid w:val="00FF49A0"/>
    <w:rsid w:val="00FF49E4"/>
    <w:rsid w:val="00FF4E81"/>
    <w:rsid w:val="00FF50A7"/>
    <w:rsid w:val="00FF50B7"/>
    <w:rsid w:val="00FF54FB"/>
    <w:rsid w:val="00FF5586"/>
    <w:rsid w:val="00FF5DB7"/>
    <w:rsid w:val="00FF6617"/>
    <w:rsid w:val="00FF6663"/>
    <w:rsid w:val="00FF6D2C"/>
    <w:rsid w:val="00FF6E23"/>
    <w:rsid w:val="00FF6EA6"/>
    <w:rsid w:val="00FF6F59"/>
    <w:rsid w:val="00FF718A"/>
    <w:rsid w:val="00FF7530"/>
    <w:rsid w:val="00FF75F7"/>
    <w:rsid w:val="00FF79E7"/>
    <w:rsid w:val="00FF7D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89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reference" w:uiPriority="12"/>
    <w:lsdException w:name="endnote text" w:uiPriority="12"/>
    <w:lsdException w:name="Title" w:qFormat="1"/>
    <w:lsdException w:name="Default Paragraph Font" w:uiPriority="1"/>
    <w:lsdException w:name="Body Text" w:qFormat="1"/>
    <w:lsdException w:name="Subtitle" w:qFormat="1"/>
    <w:lsdException w:name="Hyperlink" w:uiPriority="99"/>
    <w:lsdException w:name="FollowedHyperlink" w:uiPriority="16"/>
    <w:lsdException w:name="Strong" w:qFormat="1"/>
    <w:lsdException w:name="Emphasis" w:qFormat="1"/>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725B8"/>
    <w:rPr>
      <w:sz w:val="24"/>
      <w:szCs w:val="24"/>
    </w:rPr>
  </w:style>
  <w:style w:type="paragraph" w:styleId="Heading1">
    <w:name w:val="heading 1"/>
    <w:basedOn w:val="BodyText"/>
    <w:next w:val="BodyText"/>
    <w:link w:val="Heading1Char"/>
    <w:rsid w:val="00E725B8"/>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E725B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725B8"/>
    <w:pPr>
      <w:spacing w:before="560" w:line="320" w:lineRule="exact"/>
      <w:ind w:left="0" w:firstLine="0"/>
      <w:outlineLvl w:val="2"/>
    </w:pPr>
    <w:rPr>
      <w:sz w:val="26"/>
    </w:rPr>
  </w:style>
  <w:style w:type="paragraph" w:styleId="Heading4">
    <w:name w:val="heading 4"/>
    <w:basedOn w:val="Heading3"/>
    <w:next w:val="BodyText"/>
    <w:link w:val="Heading4Char"/>
    <w:qFormat/>
    <w:rsid w:val="00E725B8"/>
    <w:pPr>
      <w:spacing w:before="480"/>
      <w:outlineLvl w:val="3"/>
    </w:pPr>
    <w:rPr>
      <w:b w:val="0"/>
      <w:sz w:val="24"/>
    </w:rPr>
  </w:style>
  <w:style w:type="paragraph" w:styleId="Heading5">
    <w:name w:val="heading 5"/>
    <w:basedOn w:val="Heading4"/>
    <w:next w:val="BodyText"/>
    <w:link w:val="Heading5Char"/>
    <w:qFormat/>
    <w:rsid w:val="00E725B8"/>
    <w:pPr>
      <w:outlineLvl w:val="4"/>
    </w:pPr>
    <w:rPr>
      <w:i/>
      <w:sz w:val="22"/>
    </w:rPr>
  </w:style>
  <w:style w:type="paragraph" w:styleId="Heading6">
    <w:name w:val="heading 6"/>
    <w:basedOn w:val="BodyText"/>
    <w:next w:val="BodyText"/>
    <w:link w:val="Heading6Char"/>
    <w:rsid w:val="00E725B8"/>
    <w:pPr>
      <w:spacing w:after="60"/>
      <w:jc w:val="left"/>
      <w:outlineLvl w:val="5"/>
    </w:pPr>
    <w:rPr>
      <w:i/>
      <w:sz w:val="22"/>
    </w:rPr>
  </w:style>
  <w:style w:type="paragraph" w:styleId="Heading7">
    <w:name w:val="heading 7"/>
    <w:basedOn w:val="BodyText"/>
    <w:next w:val="BodyText"/>
    <w:rsid w:val="00E725B8"/>
    <w:pPr>
      <w:spacing w:after="60" w:line="240" w:lineRule="auto"/>
      <w:jc w:val="left"/>
      <w:outlineLvl w:val="6"/>
    </w:pPr>
    <w:rPr>
      <w:rFonts w:ascii="Arial" w:hAnsi="Arial"/>
      <w:sz w:val="20"/>
    </w:rPr>
  </w:style>
  <w:style w:type="paragraph" w:styleId="Heading8">
    <w:name w:val="heading 8"/>
    <w:basedOn w:val="BodyText"/>
    <w:next w:val="BodyText"/>
    <w:rsid w:val="00E725B8"/>
    <w:pPr>
      <w:spacing w:after="60" w:line="240" w:lineRule="auto"/>
      <w:jc w:val="left"/>
      <w:outlineLvl w:val="7"/>
    </w:pPr>
    <w:rPr>
      <w:rFonts w:ascii="Arial" w:hAnsi="Arial"/>
      <w:i/>
      <w:sz w:val="20"/>
    </w:rPr>
  </w:style>
  <w:style w:type="paragraph" w:styleId="Heading9">
    <w:name w:val="heading 9"/>
    <w:basedOn w:val="BodyText"/>
    <w:next w:val="BodyText"/>
    <w:rsid w:val="00E725B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725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25B8"/>
  </w:style>
  <w:style w:type="paragraph" w:styleId="BodyText">
    <w:name w:val="Body Text"/>
    <w:link w:val="BodyTextChar"/>
    <w:qFormat/>
    <w:rsid w:val="00E725B8"/>
    <w:pPr>
      <w:spacing w:before="240" w:line="300" w:lineRule="atLeast"/>
      <w:jc w:val="both"/>
    </w:pPr>
    <w:rPr>
      <w:sz w:val="24"/>
    </w:rPr>
  </w:style>
  <w:style w:type="paragraph" w:customStyle="1" w:styleId="Chapter">
    <w:name w:val="Chapter"/>
    <w:basedOn w:val="Heading1"/>
    <w:next w:val="BodyText"/>
    <w:link w:val="ChapterChar"/>
    <w:semiHidden/>
    <w:rsid w:val="00E725B8"/>
    <w:pPr>
      <w:ind w:left="0" w:firstLine="0"/>
      <w:outlineLvl w:val="9"/>
    </w:pPr>
  </w:style>
  <w:style w:type="paragraph" w:customStyle="1" w:styleId="SequenceInfo">
    <w:name w:val="Sequence Info"/>
    <w:basedOn w:val="BodyText"/>
    <w:semiHidden/>
    <w:rsid w:val="00E725B8"/>
    <w:rPr>
      <w:vanish/>
      <w:sz w:val="16"/>
    </w:rPr>
  </w:style>
  <w:style w:type="paragraph" w:customStyle="1" w:styleId="InformationRequestBullet">
    <w:name w:val="Information Request Bullet"/>
    <w:basedOn w:val="ListBullet"/>
    <w:next w:val="BodyText"/>
    <w:rsid w:val="00E725B8"/>
    <w:pPr>
      <w:numPr>
        <w:numId w:val="13"/>
      </w:numPr>
      <w:spacing w:before="80" w:line="280" w:lineRule="atLeast"/>
      <w:ind w:left="357" w:hanging="357"/>
    </w:pPr>
    <w:rPr>
      <w:rFonts w:ascii="Arial" w:hAnsi="Arial"/>
      <w:i/>
      <w:sz w:val="22"/>
    </w:rPr>
  </w:style>
  <w:style w:type="paragraph" w:customStyle="1" w:styleId="InformationRequest">
    <w:name w:val="Information Request"/>
    <w:basedOn w:val="Finding"/>
    <w:next w:val="BodyText"/>
    <w:rsid w:val="00E725B8"/>
    <w:rPr>
      <w:i/>
    </w:rPr>
  </w:style>
  <w:style w:type="paragraph" w:customStyle="1" w:styleId="Abbreviation">
    <w:name w:val="Abbreviation"/>
    <w:basedOn w:val="BodyText"/>
    <w:rsid w:val="00E725B8"/>
    <w:pPr>
      <w:spacing w:before="120"/>
      <w:ind w:left="2381" w:hanging="2381"/>
      <w:jc w:val="left"/>
    </w:pPr>
  </w:style>
  <w:style w:type="paragraph" w:customStyle="1" w:styleId="Box">
    <w:name w:val="Box"/>
    <w:basedOn w:val="BodyText"/>
    <w:link w:val="BoxChar"/>
    <w:qFormat/>
    <w:rsid w:val="00E725B8"/>
    <w:pPr>
      <w:keepNext/>
      <w:spacing w:before="120" w:line="260" w:lineRule="atLeast"/>
    </w:pPr>
    <w:rPr>
      <w:rFonts w:ascii="Arial" w:hAnsi="Arial"/>
      <w:sz w:val="20"/>
    </w:rPr>
  </w:style>
  <w:style w:type="paragraph" w:customStyle="1" w:styleId="QuoteBullet">
    <w:name w:val="Quote Bullet"/>
    <w:basedOn w:val="Quote"/>
    <w:rsid w:val="00E725B8"/>
    <w:pPr>
      <w:numPr>
        <w:numId w:val="9"/>
      </w:numPr>
    </w:pPr>
  </w:style>
  <w:style w:type="paragraph" w:customStyle="1" w:styleId="BoxListBullet">
    <w:name w:val="Box List Bullet"/>
    <w:basedOn w:val="BodyText"/>
    <w:link w:val="BoxListBulletChar"/>
    <w:rsid w:val="00E725B8"/>
    <w:pPr>
      <w:keepNext/>
      <w:numPr>
        <w:numId w:val="4"/>
      </w:numPr>
      <w:spacing w:before="100" w:line="260" w:lineRule="atLeast"/>
    </w:pPr>
    <w:rPr>
      <w:rFonts w:ascii="Arial" w:hAnsi="Arial"/>
      <w:sz w:val="20"/>
    </w:rPr>
  </w:style>
  <w:style w:type="paragraph" w:customStyle="1" w:styleId="BoxListBullet2">
    <w:name w:val="Box List Bullet 2"/>
    <w:basedOn w:val="BoxListBullet"/>
    <w:rsid w:val="00E725B8"/>
    <w:pPr>
      <w:numPr>
        <w:numId w:val="1"/>
      </w:numPr>
      <w:ind w:left="568" w:hanging="284"/>
    </w:pPr>
  </w:style>
  <w:style w:type="paragraph" w:customStyle="1" w:styleId="BoxListNumber">
    <w:name w:val="Box List Number"/>
    <w:basedOn w:val="BodyText"/>
    <w:link w:val="BoxListNumberChar"/>
    <w:rsid w:val="00E725B8"/>
    <w:pPr>
      <w:keepNext/>
      <w:numPr>
        <w:numId w:val="11"/>
      </w:numPr>
      <w:spacing w:before="100" w:line="260" w:lineRule="atLeast"/>
    </w:pPr>
    <w:rPr>
      <w:rFonts w:ascii="Arial" w:hAnsi="Arial"/>
      <w:sz w:val="20"/>
    </w:rPr>
  </w:style>
  <w:style w:type="paragraph" w:customStyle="1" w:styleId="BoxListNumber2">
    <w:name w:val="Box List Number 2"/>
    <w:basedOn w:val="BoxListNumber"/>
    <w:link w:val="BoxListNumber2Char"/>
    <w:rsid w:val="00E725B8"/>
    <w:pPr>
      <w:numPr>
        <w:ilvl w:val="1"/>
      </w:numPr>
      <w:ind w:left="681" w:hanging="397"/>
    </w:pPr>
  </w:style>
  <w:style w:type="paragraph" w:customStyle="1" w:styleId="BoxQuote">
    <w:name w:val="Box Quote"/>
    <w:basedOn w:val="BodyText"/>
    <w:next w:val="Box"/>
    <w:qFormat/>
    <w:rsid w:val="00E725B8"/>
    <w:pPr>
      <w:keepNext/>
      <w:spacing w:before="60" w:line="240" w:lineRule="exact"/>
      <w:ind w:left="284"/>
    </w:pPr>
    <w:rPr>
      <w:rFonts w:ascii="Arial" w:hAnsi="Arial"/>
      <w:sz w:val="18"/>
    </w:rPr>
  </w:style>
  <w:style w:type="paragraph" w:customStyle="1" w:styleId="BoxSource">
    <w:name w:val="Box Source"/>
    <w:basedOn w:val="Source"/>
    <w:next w:val="BodyText"/>
    <w:rsid w:val="00E725B8"/>
    <w:pPr>
      <w:spacing w:before="120"/>
    </w:pPr>
  </w:style>
  <w:style w:type="paragraph" w:styleId="Footer">
    <w:name w:val="footer"/>
    <w:basedOn w:val="BodyText"/>
    <w:link w:val="FooterChar"/>
    <w:rsid w:val="00E725B8"/>
    <w:pPr>
      <w:spacing w:before="80" w:line="200" w:lineRule="exact"/>
      <w:ind w:right="6"/>
      <w:jc w:val="left"/>
    </w:pPr>
    <w:rPr>
      <w:rFonts w:ascii="Arial" w:hAnsi="Arial"/>
      <w:caps/>
      <w:spacing w:val="-4"/>
      <w:sz w:val="16"/>
    </w:rPr>
  </w:style>
  <w:style w:type="paragraph" w:customStyle="1" w:styleId="BoxSubtitle">
    <w:name w:val="Box Subtitle"/>
    <w:basedOn w:val="BoxTitle"/>
    <w:next w:val="Normal"/>
    <w:rsid w:val="00E725B8"/>
    <w:pPr>
      <w:spacing w:after="80" w:line="200" w:lineRule="exact"/>
      <w:ind w:firstLine="0"/>
    </w:pPr>
    <w:rPr>
      <w:b w:val="0"/>
      <w:sz w:val="20"/>
    </w:rPr>
  </w:style>
  <w:style w:type="paragraph" w:customStyle="1" w:styleId="BoxTitle">
    <w:name w:val="Box Title"/>
    <w:basedOn w:val="Caption"/>
    <w:next w:val="BoxSubtitle"/>
    <w:link w:val="BoxTitleChar"/>
    <w:rsid w:val="00E725B8"/>
    <w:pPr>
      <w:spacing w:before="120" w:after="0"/>
    </w:pPr>
  </w:style>
  <w:style w:type="paragraph" w:styleId="Caption">
    <w:name w:val="caption"/>
    <w:basedOn w:val="Normal"/>
    <w:next w:val="BodyText"/>
    <w:link w:val="CaptionChar"/>
    <w:rsid w:val="00E725B8"/>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E725B8"/>
    <w:pPr>
      <w:spacing w:line="280" w:lineRule="atLeast"/>
      <w:ind w:left="907"/>
    </w:pPr>
    <w:rPr>
      <w:rFonts w:ascii="Arial" w:hAnsi="Arial"/>
      <w:b/>
      <w:sz w:val="20"/>
    </w:rPr>
  </w:style>
  <w:style w:type="character" w:customStyle="1" w:styleId="DocumentInfo">
    <w:name w:val="Document Info"/>
    <w:basedOn w:val="DefaultParagraphFont"/>
    <w:semiHidden/>
    <w:rsid w:val="00E725B8"/>
    <w:rPr>
      <w:rFonts w:ascii="Arial" w:hAnsi="Arial"/>
      <w:sz w:val="14"/>
    </w:rPr>
  </w:style>
  <w:style w:type="character" w:customStyle="1" w:styleId="FooterChar">
    <w:name w:val="Footer Char"/>
    <w:basedOn w:val="BodyTextChar"/>
    <w:link w:val="Footer"/>
    <w:rsid w:val="00E725B8"/>
    <w:rPr>
      <w:rFonts w:ascii="Arial" w:hAnsi="Arial"/>
      <w:caps/>
      <w:spacing w:val="-4"/>
      <w:sz w:val="16"/>
    </w:rPr>
  </w:style>
  <w:style w:type="character" w:customStyle="1" w:styleId="DraftingNote">
    <w:name w:val="Drafting Note"/>
    <w:basedOn w:val="DefaultParagraphFont"/>
    <w:rsid w:val="00E725B8"/>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link w:val="FigureChar"/>
    <w:rsid w:val="00E725B8"/>
    <w:pPr>
      <w:keepNext/>
      <w:spacing w:before="120" w:after="120" w:line="240" w:lineRule="atLeast"/>
      <w:jc w:val="center"/>
    </w:pPr>
  </w:style>
  <w:style w:type="paragraph" w:customStyle="1" w:styleId="FigureTitle">
    <w:name w:val="Figure Title"/>
    <w:basedOn w:val="Caption"/>
    <w:next w:val="Subtitle"/>
    <w:link w:val="FigureTitleChar"/>
    <w:rsid w:val="00E725B8"/>
    <w:pPr>
      <w:spacing w:before="120"/>
    </w:pPr>
  </w:style>
  <w:style w:type="paragraph" w:styleId="Subtitle">
    <w:name w:val="Subtitle"/>
    <w:basedOn w:val="Caption"/>
    <w:link w:val="SubtitleChar"/>
    <w:qFormat/>
    <w:rsid w:val="00E725B8"/>
    <w:pPr>
      <w:spacing w:before="0" w:line="200" w:lineRule="exact"/>
      <w:ind w:firstLine="0"/>
    </w:pPr>
    <w:rPr>
      <w:b w:val="0"/>
      <w:sz w:val="20"/>
    </w:rPr>
  </w:style>
  <w:style w:type="paragraph" w:customStyle="1" w:styleId="Finding">
    <w:name w:val="Finding"/>
    <w:basedOn w:val="BodyText"/>
    <w:rsid w:val="00E725B8"/>
    <w:pPr>
      <w:keepLines/>
      <w:spacing w:before="120" w:line="280" w:lineRule="atLeast"/>
    </w:pPr>
    <w:rPr>
      <w:rFonts w:ascii="Arial" w:hAnsi="Arial"/>
      <w:sz w:val="22"/>
    </w:rPr>
  </w:style>
  <w:style w:type="paragraph" w:customStyle="1" w:styleId="FindingBullet">
    <w:name w:val="Finding Bullet"/>
    <w:basedOn w:val="Finding"/>
    <w:rsid w:val="00E725B8"/>
    <w:pPr>
      <w:numPr>
        <w:numId w:val="5"/>
      </w:numPr>
      <w:spacing w:before="80"/>
    </w:pPr>
  </w:style>
  <w:style w:type="paragraph" w:customStyle="1" w:styleId="HeaderEven">
    <w:name w:val="Header Even"/>
    <w:basedOn w:val="Header"/>
    <w:semiHidden/>
    <w:rsid w:val="00E725B8"/>
  </w:style>
  <w:style w:type="paragraph" w:customStyle="1" w:styleId="FindingTitle">
    <w:name w:val="Finding Title"/>
    <w:basedOn w:val="RecTitle"/>
    <w:next w:val="Finding"/>
    <w:rsid w:val="00E725B8"/>
  </w:style>
  <w:style w:type="paragraph" w:customStyle="1" w:styleId="FooterEnd">
    <w:name w:val="Footer End"/>
    <w:basedOn w:val="Footer"/>
    <w:rsid w:val="00E725B8"/>
    <w:pPr>
      <w:spacing w:before="0" w:line="20" w:lineRule="exact"/>
    </w:pPr>
  </w:style>
  <w:style w:type="paragraph" w:customStyle="1" w:styleId="HeaderOdd">
    <w:name w:val="Header Odd"/>
    <w:basedOn w:val="Header"/>
    <w:semiHidden/>
    <w:rsid w:val="00E725B8"/>
  </w:style>
  <w:style w:type="paragraph" w:styleId="FootnoteText">
    <w:name w:val="footnote text"/>
    <w:basedOn w:val="BodyText"/>
    <w:link w:val="FootnoteTextChar"/>
    <w:rsid w:val="00E725B8"/>
    <w:pPr>
      <w:tabs>
        <w:tab w:val="left" w:pos="284"/>
      </w:tabs>
      <w:spacing w:before="80" w:line="240" w:lineRule="exact"/>
      <w:ind w:left="284" w:hanging="284"/>
    </w:pPr>
    <w:rPr>
      <w:sz w:val="20"/>
    </w:rPr>
  </w:style>
  <w:style w:type="paragraph" w:styleId="Header">
    <w:name w:val="header"/>
    <w:basedOn w:val="BodyText"/>
    <w:link w:val="HeaderChar"/>
    <w:rsid w:val="00E725B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725B8"/>
    <w:pPr>
      <w:spacing w:line="20" w:lineRule="exact"/>
    </w:pPr>
    <w:rPr>
      <w:sz w:val="16"/>
    </w:rPr>
  </w:style>
  <w:style w:type="character" w:styleId="CommentReference">
    <w:name w:val="annotation reference"/>
    <w:basedOn w:val="DefaultParagraphFont"/>
    <w:rsid w:val="00E725B8"/>
    <w:rPr>
      <w:b/>
      <w:vanish/>
      <w:color w:val="FF00FF"/>
      <w:sz w:val="20"/>
    </w:rPr>
  </w:style>
  <w:style w:type="paragraph" w:styleId="CommentText">
    <w:name w:val="annotation text"/>
    <w:basedOn w:val="Normal"/>
    <w:link w:val="CommentTextChar"/>
    <w:rsid w:val="00E725B8"/>
    <w:pPr>
      <w:spacing w:before="120" w:line="240" w:lineRule="atLeast"/>
      <w:ind w:left="567" w:hanging="567"/>
    </w:pPr>
    <w:rPr>
      <w:sz w:val="20"/>
    </w:rPr>
  </w:style>
  <w:style w:type="character" w:customStyle="1" w:styleId="CommentTextChar">
    <w:name w:val="Comment Text Char"/>
    <w:basedOn w:val="DefaultParagraphFont"/>
    <w:link w:val="CommentText"/>
    <w:rsid w:val="00E65F69"/>
    <w:rPr>
      <w:szCs w:val="24"/>
    </w:rPr>
  </w:style>
  <w:style w:type="paragraph" w:styleId="ListBullet">
    <w:name w:val="List Bullet"/>
    <w:basedOn w:val="BodyText"/>
    <w:link w:val="ListBulletChar"/>
    <w:rsid w:val="00E725B8"/>
    <w:pPr>
      <w:numPr>
        <w:numId w:val="3"/>
      </w:numPr>
      <w:spacing w:before="120"/>
    </w:pPr>
  </w:style>
  <w:style w:type="paragraph" w:styleId="ListBullet2">
    <w:name w:val="List Bullet 2"/>
    <w:basedOn w:val="BodyText"/>
    <w:rsid w:val="00E725B8"/>
    <w:pPr>
      <w:numPr>
        <w:numId w:val="26"/>
      </w:numPr>
      <w:spacing w:before="120"/>
    </w:pPr>
  </w:style>
  <w:style w:type="paragraph" w:styleId="ListBullet3">
    <w:name w:val="List Bullet 3"/>
    <w:basedOn w:val="BodyText"/>
    <w:rsid w:val="00E725B8"/>
    <w:pPr>
      <w:numPr>
        <w:numId w:val="27"/>
      </w:numPr>
      <w:spacing w:before="120"/>
      <w:ind w:left="1020" w:hanging="340"/>
    </w:pPr>
  </w:style>
  <w:style w:type="paragraph" w:styleId="ListNumber">
    <w:name w:val="List Number"/>
    <w:basedOn w:val="BodyText"/>
    <w:rsid w:val="00E725B8"/>
    <w:pPr>
      <w:numPr>
        <w:numId w:val="28"/>
      </w:numPr>
      <w:spacing w:before="120"/>
    </w:pPr>
  </w:style>
  <w:style w:type="paragraph" w:styleId="ListNumber2">
    <w:name w:val="List Number 2"/>
    <w:basedOn w:val="ListNumber"/>
    <w:rsid w:val="00E725B8"/>
    <w:pPr>
      <w:numPr>
        <w:ilvl w:val="1"/>
      </w:numPr>
    </w:pPr>
  </w:style>
  <w:style w:type="paragraph" w:styleId="ListNumber3">
    <w:name w:val="List Number 3"/>
    <w:basedOn w:val="ListNumber2"/>
    <w:rsid w:val="00E725B8"/>
    <w:pPr>
      <w:numPr>
        <w:ilvl w:val="2"/>
      </w:numPr>
    </w:pPr>
  </w:style>
  <w:style w:type="paragraph" w:customStyle="1" w:styleId="Note">
    <w:name w:val="Note"/>
    <w:basedOn w:val="BodyText"/>
    <w:next w:val="BodyText"/>
    <w:link w:val="NoteChar"/>
    <w:rsid w:val="00E725B8"/>
    <w:pPr>
      <w:keepLines/>
      <w:spacing w:before="80" w:line="220" w:lineRule="exact"/>
    </w:pPr>
    <w:rPr>
      <w:rFonts w:ascii="Arial" w:hAnsi="Arial"/>
      <w:sz w:val="18"/>
    </w:rPr>
  </w:style>
  <w:style w:type="character" w:customStyle="1" w:styleId="NoteLabel">
    <w:name w:val="Note Label"/>
    <w:basedOn w:val="DefaultParagraphFont"/>
    <w:rsid w:val="00E725B8"/>
    <w:rPr>
      <w:rFonts w:ascii="Arial" w:hAnsi="Arial"/>
      <w:b/>
      <w:position w:val="6"/>
      <w:sz w:val="18"/>
    </w:rPr>
  </w:style>
  <w:style w:type="character" w:styleId="PageNumber">
    <w:name w:val="page number"/>
    <w:basedOn w:val="DefaultParagraphFont"/>
    <w:rsid w:val="00E725B8"/>
    <w:rPr>
      <w:rFonts w:ascii="Arial" w:hAnsi="Arial"/>
      <w:b/>
      <w:sz w:val="16"/>
    </w:rPr>
  </w:style>
  <w:style w:type="paragraph" w:customStyle="1" w:styleId="PartDivider">
    <w:name w:val="Part Divider"/>
    <w:basedOn w:val="BodyText"/>
    <w:next w:val="BodyText"/>
    <w:semiHidden/>
    <w:rsid w:val="00E725B8"/>
    <w:pPr>
      <w:spacing w:before="0" w:line="40" w:lineRule="exact"/>
      <w:jc w:val="right"/>
    </w:pPr>
    <w:rPr>
      <w:smallCaps/>
      <w:sz w:val="16"/>
    </w:rPr>
  </w:style>
  <w:style w:type="paragraph" w:customStyle="1" w:styleId="PartNumber">
    <w:name w:val="Part Number"/>
    <w:basedOn w:val="BodyText"/>
    <w:next w:val="BodyText"/>
    <w:semiHidden/>
    <w:rsid w:val="00E725B8"/>
    <w:pPr>
      <w:spacing w:before="4000" w:line="320" w:lineRule="exact"/>
      <w:ind w:left="6634"/>
      <w:jc w:val="right"/>
    </w:pPr>
    <w:rPr>
      <w:smallCaps/>
      <w:spacing w:val="60"/>
      <w:sz w:val="32"/>
    </w:rPr>
  </w:style>
  <w:style w:type="paragraph" w:customStyle="1" w:styleId="PartTitle">
    <w:name w:val="Part Title"/>
    <w:basedOn w:val="BodyText"/>
    <w:semiHidden/>
    <w:rsid w:val="00E725B8"/>
    <w:pPr>
      <w:spacing w:before="160" w:after="1360" w:line="520" w:lineRule="exact"/>
      <w:ind w:right="2381"/>
      <w:jc w:val="right"/>
    </w:pPr>
    <w:rPr>
      <w:smallCaps/>
      <w:sz w:val="52"/>
    </w:rPr>
  </w:style>
  <w:style w:type="paragraph" w:styleId="Quote">
    <w:name w:val="Quote"/>
    <w:basedOn w:val="BodyText"/>
    <w:next w:val="BodyText"/>
    <w:link w:val="QuoteChar"/>
    <w:qFormat/>
    <w:rsid w:val="00E725B8"/>
    <w:pPr>
      <w:spacing w:before="120" w:line="280" w:lineRule="exact"/>
      <w:ind w:left="340"/>
    </w:pPr>
    <w:rPr>
      <w:sz w:val="22"/>
    </w:rPr>
  </w:style>
  <w:style w:type="paragraph" w:customStyle="1" w:styleId="Rec">
    <w:name w:val="Rec"/>
    <w:basedOn w:val="BodyText"/>
    <w:qFormat/>
    <w:rsid w:val="00E725B8"/>
    <w:pPr>
      <w:keepLines/>
      <w:spacing w:before="120" w:line="280" w:lineRule="atLeast"/>
    </w:pPr>
    <w:rPr>
      <w:rFonts w:ascii="Arial" w:hAnsi="Arial"/>
      <w:sz w:val="22"/>
    </w:rPr>
  </w:style>
  <w:style w:type="paragraph" w:customStyle="1" w:styleId="RecBullet">
    <w:name w:val="Rec Bullet"/>
    <w:basedOn w:val="Rec"/>
    <w:rsid w:val="00E725B8"/>
    <w:pPr>
      <w:numPr>
        <w:numId w:val="6"/>
      </w:numPr>
      <w:spacing w:before="80"/>
    </w:pPr>
  </w:style>
  <w:style w:type="paragraph" w:customStyle="1" w:styleId="RecTitle">
    <w:name w:val="Rec Title"/>
    <w:basedOn w:val="BodyText"/>
    <w:next w:val="Rec"/>
    <w:qFormat/>
    <w:rsid w:val="00E725B8"/>
    <w:pPr>
      <w:keepNext/>
      <w:keepLines/>
      <w:spacing w:line="280" w:lineRule="atLeast"/>
    </w:pPr>
    <w:rPr>
      <w:rFonts w:ascii="Arial" w:hAnsi="Arial"/>
      <w:caps/>
      <w:sz w:val="18"/>
    </w:rPr>
  </w:style>
  <w:style w:type="paragraph" w:customStyle="1" w:styleId="RecB">
    <w:name w:val="RecB"/>
    <w:basedOn w:val="Normal"/>
    <w:rsid w:val="00E725B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725B8"/>
    <w:pPr>
      <w:numPr>
        <w:numId w:val="7"/>
      </w:numPr>
      <w:spacing w:before="80"/>
    </w:pPr>
  </w:style>
  <w:style w:type="paragraph" w:customStyle="1" w:styleId="RecBNoTitle">
    <w:name w:val="RecB NoTitle"/>
    <w:basedOn w:val="RecB"/>
    <w:rsid w:val="00E725B8"/>
    <w:pPr>
      <w:spacing w:before="240"/>
    </w:pPr>
  </w:style>
  <w:style w:type="paragraph" w:customStyle="1" w:styleId="Reference">
    <w:name w:val="Reference"/>
    <w:basedOn w:val="BodyText"/>
    <w:link w:val="ReferenceChar"/>
    <w:rsid w:val="00E725B8"/>
    <w:pPr>
      <w:spacing w:before="120"/>
      <w:ind w:left="340" w:hanging="340"/>
    </w:pPr>
  </w:style>
  <w:style w:type="paragraph" w:customStyle="1" w:styleId="SideNote">
    <w:name w:val="Side Note"/>
    <w:basedOn w:val="BodyText"/>
    <w:next w:val="BodyText"/>
    <w:semiHidden/>
    <w:rsid w:val="00E725B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725B8"/>
    <w:pPr>
      <w:framePr w:wrap="around"/>
      <w:numPr>
        <w:numId w:val="2"/>
      </w:numPr>
      <w:tabs>
        <w:tab w:val="left" w:pos="227"/>
      </w:tabs>
    </w:pPr>
  </w:style>
  <w:style w:type="paragraph" w:customStyle="1" w:styleId="SideNoteGraphic">
    <w:name w:val="Side Note Graphic"/>
    <w:basedOn w:val="SideNote"/>
    <w:next w:val="BodyText"/>
    <w:semiHidden/>
    <w:rsid w:val="00E725B8"/>
    <w:pPr>
      <w:framePr w:wrap="around"/>
    </w:pPr>
  </w:style>
  <w:style w:type="paragraph" w:customStyle="1" w:styleId="Source">
    <w:name w:val="Source"/>
    <w:basedOn w:val="Normal"/>
    <w:next w:val="BodyText"/>
    <w:link w:val="SourceChar"/>
    <w:rsid w:val="00E725B8"/>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E725B8"/>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E725B8"/>
    <w:pPr>
      <w:numPr>
        <w:numId w:val="8"/>
      </w:numPr>
      <w:jc w:val="left"/>
    </w:pPr>
  </w:style>
  <w:style w:type="paragraph" w:customStyle="1" w:styleId="TableColumnHeading">
    <w:name w:val="Table Column Heading"/>
    <w:basedOn w:val="TableBodyText"/>
    <w:rsid w:val="00E725B8"/>
    <w:pPr>
      <w:spacing w:before="80" w:after="80"/>
    </w:pPr>
    <w:rPr>
      <w:i/>
    </w:rPr>
  </w:style>
  <w:style w:type="paragraph" w:customStyle="1" w:styleId="FindingNoTitle">
    <w:name w:val="Finding NoTitle"/>
    <w:basedOn w:val="Finding"/>
    <w:semiHidden/>
    <w:rsid w:val="00E725B8"/>
    <w:pPr>
      <w:spacing w:before="240"/>
    </w:pPr>
  </w:style>
  <w:style w:type="paragraph" w:styleId="TOC3">
    <w:name w:val="toc 3"/>
    <w:basedOn w:val="TOC2"/>
    <w:rsid w:val="00E725B8"/>
    <w:pPr>
      <w:spacing w:before="60"/>
      <w:ind w:left="1190" w:hanging="680"/>
    </w:pPr>
  </w:style>
  <w:style w:type="paragraph" w:customStyle="1" w:styleId="TableTitle">
    <w:name w:val="Table Title"/>
    <w:basedOn w:val="Caption"/>
    <w:next w:val="Subtitle"/>
    <w:qFormat/>
    <w:rsid w:val="00E725B8"/>
    <w:pPr>
      <w:spacing w:before="120"/>
    </w:pPr>
  </w:style>
  <w:style w:type="paragraph" w:customStyle="1" w:styleId="TableUnitsRow">
    <w:name w:val="Table Units Row"/>
    <w:basedOn w:val="TableBodyText"/>
    <w:rsid w:val="00E725B8"/>
    <w:pPr>
      <w:spacing w:before="40"/>
    </w:pPr>
  </w:style>
  <w:style w:type="paragraph" w:styleId="TOC1">
    <w:name w:val="toc 1"/>
    <w:basedOn w:val="Normal"/>
    <w:next w:val="TOC2"/>
    <w:link w:val="TOC1Char"/>
    <w:rsid w:val="00E725B8"/>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E725B8"/>
    <w:pPr>
      <w:ind w:left="1134" w:hanging="624"/>
    </w:pPr>
    <w:rPr>
      <w:b w:val="0"/>
    </w:rPr>
  </w:style>
  <w:style w:type="paragraph" w:styleId="TOC4">
    <w:name w:val="toc 4"/>
    <w:basedOn w:val="TOC3"/>
    <w:semiHidden/>
    <w:rsid w:val="00E725B8"/>
    <w:pPr>
      <w:ind w:left="1191" w:firstLine="0"/>
    </w:pPr>
  </w:style>
  <w:style w:type="paragraph" w:customStyle="1" w:styleId="BoxContinued">
    <w:name w:val="Box Continued"/>
    <w:basedOn w:val="BodyText"/>
    <w:next w:val="BodyText"/>
    <w:link w:val="BoxContinuedChar"/>
    <w:semiHidden/>
    <w:rsid w:val="00E725B8"/>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E725B8"/>
  </w:style>
  <w:style w:type="paragraph" w:customStyle="1" w:styleId="BoxHeading1">
    <w:name w:val="Box Heading 1"/>
    <w:basedOn w:val="BodyText"/>
    <w:next w:val="Box"/>
    <w:link w:val="BoxHeading1Char"/>
    <w:rsid w:val="00E725B8"/>
    <w:pPr>
      <w:keepNext/>
      <w:spacing w:before="200" w:line="280" w:lineRule="atLeast"/>
    </w:pPr>
    <w:rPr>
      <w:rFonts w:ascii="Arial" w:hAnsi="Arial"/>
      <w:b/>
      <w:sz w:val="22"/>
    </w:rPr>
  </w:style>
  <w:style w:type="paragraph" w:customStyle="1" w:styleId="BoxHeading2">
    <w:name w:val="Box Heading 2"/>
    <w:basedOn w:val="BoxHeading1"/>
    <w:next w:val="Normal"/>
    <w:rsid w:val="00E725B8"/>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rPr>
  </w:style>
  <w:style w:type="character" w:customStyle="1" w:styleId="BoxListNumberChar">
    <w:name w:val="Box List Number Char"/>
    <w:basedOn w:val="BoxChar"/>
    <w:link w:val="BoxListNumber"/>
    <w:rsid w:val="000F4BFC"/>
    <w:rPr>
      <w:rFonts w:ascii="Arial" w:hAnsi="Arial"/>
    </w:rPr>
  </w:style>
  <w:style w:type="character" w:customStyle="1" w:styleId="BoxListNumber2Char">
    <w:name w:val="Box List Number 2 Char"/>
    <w:basedOn w:val="BoxListNumberChar"/>
    <w:link w:val="BoxListNumber2"/>
    <w:rsid w:val="000F4BFC"/>
    <w:rPr>
      <w:rFonts w:ascii="Arial" w:hAnsi="Arial"/>
    </w:rPr>
  </w:style>
  <w:style w:type="character" w:styleId="FootnoteReference">
    <w:name w:val="footnote reference"/>
    <w:basedOn w:val="DefaultParagraphFont"/>
    <w:rsid w:val="00E725B8"/>
    <w:rPr>
      <w:rFonts w:ascii="Times New Roman" w:hAnsi="Times New Roman"/>
      <w:position w:val="6"/>
      <w:sz w:val="20"/>
      <w:vertAlign w:val="baseline"/>
    </w:rPr>
  </w:style>
  <w:style w:type="paragraph" w:styleId="BalloonText">
    <w:name w:val="Balloon Text"/>
    <w:basedOn w:val="Normal"/>
    <w:link w:val="BalloonTextChar"/>
    <w:rsid w:val="00E725B8"/>
    <w:rPr>
      <w:rFonts w:ascii="Tahoma" w:hAnsi="Tahoma" w:cs="Tahoma"/>
      <w:sz w:val="16"/>
      <w:szCs w:val="16"/>
    </w:rPr>
  </w:style>
  <w:style w:type="character" w:customStyle="1" w:styleId="Heading1Char">
    <w:name w:val="Heading 1 Char"/>
    <w:link w:val="Heading1"/>
    <w:rsid w:val="00E672DA"/>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672DA"/>
    <w:rPr>
      <w:rFonts w:ascii="Arial" w:hAnsi="Arial"/>
      <w:b/>
      <w:sz w:val="32"/>
    </w:rPr>
  </w:style>
  <w:style w:type="character" w:customStyle="1" w:styleId="Heading3Char">
    <w:name w:val="Heading 3 Char"/>
    <w:link w:val="Heading3"/>
    <w:rsid w:val="00E672DA"/>
    <w:rPr>
      <w:rFonts w:ascii="Arial" w:hAnsi="Arial"/>
      <w:b/>
      <w:sz w:val="26"/>
    </w:rPr>
  </w:style>
  <w:style w:type="character" w:customStyle="1" w:styleId="BoxListBulletChar">
    <w:name w:val="Box List Bullet Char"/>
    <w:basedOn w:val="BoxChar"/>
    <w:link w:val="BoxListBullet"/>
    <w:rsid w:val="00746CA7"/>
    <w:rPr>
      <w:rFonts w:ascii="Arial" w:hAnsi="Arial"/>
    </w:rPr>
  </w:style>
  <w:style w:type="paragraph" w:styleId="DocumentMap">
    <w:name w:val="Document Map"/>
    <w:basedOn w:val="Normal"/>
    <w:semiHidden/>
    <w:rsid w:val="00E672DA"/>
    <w:pPr>
      <w:shd w:val="clear" w:color="auto" w:fill="000080"/>
    </w:pPr>
    <w:rPr>
      <w:rFonts w:ascii="Tahoma" w:hAnsi="Tahoma" w:cs="Tahoma"/>
      <w:sz w:val="20"/>
      <w:szCs w:val="20"/>
    </w:rPr>
  </w:style>
  <w:style w:type="character" w:customStyle="1" w:styleId="BodyTextChar">
    <w:name w:val="Body Text Char"/>
    <w:basedOn w:val="DefaultParagraphFont"/>
    <w:link w:val="BodyText"/>
    <w:rsid w:val="00E725B8"/>
    <w:rPr>
      <w:sz w:val="24"/>
    </w:rPr>
  </w:style>
  <w:style w:type="character" w:customStyle="1" w:styleId="TableBodyTextChar">
    <w:name w:val="Table Body Text Char"/>
    <w:link w:val="TableBodyText"/>
    <w:rsid w:val="00FD28F6"/>
    <w:rPr>
      <w:rFonts w:ascii="Arial" w:hAnsi="Arial"/>
      <w:sz w:val="18"/>
    </w:rPr>
  </w:style>
  <w:style w:type="character" w:customStyle="1" w:styleId="TableBulletChar">
    <w:name w:val="Table Bullet Char"/>
    <w:basedOn w:val="TableBodyTextChar"/>
    <w:link w:val="TableBullet"/>
    <w:rsid w:val="00AB3040"/>
    <w:rPr>
      <w:rFonts w:ascii="Arial" w:hAnsi="Arial"/>
      <w:sz w:val="18"/>
    </w:rPr>
  </w:style>
  <w:style w:type="paragraph" w:customStyle="1" w:styleId="Jurisdictioncommentsbodytext">
    <w:name w:val="Jurisdiction comments body text"/>
    <w:link w:val="JurisdictioncommentsbodytextChar"/>
    <w:rsid w:val="00E725B8"/>
    <w:pPr>
      <w:spacing w:after="140"/>
      <w:jc w:val="both"/>
    </w:pPr>
    <w:rPr>
      <w:rFonts w:ascii="Arial" w:hAnsi="Arial"/>
      <w:sz w:val="24"/>
      <w:lang w:eastAsia="en-US"/>
    </w:rPr>
  </w:style>
  <w:style w:type="paragraph" w:customStyle="1" w:styleId="Jurisdictioncommentsheading">
    <w:name w:val="Jurisdiction comments heading"/>
    <w:rsid w:val="00E725B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725B8"/>
    <w:pPr>
      <w:numPr>
        <w:numId w:val="10"/>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E725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TOC3"/>
    <w:next w:val="BodyText"/>
    <w:rsid w:val="00E725B8"/>
    <w:pPr>
      <w:ind w:left="737" w:hanging="737"/>
    </w:p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basedOn w:val="BodyTextChar"/>
    <w:link w:val="ListBullet"/>
    <w:rsid w:val="00F70B21"/>
    <w:rPr>
      <w:sz w:val="24"/>
    </w:rPr>
  </w:style>
  <w:style w:type="character" w:customStyle="1" w:styleId="Heading4Char">
    <w:name w:val="Heading 4 Char"/>
    <w:link w:val="Heading4"/>
    <w:rsid w:val="00E672DA"/>
    <w:rPr>
      <w:rFonts w:ascii="Arial" w:hAnsi="Arial"/>
      <w:sz w:val="24"/>
    </w:rPr>
  </w:style>
  <w:style w:type="character" w:customStyle="1" w:styleId="Heading5Char">
    <w:name w:val="Heading 5 Char"/>
    <w:basedOn w:val="DefaultParagraphFont"/>
    <w:link w:val="Heading5"/>
    <w:rsid w:val="00E725B8"/>
    <w:rPr>
      <w:rFonts w:ascii="Arial" w:hAnsi="Arial"/>
      <w:i/>
      <w:sz w:val="22"/>
    </w:rPr>
  </w:style>
  <w:style w:type="character" w:customStyle="1" w:styleId="CaptionChar">
    <w:name w:val="Caption Char"/>
    <w:link w:val="Caption"/>
    <w:rsid w:val="00BD7D82"/>
    <w:rPr>
      <w:rFonts w:ascii="Arial" w:hAnsi="Arial"/>
      <w:b/>
      <w:sz w:val="24"/>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character" w:customStyle="1" w:styleId="FigureChar">
    <w:name w:val="Figure Char"/>
    <w:basedOn w:val="BodyTextChar"/>
    <w:link w:val="Figure"/>
    <w:rsid w:val="001C2D5C"/>
    <w:rPr>
      <w:sz w:val="24"/>
    </w:rPr>
  </w:style>
  <w:style w:type="paragraph" w:customStyle="1" w:styleId="RecBBullet2">
    <w:name w:val="RecB Bullet 2"/>
    <w:basedOn w:val="ListBullet2"/>
    <w:semiHidden/>
    <w:rsid w:val="00E725B8"/>
    <w:pPr>
      <w:pBdr>
        <w:left w:val="single" w:sz="24" w:space="29" w:color="C0C0C0"/>
      </w:pBdr>
    </w:pPr>
    <w:rPr>
      <w:b/>
      <w:i/>
    </w:rPr>
  </w:style>
  <w:style w:type="character" w:customStyle="1" w:styleId="BalloonTextChar">
    <w:name w:val="Balloon Text Char"/>
    <w:basedOn w:val="DefaultParagraphFont"/>
    <w:link w:val="BalloonText"/>
    <w:rsid w:val="00E725B8"/>
    <w:rPr>
      <w:rFonts w:ascii="Tahoma" w:hAnsi="Tahoma" w:cs="Tahoma"/>
      <w:sz w:val="16"/>
      <w:szCs w:val="16"/>
    </w:rPr>
  </w:style>
  <w:style w:type="character" w:customStyle="1" w:styleId="SubtitleChar">
    <w:name w:val="Subtitle Char"/>
    <w:basedOn w:val="DefaultParagraphFont"/>
    <w:link w:val="Subtitle"/>
    <w:rsid w:val="00E725B8"/>
    <w:rPr>
      <w:rFonts w:ascii="Arial" w:hAnsi="Arial"/>
      <w:szCs w:val="24"/>
    </w:rPr>
  </w:style>
  <w:style w:type="paragraph" w:customStyle="1" w:styleId="BoxListBullet3">
    <w:name w:val="Box List Bullet 3"/>
    <w:basedOn w:val="ListBullet3"/>
    <w:rsid w:val="00E725B8"/>
    <w:pPr>
      <w:numPr>
        <w:numId w:val="15"/>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725B8"/>
    <w:rPr>
      <w:i/>
      <w:iCs/>
    </w:rPr>
  </w:style>
  <w:style w:type="paragraph" w:customStyle="1" w:styleId="BoxQuoteBullet">
    <w:name w:val="Box Quote Bullet"/>
    <w:basedOn w:val="BoxQuote"/>
    <w:next w:val="Box"/>
    <w:rsid w:val="00E725B8"/>
    <w:pPr>
      <w:numPr>
        <w:numId w:val="12"/>
      </w:numPr>
      <w:ind w:left="568" w:hanging="284"/>
    </w:pPr>
  </w:style>
  <w:style w:type="numbering" w:styleId="ArticleSection">
    <w:name w:val="Outline List 3"/>
    <w:basedOn w:val="NoList"/>
    <w:rsid w:val="00E672DA"/>
    <w:pPr>
      <w:numPr>
        <w:numId w:val="14"/>
      </w:numPr>
    </w:pPr>
  </w:style>
  <w:style w:type="character" w:customStyle="1" w:styleId="FootnoteTextChar">
    <w:name w:val="Footnote Text Char"/>
    <w:basedOn w:val="DefaultParagraphFont"/>
    <w:link w:val="FootnoteText"/>
    <w:rsid w:val="00FA0312"/>
  </w:style>
  <w:style w:type="paragraph" w:customStyle="1" w:styleId="BoxSpaceAbove">
    <w:name w:val="Box Space Above"/>
    <w:basedOn w:val="BodyText"/>
    <w:rsid w:val="00E725B8"/>
    <w:pPr>
      <w:keepNext/>
      <w:spacing w:before="360" w:line="80" w:lineRule="exact"/>
      <w:jc w:val="left"/>
    </w:pPr>
  </w:style>
  <w:style w:type="paragraph" w:customStyle="1" w:styleId="BoxSpaceBelow">
    <w:name w:val="Box Space Below"/>
    <w:basedOn w:val="Box"/>
    <w:rsid w:val="00E725B8"/>
    <w:pPr>
      <w:keepNext w:val="0"/>
      <w:spacing w:before="60" w:after="60" w:line="80" w:lineRule="exact"/>
    </w:pPr>
    <w:rPr>
      <w:sz w:val="14"/>
    </w:rPr>
  </w:style>
  <w:style w:type="table" w:customStyle="1" w:styleId="AIHWTable">
    <w:name w:val="AIHW Table"/>
    <w:basedOn w:val="TableNormal"/>
    <w:rsid w:val="00E672DA"/>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E672DA"/>
    <w:rPr>
      <w:rFonts w:ascii="Book Antiqua" w:hAnsi="Book Antiqua"/>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erChar">
    <w:name w:val="Header Char"/>
    <w:link w:val="Header"/>
    <w:rsid w:val="00E672DA"/>
    <w:rPr>
      <w:rFonts w:ascii="Arial" w:hAnsi="Arial"/>
      <w:caps/>
      <w:sz w:val="24"/>
    </w:rPr>
  </w:style>
  <w:style w:type="numbering" w:styleId="111111">
    <w:name w:val="Outline List 2"/>
    <w:basedOn w:val="NoList"/>
    <w:rsid w:val="00E672DA"/>
    <w:pPr>
      <w:numPr>
        <w:numId w:val="17"/>
      </w:numPr>
    </w:pPr>
  </w:style>
  <w:style w:type="numbering" w:styleId="1ai">
    <w:name w:val="Outline List 1"/>
    <w:basedOn w:val="NoList"/>
    <w:rsid w:val="00E672DA"/>
    <w:pPr>
      <w:numPr>
        <w:numId w:val="18"/>
      </w:numPr>
    </w:pPr>
  </w:style>
  <w:style w:type="table" w:styleId="Table3Deffects1">
    <w:name w:val="Table 3D effects 1"/>
    <w:basedOn w:val="TableNormal"/>
    <w:rsid w:val="00E672DA"/>
    <w:pPr>
      <w:spacing w:after="40"/>
    </w:pPr>
    <w:rPr>
      <w:rFonts w:ascii="Book Antiqua" w:hAnsi="Book Antiqu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672DA"/>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672DA"/>
    <w:pPr>
      <w:spacing w:after="40"/>
    </w:pPr>
    <w:rPr>
      <w:rFonts w:ascii="Book Antiqua" w:hAnsi="Book Antiqua"/>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672DA"/>
    <w:pPr>
      <w:spacing w:after="40"/>
    </w:pPr>
    <w:rPr>
      <w:rFonts w:ascii="Book Antiqua" w:hAnsi="Book Antiqu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672DA"/>
    <w:pPr>
      <w:spacing w:after="40"/>
    </w:pPr>
    <w:rPr>
      <w:rFonts w:ascii="Book Antiqua" w:hAnsi="Book Antiqua"/>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672DA"/>
    <w:pPr>
      <w:spacing w:after="40"/>
    </w:pPr>
    <w:rPr>
      <w:rFonts w:ascii="Book Antiqua" w:hAnsi="Book Antiqu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672DA"/>
    <w:pPr>
      <w:spacing w:after="40"/>
    </w:pPr>
    <w:rPr>
      <w:rFonts w:ascii="Book Antiqua" w:hAnsi="Book Antiqu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672DA"/>
    <w:pPr>
      <w:spacing w:after="40"/>
    </w:pPr>
    <w:rPr>
      <w:rFonts w:ascii="Book Antiqua" w:hAnsi="Book Antiqua"/>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672DA"/>
    <w:pPr>
      <w:spacing w:after="40"/>
    </w:pPr>
    <w:rPr>
      <w:rFonts w:ascii="Book Antiqua" w:hAnsi="Book Antiqua"/>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672DA"/>
    <w:pPr>
      <w:spacing w:after="40"/>
    </w:pPr>
    <w:rPr>
      <w:rFonts w:ascii="Book Antiqua" w:hAnsi="Book Antiqua"/>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672DA"/>
    <w:pPr>
      <w:spacing w:after="40"/>
    </w:pPr>
    <w:rPr>
      <w:rFonts w:ascii="Book Antiqua" w:hAnsi="Book Antiqu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672DA"/>
    <w:pPr>
      <w:spacing w:after="40"/>
    </w:pPr>
    <w:rPr>
      <w:rFonts w:ascii="Book Antiqua" w:hAnsi="Book Antiqu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672DA"/>
    <w:pPr>
      <w:spacing w:after="40"/>
    </w:pPr>
    <w:rPr>
      <w:rFonts w:ascii="Book Antiqua" w:hAnsi="Book Antiqu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672DA"/>
    <w:pPr>
      <w:spacing w:after="40"/>
    </w:pPr>
    <w:rPr>
      <w:rFonts w:ascii="Book Antiqua" w:hAnsi="Book Antiqu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672DA"/>
    <w:pPr>
      <w:spacing w:after="40"/>
    </w:pPr>
    <w:rPr>
      <w:rFonts w:ascii="Book Antiqua" w:hAnsi="Book Antiqu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672DA"/>
    <w:pPr>
      <w:spacing w:after="40"/>
    </w:pPr>
    <w:rPr>
      <w:rFonts w:ascii="Book Antiqua" w:hAnsi="Book Antiqu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672DA"/>
    <w:pPr>
      <w:spacing w:after="40"/>
    </w:pPr>
    <w:rPr>
      <w:rFonts w:ascii="Book Antiqua" w:hAnsi="Book Antiq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672DA"/>
    <w:pPr>
      <w:spacing w:after="40"/>
    </w:pPr>
    <w:rPr>
      <w:rFonts w:ascii="Book Antiqua" w:hAnsi="Book Antiqua"/>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672DA"/>
    <w:pPr>
      <w:spacing w:after="40"/>
    </w:pPr>
    <w:rPr>
      <w:rFonts w:ascii="Book Antiqua" w:hAnsi="Book Antiqu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672DA"/>
    <w:pPr>
      <w:spacing w:after="40"/>
    </w:pPr>
    <w:rPr>
      <w:rFonts w:ascii="Book Antiqua" w:hAnsi="Book Antiqu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672DA"/>
    <w:pPr>
      <w:spacing w:after="40"/>
    </w:pPr>
    <w:rPr>
      <w:rFonts w:ascii="Book Antiqua" w:hAnsi="Book Antiqu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672DA"/>
    <w:pPr>
      <w:spacing w:after="40"/>
    </w:pPr>
    <w:rPr>
      <w:rFonts w:ascii="Book Antiqua" w:hAnsi="Book Antiqu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672DA"/>
    <w:pPr>
      <w:spacing w:after="40"/>
    </w:pPr>
    <w:rPr>
      <w:rFonts w:ascii="Book Antiqua" w:hAnsi="Book Antiqu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672DA"/>
    <w:pPr>
      <w:spacing w:after="40"/>
    </w:pPr>
    <w:rPr>
      <w:rFonts w:ascii="Book Antiqua" w:hAnsi="Book Antiqu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672DA"/>
    <w:pPr>
      <w:spacing w:after="40"/>
    </w:pPr>
    <w:rPr>
      <w:rFonts w:ascii="Book Antiqua" w:hAnsi="Book Antiqu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672DA"/>
    <w:pPr>
      <w:spacing w:after="40"/>
    </w:pPr>
    <w:rPr>
      <w:rFonts w:ascii="Book Antiqua" w:hAnsi="Book Antiqu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672DA"/>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E672DA"/>
    <w:pPr>
      <w:spacing w:after="40"/>
    </w:pPr>
    <w:rPr>
      <w:rFonts w:ascii="Book Antiqua" w:hAnsi="Book Antiq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672DA"/>
    <w:pPr>
      <w:spacing w:after="40"/>
    </w:pPr>
    <w:rPr>
      <w:rFonts w:ascii="Book Antiqua" w:hAnsi="Book Antiqu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672DA"/>
    <w:pPr>
      <w:spacing w:after="40"/>
    </w:pPr>
    <w:rPr>
      <w:rFonts w:ascii="Book Antiqua" w:hAnsi="Book Antiqu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6Char">
    <w:name w:val="Heading 6 Char"/>
    <w:link w:val="Heading6"/>
    <w:rsid w:val="00E672DA"/>
    <w:rPr>
      <w:i/>
      <w:sz w:val="22"/>
    </w:rPr>
  </w:style>
  <w:style w:type="character" w:customStyle="1" w:styleId="QuoteChar">
    <w:name w:val="Quote Char"/>
    <w:link w:val="Quote"/>
    <w:rsid w:val="00AD65B3"/>
    <w:rPr>
      <w:sz w:val="22"/>
    </w:rPr>
  </w:style>
  <w:style w:type="paragraph" w:customStyle="1" w:styleId="KeyPointsListBullet">
    <w:name w:val="Key Points List Bullet"/>
    <w:basedOn w:val="Normal"/>
    <w:qFormat/>
    <w:rsid w:val="00E725B8"/>
    <w:pPr>
      <w:keepNext/>
      <w:numPr>
        <w:numId w:val="2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725B8"/>
    <w:pPr>
      <w:numPr>
        <w:numId w:val="30"/>
      </w:numPr>
      <w:ind w:left="568" w:hanging="284"/>
    </w:pPr>
  </w:style>
  <w:style w:type="paragraph" w:customStyle="1" w:styleId="InformationRequestTitle">
    <w:name w:val="Information Request Title"/>
    <w:basedOn w:val="FindingTitle"/>
    <w:next w:val="InformationRequest"/>
    <w:rsid w:val="00E725B8"/>
    <w:rPr>
      <w:i/>
    </w:rPr>
  </w:style>
  <w:style w:type="paragraph" w:customStyle="1" w:styleId="Space">
    <w:name w:val="Space"/>
    <w:basedOn w:val="Normal"/>
    <w:rsid w:val="00E725B8"/>
    <w:pPr>
      <w:keepNext/>
      <w:spacing w:line="120" w:lineRule="exact"/>
      <w:jc w:val="both"/>
    </w:pPr>
    <w:rPr>
      <w:rFonts w:ascii="Arial" w:hAnsi="Arial"/>
      <w:sz w:val="20"/>
      <w:szCs w:val="20"/>
    </w:rPr>
  </w:style>
  <w:style w:type="paragraph" w:customStyle="1" w:styleId="Heading1nochapterno">
    <w:name w:val="Heading 1 (no chapter no.)"/>
    <w:basedOn w:val="Heading1"/>
    <w:rsid w:val="00E725B8"/>
    <w:pPr>
      <w:spacing w:before="0"/>
      <w:ind w:left="0" w:firstLine="0"/>
    </w:pPr>
  </w:style>
  <w:style w:type="paragraph" w:customStyle="1" w:styleId="Heading2nosectionno">
    <w:name w:val="Heading 2 (no section no.)"/>
    <w:basedOn w:val="Heading2"/>
    <w:rsid w:val="00E725B8"/>
    <w:pPr>
      <w:ind w:left="0" w:firstLine="0"/>
    </w:pPr>
  </w:style>
  <w:style w:type="paragraph" w:customStyle="1" w:styleId="Figurespace">
    <w:name w:val="Figure space"/>
    <w:basedOn w:val="Box"/>
    <w:rsid w:val="00E725B8"/>
    <w:pPr>
      <w:spacing w:before="0" w:line="120" w:lineRule="exact"/>
    </w:pPr>
  </w:style>
  <w:style w:type="paragraph" w:customStyle="1" w:styleId="FooterDraftReport">
    <w:name w:val="FooterDraftReport"/>
    <w:basedOn w:val="Footer"/>
    <w:link w:val="FooterDraftReportChar"/>
    <w:rsid w:val="00E725B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E725B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725B8"/>
    <w:rPr>
      <w:rFonts w:ascii="Arial" w:hAnsi="Arial"/>
      <w:b/>
      <w:sz w:val="26"/>
      <w:szCs w:val="26"/>
      <w:lang w:eastAsia="en-US"/>
    </w:rPr>
  </w:style>
  <w:style w:type="character" w:styleId="Hyperlink">
    <w:name w:val="Hyperlink"/>
    <w:basedOn w:val="DefaultParagraphFont"/>
    <w:uiPriority w:val="99"/>
    <w:rsid w:val="00B01CE3"/>
    <w:rPr>
      <w:color w:val="78A22F" w:themeColor="hyperlink"/>
      <w:u w:val="single"/>
    </w:rPr>
  </w:style>
  <w:style w:type="paragraph" w:customStyle="1" w:styleId="Default">
    <w:name w:val="Default"/>
    <w:rsid w:val="00EB3BF2"/>
    <w:pPr>
      <w:autoSpaceDE w:val="0"/>
      <w:autoSpaceDN w:val="0"/>
      <w:adjustRightInd w:val="0"/>
    </w:pPr>
    <w:rPr>
      <w:rFonts w:ascii="Arial" w:hAnsi="Arial" w:cs="Arial"/>
      <w:color w:val="000000"/>
      <w:sz w:val="24"/>
      <w:szCs w:val="24"/>
    </w:rPr>
  </w:style>
  <w:style w:type="character" w:customStyle="1" w:styleId="ReferenceChar">
    <w:name w:val="Reference Char"/>
    <w:link w:val="Reference"/>
    <w:rsid w:val="002E5BE5"/>
    <w:rPr>
      <w:sz w:val="24"/>
    </w:rPr>
  </w:style>
  <w:style w:type="paragraph" w:customStyle="1" w:styleId="DQITableBullet">
    <w:name w:val="DQI Table Bullet"/>
    <w:basedOn w:val="TableBullet"/>
    <w:qFormat/>
    <w:rsid w:val="00DC3316"/>
    <w:pPr>
      <w:numPr>
        <w:numId w:val="0"/>
      </w:numPr>
      <w:spacing w:before="40" w:after="0"/>
      <w:jc w:val="both"/>
    </w:pPr>
  </w:style>
  <w:style w:type="paragraph" w:customStyle="1" w:styleId="DQITableBullet2">
    <w:name w:val="DQI Table Bullet 2"/>
    <w:basedOn w:val="DQITableBullet"/>
    <w:qFormat/>
    <w:rsid w:val="00DC3316"/>
  </w:style>
  <w:style w:type="paragraph" w:customStyle="1" w:styleId="Heading1NotTOC">
    <w:name w:val="Heading 1 Not TOC"/>
    <w:basedOn w:val="Heading1"/>
    <w:next w:val="BodyText"/>
    <w:rsid w:val="006602B5"/>
    <w:rPr>
      <w:kern w:val="28"/>
      <w:szCs w:val="26"/>
      <w:lang w:eastAsia="en-US"/>
    </w:rPr>
  </w:style>
  <w:style w:type="paragraph" w:styleId="CommentSubject">
    <w:name w:val="annotation subject"/>
    <w:basedOn w:val="CommentText"/>
    <w:next w:val="CommentText"/>
    <w:link w:val="CommentSubjectChar"/>
    <w:uiPriority w:val="21"/>
    <w:rsid w:val="000707E5"/>
    <w:pPr>
      <w:spacing w:before="0" w:line="240" w:lineRule="auto"/>
      <w:ind w:left="0" w:firstLine="0"/>
    </w:pPr>
    <w:rPr>
      <w:b/>
      <w:bCs/>
      <w:szCs w:val="20"/>
    </w:rPr>
  </w:style>
  <w:style w:type="character" w:customStyle="1" w:styleId="CommentSubjectChar">
    <w:name w:val="Comment Subject Char"/>
    <w:basedOn w:val="CommentTextChar"/>
    <w:link w:val="CommentSubject"/>
    <w:uiPriority w:val="21"/>
    <w:rsid w:val="000707E5"/>
    <w:rPr>
      <w:b/>
      <w:bCs/>
      <w:szCs w:val="24"/>
    </w:rPr>
  </w:style>
  <w:style w:type="paragraph" w:styleId="Revision">
    <w:name w:val="Revision"/>
    <w:hidden/>
    <w:uiPriority w:val="99"/>
    <w:semiHidden/>
    <w:rsid w:val="000707E5"/>
    <w:rPr>
      <w:sz w:val="24"/>
      <w:szCs w:val="24"/>
    </w:rPr>
  </w:style>
  <w:style w:type="paragraph" w:customStyle="1" w:styleId="DQITableText">
    <w:name w:val="DQI Table Text"/>
    <w:basedOn w:val="TableBodyText"/>
    <w:qFormat/>
    <w:rsid w:val="00214C72"/>
    <w:pPr>
      <w:spacing w:before="120" w:after="0"/>
      <w:ind w:left="0" w:right="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reference" w:uiPriority="12"/>
    <w:lsdException w:name="endnote text" w:uiPriority="12"/>
    <w:lsdException w:name="Title" w:qFormat="1"/>
    <w:lsdException w:name="Default Paragraph Font" w:uiPriority="1"/>
    <w:lsdException w:name="Body Text" w:qFormat="1"/>
    <w:lsdException w:name="Subtitle" w:qFormat="1"/>
    <w:lsdException w:name="Hyperlink" w:uiPriority="99"/>
    <w:lsdException w:name="FollowedHyperlink" w:uiPriority="16"/>
    <w:lsdException w:name="Strong" w:qFormat="1"/>
    <w:lsdException w:name="Emphasis" w:qFormat="1"/>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725B8"/>
    <w:rPr>
      <w:sz w:val="24"/>
      <w:szCs w:val="24"/>
    </w:rPr>
  </w:style>
  <w:style w:type="paragraph" w:styleId="Heading1">
    <w:name w:val="heading 1"/>
    <w:basedOn w:val="BodyText"/>
    <w:next w:val="BodyText"/>
    <w:link w:val="Heading1Char"/>
    <w:rsid w:val="00E725B8"/>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E725B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725B8"/>
    <w:pPr>
      <w:spacing w:before="560" w:line="320" w:lineRule="exact"/>
      <w:ind w:left="0" w:firstLine="0"/>
      <w:outlineLvl w:val="2"/>
    </w:pPr>
    <w:rPr>
      <w:sz w:val="26"/>
    </w:rPr>
  </w:style>
  <w:style w:type="paragraph" w:styleId="Heading4">
    <w:name w:val="heading 4"/>
    <w:basedOn w:val="Heading3"/>
    <w:next w:val="BodyText"/>
    <w:link w:val="Heading4Char"/>
    <w:qFormat/>
    <w:rsid w:val="00E725B8"/>
    <w:pPr>
      <w:spacing w:before="480"/>
      <w:outlineLvl w:val="3"/>
    </w:pPr>
    <w:rPr>
      <w:b w:val="0"/>
      <w:sz w:val="24"/>
    </w:rPr>
  </w:style>
  <w:style w:type="paragraph" w:styleId="Heading5">
    <w:name w:val="heading 5"/>
    <w:basedOn w:val="Heading4"/>
    <w:next w:val="BodyText"/>
    <w:link w:val="Heading5Char"/>
    <w:qFormat/>
    <w:rsid w:val="00E725B8"/>
    <w:pPr>
      <w:outlineLvl w:val="4"/>
    </w:pPr>
    <w:rPr>
      <w:i/>
      <w:sz w:val="22"/>
    </w:rPr>
  </w:style>
  <w:style w:type="paragraph" w:styleId="Heading6">
    <w:name w:val="heading 6"/>
    <w:basedOn w:val="BodyText"/>
    <w:next w:val="BodyText"/>
    <w:link w:val="Heading6Char"/>
    <w:rsid w:val="00E725B8"/>
    <w:pPr>
      <w:spacing w:after="60"/>
      <w:jc w:val="left"/>
      <w:outlineLvl w:val="5"/>
    </w:pPr>
    <w:rPr>
      <w:i/>
      <w:sz w:val="22"/>
    </w:rPr>
  </w:style>
  <w:style w:type="paragraph" w:styleId="Heading7">
    <w:name w:val="heading 7"/>
    <w:basedOn w:val="BodyText"/>
    <w:next w:val="BodyText"/>
    <w:rsid w:val="00E725B8"/>
    <w:pPr>
      <w:spacing w:after="60" w:line="240" w:lineRule="auto"/>
      <w:jc w:val="left"/>
      <w:outlineLvl w:val="6"/>
    </w:pPr>
    <w:rPr>
      <w:rFonts w:ascii="Arial" w:hAnsi="Arial"/>
      <w:sz w:val="20"/>
    </w:rPr>
  </w:style>
  <w:style w:type="paragraph" w:styleId="Heading8">
    <w:name w:val="heading 8"/>
    <w:basedOn w:val="BodyText"/>
    <w:next w:val="BodyText"/>
    <w:rsid w:val="00E725B8"/>
    <w:pPr>
      <w:spacing w:after="60" w:line="240" w:lineRule="auto"/>
      <w:jc w:val="left"/>
      <w:outlineLvl w:val="7"/>
    </w:pPr>
    <w:rPr>
      <w:rFonts w:ascii="Arial" w:hAnsi="Arial"/>
      <w:i/>
      <w:sz w:val="20"/>
    </w:rPr>
  </w:style>
  <w:style w:type="paragraph" w:styleId="Heading9">
    <w:name w:val="heading 9"/>
    <w:basedOn w:val="BodyText"/>
    <w:next w:val="BodyText"/>
    <w:rsid w:val="00E725B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725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25B8"/>
  </w:style>
  <w:style w:type="paragraph" w:styleId="BodyText">
    <w:name w:val="Body Text"/>
    <w:link w:val="BodyTextChar"/>
    <w:qFormat/>
    <w:rsid w:val="00E725B8"/>
    <w:pPr>
      <w:spacing w:before="240" w:line="300" w:lineRule="atLeast"/>
      <w:jc w:val="both"/>
    </w:pPr>
    <w:rPr>
      <w:sz w:val="24"/>
    </w:rPr>
  </w:style>
  <w:style w:type="paragraph" w:customStyle="1" w:styleId="Chapter">
    <w:name w:val="Chapter"/>
    <w:basedOn w:val="Heading1"/>
    <w:next w:val="BodyText"/>
    <w:link w:val="ChapterChar"/>
    <w:semiHidden/>
    <w:rsid w:val="00E725B8"/>
    <w:pPr>
      <w:ind w:left="0" w:firstLine="0"/>
      <w:outlineLvl w:val="9"/>
    </w:pPr>
  </w:style>
  <w:style w:type="paragraph" w:customStyle="1" w:styleId="SequenceInfo">
    <w:name w:val="Sequence Info"/>
    <w:basedOn w:val="BodyText"/>
    <w:semiHidden/>
    <w:rsid w:val="00E725B8"/>
    <w:rPr>
      <w:vanish/>
      <w:sz w:val="16"/>
    </w:rPr>
  </w:style>
  <w:style w:type="paragraph" w:customStyle="1" w:styleId="InformationRequestBullet">
    <w:name w:val="Information Request Bullet"/>
    <w:basedOn w:val="ListBullet"/>
    <w:next w:val="BodyText"/>
    <w:rsid w:val="00E725B8"/>
    <w:pPr>
      <w:numPr>
        <w:numId w:val="13"/>
      </w:numPr>
      <w:spacing w:before="80" w:line="280" w:lineRule="atLeast"/>
      <w:ind w:left="357" w:hanging="357"/>
    </w:pPr>
    <w:rPr>
      <w:rFonts w:ascii="Arial" w:hAnsi="Arial"/>
      <w:i/>
      <w:sz w:val="22"/>
    </w:rPr>
  </w:style>
  <w:style w:type="paragraph" w:customStyle="1" w:styleId="InformationRequest">
    <w:name w:val="Information Request"/>
    <w:basedOn w:val="Finding"/>
    <w:next w:val="BodyText"/>
    <w:rsid w:val="00E725B8"/>
    <w:rPr>
      <w:i/>
    </w:rPr>
  </w:style>
  <w:style w:type="paragraph" w:customStyle="1" w:styleId="Abbreviation">
    <w:name w:val="Abbreviation"/>
    <w:basedOn w:val="BodyText"/>
    <w:rsid w:val="00E725B8"/>
    <w:pPr>
      <w:spacing w:before="120"/>
      <w:ind w:left="2381" w:hanging="2381"/>
      <w:jc w:val="left"/>
    </w:pPr>
  </w:style>
  <w:style w:type="paragraph" w:customStyle="1" w:styleId="Box">
    <w:name w:val="Box"/>
    <w:basedOn w:val="BodyText"/>
    <w:link w:val="BoxChar"/>
    <w:qFormat/>
    <w:rsid w:val="00E725B8"/>
    <w:pPr>
      <w:keepNext/>
      <w:spacing w:before="120" w:line="260" w:lineRule="atLeast"/>
    </w:pPr>
    <w:rPr>
      <w:rFonts w:ascii="Arial" w:hAnsi="Arial"/>
      <w:sz w:val="20"/>
    </w:rPr>
  </w:style>
  <w:style w:type="paragraph" w:customStyle="1" w:styleId="QuoteBullet">
    <w:name w:val="Quote Bullet"/>
    <w:basedOn w:val="Quote"/>
    <w:rsid w:val="00E725B8"/>
    <w:pPr>
      <w:numPr>
        <w:numId w:val="9"/>
      </w:numPr>
    </w:pPr>
  </w:style>
  <w:style w:type="paragraph" w:customStyle="1" w:styleId="BoxListBullet">
    <w:name w:val="Box List Bullet"/>
    <w:basedOn w:val="BodyText"/>
    <w:link w:val="BoxListBulletChar"/>
    <w:rsid w:val="00E725B8"/>
    <w:pPr>
      <w:keepNext/>
      <w:numPr>
        <w:numId w:val="4"/>
      </w:numPr>
      <w:spacing w:before="100" w:line="260" w:lineRule="atLeast"/>
    </w:pPr>
    <w:rPr>
      <w:rFonts w:ascii="Arial" w:hAnsi="Arial"/>
      <w:sz w:val="20"/>
    </w:rPr>
  </w:style>
  <w:style w:type="paragraph" w:customStyle="1" w:styleId="BoxListBullet2">
    <w:name w:val="Box List Bullet 2"/>
    <w:basedOn w:val="BoxListBullet"/>
    <w:rsid w:val="00E725B8"/>
    <w:pPr>
      <w:numPr>
        <w:numId w:val="1"/>
      </w:numPr>
      <w:ind w:left="568" w:hanging="284"/>
    </w:pPr>
  </w:style>
  <w:style w:type="paragraph" w:customStyle="1" w:styleId="BoxListNumber">
    <w:name w:val="Box List Number"/>
    <w:basedOn w:val="BodyText"/>
    <w:link w:val="BoxListNumberChar"/>
    <w:rsid w:val="00E725B8"/>
    <w:pPr>
      <w:keepNext/>
      <w:numPr>
        <w:numId w:val="11"/>
      </w:numPr>
      <w:spacing w:before="100" w:line="260" w:lineRule="atLeast"/>
    </w:pPr>
    <w:rPr>
      <w:rFonts w:ascii="Arial" w:hAnsi="Arial"/>
      <w:sz w:val="20"/>
    </w:rPr>
  </w:style>
  <w:style w:type="paragraph" w:customStyle="1" w:styleId="BoxListNumber2">
    <w:name w:val="Box List Number 2"/>
    <w:basedOn w:val="BoxListNumber"/>
    <w:link w:val="BoxListNumber2Char"/>
    <w:rsid w:val="00E725B8"/>
    <w:pPr>
      <w:numPr>
        <w:ilvl w:val="1"/>
      </w:numPr>
      <w:ind w:left="681" w:hanging="397"/>
    </w:pPr>
  </w:style>
  <w:style w:type="paragraph" w:customStyle="1" w:styleId="BoxQuote">
    <w:name w:val="Box Quote"/>
    <w:basedOn w:val="BodyText"/>
    <w:next w:val="Box"/>
    <w:qFormat/>
    <w:rsid w:val="00E725B8"/>
    <w:pPr>
      <w:keepNext/>
      <w:spacing w:before="60" w:line="240" w:lineRule="exact"/>
      <w:ind w:left="284"/>
    </w:pPr>
    <w:rPr>
      <w:rFonts w:ascii="Arial" w:hAnsi="Arial"/>
      <w:sz w:val="18"/>
    </w:rPr>
  </w:style>
  <w:style w:type="paragraph" w:customStyle="1" w:styleId="BoxSource">
    <w:name w:val="Box Source"/>
    <w:basedOn w:val="Source"/>
    <w:next w:val="BodyText"/>
    <w:rsid w:val="00E725B8"/>
    <w:pPr>
      <w:spacing w:before="120"/>
    </w:pPr>
  </w:style>
  <w:style w:type="paragraph" w:styleId="Footer">
    <w:name w:val="footer"/>
    <w:basedOn w:val="BodyText"/>
    <w:link w:val="FooterChar"/>
    <w:rsid w:val="00E725B8"/>
    <w:pPr>
      <w:spacing w:before="80" w:line="200" w:lineRule="exact"/>
      <w:ind w:right="6"/>
      <w:jc w:val="left"/>
    </w:pPr>
    <w:rPr>
      <w:rFonts w:ascii="Arial" w:hAnsi="Arial"/>
      <w:caps/>
      <w:spacing w:val="-4"/>
      <w:sz w:val="16"/>
    </w:rPr>
  </w:style>
  <w:style w:type="paragraph" w:customStyle="1" w:styleId="BoxSubtitle">
    <w:name w:val="Box Subtitle"/>
    <w:basedOn w:val="BoxTitle"/>
    <w:next w:val="Normal"/>
    <w:rsid w:val="00E725B8"/>
    <w:pPr>
      <w:spacing w:after="80" w:line="200" w:lineRule="exact"/>
      <w:ind w:firstLine="0"/>
    </w:pPr>
    <w:rPr>
      <w:b w:val="0"/>
      <w:sz w:val="20"/>
    </w:rPr>
  </w:style>
  <w:style w:type="paragraph" w:customStyle="1" w:styleId="BoxTitle">
    <w:name w:val="Box Title"/>
    <w:basedOn w:val="Caption"/>
    <w:next w:val="BoxSubtitle"/>
    <w:link w:val="BoxTitleChar"/>
    <w:rsid w:val="00E725B8"/>
    <w:pPr>
      <w:spacing w:before="120" w:after="0"/>
    </w:pPr>
  </w:style>
  <w:style w:type="paragraph" w:styleId="Caption">
    <w:name w:val="caption"/>
    <w:basedOn w:val="Normal"/>
    <w:next w:val="BodyText"/>
    <w:link w:val="CaptionChar"/>
    <w:rsid w:val="00E725B8"/>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E725B8"/>
    <w:pPr>
      <w:spacing w:line="280" w:lineRule="atLeast"/>
      <w:ind w:left="907"/>
    </w:pPr>
    <w:rPr>
      <w:rFonts w:ascii="Arial" w:hAnsi="Arial"/>
      <w:b/>
      <w:sz w:val="20"/>
    </w:rPr>
  </w:style>
  <w:style w:type="character" w:customStyle="1" w:styleId="DocumentInfo">
    <w:name w:val="Document Info"/>
    <w:basedOn w:val="DefaultParagraphFont"/>
    <w:semiHidden/>
    <w:rsid w:val="00E725B8"/>
    <w:rPr>
      <w:rFonts w:ascii="Arial" w:hAnsi="Arial"/>
      <w:sz w:val="14"/>
    </w:rPr>
  </w:style>
  <w:style w:type="character" w:customStyle="1" w:styleId="FooterChar">
    <w:name w:val="Footer Char"/>
    <w:basedOn w:val="BodyTextChar"/>
    <w:link w:val="Footer"/>
    <w:rsid w:val="00E725B8"/>
    <w:rPr>
      <w:rFonts w:ascii="Arial" w:hAnsi="Arial"/>
      <w:caps/>
      <w:spacing w:val="-4"/>
      <w:sz w:val="16"/>
    </w:rPr>
  </w:style>
  <w:style w:type="character" w:customStyle="1" w:styleId="DraftingNote">
    <w:name w:val="Drafting Note"/>
    <w:basedOn w:val="DefaultParagraphFont"/>
    <w:rsid w:val="00E725B8"/>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link w:val="FigureChar"/>
    <w:rsid w:val="00E725B8"/>
    <w:pPr>
      <w:keepNext/>
      <w:spacing w:before="120" w:after="120" w:line="240" w:lineRule="atLeast"/>
      <w:jc w:val="center"/>
    </w:pPr>
  </w:style>
  <w:style w:type="paragraph" w:customStyle="1" w:styleId="FigureTitle">
    <w:name w:val="Figure Title"/>
    <w:basedOn w:val="Caption"/>
    <w:next w:val="Subtitle"/>
    <w:link w:val="FigureTitleChar"/>
    <w:rsid w:val="00E725B8"/>
    <w:pPr>
      <w:spacing w:before="120"/>
    </w:pPr>
  </w:style>
  <w:style w:type="paragraph" w:styleId="Subtitle">
    <w:name w:val="Subtitle"/>
    <w:basedOn w:val="Caption"/>
    <w:link w:val="SubtitleChar"/>
    <w:qFormat/>
    <w:rsid w:val="00E725B8"/>
    <w:pPr>
      <w:spacing w:before="0" w:line="200" w:lineRule="exact"/>
      <w:ind w:firstLine="0"/>
    </w:pPr>
    <w:rPr>
      <w:b w:val="0"/>
      <w:sz w:val="20"/>
    </w:rPr>
  </w:style>
  <w:style w:type="paragraph" w:customStyle="1" w:styleId="Finding">
    <w:name w:val="Finding"/>
    <w:basedOn w:val="BodyText"/>
    <w:rsid w:val="00E725B8"/>
    <w:pPr>
      <w:keepLines/>
      <w:spacing w:before="120" w:line="280" w:lineRule="atLeast"/>
    </w:pPr>
    <w:rPr>
      <w:rFonts w:ascii="Arial" w:hAnsi="Arial"/>
      <w:sz w:val="22"/>
    </w:rPr>
  </w:style>
  <w:style w:type="paragraph" w:customStyle="1" w:styleId="FindingBullet">
    <w:name w:val="Finding Bullet"/>
    <w:basedOn w:val="Finding"/>
    <w:rsid w:val="00E725B8"/>
    <w:pPr>
      <w:numPr>
        <w:numId w:val="5"/>
      </w:numPr>
      <w:spacing w:before="80"/>
    </w:pPr>
  </w:style>
  <w:style w:type="paragraph" w:customStyle="1" w:styleId="HeaderEven">
    <w:name w:val="Header Even"/>
    <w:basedOn w:val="Header"/>
    <w:semiHidden/>
    <w:rsid w:val="00E725B8"/>
  </w:style>
  <w:style w:type="paragraph" w:customStyle="1" w:styleId="FindingTitle">
    <w:name w:val="Finding Title"/>
    <w:basedOn w:val="RecTitle"/>
    <w:next w:val="Finding"/>
    <w:rsid w:val="00E725B8"/>
  </w:style>
  <w:style w:type="paragraph" w:customStyle="1" w:styleId="FooterEnd">
    <w:name w:val="Footer End"/>
    <w:basedOn w:val="Footer"/>
    <w:rsid w:val="00E725B8"/>
    <w:pPr>
      <w:spacing w:before="0" w:line="20" w:lineRule="exact"/>
    </w:pPr>
  </w:style>
  <w:style w:type="paragraph" w:customStyle="1" w:styleId="HeaderOdd">
    <w:name w:val="Header Odd"/>
    <w:basedOn w:val="Header"/>
    <w:semiHidden/>
    <w:rsid w:val="00E725B8"/>
  </w:style>
  <w:style w:type="paragraph" w:styleId="FootnoteText">
    <w:name w:val="footnote text"/>
    <w:basedOn w:val="BodyText"/>
    <w:link w:val="FootnoteTextChar"/>
    <w:rsid w:val="00E725B8"/>
    <w:pPr>
      <w:tabs>
        <w:tab w:val="left" w:pos="284"/>
      </w:tabs>
      <w:spacing w:before="80" w:line="240" w:lineRule="exact"/>
      <w:ind w:left="284" w:hanging="284"/>
    </w:pPr>
    <w:rPr>
      <w:sz w:val="20"/>
    </w:rPr>
  </w:style>
  <w:style w:type="paragraph" w:styleId="Header">
    <w:name w:val="header"/>
    <w:basedOn w:val="BodyText"/>
    <w:link w:val="HeaderChar"/>
    <w:rsid w:val="00E725B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725B8"/>
    <w:pPr>
      <w:spacing w:line="20" w:lineRule="exact"/>
    </w:pPr>
    <w:rPr>
      <w:sz w:val="16"/>
    </w:rPr>
  </w:style>
  <w:style w:type="character" w:styleId="CommentReference">
    <w:name w:val="annotation reference"/>
    <w:basedOn w:val="DefaultParagraphFont"/>
    <w:rsid w:val="00E725B8"/>
    <w:rPr>
      <w:b/>
      <w:vanish/>
      <w:color w:val="FF00FF"/>
      <w:sz w:val="20"/>
    </w:rPr>
  </w:style>
  <w:style w:type="paragraph" w:styleId="CommentText">
    <w:name w:val="annotation text"/>
    <w:basedOn w:val="Normal"/>
    <w:link w:val="CommentTextChar"/>
    <w:rsid w:val="00E725B8"/>
    <w:pPr>
      <w:spacing w:before="120" w:line="240" w:lineRule="atLeast"/>
      <w:ind w:left="567" w:hanging="567"/>
    </w:pPr>
    <w:rPr>
      <w:sz w:val="20"/>
    </w:rPr>
  </w:style>
  <w:style w:type="character" w:customStyle="1" w:styleId="CommentTextChar">
    <w:name w:val="Comment Text Char"/>
    <w:basedOn w:val="DefaultParagraphFont"/>
    <w:link w:val="CommentText"/>
    <w:rsid w:val="00E65F69"/>
    <w:rPr>
      <w:szCs w:val="24"/>
    </w:rPr>
  </w:style>
  <w:style w:type="paragraph" w:styleId="ListBullet">
    <w:name w:val="List Bullet"/>
    <w:basedOn w:val="BodyText"/>
    <w:link w:val="ListBulletChar"/>
    <w:rsid w:val="00E725B8"/>
    <w:pPr>
      <w:numPr>
        <w:numId w:val="3"/>
      </w:numPr>
      <w:spacing w:before="120"/>
    </w:pPr>
  </w:style>
  <w:style w:type="paragraph" w:styleId="ListBullet2">
    <w:name w:val="List Bullet 2"/>
    <w:basedOn w:val="BodyText"/>
    <w:rsid w:val="00E725B8"/>
    <w:pPr>
      <w:numPr>
        <w:numId w:val="26"/>
      </w:numPr>
      <w:spacing w:before="120"/>
    </w:pPr>
  </w:style>
  <w:style w:type="paragraph" w:styleId="ListBullet3">
    <w:name w:val="List Bullet 3"/>
    <w:basedOn w:val="BodyText"/>
    <w:rsid w:val="00E725B8"/>
    <w:pPr>
      <w:numPr>
        <w:numId w:val="27"/>
      </w:numPr>
      <w:spacing w:before="120"/>
      <w:ind w:left="1020" w:hanging="340"/>
    </w:pPr>
  </w:style>
  <w:style w:type="paragraph" w:styleId="ListNumber">
    <w:name w:val="List Number"/>
    <w:basedOn w:val="BodyText"/>
    <w:rsid w:val="00E725B8"/>
    <w:pPr>
      <w:numPr>
        <w:numId w:val="28"/>
      </w:numPr>
      <w:spacing w:before="120"/>
    </w:pPr>
  </w:style>
  <w:style w:type="paragraph" w:styleId="ListNumber2">
    <w:name w:val="List Number 2"/>
    <w:basedOn w:val="ListNumber"/>
    <w:rsid w:val="00E725B8"/>
    <w:pPr>
      <w:numPr>
        <w:ilvl w:val="1"/>
      </w:numPr>
    </w:pPr>
  </w:style>
  <w:style w:type="paragraph" w:styleId="ListNumber3">
    <w:name w:val="List Number 3"/>
    <w:basedOn w:val="ListNumber2"/>
    <w:rsid w:val="00E725B8"/>
    <w:pPr>
      <w:numPr>
        <w:ilvl w:val="2"/>
      </w:numPr>
    </w:pPr>
  </w:style>
  <w:style w:type="paragraph" w:customStyle="1" w:styleId="Note">
    <w:name w:val="Note"/>
    <w:basedOn w:val="BodyText"/>
    <w:next w:val="BodyText"/>
    <w:link w:val="NoteChar"/>
    <w:rsid w:val="00E725B8"/>
    <w:pPr>
      <w:keepLines/>
      <w:spacing w:before="80" w:line="220" w:lineRule="exact"/>
    </w:pPr>
    <w:rPr>
      <w:rFonts w:ascii="Arial" w:hAnsi="Arial"/>
      <w:sz w:val="18"/>
    </w:rPr>
  </w:style>
  <w:style w:type="character" w:customStyle="1" w:styleId="NoteLabel">
    <w:name w:val="Note Label"/>
    <w:basedOn w:val="DefaultParagraphFont"/>
    <w:rsid w:val="00E725B8"/>
    <w:rPr>
      <w:rFonts w:ascii="Arial" w:hAnsi="Arial"/>
      <w:b/>
      <w:position w:val="6"/>
      <w:sz w:val="18"/>
    </w:rPr>
  </w:style>
  <w:style w:type="character" w:styleId="PageNumber">
    <w:name w:val="page number"/>
    <w:basedOn w:val="DefaultParagraphFont"/>
    <w:rsid w:val="00E725B8"/>
    <w:rPr>
      <w:rFonts w:ascii="Arial" w:hAnsi="Arial"/>
      <w:b/>
      <w:sz w:val="16"/>
    </w:rPr>
  </w:style>
  <w:style w:type="paragraph" w:customStyle="1" w:styleId="PartDivider">
    <w:name w:val="Part Divider"/>
    <w:basedOn w:val="BodyText"/>
    <w:next w:val="BodyText"/>
    <w:semiHidden/>
    <w:rsid w:val="00E725B8"/>
    <w:pPr>
      <w:spacing w:before="0" w:line="40" w:lineRule="exact"/>
      <w:jc w:val="right"/>
    </w:pPr>
    <w:rPr>
      <w:smallCaps/>
      <w:sz w:val="16"/>
    </w:rPr>
  </w:style>
  <w:style w:type="paragraph" w:customStyle="1" w:styleId="PartNumber">
    <w:name w:val="Part Number"/>
    <w:basedOn w:val="BodyText"/>
    <w:next w:val="BodyText"/>
    <w:semiHidden/>
    <w:rsid w:val="00E725B8"/>
    <w:pPr>
      <w:spacing w:before="4000" w:line="320" w:lineRule="exact"/>
      <w:ind w:left="6634"/>
      <w:jc w:val="right"/>
    </w:pPr>
    <w:rPr>
      <w:smallCaps/>
      <w:spacing w:val="60"/>
      <w:sz w:val="32"/>
    </w:rPr>
  </w:style>
  <w:style w:type="paragraph" w:customStyle="1" w:styleId="PartTitle">
    <w:name w:val="Part Title"/>
    <w:basedOn w:val="BodyText"/>
    <w:semiHidden/>
    <w:rsid w:val="00E725B8"/>
    <w:pPr>
      <w:spacing w:before="160" w:after="1360" w:line="520" w:lineRule="exact"/>
      <w:ind w:right="2381"/>
      <w:jc w:val="right"/>
    </w:pPr>
    <w:rPr>
      <w:smallCaps/>
      <w:sz w:val="52"/>
    </w:rPr>
  </w:style>
  <w:style w:type="paragraph" w:styleId="Quote">
    <w:name w:val="Quote"/>
    <w:basedOn w:val="BodyText"/>
    <w:next w:val="BodyText"/>
    <w:link w:val="QuoteChar"/>
    <w:qFormat/>
    <w:rsid w:val="00E725B8"/>
    <w:pPr>
      <w:spacing w:before="120" w:line="280" w:lineRule="exact"/>
      <w:ind w:left="340"/>
    </w:pPr>
    <w:rPr>
      <w:sz w:val="22"/>
    </w:rPr>
  </w:style>
  <w:style w:type="paragraph" w:customStyle="1" w:styleId="Rec">
    <w:name w:val="Rec"/>
    <w:basedOn w:val="BodyText"/>
    <w:qFormat/>
    <w:rsid w:val="00E725B8"/>
    <w:pPr>
      <w:keepLines/>
      <w:spacing w:before="120" w:line="280" w:lineRule="atLeast"/>
    </w:pPr>
    <w:rPr>
      <w:rFonts w:ascii="Arial" w:hAnsi="Arial"/>
      <w:sz w:val="22"/>
    </w:rPr>
  </w:style>
  <w:style w:type="paragraph" w:customStyle="1" w:styleId="RecBullet">
    <w:name w:val="Rec Bullet"/>
    <w:basedOn w:val="Rec"/>
    <w:rsid w:val="00E725B8"/>
    <w:pPr>
      <w:numPr>
        <w:numId w:val="6"/>
      </w:numPr>
      <w:spacing w:before="80"/>
    </w:pPr>
  </w:style>
  <w:style w:type="paragraph" w:customStyle="1" w:styleId="RecTitle">
    <w:name w:val="Rec Title"/>
    <w:basedOn w:val="BodyText"/>
    <w:next w:val="Rec"/>
    <w:qFormat/>
    <w:rsid w:val="00E725B8"/>
    <w:pPr>
      <w:keepNext/>
      <w:keepLines/>
      <w:spacing w:line="280" w:lineRule="atLeast"/>
    </w:pPr>
    <w:rPr>
      <w:rFonts w:ascii="Arial" w:hAnsi="Arial"/>
      <w:caps/>
      <w:sz w:val="18"/>
    </w:rPr>
  </w:style>
  <w:style w:type="paragraph" w:customStyle="1" w:styleId="RecB">
    <w:name w:val="RecB"/>
    <w:basedOn w:val="Normal"/>
    <w:rsid w:val="00E725B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725B8"/>
    <w:pPr>
      <w:numPr>
        <w:numId w:val="7"/>
      </w:numPr>
      <w:spacing w:before="80"/>
    </w:pPr>
  </w:style>
  <w:style w:type="paragraph" w:customStyle="1" w:styleId="RecBNoTitle">
    <w:name w:val="RecB NoTitle"/>
    <w:basedOn w:val="RecB"/>
    <w:rsid w:val="00E725B8"/>
    <w:pPr>
      <w:spacing w:before="240"/>
    </w:pPr>
  </w:style>
  <w:style w:type="paragraph" w:customStyle="1" w:styleId="Reference">
    <w:name w:val="Reference"/>
    <w:basedOn w:val="BodyText"/>
    <w:link w:val="ReferenceChar"/>
    <w:rsid w:val="00E725B8"/>
    <w:pPr>
      <w:spacing w:before="120"/>
      <w:ind w:left="340" w:hanging="340"/>
    </w:pPr>
  </w:style>
  <w:style w:type="paragraph" w:customStyle="1" w:styleId="SideNote">
    <w:name w:val="Side Note"/>
    <w:basedOn w:val="BodyText"/>
    <w:next w:val="BodyText"/>
    <w:semiHidden/>
    <w:rsid w:val="00E725B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725B8"/>
    <w:pPr>
      <w:framePr w:wrap="around"/>
      <w:numPr>
        <w:numId w:val="2"/>
      </w:numPr>
      <w:tabs>
        <w:tab w:val="left" w:pos="227"/>
      </w:tabs>
    </w:pPr>
  </w:style>
  <w:style w:type="paragraph" w:customStyle="1" w:styleId="SideNoteGraphic">
    <w:name w:val="Side Note Graphic"/>
    <w:basedOn w:val="SideNote"/>
    <w:next w:val="BodyText"/>
    <w:semiHidden/>
    <w:rsid w:val="00E725B8"/>
    <w:pPr>
      <w:framePr w:wrap="around"/>
    </w:pPr>
  </w:style>
  <w:style w:type="paragraph" w:customStyle="1" w:styleId="Source">
    <w:name w:val="Source"/>
    <w:basedOn w:val="Normal"/>
    <w:next w:val="BodyText"/>
    <w:link w:val="SourceChar"/>
    <w:rsid w:val="00E725B8"/>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E725B8"/>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E725B8"/>
    <w:pPr>
      <w:numPr>
        <w:numId w:val="8"/>
      </w:numPr>
      <w:jc w:val="left"/>
    </w:pPr>
  </w:style>
  <w:style w:type="paragraph" w:customStyle="1" w:styleId="TableColumnHeading">
    <w:name w:val="Table Column Heading"/>
    <w:basedOn w:val="TableBodyText"/>
    <w:rsid w:val="00E725B8"/>
    <w:pPr>
      <w:spacing w:before="80" w:after="80"/>
    </w:pPr>
    <w:rPr>
      <w:i/>
    </w:rPr>
  </w:style>
  <w:style w:type="paragraph" w:customStyle="1" w:styleId="FindingNoTitle">
    <w:name w:val="Finding NoTitle"/>
    <w:basedOn w:val="Finding"/>
    <w:semiHidden/>
    <w:rsid w:val="00E725B8"/>
    <w:pPr>
      <w:spacing w:before="240"/>
    </w:pPr>
  </w:style>
  <w:style w:type="paragraph" w:styleId="TOC3">
    <w:name w:val="toc 3"/>
    <w:basedOn w:val="TOC2"/>
    <w:rsid w:val="00E725B8"/>
    <w:pPr>
      <w:spacing w:before="60"/>
      <w:ind w:left="1190" w:hanging="680"/>
    </w:pPr>
  </w:style>
  <w:style w:type="paragraph" w:customStyle="1" w:styleId="TableTitle">
    <w:name w:val="Table Title"/>
    <w:basedOn w:val="Caption"/>
    <w:next w:val="Subtitle"/>
    <w:qFormat/>
    <w:rsid w:val="00E725B8"/>
    <w:pPr>
      <w:spacing w:before="120"/>
    </w:pPr>
  </w:style>
  <w:style w:type="paragraph" w:customStyle="1" w:styleId="TableUnitsRow">
    <w:name w:val="Table Units Row"/>
    <w:basedOn w:val="TableBodyText"/>
    <w:rsid w:val="00E725B8"/>
    <w:pPr>
      <w:spacing w:before="40"/>
    </w:pPr>
  </w:style>
  <w:style w:type="paragraph" w:styleId="TOC1">
    <w:name w:val="toc 1"/>
    <w:basedOn w:val="Normal"/>
    <w:next w:val="TOC2"/>
    <w:link w:val="TOC1Char"/>
    <w:rsid w:val="00E725B8"/>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E725B8"/>
    <w:pPr>
      <w:ind w:left="1134" w:hanging="624"/>
    </w:pPr>
    <w:rPr>
      <w:b w:val="0"/>
    </w:rPr>
  </w:style>
  <w:style w:type="paragraph" w:styleId="TOC4">
    <w:name w:val="toc 4"/>
    <w:basedOn w:val="TOC3"/>
    <w:semiHidden/>
    <w:rsid w:val="00E725B8"/>
    <w:pPr>
      <w:ind w:left="1191" w:firstLine="0"/>
    </w:pPr>
  </w:style>
  <w:style w:type="paragraph" w:customStyle="1" w:styleId="BoxContinued">
    <w:name w:val="Box Continued"/>
    <w:basedOn w:val="BodyText"/>
    <w:next w:val="BodyText"/>
    <w:link w:val="BoxContinuedChar"/>
    <w:semiHidden/>
    <w:rsid w:val="00E725B8"/>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E725B8"/>
  </w:style>
  <w:style w:type="paragraph" w:customStyle="1" w:styleId="BoxHeading1">
    <w:name w:val="Box Heading 1"/>
    <w:basedOn w:val="BodyText"/>
    <w:next w:val="Box"/>
    <w:link w:val="BoxHeading1Char"/>
    <w:rsid w:val="00E725B8"/>
    <w:pPr>
      <w:keepNext/>
      <w:spacing w:before="200" w:line="280" w:lineRule="atLeast"/>
    </w:pPr>
    <w:rPr>
      <w:rFonts w:ascii="Arial" w:hAnsi="Arial"/>
      <w:b/>
      <w:sz w:val="22"/>
    </w:rPr>
  </w:style>
  <w:style w:type="paragraph" w:customStyle="1" w:styleId="BoxHeading2">
    <w:name w:val="Box Heading 2"/>
    <w:basedOn w:val="BoxHeading1"/>
    <w:next w:val="Normal"/>
    <w:rsid w:val="00E725B8"/>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rPr>
  </w:style>
  <w:style w:type="character" w:customStyle="1" w:styleId="BoxListNumberChar">
    <w:name w:val="Box List Number Char"/>
    <w:basedOn w:val="BoxChar"/>
    <w:link w:val="BoxListNumber"/>
    <w:rsid w:val="000F4BFC"/>
    <w:rPr>
      <w:rFonts w:ascii="Arial" w:hAnsi="Arial"/>
    </w:rPr>
  </w:style>
  <w:style w:type="character" w:customStyle="1" w:styleId="BoxListNumber2Char">
    <w:name w:val="Box List Number 2 Char"/>
    <w:basedOn w:val="BoxListNumberChar"/>
    <w:link w:val="BoxListNumber2"/>
    <w:rsid w:val="000F4BFC"/>
    <w:rPr>
      <w:rFonts w:ascii="Arial" w:hAnsi="Arial"/>
    </w:rPr>
  </w:style>
  <w:style w:type="character" w:styleId="FootnoteReference">
    <w:name w:val="footnote reference"/>
    <w:basedOn w:val="DefaultParagraphFont"/>
    <w:rsid w:val="00E725B8"/>
    <w:rPr>
      <w:rFonts w:ascii="Times New Roman" w:hAnsi="Times New Roman"/>
      <w:position w:val="6"/>
      <w:sz w:val="20"/>
      <w:vertAlign w:val="baseline"/>
    </w:rPr>
  </w:style>
  <w:style w:type="paragraph" w:styleId="BalloonText">
    <w:name w:val="Balloon Text"/>
    <w:basedOn w:val="Normal"/>
    <w:link w:val="BalloonTextChar"/>
    <w:rsid w:val="00E725B8"/>
    <w:rPr>
      <w:rFonts w:ascii="Tahoma" w:hAnsi="Tahoma" w:cs="Tahoma"/>
      <w:sz w:val="16"/>
      <w:szCs w:val="16"/>
    </w:rPr>
  </w:style>
  <w:style w:type="character" w:customStyle="1" w:styleId="Heading1Char">
    <w:name w:val="Heading 1 Char"/>
    <w:link w:val="Heading1"/>
    <w:rsid w:val="00E672DA"/>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672DA"/>
    <w:rPr>
      <w:rFonts w:ascii="Arial" w:hAnsi="Arial"/>
      <w:b/>
      <w:sz w:val="32"/>
    </w:rPr>
  </w:style>
  <w:style w:type="character" w:customStyle="1" w:styleId="Heading3Char">
    <w:name w:val="Heading 3 Char"/>
    <w:link w:val="Heading3"/>
    <w:rsid w:val="00E672DA"/>
    <w:rPr>
      <w:rFonts w:ascii="Arial" w:hAnsi="Arial"/>
      <w:b/>
      <w:sz w:val="26"/>
    </w:rPr>
  </w:style>
  <w:style w:type="character" w:customStyle="1" w:styleId="BoxListBulletChar">
    <w:name w:val="Box List Bullet Char"/>
    <w:basedOn w:val="BoxChar"/>
    <w:link w:val="BoxListBullet"/>
    <w:rsid w:val="00746CA7"/>
    <w:rPr>
      <w:rFonts w:ascii="Arial" w:hAnsi="Arial"/>
    </w:rPr>
  </w:style>
  <w:style w:type="paragraph" w:styleId="DocumentMap">
    <w:name w:val="Document Map"/>
    <w:basedOn w:val="Normal"/>
    <w:semiHidden/>
    <w:rsid w:val="00E672DA"/>
    <w:pPr>
      <w:shd w:val="clear" w:color="auto" w:fill="000080"/>
    </w:pPr>
    <w:rPr>
      <w:rFonts w:ascii="Tahoma" w:hAnsi="Tahoma" w:cs="Tahoma"/>
      <w:sz w:val="20"/>
      <w:szCs w:val="20"/>
    </w:rPr>
  </w:style>
  <w:style w:type="character" w:customStyle="1" w:styleId="BodyTextChar">
    <w:name w:val="Body Text Char"/>
    <w:basedOn w:val="DefaultParagraphFont"/>
    <w:link w:val="BodyText"/>
    <w:rsid w:val="00E725B8"/>
    <w:rPr>
      <w:sz w:val="24"/>
    </w:rPr>
  </w:style>
  <w:style w:type="character" w:customStyle="1" w:styleId="TableBodyTextChar">
    <w:name w:val="Table Body Text Char"/>
    <w:link w:val="TableBodyText"/>
    <w:rsid w:val="00FD28F6"/>
    <w:rPr>
      <w:rFonts w:ascii="Arial" w:hAnsi="Arial"/>
      <w:sz w:val="18"/>
    </w:rPr>
  </w:style>
  <w:style w:type="character" w:customStyle="1" w:styleId="TableBulletChar">
    <w:name w:val="Table Bullet Char"/>
    <w:basedOn w:val="TableBodyTextChar"/>
    <w:link w:val="TableBullet"/>
    <w:rsid w:val="00AB3040"/>
    <w:rPr>
      <w:rFonts w:ascii="Arial" w:hAnsi="Arial"/>
      <w:sz w:val="18"/>
    </w:rPr>
  </w:style>
  <w:style w:type="paragraph" w:customStyle="1" w:styleId="Jurisdictioncommentsbodytext">
    <w:name w:val="Jurisdiction comments body text"/>
    <w:link w:val="JurisdictioncommentsbodytextChar"/>
    <w:rsid w:val="00E725B8"/>
    <w:pPr>
      <w:spacing w:after="140"/>
      <w:jc w:val="both"/>
    </w:pPr>
    <w:rPr>
      <w:rFonts w:ascii="Arial" w:hAnsi="Arial"/>
      <w:sz w:val="24"/>
      <w:lang w:eastAsia="en-US"/>
    </w:rPr>
  </w:style>
  <w:style w:type="paragraph" w:customStyle="1" w:styleId="Jurisdictioncommentsheading">
    <w:name w:val="Jurisdiction comments heading"/>
    <w:rsid w:val="00E725B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725B8"/>
    <w:pPr>
      <w:numPr>
        <w:numId w:val="10"/>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E725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TOC3"/>
    <w:next w:val="BodyText"/>
    <w:rsid w:val="00E725B8"/>
    <w:pPr>
      <w:ind w:left="737" w:hanging="737"/>
    </w:p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basedOn w:val="BodyTextChar"/>
    <w:link w:val="ListBullet"/>
    <w:rsid w:val="00F70B21"/>
    <w:rPr>
      <w:sz w:val="24"/>
    </w:rPr>
  </w:style>
  <w:style w:type="character" w:customStyle="1" w:styleId="Heading4Char">
    <w:name w:val="Heading 4 Char"/>
    <w:link w:val="Heading4"/>
    <w:rsid w:val="00E672DA"/>
    <w:rPr>
      <w:rFonts w:ascii="Arial" w:hAnsi="Arial"/>
      <w:sz w:val="24"/>
    </w:rPr>
  </w:style>
  <w:style w:type="character" w:customStyle="1" w:styleId="Heading5Char">
    <w:name w:val="Heading 5 Char"/>
    <w:basedOn w:val="DefaultParagraphFont"/>
    <w:link w:val="Heading5"/>
    <w:rsid w:val="00E725B8"/>
    <w:rPr>
      <w:rFonts w:ascii="Arial" w:hAnsi="Arial"/>
      <w:i/>
      <w:sz w:val="22"/>
    </w:rPr>
  </w:style>
  <w:style w:type="character" w:customStyle="1" w:styleId="CaptionChar">
    <w:name w:val="Caption Char"/>
    <w:link w:val="Caption"/>
    <w:rsid w:val="00BD7D82"/>
    <w:rPr>
      <w:rFonts w:ascii="Arial" w:hAnsi="Arial"/>
      <w:b/>
      <w:sz w:val="24"/>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character" w:customStyle="1" w:styleId="FigureChar">
    <w:name w:val="Figure Char"/>
    <w:basedOn w:val="BodyTextChar"/>
    <w:link w:val="Figure"/>
    <w:rsid w:val="001C2D5C"/>
    <w:rPr>
      <w:sz w:val="24"/>
    </w:rPr>
  </w:style>
  <w:style w:type="paragraph" w:customStyle="1" w:styleId="RecBBullet2">
    <w:name w:val="RecB Bullet 2"/>
    <w:basedOn w:val="ListBullet2"/>
    <w:semiHidden/>
    <w:rsid w:val="00E725B8"/>
    <w:pPr>
      <w:pBdr>
        <w:left w:val="single" w:sz="24" w:space="29" w:color="C0C0C0"/>
      </w:pBdr>
    </w:pPr>
    <w:rPr>
      <w:b/>
      <w:i/>
    </w:rPr>
  </w:style>
  <w:style w:type="character" w:customStyle="1" w:styleId="BalloonTextChar">
    <w:name w:val="Balloon Text Char"/>
    <w:basedOn w:val="DefaultParagraphFont"/>
    <w:link w:val="BalloonText"/>
    <w:rsid w:val="00E725B8"/>
    <w:rPr>
      <w:rFonts w:ascii="Tahoma" w:hAnsi="Tahoma" w:cs="Tahoma"/>
      <w:sz w:val="16"/>
      <w:szCs w:val="16"/>
    </w:rPr>
  </w:style>
  <w:style w:type="character" w:customStyle="1" w:styleId="SubtitleChar">
    <w:name w:val="Subtitle Char"/>
    <w:basedOn w:val="DefaultParagraphFont"/>
    <w:link w:val="Subtitle"/>
    <w:rsid w:val="00E725B8"/>
    <w:rPr>
      <w:rFonts w:ascii="Arial" w:hAnsi="Arial"/>
      <w:szCs w:val="24"/>
    </w:rPr>
  </w:style>
  <w:style w:type="paragraph" w:customStyle="1" w:styleId="BoxListBullet3">
    <w:name w:val="Box List Bullet 3"/>
    <w:basedOn w:val="ListBullet3"/>
    <w:rsid w:val="00E725B8"/>
    <w:pPr>
      <w:numPr>
        <w:numId w:val="15"/>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725B8"/>
    <w:rPr>
      <w:i/>
      <w:iCs/>
    </w:rPr>
  </w:style>
  <w:style w:type="paragraph" w:customStyle="1" w:styleId="BoxQuoteBullet">
    <w:name w:val="Box Quote Bullet"/>
    <w:basedOn w:val="BoxQuote"/>
    <w:next w:val="Box"/>
    <w:rsid w:val="00E725B8"/>
    <w:pPr>
      <w:numPr>
        <w:numId w:val="12"/>
      </w:numPr>
      <w:ind w:left="568" w:hanging="284"/>
    </w:pPr>
  </w:style>
  <w:style w:type="numbering" w:styleId="ArticleSection">
    <w:name w:val="Outline List 3"/>
    <w:basedOn w:val="NoList"/>
    <w:rsid w:val="00E672DA"/>
    <w:pPr>
      <w:numPr>
        <w:numId w:val="14"/>
      </w:numPr>
    </w:pPr>
  </w:style>
  <w:style w:type="character" w:customStyle="1" w:styleId="FootnoteTextChar">
    <w:name w:val="Footnote Text Char"/>
    <w:basedOn w:val="DefaultParagraphFont"/>
    <w:link w:val="FootnoteText"/>
    <w:rsid w:val="00FA0312"/>
  </w:style>
  <w:style w:type="paragraph" w:customStyle="1" w:styleId="BoxSpaceAbove">
    <w:name w:val="Box Space Above"/>
    <w:basedOn w:val="BodyText"/>
    <w:rsid w:val="00E725B8"/>
    <w:pPr>
      <w:keepNext/>
      <w:spacing w:before="360" w:line="80" w:lineRule="exact"/>
      <w:jc w:val="left"/>
    </w:pPr>
  </w:style>
  <w:style w:type="paragraph" w:customStyle="1" w:styleId="BoxSpaceBelow">
    <w:name w:val="Box Space Below"/>
    <w:basedOn w:val="Box"/>
    <w:rsid w:val="00E725B8"/>
    <w:pPr>
      <w:keepNext w:val="0"/>
      <w:spacing w:before="60" w:after="60" w:line="80" w:lineRule="exact"/>
    </w:pPr>
    <w:rPr>
      <w:sz w:val="14"/>
    </w:rPr>
  </w:style>
  <w:style w:type="table" w:customStyle="1" w:styleId="AIHWTable">
    <w:name w:val="AIHW Table"/>
    <w:basedOn w:val="TableNormal"/>
    <w:rsid w:val="00E672DA"/>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E672DA"/>
    <w:rPr>
      <w:rFonts w:ascii="Book Antiqua" w:hAnsi="Book Antiqua"/>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erChar">
    <w:name w:val="Header Char"/>
    <w:link w:val="Header"/>
    <w:rsid w:val="00E672DA"/>
    <w:rPr>
      <w:rFonts w:ascii="Arial" w:hAnsi="Arial"/>
      <w:caps/>
      <w:sz w:val="24"/>
    </w:rPr>
  </w:style>
  <w:style w:type="numbering" w:styleId="111111">
    <w:name w:val="Outline List 2"/>
    <w:basedOn w:val="NoList"/>
    <w:rsid w:val="00E672DA"/>
    <w:pPr>
      <w:numPr>
        <w:numId w:val="17"/>
      </w:numPr>
    </w:pPr>
  </w:style>
  <w:style w:type="numbering" w:styleId="1ai">
    <w:name w:val="Outline List 1"/>
    <w:basedOn w:val="NoList"/>
    <w:rsid w:val="00E672DA"/>
    <w:pPr>
      <w:numPr>
        <w:numId w:val="18"/>
      </w:numPr>
    </w:pPr>
  </w:style>
  <w:style w:type="table" w:styleId="Table3Deffects1">
    <w:name w:val="Table 3D effects 1"/>
    <w:basedOn w:val="TableNormal"/>
    <w:rsid w:val="00E672DA"/>
    <w:pPr>
      <w:spacing w:after="40"/>
    </w:pPr>
    <w:rPr>
      <w:rFonts w:ascii="Book Antiqua" w:hAnsi="Book Antiqu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672DA"/>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672DA"/>
    <w:pPr>
      <w:spacing w:after="40"/>
    </w:pPr>
    <w:rPr>
      <w:rFonts w:ascii="Book Antiqua" w:hAnsi="Book Antiqua"/>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672DA"/>
    <w:pPr>
      <w:spacing w:after="40"/>
    </w:pPr>
    <w:rPr>
      <w:rFonts w:ascii="Book Antiqua" w:hAnsi="Book Antiqu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672DA"/>
    <w:pPr>
      <w:spacing w:after="40"/>
    </w:pPr>
    <w:rPr>
      <w:rFonts w:ascii="Book Antiqua" w:hAnsi="Book Antiqua"/>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672DA"/>
    <w:pPr>
      <w:spacing w:after="40"/>
    </w:pPr>
    <w:rPr>
      <w:rFonts w:ascii="Book Antiqua" w:hAnsi="Book Antiqu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672DA"/>
    <w:pPr>
      <w:spacing w:after="40"/>
    </w:pPr>
    <w:rPr>
      <w:rFonts w:ascii="Book Antiqua" w:hAnsi="Book Antiqu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672DA"/>
    <w:pPr>
      <w:spacing w:after="40"/>
    </w:pPr>
    <w:rPr>
      <w:rFonts w:ascii="Book Antiqua" w:hAnsi="Book Antiqua"/>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672DA"/>
    <w:pPr>
      <w:spacing w:after="40"/>
    </w:pPr>
    <w:rPr>
      <w:rFonts w:ascii="Book Antiqua" w:hAnsi="Book Antiqua"/>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672DA"/>
    <w:pPr>
      <w:spacing w:after="40"/>
    </w:pPr>
    <w:rPr>
      <w:rFonts w:ascii="Book Antiqua" w:hAnsi="Book Antiqua"/>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672DA"/>
    <w:pPr>
      <w:spacing w:after="40"/>
    </w:pPr>
    <w:rPr>
      <w:rFonts w:ascii="Book Antiqua" w:hAnsi="Book Antiqu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672DA"/>
    <w:pPr>
      <w:spacing w:after="40"/>
    </w:pPr>
    <w:rPr>
      <w:rFonts w:ascii="Book Antiqua" w:hAnsi="Book Antiqu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672DA"/>
    <w:pPr>
      <w:spacing w:after="40"/>
    </w:pPr>
    <w:rPr>
      <w:rFonts w:ascii="Book Antiqua" w:hAnsi="Book Antiqu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672DA"/>
    <w:pPr>
      <w:spacing w:after="40"/>
    </w:pPr>
    <w:rPr>
      <w:rFonts w:ascii="Book Antiqua" w:hAnsi="Book Antiqu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672DA"/>
    <w:pPr>
      <w:spacing w:after="40"/>
    </w:pPr>
    <w:rPr>
      <w:rFonts w:ascii="Book Antiqua" w:hAnsi="Book Antiqu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672DA"/>
    <w:pPr>
      <w:spacing w:after="40"/>
    </w:pPr>
    <w:rPr>
      <w:rFonts w:ascii="Book Antiqua" w:hAnsi="Book Antiqu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672DA"/>
    <w:pPr>
      <w:spacing w:after="40"/>
    </w:pPr>
    <w:rPr>
      <w:rFonts w:ascii="Book Antiqua" w:hAnsi="Book Antiq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672DA"/>
    <w:pPr>
      <w:spacing w:after="40"/>
    </w:pPr>
    <w:rPr>
      <w:rFonts w:ascii="Book Antiqua" w:hAnsi="Book Antiqua"/>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672DA"/>
    <w:pPr>
      <w:spacing w:after="40"/>
    </w:pPr>
    <w:rPr>
      <w:rFonts w:ascii="Book Antiqua" w:hAnsi="Book Antiqu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672DA"/>
    <w:pPr>
      <w:spacing w:after="40"/>
    </w:pPr>
    <w:rPr>
      <w:rFonts w:ascii="Book Antiqua" w:hAnsi="Book Antiqu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672DA"/>
    <w:pPr>
      <w:spacing w:after="40"/>
    </w:pPr>
    <w:rPr>
      <w:rFonts w:ascii="Book Antiqua" w:hAnsi="Book Antiqu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672DA"/>
    <w:pPr>
      <w:spacing w:after="40"/>
    </w:pPr>
    <w:rPr>
      <w:rFonts w:ascii="Book Antiqua" w:hAnsi="Book Antiqu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672DA"/>
    <w:pPr>
      <w:spacing w:after="40"/>
    </w:pPr>
    <w:rPr>
      <w:rFonts w:ascii="Book Antiqua" w:hAnsi="Book Antiqu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672DA"/>
    <w:pPr>
      <w:spacing w:after="40"/>
    </w:pPr>
    <w:rPr>
      <w:rFonts w:ascii="Book Antiqua" w:hAnsi="Book Antiqu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672DA"/>
    <w:pPr>
      <w:spacing w:after="40"/>
    </w:pPr>
    <w:rPr>
      <w:rFonts w:ascii="Book Antiqua" w:hAnsi="Book Antiqu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672DA"/>
    <w:pPr>
      <w:spacing w:after="40"/>
    </w:pPr>
    <w:rPr>
      <w:rFonts w:ascii="Book Antiqua" w:hAnsi="Book Antiqu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672DA"/>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E672DA"/>
    <w:pPr>
      <w:spacing w:after="40"/>
    </w:pPr>
    <w:rPr>
      <w:rFonts w:ascii="Book Antiqua" w:hAnsi="Book Antiq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672DA"/>
    <w:pPr>
      <w:spacing w:after="40"/>
    </w:pPr>
    <w:rPr>
      <w:rFonts w:ascii="Book Antiqua" w:hAnsi="Book Antiqu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672DA"/>
    <w:pPr>
      <w:spacing w:after="40"/>
    </w:pPr>
    <w:rPr>
      <w:rFonts w:ascii="Book Antiqua" w:hAnsi="Book Antiqu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6Char">
    <w:name w:val="Heading 6 Char"/>
    <w:link w:val="Heading6"/>
    <w:rsid w:val="00E672DA"/>
    <w:rPr>
      <w:i/>
      <w:sz w:val="22"/>
    </w:rPr>
  </w:style>
  <w:style w:type="character" w:customStyle="1" w:styleId="QuoteChar">
    <w:name w:val="Quote Char"/>
    <w:link w:val="Quote"/>
    <w:rsid w:val="00AD65B3"/>
    <w:rPr>
      <w:sz w:val="22"/>
    </w:rPr>
  </w:style>
  <w:style w:type="paragraph" w:customStyle="1" w:styleId="KeyPointsListBullet">
    <w:name w:val="Key Points List Bullet"/>
    <w:basedOn w:val="Normal"/>
    <w:qFormat/>
    <w:rsid w:val="00E725B8"/>
    <w:pPr>
      <w:keepNext/>
      <w:numPr>
        <w:numId w:val="2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725B8"/>
    <w:pPr>
      <w:numPr>
        <w:numId w:val="30"/>
      </w:numPr>
      <w:ind w:left="568" w:hanging="284"/>
    </w:pPr>
  </w:style>
  <w:style w:type="paragraph" w:customStyle="1" w:styleId="InformationRequestTitle">
    <w:name w:val="Information Request Title"/>
    <w:basedOn w:val="FindingTitle"/>
    <w:next w:val="InformationRequest"/>
    <w:rsid w:val="00E725B8"/>
    <w:rPr>
      <w:i/>
    </w:rPr>
  </w:style>
  <w:style w:type="paragraph" w:customStyle="1" w:styleId="Space">
    <w:name w:val="Space"/>
    <w:basedOn w:val="Normal"/>
    <w:rsid w:val="00E725B8"/>
    <w:pPr>
      <w:keepNext/>
      <w:spacing w:line="120" w:lineRule="exact"/>
      <w:jc w:val="both"/>
    </w:pPr>
    <w:rPr>
      <w:rFonts w:ascii="Arial" w:hAnsi="Arial"/>
      <w:sz w:val="20"/>
      <w:szCs w:val="20"/>
    </w:rPr>
  </w:style>
  <w:style w:type="paragraph" w:customStyle="1" w:styleId="Heading1nochapterno">
    <w:name w:val="Heading 1 (no chapter no.)"/>
    <w:basedOn w:val="Heading1"/>
    <w:rsid w:val="00E725B8"/>
    <w:pPr>
      <w:spacing w:before="0"/>
      <w:ind w:left="0" w:firstLine="0"/>
    </w:pPr>
  </w:style>
  <w:style w:type="paragraph" w:customStyle="1" w:styleId="Heading2nosectionno">
    <w:name w:val="Heading 2 (no section no.)"/>
    <w:basedOn w:val="Heading2"/>
    <w:rsid w:val="00E725B8"/>
    <w:pPr>
      <w:ind w:left="0" w:firstLine="0"/>
    </w:pPr>
  </w:style>
  <w:style w:type="paragraph" w:customStyle="1" w:styleId="Figurespace">
    <w:name w:val="Figure space"/>
    <w:basedOn w:val="Box"/>
    <w:rsid w:val="00E725B8"/>
    <w:pPr>
      <w:spacing w:before="0" w:line="120" w:lineRule="exact"/>
    </w:pPr>
  </w:style>
  <w:style w:type="paragraph" w:customStyle="1" w:styleId="FooterDraftReport">
    <w:name w:val="FooterDraftReport"/>
    <w:basedOn w:val="Footer"/>
    <w:link w:val="FooterDraftReportChar"/>
    <w:rsid w:val="00E725B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E725B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725B8"/>
    <w:rPr>
      <w:rFonts w:ascii="Arial" w:hAnsi="Arial"/>
      <w:b/>
      <w:sz w:val="26"/>
      <w:szCs w:val="26"/>
      <w:lang w:eastAsia="en-US"/>
    </w:rPr>
  </w:style>
  <w:style w:type="character" w:styleId="Hyperlink">
    <w:name w:val="Hyperlink"/>
    <w:basedOn w:val="DefaultParagraphFont"/>
    <w:uiPriority w:val="99"/>
    <w:rsid w:val="00B01CE3"/>
    <w:rPr>
      <w:color w:val="78A22F" w:themeColor="hyperlink"/>
      <w:u w:val="single"/>
    </w:rPr>
  </w:style>
  <w:style w:type="paragraph" w:customStyle="1" w:styleId="Default">
    <w:name w:val="Default"/>
    <w:rsid w:val="00EB3BF2"/>
    <w:pPr>
      <w:autoSpaceDE w:val="0"/>
      <w:autoSpaceDN w:val="0"/>
      <w:adjustRightInd w:val="0"/>
    </w:pPr>
    <w:rPr>
      <w:rFonts w:ascii="Arial" w:hAnsi="Arial" w:cs="Arial"/>
      <w:color w:val="000000"/>
      <w:sz w:val="24"/>
      <w:szCs w:val="24"/>
    </w:rPr>
  </w:style>
  <w:style w:type="character" w:customStyle="1" w:styleId="ReferenceChar">
    <w:name w:val="Reference Char"/>
    <w:link w:val="Reference"/>
    <w:rsid w:val="002E5BE5"/>
    <w:rPr>
      <w:sz w:val="24"/>
    </w:rPr>
  </w:style>
  <w:style w:type="paragraph" w:customStyle="1" w:styleId="DQITableBullet">
    <w:name w:val="DQI Table Bullet"/>
    <w:basedOn w:val="TableBullet"/>
    <w:qFormat/>
    <w:rsid w:val="00DC3316"/>
    <w:pPr>
      <w:numPr>
        <w:numId w:val="0"/>
      </w:numPr>
      <w:spacing w:before="40" w:after="0"/>
      <w:jc w:val="both"/>
    </w:pPr>
  </w:style>
  <w:style w:type="paragraph" w:customStyle="1" w:styleId="DQITableBullet2">
    <w:name w:val="DQI Table Bullet 2"/>
    <w:basedOn w:val="DQITableBullet"/>
    <w:qFormat/>
    <w:rsid w:val="00DC3316"/>
  </w:style>
  <w:style w:type="paragraph" w:customStyle="1" w:styleId="Heading1NotTOC">
    <w:name w:val="Heading 1 Not TOC"/>
    <w:basedOn w:val="Heading1"/>
    <w:next w:val="BodyText"/>
    <w:rsid w:val="006602B5"/>
    <w:rPr>
      <w:kern w:val="28"/>
      <w:szCs w:val="26"/>
      <w:lang w:eastAsia="en-US"/>
    </w:rPr>
  </w:style>
  <w:style w:type="paragraph" w:styleId="CommentSubject">
    <w:name w:val="annotation subject"/>
    <w:basedOn w:val="CommentText"/>
    <w:next w:val="CommentText"/>
    <w:link w:val="CommentSubjectChar"/>
    <w:uiPriority w:val="21"/>
    <w:rsid w:val="000707E5"/>
    <w:pPr>
      <w:spacing w:before="0" w:line="240" w:lineRule="auto"/>
      <w:ind w:left="0" w:firstLine="0"/>
    </w:pPr>
    <w:rPr>
      <w:b/>
      <w:bCs/>
      <w:szCs w:val="20"/>
    </w:rPr>
  </w:style>
  <w:style w:type="character" w:customStyle="1" w:styleId="CommentSubjectChar">
    <w:name w:val="Comment Subject Char"/>
    <w:basedOn w:val="CommentTextChar"/>
    <w:link w:val="CommentSubject"/>
    <w:uiPriority w:val="21"/>
    <w:rsid w:val="000707E5"/>
    <w:rPr>
      <w:b/>
      <w:bCs/>
      <w:szCs w:val="24"/>
    </w:rPr>
  </w:style>
  <w:style w:type="paragraph" w:styleId="Revision">
    <w:name w:val="Revision"/>
    <w:hidden/>
    <w:uiPriority w:val="99"/>
    <w:semiHidden/>
    <w:rsid w:val="000707E5"/>
    <w:rPr>
      <w:sz w:val="24"/>
      <w:szCs w:val="24"/>
    </w:rPr>
  </w:style>
  <w:style w:type="paragraph" w:customStyle="1" w:styleId="DQITableText">
    <w:name w:val="DQI Table Text"/>
    <w:basedOn w:val="TableBodyText"/>
    <w:qFormat/>
    <w:rsid w:val="00214C72"/>
    <w:pPr>
      <w:spacing w:before="120" w:after="0"/>
      <w:ind w:left="0" w:right="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17468">
      <w:bodyDiv w:val="1"/>
      <w:marLeft w:val="0"/>
      <w:marRight w:val="0"/>
      <w:marTop w:val="0"/>
      <w:marBottom w:val="0"/>
      <w:divBdr>
        <w:top w:val="none" w:sz="0" w:space="0" w:color="auto"/>
        <w:left w:val="none" w:sz="0" w:space="0" w:color="auto"/>
        <w:bottom w:val="none" w:sz="0" w:space="0" w:color="auto"/>
        <w:right w:val="none" w:sz="0" w:space="0" w:color="auto"/>
      </w:divBdr>
    </w:div>
    <w:div w:id="65346211">
      <w:bodyDiv w:val="1"/>
      <w:marLeft w:val="0"/>
      <w:marRight w:val="0"/>
      <w:marTop w:val="0"/>
      <w:marBottom w:val="0"/>
      <w:divBdr>
        <w:top w:val="none" w:sz="0" w:space="0" w:color="auto"/>
        <w:left w:val="none" w:sz="0" w:space="0" w:color="auto"/>
        <w:bottom w:val="none" w:sz="0" w:space="0" w:color="auto"/>
        <w:right w:val="none" w:sz="0" w:space="0" w:color="auto"/>
      </w:divBdr>
    </w:div>
    <w:div w:id="111558192">
      <w:bodyDiv w:val="1"/>
      <w:marLeft w:val="0"/>
      <w:marRight w:val="0"/>
      <w:marTop w:val="0"/>
      <w:marBottom w:val="0"/>
      <w:divBdr>
        <w:top w:val="none" w:sz="0" w:space="0" w:color="auto"/>
        <w:left w:val="none" w:sz="0" w:space="0" w:color="auto"/>
        <w:bottom w:val="none" w:sz="0" w:space="0" w:color="auto"/>
        <w:right w:val="none" w:sz="0" w:space="0" w:color="auto"/>
      </w:divBdr>
      <w:divsChild>
        <w:div w:id="999849569">
          <w:marLeft w:val="0"/>
          <w:marRight w:val="0"/>
          <w:marTop w:val="100"/>
          <w:marBottom w:val="100"/>
          <w:divBdr>
            <w:top w:val="none" w:sz="0" w:space="0" w:color="auto"/>
            <w:left w:val="none" w:sz="0" w:space="0" w:color="auto"/>
            <w:bottom w:val="none" w:sz="0" w:space="0" w:color="auto"/>
            <w:right w:val="none" w:sz="0" w:space="0" w:color="auto"/>
          </w:divBdr>
        </w:div>
      </w:divsChild>
    </w:div>
    <w:div w:id="119107906">
      <w:bodyDiv w:val="1"/>
      <w:marLeft w:val="0"/>
      <w:marRight w:val="0"/>
      <w:marTop w:val="0"/>
      <w:marBottom w:val="0"/>
      <w:divBdr>
        <w:top w:val="none" w:sz="0" w:space="0" w:color="auto"/>
        <w:left w:val="none" w:sz="0" w:space="0" w:color="auto"/>
        <w:bottom w:val="none" w:sz="0" w:space="0" w:color="auto"/>
        <w:right w:val="none" w:sz="0" w:space="0" w:color="auto"/>
      </w:divBdr>
    </w:div>
    <w:div w:id="228929075">
      <w:bodyDiv w:val="1"/>
      <w:marLeft w:val="0"/>
      <w:marRight w:val="0"/>
      <w:marTop w:val="0"/>
      <w:marBottom w:val="0"/>
      <w:divBdr>
        <w:top w:val="none" w:sz="0" w:space="0" w:color="auto"/>
        <w:left w:val="none" w:sz="0" w:space="0" w:color="auto"/>
        <w:bottom w:val="none" w:sz="0" w:space="0" w:color="auto"/>
        <w:right w:val="none" w:sz="0" w:space="0" w:color="auto"/>
      </w:divBdr>
    </w:div>
    <w:div w:id="243954711">
      <w:bodyDiv w:val="1"/>
      <w:marLeft w:val="0"/>
      <w:marRight w:val="0"/>
      <w:marTop w:val="0"/>
      <w:marBottom w:val="0"/>
      <w:divBdr>
        <w:top w:val="none" w:sz="0" w:space="0" w:color="auto"/>
        <w:left w:val="none" w:sz="0" w:space="0" w:color="auto"/>
        <w:bottom w:val="none" w:sz="0" w:space="0" w:color="auto"/>
        <w:right w:val="none" w:sz="0" w:space="0" w:color="auto"/>
      </w:divBdr>
    </w:div>
    <w:div w:id="317462259">
      <w:bodyDiv w:val="1"/>
      <w:marLeft w:val="0"/>
      <w:marRight w:val="0"/>
      <w:marTop w:val="0"/>
      <w:marBottom w:val="0"/>
      <w:divBdr>
        <w:top w:val="none" w:sz="0" w:space="0" w:color="auto"/>
        <w:left w:val="none" w:sz="0" w:space="0" w:color="auto"/>
        <w:bottom w:val="none" w:sz="0" w:space="0" w:color="auto"/>
        <w:right w:val="none" w:sz="0" w:space="0" w:color="auto"/>
      </w:divBdr>
    </w:div>
    <w:div w:id="387800179">
      <w:bodyDiv w:val="1"/>
      <w:marLeft w:val="0"/>
      <w:marRight w:val="0"/>
      <w:marTop w:val="0"/>
      <w:marBottom w:val="0"/>
      <w:divBdr>
        <w:top w:val="none" w:sz="0" w:space="0" w:color="auto"/>
        <w:left w:val="none" w:sz="0" w:space="0" w:color="auto"/>
        <w:bottom w:val="none" w:sz="0" w:space="0" w:color="auto"/>
        <w:right w:val="none" w:sz="0" w:space="0" w:color="auto"/>
      </w:divBdr>
    </w:div>
    <w:div w:id="433861597">
      <w:bodyDiv w:val="1"/>
      <w:marLeft w:val="0"/>
      <w:marRight w:val="0"/>
      <w:marTop w:val="0"/>
      <w:marBottom w:val="0"/>
      <w:divBdr>
        <w:top w:val="none" w:sz="0" w:space="0" w:color="auto"/>
        <w:left w:val="none" w:sz="0" w:space="0" w:color="auto"/>
        <w:bottom w:val="none" w:sz="0" w:space="0" w:color="auto"/>
        <w:right w:val="none" w:sz="0" w:space="0" w:color="auto"/>
      </w:divBdr>
    </w:div>
    <w:div w:id="435441986">
      <w:bodyDiv w:val="1"/>
      <w:marLeft w:val="0"/>
      <w:marRight w:val="0"/>
      <w:marTop w:val="0"/>
      <w:marBottom w:val="0"/>
      <w:divBdr>
        <w:top w:val="none" w:sz="0" w:space="0" w:color="auto"/>
        <w:left w:val="none" w:sz="0" w:space="0" w:color="auto"/>
        <w:bottom w:val="none" w:sz="0" w:space="0" w:color="auto"/>
        <w:right w:val="none" w:sz="0" w:space="0" w:color="auto"/>
      </w:divBdr>
    </w:div>
    <w:div w:id="471757768">
      <w:bodyDiv w:val="1"/>
      <w:marLeft w:val="0"/>
      <w:marRight w:val="0"/>
      <w:marTop w:val="0"/>
      <w:marBottom w:val="0"/>
      <w:divBdr>
        <w:top w:val="none" w:sz="0" w:space="0" w:color="auto"/>
        <w:left w:val="none" w:sz="0" w:space="0" w:color="auto"/>
        <w:bottom w:val="none" w:sz="0" w:space="0" w:color="auto"/>
        <w:right w:val="none" w:sz="0" w:space="0" w:color="auto"/>
      </w:divBdr>
    </w:div>
    <w:div w:id="525291416">
      <w:bodyDiv w:val="1"/>
      <w:marLeft w:val="0"/>
      <w:marRight w:val="0"/>
      <w:marTop w:val="0"/>
      <w:marBottom w:val="0"/>
      <w:divBdr>
        <w:top w:val="none" w:sz="0" w:space="0" w:color="auto"/>
        <w:left w:val="none" w:sz="0" w:space="0" w:color="auto"/>
        <w:bottom w:val="none" w:sz="0" w:space="0" w:color="auto"/>
        <w:right w:val="none" w:sz="0" w:space="0" w:color="auto"/>
      </w:divBdr>
    </w:div>
    <w:div w:id="567690432">
      <w:bodyDiv w:val="1"/>
      <w:marLeft w:val="0"/>
      <w:marRight w:val="0"/>
      <w:marTop w:val="0"/>
      <w:marBottom w:val="0"/>
      <w:divBdr>
        <w:top w:val="none" w:sz="0" w:space="0" w:color="auto"/>
        <w:left w:val="none" w:sz="0" w:space="0" w:color="auto"/>
        <w:bottom w:val="none" w:sz="0" w:space="0" w:color="auto"/>
        <w:right w:val="none" w:sz="0" w:space="0" w:color="auto"/>
      </w:divBdr>
    </w:div>
    <w:div w:id="588927173">
      <w:bodyDiv w:val="1"/>
      <w:marLeft w:val="0"/>
      <w:marRight w:val="0"/>
      <w:marTop w:val="0"/>
      <w:marBottom w:val="0"/>
      <w:divBdr>
        <w:top w:val="none" w:sz="0" w:space="0" w:color="auto"/>
        <w:left w:val="none" w:sz="0" w:space="0" w:color="auto"/>
        <w:bottom w:val="none" w:sz="0" w:space="0" w:color="auto"/>
        <w:right w:val="none" w:sz="0" w:space="0" w:color="auto"/>
      </w:divBdr>
    </w:div>
    <w:div w:id="592858649">
      <w:bodyDiv w:val="1"/>
      <w:marLeft w:val="0"/>
      <w:marRight w:val="0"/>
      <w:marTop w:val="0"/>
      <w:marBottom w:val="0"/>
      <w:divBdr>
        <w:top w:val="none" w:sz="0" w:space="0" w:color="auto"/>
        <w:left w:val="none" w:sz="0" w:space="0" w:color="auto"/>
        <w:bottom w:val="none" w:sz="0" w:space="0" w:color="auto"/>
        <w:right w:val="none" w:sz="0" w:space="0" w:color="auto"/>
      </w:divBdr>
    </w:div>
    <w:div w:id="602609543">
      <w:bodyDiv w:val="1"/>
      <w:marLeft w:val="0"/>
      <w:marRight w:val="0"/>
      <w:marTop w:val="0"/>
      <w:marBottom w:val="0"/>
      <w:divBdr>
        <w:top w:val="none" w:sz="0" w:space="0" w:color="auto"/>
        <w:left w:val="none" w:sz="0" w:space="0" w:color="auto"/>
        <w:bottom w:val="none" w:sz="0" w:space="0" w:color="auto"/>
        <w:right w:val="none" w:sz="0" w:space="0" w:color="auto"/>
      </w:divBdr>
    </w:div>
    <w:div w:id="614100570">
      <w:bodyDiv w:val="1"/>
      <w:marLeft w:val="0"/>
      <w:marRight w:val="0"/>
      <w:marTop w:val="0"/>
      <w:marBottom w:val="0"/>
      <w:divBdr>
        <w:top w:val="none" w:sz="0" w:space="0" w:color="auto"/>
        <w:left w:val="none" w:sz="0" w:space="0" w:color="auto"/>
        <w:bottom w:val="none" w:sz="0" w:space="0" w:color="auto"/>
        <w:right w:val="none" w:sz="0" w:space="0" w:color="auto"/>
      </w:divBdr>
    </w:div>
    <w:div w:id="655688488">
      <w:bodyDiv w:val="1"/>
      <w:marLeft w:val="0"/>
      <w:marRight w:val="0"/>
      <w:marTop w:val="0"/>
      <w:marBottom w:val="0"/>
      <w:divBdr>
        <w:top w:val="none" w:sz="0" w:space="0" w:color="auto"/>
        <w:left w:val="none" w:sz="0" w:space="0" w:color="auto"/>
        <w:bottom w:val="none" w:sz="0" w:space="0" w:color="auto"/>
        <w:right w:val="none" w:sz="0" w:space="0" w:color="auto"/>
      </w:divBdr>
    </w:div>
    <w:div w:id="666136558">
      <w:bodyDiv w:val="1"/>
      <w:marLeft w:val="0"/>
      <w:marRight w:val="0"/>
      <w:marTop w:val="0"/>
      <w:marBottom w:val="0"/>
      <w:divBdr>
        <w:top w:val="none" w:sz="0" w:space="0" w:color="auto"/>
        <w:left w:val="none" w:sz="0" w:space="0" w:color="auto"/>
        <w:bottom w:val="none" w:sz="0" w:space="0" w:color="auto"/>
        <w:right w:val="none" w:sz="0" w:space="0" w:color="auto"/>
      </w:divBdr>
    </w:div>
    <w:div w:id="670065708">
      <w:bodyDiv w:val="1"/>
      <w:marLeft w:val="0"/>
      <w:marRight w:val="0"/>
      <w:marTop w:val="0"/>
      <w:marBottom w:val="0"/>
      <w:divBdr>
        <w:top w:val="none" w:sz="0" w:space="0" w:color="auto"/>
        <w:left w:val="none" w:sz="0" w:space="0" w:color="auto"/>
        <w:bottom w:val="none" w:sz="0" w:space="0" w:color="auto"/>
        <w:right w:val="none" w:sz="0" w:space="0" w:color="auto"/>
      </w:divBdr>
    </w:div>
    <w:div w:id="700982436">
      <w:bodyDiv w:val="1"/>
      <w:marLeft w:val="0"/>
      <w:marRight w:val="0"/>
      <w:marTop w:val="0"/>
      <w:marBottom w:val="0"/>
      <w:divBdr>
        <w:top w:val="none" w:sz="0" w:space="0" w:color="auto"/>
        <w:left w:val="none" w:sz="0" w:space="0" w:color="auto"/>
        <w:bottom w:val="none" w:sz="0" w:space="0" w:color="auto"/>
        <w:right w:val="none" w:sz="0" w:space="0" w:color="auto"/>
      </w:divBdr>
    </w:div>
    <w:div w:id="741753912">
      <w:bodyDiv w:val="1"/>
      <w:marLeft w:val="0"/>
      <w:marRight w:val="0"/>
      <w:marTop w:val="0"/>
      <w:marBottom w:val="0"/>
      <w:divBdr>
        <w:top w:val="none" w:sz="0" w:space="0" w:color="auto"/>
        <w:left w:val="none" w:sz="0" w:space="0" w:color="auto"/>
        <w:bottom w:val="none" w:sz="0" w:space="0" w:color="auto"/>
        <w:right w:val="none" w:sz="0" w:space="0" w:color="auto"/>
      </w:divBdr>
    </w:div>
    <w:div w:id="801388976">
      <w:bodyDiv w:val="1"/>
      <w:marLeft w:val="0"/>
      <w:marRight w:val="0"/>
      <w:marTop w:val="0"/>
      <w:marBottom w:val="0"/>
      <w:divBdr>
        <w:top w:val="none" w:sz="0" w:space="0" w:color="auto"/>
        <w:left w:val="none" w:sz="0" w:space="0" w:color="auto"/>
        <w:bottom w:val="none" w:sz="0" w:space="0" w:color="auto"/>
        <w:right w:val="none" w:sz="0" w:space="0" w:color="auto"/>
      </w:divBdr>
    </w:div>
    <w:div w:id="817188711">
      <w:bodyDiv w:val="1"/>
      <w:marLeft w:val="0"/>
      <w:marRight w:val="0"/>
      <w:marTop w:val="0"/>
      <w:marBottom w:val="0"/>
      <w:divBdr>
        <w:top w:val="none" w:sz="0" w:space="0" w:color="auto"/>
        <w:left w:val="none" w:sz="0" w:space="0" w:color="auto"/>
        <w:bottom w:val="none" w:sz="0" w:space="0" w:color="auto"/>
        <w:right w:val="none" w:sz="0" w:space="0" w:color="auto"/>
      </w:divBdr>
    </w:div>
    <w:div w:id="850412769">
      <w:bodyDiv w:val="1"/>
      <w:marLeft w:val="0"/>
      <w:marRight w:val="0"/>
      <w:marTop w:val="0"/>
      <w:marBottom w:val="0"/>
      <w:divBdr>
        <w:top w:val="none" w:sz="0" w:space="0" w:color="auto"/>
        <w:left w:val="none" w:sz="0" w:space="0" w:color="auto"/>
        <w:bottom w:val="none" w:sz="0" w:space="0" w:color="auto"/>
        <w:right w:val="none" w:sz="0" w:space="0" w:color="auto"/>
      </w:divBdr>
    </w:div>
    <w:div w:id="895361117">
      <w:bodyDiv w:val="1"/>
      <w:marLeft w:val="0"/>
      <w:marRight w:val="0"/>
      <w:marTop w:val="0"/>
      <w:marBottom w:val="0"/>
      <w:divBdr>
        <w:top w:val="none" w:sz="0" w:space="0" w:color="auto"/>
        <w:left w:val="none" w:sz="0" w:space="0" w:color="auto"/>
        <w:bottom w:val="none" w:sz="0" w:space="0" w:color="auto"/>
        <w:right w:val="none" w:sz="0" w:space="0" w:color="auto"/>
      </w:divBdr>
    </w:div>
    <w:div w:id="930893649">
      <w:bodyDiv w:val="1"/>
      <w:marLeft w:val="0"/>
      <w:marRight w:val="0"/>
      <w:marTop w:val="0"/>
      <w:marBottom w:val="0"/>
      <w:divBdr>
        <w:top w:val="none" w:sz="0" w:space="0" w:color="auto"/>
        <w:left w:val="none" w:sz="0" w:space="0" w:color="auto"/>
        <w:bottom w:val="none" w:sz="0" w:space="0" w:color="auto"/>
        <w:right w:val="none" w:sz="0" w:space="0" w:color="auto"/>
      </w:divBdr>
    </w:div>
    <w:div w:id="1009530096">
      <w:bodyDiv w:val="1"/>
      <w:marLeft w:val="0"/>
      <w:marRight w:val="0"/>
      <w:marTop w:val="0"/>
      <w:marBottom w:val="0"/>
      <w:divBdr>
        <w:top w:val="none" w:sz="0" w:space="0" w:color="auto"/>
        <w:left w:val="none" w:sz="0" w:space="0" w:color="auto"/>
        <w:bottom w:val="none" w:sz="0" w:space="0" w:color="auto"/>
        <w:right w:val="none" w:sz="0" w:space="0" w:color="auto"/>
      </w:divBdr>
    </w:div>
    <w:div w:id="1057975920">
      <w:bodyDiv w:val="1"/>
      <w:marLeft w:val="0"/>
      <w:marRight w:val="0"/>
      <w:marTop w:val="0"/>
      <w:marBottom w:val="0"/>
      <w:divBdr>
        <w:top w:val="none" w:sz="0" w:space="0" w:color="auto"/>
        <w:left w:val="none" w:sz="0" w:space="0" w:color="auto"/>
        <w:bottom w:val="none" w:sz="0" w:space="0" w:color="auto"/>
        <w:right w:val="none" w:sz="0" w:space="0" w:color="auto"/>
      </w:divBdr>
    </w:div>
    <w:div w:id="1094593318">
      <w:bodyDiv w:val="1"/>
      <w:marLeft w:val="0"/>
      <w:marRight w:val="0"/>
      <w:marTop w:val="0"/>
      <w:marBottom w:val="0"/>
      <w:divBdr>
        <w:top w:val="none" w:sz="0" w:space="0" w:color="auto"/>
        <w:left w:val="none" w:sz="0" w:space="0" w:color="auto"/>
        <w:bottom w:val="none" w:sz="0" w:space="0" w:color="auto"/>
        <w:right w:val="none" w:sz="0" w:space="0" w:color="auto"/>
      </w:divBdr>
    </w:div>
    <w:div w:id="1101029276">
      <w:bodyDiv w:val="1"/>
      <w:marLeft w:val="0"/>
      <w:marRight w:val="0"/>
      <w:marTop w:val="0"/>
      <w:marBottom w:val="0"/>
      <w:divBdr>
        <w:top w:val="none" w:sz="0" w:space="0" w:color="auto"/>
        <w:left w:val="none" w:sz="0" w:space="0" w:color="auto"/>
        <w:bottom w:val="none" w:sz="0" w:space="0" w:color="auto"/>
        <w:right w:val="none" w:sz="0" w:space="0" w:color="auto"/>
      </w:divBdr>
    </w:div>
    <w:div w:id="1103038801">
      <w:bodyDiv w:val="1"/>
      <w:marLeft w:val="0"/>
      <w:marRight w:val="0"/>
      <w:marTop w:val="0"/>
      <w:marBottom w:val="0"/>
      <w:divBdr>
        <w:top w:val="none" w:sz="0" w:space="0" w:color="auto"/>
        <w:left w:val="none" w:sz="0" w:space="0" w:color="auto"/>
        <w:bottom w:val="none" w:sz="0" w:space="0" w:color="auto"/>
        <w:right w:val="none" w:sz="0" w:space="0" w:color="auto"/>
      </w:divBdr>
    </w:div>
    <w:div w:id="1166634555">
      <w:bodyDiv w:val="1"/>
      <w:marLeft w:val="0"/>
      <w:marRight w:val="0"/>
      <w:marTop w:val="0"/>
      <w:marBottom w:val="0"/>
      <w:divBdr>
        <w:top w:val="none" w:sz="0" w:space="0" w:color="auto"/>
        <w:left w:val="none" w:sz="0" w:space="0" w:color="auto"/>
        <w:bottom w:val="none" w:sz="0" w:space="0" w:color="auto"/>
        <w:right w:val="none" w:sz="0" w:space="0" w:color="auto"/>
      </w:divBdr>
    </w:div>
    <w:div w:id="1169293527">
      <w:bodyDiv w:val="1"/>
      <w:marLeft w:val="0"/>
      <w:marRight w:val="0"/>
      <w:marTop w:val="0"/>
      <w:marBottom w:val="0"/>
      <w:divBdr>
        <w:top w:val="none" w:sz="0" w:space="0" w:color="auto"/>
        <w:left w:val="none" w:sz="0" w:space="0" w:color="auto"/>
        <w:bottom w:val="none" w:sz="0" w:space="0" w:color="auto"/>
        <w:right w:val="none" w:sz="0" w:space="0" w:color="auto"/>
      </w:divBdr>
    </w:div>
    <w:div w:id="1191189392">
      <w:bodyDiv w:val="1"/>
      <w:marLeft w:val="0"/>
      <w:marRight w:val="0"/>
      <w:marTop w:val="0"/>
      <w:marBottom w:val="0"/>
      <w:divBdr>
        <w:top w:val="none" w:sz="0" w:space="0" w:color="auto"/>
        <w:left w:val="none" w:sz="0" w:space="0" w:color="auto"/>
        <w:bottom w:val="none" w:sz="0" w:space="0" w:color="auto"/>
        <w:right w:val="none" w:sz="0" w:space="0" w:color="auto"/>
      </w:divBdr>
    </w:div>
    <w:div w:id="1204290535">
      <w:bodyDiv w:val="1"/>
      <w:marLeft w:val="0"/>
      <w:marRight w:val="0"/>
      <w:marTop w:val="0"/>
      <w:marBottom w:val="0"/>
      <w:divBdr>
        <w:top w:val="none" w:sz="0" w:space="0" w:color="auto"/>
        <w:left w:val="none" w:sz="0" w:space="0" w:color="auto"/>
        <w:bottom w:val="none" w:sz="0" w:space="0" w:color="auto"/>
        <w:right w:val="none" w:sz="0" w:space="0" w:color="auto"/>
      </w:divBdr>
    </w:div>
    <w:div w:id="1207910543">
      <w:bodyDiv w:val="1"/>
      <w:marLeft w:val="0"/>
      <w:marRight w:val="0"/>
      <w:marTop w:val="0"/>
      <w:marBottom w:val="0"/>
      <w:divBdr>
        <w:top w:val="none" w:sz="0" w:space="0" w:color="auto"/>
        <w:left w:val="none" w:sz="0" w:space="0" w:color="auto"/>
        <w:bottom w:val="none" w:sz="0" w:space="0" w:color="auto"/>
        <w:right w:val="none" w:sz="0" w:space="0" w:color="auto"/>
      </w:divBdr>
    </w:div>
    <w:div w:id="1217623804">
      <w:bodyDiv w:val="1"/>
      <w:marLeft w:val="0"/>
      <w:marRight w:val="0"/>
      <w:marTop w:val="0"/>
      <w:marBottom w:val="0"/>
      <w:divBdr>
        <w:top w:val="none" w:sz="0" w:space="0" w:color="auto"/>
        <w:left w:val="none" w:sz="0" w:space="0" w:color="auto"/>
        <w:bottom w:val="none" w:sz="0" w:space="0" w:color="auto"/>
        <w:right w:val="none" w:sz="0" w:space="0" w:color="auto"/>
      </w:divBdr>
    </w:div>
    <w:div w:id="1231234947">
      <w:bodyDiv w:val="1"/>
      <w:marLeft w:val="0"/>
      <w:marRight w:val="0"/>
      <w:marTop w:val="0"/>
      <w:marBottom w:val="0"/>
      <w:divBdr>
        <w:top w:val="none" w:sz="0" w:space="0" w:color="auto"/>
        <w:left w:val="none" w:sz="0" w:space="0" w:color="auto"/>
        <w:bottom w:val="none" w:sz="0" w:space="0" w:color="auto"/>
        <w:right w:val="none" w:sz="0" w:space="0" w:color="auto"/>
      </w:divBdr>
    </w:div>
    <w:div w:id="1274631571">
      <w:bodyDiv w:val="1"/>
      <w:marLeft w:val="0"/>
      <w:marRight w:val="0"/>
      <w:marTop w:val="0"/>
      <w:marBottom w:val="0"/>
      <w:divBdr>
        <w:top w:val="none" w:sz="0" w:space="0" w:color="auto"/>
        <w:left w:val="none" w:sz="0" w:space="0" w:color="auto"/>
        <w:bottom w:val="none" w:sz="0" w:space="0" w:color="auto"/>
        <w:right w:val="none" w:sz="0" w:space="0" w:color="auto"/>
      </w:divBdr>
    </w:div>
    <w:div w:id="1284926373">
      <w:bodyDiv w:val="1"/>
      <w:marLeft w:val="0"/>
      <w:marRight w:val="0"/>
      <w:marTop w:val="0"/>
      <w:marBottom w:val="0"/>
      <w:divBdr>
        <w:top w:val="none" w:sz="0" w:space="0" w:color="auto"/>
        <w:left w:val="none" w:sz="0" w:space="0" w:color="auto"/>
        <w:bottom w:val="none" w:sz="0" w:space="0" w:color="auto"/>
        <w:right w:val="none" w:sz="0" w:space="0" w:color="auto"/>
      </w:divBdr>
    </w:div>
    <w:div w:id="1288924915">
      <w:bodyDiv w:val="1"/>
      <w:marLeft w:val="0"/>
      <w:marRight w:val="0"/>
      <w:marTop w:val="0"/>
      <w:marBottom w:val="0"/>
      <w:divBdr>
        <w:top w:val="none" w:sz="0" w:space="0" w:color="auto"/>
        <w:left w:val="none" w:sz="0" w:space="0" w:color="auto"/>
        <w:bottom w:val="none" w:sz="0" w:space="0" w:color="auto"/>
        <w:right w:val="none" w:sz="0" w:space="0" w:color="auto"/>
      </w:divBdr>
    </w:div>
    <w:div w:id="1414015030">
      <w:bodyDiv w:val="1"/>
      <w:marLeft w:val="0"/>
      <w:marRight w:val="0"/>
      <w:marTop w:val="0"/>
      <w:marBottom w:val="0"/>
      <w:divBdr>
        <w:top w:val="none" w:sz="0" w:space="0" w:color="auto"/>
        <w:left w:val="none" w:sz="0" w:space="0" w:color="auto"/>
        <w:bottom w:val="none" w:sz="0" w:space="0" w:color="auto"/>
        <w:right w:val="none" w:sz="0" w:space="0" w:color="auto"/>
      </w:divBdr>
    </w:div>
    <w:div w:id="1439834904">
      <w:bodyDiv w:val="1"/>
      <w:marLeft w:val="0"/>
      <w:marRight w:val="0"/>
      <w:marTop w:val="0"/>
      <w:marBottom w:val="0"/>
      <w:divBdr>
        <w:top w:val="none" w:sz="0" w:space="0" w:color="auto"/>
        <w:left w:val="none" w:sz="0" w:space="0" w:color="auto"/>
        <w:bottom w:val="none" w:sz="0" w:space="0" w:color="auto"/>
        <w:right w:val="none" w:sz="0" w:space="0" w:color="auto"/>
      </w:divBdr>
    </w:div>
    <w:div w:id="1443191021">
      <w:bodyDiv w:val="1"/>
      <w:marLeft w:val="0"/>
      <w:marRight w:val="0"/>
      <w:marTop w:val="0"/>
      <w:marBottom w:val="0"/>
      <w:divBdr>
        <w:top w:val="none" w:sz="0" w:space="0" w:color="auto"/>
        <w:left w:val="none" w:sz="0" w:space="0" w:color="auto"/>
        <w:bottom w:val="none" w:sz="0" w:space="0" w:color="auto"/>
        <w:right w:val="none" w:sz="0" w:space="0" w:color="auto"/>
      </w:divBdr>
    </w:div>
    <w:div w:id="1493065326">
      <w:bodyDiv w:val="1"/>
      <w:marLeft w:val="0"/>
      <w:marRight w:val="0"/>
      <w:marTop w:val="0"/>
      <w:marBottom w:val="0"/>
      <w:divBdr>
        <w:top w:val="none" w:sz="0" w:space="0" w:color="auto"/>
        <w:left w:val="none" w:sz="0" w:space="0" w:color="auto"/>
        <w:bottom w:val="none" w:sz="0" w:space="0" w:color="auto"/>
        <w:right w:val="none" w:sz="0" w:space="0" w:color="auto"/>
      </w:divBdr>
    </w:div>
    <w:div w:id="1534421111">
      <w:bodyDiv w:val="1"/>
      <w:marLeft w:val="0"/>
      <w:marRight w:val="0"/>
      <w:marTop w:val="0"/>
      <w:marBottom w:val="0"/>
      <w:divBdr>
        <w:top w:val="none" w:sz="0" w:space="0" w:color="auto"/>
        <w:left w:val="none" w:sz="0" w:space="0" w:color="auto"/>
        <w:bottom w:val="none" w:sz="0" w:space="0" w:color="auto"/>
        <w:right w:val="none" w:sz="0" w:space="0" w:color="auto"/>
      </w:divBdr>
    </w:div>
    <w:div w:id="1543059910">
      <w:bodyDiv w:val="1"/>
      <w:marLeft w:val="0"/>
      <w:marRight w:val="0"/>
      <w:marTop w:val="0"/>
      <w:marBottom w:val="0"/>
      <w:divBdr>
        <w:top w:val="none" w:sz="0" w:space="0" w:color="auto"/>
        <w:left w:val="none" w:sz="0" w:space="0" w:color="auto"/>
        <w:bottom w:val="none" w:sz="0" w:space="0" w:color="auto"/>
        <w:right w:val="none" w:sz="0" w:space="0" w:color="auto"/>
      </w:divBdr>
    </w:div>
    <w:div w:id="1584488771">
      <w:bodyDiv w:val="1"/>
      <w:marLeft w:val="0"/>
      <w:marRight w:val="0"/>
      <w:marTop w:val="0"/>
      <w:marBottom w:val="0"/>
      <w:divBdr>
        <w:top w:val="none" w:sz="0" w:space="0" w:color="auto"/>
        <w:left w:val="none" w:sz="0" w:space="0" w:color="auto"/>
        <w:bottom w:val="none" w:sz="0" w:space="0" w:color="auto"/>
        <w:right w:val="none" w:sz="0" w:space="0" w:color="auto"/>
      </w:divBdr>
      <w:divsChild>
        <w:div w:id="1135297146">
          <w:marLeft w:val="0"/>
          <w:marRight w:val="0"/>
          <w:marTop w:val="0"/>
          <w:marBottom w:val="0"/>
          <w:divBdr>
            <w:top w:val="none" w:sz="0" w:space="0" w:color="auto"/>
            <w:left w:val="none" w:sz="0" w:space="0" w:color="auto"/>
            <w:bottom w:val="none" w:sz="0" w:space="0" w:color="auto"/>
            <w:right w:val="none" w:sz="0" w:space="0" w:color="auto"/>
          </w:divBdr>
        </w:div>
      </w:divsChild>
    </w:div>
    <w:div w:id="1614283550">
      <w:bodyDiv w:val="1"/>
      <w:marLeft w:val="0"/>
      <w:marRight w:val="0"/>
      <w:marTop w:val="0"/>
      <w:marBottom w:val="0"/>
      <w:divBdr>
        <w:top w:val="none" w:sz="0" w:space="0" w:color="auto"/>
        <w:left w:val="none" w:sz="0" w:space="0" w:color="auto"/>
        <w:bottom w:val="none" w:sz="0" w:space="0" w:color="auto"/>
        <w:right w:val="none" w:sz="0" w:space="0" w:color="auto"/>
      </w:divBdr>
    </w:div>
    <w:div w:id="1630088543">
      <w:bodyDiv w:val="1"/>
      <w:marLeft w:val="0"/>
      <w:marRight w:val="0"/>
      <w:marTop w:val="0"/>
      <w:marBottom w:val="0"/>
      <w:divBdr>
        <w:top w:val="none" w:sz="0" w:space="0" w:color="auto"/>
        <w:left w:val="none" w:sz="0" w:space="0" w:color="auto"/>
        <w:bottom w:val="none" w:sz="0" w:space="0" w:color="auto"/>
        <w:right w:val="none" w:sz="0" w:space="0" w:color="auto"/>
      </w:divBdr>
    </w:div>
    <w:div w:id="1643077998">
      <w:bodyDiv w:val="1"/>
      <w:marLeft w:val="0"/>
      <w:marRight w:val="0"/>
      <w:marTop w:val="0"/>
      <w:marBottom w:val="0"/>
      <w:divBdr>
        <w:top w:val="none" w:sz="0" w:space="0" w:color="auto"/>
        <w:left w:val="none" w:sz="0" w:space="0" w:color="auto"/>
        <w:bottom w:val="none" w:sz="0" w:space="0" w:color="auto"/>
        <w:right w:val="none" w:sz="0" w:space="0" w:color="auto"/>
      </w:divBdr>
    </w:div>
    <w:div w:id="1668361662">
      <w:bodyDiv w:val="1"/>
      <w:marLeft w:val="0"/>
      <w:marRight w:val="0"/>
      <w:marTop w:val="0"/>
      <w:marBottom w:val="0"/>
      <w:divBdr>
        <w:top w:val="none" w:sz="0" w:space="0" w:color="auto"/>
        <w:left w:val="none" w:sz="0" w:space="0" w:color="auto"/>
        <w:bottom w:val="none" w:sz="0" w:space="0" w:color="auto"/>
        <w:right w:val="none" w:sz="0" w:space="0" w:color="auto"/>
      </w:divBdr>
    </w:div>
    <w:div w:id="1678532188">
      <w:bodyDiv w:val="1"/>
      <w:marLeft w:val="0"/>
      <w:marRight w:val="0"/>
      <w:marTop w:val="0"/>
      <w:marBottom w:val="0"/>
      <w:divBdr>
        <w:top w:val="none" w:sz="0" w:space="0" w:color="auto"/>
        <w:left w:val="none" w:sz="0" w:space="0" w:color="auto"/>
        <w:bottom w:val="none" w:sz="0" w:space="0" w:color="auto"/>
        <w:right w:val="none" w:sz="0" w:space="0" w:color="auto"/>
      </w:divBdr>
    </w:div>
    <w:div w:id="1689209141">
      <w:bodyDiv w:val="1"/>
      <w:marLeft w:val="0"/>
      <w:marRight w:val="0"/>
      <w:marTop w:val="0"/>
      <w:marBottom w:val="0"/>
      <w:divBdr>
        <w:top w:val="none" w:sz="0" w:space="0" w:color="auto"/>
        <w:left w:val="none" w:sz="0" w:space="0" w:color="auto"/>
        <w:bottom w:val="none" w:sz="0" w:space="0" w:color="auto"/>
        <w:right w:val="none" w:sz="0" w:space="0" w:color="auto"/>
      </w:divBdr>
    </w:div>
    <w:div w:id="1714230844">
      <w:bodyDiv w:val="1"/>
      <w:marLeft w:val="0"/>
      <w:marRight w:val="0"/>
      <w:marTop w:val="0"/>
      <w:marBottom w:val="0"/>
      <w:divBdr>
        <w:top w:val="none" w:sz="0" w:space="0" w:color="auto"/>
        <w:left w:val="none" w:sz="0" w:space="0" w:color="auto"/>
        <w:bottom w:val="none" w:sz="0" w:space="0" w:color="auto"/>
        <w:right w:val="none" w:sz="0" w:space="0" w:color="auto"/>
      </w:divBdr>
    </w:div>
    <w:div w:id="1718309181">
      <w:bodyDiv w:val="1"/>
      <w:marLeft w:val="0"/>
      <w:marRight w:val="0"/>
      <w:marTop w:val="0"/>
      <w:marBottom w:val="0"/>
      <w:divBdr>
        <w:top w:val="none" w:sz="0" w:space="0" w:color="auto"/>
        <w:left w:val="none" w:sz="0" w:space="0" w:color="auto"/>
        <w:bottom w:val="none" w:sz="0" w:space="0" w:color="auto"/>
        <w:right w:val="none" w:sz="0" w:space="0" w:color="auto"/>
      </w:divBdr>
    </w:div>
    <w:div w:id="1723867929">
      <w:bodyDiv w:val="1"/>
      <w:marLeft w:val="0"/>
      <w:marRight w:val="0"/>
      <w:marTop w:val="0"/>
      <w:marBottom w:val="0"/>
      <w:divBdr>
        <w:top w:val="none" w:sz="0" w:space="0" w:color="auto"/>
        <w:left w:val="none" w:sz="0" w:space="0" w:color="auto"/>
        <w:bottom w:val="none" w:sz="0" w:space="0" w:color="auto"/>
        <w:right w:val="none" w:sz="0" w:space="0" w:color="auto"/>
      </w:divBdr>
    </w:div>
    <w:div w:id="1741948930">
      <w:bodyDiv w:val="1"/>
      <w:marLeft w:val="0"/>
      <w:marRight w:val="0"/>
      <w:marTop w:val="0"/>
      <w:marBottom w:val="0"/>
      <w:divBdr>
        <w:top w:val="none" w:sz="0" w:space="0" w:color="auto"/>
        <w:left w:val="none" w:sz="0" w:space="0" w:color="auto"/>
        <w:bottom w:val="none" w:sz="0" w:space="0" w:color="auto"/>
        <w:right w:val="none" w:sz="0" w:space="0" w:color="auto"/>
      </w:divBdr>
    </w:div>
    <w:div w:id="1748571548">
      <w:bodyDiv w:val="1"/>
      <w:marLeft w:val="0"/>
      <w:marRight w:val="0"/>
      <w:marTop w:val="0"/>
      <w:marBottom w:val="0"/>
      <w:divBdr>
        <w:top w:val="none" w:sz="0" w:space="0" w:color="auto"/>
        <w:left w:val="none" w:sz="0" w:space="0" w:color="auto"/>
        <w:bottom w:val="none" w:sz="0" w:space="0" w:color="auto"/>
        <w:right w:val="none" w:sz="0" w:space="0" w:color="auto"/>
      </w:divBdr>
    </w:div>
    <w:div w:id="1827739904">
      <w:bodyDiv w:val="1"/>
      <w:marLeft w:val="0"/>
      <w:marRight w:val="0"/>
      <w:marTop w:val="0"/>
      <w:marBottom w:val="0"/>
      <w:divBdr>
        <w:top w:val="none" w:sz="0" w:space="0" w:color="auto"/>
        <w:left w:val="none" w:sz="0" w:space="0" w:color="auto"/>
        <w:bottom w:val="none" w:sz="0" w:space="0" w:color="auto"/>
        <w:right w:val="none" w:sz="0" w:space="0" w:color="auto"/>
      </w:divBdr>
      <w:divsChild>
        <w:div w:id="992686206">
          <w:marLeft w:val="0"/>
          <w:marRight w:val="0"/>
          <w:marTop w:val="100"/>
          <w:marBottom w:val="100"/>
          <w:divBdr>
            <w:top w:val="none" w:sz="0" w:space="0" w:color="auto"/>
            <w:left w:val="none" w:sz="0" w:space="0" w:color="auto"/>
            <w:bottom w:val="none" w:sz="0" w:space="0" w:color="auto"/>
            <w:right w:val="none" w:sz="0" w:space="0" w:color="auto"/>
          </w:divBdr>
        </w:div>
      </w:divsChild>
    </w:div>
    <w:div w:id="1854298103">
      <w:bodyDiv w:val="1"/>
      <w:marLeft w:val="0"/>
      <w:marRight w:val="0"/>
      <w:marTop w:val="0"/>
      <w:marBottom w:val="0"/>
      <w:divBdr>
        <w:top w:val="none" w:sz="0" w:space="0" w:color="auto"/>
        <w:left w:val="none" w:sz="0" w:space="0" w:color="auto"/>
        <w:bottom w:val="none" w:sz="0" w:space="0" w:color="auto"/>
        <w:right w:val="none" w:sz="0" w:space="0" w:color="auto"/>
      </w:divBdr>
      <w:divsChild>
        <w:div w:id="1582134453">
          <w:marLeft w:val="0"/>
          <w:marRight w:val="0"/>
          <w:marTop w:val="0"/>
          <w:marBottom w:val="0"/>
          <w:divBdr>
            <w:top w:val="none" w:sz="0" w:space="0" w:color="auto"/>
            <w:left w:val="none" w:sz="0" w:space="0" w:color="auto"/>
            <w:bottom w:val="none" w:sz="0" w:space="0" w:color="auto"/>
            <w:right w:val="none" w:sz="0" w:space="0" w:color="auto"/>
          </w:divBdr>
          <w:divsChild>
            <w:div w:id="305863170">
              <w:marLeft w:val="0"/>
              <w:marRight w:val="0"/>
              <w:marTop w:val="0"/>
              <w:marBottom w:val="0"/>
              <w:divBdr>
                <w:top w:val="none" w:sz="0" w:space="0" w:color="auto"/>
                <w:left w:val="none" w:sz="0" w:space="0" w:color="auto"/>
                <w:bottom w:val="none" w:sz="0" w:space="0" w:color="auto"/>
                <w:right w:val="none" w:sz="0" w:space="0" w:color="auto"/>
              </w:divBdr>
              <w:divsChild>
                <w:div w:id="520509957">
                  <w:marLeft w:val="0"/>
                  <w:marRight w:val="0"/>
                  <w:marTop w:val="0"/>
                  <w:marBottom w:val="0"/>
                  <w:divBdr>
                    <w:top w:val="none" w:sz="0" w:space="0" w:color="auto"/>
                    <w:left w:val="none" w:sz="0" w:space="0" w:color="auto"/>
                    <w:bottom w:val="none" w:sz="0" w:space="0" w:color="auto"/>
                    <w:right w:val="none" w:sz="0" w:space="0" w:color="auto"/>
                  </w:divBdr>
                  <w:divsChild>
                    <w:div w:id="5526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010111">
      <w:bodyDiv w:val="1"/>
      <w:marLeft w:val="0"/>
      <w:marRight w:val="0"/>
      <w:marTop w:val="0"/>
      <w:marBottom w:val="0"/>
      <w:divBdr>
        <w:top w:val="none" w:sz="0" w:space="0" w:color="auto"/>
        <w:left w:val="none" w:sz="0" w:space="0" w:color="auto"/>
        <w:bottom w:val="none" w:sz="0" w:space="0" w:color="auto"/>
        <w:right w:val="none" w:sz="0" w:space="0" w:color="auto"/>
      </w:divBdr>
    </w:div>
    <w:div w:id="1991202912">
      <w:bodyDiv w:val="1"/>
      <w:marLeft w:val="0"/>
      <w:marRight w:val="0"/>
      <w:marTop w:val="0"/>
      <w:marBottom w:val="0"/>
      <w:divBdr>
        <w:top w:val="none" w:sz="0" w:space="0" w:color="auto"/>
        <w:left w:val="none" w:sz="0" w:space="0" w:color="auto"/>
        <w:bottom w:val="none" w:sz="0" w:space="0" w:color="auto"/>
        <w:right w:val="none" w:sz="0" w:space="0" w:color="auto"/>
      </w:divBdr>
    </w:div>
    <w:div w:id="2006280189">
      <w:bodyDiv w:val="1"/>
      <w:marLeft w:val="0"/>
      <w:marRight w:val="0"/>
      <w:marTop w:val="0"/>
      <w:marBottom w:val="0"/>
      <w:divBdr>
        <w:top w:val="none" w:sz="0" w:space="0" w:color="auto"/>
        <w:left w:val="none" w:sz="0" w:space="0" w:color="auto"/>
        <w:bottom w:val="none" w:sz="0" w:space="0" w:color="auto"/>
        <w:right w:val="none" w:sz="0" w:space="0" w:color="auto"/>
      </w:divBdr>
    </w:div>
    <w:div w:id="2056464177">
      <w:bodyDiv w:val="1"/>
      <w:marLeft w:val="0"/>
      <w:marRight w:val="0"/>
      <w:marTop w:val="0"/>
      <w:marBottom w:val="0"/>
      <w:divBdr>
        <w:top w:val="none" w:sz="0" w:space="0" w:color="auto"/>
        <w:left w:val="none" w:sz="0" w:space="0" w:color="auto"/>
        <w:bottom w:val="none" w:sz="0" w:space="0" w:color="auto"/>
        <w:right w:val="none" w:sz="0" w:space="0" w:color="auto"/>
      </w:divBdr>
    </w:div>
    <w:div w:id="2059819567">
      <w:bodyDiv w:val="1"/>
      <w:marLeft w:val="0"/>
      <w:marRight w:val="0"/>
      <w:marTop w:val="0"/>
      <w:marBottom w:val="0"/>
      <w:divBdr>
        <w:top w:val="none" w:sz="0" w:space="0" w:color="auto"/>
        <w:left w:val="none" w:sz="0" w:space="0" w:color="auto"/>
        <w:bottom w:val="none" w:sz="0" w:space="0" w:color="auto"/>
        <w:right w:val="none" w:sz="0" w:space="0" w:color="auto"/>
      </w:divBdr>
    </w:div>
    <w:div w:id="210202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401D3-E85D-44AF-9BF7-0D448F2CB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538</TotalTime>
  <Pages>43</Pages>
  <Words>10708</Words>
  <Characters>63902</Characters>
  <Application>Microsoft Office Word</Application>
  <DocSecurity>0</DocSecurity>
  <Lines>532</Lines>
  <Paragraphs>148</Paragraphs>
  <ScaleCrop>false</ScaleCrop>
  <HeadingPairs>
    <vt:vector size="2" baseType="variant">
      <vt:variant>
        <vt:lpstr>Title</vt:lpstr>
      </vt:variant>
      <vt:variant>
        <vt:i4>1</vt:i4>
      </vt:variant>
    </vt:vector>
  </HeadingPairs>
  <TitlesOfParts>
    <vt:vector size="1" baseType="lpstr">
      <vt:lpstr>Chapter 18 Homelessness services - Report on Government Services 2016</vt:lpstr>
    </vt:vector>
  </TitlesOfParts>
  <Company>Productivity Commission</Company>
  <LinksUpToDate>false</LinksUpToDate>
  <CharactersWithSpaces>74462</CharactersWithSpaces>
  <SharedDoc>false</SharedDoc>
  <HLinks>
    <vt:vector size="54" baseType="variant">
      <vt:variant>
        <vt:i4>1376317</vt:i4>
      </vt:variant>
      <vt:variant>
        <vt:i4>50</vt:i4>
      </vt:variant>
      <vt:variant>
        <vt:i4>0</vt:i4>
      </vt:variant>
      <vt:variant>
        <vt:i4>5</vt:i4>
      </vt:variant>
      <vt:variant>
        <vt:lpwstr/>
      </vt:variant>
      <vt:variant>
        <vt:lpwstr>_Toc309313622</vt:lpwstr>
      </vt:variant>
      <vt:variant>
        <vt:i4>1376317</vt:i4>
      </vt:variant>
      <vt:variant>
        <vt:i4>44</vt:i4>
      </vt:variant>
      <vt:variant>
        <vt:i4>0</vt:i4>
      </vt:variant>
      <vt:variant>
        <vt:i4>5</vt:i4>
      </vt:variant>
      <vt:variant>
        <vt:lpwstr/>
      </vt:variant>
      <vt:variant>
        <vt:lpwstr>_Toc309313621</vt:lpwstr>
      </vt:variant>
      <vt:variant>
        <vt:i4>1376317</vt:i4>
      </vt:variant>
      <vt:variant>
        <vt:i4>38</vt:i4>
      </vt:variant>
      <vt:variant>
        <vt:i4>0</vt:i4>
      </vt:variant>
      <vt:variant>
        <vt:i4>5</vt:i4>
      </vt:variant>
      <vt:variant>
        <vt:lpwstr/>
      </vt:variant>
      <vt:variant>
        <vt:lpwstr>_Toc309313620</vt:lpwstr>
      </vt:variant>
      <vt:variant>
        <vt:i4>1441853</vt:i4>
      </vt:variant>
      <vt:variant>
        <vt:i4>32</vt:i4>
      </vt:variant>
      <vt:variant>
        <vt:i4>0</vt:i4>
      </vt:variant>
      <vt:variant>
        <vt:i4>5</vt:i4>
      </vt:variant>
      <vt:variant>
        <vt:lpwstr/>
      </vt:variant>
      <vt:variant>
        <vt:lpwstr>_Toc309313619</vt:lpwstr>
      </vt:variant>
      <vt:variant>
        <vt:i4>1441853</vt:i4>
      </vt:variant>
      <vt:variant>
        <vt:i4>26</vt:i4>
      </vt:variant>
      <vt:variant>
        <vt:i4>0</vt:i4>
      </vt:variant>
      <vt:variant>
        <vt:i4>5</vt:i4>
      </vt:variant>
      <vt:variant>
        <vt:lpwstr/>
      </vt:variant>
      <vt:variant>
        <vt:lpwstr>_Toc309313618</vt:lpwstr>
      </vt:variant>
      <vt:variant>
        <vt:i4>1441853</vt:i4>
      </vt:variant>
      <vt:variant>
        <vt:i4>20</vt:i4>
      </vt:variant>
      <vt:variant>
        <vt:i4>0</vt:i4>
      </vt:variant>
      <vt:variant>
        <vt:i4>5</vt:i4>
      </vt:variant>
      <vt:variant>
        <vt:lpwstr/>
      </vt:variant>
      <vt:variant>
        <vt:lpwstr>_Toc309313618</vt:lpwstr>
      </vt:variant>
      <vt:variant>
        <vt:i4>1441853</vt:i4>
      </vt:variant>
      <vt:variant>
        <vt:i4>14</vt:i4>
      </vt:variant>
      <vt:variant>
        <vt:i4>0</vt:i4>
      </vt:variant>
      <vt:variant>
        <vt:i4>5</vt:i4>
      </vt:variant>
      <vt:variant>
        <vt:lpwstr/>
      </vt:variant>
      <vt:variant>
        <vt:lpwstr>_Toc309313617</vt:lpwstr>
      </vt:variant>
      <vt:variant>
        <vt:i4>1441853</vt:i4>
      </vt:variant>
      <vt:variant>
        <vt:i4>8</vt:i4>
      </vt:variant>
      <vt:variant>
        <vt:i4>0</vt:i4>
      </vt:variant>
      <vt:variant>
        <vt:i4>5</vt:i4>
      </vt:variant>
      <vt:variant>
        <vt:lpwstr/>
      </vt:variant>
      <vt:variant>
        <vt:lpwstr>_Toc309313616</vt:lpwstr>
      </vt:variant>
      <vt:variant>
        <vt:i4>1441853</vt:i4>
      </vt:variant>
      <vt:variant>
        <vt:i4>2</vt:i4>
      </vt:variant>
      <vt:variant>
        <vt:i4>0</vt:i4>
      </vt:variant>
      <vt:variant>
        <vt:i4>5</vt:i4>
      </vt:variant>
      <vt:variant>
        <vt:lpwstr/>
      </vt:variant>
      <vt:variant>
        <vt:lpwstr>_Toc309313615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 Homelessness services - Report on Government Services 2016</dc:title>
  <dc:creator>Steering Committee for the Review of Government Service Provision</dc:creator>
  <cp:lastModifiedBy>Frech, Tanya</cp:lastModifiedBy>
  <cp:revision>30</cp:revision>
  <cp:lastPrinted>2016-01-12T00:32:00Z</cp:lastPrinted>
  <dcterms:created xsi:type="dcterms:W3CDTF">2015-12-02T03:11:00Z</dcterms:created>
  <dcterms:modified xsi:type="dcterms:W3CDTF">2016-01-12T00:32:00Z</dcterms:modified>
</cp:coreProperties>
</file>