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306" w:rsidRDefault="00182B71" w:rsidP="00726306">
      <w:pPr>
        <w:pStyle w:val="Heading1"/>
      </w:pPr>
      <w:bookmarkStart w:id="0" w:name="_Toc243796398"/>
      <w:bookmarkStart w:id="1" w:name="_Toc243803198"/>
      <w:bookmarkStart w:id="2" w:name="_Toc245529191"/>
      <w:bookmarkStart w:id="3" w:name="_Toc300668508"/>
      <w:bookmarkStart w:id="4" w:name="_Toc300668666"/>
      <w:bookmarkStart w:id="5" w:name="_Toc300824108"/>
      <w:r>
        <w:t>C</w:t>
      </w:r>
      <w:r w:rsidR="00360C4D">
        <w:tab/>
      </w:r>
      <w:r w:rsidR="00726306">
        <w:t xml:space="preserve">Justice </w:t>
      </w:r>
      <w:bookmarkEnd w:id="0"/>
      <w:bookmarkEnd w:id="1"/>
      <w:bookmarkEnd w:id="2"/>
      <w:r w:rsidR="00670E73">
        <w:t xml:space="preserve">sector </w:t>
      </w:r>
      <w:bookmarkEnd w:id="3"/>
      <w:bookmarkEnd w:id="4"/>
      <w:bookmarkEnd w:id="5"/>
      <w:r w:rsidR="009B1AE9">
        <w:t>overview</w:t>
      </w:r>
      <w:bookmarkStart w:id="6" w:name="_GoBack"/>
      <w:bookmarkEnd w:id="6"/>
    </w:p>
    <w:p w:rsidR="00086D86" w:rsidRDefault="00086D86" w:rsidP="000D1276">
      <w:pPr>
        <w:pStyle w:val="BodyText"/>
        <w:tabs>
          <w:tab w:val="left" w:pos="2037"/>
        </w:tabs>
        <w:rPr>
          <w:rFonts w:asciiTheme="majorHAnsi" w:hAnsiTheme="majorHAnsi" w:cstheme="majorHAnsi"/>
        </w:rPr>
      </w:pPr>
      <w:r w:rsidRPr="00212892">
        <w:rPr>
          <w:rFonts w:asciiTheme="majorHAnsi" w:hAnsiTheme="majorHAnsi" w:cstheme="majorHAnsi"/>
        </w:rPr>
        <w:t>CONTENTS</w:t>
      </w:r>
    </w:p>
    <w:p w:rsidR="00A3511A" w:rsidRPr="00727003" w:rsidRDefault="00A3511A" w:rsidP="00A3511A">
      <w:pPr>
        <w:pStyle w:val="TOC1"/>
        <w:ind w:left="1134" w:hanging="567"/>
        <w:rPr>
          <w:rFonts w:asciiTheme="minorHAnsi" w:eastAsiaTheme="minorEastAsia" w:hAnsiTheme="minorHAnsi" w:cstheme="minorBidi"/>
          <w:b w:val="0"/>
          <w:noProof/>
          <w:sz w:val="22"/>
          <w:szCs w:val="22"/>
          <w:lang w:eastAsia="en-AU"/>
        </w:rPr>
      </w:pPr>
      <w:r w:rsidRPr="000B26CF">
        <w:rPr>
          <w:b w:val="0"/>
          <w:noProof/>
        </w:rPr>
        <w:t>C.1</w:t>
      </w:r>
      <w:r w:rsidRPr="00727003">
        <w:rPr>
          <w:rFonts w:asciiTheme="minorHAnsi" w:eastAsiaTheme="minorEastAsia" w:hAnsiTheme="minorHAnsi" w:cstheme="minorBidi"/>
          <w:b w:val="0"/>
          <w:noProof/>
          <w:sz w:val="22"/>
          <w:szCs w:val="22"/>
          <w:lang w:eastAsia="en-AU"/>
        </w:rPr>
        <w:tab/>
      </w:r>
      <w:r w:rsidRPr="000B26CF">
        <w:rPr>
          <w:b w:val="0"/>
          <w:noProof/>
        </w:rPr>
        <w:t>Introduction</w:t>
      </w:r>
      <w:r w:rsidRPr="00727003">
        <w:rPr>
          <w:b w:val="0"/>
          <w:noProof/>
          <w:webHidden/>
        </w:rPr>
        <w:t xml:space="preserve"> </w:t>
      </w:r>
      <w:r w:rsidRPr="00727003">
        <w:rPr>
          <w:b w:val="0"/>
          <w:noProof/>
          <w:webHidden/>
        </w:rPr>
        <w:tab/>
        <w:t>C.</w:t>
      </w:r>
      <w:r w:rsidR="005615CC">
        <w:rPr>
          <w:b w:val="0"/>
          <w:noProof/>
          <w:webHidden/>
        </w:rPr>
        <w:t>1</w:t>
      </w:r>
    </w:p>
    <w:p w:rsidR="00A3511A" w:rsidRPr="00727003" w:rsidRDefault="00A3511A" w:rsidP="00A3511A">
      <w:pPr>
        <w:pStyle w:val="TOC1"/>
        <w:ind w:left="1134" w:hanging="567"/>
        <w:rPr>
          <w:rFonts w:asciiTheme="minorHAnsi" w:eastAsiaTheme="minorEastAsia" w:hAnsiTheme="minorHAnsi" w:cstheme="minorBidi"/>
          <w:b w:val="0"/>
          <w:noProof/>
          <w:sz w:val="22"/>
          <w:szCs w:val="22"/>
          <w:lang w:eastAsia="en-AU"/>
        </w:rPr>
      </w:pPr>
      <w:r w:rsidRPr="000B26CF">
        <w:rPr>
          <w:b w:val="0"/>
          <w:noProof/>
        </w:rPr>
        <w:t>C.2</w:t>
      </w:r>
      <w:r w:rsidRPr="00727003">
        <w:rPr>
          <w:rFonts w:asciiTheme="minorHAnsi" w:eastAsiaTheme="minorEastAsia" w:hAnsiTheme="minorHAnsi" w:cstheme="minorBidi"/>
          <w:b w:val="0"/>
          <w:noProof/>
          <w:sz w:val="22"/>
          <w:szCs w:val="22"/>
          <w:lang w:eastAsia="en-AU"/>
        </w:rPr>
        <w:tab/>
      </w:r>
      <w:r w:rsidRPr="000B26CF">
        <w:rPr>
          <w:b w:val="0"/>
          <w:noProof/>
        </w:rPr>
        <w:t>Sector performance indicator framework</w:t>
      </w:r>
      <w:r w:rsidRPr="00727003">
        <w:rPr>
          <w:b w:val="0"/>
          <w:noProof/>
          <w:webHidden/>
        </w:rPr>
        <w:t xml:space="preserve"> </w:t>
      </w:r>
      <w:r w:rsidRPr="00727003">
        <w:rPr>
          <w:b w:val="0"/>
          <w:noProof/>
          <w:webHidden/>
        </w:rPr>
        <w:tab/>
        <w:t>C.</w:t>
      </w:r>
      <w:r w:rsidR="005615CC">
        <w:rPr>
          <w:b w:val="0"/>
          <w:noProof/>
          <w:webHidden/>
        </w:rPr>
        <w:t>8</w:t>
      </w:r>
    </w:p>
    <w:p w:rsidR="00A3511A" w:rsidRPr="00727003" w:rsidRDefault="00A3511A" w:rsidP="00A3511A">
      <w:pPr>
        <w:pStyle w:val="TOC1"/>
        <w:ind w:left="1134" w:hanging="567"/>
        <w:rPr>
          <w:rFonts w:asciiTheme="minorHAnsi" w:eastAsiaTheme="minorEastAsia" w:hAnsiTheme="minorHAnsi" w:cstheme="minorBidi"/>
          <w:b w:val="0"/>
          <w:noProof/>
          <w:sz w:val="22"/>
          <w:szCs w:val="22"/>
          <w:lang w:eastAsia="en-AU"/>
        </w:rPr>
      </w:pPr>
      <w:r w:rsidRPr="000B26CF">
        <w:rPr>
          <w:b w:val="0"/>
          <w:noProof/>
        </w:rPr>
        <w:t>C.3</w:t>
      </w:r>
      <w:r w:rsidRPr="00727003">
        <w:rPr>
          <w:rFonts w:asciiTheme="minorHAnsi" w:eastAsiaTheme="minorEastAsia" w:hAnsiTheme="minorHAnsi" w:cstheme="minorBidi"/>
          <w:b w:val="0"/>
          <w:noProof/>
          <w:sz w:val="22"/>
          <w:szCs w:val="22"/>
          <w:lang w:eastAsia="en-AU"/>
        </w:rPr>
        <w:tab/>
      </w:r>
      <w:r w:rsidRPr="000B26CF">
        <w:rPr>
          <w:b w:val="0"/>
          <w:noProof/>
        </w:rPr>
        <w:t>Cross-cutting and interface issues</w:t>
      </w:r>
      <w:r w:rsidRPr="00727003">
        <w:rPr>
          <w:b w:val="0"/>
          <w:noProof/>
          <w:webHidden/>
        </w:rPr>
        <w:t xml:space="preserve"> </w:t>
      </w:r>
      <w:r w:rsidRPr="00727003">
        <w:rPr>
          <w:b w:val="0"/>
          <w:noProof/>
          <w:webHidden/>
        </w:rPr>
        <w:tab/>
        <w:t>C.</w:t>
      </w:r>
      <w:r w:rsidR="005615CC">
        <w:rPr>
          <w:b w:val="0"/>
          <w:noProof/>
          <w:webHidden/>
        </w:rPr>
        <w:t>18</w:t>
      </w:r>
    </w:p>
    <w:p w:rsidR="00A3511A" w:rsidRPr="00727003" w:rsidRDefault="00A3511A" w:rsidP="00A3511A">
      <w:pPr>
        <w:pStyle w:val="TOC1"/>
        <w:ind w:left="1134" w:hanging="567"/>
        <w:rPr>
          <w:rFonts w:asciiTheme="minorHAnsi" w:eastAsiaTheme="minorEastAsia" w:hAnsiTheme="minorHAnsi" w:cstheme="minorBidi"/>
          <w:b w:val="0"/>
          <w:noProof/>
          <w:sz w:val="22"/>
          <w:szCs w:val="22"/>
          <w:lang w:eastAsia="en-AU"/>
        </w:rPr>
      </w:pPr>
      <w:r w:rsidRPr="000B26CF">
        <w:rPr>
          <w:b w:val="0"/>
          <w:noProof/>
        </w:rPr>
        <w:t>C.4</w:t>
      </w:r>
      <w:r w:rsidRPr="00727003">
        <w:rPr>
          <w:rFonts w:asciiTheme="minorHAnsi" w:eastAsiaTheme="minorEastAsia" w:hAnsiTheme="minorHAnsi" w:cstheme="minorBidi"/>
          <w:b w:val="0"/>
          <w:noProof/>
          <w:sz w:val="22"/>
          <w:szCs w:val="22"/>
          <w:lang w:eastAsia="en-AU"/>
        </w:rPr>
        <w:tab/>
      </w:r>
      <w:r w:rsidRPr="000B26CF">
        <w:rPr>
          <w:b w:val="0"/>
          <w:noProof/>
        </w:rPr>
        <w:t>References</w:t>
      </w:r>
      <w:r w:rsidRPr="00727003">
        <w:rPr>
          <w:b w:val="0"/>
          <w:noProof/>
          <w:webHidden/>
        </w:rPr>
        <w:t xml:space="preserve"> </w:t>
      </w:r>
      <w:r w:rsidRPr="00727003">
        <w:rPr>
          <w:b w:val="0"/>
          <w:noProof/>
          <w:webHidden/>
        </w:rPr>
        <w:tab/>
        <w:t>C.</w:t>
      </w:r>
      <w:r w:rsidR="005615CC">
        <w:rPr>
          <w:b w:val="0"/>
          <w:noProof/>
          <w:webHidden/>
        </w:rPr>
        <w:t>19</w:t>
      </w:r>
    </w:p>
    <w:p w:rsidR="00656FB8" w:rsidRDefault="007D7F87" w:rsidP="00723465">
      <w:pPr>
        <w:pStyle w:val="BoxSpaceAbove"/>
        <w:tabs>
          <w:tab w:val="right" w:pos="8789"/>
        </w:tabs>
        <w:ind w:left="1134" w:hanging="992"/>
      </w:pPr>
      <w:r w:rsidRPr="007D7F87">
        <w:rPr>
          <w:color w:val="FF00FF"/>
        </w:rPr>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56FB8" w:rsidTr="00564A40">
        <w:tc>
          <w:tcPr>
            <w:tcW w:w="8771" w:type="dxa"/>
            <w:tcBorders>
              <w:top w:val="single" w:sz="6" w:space="0" w:color="78A22F"/>
              <w:left w:val="nil"/>
              <w:bottom w:val="nil"/>
              <w:right w:val="nil"/>
            </w:tcBorders>
            <w:shd w:val="clear" w:color="auto" w:fill="F2F2F2"/>
          </w:tcPr>
          <w:p w:rsidR="00656FB8" w:rsidRPr="005C7D26" w:rsidRDefault="00656FB8" w:rsidP="00656FB8">
            <w:pPr>
              <w:pStyle w:val="BoxTitle"/>
            </w:pPr>
            <w:r w:rsidRPr="005C7D26">
              <w:t>Attachment tables</w:t>
            </w:r>
          </w:p>
        </w:tc>
      </w:tr>
      <w:tr w:rsidR="00656FB8" w:rsidTr="00564A40">
        <w:trPr>
          <w:cantSplit/>
        </w:trPr>
        <w:tc>
          <w:tcPr>
            <w:tcW w:w="8771" w:type="dxa"/>
            <w:tcBorders>
              <w:top w:val="nil"/>
              <w:left w:val="nil"/>
              <w:bottom w:val="nil"/>
              <w:right w:val="nil"/>
            </w:tcBorders>
            <w:shd w:val="clear" w:color="auto" w:fill="F2F2F2"/>
          </w:tcPr>
          <w:p w:rsidR="00656FB8" w:rsidRDefault="00656FB8" w:rsidP="0010442C">
            <w:pPr>
              <w:pStyle w:val="Box"/>
              <w:spacing w:after="120"/>
            </w:pPr>
            <w:r w:rsidRPr="004F7C55">
              <w:t>Attachment tables are identified in reference</w:t>
            </w:r>
            <w:r>
              <w:t>s throughout this sector overview</w:t>
            </w:r>
            <w:r w:rsidRPr="004F7C55">
              <w:t xml:space="preserve"> by a ‘</w:t>
            </w:r>
            <w:r>
              <w:t>CA’ prefix (for example, table </w:t>
            </w:r>
            <w:proofErr w:type="spellStart"/>
            <w:r>
              <w:t>C</w:t>
            </w:r>
            <w:r w:rsidRPr="004F7C55">
              <w:t>A.</w:t>
            </w:r>
            <w:r>
              <w:t>1</w:t>
            </w:r>
            <w:proofErr w:type="spellEnd"/>
            <w:r w:rsidR="00FF65DB">
              <w:t>) and</w:t>
            </w:r>
            <w:r w:rsidR="0086079A">
              <w:t xml:space="preserve"> are available </w:t>
            </w:r>
            <w:r w:rsidR="00DD365A">
              <w:t>from</w:t>
            </w:r>
            <w:r w:rsidRPr="004F7C55">
              <w:t xml:space="preserve"> the website</w:t>
            </w:r>
            <w:r w:rsidR="0086079A">
              <w:t xml:space="preserve"> </w:t>
            </w:r>
            <w:proofErr w:type="spellStart"/>
            <w:r w:rsidR="00ED2892">
              <w:t>w</w:t>
            </w:r>
            <w:r w:rsidR="0018777F">
              <w:t>ww.pc.gov.au</w:t>
            </w:r>
            <w:proofErr w:type="spellEnd"/>
            <w:r w:rsidR="0018777F">
              <w:t>/</w:t>
            </w:r>
            <w:proofErr w:type="spellStart"/>
            <w:r w:rsidR="00335264" w:rsidRPr="00D83101">
              <w:t>rogs</w:t>
            </w:r>
            <w:proofErr w:type="spellEnd"/>
            <w:r w:rsidR="00335264" w:rsidRPr="00D83101">
              <w:t>/201</w:t>
            </w:r>
            <w:r w:rsidR="000D04F7">
              <w:t>7</w:t>
            </w:r>
            <w:r w:rsidRPr="004F7C55">
              <w:t>.</w:t>
            </w:r>
          </w:p>
        </w:tc>
      </w:tr>
      <w:tr w:rsidR="00656FB8" w:rsidRPr="000863A5" w:rsidTr="00564A40">
        <w:tc>
          <w:tcPr>
            <w:tcW w:w="8771" w:type="dxa"/>
            <w:tcBorders>
              <w:top w:val="single" w:sz="6" w:space="0" w:color="78A22F"/>
              <w:left w:val="nil"/>
              <w:bottom w:val="nil"/>
              <w:right w:val="nil"/>
            </w:tcBorders>
          </w:tcPr>
          <w:p w:rsidR="00656FB8" w:rsidRPr="00626D32" w:rsidRDefault="00656FB8" w:rsidP="00564A40">
            <w:pPr>
              <w:pStyle w:val="BoxSpaceBelow"/>
            </w:pPr>
          </w:p>
        </w:tc>
      </w:tr>
    </w:tbl>
    <w:p w:rsidR="00670E73" w:rsidRDefault="00B966A1" w:rsidP="00670E73">
      <w:pPr>
        <w:pStyle w:val="Heading2"/>
      </w:pPr>
      <w:bookmarkStart w:id="7" w:name="_Toc300668509"/>
      <w:bookmarkStart w:id="8" w:name="_Toc464037053"/>
      <w:proofErr w:type="spellStart"/>
      <w:r>
        <w:t>C.</w:t>
      </w:r>
      <w:r w:rsidR="005615CC">
        <w:rPr>
          <w:noProof/>
        </w:rPr>
        <w:t>1</w:t>
      </w:r>
      <w:proofErr w:type="spellEnd"/>
      <w:r>
        <w:tab/>
      </w:r>
      <w:r w:rsidR="00670E73">
        <w:t>Introduction</w:t>
      </w:r>
      <w:bookmarkEnd w:id="7"/>
      <w:bookmarkEnd w:id="8"/>
    </w:p>
    <w:p w:rsidR="00156706" w:rsidRDefault="00606CFD" w:rsidP="00156706">
      <w:pPr>
        <w:pStyle w:val="BodyText"/>
        <w:rPr>
          <w:lang w:val="en-US" w:eastAsia="en-US"/>
        </w:rPr>
      </w:pPr>
      <w:r>
        <w:rPr>
          <w:lang w:val="en-US" w:eastAsia="en-US"/>
        </w:rPr>
        <w:t>This sector overview</w:t>
      </w:r>
      <w:r w:rsidR="00156706" w:rsidRPr="00E16ED5">
        <w:rPr>
          <w:lang w:val="en-US" w:eastAsia="en-US"/>
        </w:rPr>
        <w:t xml:space="preserve"> provides an introduction to justice services, comprising police services (chapter 6), civil and criminal court</w:t>
      </w:r>
      <w:r w:rsidR="00156706">
        <w:rPr>
          <w:lang w:val="en-US" w:eastAsia="en-US"/>
        </w:rPr>
        <w:t>s</w:t>
      </w:r>
      <w:r w:rsidR="00DD1E4F">
        <w:rPr>
          <w:lang w:val="en-US" w:eastAsia="en-US"/>
        </w:rPr>
        <w:t>’</w:t>
      </w:r>
      <w:r w:rsidR="00156706" w:rsidRPr="00E16ED5">
        <w:rPr>
          <w:lang w:val="en-US" w:eastAsia="en-US"/>
        </w:rPr>
        <w:t xml:space="preserve"> administration (chapter 7) and adult corrective services (chapter 8). It provides an overview of the justice sector, presenting both contextual information and high-level performance information. </w:t>
      </w:r>
    </w:p>
    <w:p w:rsidR="00DD365A" w:rsidRDefault="00DD365A">
      <w:pPr>
        <w:pStyle w:val="Heading3"/>
      </w:pPr>
      <w:r>
        <w:t>Profile of the Justice sector</w:t>
      </w:r>
    </w:p>
    <w:p w:rsidR="00071D8B" w:rsidRDefault="00563DAA" w:rsidP="009F45A6">
      <w:pPr>
        <w:pStyle w:val="Heading4"/>
      </w:pPr>
      <w:bookmarkStart w:id="9" w:name="_Toc300668510"/>
      <w:r>
        <w:t xml:space="preserve">Sector </w:t>
      </w:r>
      <w:r w:rsidR="00DD365A">
        <w:t>outline</w:t>
      </w:r>
    </w:p>
    <w:p w:rsidR="00071D8B" w:rsidRPr="00C259B5" w:rsidRDefault="00071D8B" w:rsidP="009F45A6">
      <w:pPr>
        <w:pStyle w:val="BodyText"/>
      </w:pPr>
      <w:r>
        <w:t>The Justice sector services covered in this Report comprise:</w:t>
      </w:r>
    </w:p>
    <w:p w:rsidR="00071D8B" w:rsidRDefault="00CE47D1" w:rsidP="009F45A6">
      <w:pPr>
        <w:pStyle w:val="ListBullet"/>
      </w:pPr>
      <w:r>
        <w:t>Police reporting on</w:t>
      </w:r>
      <w:r w:rsidR="00071D8B">
        <w:t xml:space="preserve"> the operations of police agencies of each State and Territory government.</w:t>
      </w:r>
    </w:p>
    <w:p w:rsidR="00071D8B" w:rsidRDefault="00071D8B" w:rsidP="009F45A6">
      <w:pPr>
        <w:pStyle w:val="ListBullet"/>
      </w:pPr>
      <w:r w:rsidRPr="00BB2966">
        <w:t xml:space="preserve">Courts reporting </w:t>
      </w:r>
      <w:r w:rsidR="00CE47D1">
        <w:t>on</w:t>
      </w:r>
      <w:r>
        <w:t xml:space="preserve"> service delivery in the State and Territory supreme, district/county and magistrates’ courts (including children’s courts, coroner’s courts and probate registries). The Federal Court of Australia, Family Court of Australia, Family Court of WA and the Federal Circuit Court of Australia are included.</w:t>
      </w:r>
    </w:p>
    <w:p w:rsidR="0061402D" w:rsidRDefault="00CE47D1" w:rsidP="009F45A6">
      <w:pPr>
        <w:pStyle w:val="ListBullet"/>
      </w:pPr>
      <w:r>
        <w:lastRenderedPageBreak/>
        <w:t>Corrective services reporting</w:t>
      </w:r>
      <w:r w:rsidR="00071D8B">
        <w:t xml:space="preserve"> on adult custodial facilities and community corrections, including prison services provided through </w:t>
      </w:r>
      <w:proofErr w:type="spellStart"/>
      <w:r w:rsidR="00071D8B">
        <w:t>contractual</w:t>
      </w:r>
      <w:proofErr w:type="spellEnd"/>
      <w:r w:rsidR="00071D8B">
        <w:t xml:space="preserve"> arrangements with private providers.</w:t>
      </w:r>
      <w:bookmarkEnd w:id="9"/>
    </w:p>
    <w:p w:rsidR="00CF0EFC" w:rsidRPr="009F45A6" w:rsidRDefault="00683B86" w:rsidP="002B3D48">
      <w:pPr>
        <w:pStyle w:val="BodyText"/>
      </w:pPr>
      <w:r>
        <w:t>The justice sector</w:t>
      </w:r>
      <w:r w:rsidR="00CF0EFC" w:rsidRPr="00EC5F9D">
        <w:t xml:space="preserve"> services comprise both criminal and civil jurisdictions.</w:t>
      </w:r>
      <w:r w:rsidR="00FE0100">
        <w:t xml:space="preserve"> </w:t>
      </w:r>
      <w:r w:rsidR="00CF0EFC" w:rsidRPr="00EC5F9D">
        <w:t>Services in the criminal jurisdiction are delivered by police, court</w:t>
      </w:r>
      <w:r w:rsidR="001746D5">
        <w:t>s</w:t>
      </w:r>
      <w:r w:rsidR="00CF0EFC" w:rsidRPr="00EC5F9D">
        <w:t xml:space="preserve"> and corrective services. In the civil jurisdiction, police deliver services for infringements, and </w:t>
      </w:r>
      <w:r w:rsidR="00CF0EFC" w:rsidRPr="00BB2966">
        <w:t>court</w:t>
      </w:r>
      <w:r w:rsidR="001746D5" w:rsidRPr="00BB2966">
        <w:t>s</w:t>
      </w:r>
      <w:r w:rsidR="006C0B39">
        <w:t xml:space="preserve"> deal</w:t>
      </w:r>
      <w:r w:rsidR="00CF0EFC" w:rsidRPr="00EC5F9D">
        <w:t xml:space="preserve"> with civil law matters</w:t>
      </w:r>
      <w:r w:rsidR="00CF0EFC" w:rsidRPr="009F45A6">
        <w:t xml:space="preserve">. </w:t>
      </w:r>
    </w:p>
    <w:p w:rsidR="009A7A58" w:rsidRPr="00FF4023" w:rsidRDefault="009A7A58" w:rsidP="002B3D48">
      <w:pPr>
        <w:pStyle w:val="BodyText"/>
      </w:pPr>
      <w:r w:rsidRPr="00FF4023">
        <w:t xml:space="preserve">Other government services </w:t>
      </w:r>
      <w:r>
        <w:t>that</w:t>
      </w:r>
      <w:r w:rsidRPr="00FF4023">
        <w:t xml:space="preserve"> contribute to criminal and civil justice outcomes but are not covered in this Report are:</w:t>
      </w:r>
    </w:p>
    <w:p w:rsidR="009A7A58" w:rsidRDefault="009A7A58" w:rsidP="00D8717A">
      <w:pPr>
        <w:pStyle w:val="ListBullet"/>
      </w:pPr>
      <w:r w:rsidRPr="00EC5F9D">
        <w:t>legal aid services</w:t>
      </w:r>
    </w:p>
    <w:p w:rsidR="009A7A58" w:rsidRPr="00EC5F9D" w:rsidRDefault="009A7A58" w:rsidP="00D8717A">
      <w:pPr>
        <w:pStyle w:val="ListBullet"/>
      </w:pPr>
      <w:r>
        <w:t>public prosecutions</w:t>
      </w:r>
    </w:p>
    <w:p w:rsidR="009A7A58" w:rsidRPr="00EC5F9D" w:rsidRDefault="009A7A58" w:rsidP="00D8717A">
      <w:pPr>
        <w:pStyle w:val="ListBullet"/>
      </w:pPr>
      <w:r w:rsidRPr="00EC5F9D">
        <w:t>alternative dispute resolution services, such as conciliation and mediation</w:t>
      </w:r>
    </w:p>
    <w:p w:rsidR="009A7A58" w:rsidRPr="00EC5F9D" w:rsidRDefault="009A7A58" w:rsidP="00D8717A">
      <w:pPr>
        <w:pStyle w:val="ListBullet"/>
      </w:pPr>
      <w:r w:rsidRPr="00EC5F9D">
        <w:t>offices of fair trading or consumer affairs, which operate to minimise incidences of unlawful trade practices</w:t>
      </w:r>
    </w:p>
    <w:p w:rsidR="009A7A58" w:rsidRPr="00EC5F9D" w:rsidRDefault="009A7A58" w:rsidP="00D8717A">
      <w:pPr>
        <w:pStyle w:val="ListBullet"/>
      </w:pPr>
      <w:r w:rsidRPr="00EC5F9D">
        <w:t>victim support services, which assist victims’ recovery from crime (</w:t>
      </w:r>
      <w:r w:rsidR="00D8717A">
        <w:t xml:space="preserve">except </w:t>
      </w:r>
      <w:r w:rsidRPr="00EC5F9D">
        <w:t xml:space="preserve">processing of applications for compensation </w:t>
      </w:r>
      <w:r w:rsidR="00D8717A">
        <w:t xml:space="preserve">which </w:t>
      </w:r>
      <w:r w:rsidRPr="00EC5F9D">
        <w:t xml:space="preserve">is included in the civil </w:t>
      </w:r>
      <w:r w:rsidR="00D8717A">
        <w:t>courts information</w:t>
      </w:r>
      <w:r w:rsidRPr="00EC5F9D">
        <w:t>)</w:t>
      </w:r>
    </w:p>
    <w:p w:rsidR="009A7A58" w:rsidRDefault="009A7A58" w:rsidP="00D8717A">
      <w:pPr>
        <w:pStyle w:val="ListBullet"/>
      </w:pPr>
      <w:r w:rsidRPr="00EC5F9D">
        <w:t>various social services and community o</w:t>
      </w:r>
      <w:r w:rsidR="00D20BBE">
        <w:t>rganisations that help people</w:t>
      </w:r>
      <w:r w:rsidRPr="00EC5F9D">
        <w:t xml:space="preserve"> released from prison to re-integrate into societ</w:t>
      </w:r>
      <w:r w:rsidR="00E45540">
        <w:t>y, support families of people who are in prison</w:t>
      </w:r>
      <w:r w:rsidRPr="00EC5F9D">
        <w:t>, and assist people who have contact with the criminal justice system</w:t>
      </w:r>
    </w:p>
    <w:p w:rsidR="009A7A58" w:rsidRDefault="009A7A58" w:rsidP="00D8717A">
      <w:pPr>
        <w:pStyle w:val="ListBullet"/>
      </w:pPr>
      <w:r>
        <w:t>Australian Crime Commission and federal functions of the Australian Federal Police</w:t>
      </w:r>
    </w:p>
    <w:p w:rsidR="009A7A58" w:rsidRPr="00CD4BF5" w:rsidRDefault="009A7A58" w:rsidP="00D8717A">
      <w:pPr>
        <w:pStyle w:val="ListBullet"/>
      </w:pPr>
      <w:r w:rsidRPr="00CD4BF5">
        <w:t>the operations of tribunals and registries (except for probate and court registries) and judicial outcomes</w:t>
      </w:r>
    </w:p>
    <w:p w:rsidR="009A7A58" w:rsidRPr="00EC5F9D" w:rsidRDefault="009A7A58" w:rsidP="00D8717A">
      <w:pPr>
        <w:pStyle w:val="ListBullet"/>
      </w:pPr>
      <w:r>
        <w:t>operations of the High Court of Australia and specialist jurisdiction courts (except for family courts, children’s courts and coroners’ courts)</w:t>
      </w:r>
    </w:p>
    <w:p w:rsidR="009A7A58" w:rsidRDefault="009A7A58" w:rsidP="00D8717A">
      <w:pPr>
        <w:pStyle w:val="ListBullet"/>
      </w:pPr>
      <w:r w:rsidRPr="00E2244D">
        <w:t>law enforcement functions delivered by national agencies such as the Australian Transaction Report</w:t>
      </w:r>
      <w:r w:rsidR="008E5D08">
        <w:t>s and Analysis Centre (AUSTRAC) or</w:t>
      </w:r>
      <w:r w:rsidRPr="00E2244D">
        <w:t xml:space="preserve"> Department of Immigration (in relation to illegal immigrants)</w:t>
      </w:r>
      <w:r w:rsidR="008E5D08">
        <w:t>.</w:t>
      </w:r>
    </w:p>
    <w:p w:rsidR="003C2F72" w:rsidRPr="00E2244D" w:rsidRDefault="003C2F72" w:rsidP="008207BE">
      <w:pPr>
        <w:pStyle w:val="ListBullet"/>
        <w:numPr>
          <w:ilvl w:val="0"/>
          <w:numId w:val="0"/>
        </w:numPr>
      </w:pPr>
      <w:r w:rsidRPr="00FF4023">
        <w:t>Justice services for children and young offe</w:t>
      </w:r>
      <w:r>
        <w:t>nders are covered under youth</w:t>
      </w:r>
      <w:r w:rsidRPr="00FF4023">
        <w:t xml:space="preserve"> justice</w:t>
      </w:r>
      <w:r>
        <w:t xml:space="preserve"> in chapter 1</w:t>
      </w:r>
      <w:r w:rsidR="00135E16">
        <w:t>7</w:t>
      </w:r>
      <w:r w:rsidRPr="00FF4023">
        <w:t xml:space="preserve"> of the Report.</w:t>
      </w:r>
    </w:p>
    <w:p w:rsidR="008D49CF" w:rsidRDefault="00927B9E" w:rsidP="008D49CF">
      <w:pPr>
        <w:pStyle w:val="Heading4"/>
      </w:pPr>
      <w:r>
        <w:t>Roles and responsibilities</w:t>
      </w:r>
    </w:p>
    <w:p w:rsidR="00927B9E" w:rsidRPr="00915EBF" w:rsidRDefault="00927B9E" w:rsidP="009F45A6">
      <w:pPr>
        <w:pStyle w:val="Heading5"/>
      </w:pPr>
      <w:r>
        <w:t>Criminal justice system</w:t>
      </w:r>
    </w:p>
    <w:p w:rsidR="00ED7B98" w:rsidRDefault="00831BCB" w:rsidP="008D49CF">
      <w:pPr>
        <w:pStyle w:val="BodyText"/>
      </w:pPr>
      <w:r>
        <w:rPr>
          <w:bCs/>
          <w:szCs w:val="26"/>
        </w:rPr>
        <w:t>Figure</w:t>
      </w:r>
      <w:r w:rsidR="008D49CF">
        <w:t> </w:t>
      </w:r>
      <w:proofErr w:type="spellStart"/>
      <w:r w:rsidR="0082173A">
        <w:t>C.1</w:t>
      </w:r>
      <w:proofErr w:type="spellEnd"/>
      <w:r w:rsidR="0082173A">
        <w:t xml:space="preserve"> </w:t>
      </w:r>
      <w:r w:rsidR="008D49CF">
        <w:t xml:space="preserve">shows </w:t>
      </w:r>
      <w:r w:rsidR="008D49CF" w:rsidRPr="00881445">
        <w:t xml:space="preserve">the </w:t>
      </w:r>
      <w:r w:rsidR="008D49CF">
        <w:t>typical flow of events in t</w:t>
      </w:r>
      <w:r w:rsidR="008D49CF" w:rsidRPr="00881445">
        <w:t>he criminal justice system.</w:t>
      </w:r>
      <w:r w:rsidR="000618C5">
        <w:t xml:space="preserve"> The roles of police, courts and corrective services, and the sequencing of their involvement, are shown.</w:t>
      </w:r>
      <w:r w:rsidR="008D49CF" w:rsidRPr="00881445">
        <w:t xml:space="preserve"> </w:t>
      </w:r>
    </w:p>
    <w:p w:rsidR="00C82E63" w:rsidRDefault="00C82E63"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82E63" w:rsidTr="00C82E63">
        <w:tc>
          <w:tcPr>
            <w:tcW w:w="8771" w:type="dxa"/>
            <w:tcBorders>
              <w:top w:val="single" w:sz="6" w:space="0" w:color="78A22F"/>
              <w:left w:val="nil"/>
              <w:bottom w:val="nil"/>
              <w:right w:val="nil"/>
            </w:tcBorders>
            <w:shd w:val="clear" w:color="auto" w:fill="auto"/>
          </w:tcPr>
          <w:p w:rsidR="00C82E63" w:rsidRPr="00176D3F" w:rsidRDefault="00C82E63" w:rsidP="00831BCB">
            <w:pPr>
              <w:pStyle w:val="FigureTitle"/>
            </w:pPr>
            <w:r w:rsidRPr="00784A05">
              <w:rPr>
                <w:b w:val="0"/>
              </w:rPr>
              <w:t xml:space="preserve">Figure </w:t>
            </w:r>
            <w:proofErr w:type="spellStart"/>
            <w:r>
              <w:rPr>
                <w:b w:val="0"/>
              </w:rPr>
              <w:t>C.</w:t>
            </w:r>
            <w:r w:rsidR="005615CC">
              <w:rPr>
                <w:b w:val="0"/>
                <w:noProof/>
              </w:rPr>
              <w:t>1</w:t>
            </w:r>
            <w:proofErr w:type="spellEnd"/>
            <w:r>
              <w:tab/>
              <w:t>Flows through the criminal justice system</w:t>
            </w:r>
            <w:r w:rsidRPr="000B3DE1">
              <w:rPr>
                <w:rStyle w:val="NoteLabel"/>
                <w:b/>
              </w:rPr>
              <w:t>a, b</w:t>
            </w:r>
          </w:p>
        </w:tc>
      </w:tr>
      <w:tr w:rsidR="00C82E63"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C82E63" w:rsidTr="00C82E63">
              <w:tc>
                <w:tcPr>
                  <w:tcW w:w="5000" w:type="pct"/>
                  <w:tcBorders>
                    <w:top w:val="nil"/>
                    <w:bottom w:val="nil"/>
                  </w:tcBorders>
                </w:tcPr>
                <w:p w:rsidR="00C82E63" w:rsidRDefault="00F55D73" w:rsidP="00C82E63">
                  <w:pPr>
                    <w:pStyle w:val="Figure"/>
                    <w:spacing w:before="60" w:after="60"/>
                  </w:pPr>
                  <w:r>
                    <w:rPr>
                      <w:noProof/>
                    </w:rPr>
                    <w:drawing>
                      <wp:inline distT="0" distB="0" distL="0" distR="0" wp14:anchorId="769C2BA0" wp14:editId="6042A098">
                        <wp:extent cx="5057775" cy="5915025"/>
                        <wp:effectExtent l="0" t="0" r="0" b="0"/>
                        <wp:docPr id="2" name="Picture 2" descr="Figure C.1 Flows through the crimina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57775" cy="5915025"/>
                                </a:xfrm>
                                <a:prstGeom prst="rect">
                                  <a:avLst/>
                                </a:prstGeom>
                                <a:noFill/>
                                <a:ln>
                                  <a:noFill/>
                                </a:ln>
                              </pic:spPr>
                            </pic:pic>
                          </a:graphicData>
                        </a:graphic>
                      </wp:inline>
                    </w:drawing>
                  </w:r>
                </w:p>
              </w:tc>
            </w:tr>
          </w:tbl>
          <w:p w:rsidR="00C82E63" w:rsidRDefault="00C82E63" w:rsidP="00C82E63">
            <w:pPr>
              <w:pStyle w:val="Figure"/>
            </w:pPr>
          </w:p>
        </w:tc>
      </w:tr>
      <w:tr w:rsidR="00C82E63" w:rsidRPr="00176D3F" w:rsidTr="00C82E63">
        <w:tc>
          <w:tcPr>
            <w:tcW w:w="8771" w:type="dxa"/>
            <w:tcBorders>
              <w:top w:val="nil"/>
              <w:left w:val="nil"/>
              <w:bottom w:val="nil"/>
              <w:right w:val="nil"/>
            </w:tcBorders>
            <w:shd w:val="clear" w:color="auto" w:fill="auto"/>
          </w:tcPr>
          <w:p w:rsidR="00C82E63" w:rsidRPr="00176D3F" w:rsidRDefault="00C82E63" w:rsidP="00CC7A27">
            <w:pPr>
              <w:pStyle w:val="Note"/>
            </w:pPr>
            <w:proofErr w:type="spellStart"/>
            <w:r>
              <w:rPr>
                <w:rStyle w:val="NoteLabel"/>
              </w:rPr>
              <w:t>a</w:t>
            </w:r>
            <w:proofErr w:type="spellEnd"/>
            <w:r w:rsidR="00E26791">
              <w:t xml:space="preserve"> Does not account for all variations across Australian, State and Territory governments’ criminal justice systems. </w:t>
            </w:r>
            <w:r w:rsidR="00E26791" w:rsidRPr="000B3DE1">
              <w:rPr>
                <w:rStyle w:val="NoteLabel"/>
              </w:rPr>
              <w:t>b</w:t>
            </w:r>
            <w:r w:rsidR="00E26791">
              <w:t xml:space="preserve"> The flow diagram is indicative and does</w:t>
            </w:r>
            <w:r w:rsidR="00AB2525">
              <w:t xml:space="preserve"> not</w:t>
            </w:r>
            <w:r w:rsidR="00E26791">
              <w:t xml:space="preserve"> include all complexities of the criminal justice system</w:t>
            </w:r>
            <w:r w:rsidR="00831BCB">
              <w:t>.</w:t>
            </w:r>
          </w:p>
        </w:tc>
      </w:tr>
      <w:tr w:rsidR="00677606" w:rsidTr="00883DE6">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C82E63" w:rsidRPr="000863A5" w:rsidTr="00C82E63">
        <w:tc>
          <w:tcPr>
            <w:tcW w:w="8771" w:type="dxa"/>
            <w:tcBorders>
              <w:top w:val="single" w:sz="6" w:space="0" w:color="78A22F"/>
              <w:left w:val="nil"/>
              <w:bottom w:val="nil"/>
              <w:right w:val="nil"/>
            </w:tcBorders>
          </w:tcPr>
          <w:p w:rsidR="00C82E63" w:rsidRPr="00626D32" w:rsidRDefault="00C82E63" w:rsidP="00C82E63">
            <w:pPr>
              <w:pStyle w:val="BoxSpaceBelow"/>
            </w:pPr>
          </w:p>
        </w:tc>
      </w:tr>
    </w:tbl>
    <w:p w:rsidR="00847E89" w:rsidRDefault="00927B9E" w:rsidP="009F45A6">
      <w:pPr>
        <w:pStyle w:val="Heading5"/>
      </w:pPr>
      <w:r>
        <w:t>C</w:t>
      </w:r>
      <w:r w:rsidR="00847E89">
        <w:t>ivil justice system</w:t>
      </w:r>
    </w:p>
    <w:p w:rsidR="00FE45DD" w:rsidRDefault="00CC7A27" w:rsidP="00976B37">
      <w:pPr>
        <w:pStyle w:val="BodyText"/>
        <w:rPr>
          <w:bCs/>
          <w:szCs w:val="26"/>
        </w:rPr>
      </w:pPr>
      <w:r>
        <w:rPr>
          <w:bCs/>
          <w:szCs w:val="26"/>
        </w:rPr>
        <w:t xml:space="preserve">Figure </w:t>
      </w:r>
      <w:proofErr w:type="spellStart"/>
      <w:r>
        <w:t>C.2</w:t>
      </w:r>
      <w:proofErr w:type="spellEnd"/>
      <w:r>
        <w:rPr>
          <w:bCs/>
          <w:szCs w:val="26"/>
        </w:rPr>
        <w:t xml:space="preserve"> </w:t>
      </w:r>
      <w:r w:rsidRPr="007964B7">
        <w:rPr>
          <w:bCs/>
          <w:szCs w:val="26"/>
        </w:rPr>
        <w:t>is an indicative model of the flows through the civil justice system</w:t>
      </w:r>
      <w:r>
        <w:rPr>
          <w:bCs/>
          <w:szCs w:val="26"/>
        </w:rPr>
        <w:t>. While the emphasis is on the flow of disputes which proceed to court, the role of alternative dispute resolution processes is considerable in civil justice.</w:t>
      </w:r>
    </w:p>
    <w:p w:rsidR="00F55D73" w:rsidRDefault="00F55D73" w:rsidP="00F55D7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A6B67" w:rsidTr="00C82E63">
        <w:tc>
          <w:tcPr>
            <w:tcW w:w="8771" w:type="dxa"/>
            <w:tcBorders>
              <w:top w:val="single" w:sz="6" w:space="0" w:color="78A22F"/>
              <w:left w:val="nil"/>
              <w:bottom w:val="nil"/>
              <w:right w:val="nil"/>
            </w:tcBorders>
            <w:shd w:val="clear" w:color="auto" w:fill="auto"/>
          </w:tcPr>
          <w:p w:rsidR="000A6B67" w:rsidRPr="000A6B67" w:rsidRDefault="000A6B67" w:rsidP="000A6B67">
            <w:pPr>
              <w:pStyle w:val="FigureTitle"/>
              <w:rPr>
                <w:b w:val="0"/>
                <w:position w:val="6"/>
                <w:sz w:val="18"/>
              </w:rPr>
            </w:pPr>
            <w:r w:rsidRPr="00784A05">
              <w:rPr>
                <w:b w:val="0"/>
              </w:rPr>
              <w:t xml:space="preserve">Figure </w:t>
            </w:r>
            <w:proofErr w:type="spellStart"/>
            <w:r>
              <w:rPr>
                <w:b w:val="0"/>
              </w:rPr>
              <w:t>C.</w:t>
            </w:r>
            <w:r w:rsidR="005615CC">
              <w:rPr>
                <w:b w:val="0"/>
                <w:noProof/>
              </w:rPr>
              <w:t>2</w:t>
            </w:r>
            <w:proofErr w:type="spellEnd"/>
            <w:r>
              <w:tab/>
              <w:t>Flows through the civil justice system</w:t>
            </w:r>
            <w:r w:rsidRPr="000B3DE1">
              <w:rPr>
                <w:rStyle w:val="NoteLabel"/>
                <w:b/>
              </w:rPr>
              <w:t>a, b</w:t>
            </w:r>
          </w:p>
        </w:tc>
      </w:tr>
      <w:tr w:rsidR="000A6B67" w:rsidTr="00C82E63">
        <w:tc>
          <w:tcPr>
            <w:tcW w:w="8771" w:type="dxa"/>
            <w:tcBorders>
              <w:top w:val="nil"/>
              <w:left w:val="nil"/>
              <w:bottom w:val="nil"/>
              <w:right w:val="nil"/>
            </w:tcBorders>
            <w:shd w:val="clear" w:color="auto" w:fill="auto"/>
            <w:tcMar>
              <w:top w:w="28" w:type="dxa"/>
              <w:bottom w:w="28" w:type="dxa"/>
            </w:tcMar>
          </w:tcPr>
          <w:tbl>
            <w:tblPr>
              <w:tblW w:w="8557"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57"/>
            </w:tblGrid>
            <w:tr w:rsidR="000A6B67" w:rsidTr="009F45A6">
              <w:trPr>
                <w:trHeight w:val="9234"/>
              </w:trPr>
              <w:tc>
                <w:tcPr>
                  <w:tcW w:w="5000" w:type="pct"/>
                  <w:tcBorders>
                    <w:top w:val="nil"/>
                    <w:bottom w:val="nil"/>
                  </w:tcBorders>
                </w:tcPr>
                <w:p w:rsidR="000A6B67" w:rsidRDefault="000A6B67" w:rsidP="00976B37">
                  <w:pPr>
                    <w:pStyle w:val="Figure"/>
                    <w:spacing w:after="0" w:line="240" w:lineRule="auto"/>
                    <w:rPr>
                      <w:szCs w:val="24"/>
                    </w:rPr>
                  </w:pPr>
                  <w:r>
                    <w:rPr>
                      <w:noProof/>
                    </w:rPr>
                    <w:drawing>
                      <wp:inline distT="0" distB="0" distL="0" distR="0" wp14:anchorId="7717D0A4" wp14:editId="67AC1338">
                        <wp:extent cx="5324475" cy="5772150"/>
                        <wp:effectExtent l="0" t="0" r="9525" b="0"/>
                        <wp:docPr id="6" name="Picture 6" descr="Figure C.2 Flows through the civi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26936" cy="5774818"/>
                                </a:xfrm>
                                <a:prstGeom prst="rect">
                                  <a:avLst/>
                                </a:prstGeom>
                                <a:noFill/>
                                <a:ln>
                                  <a:noFill/>
                                </a:ln>
                              </pic:spPr>
                            </pic:pic>
                          </a:graphicData>
                        </a:graphic>
                      </wp:inline>
                    </w:drawing>
                  </w:r>
                </w:p>
              </w:tc>
            </w:tr>
          </w:tbl>
          <w:p w:rsidR="000A6B67" w:rsidRDefault="000A6B67" w:rsidP="00C82E63">
            <w:pPr>
              <w:pStyle w:val="Figure"/>
            </w:pPr>
          </w:p>
        </w:tc>
      </w:tr>
      <w:tr w:rsidR="000A6B67" w:rsidRPr="00176D3F" w:rsidTr="00C82E63">
        <w:tc>
          <w:tcPr>
            <w:tcW w:w="8771" w:type="dxa"/>
            <w:tcBorders>
              <w:top w:val="nil"/>
              <w:left w:val="nil"/>
              <w:bottom w:val="nil"/>
              <w:right w:val="nil"/>
            </w:tcBorders>
            <w:shd w:val="clear" w:color="auto" w:fill="auto"/>
          </w:tcPr>
          <w:p w:rsidR="000A6B67" w:rsidRPr="00176D3F" w:rsidRDefault="000A6B67" w:rsidP="00CC7A27">
            <w:pPr>
              <w:pStyle w:val="Note"/>
            </w:pPr>
            <w:proofErr w:type="spellStart"/>
            <w:r>
              <w:rPr>
                <w:rStyle w:val="NoteLabel"/>
              </w:rPr>
              <w:t>a</w:t>
            </w:r>
            <w:proofErr w:type="spellEnd"/>
            <w:r>
              <w:t xml:space="preserve"> </w:t>
            </w:r>
            <w:r>
              <w:sym w:font="Symbol" w:char="F020"/>
            </w:r>
            <w:r>
              <w:t xml:space="preserve">Does not account for all variations across Australian, State and Territory governments’ civil justice systems. </w:t>
            </w:r>
            <w:r w:rsidRPr="000B3DE1">
              <w:rPr>
                <w:rStyle w:val="NoteLabel"/>
              </w:rPr>
              <w:t>b</w:t>
            </w:r>
            <w:r>
              <w:rPr>
                <w:rStyle w:val="NoteLabel"/>
              </w:rPr>
              <w:t xml:space="preserve"> </w:t>
            </w:r>
            <w:r>
              <w:t>The flow diagram is indicative and does not include all complexities of the civil justice system.</w:t>
            </w:r>
          </w:p>
        </w:tc>
      </w:tr>
      <w:tr w:rsidR="00677606" w:rsidTr="00883DE6">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0A6B67" w:rsidRPr="000863A5" w:rsidTr="00C82E63">
        <w:tc>
          <w:tcPr>
            <w:tcW w:w="8771" w:type="dxa"/>
            <w:tcBorders>
              <w:top w:val="single" w:sz="6" w:space="0" w:color="78A22F"/>
              <w:left w:val="nil"/>
              <w:bottom w:val="nil"/>
              <w:right w:val="nil"/>
            </w:tcBorders>
          </w:tcPr>
          <w:p w:rsidR="000A6B67" w:rsidRPr="00626D32" w:rsidRDefault="000A6B67" w:rsidP="00C82E63">
            <w:pPr>
              <w:pStyle w:val="BoxSpaceBelow"/>
            </w:pPr>
          </w:p>
        </w:tc>
      </w:tr>
    </w:tbl>
    <w:p w:rsidR="009A30E7" w:rsidRPr="009A30E7" w:rsidRDefault="009A30E7" w:rsidP="00B21006">
      <w:pPr>
        <w:pStyle w:val="Heading4"/>
      </w:pPr>
      <w:r w:rsidRPr="009A30E7">
        <w:t>Real recurre</w:t>
      </w:r>
      <w:r w:rsidR="008D49CF">
        <w:t>nt expenditure on justice</w:t>
      </w:r>
      <w:r w:rsidRPr="009A30E7">
        <w:t xml:space="preserve"> services</w:t>
      </w:r>
      <w:r w:rsidR="008D49CF">
        <w:t xml:space="preserve"> in this Report</w:t>
      </w:r>
    </w:p>
    <w:p w:rsidR="009A30E7" w:rsidRDefault="009A30E7" w:rsidP="004478E5">
      <w:pPr>
        <w:pStyle w:val="BodyText"/>
      </w:pPr>
      <w:r w:rsidRPr="005B203D">
        <w:t>Total real recurrent expenditure (less revenue from own sources) for those parts of the justice system co</w:t>
      </w:r>
      <w:r w:rsidR="00D22F51">
        <w:t>vered in this Report was</w:t>
      </w:r>
      <w:r w:rsidR="00B247B7">
        <w:t xml:space="preserve"> </w:t>
      </w:r>
      <w:r w:rsidR="00B247B7" w:rsidRPr="00C44EDC">
        <w:t>a</w:t>
      </w:r>
      <w:r w:rsidR="00B2606D">
        <w:t>bout</w:t>
      </w:r>
      <w:r w:rsidR="00D22F51" w:rsidRPr="00C44EDC">
        <w:t xml:space="preserve"> </w:t>
      </w:r>
      <w:r w:rsidR="00D22F51" w:rsidRPr="005857F8">
        <w:t>$</w:t>
      </w:r>
      <w:r w:rsidR="005279DC" w:rsidRPr="005857F8">
        <w:t>16.2</w:t>
      </w:r>
      <w:r w:rsidR="00DC761D" w:rsidRPr="005857F8">
        <w:t xml:space="preserve"> </w:t>
      </w:r>
      <w:r w:rsidR="000228FB" w:rsidRPr="00B47283">
        <w:t>billion</w:t>
      </w:r>
      <w:r w:rsidR="000228FB" w:rsidRPr="00D83101">
        <w:t xml:space="preserve"> in </w:t>
      </w:r>
      <w:r w:rsidR="000228FB" w:rsidRPr="00B2606D">
        <w:t>201</w:t>
      </w:r>
      <w:r w:rsidR="00810A23" w:rsidRPr="00B2606D">
        <w:t>5</w:t>
      </w:r>
      <w:r w:rsidR="000228FB" w:rsidRPr="00B2606D">
        <w:t>-1</w:t>
      </w:r>
      <w:r w:rsidR="00810A23" w:rsidRPr="00B2606D">
        <w:t>6</w:t>
      </w:r>
      <w:r w:rsidR="00D22F51" w:rsidRPr="00B2606D">
        <w:t xml:space="preserve"> </w:t>
      </w:r>
      <w:r w:rsidR="00D22F51" w:rsidRPr="00D83101">
        <w:t>(</w:t>
      </w:r>
      <w:r w:rsidR="00D22F51">
        <w:t xml:space="preserve">table </w:t>
      </w:r>
      <w:proofErr w:type="spellStart"/>
      <w:r w:rsidR="008D7F68">
        <w:t>C.1</w:t>
      </w:r>
      <w:proofErr w:type="spellEnd"/>
      <w:r w:rsidRPr="005B203D">
        <w:t>).</w:t>
      </w:r>
    </w:p>
    <w:p w:rsidR="00362319" w:rsidRDefault="00362319" w:rsidP="00362319">
      <w:pPr>
        <w:pStyle w:val="BoxSpaceAbove"/>
      </w:pPr>
    </w:p>
    <w:tbl>
      <w:tblPr>
        <w:tblW w:w="8771"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layout."/>
      </w:tblPr>
      <w:tblGrid>
        <w:gridCol w:w="8771"/>
      </w:tblGrid>
      <w:tr w:rsidR="00362319" w:rsidTr="00677606">
        <w:tc>
          <w:tcPr>
            <w:tcW w:w="8767" w:type="dxa"/>
            <w:tcBorders>
              <w:top w:val="single" w:sz="6" w:space="0" w:color="78A22F" w:themeColor="accent1"/>
              <w:left w:val="nil"/>
              <w:bottom w:val="nil"/>
              <w:right w:val="nil"/>
            </w:tcBorders>
            <w:shd w:val="clear" w:color="auto" w:fill="auto"/>
          </w:tcPr>
          <w:p w:rsidR="00362319" w:rsidRPr="00784A05" w:rsidRDefault="00362319">
            <w:pPr>
              <w:pStyle w:val="TableTitle"/>
            </w:pPr>
            <w:r>
              <w:rPr>
                <w:b w:val="0"/>
              </w:rPr>
              <w:t xml:space="preserve">Table </w:t>
            </w:r>
            <w:proofErr w:type="spellStart"/>
            <w:r>
              <w:rPr>
                <w:b w:val="0"/>
              </w:rPr>
              <w:t>C.</w:t>
            </w:r>
            <w:r w:rsidR="005615CC">
              <w:rPr>
                <w:b w:val="0"/>
                <w:noProof/>
              </w:rPr>
              <w:t>1</w:t>
            </w:r>
            <w:proofErr w:type="spellEnd"/>
            <w:r>
              <w:tab/>
            </w:r>
            <w:r w:rsidRPr="00A1493A">
              <w:t xml:space="preserve">Real recurrent expenditure (less revenue from own sources) </w:t>
            </w:r>
            <w:r w:rsidRPr="00A01C4E">
              <w:t>on justice services by Australian</w:t>
            </w:r>
            <w:r>
              <w:t>, State and Territory governments (</w:t>
            </w:r>
            <w:r w:rsidRPr="007648EE">
              <w:t>201</w:t>
            </w:r>
            <w:r w:rsidR="006E2574" w:rsidRPr="007648EE">
              <w:t>5</w:t>
            </w:r>
            <w:r w:rsidRPr="007648EE">
              <w:rPr>
                <w:rFonts w:cs="Arial"/>
              </w:rPr>
              <w:noBreakHyphen/>
              <w:t>1</w:t>
            </w:r>
            <w:r w:rsidR="006E2574" w:rsidRPr="007648EE">
              <w:rPr>
                <w:rFonts w:cs="Arial"/>
              </w:rPr>
              <w:t>6</w:t>
            </w:r>
            <w:r w:rsidRPr="007648EE">
              <w:t> </w:t>
            </w:r>
            <w:r w:rsidRPr="00A01C4E">
              <w:t>dollars</w:t>
            </w:r>
            <w:r w:rsidRPr="00A1493A">
              <w:t>)</w:t>
            </w:r>
            <w:r w:rsidRPr="00A1493A">
              <w:rPr>
                <w:rStyle w:val="NoteLabel"/>
                <w:b/>
              </w:rPr>
              <w:t>a, b</w:t>
            </w:r>
            <w:r w:rsidR="00CD606D">
              <w:rPr>
                <w:rStyle w:val="NoteLabel"/>
                <w:b/>
              </w:rPr>
              <w:t>, c</w:t>
            </w:r>
            <w:r w:rsidR="00BE5596">
              <w:rPr>
                <w:rStyle w:val="NoteLabel"/>
                <w:b/>
              </w:rPr>
              <w:t>, d</w:t>
            </w:r>
          </w:p>
        </w:tc>
      </w:tr>
      <w:tr w:rsidR="00362319" w:rsidTr="00677606">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838"/>
              <w:gridCol w:w="766"/>
              <w:gridCol w:w="923"/>
              <w:gridCol w:w="922"/>
              <w:gridCol w:w="922"/>
              <w:gridCol w:w="930"/>
              <w:gridCol w:w="930"/>
              <w:gridCol w:w="1252"/>
            </w:tblGrid>
            <w:tr w:rsidR="002A04AD" w:rsidRPr="00A1493A" w:rsidTr="005857F8">
              <w:tc>
                <w:tcPr>
                  <w:tcW w:w="1838" w:type="dxa"/>
                  <w:tcBorders>
                    <w:top w:val="single" w:sz="6" w:space="0" w:color="BFBFBF"/>
                    <w:bottom w:val="single" w:sz="6" w:space="0" w:color="BFBFBF"/>
                  </w:tcBorders>
                  <w:shd w:val="clear" w:color="auto" w:fill="auto"/>
                </w:tcPr>
                <w:p w:rsidR="002A04AD" w:rsidRPr="00A1493A" w:rsidRDefault="002A04AD" w:rsidP="00C82E63">
                  <w:pPr>
                    <w:pStyle w:val="TableColumnHeading"/>
                    <w:jc w:val="left"/>
                  </w:pPr>
                </w:p>
              </w:tc>
              <w:tc>
                <w:tcPr>
                  <w:tcW w:w="766" w:type="dxa"/>
                  <w:tcBorders>
                    <w:top w:val="single" w:sz="6" w:space="0" w:color="BFBFBF"/>
                    <w:bottom w:val="single" w:sz="6" w:space="0" w:color="BFBFBF"/>
                  </w:tcBorders>
                </w:tcPr>
                <w:p w:rsidR="008D4024" w:rsidRDefault="008D4024">
                  <w:pPr>
                    <w:pStyle w:val="TableColumnHeading"/>
                    <w:ind w:left="0" w:right="28"/>
                  </w:pPr>
                  <w:r>
                    <w:br/>
                    <w:t>Unit</w:t>
                  </w:r>
                </w:p>
              </w:tc>
              <w:tc>
                <w:tcPr>
                  <w:tcW w:w="923" w:type="dxa"/>
                  <w:tcBorders>
                    <w:top w:val="single" w:sz="6" w:space="0" w:color="BFBFBF"/>
                    <w:bottom w:val="single" w:sz="6" w:space="0" w:color="BFBFBF"/>
                  </w:tcBorders>
                  <w:shd w:val="clear" w:color="auto" w:fill="auto"/>
                </w:tcPr>
                <w:p w:rsidR="002A04AD" w:rsidRPr="00A1493A" w:rsidRDefault="008D4024" w:rsidP="00F7572A">
                  <w:pPr>
                    <w:pStyle w:val="TableColumnHeading"/>
                    <w:ind w:left="0" w:right="28"/>
                  </w:pPr>
                  <w:r>
                    <w:br/>
                  </w:r>
                  <w:r w:rsidR="002A04AD">
                    <w:t>2011</w:t>
                  </w:r>
                  <w:r w:rsidR="002A04AD" w:rsidRPr="00A1493A">
                    <w:rPr>
                      <w:rFonts w:cs="Arial"/>
                    </w:rPr>
                    <w:noBreakHyphen/>
                  </w:r>
                  <w:r w:rsidR="002A04AD">
                    <w:t>12</w:t>
                  </w:r>
                </w:p>
              </w:tc>
              <w:tc>
                <w:tcPr>
                  <w:tcW w:w="922" w:type="dxa"/>
                  <w:tcBorders>
                    <w:top w:val="single" w:sz="6" w:space="0" w:color="BFBFBF"/>
                    <w:bottom w:val="single" w:sz="6" w:space="0" w:color="BFBFBF"/>
                  </w:tcBorders>
                  <w:shd w:val="clear" w:color="auto" w:fill="auto"/>
                </w:tcPr>
                <w:p w:rsidR="002A04AD" w:rsidRPr="00A1493A" w:rsidRDefault="002A04AD">
                  <w:pPr>
                    <w:pStyle w:val="TableColumnHeading"/>
                    <w:ind w:left="0" w:right="28"/>
                  </w:pPr>
                  <w:r>
                    <w:br/>
                    <w:t>2012</w:t>
                  </w:r>
                  <w:r w:rsidRPr="00A1493A">
                    <w:rPr>
                      <w:rFonts w:cs="Arial"/>
                    </w:rPr>
                    <w:noBreakHyphen/>
                  </w:r>
                  <w:r>
                    <w:t>13</w:t>
                  </w:r>
                </w:p>
              </w:tc>
              <w:tc>
                <w:tcPr>
                  <w:tcW w:w="922" w:type="dxa"/>
                  <w:tcBorders>
                    <w:top w:val="single" w:sz="6" w:space="0" w:color="BFBFBF"/>
                    <w:bottom w:val="single" w:sz="6" w:space="0" w:color="BFBFBF"/>
                  </w:tcBorders>
                  <w:shd w:val="clear" w:color="auto" w:fill="auto"/>
                </w:tcPr>
                <w:p w:rsidR="002A04AD" w:rsidRPr="00A1493A" w:rsidRDefault="002A04AD">
                  <w:pPr>
                    <w:pStyle w:val="TableColumnHeading"/>
                    <w:ind w:left="0" w:right="28"/>
                  </w:pPr>
                  <w:r>
                    <w:br/>
                    <w:t>2013</w:t>
                  </w:r>
                  <w:r w:rsidRPr="00A1493A">
                    <w:rPr>
                      <w:rFonts w:cs="Arial"/>
                    </w:rPr>
                    <w:noBreakHyphen/>
                  </w:r>
                  <w:r>
                    <w:t>14</w:t>
                  </w:r>
                </w:p>
              </w:tc>
              <w:tc>
                <w:tcPr>
                  <w:tcW w:w="930" w:type="dxa"/>
                  <w:tcBorders>
                    <w:top w:val="single" w:sz="6" w:space="0" w:color="BFBFBF"/>
                    <w:bottom w:val="single" w:sz="6" w:space="0" w:color="BFBFBF"/>
                  </w:tcBorders>
                  <w:shd w:val="clear" w:color="auto" w:fill="auto"/>
                </w:tcPr>
                <w:p w:rsidR="002A04AD" w:rsidRPr="00A1493A" w:rsidRDefault="002A04AD">
                  <w:pPr>
                    <w:pStyle w:val="TableColumnHeading"/>
                    <w:ind w:left="0" w:right="28"/>
                  </w:pPr>
                  <w:r>
                    <w:br/>
                    <w:t>2014</w:t>
                  </w:r>
                  <w:r w:rsidRPr="00A1493A">
                    <w:rPr>
                      <w:rFonts w:cs="Arial"/>
                    </w:rPr>
                    <w:noBreakHyphen/>
                  </w:r>
                  <w:r>
                    <w:t>15</w:t>
                  </w:r>
                </w:p>
              </w:tc>
              <w:tc>
                <w:tcPr>
                  <w:tcW w:w="930" w:type="dxa"/>
                  <w:tcBorders>
                    <w:top w:val="single" w:sz="6" w:space="0" w:color="BFBFBF"/>
                    <w:bottom w:val="single" w:sz="6" w:space="0" w:color="BFBFBF"/>
                  </w:tcBorders>
                  <w:shd w:val="clear" w:color="auto" w:fill="auto"/>
                </w:tcPr>
                <w:p w:rsidR="002A04AD" w:rsidRPr="00A1493A" w:rsidRDefault="002A04AD">
                  <w:pPr>
                    <w:pStyle w:val="TableColumnHeading"/>
                    <w:ind w:left="0" w:right="28"/>
                  </w:pPr>
                  <w:r>
                    <w:br/>
                    <w:t>2015</w:t>
                  </w:r>
                  <w:r w:rsidRPr="00A1493A">
                    <w:rPr>
                      <w:rFonts w:cs="Arial"/>
                    </w:rPr>
                    <w:noBreakHyphen/>
                  </w:r>
                  <w:r>
                    <w:rPr>
                      <w:rFonts w:cs="Arial"/>
                    </w:rPr>
                    <w:t>16</w:t>
                  </w:r>
                </w:p>
              </w:tc>
              <w:tc>
                <w:tcPr>
                  <w:tcW w:w="1252" w:type="dxa"/>
                  <w:tcBorders>
                    <w:top w:val="single" w:sz="6" w:space="0" w:color="BFBFBF"/>
                    <w:bottom w:val="single" w:sz="6" w:space="0" w:color="BFBFBF"/>
                  </w:tcBorders>
                  <w:shd w:val="clear" w:color="auto" w:fill="auto"/>
                </w:tcPr>
                <w:p w:rsidR="002A04AD" w:rsidRPr="00A1493A" w:rsidRDefault="002A04AD">
                  <w:pPr>
                    <w:pStyle w:val="TableColumnHeading"/>
                    <w:ind w:left="0" w:right="28"/>
                  </w:pPr>
                  <w:r w:rsidRPr="00A1493A">
                    <w:t>Average annual</w:t>
                  </w:r>
                  <w:r>
                    <w:t xml:space="preserve"> grow</w:t>
                  </w:r>
                  <w:r w:rsidRPr="00A1493A">
                    <w:t>th</w:t>
                  </w:r>
                  <w:r>
                    <w:t> </w:t>
                  </w:r>
                  <w:r w:rsidRPr="00A1493A">
                    <w:t xml:space="preserve"> rate</w:t>
                  </w:r>
                  <w:r w:rsidR="002F6D97">
                    <w:t xml:space="preserve"> (%)</w:t>
                  </w:r>
                </w:p>
              </w:tc>
            </w:tr>
            <w:tr w:rsidR="002A04AD" w:rsidTr="005857F8">
              <w:tc>
                <w:tcPr>
                  <w:tcW w:w="1838" w:type="dxa"/>
                  <w:tcBorders>
                    <w:top w:val="single" w:sz="6" w:space="0" w:color="BFBFBF"/>
                  </w:tcBorders>
                </w:tcPr>
                <w:p w:rsidR="002A04AD" w:rsidRPr="00A1493A" w:rsidRDefault="002A04AD" w:rsidP="005857F8">
                  <w:pPr>
                    <w:pStyle w:val="TableBodyText"/>
                    <w:spacing w:after="0" w:line="240" w:lineRule="auto"/>
                    <w:jc w:val="left"/>
                  </w:pPr>
                </w:p>
              </w:tc>
              <w:tc>
                <w:tcPr>
                  <w:tcW w:w="766" w:type="dxa"/>
                  <w:tcBorders>
                    <w:top w:val="single" w:sz="6" w:space="0" w:color="BFBFBF"/>
                  </w:tcBorders>
                </w:tcPr>
                <w:p w:rsidR="002A04AD" w:rsidRDefault="002A04AD" w:rsidP="005857F8">
                  <w:pPr>
                    <w:pStyle w:val="TableBodyText"/>
                    <w:spacing w:after="0" w:line="240" w:lineRule="auto"/>
                    <w:ind w:left="0" w:right="28"/>
                  </w:pPr>
                </w:p>
              </w:tc>
              <w:tc>
                <w:tcPr>
                  <w:tcW w:w="923" w:type="dxa"/>
                  <w:tcBorders>
                    <w:top w:val="single" w:sz="6" w:space="0" w:color="BFBFBF"/>
                  </w:tcBorders>
                  <w:vAlign w:val="bottom"/>
                </w:tcPr>
                <w:p w:rsidR="002A04AD" w:rsidRDefault="002A04AD" w:rsidP="005857F8">
                  <w:pPr>
                    <w:pStyle w:val="TableBodyText"/>
                    <w:spacing w:after="0" w:line="240" w:lineRule="auto"/>
                    <w:ind w:left="0" w:right="28"/>
                  </w:pPr>
                </w:p>
              </w:tc>
              <w:tc>
                <w:tcPr>
                  <w:tcW w:w="922" w:type="dxa"/>
                  <w:tcBorders>
                    <w:top w:val="single" w:sz="6" w:space="0" w:color="BFBFBF"/>
                  </w:tcBorders>
                  <w:vAlign w:val="bottom"/>
                </w:tcPr>
                <w:p w:rsidR="002A04AD" w:rsidRDefault="002A04AD" w:rsidP="005857F8">
                  <w:pPr>
                    <w:pStyle w:val="TableBodyText"/>
                    <w:spacing w:after="0" w:line="240" w:lineRule="auto"/>
                    <w:ind w:left="0" w:right="28"/>
                  </w:pPr>
                </w:p>
              </w:tc>
              <w:tc>
                <w:tcPr>
                  <w:tcW w:w="922" w:type="dxa"/>
                  <w:tcBorders>
                    <w:top w:val="single" w:sz="6" w:space="0" w:color="BFBFBF"/>
                  </w:tcBorders>
                  <w:vAlign w:val="bottom"/>
                </w:tcPr>
                <w:p w:rsidR="002A04AD" w:rsidRDefault="002A04AD" w:rsidP="005857F8">
                  <w:pPr>
                    <w:pStyle w:val="TableBodyText"/>
                    <w:spacing w:after="0" w:line="240" w:lineRule="auto"/>
                    <w:ind w:left="0" w:right="28"/>
                  </w:pPr>
                </w:p>
              </w:tc>
              <w:tc>
                <w:tcPr>
                  <w:tcW w:w="930" w:type="dxa"/>
                  <w:tcBorders>
                    <w:top w:val="single" w:sz="6" w:space="0" w:color="BFBFBF"/>
                  </w:tcBorders>
                  <w:vAlign w:val="bottom"/>
                </w:tcPr>
                <w:p w:rsidR="002A04AD" w:rsidRDefault="002A04AD" w:rsidP="005857F8">
                  <w:pPr>
                    <w:pStyle w:val="TableBodyText"/>
                    <w:spacing w:after="0" w:line="240" w:lineRule="auto"/>
                    <w:ind w:left="0" w:right="28"/>
                  </w:pPr>
                </w:p>
              </w:tc>
              <w:tc>
                <w:tcPr>
                  <w:tcW w:w="930" w:type="dxa"/>
                  <w:tcBorders>
                    <w:top w:val="single" w:sz="6" w:space="0" w:color="BFBFBF"/>
                  </w:tcBorders>
                  <w:vAlign w:val="bottom"/>
                </w:tcPr>
                <w:p w:rsidR="002A04AD" w:rsidRDefault="002A04AD" w:rsidP="005857F8">
                  <w:pPr>
                    <w:pStyle w:val="TableBodyText"/>
                    <w:spacing w:after="0" w:line="240" w:lineRule="auto"/>
                    <w:ind w:left="0" w:right="28"/>
                  </w:pPr>
                </w:p>
              </w:tc>
              <w:tc>
                <w:tcPr>
                  <w:tcW w:w="1252" w:type="dxa"/>
                  <w:tcBorders>
                    <w:top w:val="single" w:sz="6" w:space="0" w:color="BFBFBF"/>
                  </w:tcBorders>
                  <w:vAlign w:val="bottom"/>
                </w:tcPr>
                <w:p w:rsidR="002A04AD" w:rsidRDefault="002A04AD" w:rsidP="005857F8">
                  <w:pPr>
                    <w:pStyle w:val="TableBodyText"/>
                    <w:spacing w:after="0" w:line="240" w:lineRule="auto"/>
                    <w:ind w:left="0" w:right="28"/>
                  </w:pPr>
                </w:p>
              </w:tc>
            </w:tr>
            <w:tr w:rsidR="005857F8" w:rsidTr="005857F8">
              <w:tc>
                <w:tcPr>
                  <w:tcW w:w="1838" w:type="dxa"/>
                  <w:vAlign w:val="bottom"/>
                </w:tcPr>
                <w:p w:rsidR="002A04AD" w:rsidRPr="00A1493A" w:rsidRDefault="002A04AD" w:rsidP="00F7572A">
                  <w:pPr>
                    <w:pStyle w:val="TableBodyText"/>
                    <w:spacing w:before="40"/>
                    <w:jc w:val="left"/>
                    <w:rPr>
                      <w:rStyle w:val="NoteLabel"/>
                    </w:rPr>
                  </w:pPr>
                  <w:r w:rsidRPr="00A1493A">
                    <w:t>Police services</w:t>
                  </w:r>
                </w:p>
              </w:tc>
              <w:tc>
                <w:tcPr>
                  <w:tcW w:w="766" w:type="dxa"/>
                </w:tcPr>
                <w:p w:rsidR="002A04AD" w:rsidRPr="00915EBF" w:rsidRDefault="002A04AD">
                  <w:pPr>
                    <w:pStyle w:val="TableBodyText"/>
                  </w:pPr>
                  <w:r>
                    <w:t>$</w:t>
                  </w:r>
                  <w:r w:rsidR="007C3DC3">
                    <w:t>m</w:t>
                  </w:r>
                </w:p>
              </w:tc>
              <w:tc>
                <w:tcPr>
                  <w:tcW w:w="923" w:type="dxa"/>
                  <w:vAlign w:val="bottom"/>
                </w:tcPr>
                <w:p w:rsidR="002A04AD" w:rsidRPr="007648EE" w:rsidRDefault="002A04AD">
                  <w:pPr>
                    <w:pStyle w:val="TableBodyText"/>
                  </w:pPr>
                  <w:r w:rsidRPr="00915EBF">
                    <w:t>10</w:t>
                  </w:r>
                  <w:r>
                    <w:t xml:space="preserve"> </w:t>
                  </w:r>
                  <w:r w:rsidRPr="00915EBF">
                    <w:t>073</w:t>
                  </w:r>
                </w:p>
              </w:tc>
              <w:tc>
                <w:tcPr>
                  <w:tcW w:w="922" w:type="dxa"/>
                  <w:vAlign w:val="bottom"/>
                </w:tcPr>
                <w:p w:rsidR="002A04AD" w:rsidRPr="007648EE" w:rsidRDefault="002A04AD">
                  <w:pPr>
                    <w:pStyle w:val="TableBodyText"/>
                  </w:pPr>
                  <w:r w:rsidRPr="00915EBF">
                    <w:t>9</w:t>
                  </w:r>
                  <w:r>
                    <w:t xml:space="preserve"> </w:t>
                  </w:r>
                  <w:r w:rsidRPr="00915EBF">
                    <w:t>987</w:t>
                  </w:r>
                </w:p>
              </w:tc>
              <w:tc>
                <w:tcPr>
                  <w:tcW w:w="922" w:type="dxa"/>
                  <w:vAlign w:val="bottom"/>
                </w:tcPr>
                <w:p w:rsidR="002A04AD" w:rsidRPr="007648EE" w:rsidRDefault="002A04AD">
                  <w:pPr>
                    <w:pStyle w:val="TableBodyText"/>
                  </w:pPr>
                  <w:r w:rsidRPr="00915EBF">
                    <w:t>10</w:t>
                  </w:r>
                  <w:r>
                    <w:t xml:space="preserve"> </w:t>
                  </w:r>
                  <w:r w:rsidRPr="00915EBF">
                    <w:t>536</w:t>
                  </w:r>
                </w:p>
              </w:tc>
              <w:tc>
                <w:tcPr>
                  <w:tcW w:w="930" w:type="dxa"/>
                  <w:shd w:val="clear" w:color="auto" w:fill="auto"/>
                  <w:vAlign w:val="bottom"/>
                </w:tcPr>
                <w:p w:rsidR="002A04AD" w:rsidRPr="00C731AE" w:rsidRDefault="002A04AD">
                  <w:pPr>
                    <w:pStyle w:val="TableBodyText"/>
                  </w:pPr>
                  <w:r w:rsidRPr="00734033">
                    <w:t>10 793</w:t>
                  </w:r>
                </w:p>
              </w:tc>
              <w:tc>
                <w:tcPr>
                  <w:tcW w:w="930" w:type="dxa"/>
                  <w:shd w:val="clear" w:color="auto" w:fill="auto"/>
                  <w:vAlign w:val="bottom"/>
                </w:tcPr>
                <w:p w:rsidR="002A04AD" w:rsidRPr="00C731AE" w:rsidRDefault="002A04AD">
                  <w:pPr>
                    <w:pStyle w:val="TableBodyText"/>
                  </w:pPr>
                  <w:r w:rsidRPr="00C731AE">
                    <w:t>10 982</w:t>
                  </w:r>
                </w:p>
              </w:tc>
              <w:tc>
                <w:tcPr>
                  <w:tcW w:w="1252" w:type="dxa"/>
                  <w:shd w:val="clear" w:color="auto" w:fill="auto"/>
                  <w:vAlign w:val="bottom"/>
                </w:tcPr>
                <w:p w:rsidR="002A04AD" w:rsidRPr="007648EE" w:rsidRDefault="002A04AD" w:rsidP="005857F8">
                  <w:pPr>
                    <w:pStyle w:val="TableBodyText"/>
                    <w:ind w:right="425"/>
                  </w:pPr>
                  <w:r>
                    <w:t>2</w:t>
                  </w:r>
                  <w:r w:rsidRPr="00915EBF">
                    <w:t>.2</w:t>
                  </w:r>
                </w:p>
              </w:tc>
            </w:tr>
            <w:tr w:rsidR="002A04AD" w:rsidTr="005857F8">
              <w:tc>
                <w:tcPr>
                  <w:tcW w:w="1838" w:type="dxa"/>
                  <w:vAlign w:val="bottom"/>
                </w:tcPr>
                <w:p w:rsidR="002A04AD" w:rsidRPr="000A2CA6" w:rsidRDefault="002A04AD" w:rsidP="009F45A6">
                  <w:pPr>
                    <w:pStyle w:val="TableBodyText"/>
                    <w:tabs>
                      <w:tab w:val="right" w:pos="8789"/>
                    </w:tabs>
                    <w:spacing w:before="40"/>
                    <w:ind w:hanging="6"/>
                    <w:jc w:val="left"/>
                    <w:rPr>
                      <w:rStyle w:val="NoteLabel"/>
                      <w:b w:val="0"/>
                      <w:position w:val="0"/>
                      <w:sz w:val="20"/>
                    </w:rPr>
                  </w:pPr>
                  <w:r w:rsidRPr="000A2CA6">
                    <w:t>Courts — criminal</w:t>
                  </w:r>
                </w:p>
              </w:tc>
              <w:tc>
                <w:tcPr>
                  <w:tcW w:w="766" w:type="dxa"/>
                </w:tcPr>
                <w:p w:rsidR="002A04AD" w:rsidRPr="009F45A6" w:rsidRDefault="002A04AD">
                  <w:pPr>
                    <w:pStyle w:val="TableBodyText"/>
                  </w:pPr>
                  <w:r>
                    <w:t>$</w:t>
                  </w:r>
                  <w:r w:rsidR="00E32926">
                    <w:t>m</w:t>
                  </w:r>
                </w:p>
              </w:tc>
              <w:tc>
                <w:tcPr>
                  <w:tcW w:w="923" w:type="dxa"/>
                  <w:vAlign w:val="bottom"/>
                </w:tcPr>
                <w:p w:rsidR="002A04AD" w:rsidRPr="007648EE" w:rsidRDefault="002A04AD">
                  <w:pPr>
                    <w:pStyle w:val="TableBodyText"/>
                  </w:pPr>
                  <w:r w:rsidRPr="009F45A6">
                    <w:t>827</w:t>
                  </w:r>
                </w:p>
              </w:tc>
              <w:tc>
                <w:tcPr>
                  <w:tcW w:w="922" w:type="dxa"/>
                  <w:shd w:val="clear" w:color="auto" w:fill="auto"/>
                  <w:vAlign w:val="bottom"/>
                </w:tcPr>
                <w:p w:rsidR="002A04AD" w:rsidRPr="007648EE" w:rsidRDefault="002A04AD">
                  <w:pPr>
                    <w:pStyle w:val="TableBodyText"/>
                  </w:pPr>
                  <w:r w:rsidRPr="009F45A6">
                    <w:t>807</w:t>
                  </w:r>
                </w:p>
              </w:tc>
              <w:tc>
                <w:tcPr>
                  <w:tcW w:w="922" w:type="dxa"/>
                  <w:vAlign w:val="bottom"/>
                </w:tcPr>
                <w:p w:rsidR="002A04AD" w:rsidRPr="007648EE" w:rsidRDefault="002A04AD">
                  <w:pPr>
                    <w:pStyle w:val="TableBodyText"/>
                  </w:pPr>
                  <w:r w:rsidRPr="009F45A6">
                    <w:t>793</w:t>
                  </w:r>
                </w:p>
              </w:tc>
              <w:tc>
                <w:tcPr>
                  <w:tcW w:w="930" w:type="dxa"/>
                  <w:vAlign w:val="bottom"/>
                </w:tcPr>
                <w:p w:rsidR="002A04AD" w:rsidRPr="007648EE" w:rsidRDefault="002A04AD">
                  <w:pPr>
                    <w:pStyle w:val="TableBodyText"/>
                  </w:pPr>
                  <w:r w:rsidRPr="009F45A6">
                    <w:t>821</w:t>
                  </w:r>
                </w:p>
              </w:tc>
              <w:tc>
                <w:tcPr>
                  <w:tcW w:w="930" w:type="dxa"/>
                  <w:shd w:val="clear" w:color="auto" w:fill="auto"/>
                  <w:vAlign w:val="bottom"/>
                </w:tcPr>
                <w:p w:rsidR="002A04AD" w:rsidRPr="007648EE" w:rsidRDefault="002A04AD">
                  <w:pPr>
                    <w:pStyle w:val="TableBodyText"/>
                  </w:pPr>
                  <w:r w:rsidRPr="005857F8">
                    <w:t>825</w:t>
                  </w:r>
                </w:p>
              </w:tc>
              <w:tc>
                <w:tcPr>
                  <w:tcW w:w="1252" w:type="dxa"/>
                  <w:vAlign w:val="bottom"/>
                </w:tcPr>
                <w:p w:rsidR="002A04AD" w:rsidRPr="007648EE" w:rsidRDefault="002A04AD" w:rsidP="005857F8">
                  <w:pPr>
                    <w:pStyle w:val="TableBodyText"/>
                    <w:ind w:right="425"/>
                  </w:pPr>
                  <w:r w:rsidRPr="00915EBF">
                    <w:t>-0.1</w:t>
                  </w:r>
                </w:p>
              </w:tc>
            </w:tr>
            <w:tr w:rsidR="002A04AD" w:rsidRPr="00145C3D" w:rsidTr="005857F8">
              <w:tc>
                <w:tcPr>
                  <w:tcW w:w="1838" w:type="dxa"/>
                  <w:vAlign w:val="bottom"/>
                </w:tcPr>
                <w:p w:rsidR="002A04AD" w:rsidRPr="000A2CA6" w:rsidRDefault="002A04AD" w:rsidP="009F45A6">
                  <w:pPr>
                    <w:pStyle w:val="TableBodyText"/>
                    <w:tabs>
                      <w:tab w:val="right" w:pos="8789"/>
                    </w:tabs>
                    <w:spacing w:before="40"/>
                    <w:ind w:hanging="6"/>
                    <w:jc w:val="left"/>
                    <w:rPr>
                      <w:rStyle w:val="NoteLabel"/>
                    </w:rPr>
                  </w:pPr>
                  <w:r w:rsidRPr="000A2CA6">
                    <w:t>Courts — civil</w:t>
                  </w:r>
                </w:p>
              </w:tc>
              <w:tc>
                <w:tcPr>
                  <w:tcW w:w="766" w:type="dxa"/>
                </w:tcPr>
                <w:p w:rsidR="002A04AD" w:rsidRPr="009F45A6" w:rsidRDefault="002A04AD">
                  <w:pPr>
                    <w:pStyle w:val="TableBodyText"/>
                  </w:pPr>
                  <w:r>
                    <w:t>$</w:t>
                  </w:r>
                  <w:r w:rsidR="00E32926">
                    <w:t>m</w:t>
                  </w:r>
                </w:p>
              </w:tc>
              <w:tc>
                <w:tcPr>
                  <w:tcW w:w="923" w:type="dxa"/>
                  <w:vAlign w:val="bottom"/>
                </w:tcPr>
                <w:p w:rsidR="002A04AD" w:rsidRPr="007648EE" w:rsidRDefault="002A04AD">
                  <w:pPr>
                    <w:pStyle w:val="TableBodyText"/>
                  </w:pPr>
                  <w:r w:rsidRPr="009F45A6">
                    <w:t>690</w:t>
                  </w:r>
                </w:p>
              </w:tc>
              <w:tc>
                <w:tcPr>
                  <w:tcW w:w="922" w:type="dxa"/>
                  <w:shd w:val="clear" w:color="auto" w:fill="auto"/>
                  <w:vAlign w:val="bottom"/>
                </w:tcPr>
                <w:p w:rsidR="002A04AD" w:rsidRPr="007648EE" w:rsidRDefault="002A04AD">
                  <w:pPr>
                    <w:pStyle w:val="TableBodyText"/>
                  </w:pPr>
                  <w:r w:rsidRPr="009F45A6">
                    <w:t>645</w:t>
                  </w:r>
                </w:p>
              </w:tc>
              <w:tc>
                <w:tcPr>
                  <w:tcW w:w="922" w:type="dxa"/>
                  <w:vAlign w:val="bottom"/>
                </w:tcPr>
                <w:p w:rsidR="002A04AD" w:rsidRPr="007648EE" w:rsidRDefault="002A04AD">
                  <w:pPr>
                    <w:pStyle w:val="TableBodyText"/>
                  </w:pPr>
                  <w:r w:rsidRPr="009F45A6">
                    <w:t>630</w:t>
                  </w:r>
                </w:p>
              </w:tc>
              <w:tc>
                <w:tcPr>
                  <w:tcW w:w="930" w:type="dxa"/>
                  <w:vAlign w:val="bottom"/>
                </w:tcPr>
                <w:p w:rsidR="002A04AD" w:rsidRPr="007648EE" w:rsidRDefault="002A04AD">
                  <w:pPr>
                    <w:pStyle w:val="TableBodyText"/>
                  </w:pPr>
                  <w:r w:rsidRPr="009F45A6">
                    <w:t>636</w:t>
                  </w:r>
                </w:p>
              </w:tc>
              <w:tc>
                <w:tcPr>
                  <w:tcW w:w="930" w:type="dxa"/>
                  <w:shd w:val="clear" w:color="auto" w:fill="auto"/>
                  <w:vAlign w:val="bottom"/>
                </w:tcPr>
                <w:p w:rsidR="002A04AD" w:rsidRPr="007648EE" w:rsidRDefault="002A04AD">
                  <w:pPr>
                    <w:pStyle w:val="TableBodyText"/>
                  </w:pPr>
                  <w:r w:rsidRPr="009F45A6">
                    <w:t>61</w:t>
                  </w:r>
                  <w:r>
                    <w:t>1</w:t>
                  </w:r>
                </w:p>
              </w:tc>
              <w:tc>
                <w:tcPr>
                  <w:tcW w:w="1252" w:type="dxa"/>
                  <w:shd w:val="clear" w:color="auto" w:fill="auto"/>
                  <w:vAlign w:val="bottom"/>
                </w:tcPr>
                <w:p w:rsidR="002A04AD" w:rsidRPr="007648EE" w:rsidRDefault="002A04AD" w:rsidP="005857F8">
                  <w:pPr>
                    <w:pStyle w:val="TableBodyText"/>
                    <w:ind w:right="425"/>
                  </w:pPr>
                  <w:r w:rsidRPr="00915EBF">
                    <w:t>-</w:t>
                  </w:r>
                  <w:r>
                    <w:t>3</w:t>
                  </w:r>
                  <w:r w:rsidRPr="00915EBF">
                    <w:t>.</w:t>
                  </w:r>
                  <w:r>
                    <w:t>0</w:t>
                  </w:r>
                </w:p>
              </w:tc>
            </w:tr>
            <w:tr w:rsidR="002A04AD" w:rsidTr="005857F8">
              <w:tc>
                <w:tcPr>
                  <w:tcW w:w="1838" w:type="dxa"/>
                  <w:vAlign w:val="bottom"/>
                </w:tcPr>
                <w:p w:rsidR="002A04AD" w:rsidRPr="00A1493A" w:rsidRDefault="002A04AD" w:rsidP="009F45A6">
                  <w:pPr>
                    <w:pStyle w:val="TableBodyText"/>
                    <w:spacing w:before="40"/>
                    <w:jc w:val="left"/>
                    <w:rPr>
                      <w:rStyle w:val="NoteLabel"/>
                    </w:rPr>
                  </w:pPr>
                  <w:r w:rsidRPr="00A1493A">
                    <w:t>Corrective services</w:t>
                  </w:r>
                </w:p>
              </w:tc>
              <w:tc>
                <w:tcPr>
                  <w:tcW w:w="766" w:type="dxa"/>
                </w:tcPr>
                <w:p w:rsidR="002A04AD" w:rsidRPr="009F45A6" w:rsidRDefault="002A04AD">
                  <w:pPr>
                    <w:pStyle w:val="TableBodyText"/>
                  </w:pPr>
                  <w:r>
                    <w:t>$</w:t>
                  </w:r>
                  <w:r w:rsidR="00E32926">
                    <w:t>m</w:t>
                  </w:r>
                </w:p>
              </w:tc>
              <w:tc>
                <w:tcPr>
                  <w:tcW w:w="923" w:type="dxa"/>
                  <w:vAlign w:val="bottom"/>
                </w:tcPr>
                <w:p w:rsidR="002A04AD" w:rsidRPr="007648EE" w:rsidRDefault="002A04AD">
                  <w:pPr>
                    <w:pStyle w:val="TableBodyText"/>
                  </w:pPr>
                  <w:r w:rsidRPr="009F45A6">
                    <w:t>3</w:t>
                  </w:r>
                  <w:r>
                    <w:t xml:space="preserve"> </w:t>
                  </w:r>
                  <w:r w:rsidRPr="009F45A6">
                    <w:t>200</w:t>
                  </w:r>
                </w:p>
              </w:tc>
              <w:tc>
                <w:tcPr>
                  <w:tcW w:w="922" w:type="dxa"/>
                  <w:vAlign w:val="bottom"/>
                </w:tcPr>
                <w:p w:rsidR="002A04AD" w:rsidRPr="007648EE" w:rsidRDefault="002A04AD">
                  <w:pPr>
                    <w:pStyle w:val="TableBodyText"/>
                  </w:pPr>
                  <w:r w:rsidRPr="009F45A6">
                    <w:t>3</w:t>
                  </w:r>
                  <w:r>
                    <w:t xml:space="preserve"> </w:t>
                  </w:r>
                  <w:r w:rsidRPr="009F45A6">
                    <w:t>207</w:t>
                  </w:r>
                </w:p>
              </w:tc>
              <w:tc>
                <w:tcPr>
                  <w:tcW w:w="922" w:type="dxa"/>
                  <w:vAlign w:val="bottom"/>
                </w:tcPr>
                <w:p w:rsidR="002A04AD" w:rsidRPr="007648EE" w:rsidRDefault="002A04AD">
                  <w:pPr>
                    <w:pStyle w:val="TableBodyText"/>
                  </w:pPr>
                  <w:r w:rsidRPr="009F45A6">
                    <w:t>3</w:t>
                  </w:r>
                  <w:r>
                    <w:t xml:space="preserve"> </w:t>
                  </w:r>
                  <w:r w:rsidRPr="009F45A6">
                    <w:t>370</w:t>
                  </w:r>
                </w:p>
              </w:tc>
              <w:tc>
                <w:tcPr>
                  <w:tcW w:w="930" w:type="dxa"/>
                  <w:vAlign w:val="bottom"/>
                </w:tcPr>
                <w:p w:rsidR="002A04AD" w:rsidRPr="007648EE" w:rsidRDefault="002A04AD">
                  <w:pPr>
                    <w:pStyle w:val="TableBodyText"/>
                  </w:pPr>
                  <w:r w:rsidRPr="009F45A6">
                    <w:t>3</w:t>
                  </w:r>
                  <w:r>
                    <w:t xml:space="preserve"> </w:t>
                  </w:r>
                  <w:r w:rsidRPr="009F45A6">
                    <w:t>635</w:t>
                  </w:r>
                </w:p>
              </w:tc>
              <w:tc>
                <w:tcPr>
                  <w:tcW w:w="930" w:type="dxa"/>
                  <w:vAlign w:val="bottom"/>
                </w:tcPr>
                <w:p w:rsidR="002A04AD" w:rsidRPr="007648EE" w:rsidRDefault="002A04AD">
                  <w:pPr>
                    <w:pStyle w:val="TableBodyText"/>
                  </w:pPr>
                  <w:r w:rsidRPr="009F45A6">
                    <w:t>3</w:t>
                  </w:r>
                  <w:r>
                    <w:t xml:space="preserve"> </w:t>
                  </w:r>
                  <w:r w:rsidRPr="009F45A6">
                    <w:t>738</w:t>
                  </w:r>
                </w:p>
              </w:tc>
              <w:tc>
                <w:tcPr>
                  <w:tcW w:w="1252" w:type="dxa"/>
                  <w:vAlign w:val="bottom"/>
                </w:tcPr>
                <w:p w:rsidR="002A04AD" w:rsidRPr="007648EE" w:rsidRDefault="002A04AD" w:rsidP="005857F8">
                  <w:pPr>
                    <w:pStyle w:val="TableBodyText"/>
                    <w:ind w:right="425"/>
                  </w:pPr>
                  <w:r w:rsidRPr="00915EBF">
                    <w:t>4.0</w:t>
                  </w:r>
                </w:p>
              </w:tc>
            </w:tr>
            <w:tr w:rsidR="005857F8" w:rsidTr="005857F8">
              <w:tc>
                <w:tcPr>
                  <w:tcW w:w="1838" w:type="dxa"/>
                  <w:vAlign w:val="bottom"/>
                </w:tcPr>
                <w:p w:rsidR="002A04AD" w:rsidRPr="00A1493A" w:rsidRDefault="002A04AD" w:rsidP="009F45A6">
                  <w:pPr>
                    <w:pStyle w:val="TableBodyText"/>
                    <w:spacing w:before="60"/>
                    <w:jc w:val="left"/>
                    <w:rPr>
                      <w:b/>
                    </w:rPr>
                  </w:pPr>
                  <w:r w:rsidRPr="00A1493A">
                    <w:rPr>
                      <w:b/>
                    </w:rPr>
                    <w:t>Total justice system</w:t>
                  </w:r>
                </w:p>
              </w:tc>
              <w:tc>
                <w:tcPr>
                  <w:tcW w:w="766" w:type="dxa"/>
                </w:tcPr>
                <w:p w:rsidR="002A04AD" w:rsidRDefault="002A04AD">
                  <w:pPr>
                    <w:pStyle w:val="TableBodyText"/>
                    <w:rPr>
                      <w:b/>
                    </w:rPr>
                  </w:pPr>
                </w:p>
                <w:p w:rsidR="002A04AD" w:rsidRPr="009F45A6" w:rsidRDefault="002A04AD">
                  <w:pPr>
                    <w:pStyle w:val="TableBodyText"/>
                    <w:rPr>
                      <w:b/>
                    </w:rPr>
                  </w:pPr>
                  <w:r>
                    <w:rPr>
                      <w:b/>
                    </w:rPr>
                    <w:t>$</w:t>
                  </w:r>
                  <w:r w:rsidR="00E32926">
                    <w:rPr>
                      <w:b/>
                    </w:rPr>
                    <w:t>m</w:t>
                  </w:r>
                </w:p>
              </w:tc>
              <w:tc>
                <w:tcPr>
                  <w:tcW w:w="923" w:type="dxa"/>
                  <w:vAlign w:val="bottom"/>
                </w:tcPr>
                <w:p w:rsidR="002A04AD" w:rsidRPr="00163512" w:rsidRDefault="002A04AD">
                  <w:pPr>
                    <w:pStyle w:val="TableBodyText"/>
                    <w:rPr>
                      <w:b/>
                    </w:rPr>
                  </w:pPr>
                  <w:r w:rsidRPr="009F45A6">
                    <w:rPr>
                      <w:b/>
                    </w:rPr>
                    <w:t>14 791</w:t>
                  </w:r>
                </w:p>
              </w:tc>
              <w:tc>
                <w:tcPr>
                  <w:tcW w:w="922" w:type="dxa"/>
                  <w:shd w:val="clear" w:color="auto" w:fill="auto"/>
                  <w:vAlign w:val="bottom"/>
                </w:tcPr>
                <w:p w:rsidR="002A04AD" w:rsidRPr="00163512" w:rsidRDefault="002A04AD">
                  <w:pPr>
                    <w:pStyle w:val="TableBodyText"/>
                    <w:rPr>
                      <w:b/>
                    </w:rPr>
                  </w:pPr>
                  <w:r w:rsidRPr="009F45A6">
                    <w:rPr>
                      <w:b/>
                    </w:rPr>
                    <w:t>14 647</w:t>
                  </w:r>
                </w:p>
              </w:tc>
              <w:tc>
                <w:tcPr>
                  <w:tcW w:w="922" w:type="dxa"/>
                  <w:vAlign w:val="bottom"/>
                </w:tcPr>
                <w:p w:rsidR="002A04AD" w:rsidRPr="00163512" w:rsidRDefault="002A04AD">
                  <w:pPr>
                    <w:pStyle w:val="TableBodyText"/>
                    <w:rPr>
                      <w:b/>
                    </w:rPr>
                  </w:pPr>
                  <w:r w:rsidRPr="009F45A6">
                    <w:rPr>
                      <w:b/>
                    </w:rPr>
                    <w:t>15 330</w:t>
                  </w:r>
                </w:p>
              </w:tc>
              <w:tc>
                <w:tcPr>
                  <w:tcW w:w="930" w:type="dxa"/>
                  <w:shd w:val="clear" w:color="auto" w:fill="auto"/>
                  <w:vAlign w:val="bottom"/>
                </w:tcPr>
                <w:p w:rsidR="002A04AD" w:rsidRPr="00163512" w:rsidRDefault="002A04AD">
                  <w:pPr>
                    <w:pStyle w:val="TableBodyText"/>
                    <w:rPr>
                      <w:b/>
                    </w:rPr>
                  </w:pPr>
                  <w:r w:rsidRPr="009F45A6">
                    <w:rPr>
                      <w:b/>
                    </w:rPr>
                    <w:t xml:space="preserve">15 </w:t>
                  </w:r>
                  <w:r>
                    <w:rPr>
                      <w:b/>
                    </w:rPr>
                    <w:t>885</w:t>
                  </w:r>
                </w:p>
              </w:tc>
              <w:tc>
                <w:tcPr>
                  <w:tcW w:w="930" w:type="dxa"/>
                  <w:shd w:val="clear" w:color="auto" w:fill="auto"/>
                  <w:vAlign w:val="bottom"/>
                </w:tcPr>
                <w:p w:rsidR="002A04AD" w:rsidRPr="00163512" w:rsidRDefault="002A04AD" w:rsidP="006329E8">
                  <w:pPr>
                    <w:pStyle w:val="TableBodyText"/>
                    <w:rPr>
                      <w:b/>
                    </w:rPr>
                  </w:pPr>
                  <w:r w:rsidRPr="009F45A6">
                    <w:rPr>
                      <w:b/>
                    </w:rPr>
                    <w:t>1</w:t>
                  </w:r>
                  <w:r>
                    <w:rPr>
                      <w:b/>
                    </w:rPr>
                    <w:t>6</w:t>
                  </w:r>
                  <w:r w:rsidRPr="009F45A6">
                    <w:rPr>
                      <w:b/>
                    </w:rPr>
                    <w:t xml:space="preserve"> </w:t>
                  </w:r>
                  <w:r>
                    <w:rPr>
                      <w:b/>
                    </w:rPr>
                    <w:t>156</w:t>
                  </w:r>
                </w:p>
              </w:tc>
              <w:tc>
                <w:tcPr>
                  <w:tcW w:w="1252" w:type="dxa"/>
                  <w:shd w:val="clear" w:color="auto" w:fill="auto"/>
                  <w:vAlign w:val="bottom"/>
                </w:tcPr>
                <w:p w:rsidR="002A04AD" w:rsidRPr="009F45A6" w:rsidRDefault="002A04AD" w:rsidP="005857F8">
                  <w:pPr>
                    <w:pStyle w:val="TableBodyText"/>
                    <w:ind w:right="425"/>
                    <w:rPr>
                      <w:b/>
                    </w:rPr>
                  </w:pPr>
                  <w:r>
                    <w:rPr>
                      <w:b/>
                    </w:rPr>
                    <w:t>2</w:t>
                  </w:r>
                  <w:r w:rsidRPr="009F45A6">
                    <w:rPr>
                      <w:b/>
                    </w:rPr>
                    <w:t>.</w:t>
                  </w:r>
                  <w:r>
                    <w:rPr>
                      <w:b/>
                    </w:rPr>
                    <w:t>2</w:t>
                  </w:r>
                </w:p>
              </w:tc>
            </w:tr>
            <w:tr w:rsidR="002A04AD" w:rsidTr="005857F8">
              <w:trPr>
                <w:trHeight w:val="338"/>
              </w:trPr>
              <w:tc>
                <w:tcPr>
                  <w:tcW w:w="1838" w:type="dxa"/>
                  <w:vAlign w:val="bottom"/>
                </w:tcPr>
                <w:p w:rsidR="002A04AD" w:rsidRDefault="002A04AD" w:rsidP="00F7572A">
                  <w:pPr>
                    <w:pStyle w:val="TableBodyText"/>
                    <w:spacing w:before="80" w:after="80"/>
                  </w:pPr>
                </w:p>
              </w:tc>
              <w:tc>
                <w:tcPr>
                  <w:tcW w:w="766" w:type="dxa"/>
                </w:tcPr>
                <w:p w:rsidR="002A04AD" w:rsidRPr="00675C53" w:rsidRDefault="002A04AD" w:rsidP="00F7572A">
                  <w:pPr>
                    <w:pStyle w:val="TableBodyText"/>
                    <w:spacing w:before="80" w:after="80"/>
                    <w:ind w:left="0" w:right="28"/>
                  </w:pPr>
                </w:p>
              </w:tc>
              <w:tc>
                <w:tcPr>
                  <w:tcW w:w="923" w:type="dxa"/>
                  <w:vAlign w:val="bottom"/>
                </w:tcPr>
                <w:p w:rsidR="002A04AD" w:rsidRPr="00675C53" w:rsidRDefault="002A04AD" w:rsidP="00F7572A">
                  <w:pPr>
                    <w:pStyle w:val="TableBodyText"/>
                    <w:spacing w:before="80" w:after="80"/>
                    <w:ind w:left="0" w:right="28"/>
                  </w:pPr>
                  <w:r w:rsidRPr="00675C53">
                    <w:t>%</w:t>
                  </w:r>
                </w:p>
              </w:tc>
              <w:tc>
                <w:tcPr>
                  <w:tcW w:w="922" w:type="dxa"/>
                  <w:vAlign w:val="bottom"/>
                </w:tcPr>
                <w:p w:rsidR="002A04AD" w:rsidRPr="00675C53" w:rsidRDefault="002A04AD" w:rsidP="00F7572A">
                  <w:pPr>
                    <w:pStyle w:val="TableBodyText"/>
                    <w:spacing w:before="80" w:after="80"/>
                    <w:ind w:left="0" w:right="28"/>
                  </w:pPr>
                  <w:r w:rsidRPr="00675C53">
                    <w:t>%</w:t>
                  </w:r>
                </w:p>
              </w:tc>
              <w:tc>
                <w:tcPr>
                  <w:tcW w:w="922" w:type="dxa"/>
                  <w:vAlign w:val="bottom"/>
                </w:tcPr>
                <w:p w:rsidR="002A04AD" w:rsidRPr="00675C53" w:rsidRDefault="002A04AD" w:rsidP="00F7572A">
                  <w:pPr>
                    <w:pStyle w:val="TableBodyText"/>
                    <w:spacing w:before="80" w:after="80"/>
                    <w:ind w:left="0" w:right="28"/>
                  </w:pPr>
                  <w:r w:rsidRPr="00675C53">
                    <w:t>%</w:t>
                  </w:r>
                </w:p>
              </w:tc>
              <w:tc>
                <w:tcPr>
                  <w:tcW w:w="930" w:type="dxa"/>
                  <w:vAlign w:val="bottom"/>
                </w:tcPr>
                <w:p w:rsidR="002A04AD" w:rsidRPr="00675C53" w:rsidRDefault="002A04AD" w:rsidP="00F7572A">
                  <w:pPr>
                    <w:pStyle w:val="TableBodyText"/>
                    <w:spacing w:before="80" w:after="80"/>
                    <w:ind w:left="0" w:right="28"/>
                  </w:pPr>
                  <w:r w:rsidRPr="00675C53">
                    <w:t>%</w:t>
                  </w:r>
                </w:p>
              </w:tc>
              <w:tc>
                <w:tcPr>
                  <w:tcW w:w="930" w:type="dxa"/>
                  <w:vAlign w:val="bottom"/>
                </w:tcPr>
                <w:p w:rsidR="002A04AD" w:rsidRPr="00145C3D" w:rsidRDefault="002A04AD" w:rsidP="00F7572A">
                  <w:pPr>
                    <w:pStyle w:val="TableBodyText"/>
                    <w:tabs>
                      <w:tab w:val="right" w:pos="8789"/>
                    </w:tabs>
                    <w:spacing w:before="80" w:after="80"/>
                    <w:ind w:left="0" w:right="28"/>
                  </w:pPr>
                  <w:r w:rsidRPr="00145C3D">
                    <w:t>%</w:t>
                  </w:r>
                </w:p>
              </w:tc>
              <w:tc>
                <w:tcPr>
                  <w:tcW w:w="1252" w:type="dxa"/>
                  <w:vAlign w:val="bottom"/>
                </w:tcPr>
                <w:p w:rsidR="002A04AD" w:rsidRDefault="002A04AD" w:rsidP="005857F8">
                  <w:pPr>
                    <w:pStyle w:val="TableBodyText"/>
                    <w:spacing w:before="80" w:after="80"/>
                    <w:ind w:left="0" w:right="425"/>
                  </w:pPr>
                </w:p>
              </w:tc>
            </w:tr>
            <w:tr w:rsidR="002A04AD" w:rsidRPr="006A3A06" w:rsidTr="005857F8">
              <w:tc>
                <w:tcPr>
                  <w:tcW w:w="1838" w:type="dxa"/>
                  <w:vAlign w:val="bottom"/>
                </w:tcPr>
                <w:p w:rsidR="002A04AD" w:rsidRPr="00A1493A" w:rsidRDefault="002A04AD" w:rsidP="00F7572A">
                  <w:pPr>
                    <w:pStyle w:val="TableBodyText"/>
                    <w:spacing w:before="40"/>
                    <w:jc w:val="left"/>
                    <w:rPr>
                      <w:rStyle w:val="NoteLabel"/>
                    </w:rPr>
                  </w:pPr>
                  <w:r w:rsidRPr="00A1493A">
                    <w:t>Police services</w:t>
                  </w:r>
                </w:p>
              </w:tc>
              <w:tc>
                <w:tcPr>
                  <w:tcW w:w="766" w:type="dxa"/>
                </w:tcPr>
                <w:p w:rsidR="002A04AD" w:rsidRPr="00915EBF" w:rsidRDefault="002A04AD">
                  <w:pPr>
                    <w:pStyle w:val="TableBodyText"/>
                  </w:pPr>
                  <w:r>
                    <w:t>%</w:t>
                  </w:r>
                </w:p>
              </w:tc>
              <w:tc>
                <w:tcPr>
                  <w:tcW w:w="923" w:type="dxa"/>
                  <w:vAlign w:val="bottom"/>
                </w:tcPr>
                <w:p w:rsidR="002A04AD" w:rsidRPr="009F45A6" w:rsidRDefault="002A04AD">
                  <w:pPr>
                    <w:pStyle w:val="TableBodyText"/>
                  </w:pPr>
                  <w:r w:rsidRPr="00915EBF">
                    <w:t>68.1</w:t>
                  </w:r>
                </w:p>
              </w:tc>
              <w:tc>
                <w:tcPr>
                  <w:tcW w:w="922" w:type="dxa"/>
                  <w:vAlign w:val="bottom"/>
                </w:tcPr>
                <w:p w:rsidR="002A04AD" w:rsidRPr="009F45A6" w:rsidRDefault="002A04AD">
                  <w:pPr>
                    <w:pStyle w:val="TableBodyText"/>
                  </w:pPr>
                  <w:r w:rsidRPr="00915EBF">
                    <w:t>68.2</w:t>
                  </w:r>
                </w:p>
              </w:tc>
              <w:tc>
                <w:tcPr>
                  <w:tcW w:w="922" w:type="dxa"/>
                  <w:vAlign w:val="bottom"/>
                </w:tcPr>
                <w:p w:rsidR="002A04AD" w:rsidRPr="009F45A6" w:rsidRDefault="002A04AD">
                  <w:pPr>
                    <w:pStyle w:val="TableBodyText"/>
                  </w:pPr>
                  <w:r w:rsidRPr="00915EBF">
                    <w:t>68.7</w:t>
                  </w:r>
                </w:p>
              </w:tc>
              <w:tc>
                <w:tcPr>
                  <w:tcW w:w="930" w:type="dxa"/>
                  <w:shd w:val="clear" w:color="auto" w:fill="auto"/>
                  <w:vAlign w:val="bottom"/>
                </w:tcPr>
                <w:p w:rsidR="002A04AD" w:rsidRPr="009F45A6" w:rsidRDefault="002A04AD">
                  <w:pPr>
                    <w:pStyle w:val="TableBodyText"/>
                  </w:pPr>
                  <w:r w:rsidRPr="00915EBF">
                    <w:t>67.</w:t>
                  </w:r>
                  <w:r>
                    <w:t>9</w:t>
                  </w:r>
                </w:p>
              </w:tc>
              <w:tc>
                <w:tcPr>
                  <w:tcW w:w="930" w:type="dxa"/>
                  <w:shd w:val="clear" w:color="auto" w:fill="auto"/>
                  <w:vAlign w:val="bottom"/>
                </w:tcPr>
                <w:p w:rsidR="002A04AD" w:rsidRPr="009F45A6" w:rsidRDefault="002A04AD">
                  <w:pPr>
                    <w:pStyle w:val="TableBodyText"/>
                  </w:pPr>
                  <w:r w:rsidRPr="00915EBF">
                    <w:t>6</w:t>
                  </w:r>
                  <w:r>
                    <w:t>8</w:t>
                  </w:r>
                  <w:r w:rsidRPr="00915EBF">
                    <w:t>.</w:t>
                  </w:r>
                  <w:r>
                    <w:t>0</w:t>
                  </w:r>
                </w:p>
              </w:tc>
              <w:tc>
                <w:tcPr>
                  <w:tcW w:w="1252" w:type="dxa"/>
                  <w:vAlign w:val="bottom"/>
                </w:tcPr>
                <w:p w:rsidR="002A04AD" w:rsidRPr="00D26C00" w:rsidRDefault="002A04AD" w:rsidP="005857F8">
                  <w:pPr>
                    <w:pStyle w:val="TableBodyText"/>
                    <w:ind w:right="425"/>
                  </w:pPr>
                  <w:r w:rsidRPr="00D26C00">
                    <w:t>..</w:t>
                  </w:r>
                </w:p>
              </w:tc>
            </w:tr>
            <w:tr w:rsidR="002A04AD" w:rsidRPr="006A3A06" w:rsidTr="005857F8">
              <w:tc>
                <w:tcPr>
                  <w:tcW w:w="1838" w:type="dxa"/>
                  <w:vAlign w:val="bottom"/>
                </w:tcPr>
                <w:p w:rsidR="002A04AD" w:rsidRPr="000A2CA6" w:rsidRDefault="002A04AD" w:rsidP="00C82E63">
                  <w:pPr>
                    <w:pStyle w:val="TableBodyText"/>
                    <w:tabs>
                      <w:tab w:val="right" w:pos="8789"/>
                    </w:tabs>
                    <w:ind w:hanging="6"/>
                    <w:jc w:val="left"/>
                    <w:rPr>
                      <w:rStyle w:val="NoteLabel"/>
                      <w:b w:val="0"/>
                      <w:position w:val="0"/>
                      <w:sz w:val="20"/>
                    </w:rPr>
                  </w:pPr>
                  <w:r w:rsidRPr="000A2CA6">
                    <w:t>Courts — criminal</w:t>
                  </w:r>
                </w:p>
              </w:tc>
              <w:tc>
                <w:tcPr>
                  <w:tcW w:w="766" w:type="dxa"/>
                </w:tcPr>
                <w:p w:rsidR="002A04AD" w:rsidRPr="00421D6E" w:rsidRDefault="002A04AD">
                  <w:pPr>
                    <w:pStyle w:val="TableBodyText"/>
                  </w:pPr>
                  <w:r>
                    <w:t>%</w:t>
                  </w:r>
                </w:p>
              </w:tc>
              <w:tc>
                <w:tcPr>
                  <w:tcW w:w="923" w:type="dxa"/>
                  <w:vAlign w:val="bottom"/>
                </w:tcPr>
                <w:p w:rsidR="002A04AD" w:rsidRPr="009F45A6" w:rsidRDefault="002A04AD">
                  <w:pPr>
                    <w:pStyle w:val="TableBodyText"/>
                  </w:pPr>
                  <w:r w:rsidRPr="00421D6E">
                    <w:t>5.6</w:t>
                  </w:r>
                </w:p>
              </w:tc>
              <w:tc>
                <w:tcPr>
                  <w:tcW w:w="922" w:type="dxa"/>
                  <w:vAlign w:val="bottom"/>
                </w:tcPr>
                <w:p w:rsidR="002A04AD" w:rsidRPr="009F45A6" w:rsidRDefault="002A04AD">
                  <w:pPr>
                    <w:pStyle w:val="TableBodyText"/>
                  </w:pPr>
                  <w:r w:rsidRPr="00915EBF">
                    <w:t>5.5</w:t>
                  </w:r>
                </w:p>
              </w:tc>
              <w:tc>
                <w:tcPr>
                  <w:tcW w:w="922" w:type="dxa"/>
                  <w:vAlign w:val="bottom"/>
                </w:tcPr>
                <w:p w:rsidR="002A04AD" w:rsidRPr="009F45A6" w:rsidRDefault="002A04AD">
                  <w:pPr>
                    <w:pStyle w:val="TableBodyText"/>
                  </w:pPr>
                  <w:r w:rsidRPr="00915EBF">
                    <w:t>5.2</w:t>
                  </w:r>
                </w:p>
              </w:tc>
              <w:tc>
                <w:tcPr>
                  <w:tcW w:w="930" w:type="dxa"/>
                  <w:shd w:val="clear" w:color="auto" w:fill="auto"/>
                  <w:vAlign w:val="bottom"/>
                </w:tcPr>
                <w:p w:rsidR="002A04AD" w:rsidRPr="009F45A6" w:rsidRDefault="002A04AD">
                  <w:pPr>
                    <w:pStyle w:val="TableBodyText"/>
                  </w:pPr>
                  <w:r w:rsidRPr="00915EBF">
                    <w:t>5.</w:t>
                  </w:r>
                  <w:r>
                    <w:t>2</w:t>
                  </w:r>
                </w:p>
              </w:tc>
              <w:tc>
                <w:tcPr>
                  <w:tcW w:w="930" w:type="dxa"/>
                  <w:shd w:val="clear" w:color="auto" w:fill="auto"/>
                  <w:vAlign w:val="bottom"/>
                </w:tcPr>
                <w:p w:rsidR="002A04AD" w:rsidRPr="009F45A6" w:rsidRDefault="002A04AD">
                  <w:pPr>
                    <w:pStyle w:val="TableBodyText"/>
                  </w:pPr>
                  <w:r w:rsidRPr="00915EBF">
                    <w:t>5.</w:t>
                  </w:r>
                  <w:r>
                    <w:t>1</w:t>
                  </w:r>
                </w:p>
              </w:tc>
              <w:tc>
                <w:tcPr>
                  <w:tcW w:w="1252" w:type="dxa"/>
                  <w:vAlign w:val="bottom"/>
                </w:tcPr>
                <w:p w:rsidR="002A04AD" w:rsidRPr="00D26C00" w:rsidRDefault="002A04AD" w:rsidP="005857F8">
                  <w:pPr>
                    <w:pStyle w:val="TableBodyText"/>
                    <w:ind w:right="425"/>
                  </w:pPr>
                  <w:r w:rsidRPr="00D26C00">
                    <w:t>..</w:t>
                  </w:r>
                </w:p>
              </w:tc>
            </w:tr>
            <w:tr w:rsidR="002A04AD" w:rsidRPr="006A3A06" w:rsidTr="005857F8">
              <w:tc>
                <w:tcPr>
                  <w:tcW w:w="1838" w:type="dxa"/>
                  <w:vAlign w:val="bottom"/>
                </w:tcPr>
                <w:p w:rsidR="002A04AD" w:rsidRPr="000A2CA6" w:rsidRDefault="002A04AD" w:rsidP="00C82E63">
                  <w:pPr>
                    <w:pStyle w:val="TableBodyText"/>
                    <w:tabs>
                      <w:tab w:val="right" w:pos="8789"/>
                    </w:tabs>
                    <w:ind w:hanging="6"/>
                    <w:jc w:val="left"/>
                    <w:rPr>
                      <w:rStyle w:val="NoteLabel"/>
                    </w:rPr>
                  </w:pPr>
                  <w:r w:rsidRPr="000A2CA6">
                    <w:t>Courts — civil</w:t>
                  </w:r>
                </w:p>
              </w:tc>
              <w:tc>
                <w:tcPr>
                  <w:tcW w:w="766" w:type="dxa"/>
                </w:tcPr>
                <w:p w:rsidR="002A04AD" w:rsidRPr="00421D6E" w:rsidRDefault="002A04AD">
                  <w:pPr>
                    <w:pStyle w:val="TableBodyText"/>
                  </w:pPr>
                  <w:r>
                    <w:t>%</w:t>
                  </w:r>
                </w:p>
              </w:tc>
              <w:tc>
                <w:tcPr>
                  <w:tcW w:w="923" w:type="dxa"/>
                  <w:vAlign w:val="bottom"/>
                </w:tcPr>
                <w:p w:rsidR="002A04AD" w:rsidRPr="009F45A6" w:rsidRDefault="002A04AD">
                  <w:pPr>
                    <w:pStyle w:val="TableBodyText"/>
                  </w:pPr>
                  <w:r w:rsidRPr="00421D6E">
                    <w:t>4.7</w:t>
                  </w:r>
                </w:p>
              </w:tc>
              <w:tc>
                <w:tcPr>
                  <w:tcW w:w="922" w:type="dxa"/>
                  <w:vAlign w:val="bottom"/>
                </w:tcPr>
                <w:p w:rsidR="002A04AD" w:rsidRPr="009F45A6" w:rsidRDefault="002A04AD">
                  <w:pPr>
                    <w:pStyle w:val="TableBodyText"/>
                  </w:pPr>
                  <w:r w:rsidRPr="00915EBF">
                    <w:t>4.4</w:t>
                  </w:r>
                </w:p>
              </w:tc>
              <w:tc>
                <w:tcPr>
                  <w:tcW w:w="922" w:type="dxa"/>
                  <w:vAlign w:val="bottom"/>
                </w:tcPr>
                <w:p w:rsidR="002A04AD" w:rsidRPr="009F45A6" w:rsidRDefault="002A04AD">
                  <w:pPr>
                    <w:pStyle w:val="TableBodyText"/>
                  </w:pPr>
                  <w:r w:rsidRPr="00915EBF">
                    <w:t>4.1</w:t>
                  </w:r>
                </w:p>
              </w:tc>
              <w:tc>
                <w:tcPr>
                  <w:tcW w:w="930" w:type="dxa"/>
                  <w:shd w:val="clear" w:color="auto" w:fill="auto"/>
                  <w:vAlign w:val="bottom"/>
                </w:tcPr>
                <w:p w:rsidR="002A04AD" w:rsidRPr="009F45A6" w:rsidRDefault="002A04AD">
                  <w:pPr>
                    <w:pStyle w:val="TableBodyText"/>
                  </w:pPr>
                  <w:r w:rsidRPr="00915EBF">
                    <w:t>4.</w:t>
                  </w:r>
                  <w:r>
                    <w:t>0</w:t>
                  </w:r>
                </w:p>
              </w:tc>
              <w:tc>
                <w:tcPr>
                  <w:tcW w:w="930" w:type="dxa"/>
                  <w:shd w:val="clear" w:color="auto" w:fill="auto"/>
                  <w:vAlign w:val="bottom"/>
                </w:tcPr>
                <w:p w:rsidR="002A04AD" w:rsidRPr="009F45A6" w:rsidRDefault="002A04AD">
                  <w:pPr>
                    <w:pStyle w:val="TableBodyText"/>
                  </w:pPr>
                  <w:r w:rsidRPr="00915EBF">
                    <w:t>3.</w:t>
                  </w:r>
                  <w:r>
                    <w:t>8</w:t>
                  </w:r>
                </w:p>
              </w:tc>
              <w:tc>
                <w:tcPr>
                  <w:tcW w:w="1252" w:type="dxa"/>
                  <w:vAlign w:val="bottom"/>
                </w:tcPr>
                <w:p w:rsidR="002A04AD" w:rsidRPr="00D26C00" w:rsidRDefault="002A04AD" w:rsidP="005857F8">
                  <w:pPr>
                    <w:pStyle w:val="TableBodyText"/>
                    <w:ind w:right="425"/>
                  </w:pPr>
                  <w:r w:rsidRPr="00D26C00">
                    <w:t>..</w:t>
                  </w:r>
                </w:p>
              </w:tc>
            </w:tr>
            <w:tr w:rsidR="002A04AD" w:rsidRPr="006A3A06" w:rsidTr="005857F8">
              <w:tc>
                <w:tcPr>
                  <w:tcW w:w="1838" w:type="dxa"/>
                  <w:vAlign w:val="bottom"/>
                </w:tcPr>
                <w:p w:rsidR="002A04AD" w:rsidRPr="00A1493A" w:rsidRDefault="002A04AD" w:rsidP="00C82E63">
                  <w:pPr>
                    <w:pStyle w:val="TableBodyText"/>
                    <w:jc w:val="left"/>
                    <w:rPr>
                      <w:rStyle w:val="NoteLabel"/>
                    </w:rPr>
                  </w:pPr>
                  <w:r w:rsidRPr="00A1493A">
                    <w:t>Corrective services</w:t>
                  </w:r>
                </w:p>
              </w:tc>
              <w:tc>
                <w:tcPr>
                  <w:tcW w:w="766" w:type="dxa"/>
                </w:tcPr>
                <w:p w:rsidR="002A04AD" w:rsidRPr="00421D6E" w:rsidRDefault="002A04AD">
                  <w:pPr>
                    <w:pStyle w:val="TableBodyText"/>
                  </w:pPr>
                  <w:r>
                    <w:t>%</w:t>
                  </w:r>
                </w:p>
              </w:tc>
              <w:tc>
                <w:tcPr>
                  <w:tcW w:w="923" w:type="dxa"/>
                  <w:vAlign w:val="bottom"/>
                </w:tcPr>
                <w:p w:rsidR="002A04AD" w:rsidRPr="009F45A6" w:rsidRDefault="002A04AD">
                  <w:pPr>
                    <w:pStyle w:val="TableBodyText"/>
                  </w:pPr>
                  <w:r w:rsidRPr="00421D6E">
                    <w:t>21.6</w:t>
                  </w:r>
                </w:p>
              </w:tc>
              <w:tc>
                <w:tcPr>
                  <w:tcW w:w="922" w:type="dxa"/>
                  <w:vAlign w:val="bottom"/>
                </w:tcPr>
                <w:p w:rsidR="002A04AD" w:rsidRPr="009F45A6" w:rsidRDefault="002A04AD">
                  <w:pPr>
                    <w:pStyle w:val="TableBodyText"/>
                  </w:pPr>
                  <w:r w:rsidRPr="00915EBF">
                    <w:t>21.9</w:t>
                  </w:r>
                </w:p>
              </w:tc>
              <w:tc>
                <w:tcPr>
                  <w:tcW w:w="922" w:type="dxa"/>
                  <w:vAlign w:val="bottom"/>
                </w:tcPr>
                <w:p w:rsidR="002A04AD" w:rsidRPr="009F45A6" w:rsidRDefault="002A04AD">
                  <w:pPr>
                    <w:pStyle w:val="TableBodyText"/>
                  </w:pPr>
                  <w:r w:rsidRPr="00915EBF">
                    <w:t>22.0</w:t>
                  </w:r>
                </w:p>
              </w:tc>
              <w:tc>
                <w:tcPr>
                  <w:tcW w:w="930" w:type="dxa"/>
                  <w:shd w:val="clear" w:color="auto" w:fill="auto"/>
                  <w:vAlign w:val="bottom"/>
                </w:tcPr>
                <w:p w:rsidR="002A04AD" w:rsidRPr="009F45A6" w:rsidRDefault="002A04AD">
                  <w:pPr>
                    <w:pStyle w:val="TableBodyText"/>
                  </w:pPr>
                  <w:r w:rsidRPr="00915EBF">
                    <w:t>2</w:t>
                  </w:r>
                  <w:r>
                    <w:t>2</w:t>
                  </w:r>
                  <w:r w:rsidRPr="00915EBF">
                    <w:t>.</w:t>
                  </w:r>
                  <w:r>
                    <w:t>9</w:t>
                  </w:r>
                </w:p>
              </w:tc>
              <w:tc>
                <w:tcPr>
                  <w:tcW w:w="930" w:type="dxa"/>
                  <w:shd w:val="clear" w:color="auto" w:fill="auto"/>
                  <w:vAlign w:val="bottom"/>
                </w:tcPr>
                <w:p w:rsidR="002A04AD" w:rsidRPr="009F45A6" w:rsidRDefault="002A04AD">
                  <w:pPr>
                    <w:pStyle w:val="TableBodyText"/>
                  </w:pPr>
                  <w:r w:rsidRPr="00915EBF">
                    <w:t>23.</w:t>
                  </w:r>
                  <w:r>
                    <w:t>1</w:t>
                  </w:r>
                </w:p>
              </w:tc>
              <w:tc>
                <w:tcPr>
                  <w:tcW w:w="1252" w:type="dxa"/>
                  <w:vAlign w:val="bottom"/>
                </w:tcPr>
                <w:p w:rsidR="002A04AD" w:rsidRPr="00D26C00" w:rsidRDefault="002A04AD" w:rsidP="005857F8">
                  <w:pPr>
                    <w:pStyle w:val="TableBodyText"/>
                    <w:ind w:right="425"/>
                  </w:pPr>
                  <w:r w:rsidRPr="00D26C00">
                    <w:t>..</w:t>
                  </w:r>
                </w:p>
              </w:tc>
            </w:tr>
            <w:tr w:rsidR="002A04AD" w:rsidRPr="006A3A06" w:rsidTr="005857F8">
              <w:tc>
                <w:tcPr>
                  <w:tcW w:w="1838" w:type="dxa"/>
                  <w:tcBorders>
                    <w:bottom w:val="single" w:sz="4" w:space="0" w:color="BFBFBF"/>
                  </w:tcBorders>
                  <w:vAlign w:val="bottom"/>
                </w:tcPr>
                <w:p w:rsidR="002A04AD" w:rsidRPr="00A1493A" w:rsidRDefault="002A04AD" w:rsidP="005A0A92">
                  <w:pPr>
                    <w:pStyle w:val="TableBodyText"/>
                    <w:spacing w:before="40"/>
                    <w:jc w:val="left"/>
                    <w:rPr>
                      <w:b/>
                    </w:rPr>
                  </w:pPr>
                  <w:r w:rsidRPr="00A1493A">
                    <w:rPr>
                      <w:b/>
                    </w:rPr>
                    <w:t>Total justice system</w:t>
                  </w:r>
                </w:p>
              </w:tc>
              <w:tc>
                <w:tcPr>
                  <w:tcW w:w="766" w:type="dxa"/>
                  <w:tcBorders>
                    <w:bottom w:val="single" w:sz="4" w:space="0" w:color="BFBFBF"/>
                  </w:tcBorders>
                </w:tcPr>
                <w:p w:rsidR="002A04AD" w:rsidRDefault="002A04AD" w:rsidP="005102DF">
                  <w:pPr>
                    <w:pStyle w:val="TableBodyText"/>
                    <w:rPr>
                      <w:b/>
                    </w:rPr>
                  </w:pPr>
                </w:p>
                <w:p w:rsidR="002A04AD" w:rsidRPr="009F45A6" w:rsidRDefault="002A04AD" w:rsidP="005102DF">
                  <w:pPr>
                    <w:pStyle w:val="TableBodyText"/>
                    <w:rPr>
                      <w:b/>
                    </w:rPr>
                  </w:pPr>
                  <w:r>
                    <w:rPr>
                      <w:b/>
                    </w:rPr>
                    <w:t>%</w:t>
                  </w:r>
                </w:p>
              </w:tc>
              <w:tc>
                <w:tcPr>
                  <w:tcW w:w="923" w:type="dxa"/>
                  <w:tcBorders>
                    <w:bottom w:val="single" w:sz="4" w:space="0" w:color="BFBFBF"/>
                  </w:tcBorders>
                  <w:vAlign w:val="bottom"/>
                </w:tcPr>
                <w:p w:rsidR="002A04AD" w:rsidRPr="009F45A6" w:rsidRDefault="002A04AD" w:rsidP="005102DF">
                  <w:pPr>
                    <w:pStyle w:val="TableBodyText"/>
                    <w:rPr>
                      <w:b/>
                    </w:rPr>
                  </w:pPr>
                  <w:r w:rsidRPr="009F45A6">
                    <w:rPr>
                      <w:b/>
                    </w:rPr>
                    <w:t>100.0</w:t>
                  </w:r>
                </w:p>
              </w:tc>
              <w:tc>
                <w:tcPr>
                  <w:tcW w:w="922" w:type="dxa"/>
                  <w:tcBorders>
                    <w:bottom w:val="single" w:sz="4" w:space="0" w:color="BFBFBF"/>
                  </w:tcBorders>
                  <w:vAlign w:val="bottom"/>
                </w:tcPr>
                <w:p w:rsidR="002A04AD" w:rsidRPr="009F45A6" w:rsidRDefault="002A04AD" w:rsidP="005102DF">
                  <w:pPr>
                    <w:pStyle w:val="TableBodyText"/>
                    <w:rPr>
                      <w:b/>
                    </w:rPr>
                  </w:pPr>
                  <w:r w:rsidRPr="009F45A6">
                    <w:rPr>
                      <w:b/>
                    </w:rPr>
                    <w:t>100.0</w:t>
                  </w:r>
                </w:p>
              </w:tc>
              <w:tc>
                <w:tcPr>
                  <w:tcW w:w="922" w:type="dxa"/>
                  <w:tcBorders>
                    <w:bottom w:val="single" w:sz="4" w:space="0" w:color="BFBFBF"/>
                  </w:tcBorders>
                  <w:vAlign w:val="bottom"/>
                </w:tcPr>
                <w:p w:rsidR="002A04AD" w:rsidRPr="009F45A6" w:rsidRDefault="002A04AD" w:rsidP="005102DF">
                  <w:pPr>
                    <w:pStyle w:val="TableBodyText"/>
                    <w:rPr>
                      <w:b/>
                    </w:rPr>
                  </w:pPr>
                  <w:r w:rsidRPr="009F45A6">
                    <w:rPr>
                      <w:b/>
                    </w:rPr>
                    <w:t>100.0</w:t>
                  </w:r>
                </w:p>
              </w:tc>
              <w:tc>
                <w:tcPr>
                  <w:tcW w:w="930" w:type="dxa"/>
                  <w:tcBorders>
                    <w:bottom w:val="single" w:sz="4" w:space="0" w:color="BFBFBF"/>
                  </w:tcBorders>
                  <w:shd w:val="clear" w:color="auto" w:fill="auto"/>
                  <w:vAlign w:val="bottom"/>
                </w:tcPr>
                <w:p w:rsidR="002A04AD" w:rsidRPr="009F45A6" w:rsidRDefault="002A04AD" w:rsidP="005102DF">
                  <w:pPr>
                    <w:pStyle w:val="TableBodyText"/>
                    <w:rPr>
                      <w:b/>
                    </w:rPr>
                  </w:pPr>
                  <w:r w:rsidRPr="009F45A6">
                    <w:rPr>
                      <w:b/>
                    </w:rPr>
                    <w:t>100.0</w:t>
                  </w:r>
                </w:p>
              </w:tc>
              <w:tc>
                <w:tcPr>
                  <w:tcW w:w="930" w:type="dxa"/>
                  <w:tcBorders>
                    <w:bottom w:val="single" w:sz="4" w:space="0" w:color="BFBFBF"/>
                  </w:tcBorders>
                  <w:shd w:val="clear" w:color="auto" w:fill="auto"/>
                  <w:vAlign w:val="bottom"/>
                </w:tcPr>
                <w:p w:rsidR="002A04AD" w:rsidRPr="009F45A6" w:rsidRDefault="002A04AD" w:rsidP="005102DF">
                  <w:pPr>
                    <w:pStyle w:val="TableBodyText"/>
                    <w:rPr>
                      <w:b/>
                    </w:rPr>
                  </w:pPr>
                  <w:r w:rsidRPr="009F45A6">
                    <w:rPr>
                      <w:b/>
                    </w:rPr>
                    <w:t>100.0</w:t>
                  </w:r>
                </w:p>
              </w:tc>
              <w:tc>
                <w:tcPr>
                  <w:tcW w:w="1252" w:type="dxa"/>
                  <w:tcBorders>
                    <w:bottom w:val="single" w:sz="4" w:space="0" w:color="BFBFBF"/>
                  </w:tcBorders>
                  <w:vAlign w:val="bottom"/>
                </w:tcPr>
                <w:p w:rsidR="002A04AD" w:rsidRPr="009F45A6" w:rsidRDefault="002A04AD" w:rsidP="005857F8">
                  <w:pPr>
                    <w:pStyle w:val="TableBodyText"/>
                    <w:ind w:right="425"/>
                    <w:rPr>
                      <w:b/>
                    </w:rPr>
                  </w:pPr>
                  <w:r w:rsidRPr="009F45A6">
                    <w:rPr>
                      <w:b/>
                    </w:rPr>
                    <w:t>..</w:t>
                  </w:r>
                </w:p>
              </w:tc>
            </w:tr>
          </w:tbl>
          <w:p w:rsidR="00362319" w:rsidRDefault="00362319" w:rsidP="00362319">
            <w:pPr>
              <w:pStyle w:val="Box"/>
            </w:pPr>
          </w:p>
        </w:tc>
      </w:tr>
      <w:tr w:rsidR="00362319" w:rsidTr="00677606">
        <w:trPr>
          <w:cantSplit/>
        </w:trPr>
        <w:tc>
          <w:tcPr>
            <w:tcW w:w="8767" w:type="dxa"/>
            <w:tcBorders>
              <w:top w:val="nil"/>
              <w:left w:val="nil"/>
              <w:bottom w:val="nil"/>
              <w:right w:val="nil"/>
            </w:tcBorders>
            <w:shd w:val="clear" w:color="auto" w:fill="auto"/>
          </w:tcPr>
          <w:p w:rsidR="00362319" w:rsidRDefault="00811B18">
            <w:pPr>
              <w:pStyle w:val="Note"/>
              <w:rPr>
                <w:i/>
                <w:szCs w:val="26"/>
                <w:lang w:eastAsia="en-US"/>
              </w:rPr>
            </w:pPr>
            <w:r>
              <w:rPr>
                <w:rStyle w:val="NoteLabel"/>
              </w:rPr>
              <w:t>a</w:t>
            </w:r>
            <w:r>
              <w:t> </w:t>
            </w:r>
            <w:r w:rsidR="00413ACE" w:rsidRPr="00A1493A">
              <w:t xml:space="preserve">Totals may not sum as a result of rounding. </w:t>
            </w:r>
            <w:r w:rsidR="00413ACE" w:rsidRPr="00A1493A">
              <w:rPr>
                <w:rStyle w:val="NoteLabel"/>
              </w:rPr>
              <w:t>b</w:t>
            </w:r>
            <w:r w:rsidR="00413ACE" w:rsidRPr="00A1493A">
              <w:t> Expenditure data include depreciation, but exclude payroll tax and user cost of capital. This treatment has been adopted to aid comparability in the above table and may differ from the treatment used in tables within individual chapters.</w:t>
            </w:r>
            <w:r w:rsidR="00BE5596">
              <w:t xml:space="preserve"> </w:t>
            </w:r>
            <w:r w:rsidR="00BE5596">
              <w:rPr>
                <w:rStyle w:val="NoteLabel"/>
              </w:rPr>
              <w:t>c</w:t>
            </w:r>
            <w:r w:rsidR="00BE5596">
              <w:t xml:space="preserve"> Excludes </w:t>
            </w:r>
            <w:r w:rsidR="00BE5596" w:rsidRPr="00A1493A">
              <w:t>real net recurrent expenditure on probate matters.</w:t>
            </w:r>
            <w:r w:rsidR="00CD606D">
              <w:t xml:space="preserve"> </w:t>
            </w:r>
            <w:r w:rsidR="00BE5596">
              <w:rPr>
                <w:rStyle w:val="NoteLabel"/>
              </w:rPr>
              <w:t>d</w:t>
            </w:r>
            <w:r w:rsidR="00CD606D" w:rsidRPr="00DB38B2">
              <w:rPr>
                <w:rStyle w:val="NoteLabel"/>
              </w:rPr>
              <w:t> </w:t>
            </w:r>
            <w:r w:rsidR="00CD606D" w:rsidRPr="00DB38B2">
              <w:t xml:space="preserve">See tables </w:t>
            </w:r>
            <w:proofErr w:type="spellStart"/>
            <w:r w:rsidR="00CD606D" w:rsidRPr="00816504">
              <w:t>6A.10</w:t>
            </w:r>
            <w:proofErr w:type="spellEnd"/>
            <w:r w:rsidR="00CD606D" w:rsidRPr="00816504">
              <w:t xml:space="preserve">, </w:t>
            </w:r>
            <w:proofErr w:type="spellStart"/>
            <w:r w:rsidR="00CD606D" w:rsidRPr="00816504">
              <w:t>7A.</w:t>
            </w:r>
            <w:r w:rsidR="00816504" w:rsidRPr="00816504">
              <w:t>14</w:t>
            </w:r>
            <w:proofErr w:type="spellEnd"/>
            <w:r w:rsidR="00816504" w:rsidRPr="00816504">
              <w:noBreakHyphen/>
              <w:t xml:space="preserve">15 and </w:t>
            </w:r>
            <w:proofErr w:type="spellStart"/>
            <w:r w:rsidR="00816504" w:rsidRPr="00816504">
              <w:t>8A.</w:t>
            </w:r>
            <w:r w:rsidR="00BE5596" w:rsidRPr="00816504">
              <w:t>2</w:t>
            </w:r>
            <w:proofErr w:type="spellEnd"/>
            <w:r w:rsidR="00CD606D" w:rsidRPr="00816504">
              <w:t xml:space="preserve"> </w:t>
            </w:r>
            <w:r w:rsidR="00CD606D" w:rsidRPr="00DB38B2">
              <w:t>for detailed footnotes and caveats.</w:t>
            </w:r>
            <w:r w:rsidR="00207B40">
              <w:t xml:space="preserve"> </w:t>
            </w:r>
            <w:r w:rsidR="00207B40">
              <w:br/>
            </w:r>
            <w:r w:rsidR="003A74B6">
              <w:t>.. Not applicable.</w:t>
            </w:r>
          </w:p>
        </w:tc>
      </w:tr>
      <w:tr w:rsidR="00362319" w:rsidTr="00677606">
        <w:trPr>
          <w:cantSplit/>
        </w:trPr>
        <w:tc>
          <w:tcPr>
            <w:tcW w:w="8767" w:type="dxa"/>
            <w:tcBorders>
              <w:top w:val="nil"/>
              <w:left w:val="nil"/>
              <w:bottom w:val="nil"/>
              <w:right w:val="nil"/>
            </w:tcBorders>
            <w:shd w:val="clear" w:color="auto" w:fill="auto"/>
          </w:tcPr>
          <w:p w:rsidR="00362319" w:rsidRDefault="00CF5EE1" w:rsidP="00CF5EE1">
            <w:pPr>
              <w:pStyle w:val="Source"/>
            </w:pPr>
            <w:r>
              <w:rPr>
                <w:i/>
              </w:rPr>
              <w:t>Source</w:t>
            </w:r>
            <w:r w:rsidR="00362319" w:rsidRPr="00167F06">
              <w:t xml:space="preserve">: </w:t>
            </w:r>
            <w:r w:rsidR="00413ACE" w:rsidRPr="00A1493A">
              <w:t xml:space="preserve">Australian, State and Territory governments (unpublished); tables </w:t>
            </w:r>
            <w:proofErr w:type="spellStart"/>
            <w:r w:rsidR="00413ACE" w:rsidRPr="00816504">
              <w:t>6A.10</w:t>
            </w:r>
            <w:proofErr w:type="spellEnd"/>
            <w:r w:rsidR="00413ACE" w:rsidRPr="00816504">
              <w:t xml:space="preserve">, </w:t>
            </w:r>
            <w:proofErr w:type="spellStart"/>
            <w:r w:rsidR="00413ACE" w:rsidRPr="00816504">
              <w:t>7A.14</w:t>
            </w:r>
            <w:proofErr w:type="spellEnd"/>
            <w:r w:rsidR="001B47CD" w:rsidRPr="00816504">
              <w:noBreakHyphen/>
            </w:r>
            <w:r w:rsidR="00413ACE" w:rsidRPr="00816504">
              <w:t xml:space="preserve">15 and </w:t>
            </w:r>
            <w:proofErr w:type="spellStart"/>
            <w:r w:rsidR="00413ACE" w:rsidRPr="00816504">
              <w:t>8A</w:t>
            </w:r>
            <w:r w:rsidR="00BE5596" w:rsidRPr="00816504">
              <w:t>.</w:t>
            </w:r>
            <w:r w:rsidR="00413ACE" w:rsidRPr="00816504">
              <w:t>2</w:t>
            </w:r>
            <w:proofErr w:type="spellEnd"/>
            <w:r w:rsidR="00925F81">
              <w:t>.</w:t>
            </w:r>
          </w:p>
        </w:tc>
      </w:tr>
      <w:tr w:rsidR="00677606" w:rsidTr="00677606">
        <w:tblPrEx>
          <w:tblBorders>
            <w:top w:val="single" w:sz="6" w:space="0" w:color="78A22F"/>
            <w:left w:val="single" w:sz="6" w:space="0" w:color="78A22F"/>
            <w:bottom w:val="single" w:sz="6" w:space="0" w:color="78A22F"/>
            <w:right w:val="single" w:sz="6" w:space="0" w:color="78A22F"/>
          </w:tblBorders>
        </w:tblPrEx>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362319" w:rsidRPr="000863A5" w:rsidTr="00677606">
        <w:tc>
          <w:tcPr>
            <w:tcW w:w="8767" w:type="dxa"/>
            <w:tcBorders>
              <w:top w:val="single" w:sz="6" w:space="0" w:color="78A22F" w:themeColor="accent1"/>
              <w:left w:val="nil"/>
              <w:bottom w:val="nil"/>
              <w:right w:val="nil"/>
            </w:tcBorders>
          </w:tcPr>
          <w:p w:rsidR="00362319" w:rsidRPr="00626D32" w:rsidRDefault="00362319" w:rsidP="00362319">
            <w:pPr>
              <w:pStyle w:val="BoxSpaceBelow"/>
            </w:pPr>
          </w:p>
        </w:tc>
      </w:tr>
    </w:tbl>
    <w:p w:rsidR="00BE1B5B" w:rsidRPr="000F64A3" w:rsidRDefault="00BE1B5B" w:rsidP="00665444">
      <w:pPr>
        <w:pStyle w:val="Heading5"/>
        <w:spacing w:before="240"/>
      </w:pPr>
      <w:r>
        <w:t>Efficiency — r</w:t>
      </w:r>
      <w:r w:rsidRPr="00C20440">
        <w:t>eal</w:t>
      </w:r>
      <w:r>
        <w:t xml:space="preserve"> recurrent expenditure</w:t>
      </w:r>
      <w:r w:rsidRPr="00881445">
        <w:t xml:space="preserve"> </w:t>
      </w:r>
      <w:r>
        <w:t>(</w:t>
      </w:r>
      <w:r w:rsidRPr="00881445">
        <w:t>less revenue from own sources</w:t>
      </w:r>
      <w:r>
        <w:t>)</w:t>
      </w:r>
      <w:r w:rsidRPr="00881445">
        <w:t xml:space="preserve"> per</w:t>
      </w:r>
      <w:r>
        <w:t> </w:t>
      </w:r>
      <w:r w:rsidRPr="00881445">
        <w:t>person</w:t>
      </w:r>
    </w:p>
    <w:p w:rsidR="00BE1B5B" w:rsidRDefault="00BE1B5B" w:rsidP="008944C5">
      <w:pPr>
        <w:pStyle w:val="BodyText"/>
      </w:pPr>
      <w:r w:rsidRPr="00881445">
        <w:t>Unit cost indicators for individual justice services</w:t>
      </w:r>
      <w:r w:rsidR="008E1A0A">
        <w:t xml:space="preserve"> in the </w:t>
      </w:r>
      <w:r w:rsidR="00485F61">
        <w:t>R</w:t>
      </w:r>
      <w:r w:rsidR="008E1A0A">
        <w:t>eport</w:t>
      </w:r>
      <w:r w:rsidRPr="00881445">
        <w:t xml:space="preserve"> are presented in the </w:t>
      </w:r>
      <w:r>
        <w:t xml:space="preserve">related </w:t>
      </w:r>
      <w:r w:rsidRPr="00881445">
        <w:t xml:space="preserve">chapters, but some outcomes result from interactions </w:t>
      </w:r>
      <w:r>
        <w:t>among</w:t>
      </w:r>
      <w:r w:rsidRPr="00881445">
        <w:t xml:space="preserve"> the individual services. One indicator of </w:t>
      </w:r>
      <w:r w:rsidR="00163512">
        <w:t xml:space="preserve">sector </w:t>
      </w:r>
      <w:r w:rsidRPr="00881445">
        <w:t xml:space="preserve">efficiency is annual government recurrent </w:t>
      </w:r>
      <w:r w:rsidR="008E1A0A">
        <w:t>expenditure per person on</w:t>
      </w:r>
      <w:r w:rsidRPr="00044672">
        <w:t xml:space="preserve"> justice </w:t>
      </w:r>
      <w:r w:rsidR="008E1A0A">
        <w:t>services</w:t>
      </w:r>
      <w:r w:rsidR="00163512">
        <w:t xml:space="preserve"> (</w:t>
      </w:r>
      <w:r w:rsidR="00902641">
        <w:t>table </w:t>
      </w:r>
      <w:proofErr w:type="spellStart"/>
      <w:r w:rsidR="003550A8">
        <w:t>C.2</w:t>
      </w:r>
      <w:proofErr w:type="spellEnd"/>
      <w:r>
        <w:t>)</w:t>
      </w:r>
      <w:r w:rsidRPr="00044672">
        <w:t xml:space="preserve">. </w:t>
      </w:r>
    </w:p>
    <w:p w:rsidR="00F66C58" w:rsidRDefault="00F66C58" w:rsidP="008944C5">
      <w:pPr>
        <w:pStyle w:val="BodyText"/>
      </w:pPr>
      <w:r w:rsidRPr="00A1493A">
        <w:t>Nationally</w:t>
      </w:r>
      <w:r w:rsidR="00163512">
        <w:t xml:space="preserve"> in 2015-16</w:t>
      </w:r>
      <w:r w:rsidRPr="00A1493A">
        <w:t xml:space="preserve">, real expenditure (less revenue from own sources) per person on </w:t>
      </w:r>
      <w:r>
        <w:t xml:space="preserve">the areas of </w:t>
      </w:r>
      <w:r w:rsidRPr="00A1493A">
        <w:t>justice</w:t>
      </w:r>
      <w:r>
        <w:t xml:space="preserve"> reported on</w:t>
      </w:r>
      <w:r w:rsidRPr="00A1493A">
        <w:t xml:space="preserve"> </w:t>
      </w:r>
      <w:r w:rsidRPr="00613E4D">
        <w:t xml:space="preserve">was </w:t>
      </w:r>
      <w:r w:rsidRPr="005857F8">
        <w:t>$</w:t>
      </w:r>
      <w:r w:rsidR="00613E4D" w:rsidRPr="005857F8">
        <w:t>7</w:t>
      </w:r>
      <w:r w:rsidR="005279DC" w:rsidRPr="005857F8">
        <w:t>19</w:t>
      </w:r>
      <w:r w:rsidRPr="00613E4D">
        <w:t xml:space="preserve"> </w:t>
      </w:r>
      <w:r w:rsidRPr="00A1493A">
        <w:t>(table </w:t>
      </w:r>
      <w:proofErr w:type="spellStart"/>
      <w:r>
        <w:t>C.2</w:t>
      </w:r>
      <w:proofErr w:type="spellEnd"/>
      <w:r w:rsidRPr="00A1493A">
        <w:t>).</w:t>
      </w:r>
    </w:p>
    <w:p w:rsidR="00FC479B" w:rsidRDefault="00FC479B" w:rsidP="00C82E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layout."/>
      </w:tblPr>
      <w:tblGrid>
        <w:gridCol w:w="8771"/>
        <w:gridCol w:w="56"/>
        <w:gridCol w:w="82"/>
      </w:tblGrid>
      <w:tr w:rsidR="00FC479B" w:rsidTr="00915EBF">
        <w:tc>
          <w:tcPr>
            <w:tcW w:w="8909" w:type="dxa"/>
            <w:gridSpan w:val="3"/>
            <w:tcBorders>
              <w:top w:val="single" w:sz="6" w:space="0" w:color="78A22F" w:themeColor="accent1"/>
              <w:left w:val="nil"/>
              <w:bottom w:val="nil"/>
              <w:right w:val="nil"/>
            </w:tcBorders>
            <w:shd w:val="clear" w:color="auto" w:fill="auto"/>
          </w:tcPr>
          <w:p w:rsidR="00F94936" w:rsidRPr="00DA4669" w:rsidRDefault="00FC479B">
            <w:pPr>
              <w:pStyle w:val="TableTitle"/>
              <w:rPr>
                <w:position w:val="6"/>
                <w:sz w:val="18"/>
              </w:rPr>
            </w:pPr>
            <w:r>
              <w:rPr>
                <w:b w:val="0"/>
              </w:rPr>
              <w:t xml:space="preserve">Table </w:t>
            </w:r>
            <w:proofErr w:type="spellStart"/>
            <w:r>
              <w:rPr>
                <w:b w:val="0"/>
              </w:rPr>
              <w:t>C.</w:t>
            </w:r>
            <w:r w:rsidR="005615CC">
              <w:rPr>
                <w:b w:val="0"/>
                <w:noProof/>
              </w:rPr>
              <w:t>2</w:t>
            </w:r>
            <w:proofErr w:type="spellEnd"/>
            <w:r w:rsidR="00F12AD8">
              <w:tab/>
            </w:r>
            <w:r w:rsidR="00F12AD8" w:rsidRPr="008944C5">
              <w:t xml:space="preserve">Real recurrent expenditure (less revenue from own sources) per </w:t>
            </w:r>
            <w:r w:rsidR="00F12AD8">
              <w:t xml:space="preserve">person on justice services, </w:t>
            </w:r>
            <w:r w:rsidR="00F12AD8" w:rsidRPr="00613E4D">
              <w:t>201</w:t>
            </w:r>
            <w:r w:rsidR="00BA4661" w:rsidRPr="00613E4D">
              <w:t>5</w:t>
            </w:r>
            <w:r w:rsidR="00F12AD8" w:rsidRPr="00613E4D">
              <w:rPr>
                <w:rFonts w:cs="Arial"/>
              </w:rPr>
              <w:noBreakHyphen/>
              <w:t>1</w:t>
            </w:r>
            <w:r w:rsidR="00BA4661" w:rsidRPr="00613E4D">
              <w:rPr>
                <w:rFonts w:cs="Arial"/>
              </w:rPr>
              <w:t>6</w:t>
            </w:r>
            <w:r w:rsidR="00F12AD8" w:rsidRPr="00613E4D">
              <w:rPr>
                <w:rStyle w:val="NoteLabel"/>
                <w:b/>
              </w:rPr>
              <w:t>a</w:t>
            </w:r>
            <w:r w:rsidR="007308D0" w:rsidRPr="00613E4D">
              <w:rPr>
                <w:rStyle w:val="NoteLabel"/>
                <w:b/>
              </w:rPr>
              <w:t xml:space="preserve">, </w:t>
            </w:r>
            <w:r w:rsidR="007308D0">
              <w:rPr>
                <w:rStyle w:val="NoteLabel"/>
                <w:b/>
              </w:rPr>
              <w:t>b</w:t>
            </w:r>
          </w:p>
        </w:tc>
      </w:tr>
      <w:tr w:rsidR="00915EBF" w:rsidTr="009F45A6">
        <w:trPr>
          <w:gridAfter w:val="1"/>
          <w:wAfter w:w="82" w:type="dxa"/>
          <w:cantSplit/>
        </w:trPr>
        <w:tc>
          <w:tcPr>
            <w:tcW w:w="8827" w:type="dxa"/>
            <w:gridSpan w:val="2"/>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91"/>
              <w:gridCol w:w="550"/>
              <w:gridCol w:w="649"/>
              <w:gridCol w:w="650"/>
              <w:gridCol w:w="649"/>
              <w:gridCol w:w="650"/>
              <w:gridCol w:w="649"/>
              <w:gridCol w:w="650"/>
              <w:gridCol w:w="649"/>
              <w:gridCol w:w="650"/>
              <w:gridCol w:w="650"/>
            </w:tblGrid>
            <w:tr w:rsidR="00915EBF" w:rsidRPr="00A1493A" w:rsidTr="00D8717A">
              <w:tc>
                <w:tcPr>
                  <w:tcW w:w="2091" w:type="dxa"/>
                  <w:tcBorders>
                    <w:top w:val="single" w:sz="6" w:space="0" w:color="BFBFBF"/>
                    <w:bottom w:val="single" w:sz="6" w:space="0" w:color="BFBFBF"/>
                  </w:tcBorders>
                  <w:shd w:val="clear" w:color="auto" w:fill="auto"/>
                </w:tcPr>
                <w:p w:rsidR="00915EBF" w:rsidRPr="00A1493A" w:rsidRDefault="00915EBF" w:rsidP="00915EBF">
                  <w:pPr>
                    <w:pStyle w:val="TableColumnHeading"/>
                    <w:jc w:val="left"/>
                  </w:pPr>
                </w:p>
              </w:tc>
              <w:tc>
                <w:tcPr>
                  <w:tcW w:w="550" w:type="dxa"/>
                  <w:tcBorders>
                    <w:top w:val="single" w:sz="6" w:space="0" w:color="BFBFBF"/>
                    <w:bottom w:val="single" w:sz="6" w:space="0" w:color="BFBFBF"/>
                  </w:tcBorders>
                  <w:shd w:val="clear" w:color="auto" w:fill="auto"/>
                </w:tcPr>
                <w:p w:rsidR="00915EBF" w:rsidRPr="00A1493A" w:rsidRDefault="00915EBF" w:rsidP="00915EBF">
                  <w:pPr>
                    <w:pStyle w:val="TableColumnHeading"/>
                    <w:ind w:left="0" w:right="28"/>
                  </w:pPr>
                  <w:r w:rsidRPr="00A1493A">
                    <w:t>Unit</w:t>
                  </w:r>
                </w:p>
              </w:tc>
              <w:tc>
                <w:tcPr>
                  <w:tcW w:w="649" w:type="dxa"/>
                  <w:tcBorders>
                    <w:top w:val="single" w:sz="6" w:space="0" w:color="BFBFBF"/>
                    <w:bottom w:val="single" w:sz="6" w:space="0" w:color="BFBFBF"/>
                  </w:tcBorders>
                  <w:shd w:val="clear" w:color="auto" w:fill="auto"/>
                </w:tcPr>
                <w:p w:rsidR="00915EBF" w:rsidRPr="00A1493A" w:rsidRDefault="00915EBF" w:rsidP="00915EBF">
                  <w:pPr>
                    <w:pStyle w:val="TableColumnHeading"/>
                    <w:ind w:left="0" w:right="28"/>
                  </w:pPr>
                  <w:r w:rsidRPr="00A1493A">
                    <w:t>NSW</w:t>
                  </w:r>
                </w:p>
              </w:tc>
              <w:tc>
                <w:tcPr>
                  <w:tcW w:w="650" w:type="dxa"/>
                  <w:tcBorders>
                    <w:top w:val="single" w:sz="6" w:space="0" w:color="BFBFBF"/>
                    <w:bottom w:val="single" w:sz="6" w:space="0" w:color="BFBFBF"/>
                  </w:tcBorders>
                  <w:shd w:val="clear" w:color="auto" w:fill="auto"/>
                </w:tcPr>
                <w:p w:rsidR="00915EBF" w:rsidRPr="00A1493A" w:rsidRDefault="00915EBF" w:rsidP="00915EBF">
                  <w:pPr>
                    <w:pStyle w:val="TableColumnHeading"/>
                    <w:ind w:left="0" w:right="28"/>
                  </w:pPr>
                  <w:r w:rsidRPr="00A1493A">
                    <w:t>Vic</w:t>
                  </w:r>
                </w:p>
              </w:tc>
              <w:tc>
                <w:tcPr>
                  <w:tcW w:w="649" w:type="dxa"/>
                  <w:tcBorders>
                    <w:top w:val="single" w:sz="6" w:space="0" w:color="BFBFBF"/>
                    <w:bottom w:val="single" w:sz="6" w:space="0" w:color="BFBFBF"/>
                  </w:tcBorders>
                  <w:shd w:val="clear" w:color="auto" w:fill="auto"/>
                </w:tcPr>
                <w:p w:rsidR="00915EBF" w:rsidRPr="00A1493A" w:rsidRDefault="00915EBF" w:rsidP="00915EBF">
                  <w:pPr>
                    <w:pStyle w:val="TableColumnHeading"/>
                    <w:ind w:left="0" w:right="28"/>
                  </w:pPr>
                  <w:r w:rsidRPr="00A1493A">
                    <w:t>Qld</w:t>
                  </w:r>
                </w:p>
              </w:tc>
              <w:tc>
                <w:tcPr>
                  <w:tcW w:w="650" w:type="dxa"/>
                  <w:tcBorders>
                    <w:top w:val="single" w:sz="6" w:space="0" w:color="BFBFBF"/>
                    <w:bottom w:val="single" w:sz="6" w:space="0" w:color="BFBFBF"/>
                  </w:tcBorders>
                  <w:shd w:val="clear" w:color="auto" w:fill="auto"/>
                </w:tcPr>
                <w:p w:rsidR="00915EBF" w:rsidRPr="00A1493A" w:rsidRDefault="00915EBF" w:rsidP="00915EBF">
                  <w:pPr>
                    <w:pStyle w:val="TableColumnHeading"/>
                    <w:ind w:left="0" w:right="28"/>
                  </w:pPr>
                  <w:r w:rsidRPr="00A1493A">
                    <w:t>WA</w:t>
                  </w:r>
                </w:p>
              </w:tc>
              <w:tc>
                <w:tcPr>
                  <w:tcW w:w="649" w:type="dxa"/>
                  <w:tcBorders>
                    <w:top w:val="single" w:sz="6" w:space="0" w:color="BFBFBF"/>
                    <w:bottom w:val="single" w:sz="6" w:space="0" w:color="BFBFBF"/>
                  </w:tcBorders>
                  <w:shd w:val="clear" w:color="auto" w:fill="auto"/>
                </w:tcPr>
                <w:p w:rsidR="00915EBF" w:rsidRPr="00A1493A" w:rsidRDefault="00915EBF" w:rsidP="00915EBF">
                  <w:pPr>
                    <w:pStyle w:val="TableColumnHeading"/>
                    <w:ind w:left="0" w:right="28"/>
                  </w:pPr>
                  <w:r w:rsidRPr="00A1493A">
                    <w:t>SA</w:t>
                  </w:r>
                </w:p>
              </w:tc>
              <w:tc>
                <w:tcPr>
                  <w:tcW w:w="650" w:type="dxa"/>
                  <w:tcBorders>
                    <w:top w:val="single" w:sz="6" w:space="0" w:color="BFBFBF"/>
                    <w:bottom w:val="single" w:sz="6" w:space="0" w:color="BFBFBF"/>
                  </w:tcBorders>
                  <w:shd w:val="clear" w:color="auto" w:fill="auto"/>
                </w:tcPr>
                <w:p w:rsidR="00915EBF" w:rsidRPr="00A1493A" w:rsidRDefault="00915EBF" w:rsidP="00915EBF">
                  <w:pPr>
                    <w:pStyle w:val="TableColumnHeading"/>
                    <w:ind w:left="0" w:right="28"/>
                  </w:pPr>
                  <w:proofErr w:type="spellStart"/>
                  <w:r w:rsidRPr="00A1493A">
                    <w:t>Tas</w:t>
                  </w:r>
                  <w:proofErr w:type="spellEnd"/>
                </w:p>
              </w:tc>
              <w:tc>
                <w:tcPr>
                  <w:tcW w:w="649" w:type="dxa"/>
                  <w:tcBorders>
                    <w:top w:val="single" w:sz="6" w:space="0" w:color="BFBFBF"/>
                    <w:bottom w:val="single" w:sz="6" w:space="0" w:color="BFBFBF"/>
                  </w:tcBorders>
                  <w:shd w:val="clear" w:color="auto" w:fill="auto"/>
                </w:tcPr>
                <w:p w:rsidR="00915EBF" w:rsidRPr="00A1493A" w:rsidRDefault="00915EBF" w:rsidP="00915EBF">
                  <w:pPr>
                    <w:pStyle w:val="TableColumnHeading"/>
                    <w:ind w:left="0" w:right="28"/>
                  </w:pPr>
                  <w:r w:rsidRPr="00A1493A">
                    <w:t>ACT</w:t>
                  </w:r>
                </w:p>
              </w:tc>
              <w:tc>
                <w:tcPr>
                  <w:tcW w:w="650" w:type="dxa"/>
                  <w:tcBorders>
                    <w:top w:val="single" w:sz="6" w:space="0" w:color="BFBFBF"/>
                    <w:bottom w:val="single" w:sz="6" w:space="0" w:color="BFBFBF"/>
                  </w:tcBorders>
                  <w:shd w:val="clear" w:color="auto" w:fill="auto"/>
                </w:tcPr>
                <w:p w:rsidR="00915EBF" w:rsidRPr="00A1493A" w:rsidRDefault="00915EBF" w:rsidP="00915EBF">
                  <w:pPr>
                    <w:pStyle w:val="TableColumnHeading"/>
                    <w:ind w:left="0" w:right="28"/>
                  </w:pPr>
                  <w:r w:rsidRPr="00A1493A">
                    <w:t>NT</w:t>
                  </w:r>
                </w:p>
              </w:tc>
              <w:tc>
                <w:tcPr>
                  <w:tcW w:w="650" w:type="dxa"/>
                  <w:tcBorders>
                    <w:top w:val="single" w:sz="6" w:space="0" w:color="BFBFBF"/>
                    <w:bottom w:val="single" w:sz="6" w:space="0" w:color="BFBFBF"/>
                  </w:tcBorders>
                  <w:shd w:val="clear" w:color="auto" w:fill="auto"/>
                </w:tcPr>
                <w:p w:rsidR="00915EBF" w:rsidRPr="00A1493A" w:rsidRDefault="00915EBF" w:rsidP="00915EBF">
                  <w:pPr>
                    <w:pStyle w:val="TableColumnHeading"/>
                    <w:ind w:right="28"/>
                  </w:pPr>
                  <w:proofErr w:type="spellStart"/>
                  <w:r w:rsidRPr="00A1493A">
                    <w:t>Aust</w:t>
                  </w:r>
                  <w:proofErr w:type="spellEnd"/>
                </w:p>
              </w:tc>
            </w:tr>
            <w:tr w:rsidR="00915EBF" w:rsidRPr="00020C69" w:rsidTr="005857F8">
              <w:tc>
                <w:tcPr>
                  <w:tcW w:w="2091" w:type="dxa"/>
                  <w:tcBorders>
                    <w:top w:val="single" w:sz="6" w:space="0" w:color="BFBFBF"/>
                  </w:tcBorders>
                </w:tcPr>
                <w:p w:rsidR="00915EBF" w:rsidRPr="00A1493A" w:rsidRDefault="00915EBF" w:rsidP="00915EBF">
                  <w:pPr>
                    <w:pStyle w:val="TableBodyText"/>
                    <w:spacing w:before="40"/>
                    <w:jc w:val="left"/>
                    <w:rPr>
                      <w:rStyle w:val="NoteLabel"/>
                    </w:rPr>
                  </w:pPr>
                  <w:r w:rsidRPr="00A1493A">
                    <w:t>Police services</w:t>
                  </w:r>
                </w:p>
              </w:tc>
              <w:tc>
                <w:tcPr>
                  <w:tcW w:w="550" w:type="dxa"/>
                  <w:tcBorders>
                    <w:top w:val="single" w:sz="6" w:space="0" w:color="BFBFBF"/>
                  </w:tcBorders>
                  <w:vAlign w:val="bottom"/>
                </w:tcPr>
                <w:p w:rsidR="00915EBF" w:rsidRPr="00A1493A" w:rsidRDefault="00915EBF" w:rsidP="00915EBF">
                  <w:pPr>
                    <w:pStyle w:val="TableBodyText"/>
                    <w:spacing w:before="40"/>
                    <w:ind w:left="0" w:right="0"/>
                  </w:pPr>
                  <w:r w:rsidRPr="00A1493A">
                    <w:t>$</w:t>
                  </w:r>
                </w:p>
              </w:tc>
              <w:tc>
                <w:tcPr>
                  <w:tcW w:w="649" w:type="dxa"/>
                  <w:tcBorders>
                    <w:top w:val="single" w:sz="6" w:space="0" w:color="BFBFBF"/>
                  </w:tcBorders>
                  <w:vAlign w:val="bottom"/>
                </w:tcPr>
                <w:p w:rsidR="00915EBF" w:rsidRDefault="00915EBF" w:rsidP="00915EBF">
                  <w:pPr>
                    <w:pStyle w:val="TableBodyText"/>
                    <w:rPr>
                      <w:sz w:val="24"/>
                      <w:szCs w:val="24"/>
                    </w:rPr>
                  </w:pPr>
                  <w:r w:rsidRPr="00316786">
                    <w:t>451</w:t>
                  </w:r>
                </w:p>
              </w:tc>
              <w:tc>
                <w:tcPr>
                  <w:tcW w:w="650" w:type="dxa"/>
                  <w:tcBorders>
                    <w:top w:val="single" w:sz="6" w:space="0" w:color="BFBFBF"/>
                  </w:tcBorders>
                  <w:shd w:val="clear" w:color="auto" w:fill="auto"/>
                  <w:vAlign w:val="bottom"/>
                </w:tcPr>
                <w:p w:rsidR="00915EBF" w:rsidRDefault="00915EBF" w:rsidP="00915EBF">
                  <w:pPr>
                    <w:pStyle w:val="TableBodyText"/>
                    <w:rPr>
                      <w:sz w:val="24"/>
                      <w:szCs w:val="24"/>
                    </w:rPr>
                  </w:pPr>
                  <w:r w:rsidRPr="00316786">
                    <w:t>433</w:t>
                  </w:r>
                </w:p>
              </w:tc>
              <w:tc>
                <w:tcPr>
                  <w:tcW w:w="649" w:type="dxa"/>
                  <w:tcBorders>
                    <w:top w:val="single" w:sz="6" w:space="0" w:color="BFBFBF"/>
                  </w:tcBorders>
                  <w:shd w:val="clear" w:color="auto" w:fill="auto"/>
                  <w:vAlign w:val="bottom"/>
                </w:tcPr>
                <w:p w:rsidR="00915EBF" w:rsidRDefault="0053188C" w:rsidP="006329E8">
                  <w:pPr>
                    <w:pStyle w:val="TableBodyText"/>
                    <w:rPr>
                      <w:sz w:val="24"/>
                      <w:szCs w:val="24"/>
                    </w:rPr>
                  </w:pPr>
                  <w:r>
                    <w:t>445</w:t>
                  </w:r>
                </w:p>
              </w:tc>
              <w:tc>
                <w:tcPr>
                  <w:tcW w:w="650" w:type="dxa"/>
                  <w:tcBorders>
                    <w:top w:val="single" w:sz="6" w:space="0" w:color="BFBFBF"/>
                  </w:tcBorders>
                  <w:vAlign w:val="bottom"/>
                </w:tcPr>
                <w:p w:rsidR="00915EBF" w:rsidRDefault="00915EBF" w:rsidP="00915EBF">
                  <w:pPr>
                    <w:pStyle w:val="TableBodyText"/>
                    <w:rPr>
                      <w:sz w:val="24"/>
                      <w:szCs w:val="24"/>
                    </w:rPr>
                  </w:pPr>
                  <w:r w:rsidRPr="00316786">
                    <w:t>521</w:t>
                  </w:r>
                </w:p>
              </w:tc>
              <w:tc>
                <w:tcPr>
                  <w:tcW w:w="649" w:type="dxa"/>
                  <w:tcBorders>
                    <w:top w:val="single" w:sz="6" w:space="0" w:color="BFBFBF"/>
                  </w:tcBorders>
                  <w:vAlign w:val="bottom"/>
                </w:tcPr>
                <w:p w:rsidR="00915EBF" w:rsidRDefault="00915EBF" w:rsidP="00915EBF">
                  <w:pPr>
                    <w:pStyle w:val="TableBodyText"/>
                    <w:rPr>
                      <w:sz w:val="24"/>
                      <w:szCs w:val="24"/>
                    </w:rPr>
                  </w:pPr>
                  <w:r w:rsidRPr="00316786">
                    <w:t>431</w:t>
                  </w:r>
                </w:p>
              </w:tc>
              <w:tc>
                <w:tcPr>
                  <w:tcW w:w="650" w:type="dxa"/>
                  <w:tcBorders>
                    <w:top w:val="single" w:sz="6" w:space="0" w:color="BFBFBF"/>
                  </w:tcBorders>
                  <w:vAlign w:val="bottom"/>
                </w:tcPr>
                <w:p w:rsidR="00915EBF" w:rsidRDefault="00915EBF" w:rsidP="00915EBF">
                  <w:pPr>
                    <w:pStyle w:val="TableBodyText"/>
                    <w:rPr>
                      <w:sz w:val="24"/>
                      <w:szCs w:val="24"/>
                    </w:rPr>
                  </w:pPr>
                  <w:r w:rsidRPr="00316786">
                    <w:t>415</w:t>
                  </w:r>
                </w:p>
              </w:tc>
              <w:tc>
                <w:tcPr>
                  <w:tcW w:w="649" w:type="dxa"/>
                  <w:tcBorders>
                    <w:top w:val="single" w:sz="6" w:space="0" w:color="BFBFBF"/>
                  </w:tcBorders>
                  <w:vAlign w:val="bottom"/>
                </w:tcPr>
                <w:p w:rsidR="00915EBF" w:rsidRDefault="00915EBF" w:rsidP="00915EBF">
                  <w:pPr>
                    <w:pStyle w:val="TableBodyText"/>
                    <w:rPr>
                      <w:sz w:val="24"/>
                      <w:szCs w:val="24"/>
                    </w:rPr>
                  </w:pPr>
                  <w:r w:rsidRPr="00316786">
                    <w:t>427</w:t>
                  </w:r>
                </w:p>
              </w:tc>
              <w:tc>
                <w:tcPr>
                  <w:tcW w:w="650" w:type="dxa"/>
                  <w:tcBorders>
                    <w:top w:val="single" w:sz="6" w:space="0" w:color="BFBFBF"/>
                  </w:tcBorders>
                  <w:shd w:val="clear" w:color="auto" w:fill="auto"/>
                  <w:vAlign w:val="bottom"/>
                </w:tcPr>
                <w:p w:rsidR="00915EBF" w:rsidRDefault="00915EBF" w:rsidP="00915EBF">
                  <w:pPr>
                    <w:pStyle w:val="TableBodyText"/>
                    <w:rPr>
                      <w:sz w:val="24"/>
                      <w:szCs w:val="24"/>
                    </w:rPr>
                  </w:pPr>
                  <w:r w:rsidRPr="00316786">
                    <w:t>1257</w:t>
                  </w:r>
                </w:p>
              </w:tc>
              <w:tc>
                <w:tcPr>
                  <w:tcW w:w="650" w:type="dxa"/>
                  <w:tcBorders>
                    <w:top w:val="single" w:sz="6" w:space="0" w:color="BFBFBF"/>
                  </w:tcBorders>
                  <w:shd w:val="clear" w:color="auto" w:fill="auto"/>
                  <w:vAlign w:val="bottom"/>
                </w:tcPr>
                <w:p w:rsidR="00915EBF" w:rsidRDefault="0053188C" w:rsidP="006329E8">
                  <w:pPr>
                    <w:pStyle w:val="TableBodyText"/>
                    <w:rPr>
                      <w:sz w:val="24"/>
                      <w:szCs w:val="24"/>
                    </w:rPr>
                  </w:pPr>
                  <w:r>
                    <w:t>459</w:t>
                  </w:r>
                </w:p>
              </w:tc>
            </w:tr>
            <w:tr w:rsidR="00915EBF" w:rsidRPr="00020C69" w:rsidTr="00C731AE">
              <w:tc>
                <w:tcPr>
                  <w:tcW w:w="2091" w:type="dxa"/>
                </w:tcPr>
                <w:p w:rsidR="00915EBF" w:rsidRPr="00A1493A" w:rsidRDefault="00915EBF" w:rsidP="00915EBF">
                  <w:pPr>
                    <w:pStyle w:val="TableBodyText"/>
                    <w:jc w:val="left"/>
                    <w:rPr>
                      <w:rStyle w:val="NoteLabel"/>
                    </w:rPr>
                  </w:pPr>
                  <w:r w:rsidRPr="00A1493A">
                    <w:t>Court</w:t>
                  </w:r>
                  <w:r>
                    <w:t>s</w:t>
                  </w:r>
                  <w:r w:rsidRPr="00A1493A">
                    <w:t xml:space="preserve"> — criminal</w:t>
                  </w:r>
                </w:p>
              </w:tc>
              <w:tc>
                <w:tcPr>
                  <w:tcW w:w="550" w:type="dxa"/>
                  <w:vAlign w:val="bottom"/>
                </w:tcPr>
                <w:p w:rsidR="00915EBF" w:rsidRPr="00A1493A" w:rsidRDefault="00915EBF" w:rsidP="00915EBF">
                  <w:pPr>
                    <w:pStyle w:val="TableBodyText"/>
                    <w:ind w:left="0" w:right="0"/>
                  </w:pPr>
                  <w:r w:rsidRPr="00A1493A">
                    <w:t>$</w:t>
                  </w:r>
                </w:p>
              </w:tc>
              <w:tc>
                <w:tcPr>
                  <w:tcW w:w="649" w:type="dxa"/>
                  <w:vAlign w:val="bottom"/>
                </w:tcPr>
                <w:p w:rsidR="00915EBF" w:rsidRDefault="00915EBF" w:rsidP="00915EBF">
                  <w:pPr>
                    <w:pStyle w:val="TableBodyText"/>
                    <w:rPr>
                      <w:sz w:val="24"/>
                      <w:szCs w:val="24"/>
                    </w:rPr>
                  </w:pPr>
                  <w:r w:rsidRPr="00316786">
                    <w:t>27</w:t>
                  </w:r>
                </w:p>
              </w:tc>
              <w:tc>
                <w:tcPr>
                  <w:tcW w:w="650" w:type="dxa"/>
                  <w:shd w:val="clear" w:color="auto" w:fill="auto"/>
                  <w:vAlign w:val="bottom"/>
                </w:tcPr>
                <w:p w:rsidR="00915EBF" w:rsidRDefault="00915EBF" w:rsidP="00915EBF">
                  <w:pPr>
                    <w:pStyle w:val="TableBodyText"/>
                    <w:rPr>
                      <w:sz w:val="24"/>
                      <w:szCs w:val="24"/>
                    </w:rPr>
                  </w:pPr>
                  <w:r w:rsidRPr="00316786">
                    <w:t>35</w:t>
                  </w:r>
                </w:p>
              </w:tc>
              <w:tc>
                <w:tcPr>
                  <w:tcW w:w="649" w:type="dxa"/>
                  <w:vAlign w:val="bottom"/>
                </w:tcPr>
                <w:p w:rsidR="00915EBF" w:rsidRDefault="00915EBF" w:rsidP="00915EBF">
                  <w:pPr>
                    <w:pStyle w:val="TableBodyText"/>
                    <w:rPr>
                      <w:sz w:val="24"/>
                      <w:szCs w:val="24"/>
                    </w:rPr>
                  </w:pPr>
                  <w:r w:rsidRPr="00316786">
                    <w:t>32</w:t>
                  </w:r>
                </w:p>
              </w:tc>
              <w:tc>
                <w:tcPr>
                  <w:tcW w:w="650" w:type="dxa"/>
                  <w:vAlign w:val="bottom"/>
                </w:tcPr>
                <w:p w:rsidR="00915EBF" w:rsidRDefault="00915EBF" w:rsidP="00915EBF">
                  <w:pPr>
                    <w:pStyle w:val="TableBodyText"/>
                    <w:rPr>
                      <w:sz w:val="24"/>
                      <w:szCs w:val="24"/>
                    </w:rPr>
                  </w:pPr>
                  <w:r w:rsidRPr="00316786">
                    <w:t>46</w:t>
                  </w:r>
                </w:p>
              </w:tc>
              <w:tc>
                <w:tcPr>
                  <w:tcW w:w="649" w:type="dxa"/>
                  <w:vAlign w:val="bottom"/>
                </w:tcPr>
                <w:p w:rsidR="00915EBF" w:rsidRDefault="00915EBF" w:rsidP="00915EBF">
                  <w:pPr>
                    <w:pStyle w:val="TableBodyText"/>
                    <w:rPr>
                      <w:sz w:val="24"/>
                      <w:szCs w:val="24"/>
                    </w:rPr>
                  </w:pPr>
                  <w:r w:rsidRPr="00316786">
                    <w:t>42</w:t>
                  </w:r>
                </w:p>
              </w:tc>
              <w:tc>
                <w:tcPr>
                  <w:tcW w:w="650" w:type="dxa"/>
                  <w:vAlign w:val="bottom"/>
                </w:tcPr>
                <w:p w:rsidR="00915EBF" w:rsidRDefault="00915EBF" w:rsidP="00915EBF">
                  <w:pPr>
                    <w:pStyle w:val="TableBodyText"/>
                    <w:rPr>
                      <w:sz w:val="24"/>
                      <w:szCs w:val="24"/>
                    </w:rPr>
                  </w:pPr>
                  <w:r w:rsidRPr="00316786">
                    <w:t>32</w:t>
                  </w:r>
                </w:p>
              </w:tc>
              <w:tc>
                <w:tcPr>
                  <w:tcW w:w="649" w:type="dxa"/>
                  <w:vAlign w:val="bottom"/>
                </w:tcPr>
                <w:p w:rsidR="00915EBF" w:rsidRDefault="00915EBF" w:rsidP="00915EBF">
                  <w:pPr>
                    <w:pStyle w:val="TableBodyText"/>
                    <w:rPr>
                      <w:sz w:val="24"/>
                      <w:szCs w:val="24"/>
                    </w:rPr>
                  </w:pPr>
                  <w:r w:rsidRPr="00316786">
                    <w:t>48</w:t>
                  </w:r>
                </w:p>
              </w:tc>
              <w:tc>
                <w:tcPr>
                  <w:tcW w:w="650" w:type="dxa"/>
                  <w:vAlign w:val="bottom"/>
                </w:tcPr>
                <w:p w:rsidR="00915EBF" w:rsidRDefault="00915EBF" w:rsidP="00915EBF">
                  <w:pPr>
                    <w:pStyle w:val="TableBodyText"/>
                    <w:rPr>
                      <w:sz w:val="24"/>
                      <w:szCs w:val="24"/>
                    </w:rPr>
                  </w:pPr>
                  <w:r w:rsidRPr="00316786">
                    <w:t>115</w:t>
                  </w:r>
                </w:p>
              </w:tc>
              <w:tc>
                <w:tcPr>
                  <w:tcW w:w="650" w:type="dxa"/>
                  <w:vAlign w:val="bottom"/>
                </w:tcPr>
                <w:p w:rsidR="00915EBF" w:rsidRDefault="00915EBF" w:rsidP="00915EBF">
                  <w:pPr>
                    <w:pStyle w:val="TableBodyText"/>
                    <w:rPr>
                      <w:sz w:val="24"/>
                      <w:szCs w:val="24"/>
                    </w:rPr>
                  </w:pPr>
                  <w:r w:rsidRPr="00316786">
                    <w:t>34</w:t>
                  </w:r>
                </w:p>
              </w:tc>
            </w:tr>
            <w:tr w:rsidR="00915EBF" w:rsidRPr="00020C69" w:rsidTr="005857F8">
              <w:tc>
                <w:tcPr>
                  <w:tcW w:w="2091" w:type="dxa"/>
                </w:tcPr>
                <w:p w:rsidR="00915EBF" w:rsidRPr="00A1493A" w:rsidRDefault="00915EBF" w:rsidP="00915EBF">
                  <w:pPr>
                    <w:pStyle w:val="TableBodyText"/>
                    <w:jc w:val="left"/>
                    <w:rPr>
                      <w:rStyle w:val="NoteLabel"/>
                    </w:rPr>
                  </w:pPr>
                  <w:r w:rsidRPr="00A1493A">
                    <w:t>Court</w:t>
                  </w:r>
                  <w:r>
                    <w:t>s</w:t>
                  </w:r>
                  <w:r w:rsidRPr="00A1493A">
                    <w:t xml:space="preserve"> — civil</w:t>
                  </w:r>
                </w:p>
              </w:tc>
              <w:tc>
                <w:tcPr>
                  <w:tcW w:w="550" w:type="dxa"/>
                  <w:vAlign w:val="bottom"/>
                </w:tcPr>
                <w:p w:rsidR="00915EBF" w:rsidRPr="00A1493A" w:rsidRDefault="00915EBF" w:rsidP="00915EBF">
                  <w:pPr>
                    <w:pStyle w:val="TableBodyText"/>
                    <w:ind w:left="0" w:right="0"/>
                  </w:pPr>
                  <w:r w:rsidRPr="00A1493A">
                    <w:t>$</w:t>
                  </w:r>
                </w:p>
              </w:tc>
              <w:tc>
                <w:tcPr>
                  <w:tcW w:w="649" w:type="dxa"/>
                  <w:vAlign w:val="bottom"/>
                </w:tcPr>
                <w:p w:rsidR="00915EBF" w:rsidRDefault="00915EBF" w:rsidP="00915EBF">
                  <w:pPr>
                    <w:pStyle w:val="TableBodyText"/>
                    <w:rPr>
                      <w:sz w:val="24"/>
                      <w:szCs w:val="24"/>
                    </w:rPr>
                  </w:pPr>
                  <w:r w:rsidRPr="00316786">
                    <w:t>12</w:t>
                  </w:r>
                </w:p>
              </w:tc>
              <w:tc>
                <w:tcPr>
                  <w:tcW w:w="650" w:type="dxa"/>
                  <w:shd w:val="clear" w:color="auto" w:fill="auto"/>
                  <w:vAlign w:val="bottom"/>
                </w:tcPr>
                <w:p w:rsidR="00915EBF" w:rsidRDefault="00915EBF" w:rsidP="00915EBF">
                  <w:pPr>
                    <w:pStyle w:val="TableBodyText"/>
                    <w:rPr>
                      <w:sz w:val="24"/>
                      <w:szCs w:val="24"/>
                    </w:rPr>
                  </w:pPr>
                  <w:r w:rsidRPr="00316786">
                    <w:t>2</w:t>
                  </w:r>
                  <w:r w:rsidR="0053188C">
                    <w:t>0</w:t>
                  </w:r>
                </w:p>
              </w:tc>
              <w:tc>
                <w:tcPr>
                  <w:tcW w:w="649" w:type="dxa"/>
                  <w:vAlign w:val="bottom"/>
                </w:tcPr>
                <w:p w:rsidR="00915EBF" w:rsidRDefault="00915EBF" w:rsidP="00915EBF">
                  <w:pPr>
                    <w:pStyle w:val="TableBodyText"/>
                    <w:rPr>
                      <w:sz w:val="24"/>
                      <w:szCs w:val="24"/>
                    </w:rPr>
                  </w:pPr>
                  <w:r w:rsidRPr="00316786">
                    <w:t>10</w:t>
                  </w:r>
                </w:p>
              </w:tc>
              <w:tc>
                <w:tcPr>
                  <w:tcW w:w="650" w:type="dxa"/>
                  <w:vAlign w:val="bottom"/>
                </w:tcPr>
                <w:p w:rsidR="00915EBF" w:rsidRDefault="00915EBF" w:rsidP="00915EBF">
                  <w:pPr>
                    <w:pStyle w:val="TableBodyText"/>
                    <w:rPr>
                      <w:sz w:val="24"/>
                      <w:szCs w:val="24"/>
                    </w:rPr>
                  </w:pPr>
                  <w:r w:rsidRPr="00316786">
                    <w:t>30</w:t>
                  </w:r>
                </w:p>
              </w:tc>
              <w:tc>
                <w:tcPr>
                  <w:tcW w:w="649" w:type="dxa"/>
                  <w:vAlign w:val="bottom"/>
                </w:tcPr>
                <w:p w:rsidR="00915EBF" w:rsidRDefault="00915EBF" w:rsidP="00915EBF">
                  <w:pPr>
                    <w:pStyle w:val="TableBodyText"/>
                    <w:rPr>
                      <w:sz w:val="24"/>
                      <w:szCs w:val="24"/>
                    </w:rPr>
                  </w:pPr>
                  <w:r w:rsidRPr="00316786">
                    <w:t>13</w:t>
                  </w:r>
                </w:p>
              </w:tc>
              <w:tc>
                <w:tcPr>
                  <w:tcW w:w="650" w:type="dxa"/>
                  <w:vAlign w:val="bottom"/>
                </w:tcPr>
                <w:p w:rsidR="00915EBF" w:rsidRDefault="00915EBF" w:rsidP="00915EBF">
                  <w:pPr>
                    <w:pStyle w:val="TableBodyText"/>
                    <w:rPr>
                      <w:sz w:val="24"/>
                      <w:szCs w:val="24"/>
                    </w:rPr>
                  </w:pPr>
                  <w:r w:rsidRPr="00316786">
                    <w:t>13</w:t>
                  </w:r>
                </w:p>
              </w:tc>
              <w:tc>
                <w:tcPr>
                  <w:tcW w:w="649" w:type="dxa"/>
                  <w:vAlign w:val="bottom"/>
                </w:tcPr>
                <w:p w:rsidR="00915EBF" w:rsidRDefault="00915EBF" w:rsidP="00915EBF">
                  <w:pPr>
                    <w:pStyle w:val="TableBodyText"/>
                    <w:rPr>
                      <w:sz w:val="24"/>
                      <w:szCs w:val="24"/>
                    </w:rPr>
                  </w:pPr>
                  <w:r w:rsidRPr="00316786">
                    <w:t>27</w:t>
                  </w:r>
                </w:p>
              </w:tc>
              <w:tc>
                <w:tcPr>
                  <w:tcW w:w="650" w:type="dxa"/>
                  <w:vAlign w:val="bottom"/>
                </w:tcPr>
                <w:p w:rsidR="00915EBF" w:rsidRDefault="00915EBF" w:rsidP="00915EBF">
                  <w:pPr>
                    <w:pStyle w:val="TableBodyText"/>
                    <w:rPr>
                      <w:sz w:val="24"/>
                      <w:szCs w:val="24"/>
                    </w:rPr>
                  </w:pPr>
                  <w:r w:rsidRPr="00316786">
                    <w:t>45</w:t>
                  </w:r>
                </w:p>
              </w:tc>
              <w:tc>
                <w:tcPr>
                  <w:tcW w:w="650" w:type="dxa"/>
                  <w:vAlign w:val="bottom"/>
                </w:tcPr>
                <w:p w:rsidR="00915EBF" w:rsidRDefault="00915EBF" w:rsidP="00915EBF">
                  <w:pPr>
                    <w:pStyle w:val="TableBodyText"/>
                    <w:rPr>
                      <w:sz w:val="24"/>
                      <w:szCs w:val="24"/>
                    </w:rPr>
                  </w:pPr>
                  <w:r w:rsidRPr="00316786">
                    <w:t>26</w:t>
                  </w:r>
                </w:p>
              </w:tc>
            </w:tr>
            <w:tr w:rsidR="00915EBF" w:rsidRPr="00020C69" w:rsidTr="00D8717A">
              <w:tc>
                <w:tcPr>
                  <w:tcW w:w="2091" w:type="dxa"/>
                </w:tcPr>
                <w:p w:rsidR="00915EBF" w:rsidRPr="00A1493A" w:rsidRDefault="00915EBF" w:rsidP="00915EBF">
                  <w:pPr>
                    <w:pStyle w:val="TableBodyText"/>
                    <w:jc w:val="left"/>
                    <w:rPr>
                      <w:rStyle w:val="NoteLabel"/>
                    </w:rPr>
                  </w:pPr>
                  <w:r w:rsidRPr="00A1493A">
                    <w:t>Corrective services</w:t>
                  </w:r>
                </w:p>
              </w:tc>
              <w:tc>
                <w:tcPr>
                  <w:tcW w:w="550" w:type="dxa"/>
                  <w:vAlign w:val="bottom"/>
                </w:tcPr>
                <w:p w:rsidR="00915EBF" w:rsidRPr="00A1493A" w:rsidRDefault="00915EBF" w:rsidP="00915EBF">
                  <w:pPr>
                    <w:pStyle w:val="TableBodyText"/>
                    <w:ind w:left="0" w:right="0"/>
                  </w:pPr>
                  <w:r w:rsidRPr="00A1493A">
                    <w:t>$</w:t>
                  </w:r>
                </w:p>
              </w:tc>
              <w:tc>
                <w:tcPr>
                  <w:tcW w:w="649" w:type="dxa"/>
                  <w:vAlign w:val="bottom"/>
                </w:tcPr>
                <w:p w:rsidR="00915EBF" w:rsidRDefault="00915EBF" w:rsidP="00915EBF">
                  <w:pPr>
                    <w:pStyle w:val="TableBodyText"/>
                    <w:rPr>
                      <w:sz w:val="24"/>
                      <w:szCs w:val="24"/>
                    </w:rPr>
                  </w:pPr>
                  <w:r w:rsidRPr="00316786">
                    <w:t>164</w:t>
                  </w:r>
                </w:p>
              </w:tc>
              <w:tc>
                <w:tcPr>
                  <w:tcW w:w="650" w:type="dxa"/>
                  <w:vAlign w:val="bottom"/>
                </w:tcPr>
                <w:p w:rsidR="00915EBF" w:rsidRDefault="00915EBF" w:rsidP="00915EBF">
                  <w:pPr>
                    <w:pStyle w:val="TableBodyText"/>
                    <w:rPr>
                      <w:sz w:val="24"/>
                      <w:szCs w:val="24"/>
                    </w:rPr>
                  </w:pPr>
                  <w:r w:rsidRPr="00316786">
                    <w:t>184</w:t>
                  </w:r>
                </w:p>
              </w:tc>
              <w:tc>
                <w:tcPr>
                  <w:tcW w:w="649" w:type="dxa"/>
                  <w:vAlign w:val="bottom"/>
                </w:tcPr>
                <w:p w:rsidR="00915EBF" w:rsidRDefault="00915EBF" w:rsidP="00915EBF">
                  <w:pPr>
                    <w:pStyle w:val="TableBodyText"/>
                    <w:rPr>
                      <w:sz w:val="24"/>
                      <w:szCs w:val="24"/>
                    </w:rPr>
                  </w:pPr>
                  <w:r w:rsidRPr="00316786">
                    <w:t>187</w:t>
                  </w:r>
                </w:p>
              </w:tc>
              <w:tc>
                <w:tcPr>
                  <w:tcW w:w="650" w:type="dxa"/>
                  <w:vAlign w:val="bottom"/>
                </w:tcPr>
                <w:p w:rsidR="00915EBF" w:rsidRDefault="00915EBF" w:rsidP="00915EBF">
                  <w:pPr>
                    <w:pStyle w:val="TableBodyText"/>
                    <w:rPr>
                      <w:sz w:val="24"/>
                      <w:szCs w:val="24"/>
                    </w:rPr>
                  </w:pPr>
                  <w:r w:rsidRPr="00316786">
                    <w:t>320</w:t>
                  </w:r>
                </w:p>
              </w:tc>
              <w:tc>
                <w:tcPr>
                  <w:tcW w:w="649" w:type="dxa"/>
                  <w:vAlign w:val="bottom"/>
                </w:tcPr>
                <w:p w:rsidR="00915EBF" w:rsidRDefault="00915EBF" w:rsidP="00915EBF">
                  <w:pPr>
                    <w:pStyle w:val="TableBodyText"/>
                    <w:rPr>
                      <w:sz w:val="24"/>
                      <w:szCs w:val="24"/>
                    </w:rPr>
                  </w:pPr>
                  <w:r w:rsidRPr="00316786">
                    <w:t>196</w:t>
                  </w:r>
                </w:p>
              </w:tc>
              <w:tc>
                <w:tcPr>
                  <w:tcW w:w="650" w:type="dxa"/>
                  <w:vAlign w:val="bottom"/>
                </w:tcPr>
                <w:p w:rsidR="00915EBF" w:rsidRDefault="00915EBF" w:rsidP="00915EBF">
                  <w:pPr>
                    <w:pStyle w:val="TableBodyText"/>
                    <w:rPr>
                      <w:sz w:val="24"/>
                      <w:szCs w:val="24"/>
                    </w:rPr>
                  </w:pPr>
                  <w:r w:rsidRPr="00316786">
                    <w:t>181</w:t>
                  </w:r>
                </w:p>
              </w:tc>
              <w:tc>
                <w:tcPr>
                  <w:tcW w:w="649" w:type="dxa"/>
                  <w:vAlign w:val="bottom"/>
                </w:tcPr>
                <w:p w:rsidR="00915EBF" w:rsidRDefault="00915EBF" w:rsidP="00915EBF">
                  <w:pPr>
                    <w:pStyle w:val="TableBodyText"/>
                    <w:rPr>
                      <w:sz w:val="24"/>
                      <w:szCs w:val="24"/>
                    </w:rPr>
                  </w:pPr>
                  <w:r w:rsidRPr="00316786">
                    <w:t>209</w:t>
                  </w:r>
                </w:p>
              </w:tc>
              <w:tc>
                <w:tcPr>
                  <w:tcW w:w="650" w:type="dxa"/>
                  <w:vAlign w:val="bottom"/>
                </w:tcPr>
                <w:p w:rsidR="00915EBF" w:rsidRDefault="00915EBF" w:rsidP="00915EBF">
                  <w:pPr>
                    <w:pStyle w:val="TableBodyText"/>
                    <w:rPr>
                      <w:sz w:val="24"/>
                      <w:szCs w:val="24"/>
                    </w:rPr>
                  </w:pPr>
                  <w:r w:rsidRPr="00316786">
                    <w:t>861</w:t>
                  </w:r>
                </w:p>
              </w:tc>
              <w:tc>
                <w:tcPr>
                  <w:tcW w:w="650" w:type="dxa"/>
                  <w:vAlign w:val="bottom"/>
                </w:tcPr>
                <w:p w:rsidR="00915EBF" w:rsidRDefault="00915EBF" w:rsidP="00915EBF">
                  <w:pPr>
                    <w:pStyle w:val="TableBodyText"/>
                    <w:rPr>
                      <w:sz w:val="24"/>
                      <w:szCs w:val="24"/>
                    </w:rPr>
                  </w:pPr>
                  <w:r w:rsidRPr="00316786">
                    <w:t>201</w:t>
                  </w:r>
                </w:p>
              </w:tc>
            </w:tr>
            <w:tr w:rsidR="00915EBF" w:rsidRPr="00020C69" w:rsidTr="005857F8">
              <w:tc>
                <w:tcPr>
                  <w:tcW w:w="2091" w:type="dxa"/>
                </w:tcPr>
                <w:p w:rsidR="00915EBF" w:rsidRPr="00A1493A" w:rsidRDefault="00915EBF" w:rsidP="00915EBF">
                  <w:pPr>
                    <w:pStyle w:val="TableBodyText"/>
                    <w:spacing w:before="40"/>
                    <w:jc w:val="left"/>
                    <w:rPr>
                      <w:b/>
                    </w:rPr>
                  </w:pPr>
                  <w:r w:rsidRPr="00A1493A">
                    <w:rPr>
                      <w:b/>
                    </w:rPr>
                    <w:t>Total justice system</w:t>
                  </w:r>
                </w:p>
              </w:tc>
              <w:tc>
                <w:tcPr>
                  <w:tcW w:w="550" w:type="dxa"/>
                  <w:vAlign w:val="bottom"/>
                </w:tcPr>
                <w:p w:rsidR="00915EBF" w:rsidRPr="00A1493A" w:rsidRDefault="00915EBF" w:rsidP="00915EBF">
                  <w:pPr>
                    <w:pStyle w:val="TableBodyText"/>
                    <w:spacing w:before="40"/>
                    <w:ind w:left="0" w:right="0"/>
                    <w:rPr>
                      <w:b/>
                    </w:rPr>
                  </w:pPr>
                  <w:r w:rsidRPr="00A1493A">
                    <w:rPr>
                      <w:b/>
                    </w:rPr>
                    <w:t>$</w:t>
                  </w:r>
                </w:p>
              </w:tc>
              <w:tc>
                <w:tcPr>
                  <w:tcW w:w="649" w:type="dxa"/>
                  <w:shd w:val="clear" w:color="auto" w:fill="auto"/>
                  <w:vAlign w:val="bottom"/>
                </w:tcPr>
                <w:p w:rsidR="00915EBF" w:rsidRPr="00163512" w:rsidRDefault="00915EBF" w:rsidP="00915EBF">
                  <w:pPr>
                    <w:pStyle w:val="TableBodyText"/>
                    <w:rPr>
                      <w:b/>
                      <w:bCs/>
                      <w:sz w:val="24"/>
                      <w:szCs w:val="24"/>
                    </w:rPr>
                  </w:pPr>
                  <w:r w:rsidRPr="009F45A6">
                    <w:rPr>
                      <w:b/>
                    </w:rPr>
                    <w:t>655</w:t>
                  </w:r>
                </w:p>
              </w:tc>
              <w:tc>
                <w:tcPr>
                  <w:tcW w:w="650" w:type="dxa"/>
                  <w:shd w:val="clear" w:color="auto" w:fill="auto"/>
                  <w:vAlign w:val="bottom"/>
                </w:tcPr>
                <w:p w:rsidR="00915EBF" w:rsidRPr="00163512" w:rsidRDefault="00915EBF" w:rsidP="00915EBF">
                  <w:pPr>
                    <w:pStyle w:val="TableBodyText"/>
                    <w:rPr>
                      <w:b/>
                      <w:bCs/>
                      <w:sz w:val="24"/>
                      <w:szCs w:val="24"/>
                    </w:rPr>
                  </w:pPr>
                  <w:r w:rsidRPr="009F45A6">
                    <w:rPr>
                      <w:b/>
                    </w:rPr>
                    <w:t>67</w:t>
                  </w:r>
                  <w:r w:rsidR="00F60BBF">
                    <w:rPr>
                      <w:b/>
                    </w:rPr>
                    <w:t>2</w:t>
                  </w:r>
                </w:p>
              </w:tc>
              <w:tc>
                <w:tcPr>
                  <w:tcW w:w="649" w:type="dxa"/>
                  <w:shd w:val="clear" w:color="auto" w:fill="auto"/>
                  <w:vAlign w:val="bottom"/>
                </w:tcPr>
                <w:p w:rsidR="00915EBF" w:rsidRPr="00163512" w:rsidRDefault="00F60BBF" w:rsidP="00915EBF">
                  <w:pPr>
                    <w:pStyle w:val="TableBodyText"/>
                    <w:rPr>
                      <w:b/>
                      <w:bCs/>
                      <w:sz w:val="24"/>
                      <w:szCs w:val="24"/>
                    </w:rPr>
                  </w:pPr>
                  <w:r>
                    <w:rPr>
                      <w:b/>
                    </w:rPr>
                    <w:t>674</w:t>
                  </w:r>
                </w:p>
              </w:tc>
              <w:tc>
                <w:tcPr>
                  <w:tcW w:w="650" w:type="dxa"/>
                  <w:vAlign w:val="bottom"/>
                </w:tcPr>
                <w:p w:rsidR="00915EBF" w:rsidRPr="00163512" w:rsidRDefault="00915EBF" w:rsidP="00915EBF">
                  <w:pPr>
                    <w:pStyle w:val="TableBodyText"/>
                    <w:rPr>
                      <w:b/>
                      <w:bCs/>
                      <w:sz w:val="24"/>
                      <w:szCs w:val="24"/>
                    </w:rPr>
                  </w:pPr>
                  <w:r w:rsidRPr="009F45A6">
                    <w:rPr>
                      <w:b/>
                    </w:rPr>
                    <w:t>918</w:t>
                  </w:r>
                </w:p>
              </w:tc>
              <w:tc>
                <w:tcPr>
                  <w:tcW w:w="649" w:type="dxa"/>
                  <w:vAlign w:val="bottom"/>
                </w:tcPr>
                <w:p w:rsidR="00915EBF" w:rsidRPr="00163512" w:rsidRDefault="00915EBF" w:rsidP="00915EBF">
                  <w:pPr>
                    <w:pStyle w:val="TableBodyText"/>
                    <w:rPr>
                      <w:b/>
                      <w:bCs/>
                      <w:sz w:val="24"/>
                      <w:szCs w:val="24"/>
                    </w:rPr>
                  </w:pPr>
                  <w:r w:rsidRPr="009F45A6">
                    <w:rPr>
                      <w:b/>
                    </w:rPr>
                    <w:t>682</w:t>
                  </w:r>
                </w:p>
              </w:tc>
              <w:tc>
                <w:tcPr>
                  <w:tcW w:w="650" w:type="dxa"/>
                  <w:vAlign w:val="bottom"/>
                </w:tcPr>
                <w:p w:rsidR="00915EBF" w:rsidRPr="00163512" w:rsidRDefault="00915EBF" w:rsidP="00915EBF">
                  <w:pPr>
                    <w:pStyle w:val="TableBodyText"/>
                    <w:rPr>
                      <w:b/>
                      <w:bCs/>
                      <w:sz w:val="24"/>
                      <w:szCs w:val="24"/>
                    </w:rPr>
                  </w:pPr>
                  <w:r w:rsidRPr="009F45A6">
                    <w:rPr>
                      <w:b/>
                    </w:rPr>
                    <w:t>642</w:t>
                  </w:r>
                </w:p>
              </w:tc>
              <w:tc>
                <w:tcPr>
                  <w:tcW w:w="649" w:type="dxa"/>
                  <w:vAlign w:val="bottom"/>
                </w:tcPr>
                <w:p w:rsidR="00915EBF" w:rsidRPr="00163512" w:rsidRDefault="00915EBF" w:rsidP="00915EBF">
                  <w:pPr>
                    <w:pStyle w:val="TableBodyText"/>
                    <w:rPr>
                      <w:b/>
                      <w:bCs/>
                      <w:sz w:val="24"/>
                      <w:szCs w:val="24"/>
                    </w:rPr>
                  </w:pPr>
                  <w:r w:rsidRPr="009F45A6">
                    <w:rPr>
                      <w:b/>
                    </w:rPr>
                    <w:t>711</w:t>
                  </w:r>
                </w:p>
              </w:tc>
              <w:tc>
                <w:tcPr>
                  <w:tcW w:w="650" w:type="dxa"/>
                  <w:shd w:val="clear" w:color="auto" w:fill="auto"/>
                  <w:vAlign w:val="bottom"/>
                </w:tcPr>
                <w:p w:rsidR="00915EBF" w:rsidRPr="00163512" w:rsidRDefault="00915EBF" w:rsidP="00915EBF">
                  <w:pPr>
                    <w:pStyle w:val="TableBodyText"/>
                    <w:rPr>
                      <w:b/>
                      <w:bCs/>
                      <w:sz w:val="24"/>
                      <w:szCs w:val="24"/>
                    </w:rPr>
                  </w:pPr>
                  <w:r w:rsidRPr="009F45A6">
                    <w:rPr>
                      <w:b/>
                    </w:rPr>
                    <w:t>2278</w:t>
                  </w:r>
                </w:p>
              </w:tc>
              <w:tc>
                <w:tcPr>
                  <w:tcW w:w="650" w:type="dxa"/>
                  <w:shd w:val="clear" w:color="auto" w:fill="auto"/>
                  <w:vAlign w:val="bottom"/>
                </w:tcPr>
                <w:p w:rsidR="00915EBF" w:rsidRPr="00163512" w:rsidRDefault="00915EBF" w:rsidP="00915EBF">
                  <w:pPr>
                    <w:pStyle w:val="TableBodyText"/>
                    <w:rPr>
                      <w:b/>
                      <w:bCs/>
                      <w:sz w:val="24"/>
                      <w:szCs w:val="24"/>
                    </w:rPr>
                  </w:pPr>
                  <w:r w:rsidRPr="009F45A6">
                    <w:rPr>
                      <w:b/>
                    </w:rPr>
                    <w:t>7</w:t>
                  </w:r>
                  <w:r w:rsidR="00F60BBF">
                    <w:rPr>
                      <w:b/>
                    </w:rPr>
                    <w:t>19</w:t>
                  </w:r>
                </w:p>
              </w:tc>
            </w:tr>
            <w:tr w:rsidR="00915EBF" w:rsidRPr="00020C69" w:rsidTr="005857F8">
              <w:tc>
                <w:tcPr>
                  <w:tcW w:w="2091" w:type="dxa"/>
                </w:tcPr>
                <w:p w:rsidR="00915EBF" w:rsidRPr="00A1493A" w:rsidRDefault="00915EBF" w:rsidP="00915EBF">
                  <w:pPr>
                    <w:pStyle w:val="TableBodyText"/>
                    <w:spacing w:before="120"/>
                    <w:jc w:val="left"/>
                    <w:rPr>
                      <w:rStyle w:val="NoteLabel"/>
                    </w:rPr>
                  </w:pPr>
                  <w:r w:rsidRPr="00A1493A">
                    <w:t>Police services</w:t>
                  </w:r>
                </w:p>
              </w:tc>
              <w:tc>
                <w:tcPr>
                  <w:tcW w:w="550" w:type="dxa"/>
                  <w:vAlign w:val="bottom"/>
                </w:tcPr>
                <w:p w:rsidR="00915EBF" w:rsidRPr="00A1493A" w:rsidRDefault="00915EBF" w:rsidP="00915EBF">
                  <w:pPr>
                    <w:pStyle w:val="TableBodyText"/>
                    <w:spacing w:before="120"/>
                    <w:ind w:left="0" w:right="0"/>
                  </w:pPr>
                  <w:r w:rsidRPr="00A1493A">
                    <w:t>%</w:t>
                  </w:r>
                </w:p>
              </w:tc>
              <w:tc>
                <w:tcPr>
                  <w:tcW w:w="649" w:type="dxa"/>
                  <w:vAlign w:val="bottom"/>
                </w:tcPr>
                <w:p w:rsidR="00915EBF" w:rsidRDefault="00915EBF" w:rsidP="00915EBF">
                  <w:pPr>
                    <w:pStyle w:val="TableBodyText"/>
                    <w:rPr>
                      <w:sz w:val="24"/>
                      <w:szCs w:val="24"/>
                    </w:rPr>
                  </w:pPr>
                  <w:r w:rsidRPr="00915EBF">
                    <w:t>68.9</w:t>
                  </w:r>
                </w:p>
              </w:tc>
              <w:tc>
                <w:tcPr>
                  <w:tcW w:w="650" w:type="dxa"/>
                  <w:vAlign w:val="bottom"/>
                </w:tcPr>
                <w:p w:rsidR="00915EBF" w:rsidRDefault="00915EBF" w:rsidP="00915EBF">
                  <w:pPr>
                    <w:pStyle w:val="TableBodyText"/>
                    <w:rPr>
                      <w:sz w:val="24"/>
                      <w:szCs w:val="24"/>
                    </w:rPr>
                  </w:pPr>
                  <w:r w:rsidRPr="00915EBF">
                    <w:t>64.4</w:t>
                  </w:r>
                </w:p>
              </w:tc>
              <w:tc>
                <w:tcPr>
                  <w:tcW w:w="649" w:type="dxa"/>
                  <w:shd w:val="clear" w:color="auto" w:fill="auto"/>
                  <w:vAlign w:val="bottom"/>
                </w:tcPr>
                <w:p w:rsidR="00915EBF" w:rsidRDefault="00915EBF" w:rsidP="006329E8">
                  <w:pPr>
                    <w:pStyle w:val="TableBodyText"/>
                    <w:rPr>
                      <w:sz w:val="24"/>
                      <w:szCs w:val="24"/>
                    </w:rPr>
                  </w:pPr>
                  <w:r w:rsidRPr="00915EBF">
                    <w:t>6</w:t>
                  </w:r>
                  <w:r w:rsidR="00B324E9">
                    <w:t>6</w:t>
                  </w:r>
                  <w:r w:rsidRPr="00915EBF">
                    <w:t>.</w:t>
                  </w:r>
                  <w:r w:rsidR="00B324E9">
                    <w:t>0</w:t>
                  </w:r>
                </w:p>
              </w:tc>
              <w:tc>
                <w:tcPr>
                  <w:tcW w:w="650" w:type="dxa"/>
                  <w:vAlign w:val="bottom"/>
                </w:tcPr>
                <w:p w:rsidR="00915EBF" w:rsidRDefault="00915EBF" w:rsidP="00915EBF">
                  <w:pPr>
                    <w:pStyle w:val="TableBodyText"/>
                    <w:rPr>
                      <w:sz w:val="24"/>
                      <w:szCs w:val="24"/>
                    </w:rPr>
                  </w:pPr>
                  <w:r w:rsidRPr="00915EBF">
                    <w:t>56.8</w:t>
                  </w:r>
                </w:p>
              </w:tc>
              <w:tc>
                <w:tcPr>
                  <w:tcW w:w="649" w:type="dxa"/>
                  <w:vAlign w:val="bottom"/>
                </w:tcPr>
                <w:p w:rsidR="00915EBF" w:rsidRDefault="00915EBF" w:rsidP="00915EBF">
                  <w:pPr>
                    <w:pStyle w:val="TableBodyText"/>
                    <w:rPr>
                      <w:sz w:val="24"/>
                      <w:szCs w:val="24"/>
                    </w:rPr>
                  </w:pPr>
                  <w:r w:rsidRPr="00915EBF">
                    <w:t>63.2</w:t>
                  </w:r>
                </w:p>
              </w:tc>
              <w:tc>
                <w:tcPr>
                  <w:tcW w:w="650" w:type="dxa"/>
                  <w:vAlign w:val="bottom"/>
                </w:tcPr>
                <w:p w:rsidR="00915EBF" w:rsidRDefault="00915EBF" w:rsidP="00915EBF">
                  <w:pPr>
                    <w:pStyle w:val="TableBodyText"/>
                    <w:rPr>
                      <w:sz w:val="24"/>
                      <w:szCs w:val="24"/>
                    </w:rPr>
                  </w:pPr>
                  <w:r w:rsidRPr="00915EBF">
                    <w:t>64.7</w:t>
                  </w:r>
                </w:p>
              </w:tc>
              <w:tc>
                <w:tcPr>
                  <w:tcW w:w="649" w:type="dxa"/>
                  <w:vAlign w:val="bottom"/>
                </w:tcPr>
                <w:p w:rsidR="00915EBF" w:rsidRDefault="00915EBF" w:rsidP="00915EBF">
                  <w:pPr>
                    <w:pStyle w:val="TableBodyText"/>
                    <w:rPr>
                      <w:sz w:val="24"/>
                      <w:szCs w:val="24"/>
                    </w:rPr>
                  </w:pPr>
                  <w:r w:rsidRPr="00915EBF">
                    <w:t>60.0</w:t>
                  </w:r>
                </w:p>
              </w:tc>
              <w:tc>
                <w:tcPr>
                  <w:tcW w:w="650" w:type="dxa"/>
                  <w:vAlign w:val="bottom"/>
                </w:tcPr>
                <w:p w:rsidR="00915EBF" w:rsidRDefault="00915EBF" w:rsidP="00915EBF">
                  <w:pPr>
                    <w:pStyle w:val="TableBodyText"/>
                    <w:rPr>
                      <w:sz w:val="24"/>
                      <w:szCs w:val="24"/>
                    </w:rPr>
                  </w:pPr>
                  <w:r w:rsidRPr="00915EBF">
                    <w:t>55.2</w:t>
                  </w:r>
                </w:p>
              </w:tc>
              <w:tc>
                <w:tcPr>
                  <w:tcW w:w="650" w:type="dxa"/>
                  <w:shd w:val="clear" w:color="auto" w:fill="auto"/>
                  <w:vAlign w:val="bottom"/>
                </w:tcPr>
                <w:p w:rsidR="00915EBF" w:rsidRDefault="00915EBF" w:rsidP="006329E8">
                  <w:pPr>
                    <w:pStyle w:val="TableBodyText"/>
                    <w:rPr>
                      <w:sz w:val="24"/>
                      <w:szCs w:val="24"/>
                    </w:rPr>
                  </w:pPr>
                  <w:r w:rsidRPr="00915EBF">
                    <w:t>6</w:t>
                  </w:r>
                  <w:r w:rsidR="009B3D03">
                    <w:t>3</w:t>
                  </w:r>
                  <w:r w:rsidRPr="00915EBF">
                    <w:t>.</w:t>
                  </w:r>
                  <w:r w:rsidR="009B3D03">
                    <w:t>8</w:t>
                  </w:r>
                </w:p>
              </w:tc>
            </w:tr>
            <w:tr w:rsidR="00915EBF" w:rsidRPr="00020C69" w:rsidTr="005857F8">
              <w:tc>
                <w:tcPr>
                  <w:tcW w:w="2091" w:type="dxa"/>
                </w:tcPr>
                <w:p w:rsidR="00915EBF" w:rsidRPr="00A1493A" w:rsidRDefault="00915EBF" w:rsidP="00915EBF">
                  <w:pPr>
                    <w:pStyle w:val="TableBodyText"/>
                    <w:jc w:val="left"/>
                    <w:rPr>
                      <w:rStyle w:val="NoteLabel"/>
                    </w:rPr>
                  </w:pPr>
                  <w:r w:rsidRPr="00A1493A">
                    <w:t>Court</w:t>
                  </w:r>
                  <w:r>
                    <w:t>s</w:t>
                  </w:r>
                  <w:r w:rsidRPr="00A1493A">
                    <w:t xml:space="preserve"> — criminal</w:t>
                  </w:r>
                </w:p>
              </w:tc>
              <w:tc>
                <w:tcPr>
                  <w:tcW w:w="550" w:type="dxa"/>
                  <w:vAlign w:val="bottom"/>
                </w:tcPr>
                <w:p w:rsidR="00915EBF" w:rsidRPr="00A1493A" w:rsidRDefault="00915EBF" w:rsidP="00915EBF">
                  <w:pPr>
                    <w:pStyle w:val="TableBodyText"/>
                    <w:ind w:left="0" w:right="0"/>
                  </w:pPr>
                  <w:r w:rsidRPr="00A1493A">
                    <w:t>%</w:t>
                  </w:r>
                </w:p>
              </w:tc>
              <w:tc>
                <w:tcPr>
                  <w:tcW w:w="649" w:type="dxa"/>
                  <w:vAlign w:val="bottom"/>
                </w:tcPr>
                <w:p w:rsidR="00915EBF" w:rsidRDefault="00915EBF" w:rsidP="00915EBF">
                  <w:pPr>
                    <w:pStyle w:val="TableBodyText"/>
                    <w:rPr>
                      <w:sz w:val="24"/>
                      <w:szCs w:val="24"/>
                    </w:rPr>
                  </w:pPr>
                  <w:r w:rsidRPr="00915EBF">
                    <w:t>4.2</w:t>
                  </w:r>
                </w:p>
              </w:tc>
              <w:tc>
                <w:tcPr>
                  <w:tcW w:w="650" w:type="dxa"/>
                  <w:shd w:val="clear" w:color="auto" w:fill="auto"/>
                  <w:vAlign w:val="bottom"/>
                </w:tcPr>
                <w:p w:rsidR="00915EBF" w:rsidRDefault="00915EBF" w:rsidP="00915EBF">
                  <w:pPr>
                    <w:pStyle w:val="TableBodyText"/>
                    <w:rPr>
                      <w:sz w:val="24"/>
                      <w:szCs w:val="24"/>
                    </w:rPr>
                  </w:pPr>
                  <w:r w:rsidRPr="00915EBF">
                    <w:t>5.</w:t>
                  </w:r>
                  <w:r w:rsidR="00B324E9">
                    <w:t>2</w:t>
                  </w:r>
                </w:p>
              </w:tc>
              <w:tc>
                <w:tcPr>
                  <w:tcW w:w="649" w:type="dxa"/>
                  <w:shd w:val="clear" w:color="auto" w:fill="auto"/>
                  <w:vAlign w:val="bottom"/>
                </w:tcPr>
                <w:p w:rsidR="00915EBF" w:rsidRDefault="00B324E9" w:rsidP="00915EBF">
                  <w:pPr>
                    <w:pStyle w:val="TableBodyText"/>
                    <w:rPr>
                      <w:sz w:val="24"/>
                      <w:szCs w:val="24"/>
                    </w:rPr>
                  </w:pPr>
                  <w:r>
                    <w:t>4</w:t>
                  </w:r>
                  <w:r w:rsidR="00915EBF" w:rsidRPr="00915EBF">
                    <w:t>.</w:t>
                  </w:r>
                  <w:r>
                    <w:t>7</w:t>
                  </w:r>
                </w:p>
              </w:tc>
              <w:tc>
                <w:tcPr>
                  <w:tcW w:w="650" w:type="dxa"/>
                  <w:vAlign w:val="bottom"/>
                </w:tcPr>
                <w:p w:rsidR="00915EBF" w:rsidRDefault="00915EBF" w:rsidP="00915EBF">
                  <w:pPr>
                    <w:pStyle w:val="TableBodyText"/>
                    <w:rPr>
                      <w:sz w:val="24"/>
                      <w:szCs w:val="24"/>
                    </w:rPr>
                  </w:pPr>
                  <w:r w:rsidRPr="00915EBF">
                    <w:t>5.0</w:t>
                  </w:r>
                </w:p>
              </w:tc>
              <w:tc>
                <w:tcPr>
                  <w:tcW w:w="649" w:type="dxa"/>
                  <w:vAlign w:val="bottom"/>
                </w:tcPr>
                <w:p w:rsidR="00915EBF" w:rsidRDefault="00915EBF" w:rsidP="00915EBF">
                  <w:pPr>
                    <w:pStyle w:val="TableBodyText"/>
                    <w:rPr>
                      <w:sz w:val="24"/>
                      <w:szCs w:val="24"/>
                    </w:rPr>
                  </w:pPr>
                  <w:r w:rsidRPr="00915EBF">
                    <w:t>6.2</w:t>
                  </w:r>
                </w:p>
              </w:tc>
              <w:tc>
                <w:tcPr>
                  <w:tcW w:w="650" w:type="dxa"/>
                  <w:vAlign w:val="bottom"/>
                </w:tcPr>
                <w:p w:rsidR="00915EBF" w:rsidRDefault="00915EBF" w:rsidP="00915EBF">
                  <w:pPr>
                    <w:pStyle w:val="TableBodyText"/>
                    <w:rPr>
                      <w:sz w:val="24"/>
                      <w:szCs w:val="24"/>
                    </w:rPr>
                  </w:pPr>
                  <w:r w:rsidRPr="00915EBF">
                    <w:t>5.0</w:t>
                  </w:r>
                </w:p>
              </w:tc>
              <w:tc>
                <w:tcPr>
                  <w:tcW w:w="649" w:type="dxa"/>
                  <w:vAlign w:val="bottom"/>
                </w:tcPr>
                <w:p w:rsidR="00915EBF" w:rsidRDefault="00915EBF" w:rsidP="00915EBF">
                  <w:pPr>
                    <w:pStyle w:val="TableBodyText"/>
                    <w:rPr>
                      <w:sz w:val="24"/>
                      <w:szCs w:val="24"/>
                    </w:rPr>
                  </w:pPr>
                  <w:r w:rsidRPr="00915EBF">
                    <w:t>6.7</w:t>
                  </w:r>
                </w:p>
              </w:tc>
              <w:tc>
                <w:tcPr>
                  <w:tcW w:w="650" w:type="dxa"/>
                  <w:vAlign w:val="bottom"/>
                </w:tcPr>
                <w:p w:rsidR="00915EBF" w:rsidRDefault="00915EBF" w:rsidP="00915EBF">
                  <w:pPr>
                    <w:pStyle w:val="TableBodyText"/>
                    <w:rPr>
                      <w:sz w:val="24"/>
                      <w:szCs w:val="24"/>
                    </w:rPr>
                  </w:pPr>
                  <w:r w:rsidRPr="00915EBF">
                    <w:t>5.0</w:t>
                  </w:r>
                </w:p>
              </w:tc>
              <w:tc>
                <w:tcPr>
                  <w:tcW w:w="650" w:type="dxa"/>
                  <w:shd w:val="clear" w:color="auto" w:fill="auto"/>
                  <w:vAlign w:val="bottom"/>
                </w:tcPr>
                <w:p w:rsidR="00915EBF" w:rsidRDefault="00915EBF" w:rsidP="00915EBF">
                  <w:pPr>
                    <w:pStyle w:val="TableBodyText"/>
                    <w:rPr>
                      <w:sz w:val="24"/>
                      <w:szCs w:val="24"/>
                    </w:rPr>
                  </w:pPr>
                  <w:r w:rsidRPr="00915EBF">
                    <w:t>4.</w:t>
                  </w:r>
                  <w:r w:rsidR="009B3D03">
                    <w:t>8</w:t>
                  </w:r>
                </w:p>
              </w:tc>
            </w:tr>
            <w:tr w:rsidR="00915EBF" w:rsidRPr="00020C69" w:rsidTr="005857F8">
              <w:tc>
                <w:tcPr>
                  <w:tcW w:w="2091" w:type="dxa"/>
                </w:tcPr>
                <w:p w:rsidR="00915EBF" w:rsidRPr="00A1493A" w:rsidRDefault="00915EBF" w:rsidP="00915EBF">
                  <w:pPr>
                    <w:pStyle w:val="TableBodyText"/>
                    <w:jc w:val="left"/>
                    <w:rPr>
                      <w:rStyle w:val="NoteLabel"/>
                    </w:rPr>
                  </w:pPr>
                  <w:r w:rsidRPr="00A1493A">
                    <w:t>Court</w:t>
                  </w:r>
                  <w:r>
                    <w:t>s</w:t>
                  </w:r>
                  <w:r w:rsidRPr="00A1493A">
                    <w:t xml:space="preserve"> — civil</w:t>
                  </w:r>
                </w:p>
              </w:tc>
              <w:tc>
                <w:tcPr>
                  <w:tcW w:w="550" w:type="dxa"/>
                  <w:vAlign w:val="bottom"/>
                </w:tcPr>
                <w:p w:rsidR="00915EBF" w:rsidRPr="00A1493A" w:rsidRDefault="00915EBF" w:rsidP="00915EBF">
                  <w:pPr>
                    <w:pStyle w:val="TableBodyText"/>
                    <w:ind w:left="0" w:right="0"/>
                  </w:pPr>
                  <w:r w:rsidRPr="00A1493A">
                    <w:t>%</w:t>
                  </w:r>
                </w:p>
              </w:tc>
              <w:tc>
                <w:tcPr>
                  <w:tcW w:w="649" w:type="dxa"/>
                  <w:vAlign w:val="bottom"/>
                </w:tcPr>
                <w:p w:rsidR="00915EBF" w:rsidRDefault="00915EBF" w:rsidP="00915EBF">
                  <w:pPr>
                    <w:pStyle w:val="TableBodyText"/>
                    <w:rPr>
                      <w:sz w:val="24"/>
                      <w:szCs w:val="24"/>
                    </w:rPr>
                  </w:pPr>
                  <w:r w:rsidRPr="00915EBF">
                    <w:t>1.9</w:t>
                  </w:r>
                </w:p>
              </w:tc>
              <w:tc>
                <w:tcPr>
                  <w:tcW w:w="650" w:type="dxa"/>
                  <w:shd w:val="clear" w:color="auto" w:fill="auto"/>
                  <w:vAlign w:val="bottom"/>
                </w:tcPr>
                <w:p w:rsidR="00915EBF" w:rsidRDefault="00915EBF" w:rsidP="00915EBF">
                  <w:pPr>
                    <w:pStyle w:val="TableBodyText"/>
                    <w:rPr>
                      <w:sz w:val="24"/>
                      <w:szCs w:val="24"/>
                    </w:rPr>
                  </w:pPr>
                  <w:r w:rsidRPr="00915EBF">
                    <w:t>3.</w:t>
                  </w:r>
                  <w:r w:rsidR="00B324E9">
                    <w:t>0</w:t>
                  </w:r>
                </w:p>
              </w:tc>
              <w:tc>
                <w:tcPr>
                  <w:tcW w:w="649" w:type="dxa"/>
                  <w:shd w:val="clear" w:color="auto" w:fill="auto"/>
                  <w:vAlign w:val="bottom"/>
                </w:tcPr>
                <w:p w:rsidR="00915EBF" w:rsidRDefault="00915EBF" w:rsidP="006329E8">
                  <w:pPr>
                    <w:pStyle w:val="TableBodyText"/>
                    <w:rPr>
                      <w:sz w:val="24"/>
                      <w:szCs w:val="24"/>
                    </w:rPr>
                  </w:pPr>
                  <w:r w:rsidRPr="00915EBF">
                    <w:t>1.</w:t>
                  </w:r>
                  <w:r w:rsidR="00B324E9">
                    <w:t>5</w:t>
                  </w:r>
                </w:p>
              </w:tc>
              <w:tc>
                <w:tcPr>
                  <w:tcW w:w="650" w:type="dxa"/>
                  <w:vAlign w:val="bottom"/>
                </w:tcPr>
                <w:p w:rsidR="00915EBF" w:rsidRDefault="00915EBF" w:rsidP="00915EBF">
                  <w:pPr>
                    <w:pStyle w:val="TableBodyText"/>
                    <w:rPr>
                      <w:sz w:val="24"/>
                      <w:szCs w:val="24"/>
                    </w:rPr>
                  </w:pPr>
                  <w:r w:rsidRPr="00915EBF">
                    <w:t>3.3</w:t>
                  </w:r>
                </w:p>
              </w:tc>
              <w:tc>
                <w:tcPr>
                  <w:tcW w:w="649" w:type="dxa"/>
                  <w:vAlign w:val="bottom"/>
                </w:tcPr>
                <w:p w:rsidR="00915EBF" w:rsidRDefault="00915EBF" w:rsidP="00915EBF">
                  <w:pPr>
                    <w:pStyle w:val="TableBodyText"/>
                    <w:rPr>
                      <w:sz w:val="24"/>
                      <w:szCs w:val="24"/>
                    </w:rPr>
                  </w:pPr>
                  <w:r w:rsidRPr="00915EBF">
                    <w:t>1.9</w:t>
                  </w:r>
                </w:p>
              </w:tc>
              <w:tc>
                <w:tcPr>
                  <w:tcW w:w="650" w:type="dxa"/>
                  <w:vAlign w:val="bottom"/>
                </w:tcPr>
                <w:p w:rsidR="00915EBF" w:rsidRDefault="00915EBF" w:rsidP="00915EBF">
                  <w:pPr>
                    <w:pStyle w:val="TableBodyText"/>
                    <w:rPr>
                      <w:sz w:val="24"/>
                      <w:szCs w:val="24"/>
                    </w:rPr>
                  </w:pPr>
                  <w:r w:rsidRPr="00915EBF">
                    <w:t>2.1</w:t>
                  </w:r>
                </w:p>
              </w:tc>
              <w:tc>
                <w:tcPr>
                  <w:tcW w:w="649" w:type="dxa"/>
                  <w:vAlign w:val="bottom"/>
                </w:tcPr>
                <w:p w:rsidR="00915EBF" w:rsidRDefault="00915EBF" w:rsidP="00915EBF">
                  <w:pPr>
                    <w:pStyle w:val="TableBodyText"/>
                    <w:rPr>
                      <w:sz w:val="24"/>
                      <w:szCs w:val="24"/>
                    </w:rPr>
                  </w:pPr>
                  <w:r w:rsidRPr="00915EBF">
                    <w:t>3.9</w:t>
                  </w:r>
                </w:p>
              </w:tc>
              <w:tc>
                <w:tcPr>
                  <w:tcW w:w="650" w:type="dxa"/>
                  <w:vAlign w:val="bottom"/>
                </w:tcPr>
                <w:p w:rsidR="00915EBF" w:rsidRDefault="00915EBF" w:rsidP="00915EBF">
                  <w:pPr>
                    <w:pStyle w:val="TableBodyText"/>
                    <w:rPr>
                      <w:sz w:val="24"/>
                      <w:szCs w:val="24"/>
                    </w:rPr>
                  </w:pPr>
                  <w:r w:rsidRPr="00915EBF">
                    <w:t>2.0</w:t>
                  </w:r>
                </w:p>
              </w:tc>
              <w:tc>
                <w:tcPr>
                  <w:tcW w:w="650" w:type="dxa"/>
                  <w:shd w:val="clear" w:color="auto" w:fill="auto"/>
                  <w:vAlign w:val="bottom"/>
                </w:tcPr>
                <w:p w:rsidR="00915EBF" w:rsidRDefault="00915EBF" w:rsidP="00915EBF">
                  <w:pPr>
                    <w:pStyle w:val="TableBodyText"/>
                    <w:rPr>
                      <w:sz w:val="24"/>
                      <w:szCs w:val="24"/>
                    </w:rPr>
                  </w:pPr>
                  <w:r w:rsidRPr="00915EBF">
                    <w:t>3.</w:t>
                  </w:r>
                  <w:r w:rsidR="009B3D03">
                    <w:t>5</w:t>
                  </w:r>
                </w:p>
              </w:tc>
            </w:tr>
            <w:tr w:rsidR="00915EBF" w:rsidRPr="00020C69" w:rsidTr="005857F8">
              <w:tc>
                <w:tcPr>
                  <w:tcW w:w="2091" w:type="dxa"/>
                </w:tcPr>
                <w:p w:rsidR="00915EBF" w:rsidRPr="00A1493A" w:rsidRDefault="00915EBF" w:rsidP="00915EBF">
                  <w:pPr>
                    <w:pStyle w:val="TableBodyText"/>
                    <w:jc w:val="left"/>
                    <w:rPr>
                      <w:rStyle w:val="NoteLabel"/>
                    </w:rPr>
                  </w:pPr>
                  <w:r w:rsidRPr="00A1493A">
                    <w:t>Corrective services</w:t>
                  </w:r>
                </w:p>
              </w:tc>
              <w:tc>
                <w:tcPr>
                  <w:tcW w:w="550" w:type="dxa"/>
                  <w:vAlign w:val="bottom"/>
                </w:tcPr>
                <w:p w:rsidR="00915EBF" w:rsidRPr="00A1493A" w:rsidRDefault="00915EBF" w:rsidP="00915EBF">
                  <w:pPr>
                    <w:pStyle w:val="TableBodyText"/>
                    <w:ind w:left="0" w:right="0"/>
                  </w:pPr>
                  <w:r w:rsidRPr="00A1493A">
                    <w:t>%</w:t>
                  </w:r>
                </w:p>
              </w:tc>
              <w:tc>
                <w:tcPr>
                  <w:tcW w:w="649" w:type="dxa"/>
                  <w:vAlign w:val="bottom"/>
                </w:tcPr>
                <w:p w:rsidR="00915EBF" w:rsidRDefault="00915EBF" w:rsidP="00915EBF">
                  <w:pPr>
                    <w:pStyle w:val="TableBodyText"/>
                    <w:rPr>
                      <w:sz w:val="24"/>
                      <w:szCs w:val="24"/>
                    </w:rPr>
                  </w:pPr>
                  <w:r w:rsidRPr="00915EBF">
                    <w:t>25.1</w:t>
                  </w:r>
                </w:p>
              </w:tc>
              <w:tc>
                <w:tcPr>
                  <w:tcW w:w="650" w:type="dxa"/>
                  <w:vAlign w:val="bottom"/>
                </w:tcPr>
                <w:p w:rsidR="00915EBF" w:rsidRDefault="00915EBF" w:rsidP="00915EBF">
                  <w:pPr>
                    <w:pStyle w:val="TableBodyText"/>
                    <w:rPr>
                      <w:sz w:val="24"/>
                      <w:szCs w:val="24"/>
                    </w:rPr>
                  </w:pPr>
                  <w:r w:rsidRPr="00915EBF">
                    <w:t>27.4</w:t>
                  </w:r>
                </w:p>
              </w:tc>
              <w:tc>
                <w:tcPr>
                  <w:tcW w:w="649" w:type="dxa"/>
                  <w:shd w:val="clear" w:color="auto" w:fill="auto"/>
                  <w:vAlign w:val="bottom"/>
                </w:tcPr>
                <w:p w:rsidR="00915EBF" w:rsidRDefault="00B324E9" w:rsidP="00915EBF">
                  <w:pPr>
                    <w:pStyle w:val="TableBodyText"/>
                    <w:rPr>
                      <w:sz w:val="24"/>
                      <w:szCs w:val="24"/>
                    </w:rPr>
                  </w:pPr>
                  <w:r>
                    <w:t>27</w:t>
                  </w:r>
                  <w:r w:rsidR="00915EBF" w:rsidRPr="00915EBF">
                    <w:t>.7</w:t>
                  </w:r>
                </w:p>
              </w:tc>
              <w:tc>
                <w:tcPr>
                  <w:tcW w:w="650" w:type="dxa"/>
                  <w:vAlign w:val="bottom"/>
                </w:tcPr>
                <w:p w:rsidR="00915EBF" w:rsidRDefault="00915EBF" w:rsidP="00915EBF">
                  <w:pPr>
                    <w:pStyle w:val="TableBodyText"/>
                    <w:rPr>
                      <w:sz w:val="24"/>
                      <w:szCs w:val="24"/>
                    </w:rPr>
                  </w:pPr>
                  <w:r w:rsidRPr="00915EBF">
                    <w:t>34.8</w:t>
                  </w:r>
                </w:p>
              </w:tc>
              <w:tc>
                <w:tcPr>
                  <w:tcW w:w="649" w:type="dxa"/>
                  <w:vAlign w:val="bottom"/>
                </w:tcPr>
                <w:p w:rsidR="00915EBF" w:rsidRDefault="00915EBF" w:rsidP="00915EBF">
                  <w:pPr>
                    <w:pStyle w:val="TableBodyText"/>
                    <w:rPr>
                      <w:sz w:val="24"/>
                      <w:szCs w:val="24"/>
                    </w:rPr>
                  </w:pPr>
                  <w:r w:rsidRPr="00915EBF">
                    <w:t>28.7</w:t>
                  </w:r>
                </w:p>
              </w:tc>
              <w:tc>
                <w:tcPr>
                  <w:tcW w:w="650" w:type="dxa"/>
                  <w:vAlign w:val="bottom"/>
                </w:tcPr>
                <w:p w:rsidR="00915EBF" w:rsidRDefault="00915EBF" w:rsidP="00915EBF">
                  <w:pPr>
                    <w:pStyle w:val="TableBodyText"/>
                    <w:rPr>
                      <w:sz w:val="24"/>
                      <w:szCs w:val="24"/>
                    </w:rPr>
                  </w:pPr>
                  <w:r w:rsidRPr="00915EBF">
                    <w:t>28.2</w:t>
                  </w:r>
                </w:p>
              </w:tc>
              <w:tc>
                <w:tcPr>
                  <w:tcW w:w="649" w:type="dxa"/>
                  <w:vAlign w:val="bottom"/>
                </w:tcPr>
                <w:p w:rsidR="00915EBF" w:rsidRDefault="00915EBF" w:rsidP="00915EBF">
                  <w:pPr>
                    <w:pStyle w:val="TableBodyText"/>
                    <w:rPr>
                      <w:sz w:val="24"/>
                      <w:szCs w:val="24"/>
                    </w:rPr>
                  </w:pPr>
                  <w:r w:rsidRPr="00915EBF">
                    <w:t>29.4</w:t>
                  </w:r>
                </w:p>
              </w:tc>
              <w:tc>
                <w:tcPr>
                  <w:tcW w:w="650" w:type="dxa"/>
                  <w:vAlign w:val="bottom"/>
                </w:tcPr>
                <w:p w:rsidR="00915EBF" w:rsidRDefault="00915EBF" w:rsidP="00915EBF">
                  <w:pPr>
                    <w:pStyle w:val="TableBodyText"/>
                    <w:rPr>
                      <w:sz w:val="24"/>
                      <w:szCs w:val="24"/>
                    </w:rPr>
                  </w:pPr>
                  <w:r w:rsidRPr="00915EBF">
                    <w:t>37.8</w:t>
                  </w:r>
                </w:p>
              </w:tc>
              <w:tc>
                <w:tcPr>
                  <w:tcW w:w="650" w:type="dxa"/>
                  <w:shd w:val="clear" w:color="auto" w:fill="auto"/>
                  <w:vAlign w:val="bottom"/>
                </w:tcPr>
                <w:p w:rsidR="00915EBF" w:rsidRDefault="00915EBF" w:rsidP="00915EBF">
                  <w:pPr>
                    <w:pStyle w:val="TableBodyText"/>
                    <w:rPr>
                      <w:sz w:val="24"/>
                      <w:szCs w:val="24"/>
                    </w:rPr>
                  </w:pPr>
                  <w:r w:rsidRPr="00915EBF">
                    <w:t>2</w:t>
                  </w:r>
                  <w:r w:rsidR="009B3D03">
                    <w:t>7</w:t>
                  </w:r>
                  <w:r w:rsidRPr="00915EBF">
                    <w:t>.</w:t>
                  </w:r>
                  <w:r w:rsidR="009B3D03">
                    <w:t>9</w:t>
                  </w:r>
                </w:p>
              </w:tc>
            </w:tr>
            <w:tr w:rsidR="00915EBF" w:rsidRPr="00BF68F5" w:rsidTr="00D8717A">
              <w:tc>
                <w:tcPr>
                  <w:tcW w:w="2091" w:type="dxa"/>
                  <w:tcBorders>
                    <w:bottom w:val="single" w:sz="4" w:space="0" w:color="BFBFBF"/>
                  </w:tcBorders>
                </w:tcPr>
                <w:p w:rsidR="00915EBF" w:rsidRPr="00A1493A" w:rsidRDefault="00915EBF" w:rsidP="00915EBF">
                  <w:pPr>
                    <w:pStyle w:val="TableBodyText"/>
                    <w:spacing w:before="40"/>
                    <w:jc w:val="left"/>
                    <w:rPr>
                      <w:b/>
                    </w:rPr>
                  </w:pPr>
                  <w:r w:rsidRPr="00A1493A">
                    <w:rPr>
                      <w:b/>
                    </w:rPr>
                    <w:t>Total justice system</w:t>
                  </w:r>
                </w:p>
              </w:tc>
              <w:tc>
                <w:tcPr>
                  <w:tcW w:w="550" w:type="dxa"/>
                  <w:tcBorders>
                    <w:bottom w:val="single" w:sz="4" w:space="0" w:color="BFBFBF"/>
                  </w:tcBorders>
                  <w:vAlign w:val="bottom"/>
                </w:tcPr>
                <w:p w:rsidR="00915EBF" w:rsidRPr="00163512" w:rsidRDefault="00915EBF" w:rsidP="00915EBF">
                  <w:pPr>
                    <w:pStyle w:val="TableBodyText"/>
                    <w:spacing w:before="40"/>
                    <w:ind w:left="0" w:right="0"/>
                    <w:rPr>
                      <w:b/>
                    </w:rPr>
                  </w:pPr>
                  <w:r w:rsidRPr="00163512">
                    <w:rPr>
                      <w:b/>
                    </w:rPr>
                    <w:t>%</w:t>
                  </w:r>
                </w:p>
              </w:tc>
              <w:tc>
                <w:tcPr>
                  <w:tcW w:w="649" w:type="dxa"/>
                  <w:tcBorders>
                    <w:bottom w:val="single" w:sz="4" w:space="0" w:color="BFBFBF"/>
                  </w:tcBorders>
                  <w:vAlign w:val="bottom"/>
                </w:tcPr>
                <w:p w:rsidR="00915EBF" w:rsidRPr="009F45A6" w:rsidRDefault="00915EBF" w:rsidP="00915EBF">
                  <w:pPr>
                    <w:pStyle w:val="TableBodyText"/>
                    <w:rPr>
                      <w:b/>
                    </w:rPr>
                  </w:pPr>
                  <w:r w:rsidRPr="009F45A6">
                    <w:rPr>
                      <w:b/>
                    </w:rPr>
                    <w:t>100.0</w:t>
                  </w:r>
                </w:p>
              </w:tc>
              <w:tc>
                <w:tcPr>
                  <w:tcW w:w="650" w:type="dxa"/>
                  <w:tcBorders>
                    <w:bottom w:val="single" w:sz="4" w:space="0" w:color="BFBFBF"/>
                  </w:tcBorders>
                  <w:vAlign w:val="bottom"/>
                </w:tcPr>
                <w:p w:rsidR="00915EBF" w:rsidRPr="009F45A6" w:rsidRDefault="00915EBF" w:rsidP="00915EBF">
                  <w:pPr>
                    <w:pStyle w:val="TableBodyText"/>
                    <w:rPr>
                      <w:b/>
                    </w:rPr>
                  </w:pPr>
                  <w:r w:rsidRPr="009F45A6">
                    <w:rPr>
                      <w:b/>
                    </w:rPr>
                    <w:t>100.0</w:t>
                  </w:r>
                </w:p>
              </w:tc>
              <w:tc>
                <w:tcPr>
                  <w:tcW w:w="649" w:type="dxa"/>
                  <w:tcBorders>
                    <w:bottom w:val="single" w:sz="4" w:space="0" w:color="BFBFBF"/>
                  </w:tcBorders>
                  <w:vAlign w:val="bottom"/>
                </w:tcPr>
                <w:p w:rsidR="00915EBF" w:rsidRPr="009F45A6" w:rsidRDefault="00915EBF" w:rsidP="00915EBF">
                  <w:pPr>
                    <w:pStyle w:val="TableBodyText"/>
                    <w:rPr>
                      <w:b/>
                    </w:rPr>
                  </w:pPr>
                  <w:r w:rsidRPr="009F45A6">
                    <w:rPr>
                      <w:b/>
                    </w:rPr>
                    <w:t>100.0</w:t>
                  </w:r>
                </w:p>
              </w:tc>
              <w:tc>
                <w:tcPr>
                  <w:tcW w:w="650" w:type="dxa"/>
                  <w:tcBorders>
                    <w:bottom w:val="single" w:sz="4" w:space="0" w:color="BFBFBF"/>
                  </w:tcBorders>
                  <w:vAlign w:val="bottom"/>
                </w:tcPr>
                <w:p w:rsidR="00915EBF" w:rsidRPr="009F45A6" w:rsidRDefault="00915EBF" w:rsidP="00915EBF">
                  <w:pPr>
                    <w:pStyle w:val="TableBodyText"/>
                    <w:rPr>
                      <w:b/>
                    </w:rPr>
                  </w:pPr>
                  <w:r w:rsidRPr="009F45A6">
                    <w:rPr>
                      <w:b/>
                    </w:rPr>
                    <w:t>100.0</w:t>
                  </w:r>
                </w:p>
              </w:tc>
              <w:tc>
                <w:tcPr>
                  <w:tcW w:w="649" w:type="dxa"/>
                  <w:tcBorders>
                    <w:bottom w:val="single" w:sz="4" w:space="0" w:color="BFBFBF"/>
                  </w:tcBorders>
                  <w:vAlign w:val="bottom"/>
                </w:tcPr>
                <w:p w:rsidR="00915EBF" w:rsidRPr="009F45A6" w:rsidRDefault="00915EBF" w:rsidP="00915EBF">
                  <w:pPr>
                    <w:pStyle w:val="TableBodyText"/>
                    <w:rPr>
                      <w:b/>
                    </w:rPr>
                  </w:pPr>
                  <w:r w:rsidRPr="009F45A6">
                    <w:rPr>
                      <w:b/>
                    </w:rPr>
                    <w:t>100.0</w:t>
                  </w:r>
                </w:p>
              </w:tc>
              <w:tc>
                <w:tcPr>
                  <w:tcW w:w="650" w:type="dxa"/>
                  <w:tcBorders>
                    <w:bottom w:val="single" w:sz="4" w:space="0" w:color="BFBFBF"/>
                  </w:tcBorders>
                  <w:vAlign w:val="bottom"/>
                </w:tcPr>
                <w:p w:rsidR="00915EBF" w:rsidRPr="009F45A6" w:rsidRDefault="00915EBF" w:rsidP="00915EBF">
                  <w:pPr>
                    <w:pStyle w:val="TableBodyText"/>
                    <w:rPr>
                      <w:b/>
                    </w:rPr>
                  </w:pPr>
                  <w:r w:rsidRPr="009F45A6">
                    <w:rPr>
                      <w:b/>
                    </w:rPr>
                    <w:t>100.0</w:t>
                  </w:r>
                </w:p>
              </w:tc>
              <w:tc>
                <w:tcPr>
                  <w:tcW w:w="649" w:type="dxa"/>
                  <w:tcBorders>
                    <w:bottom w:val="single" w:sz="4" w:space="0" w:color="BFBFBF"/>
                  </w:tcBorders>
                  <w:vAlign w:val="bottom"/>
                </w:tcPr>
                <w:p w:rsidR="00915EBF" w:rsidRPr="009F45A6" w:rsidRDefault="00915EBF" w:rsidP="00915EBF">
                  <w:pPr>
                    <w:pStyle w:val="TableBodyText"/>
                    <w:rPr>
                      <w:b/>
                    </w:rPr>
                  </w:pPr>
                  <w:r w:rsidRPr="009F45A6">
                    <w:rPr>
                      <w:b/>
                    </w:rPr>
                    <w:t>100.0</w:t>
                  </w:r>
                </w:p>
              </w:tc>
              <w:tc>
                <w:tcPr>
                  <w:tcW w:w="650" w:type="dxa"/>
                  <w:tcBorders>
                    <w:bottom w:val="single" w:sz="4" w:space="0" w:color="BFBFBF"/>
                  </w:tcBorders>
                  <w:vAlign w:val="bottom"/>
                </w:tcPr>
                <w:p w:rsidR="00915EBF" w:rsidRPr="009F45A6" w:rsidRDefault="00915EBF" w:rsidP="00915EBF">
                  <w:pPr>
                    <w:pStyle w:val="TableBodyText"/>
                    <w:rPr>
                      <w:b/>
                    </w:rPr>
                  </w:pPr>
                  <w:r w:rsidRPr="009F45A6">
                    <w:rPr>
                      <w:b/>
                    </w:rPr>
                    <w:t>100.0</w:t>
                  </w:r>
                </w:p>
              </w:tc>
              <w:tc>
                <w:tcPr>
                  <w:tcW w:w="650" w:type="dxa"/>
                  <w:tcBorders>
                    <w:bottom w:val="single" w:sz="4" w:space="0" w:color="BFBFBF"/>
                  </w:tcBorders>
                  <w:vAlign w:val="bottom"/>
                </w:tcPr>
                <w:p w:rsidR="00915EBF" w:rsidRPr="009F45A6" w:rsidRDefault="00915EBF" w:rsidP="00915EBF">
                  <w:pPr>
                    <w:pStyle w:val="TableBodyText"/>
                    <w:rPr>
                      <w:b/>
                    </w:rPr>
                  </w:pPr>
                  <w:r w:rsidRPr="009F45A6">
                    <w:rPr>
                      <w:b/>
                    </w:rPr>
                    <w:t>100.0</w:t>
                  </w:r>
                </w:p>
              </w:tc>
            </w:tr>
          </w:tbl>
          <w:p w:rsidR="00915EBF" w:rsidRDefault="00915EBF" w:rsidP="00D8717A">
            <w:pPr>
              <w:pStyle w:val="Box"/>
            </w:pPr>
          </w:p>
        </w:tc>
      </w:tr>
      <w:tr w:rsidR="00FC479B" w:rsidTr="00915EBF">
        <w:trPr>
          <w:cantSplit/>
        </w:trPr>
        <w:tc>
          <w:tcPr>
            <w:tcW w:w="8909" w:type="dxa"/>
            <w:gridSpan w:val="3"/>
            <w:tcBorders>
              <w:top w:val="nil"/>
              <w:left w:val="nil"/>
              <w:bottom w:val="nil"/>
              <w:right w:val="nil"/>
            </w:tcBorders>
            <w:shd w:val="clear" w:color="auto" w:fill="auto"/>
          </w:tcPr>
          <w:p w:rsidR="00FC479B" w:rsidRPr="007308D0" w:rsidRDefault="00FC479B" w:rsidP="00FD1D41">
            <w:pPr>
              <w:pStyle w:val="Note"/>
            </w:pPr>
            <w:r w:rsidRPr="008E77FE">
              <w:rPr>
                <w:rStyle w:val="NoteLabel"/>
              </w:rPr>
              <w:t>a</w:t>
            </w:r>
            <w:r w:rsidR="00D839F6">
              <w:t> </w:t>
            </w:r>
            <w:r w:rsidR="003D6FA6" w:rsidRPr="00A1493A">
              <w:t>Totals may not sum as a result of ro</w:t>
            </w:r>
            <w:r w:rsidR="007308D0">
              <w:t>unding</w:t>
            </w:r>
            <w:r w:rsidR="00223A93">
              <w:t>.</w:t>
            </w:r>
            <w:r w:rsidR="007308D0" w:rsidRPr="008E77FE">
              <w:rPr>
                <w:rStyle w:val="NoteLabel"/>
              </w:rPr>
              <w:t xml:space="preserve"> </w:t>
            </w:r>
            <w:r w:rsidR="00FD1D41" w:rsidRPr="00DB38B2">
              <w:rPr>
                <w:rStyle w:val="NoteLabel"/>
              </w:rPr>
              <w:t>b</w:t>
            </w:r>
            <w:r w:rsidR="007308D0" w:rsidRPr="00DB38B2">
              <w:rPr>
                <w:rStyle w:val="NoteLabel"/>
              </w:rPr>
              <w:t> </w:t>
            </w:r>
            <w:r w:rsidR="007308D0" w:rsidRPr="00DB38B2">
              <w:t xml:space="preserve">See tables </w:t>
            </w:r>
            <w:proofErr w:type="spellStart"/>
            <w:r w:rsidR="007308D0" w:rsidRPr="00CF1789">
              <w:t>6A.10</w:t>
            </w:r>
            <w:proofErr w:type="spellEnd"/>
            <w:r w:rsidR="007308D0" w:rsidRPr="00CF1789">
              <w:t xml:space="preserve">, </w:t>
            </w:r>
            <w:proofErr w:type="spellStart"/>
            <w:r w:rsidR="007308D0" w:rsidRPr="00CF1789">
              <w:t>7A</w:t>
            </w:r>
            <w:r w:rsidR="00ED3B76" w:rsidRPr="00CF1789">
              <w:t>.</w:t>
            </w:r>
            <w:r w:rsidR="00CF1789" w:rsidRPr="00CF1789">
              <w:t>14</w:t>
            </w:r>
            <w:proofErr w:type="spellEnd"/>
            <w:r w:rsidR="00CF1789" w:rsidRPr="00CF1789">
              <w:noBreakHyphen/>
              <w:t xml:space="preserve">15 and </w:t>
            </w:r>
            <w:proofErr w:type="spellStart"/>
            <w:r w:rsidR="00CF1789" w:rsidRPr="00CF1789">
              <w:t>8A.</w:t>
            </w:r>
            <w:r w:rsidR="00CF1789">
              <w:t>2</w:t>
            </w:r>
            <w:proofErr w:type="spellEnd"/>
            <w:r w:rsidR="007308D0" w:rsidRPr="00DB38B2">
              <w:t xml:space="preserve"> for detailed footnotes and caveats.</w:t>
            </w:r>
          </w:p>
        </w:tc>
      </w:tr>
      <w:tr w:rsidR="00FC479B" w:rsidTr="00915EBF">
        <w:trPr>
          <w:cantSplit/>
        </w:trPr>
        <w:tc>
          <w:tcPr>
            <w:tcW w:w="8909" w:type="dxa"/>
            <w:gridSpan w:val="3"/>
            <w:tcBorders>
              <w:top w:val="nil"/>
              <w:left w:val="nil"/>
              <w:bottom w:val="nil"/>
              <w:right w:val="nil"/>
            </w:tcBorders>
            <w:shd w:val="clear" w:color="auto" w:fill="auto"/>
          </w:tcPr>
          <w:p w:rsidR="00FC479B" w:rsidRDefault="003D6FA6" w:rsidP="00CF1789">
            <w:pPr>
              <w:pStyle w:val="Source"/>
            </w:pPr>
            <w:r>
              <w:rPr>
                <w:i/>
              </w:rPr>
              <w:t xml:space="preserve">Source: </w:t>
            </w:r>
            <w:r w:rsidRPr="00A1493A">
              <w:t xml:space="preserve">Australian, State and Territory governments (unpublished); </w:t>
            </w:r>
            <w:r w:rsidRPr="00CF1789">
              <w:t xml:space="preserve">tables </w:t>
            </w:r>
            <w:proofErr w:type="spellStart"/>
            <w:r w:rsidRPr="00CF1789">
              <w:t>6A.10</w:t>
            </w:r>
            <w:proofErr w:type="spellEnd"/>
            <w:r w:rsidRPr="00CF1789">
              <w:t xml:space="preserve">, </w:t>
            </w:r>
            <w:proofErr w:type="spellStart"/>
            <w:r w:rsidRPr="00CF1789">
              <w:t>7A.14</w:t>
            </w:r>
            <w:proofErr w:type="spellEnd"/>
            <w:r w:rsidR="007F125E" w:rsidRPr="00CF1789">
              <w:noBreakHyphen/>
            </w:r>
            <w:r w:rsidRPr="00CF1789">
              <w:t xml:space="preserve">15 and </w:t>
            </w:r>
            <w:proofErr w:type="spellStart"/>
            <w:r w:rsidRPr="00CF1789">
              <w:t>8A.</w:t>
            </w:r>
            <w:r w:rsidR="00CF1789" w:rsidRPr="00CF1789">
              <w:t>2</w:t>
            </w:r>
            <w:proofErr w:type="spellEnd"/>
            <w:r w:rsidRPr="00A1493A">
              <w:t>.</w:t>
            </w:r>
          </w:p>
        </w:tc>
      </w:tr>
      <w:tr w:rsidR="00677606" w:rsidTr="00883DE6">
        <w:tblPrEx>
          <w:tblBorders>
            <w:top w:val="single" w:sz="6" w:space="0" w:color="78A22F"/>
            <w:left w:val="single" w:sz="6" w:space="0" w:color="78A22F"/>
            <w:bottom w:val="single" w:sz="6" w:space="0" w:color="78A22F"/>
            <w:right w:val="single" w:sz="6" w:space="0" w:color="78A22F"/>
          </w:tblBorders>
        </w:tblPrEx>
        <w:trPr>
          <w:gridAfter w:val="2"/>
          <w:wAfter w:w="138" w:type="dxa"/>
        </w:trPr>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FC479B" w:rsidRPr="000863A5" w:rsidTr="00915EBF">
        <w:tc>
          <w:tcPr>
            <w:tcW w:w="8909" w:type="dxa"/>
            <w:gridSpan w:val="3"/>
            <w:tcBorders>
              <w:top w:val="single" w:sz="6" w:space="0" w:color="78A22F" w:themeColor="accent1"/>
              <w:left w:val="nil"/>
              <w:bottom w:val="nil"/>
              <w:right w:val="nil"/>
            </w:tcBorders>
          </w:tcPr>
          <w:p w:rsidR="00FC479B" w:rsidRPr="00626D32" w:rsidRDefault="00FC479B" w:rsidP="00C82E63">
            <w:pPr>
              <w:pStyle w:val="BoxSpaceBelow"/>
            </w:pPr>
          </w:p>
        </w:tc>
      </w:tr>
    </w:tbl>
    <w:p w:rsidR="00E45540" w:rsidRDefault="00E45540" w:rsidP="007A12ED">
      <w:pPr>
        <w:pStyle w:val="Heading3"/>
      </w:pPr>
      <w:bookmarkStart w:id="10" w:name="_Toc300668511"/>
      <w:r>
        <w:t>Social and economic factors affecting demand for services</w:t>
      </w:r>
      <w:bookmarkEnd w:id="10"/>
    </w:p>
    <w:p w:rsidR="007A12ED" w:rsidRDefault="002614AB" w:rsidP="002614AB">
      <w:pPr>
        <w:pStyle w:val="Heading4"/>
      </w:pPr>
      <w:r>
        <w:t>Criminal jurisdiction</w:t>
      </w:r>
    </w:p>
    <w:p w:rsidR="00E45540" w:rsidRDefault="00E45540" w:rsidP="00CB1549">
      <w:pPr>
        <w:pStyle w:val="BodyText"/>
      </w:pPr>
      <w:r>
        <w:t>L</w:t>
      </w:r>
      <w:r w:rsidRPr="008D48C1">
        <w:t xml:space="preserve">inks have been drawn between criminal activity and social and economic factors such as poverty, </w:t>
      </w:r>
      <w:r>
        <w:t xml:space="preserve">levels of substance abuse, </w:t>
      </w:r>
      <w:r w:rsidR="00034743">
        <w:t>unemployment, and</w:t>
      </w:r>
      <w:r w:rsidRPr="008D48C1">
        <w:t xml:space="preserve"> level</w:t>
      </w:r>
      <w:r w:rsidR="00034743">
        <w:t>s</w:t>
      </w:r>
      <w:r w:rsidRPr="008D48C1">
        <w:t xml:space="preserve"> of social and community cohesion</w:t>
      </w:r>
      <w:r w:rsidR="0045365E">
        <w:t xml:space="preserve"> (</w:t>
      </w:r>
      <w:proofErr w:type="spellStart"/>
      <w:r w:rsidR="0045365E">
        <w:t>Weatherburn</w:t>
      </w:r>
      <w:proofErr w:type="spellEnd"/>
      <w:r w:rsidR="0045365E">
        <w:t xml:space="preserve"> 2001)</w:t>
      </w:r>
      <w:r>
        <w:t>.</w:t>
      </w:r>
      <w:r w:rsidR="00472A70">
        <w:t xml:space="preserve"> </w:t>
      </w:r>
      <w:r w:rsidR="00472A70" w:rsidRPr="00EF444A">
        <w:t>Mental illness and early experiences of abuse</w:t>
      </w:r>
      <w:r w:rsidR="004B5BE4" w:rsidRPr="00EF444A">
        <w:t xml:space="preserve"> may</w:t>
      </w:r>
      <w:r w:rsidR="00472A70" w:rsidRPr="00EF444A">
        <w:t xml:space="preserve"> also have an interactive influence (Forsythe and Adams 2009)</w:t>
      </w:r>
      <w:r w:rsidR="00096607" w:rsidRPr="00EF444A">
        <w:t xml:space="preserve"> although the nature of these relationships with criminal activity can be complex</w:t>
      </w:r>
      <w:r w:rsidR="00472A70" w:rsidRPr="00EF444A">
        <w:t>.</w:t>
      </w:r>
      <w:r>
        <w:t xml:space="preserve"> </w:t>
      </w:r>
      <w:r w:rsidR="00533C0C">
        <w:t>Levels of demand on</w:t>
      </w:r>
      <w:r w:rsidRPr="008D48C1">
        <w:t xml:space="preserve"> j</w:t>
      </w:r>
      <w:r w:rsidR="00C9652E">
        <w:t xml:space="preserve">ustice services </w:t>
      </w:r>
      <w:r w:rsidR="0045495B">
        <w:t>can be</w:t>
      </w:r>
      <w:r>
        <w:t xml:space="preserve"> </w:t>
      </w:r>
      <w:r w:rsidR="0045495B">
        <w:t>further</w:t>
      </w:r>
      <w:r w:rsidRPr="008D48C1">
        <w:t xml:space="preserve"> driven by changes in legislative and policy environments introduced in response to social concerns such as levels of crime and fear of crime.</w:t>
      </w:r>
      <w:r>
        <w:t xml:space="preserve"> </w:t>
      </w:r>
    </w:p>
    <w:p w:rsidR="005816BD" w:rsidRDefault="005816BD" w:rsidP="00CB1549">
      <w:pPr>
        <w:pStyle w:val="BodyText"/>
      </w:pPr>
      <w:r>
        <w:t xml:space="preserve">It </w:t>
      </w:r>
      <w:r w:rsidR="0016372C">
        <w:t>was estimated that in 20</w:t>
      </w:r>
      <w:r w:rsidR="00C70B00">
        <w:t>11</w:t>
      </w:r>
      <w:r w:rsidR="0016372C">
        <w:t xml:space="preserve"> the cost</w:t>
      </w:r>
      <w:r w:rsidR="004D6540">
        <w:t xml:space="preserve"> of</w:t>
      </w:r>
      <w:r w:rsidR="0016372C">
        <w:t xml:space="preserve"> crime in Australia </w:t>
      </w:r>
      <w:r w:rsidR="004D6540">
        <w:t>was</w:t>
      </w:r>
      <w:r w:rsidR="0016372C">
        <w:t xml:space="preserve"> approximately $2</w:t>
      </w:r>
      <w:r w:rsidR="00C70B00">
        <w:t>3</w:t>
      </w:r>
      <w:r w:rsidR="0016372C">
        <w:t>.</w:t>
      </w:r>
      <w:r w:rsidR="00C70B00">
        <w:t>1</w:t>
      </w:r>
      <w:r w:rsidR="0016372C">
        <w:t xml:space="preserve"> billion (</w:t>
      </w:r>
      <w:r w:rsidR="00555565">
        <w:t>Smith</w:t>
      </w:r>
      <w:r w:rsidR="004D6540">
        <w:t xml:space="preserve"> et al</w:t>
      </w:r>
      <w:r w:rsidR="0016372C">
        <w:t xml:space="preserve"> 20</w:t>
      </w:r>
      <w:r w:rsidR="00555565">
        <w:t>14</w:t>
      </w:r>
      <w:r w:rsidR="0016372C">
        <w:t>).</w:t>
      </w:r>
      <w:r w:rsidR="00100F17">
        <w:t xml:space="preserve"> When combined with the costs of criminal justice, victim assistance, security</w:t>
      </w:r>
      <w:r w:rsidR="00C70B00">
        <w:t>,</w:t>
      </w:r>
      <w:r w:rsidR="00100F17">
        <w:t xml:space="preserve"> insurance</w:t>
      </w:r>
      <w:r w:rsidR="00C70B00">
        <w:t xml:space="preserve"> and household precautions</w:t>
      </w:r>
      <w:r w:rsidR="00100F17">
        <w:t xml:space="preserve"> the total estimated cost of crime</w:t>
      </w:r>
      <w:r w:rsidR="009F77E1">
        <w:t xml:space="preserve"> to the community</w:t>
      </w:r>
      <w:r w:rsidR="00100F17">
        <w:t xml:space="preserve"> </w:t>
      </w:r>
      <w:r w:rsidR="00C70B00">
        <w:t>rose</w:t>
      </w:r>
      <w:r w:rsidR="00100F17">
        <w:t xml:space="preserve"> to $</w:t>
      </w:r>
      <w:r w:rsidR="00C70B00">
        <w:t>47.6</w:t>
      </w:r>
      <w:r w:rsidR="00100F17">
        <w:t xml:space="preserve"> billion.</w:t>
      </w:r>
      <w:r w:rsidR="009F77E1">
        <w:t xml:space="preserve"> Expenditure by governments on criminal justice</w:t>
      </w:r>
      <w:r w:rsidR="003036BD">
        <w:t xml:space="preserve"> in 2011</w:t>
      </w:r>
      <w:r w:rsidR="00C90E1F">
        <w:t xml:space="preserve"> was estimated at $16.3 billion,</w:t>
      </w:r>
      <w:r w:rsidR="009F77E1">
        <w:t xml:space="preserve"> account</w:t>
      </w:r>
      <w:r w:rsidR="00C90E1F">
        <w:t>ing</w:t>
      </w:r>
      <w:r w:rsidR="009F77E1">
        <w:t xml:space="preserve"> for </w:t>
      </w:r>
      <w:r w:rsidR="00C90E1F">
        <w:t xml:space="preserve">about </w:t>
      </w:r>
      <w:r w:rsidR="009F77E1">
        <w:t>one</w:t>
      </w:r>
      <w:r w:rsidR="0096665E">
        <w:t>-</w:t>
      </w:r>
      <w:r w:rsidR="00C90E1F">
        <w:t>third</w:t>
      </w:r>
      <w:r w:rsidR="009F77E1">
        <w:t xml:space="preserve"> of the </w:t>
      </w:r>
      <w:r w:rsidR="00FE33CA">
        <w:t xml:space="preserve">estimated </w:t>
      </w:r>
      <w:r w:rsidR="009F77E1">
        <w:t>overall costs.</w:t>
      </w:r>
      <w:r w:rsidR="002248CF">
        <w:t xml:space="preserve"> This is </w:t>
      </w:r>
      <w:r w:rsidR="004D6540">
        <w:t xml:space="preserve">an increase from 2005, where </w:t>
      </w:r>
      <w:r w:rsidR="003036BD">
        <w:t>expenditure on criminal justice accounted for about one</w:t>
      </w:r>
      <w:r w:rsidR="0096665E">
        <w:t>-</w:t>
      </w:r>
      <w:r w:rsidR="003036BD">
        <w:t>quarter of total costs (</w:t>
      </w:r>
      <w:proofErr w:type="spellStart"/>
      <w:r w:rsidR="003036BD">
        <w:t>Rollings</w:t>
      </w:r>
      <w:proofErr w:type="spellEnd"/>
      <w:r w:rsidR="003036BD">
        <w:t xml:space="preserve"> 2008).</w:t>
      </w:r>
      <w:r w:rsidR="007203AE">
        <w:t xml:space="preserve"> </w:t>
      </w:r>
    </w:p>
    <w:p w:rsidR="00AB3E92" w:rsidRDefault="001B649D" w:rsidP="00CB1549">
      <w:pPr>
        <w:pStyle w:val="BodyText"/>
      </w:pPr>
      <w:r>
        <w:t xml:space="preserve">While some estimates for criminal costs relating to fraud and drugs were included in </w:t>
      </w:r>
      <w:r w:rsidR="008167EC">
        <w:t xml:space="preserve">the </w:t>
      </w:r>
      <w:r>
        <w:t xml:space="preserve"> report</w:t>
      </w:r>
      <w:r w:rsidR="008167EC">
        <w:t xml:space="preserve"> by Smith et al (2014)</w:t>
      </w:r>
      <w:r>
        <w:t xml:space="preserve">, the emphasis was more on crimes against the person and likely underestimated costs associated with organised crime. </w:t>
      </w:r>
      <w:r w:rsidR="00672C39">
        <w:t>There is a financial cost to governments in identifying, investigating, prosecuting and preventing organised cri</w:t>
      </w:r>
      <w:r w:rsidR="00BF2968">
        <w:t>me, and it can harm the Australian</w:t>
      </w:r>
      <w:r w:rsidR="00672C39">
        <w:t xml:space="preserve"> economy by pushing out legitimate business or eroding public confidence in the banking, finance or investment sectors (ACC 2015). </w:t>
      </w:r>
      <w:r w:rsidR="00AB3E92">
        <w:t xml:space="preserve">The Australian </w:t>
      </w:r>
      <w:r w:rsidR="00AB3E92">
        <w:lastRenderedPageBreak/>
        <w:t>Crime Commission</w:t>
      </w:r>
      <w:r w:rsidR="00E11FFA">
        <w:t xml:space="preserve"> has</w:t>
      </w:r>
      <w:r w:rsidR="00AB3E92">
        <w:t xml:space="preserve"> conservatively </w:t>
      </w:r>
      <w:r w:rsidR="00E11FFA">
        <w:t>estimated</w:t>
      </w:r>
      <w:r w:rsidR="00AB3E92">
        <w:t xml:space="preserve"> that the costs</w:t>
      </w:r>
      <w:r w:rsidR="00BF38BF">
        <w:t xml:space="preserve"> to Australia</w:t>
      </w:r>
      <w:r w:rsidR="00AB3E92">
        <w:t xml:space="preserve"> of </w:t>
      </w:r>
      <w:r w:rsidR="00BF38BF">
        <w:t xml:space="preserve">serious and </w:t>
      </w:r>
      <w:r w:rsidR="00AB3E92">
        <w:t>organised crime</w:t>
      </w:r>
      <w:r w:rsidR="00BF38BF">
        <w:t xml:space="preserve"> </w:t>
      </w:r>
      <w:r w:rsidR="00AB3E92">
        <w:t>amount to</w:t>
      </w:r>
      <w:r w:rsidR="00171166">
        <w:t xml:space="preserve"> around</w:t>
      </w:r>
      <w:r w:rsidR="00156157">
        <w:t xml:space="preserve"> </w:t>
      </w:r>
      <w:r w:rsidR="00AB3E92">
        <w:t>$15 billion annually</w:t>
      </w:r>
      <w:r w:rsidR="002D11D6">
        <w:t xml:space="preserve"> (ACC 2013).</w:t>
      </w:r>
      <w:r w:rsidR="003D110E">
        <w:t xml:space="preserve"> </w:t>
      </w:r>
    </w:p>
    <w:p w:rsidR="002614AB" w:rsidRDefault="002614AB" w:rsidP="002614AB">
      <w:pPr>
        <w:pStyle w:val="Heading4"/>
      </w:pPr>
      <w:r>
        <w:t>Civil jurisdiction</w:t>
      </w:r>
    </w:p>
    <w:p w:rsidR="002614AB" w:rsidRDefault="000923E1" w:rsidP="002614AB">
      <w:pPr>
        <w:pStyle w:val="BodyText"/>
      </w:pPr>
      <w:r>
        <w:t>Deman</w:t>
      </w:r>
      <w:r w:rsidR="00091792">
        <w:t>d for civil justice services is</w:t>
      </w:r>
      <w:r>
        <w:t xml:space="preserve"> influenced by the types of legal issues people experience, which in turn are influenced by social and economic factors. Demand also varies with the way in which</w:t>
      </w:r>
      <w:r w:rsidR="00D15D47">
        <w:t xml:space="preserve"> people respond to legal issues — </w:t>
      </w:r>
      <w:r>
        <w:t xml:space="preserve">do nothing, </w:t>
      </w:r>
      <w:r w:rsidR="00582A1A">
        <w:t>deal with the issue independently</w:t>
      </w:r>
      <w:r>
        <w:t xml:space="preserve"> or seek</w:t>
      </w:r>
      <w:r w:rsidR="00582A1A">
        <w:t xml:space="preserve"> advice or legal</w:t>
      </w:r>
      <w:r>
        <w:t xml:space="preserve"> assistance</w:t>
      </w:r>
      <w:r w:rsidR="00586635">
        <w:t xml:space="preserve"> (Australian Government Attorney-General’s Department 2009)</w:t>
      </w:r>
      <w:r>
        <w:t>.</w:t>
      </w:r>
      <w:r w:rsidR="00DE7ECE">
        <w:t xml:space="preserve"> </w:t>
      </w:r>
      <w:r w:rsidR="00DE7ECE" w:rsidRPr="00CB1549">
        <w:t>A survey of legal needs</w:t>
      </w:r>
      <w:r w:rsidRPr="00CB1549">
        <w:t xml:space="preserve"> </w:t>
      </w:r>
      <w:r w:rsidR="00DE7ECE" w:rsidRPr="00CB1549">
        <w:t xml:space="preserve">undertaken </w:t>
      </w:r>
      <w:r w:rsidR="00FB39D9" w:rsidRPr="00CB1549">
        <w:t>across Australia</w:t>
      </w:r>
      <w:r w:rsidR="00961F43" w:rsidRPr="00CB1549">
        <w:t xml:space="preserve"> in 2008 by the Law and Justice Foundation of NSW</w:t>
      </w:r>
      <w:r w:rsidR="00777BC6" w:rsidRPr="00CB1549">
        <w:t xml:space="preserve"> </w:t>
      </w:r>
      <w:r w:rsidR="004D4DB6" w:rsidRPr="00CB1549">
        <w:t>found that</w:t>
      </w:r>
      <w:r w:rsidR="00E3313C" w:rsidRPr="00CB1549">
        <w:t xml:space="preserve"> </w:t>
      </w:r>
      <w:r w:rsidR="00777BC6" w:rsidRPr="00CB1549">
        <w:t>disability</w:t>
      </w:r>
      <w:r w:rsidR="00FB39D9" w:rsidRPr="00CB1549">
        <w:t>,</w:t>
      </w:r>
      <w:r w:rsidR="00777BC6" w:rsidRPr="00CB1549">
        <w:t xml:space="preserve"> </w:t>
      </w:r>
      <w:r w:rsidR="00FB39D9" w:rsidRPr="00CB1549">
        <w:t>a</w:t>
      </w:r>
      <w:r w:rsidR="00AF0650" w:rsidRPr="00CB1549">
        <w:t>ge,</w:t>
      </w:r>
      <w:r w:rsidR="00E3313C" w:rsidRPr="00CB1549">
        <w:t xml:space="preserve"> </w:t>
      </w:r>
      <w:r w:rsidR="00D30EB4" w:rsidRPr="00CB1549">
        <w:t xml:space="preserve">Indigenous </w:t>
      </w:r>
      <w:r w:rsidR="00AF0650" w:rsidRPr="00CB1549">
        <w:t>status</w:t>
      </w:r>
      <w:r w:rsidR="00FB39D9" w:rsidRPr="00CB1549">
        <w:t>, disadvantaged housing</w:t>
      </w:r>
      <w:r w:rsidR="00961F43" w:rsidRPr="00CB1549">
        <w:t xml:space="preserve"> and</w:t>
      </w:r>
      <w:r w:rsidR="00FB39D9" w:rsidRPr="00CB1549">
        <w:t xml:space="preserve"> unemployment</w:t>
      </w:r>
      <w:r w:rsidR="00AF0650" w:rsidRPr="00CB1549">
        <w:t xml:space="preserve"> </w:t>
      </w:r>
      <w:r w:rsidR="00FB39D9" w:rsidRPr="00CB1549">
        <w:t>were associated with higher levels of legal problems</w:t>
      </w:r>
      <w:r w:rsidR="00961F43" w:rsidRPr="00CB1549">
        <w:t>.</w:t>
      </w:r>
      <w:r w:rsidR="00FB39D9" w:rsidRPr="00CB1549">
        <w:t xml:space="preserve"> </w:t>
      </w:r>
      <w:r w:rsidR="00961F43" w:rsidRPr="00CB1549">
        <w:t>These characteristics were differentially associated with</w:t>
      </w:r>
      <w:r w:rsidR="00E25F00" w:rsidRPr="00CB1549">
        <w:t xml:space="preserve"> both</w:t>
      </w:r>
      <w:r w:rsidR="00961F43" w:rsidRPr="00CB1549">
        <w:t xml:space="preserve"> </w:t>
      </w:r>
      <w:r w:rsidR="00D75271" w:rsidRPr="00CB1549">
        <w:t>the</w:t>
      </w:r>
      <w:r w:rsidR="00961F43" w:rsidRPr="00CB1549">
        <w:t xml:space="preserve"> types of legal problems</w:t>
      </w:r>
      <w:r w:rsidR="00E25F00" w:rsidRPr="00CB1549">
        <w:t xml:space="preserve"> </w:t>
      </w:r>
      <w:r w:rsidR="00D75271" w:rsidRPr="00CB1549">
        <w:t xml:space="preserve">experienced </w:t>
      </w:r>
      <w:r w:rsidR="00E25F00" w:rsidRPr="00CB1549">
        <w:t xml:space="preserve">and the </w:t>
      </w:r>
      <w:r w:rsidR="00AC2B5F" w:rsidRPr="00CB1549">
        <w:t>strategies which</w:t>
      </w:r>
      <w:r w:rsidR="00E25F00" w:rsidRPr="00CB1549">
        <w:t xml:space="preserve"> people</w:t>
      </w:r>
      <w:r w:rsidR="00AC2B5F" w:rsidRPr="00CB1549">
        <w:t xml:space="preserve"> used in</w:t>
      </w:r>
      <w:r w:rsidR="00E25F00" w:rsidRPr="00CB1549">
        <w:t xml:space="preserve"> respon</w:t>
      </w:r>
      <w:r w:rsidR="00AC2B5F" w:rsidRPr="00CB1549">
        <w:t>se</w:t>
      </w:r>
      <w:r w:rsidR="00E25F00" w:rsidRPr="00CB1549">
        <w:t xml:space="preserve"> to those problems</w:t>
      </w:r>
      <w:r w:rsidR="00961F43" w:rsidRPr="00CB1549">
        <w:t xml:space="preserve"> (</w:t>
      </w:r>
      <w:proofErr w:type="spellStart"/>
      <w:r w:rsidR="00961F43" w:rsidRPr="00CB1549">
        <w:t>Coumarelos</w:t>
      </w:r>
      <w:proofErr w:type="spellEnd"/>
      <w:r w:rsidR="00961F43" w:rsidRPr="00CB1549">
        <w:t xml:space="preserve">, </w:t>
      </w:r>
      <w:proofErr w:type="spellStart"/>
      <w:r w:rsidR="00961F43" w:rsidRPr="00CB1549">
        <w:t>Macourt</w:t>
      </w:r>
      <w:proofErr w:type="spellEnd"/>
      <w:r w:rsidR="00961F43" w:rsidRPr="00CB1549">
        <w:t xml:space="preserve">, People, McDonald, Wei, </w:t>
      </w:r>
      <w:proofErr w:type="spellStart"/>
      <w:r w:rsidR="00961F43" w:rsidRPr="00CB1549">
        <w:t>Iriana</w:t>
      </w:r>
      <w:proofErr w:type="spellEnd"/>
      <w:r w:rsidR="00961F43" w:rsidRPr="00CB1549">
        <w:t xml:space="preserve"> and Ramsey 2012).</w:t>
      </w:r>
      <w:r w:rsidR="00727CD5" w:rsidRPr="00CB1549">
        <w:t xml:space="preserve"> Legal needs can also change over time, as a result of changes in the legislative, economic and social environments (Productivity Commission 2014).</w:t>
      </w:r>
    </w:p>
    <w:p w:rsidR="008A7C2E" w:rsidRDefault="005E4BF6" w:rsidP="002B29FC">
      <w:pPr>
        <w:pStyle w:val="Heading3"/>
        <w:rPr>
          <w:lang w:val="en-US" w:eastAsia="en-US"/>
        </w:rPr>
      </w:pPr>
      <w:bookmarkStart w:id="11" w:name="_Toc300668513"/>
      <w:r>
        <w:rPr>
          <w:lang w:val="en-US" w:eastAsia="en-US"/>
        </w:rPr>
        <w:t>Service-sector objectives</w:t>
      </w:r>
      <w:bookmarkEnd w:id="11"/>
    </w:p>
    <w:p w:rsidR="00EE0563" w:rsidRDefault="005E4BF6" w:rsidP="008944C5">
      <w:pPr>
        <w:pStyle w:val="BodyText"/>
      </w:pPr>
      <w:r>
        <w:t xml:space="preserve">The objectives of the criminal and civil justice system are </w:t>
      </w:r>
      <w:r w:rsidR="00F022D2">
        <w:t>provided</w:t>
      </w:r>
      <w:r w:rsidR="00BB0D22">
        <w:t xml:space="preserve"> in box </w:t>
      </w:r>
      <w:proofErr w:type="spellStart"/>
      <w:r w:rsidR="005C513F">
        <w:t>C.</w:t>
      </w:r>
      <w:r w:rsidR="0022670D">
        <w:t>1</w:t>
      </w:r>
      <w:proofErr w:type="spellEnd"/>
      <w:r w:rsidR="008C292B">
        <w:t>.</w:t>
      </w:r>
      <w:r w:rsidR="00413FD1">
        <w:t xml:space="preserve"> </w:t>
      </w:r>
      <w:r w:rsidR="00CA40BC">
        <w:t>Specific</w:t>
      </w:r>
      <w:r w:rsidR="00F022D2">
        <w:t xml:space="preserve"> objectives for each of the three justice services can be found in chapters 6 (police se</w:t>
      </w:r>
      <w:r w:rsidR="0012724D">
        <w:t>rvices), 7 (courts</w:t>
      </w:r>
      <w:r w:rsidR="00F022D2">
        <w:t xml:space="preserve">) and 8 (corrective services). </w:t>
      </w:r>
    </w:p>
    <w:p w:rsidR="00401921" w:rsidRDefault="004019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01921" w:rsidTr="00C82E63">
        <w:tc>
          <w:tcPr>
            <w:tcW w:w="8771" w:type="dxa"/>
            <w:tcBorders>
              <w:top w:val="single" w:sz="6" w:space="0" w:color="78A22F"/>
              <w:left w:val="nil"/>
              <w:bottom w:val="nil"/>
              <w:right w:val="nil"/>
            </w:tcBorders>
            <w:shd w:val="clear" w:color="auto" w:fill="F2F2F2" w:themeFill="background1" w:themeFillShade="F2"/>
          </w:tcPr>
          <w:p w:rsidR="00401921" w:rsidRDefault="00401921">
            <w:pPr>
              <w:pStyle w:val="BoxTitle"/>
            </w:pPr>
            <w:r>
              <w:rPr>
                <w:b w:val="0"/>
              </w:rPr>
              <w:t xml:space="preserve">Box </w:t>
            </w:r>
            <w:proofErr w:type="spellStart"/>
            <w:r w:rsidR="005C513F">
              <w:rPr>
                <w:b w:val="0"/>
              </w:rPr>
              <w:t>C.</w:t>
            </w:r>
            <w:r w:rsidR="0022670D">
              <w:rPr>
                <w:b w:val="0"/>
              </w:rPr>
              <w:t>1</w:t>
            </w:r>
            <w:proofErr w:type="spellEnd"/>
            <w:r>
              <w:tab/>
            </w:r>
            <w:r w:rsidRPr="00892734">
              <w:rPr>
                <w:sz w:val="26"/>
                <w:szCs w:val="26"/>
              </w:rPr>
              <w:t>Objectives of the criminal and civil justice system</w:t>
            </w:r>
          </w:p>
        </w:tc>
      </w:tr>
      <w:tr w:rsidR="00552028" w:rsidTr="00C82E63">
        <w:trPr>
          <w:cantSplit/>
        </w:trPr>
        <w:tc>
          <w:tcPr>
            <w:tcW w:w="8771" w:type="dxa"/>
            <w:tcBorders>
              <w:top w:val="nil"/>
              <w:left w:val="nil"/>
              <w:bottom w:val="nil"/>
              <w:right w:val="nil"/>
            </w:tcBorders>
            <w:shd w:val="clear" w:color="auto" w:fill="F2F2F2" w:themeFill="background1" w:themeFillShade="F2"/>
          </w:tcPr>
          <w:p w:rsidR="00552028" w:rsidRPr="00892734" w:rsidRDefault="00552028" w:rsidP="00C82E63">
            <w:pPr>
              <w:pStyle w:val="BoxHeading1"/>
              <w:rPr>
                <w:b w:val="0"/>
              </w:rPr>
            </w:pPr>
            <w:r w:rsidRPr="00892734">
              <w:rPr>
                <w:b w:val="0"/>
              </w:rPr>
              <w:t xml:space="preserve">The objectives of the </w:t>
            </w:r>
            <w:r w:rsidRPr="00892734">
              <w:rPr>
                <w:b w:val="0"/>
                <w:u w:val="single"/>
              </w:rPr>
              <w:t>criminal justice system</w:t>
            </w:r>
            <w:r w:rsidRPr="00892734">
              <w:rPr>
                <w:b w:val="0"/>
              </w:rPr>
              <w:t xml:space="preserve"> are to:</w:t>
            </w:r>
          </w:p>
          <w:p w:rsidR="00552028" w:rsidRDefault="00552028" w:rsidP="00C82E63">
            <w:pPr>
              <w:pStyle w:val="BoxListBullet"/>
            </w:pPr>
            <w:r>
              <w:t>prevent</w:t>
            </w:r>
            <w:r w:rsidRPr="00881445">
              <w:t>, de</w:t>
            </w:r>
            <w:r>
              <w:t>tect and investigate crime</w:t>
            </w:r>
          </w:p>
          <w:p w:rsidR="00552028" w:rsidRDefault="00552028" w:rsidP="00C82E63">
            <w:pPr>
              <w:pStyle w:val="BoxListBullet"/>
            </w:pPr>
            <w:r>
              <w:t>administer</w:t>
            </w:r>
            <w:r w:rsidRPr="00881445">
              <w:t xml:space="preserve"> criminal justice that determines guilt and applies appropriate, consistent and fair sanctions to </w:t>
            </w:r>
            <w:r>
              <w:t>offenders</w:t>
            </w:r>
          </w:p>
          <w:p w:rsidR="00552028" w:rsidRDefault="00552028" w:rsidP="00C82E63">
            <w:pPr>
              <w:pStyle w:val="BoxListBullet"/>
            </w:pPr>
            <w:r>
              <w:t>provide a safe, secure and humane custodial system and an effective community corrections system.</w:t>
            </w:r>
          </w:p>
          <w:p w:rsidR="00552028" w:rsidRPr="00D636BA" w:rsidRDefault="00552028" w:rsidP="00C82E63">
            <w:pPr>
              <w:pStyle w:val="Box"/>
              <w:rPr>
                <w:sz w:val="22"/>
                <w:szCs w:val="22"/>
              </w:rPr>
            </w:pPr>
            <w:r w:rsidRPr="00D636BA">
              <w:rPr>
                <w:sz w:val="22"/>
                <w:szCs w:val="22"/>
              </w:rPr>
              <w:t xml:space="preserve">The objectives of the </w:t>
            </w:r>
            <w:r w:rsidRPr="00D636BA">
              <w:rPr>
                <w:sz w:val="22"/>
                <w:szCs w:val="22"/>
                <w:u w:val="single"/>
              </w:rPr>
              <w:t>civil justice system</w:t>
            </w:r>
            <w:r w:rsidRPr="00D636BA">
              <w:rPr>
                <w:sz w:val="22"/>
                <w:szCs w:val="22"/>
              </w:rPr>
              <w:t xml:space="preserve"> are to:</w:t>
            </w:r>
          </w:p>
          <w:p w:rsidR="00552028" w:rsidRDefault="00552028" w:rsidP="00C82E63">
            <w:pPr>
              <w:pStyle w:val="BoxListBullet"/>
            </w:pPr>
            <w:r>
              <w:t>resolve civil disputes and enforce a system of legal rights and obligations</w:t>
            </w:r>
          </w:p>
          <w:p w:rsidR="00552028" w:rsidRDefault="00552028" w:rsidP="00C82E63">
            <w:pPr>
              <w:pStyle w:val="BoxListBullet"/>
            </w:pPr>
            <w:r>
              <w:t>respect, restore and protect private and personal rights</w:t>
            </w:r>
          </w:p>
          <w:p w:rsidR="00552028" w:rsidRPr="00552028" w:rsidRDefault="00552028" w:rsidP="00DE65CC">
            <w:pPr>
              <w:pStyle w:val="BoxListBullet"/>
              <w:spacing w:after="60"/>
              <w:rPr>
                <w:rStyle w:val="DraftingNote"/>
                <w:b w:val="0"/>
                <w:color w:val="auto"/>
                <w:sz w:val="20"/>
                <w:u w:val="none"/>
              </w:rPr>
            </w:pPr>
            <w:r>
              <w:t>resolve and address the issues resulting from family conflicts and ensure that children’s and spousal rights are respected and enforced.</w:t>
            </w:r>
          </w:p>
        </w:tc>
      </w:tr>
      <w:tr w:rsidR="00552028" w:rsidRPr="000863A5" w:rsidTr="00C82E63">
        <w:tc>
          <w:tcPr>
            <w:tcW w:w="8771" w:type="dxa"/>
            <w:tcBorders>
              <w:top w:val="single" w:sz="6" w:space="0" w:color="78A22F"/>
              <w:left w:val="nil"/>
              <w:bottom w:val="nil"/>
              <w:right w:val="nil"/>
            </w:tcBorders>
          </w:tcPr>
          <w:p w:rsidR="00552028" w:rsidRPr="00626D32" w:rsidRDefault="00552028" w:rsidP="00C82E63">
            <w:pPr>
              <w:pStyle w:val="BoxSpaceBelow"/>
            </w:pPr>
          </w:p>
        </w:tc>
      </w:tr>
    </w:tbl>
    <w:p w:rsidR="00230044" w:rsidRDefault="00B966A1" w:rsidP="0045423C">
      <w:pPr>
        <w:pStyle w:val="Heading2"/>
      </w:pPr>
      <w:bookmarkStart w:id="12" w:name="_Toc300668514"/>
      <w:bookmarkStart w:id="13" w:name="_Toc464037054"/>
      <w:proofErr w:type="spellStart"/>
      <w:r>
        <w:lastRenderedPageBreak/>
        <w:t>C.</w:t>
      </w:r>
      <w:r w:rsidR="005615CC">
        <w:rPr>
          <w:noProof/>
        </w:rPr>
        <w:t>2</w:t>
      </w:r>
      <w:proofErr w:type="spellEnd"/>
      <w:r>
        <w:tab/>
      </w:r>
      <w:r w:rsidR="00C22A0B">
        <w:t>Sector</w:t>
      </w:r>
      <w:r w:rsidR="0045423C">
        <w:t xml:space="preserve"> performance indicator framework</w:t>
      </w:r>
      <w:bookmarkEnd w:id="12"/>
      <w:bookmarkEnd w:id="13"/>
    </w:p>
    <w:p w:rsidR="00210C05" w:rsidRDefault="003D5B52" w:rsidP="00156BF6">
      <w:pPr>
        <w:pStyle w:val="BodyText"/>
      </w:pPr>
      <w:bookmarkStart w:id="14" w:name="_Toc245529193"/>
      <w:r>
        <w:t>This sector overview</w:t>
      </w:r>
      <w:r w:rsidR="00C22A0B">
        <w:t xml:space="preserve"> is based on a sector performance indicator framework</w:t>
      </w:r>
      <w:r w:rsidR="00CD26E5">
        <w:t xml:space="preserve"> </w:t>
      </w:r>
      <w:r w:rsidR="002B29FC">
        <w:t>(figure </w:t>
      </w:r>
      <w:proofErr w:type="spellStart"/>
      <w:r w:rsidR="00CF63EC">
        <w:t>C.3</w:t>
      </w:r>
      <w:proofErr w:type="spellEnd"/>
      <w:r w:rsidR="00CB29F9">
        <w:t>)</w:t>
      </w:r>
      <w:r w:rsidR="00B42099">
        <w:t>,</w:t>
      </w:r>
      <w:r w:rsidR="00CB29F9">
        <w:t xml:space="preserve"> </w:t>
      </w:r>
      <w:r w:rsidR="005309CC">
        <w:t>made up of the following elements:</w:t>
      </w:r>
    </w:p>
    <w:p w:rsidR="005309CC" w:rsidRDefault="0000216A" w:rsidP="00C32765">
      <w:pPr>
        <w:pStyle w:val="ListBullet"/>
      </w:pPr>
      <w:r>
        <w:t>Sector objectives</w:t>
      </w:r>
      <w:r w:rsidR="00CD26E5">
        <w:t xml:space="preserve"> — two sector</w:t>
      </w:r>
      <w:r>
        <w:t xml:space="preserve"> objectives, safe communities and a fair</w:t>
      </w:r>
      <w:r w:rsidR="003D5B52">
        <w:t>,</w:t>
      </w:r>
      <w:r>
        <w:t xml:space="preserve"> equitable and accessible system of justice,</w:t>
      </w:r>
      <w:r w:rsidR="00C32765">
        <w:t xml:space="preserve"> are based on the key objectives of the Justice sector</w:t>
      </w:r>
    </w:p>
    <w:p w:rsidR="00776941" w:rsidRDefault="00CD26E5" w:rsidP="00C32765">
      <w:pPr>
        <w:pStyle w:val="ListBullet"/>
      </w:pPr>
      <w:r>
        <w:t xml:space="preserve">Sector-wide </w:t>
      </w:r>
      <w:r w:rsidR="00C32765">
        <w:t xml:space="preserve">indicators — </w:t>
      </w:r>
      <w:r>
        <w:t>three sector-</w:t>
      </w:r>
      <w:r w:rsidR="006D7ABB">
        <w:t>wide</w:t>
      </w:r>
      <w:r w:rsidR="00BA484D">
        <w:t xml:space="preserve"> indicators relate to</w:t>
      </w:r>
      <w:r w:rsidR="00CB29F9">
        <w:t xml:space="preserve"> the first sector</w:t>
      </w:r>
      <w:r w:rsidR="00B76DBD">
        <w:t xml:space="preserve"> </w:t>
      </w:r>
      <w:r w:rsidR="00B76DBD" w:rsidRPr="008944C5">
        <w:t>objective</w:t>
      </w:r>
      <w:r w:rsidR="00A36D1B" w:rsidRPr="008944C5">
        <w:t xml:space="preserve"> and </w:t>
      </w:r>
      <w:r w:rsidR="00DA62E7" w:rsidRPr="008944C5">
        <w:t>two</w:t>
      </w:r>
      <w:r w:rsidR="00A36D1B" w:rsidRPr="008944C5">
        <w:t xml:space="preserve"> indicator</w:t>
      </w:r>
      <w:r w:rsidR="00DA62E7" w:rsidRPr="008944C5">
        <w:t>s</w:t>
      </w:r>
      <w:r w:rsidR="00BA484D">
        <w:t xml:space="preserve"> relate to</w:t>
      </w:r>
      <w:r w:rsidR="00CB29F9">
        <w:t xml:space="preserve"> the second sector</w:t>
      </w:r>
      <w:r w:rsidR="00B76DBD">
        <w:t xml:space="preserve"> objective</w:t>
      </w:r>
      <w:r w:rsidR="00C90942">
        <w:t>.</w:t>
      </w:r>
    </w:p>
    <w:p w:rsidR="008803EA" w:rsidRDefault="008803EA"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632"/>
      </w:tblGrid>
      <w:tr w:rsidR="008803EA" w:rsidTr="005C60EE">
        <w:trPr>
          <w:trHeight w:val="130"/>
        </w:trPr>
        <w:tc>
          <w:tcPr>
            <w:tcW w:w="8632" w:type="dxa"/>
            <w:tcBorders>
              <w:top w:val="single" w:sz="6" w:space="0" w:color="78A22F"/>
              <w:left w:val="nil"/>
              <w:bottom w:val="nil"/>
              <w:right w:val="nil"/>
            </w:tcBorders>
            <w:shd w:val="clear" w:color="auto" w:fill="auto"/>
          </w:tcPr>
          <w:p w:rsidR="008803EA" w:rsidRPr="00176D3F" w:rsidRDefault="008803EA">
            <w:pPr>
              <w:pStyle w:val="FigureTitle"/>
            </w:pPr>
            <w:r w:rsidRPr="00784A05">
              <w:rPr>
                <w:b w:val="0"/>
              </w:rPr>
              <w:t xml:space="preserve">Figure </w:t>
            </w:r>
            <w:proofErr w:type="spellStart"/>
            <w:r w:rsidR="00E63BFE">
              <w:rPr>
                <w:b w:val="0"/>
              </w:rPr>
              <w:t>C.3</w:t>
            </w:r>
            <w:proofErr w:type="spellEnd"/>
            <w:r>
              <w:tab/>
              <w:t>Criminal and civil justice sector performance indicator framework</w:t>
            </w:r>
          </w:p>
        </w:tc>
      </w:tr>
      <w:tr w:rsidR="008803EA" w:rsidTr="009F45A6">
        <w:trPr>
          <w:trHeight w:val="4268"/>
        </w:trPr>
        <w:tc>
          <w:tcPr>
            <w:tcW w:w="8632" w:type="dxa"/>
            <w:tcBorders>
              <w:top w:val="nil"/>
              <w:left w:val="nil"/>
              <w:bottom w:val="single" w:sz="4" w:space="0" w:color="78A22F" w:themeColor="accent1"/>
              <w:right w:val="nil"/>
            </w:tcBorders>
            <w:shd w:val="clear" w:color="auto" w:fill="auto"/>
            <w:tcMar>
              <w:top w:w="28" w:type="dxa"/>
              <w:bottom w:w="28" w:type="dxa"/>
            </w:tcMar>
          </w:tcPr>
          <w:p w:rsidR="008803EA" w:rsidRDefault="00E45E2B" w:rsidP="0085602C">
            <w:r>
              <w:rPr>
                <w:noProof/>
              </w:rPr>
              <w:drawing>
                <wp:inline distT="0" distB="0" distL="0" distR="0" wp14:anchorId="4F6A3DE9" wp14:editId="39D5E312">
                  <wp:extent cx="5332021" cy="2600696"/>
                  <wp:effectExtent l="0" t="0" r="2540" b="9525"/>
                  <wp:docPr id="1" name="Picture 1" descr="Figure C.3 Criminal and civil justice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b="67138"/>
                          <a:stretch/>
                        </pic:blipFill>
                        <pic:spPr bwMode="auto">
                          <a:xfrm>
                            <a:off x="0" y="0"/>
                            <a:ext cx="5336343" cy="2602804"/>
                          </a:xfrm>
                          <a:prstGeom prst="rect">
                            <a:avLst/>
                          </a:prstGeom>
                          <a:ln>
                            <a:noFill/>
                          </a:ln>
                          <a:extLst>
                            <a:ext uri="{53640926-AAD7-44D8-BBD7-CCE9431645EC}">
                              <a14:shadowObscured xmlns:a14="http://schemas.microsoft.com/office/drawing/2010/main"/>
                            </a:ext>
                          </a:extLst>
                        </pic:spPr>
                      </pic:pic>
                    </a:graphicData>
                  </a:graphic>
                </wp:inline>
              </w:drawing>
            </w:r>
          </w:p>
        </w:tc>
      </w:tr>
    </w:tbl>
    <w:bookmarkEnd w:id="14"/>
    <w:p w:rsidR="00B3791D" w:rsidRDefault="00B3791D" w:rsidP="00B3791D">
      <w:pPr>
        <w:pStyle w:val="Heading4"/>
      </w:pPr>
      <w:r>
        <w:t xml:space="preserve">Community perceptions of safety </w:t>
      </w:r>
    </w:p>
    <w:p w:rsidR="00B3791D" w:rsidRDefault="00B43D20" w:rsidP="00B3791D">
      <w:pPr>
        <w:pStyle w:val="BodyText"/>
      </w:pPr>
      <w:r>
        <w:t>‘</w:t>
      </w:r>
      <w:r w:rsidR="009B1A7F">
        <w:t>Community perceptions of safety</w:t>
      </w:r>
      <w:r>
        <w:t>’</w:t>
      </w:r>
      <w:r w:rsidR="009B1A7F">
        <w:t xml:space="preserve"> is an indicator of governments’ objective to maintain </w:t>
      </w:r>
      <w:r w:rsidR="0096665E">
        <w:t>safe communities</w:t>
      </w:r>
      <w:r w:rsidR="009B1A7F">
        <w:t xml:space="preserve"> (</w:t>
      </w:r>
      <w:r w:rsidR="00E62227" w:rsidRPr="00E62227">
        <w:t xml:space="preserve">box </w:t>
      </w:r>
      <w:proofErr w:type="spellStart"/>
      <w:r w:rsidR="00B47BEB">
        <w:t>C.</w:t>
      </w:r>
      <w:r w:rsidR="004C041D">
        <w:t>2</w:t>
      </w:r>
      <w:proofErr w:type="spellEnd"/>
      <w:r w:rsidR="009B1A7F">
        <w:t>).</w:t>
      </w:r>
    </w:p>
    <w:p w:rsidR="00110D87" w:rsidRDefault="00110D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0D87" w:rsidTr="00EA1FCD">
        <w:tc>
          <w:tcPr>
            <w:tcW w:w="8771" w:type="dxa"/>
            <w:tcBorders>
              <w:top w:val="single" w:sz="6" w:space="0" w:color="78A22F"/>
              <w:left w:val="nil"/>
              <w:bottom w:val="nil"/>
              <w:right w:val="nil"/>
            </w:tcBorders>
            <w:shd w:val="clear" w:color="auto" w:fill="F2F2F2" w:themeFill="background1" w:themeFillShade="F2"/>
          </w:tcPr>
          <w:p w:rsidR="00110D87" w:rsidRDefault="00110D87">
            <w:pPr>
              <w:pStyle w:val="BoxTitle"/>
            </w:pPr>
            <w:r>
              <w:rPr>
                <w:b w:val="0"/>
              </w:rPr>
              <w:t xml:space="preserve">Box </w:t>
            </w:r>
            <w:proofErr w:type="spellStart"/>
            <w:r>
              <w:rPr>
                <w:b w:val="0"/>
              </w:rPr>
              <w:t>C</w:t>
            </w:r>
            <w:r w:rsidR="00834238">
              <w:rPr>
                <w:b w:val="0"/>
              </w:rPr>
              <w:t>.</w:t>
            </w:r>
            <w:r w:rsidR="004C041D">
              <w:rPr>
                <w:b w:val="0"/>
              </w:rPr>
              <w:t>2</w:t>
            </w:r>
            <w:proofErr w:type="spellEnd"/>
            <w:r>
              <w:tab/>
            </w:r>
            <w:r>
              <w:rPr>
                <w:sz w:val="26"/>
                <w:szCs w:val="26"/>
              </w:rPr>
              <w:t>Community p</w:t>
            </w:r>
            <w:r w:rsidRPr="00892734">
              <w:rPr>
                <w:sz w:val="26"/>
                <w:szCs w:val="26"/>
              </w:rPr>
              <w:t>erceptions of safety</w:t>
            </w:r>
          </w:p>
        </w:tc>
      </w:tr>
      <w:tr w:rsidR="00110D87" w:rsidTr="00EA1FCD">
        <w:trPr>
          <w:cantSplit/>
        </w:trPr>
        <w:tc>
          <w:tcPr>
            <w:tcW w:w="8771" w:type="dxa"/>
            <w:tcBorders>
              <w:top w:val="nil"/>
              <w:left w:val="nil"/>
              <w:bottom w:val="nil"/>
              <w:right w:val="nil"/>
            </w:tcBorders>
            <w:shd w:val="clear" w:color="auto" w:fill="F2F2F2" w:themeFill="background1" w:themeFillShade="F2"/>
          </w:tcPr>
          <w:p w:rsidR="00110D87" w:rsidRPr="00892734" w:rsidRDefault="00110D87" w:rsidP="009F45A6">
            <w:pPr>
              <w:pStyle w:val="Box"/>
            </w:pPr>
            <w:r w:rsidRPr="00892734">
              <w:t>‘</w:t>
            </w:r>
            <w:r>
              <w:t>Community p</w:t>
            </w:r>
            <w:r w:rsidRPr="00892734">
              <w:t>erceptions of safety’ is defined by two separate measures:</w:t>
            </w:r>
          </w:p>
          <w:p w:rsidR="00110D87" w:rsidRPr="001B03D5" w:rsidRDefault="00110D87" w:rsidP="009F45A6">
            <w:pPr>
              <w:pStyle w:val="BoxListBullet"/>
            </w:pPr>
            <w:r w:rsidRPr="001B03D5">
              <w:t>the proportion of people who felt ‘safe’ or ‘very safe’ at home</w:t>
            </w:r>
            <w:r w:rsidR="00C75D64">
              <w:t xml:space="preserve"> alone at night</w:t>
            </w:r>
          </w:p>
          <w:p w:rsidR="00110D87" w:rsidRPr="001B03D5" w:rsidRDefault="00110D87" w:rsidP="009F45A6">
            <w:pPr>
              <w:pStyle w:val="BoxListBullet"/>
            </w:pPr>
            <w:r w:rsidRPr="001B03D5">
              <w:t>the proportion of people who felt ‘safe’ or ‘very safe’ in public places</w:t>
            </w:r>
            <w:r w:rsidR="00DD11B1">
              <w:t xml:space="preserve"> </w:t>
            </w:r>
            <w:r w:rsidR="00DD11B1" w:rsidRPr="00EA1FCD">
              <w:t>at night</w:t>
            </w:r>
            <w:r w:rsidRPr="001B03D5">
              <w:t>.</w:t>
            </w:r>
          </w:p>
          <w:p w:rsidR="00110D87" w:rsidRPr="001B03D5" w:rsidRDefault="00864E0B" w:rsidP="00C82E63">
            <w:pPr>
              <w:pStyle w:val="Box"/>
            </w:pPr>
            <w:r>
              <w:t>H</w:t>
            </w:r>
            <w:r w:rsidR="00110D87" w:rsidRPr="001B03D5">
              <w:t>igh or increasing proportion</w:t>
            </w:r>
            <w:r>
              <w:t>s</w:t>
            </w:r>
            <w:r w:rsidR="00110D87" w:rsidRPr="001B03D5">
              <w:t xml:space="preserve"> of people who felt ‘safe’ or ‘very safe’ is desirable.</w:t>
            </w:r>
          </w:p>
          <w:p w:rsidR="00110D87" w:rsidRPr="001B03D5" w:rsidRDefault="00110D87" w:rsidP="00C82E63">
            <w:pPr>
              <w:pStyle w:val="Box"/>
            </w:pPr>
            <w:r w:rsidRPr="001B03D5">
              <w:t>Perceptions of safety m</w:t>
            </w:r>
            <w:r>
              <w:t>ay</w:t>
            </w:r>
            <w:r w:rsidRPr="001B03D5">
              <w:t xml:space="preserve"> not reflect reported crime, as reported crime might understate actual crime, and many factors (including media reporting and hearsay) might affect public perceptions of crime levels and safety.</w:t>
            </w:r>
          </w:p>
          <w:p w:rsidR="0096665E" w:rsidRDefault="00110D87" w:rsidP="00C82E63">
            <w:pPr>
              <w:pStyle w:val="Box"/>
            </w:pPr>
            <w:r w:rsidRPr="001B03D5">
              <w:t>Data reported for</w:t>
            </w:r>
            <w:r>
              <w:t xml:space="preserve"> this indicator are:</w:t>
            </w:r>
          </w:p>
          <w:p w:rsidR="0096665E" w:rsidRPr="00110D87" w:rsidRDefault="00110D87" w:rsidP="009F45A6">
            <w:pPr>
              <w:pStyle w:val="BoxListBullet"/>
            </w:pPr>
            <w:r w:rsidRPr="00110D87">
              <w:t>comparable (subject to caveats) across jurisdictions and over time</w:t>
            </w:r>
          </w:p>
          <w:p w:rsidR="00110D87" w:rsidRPr="0096665E" w:rsidRDefault="00110D87" w:rsidP="009F45A6">
            <w:pPr>
              <w:pStyle w:val="BoxListBullet"/>
              <w:rPr>
                <w:rFonts w:cs="Arial"/>
              </w:rPr>
            </w:pPr>
            <w:r w:rsidRPr="0096665E">
              <w:rPr>
                <w:rFonts w:cs="Arial"/>
              </w:rPr>
              <w:t>complete for the current reporting period (subject to caveats). All required 201</w:t>
            </w:r>
            <w:r w:rsidR="00326AD0" w:rsidRPr="0096665E">
              <w:rPr>
                <w:rFonts w:cs="Arial"/>
              </w:rPr>
              <w:t>5</w:t>
            </w:r>
            <w:r w:rsidRPr="0096665E">
              <w:rPr>
                <w:rFonts w:cs="Arial"/>
              </w:rPr>
              <w:t>-1</w:t>
            </w:r>
            <w:r w:rsidR="00326AD0" w:rsidRPr="0096665E">
              <w:rPr>
                <w:rFonts w:cs="Arial"/>
              </w:rPr>
              <w:t>6</w:t>
            </w:r>
            <w:r w:rsidRPr="0096665E">
              <w:rPr>
                <w:rFonts w:cs="Arial"/>
              </w:rPr>
              <w:t xml:space="preserve"> data are available for all jurisdictions.</w:t>
            </w:r>
          </w:p>
        </w:tc>
      </w:tr>
      <w:tr w:rsidR="00110D87" w:rsidTr="00C82E63">
        <w:trPr>
          <w:cantSplit/>
        </w:trPr>
        <w:tc>
          <w:tcPr>
            <w:tcW w:w="8771" w:type="dxa"/>
            <w:tcBorders>
              <w:top w:val="nil"/>
              <w:left w:val="nil"/>
              <w:bottom w:val="nil"/>
              <w:right w:val="nil"/>
            </w:tcBorders>
            <w:shd w:val="clear" w:color="auto" w:fill="F2F2F2" w:themeFill="background1" w:themeFillShade="F2"/>
          </w:tcPr>
          <w:p w:rsidR="00110D87" w:rsidRPr="00110D87" w:rsidRDefault="00110D87" w:rsidP="00723465">
            <w:pPr>
              <w:pStyle w:val="BoxSource"/>
              <w:spacing w:after="120"/>
            </w:pPr>
            <w:r>
              <w:rPr>
                <w:i/>
              </w:rPr>
              <w:t xml:space="preserve">Source: </w:t>
            </w:r>
            <w:r>
              <w:t>Chapter 6.</w:t>
            </w:r>
          </w:p>
        </w:tc>
      </w:tr>
      <w:tr w:rsidR="00110D87" w:rsidRPr="000863A5" w:rsidTr="00C82E63">
        <w:tc>
          <w:tcPr>
            <w:tcW w:w="8771" w:type="dxa"/>
            <w:tcBorders>
              <w:top w:val="single" w:sz="6" w:space="0" w:color="78A22F"/>
              <w:left w:val="nil"/>
              <w:bottom w:val="nil"/>
              <w:right w:val="nil"/>
            </w:tcBorders>
          </w:tcPr>
          <w:p w:rsidR="00110D87" w:rsidRPr="00626D32" w:rsidRDefault="00110D87" w:rsidP="00C82E63">
            <w:pPr>
              <w:pStyle w:val="BoxSpaceBelow"/>
            </w:pPr>
          </w:p>
        </w:tc>
      </w:tr>
    </w:tbl>
    <w:p w:rsidR="009B1A7F" w:rsidRDefault="00A768D1" w:rsidP="00B3791D">
      <w:pPr>
        <w:pStyle w:val="BodyText"/>
      </w:pPr>
      <w:r>
        <w:t>Data for this indicator are derived from the National Survey of Community Satisfaction with Policing (</w:t>
      </w:r>
      <w:proofErr w:type="spellStart"/>
      <w:r>
        <w:t>NSCSP</w:t>
      </w:r>
      <w:proofErr w:type="spellEnd"/>
      <w:r>
        <w:t>)</w:t>
      </w:r>
      <w:r w:rsidR="0096665E">
        <w:t xml:space="preserve"> – see chapter 6 for further details on this survey</w:t>
      </w:r>
      <w:r>
        <w:t>.</w:t>
      </w:r>
    </w:p>
    <w:p w:rsidR="00860BF1" w:rsidRDefault="00873D1E" w:rsidP="00DC596F">
      <w:pPr>
        <w:pStyle w:val="BodyText"/>
      </w:pPr>
      <w:r w:rsidRPr="00CB1549">
        <w:t>Nationally</w:t>
      </w:r>
      <w:r w:rsidR="004D4E38" w:rsidRPr="00CB1549">
        <w:t xml:space="preserve"> in </w:t>
      </w:r>
      <w:r w:rsidR="004D4E38" w:rsidRPr="00D82E5D">
        <w:t>201</w:t>
      </w:r>
      <w:r w:rsidR="00966EC2" w:rsidRPr="00D82E5D">
        <w:t>5</w:t>
      </w:r>
      <w:r w:rsidR="004D4E38" w:rsidRPr="00D82E5D">
        <w:t>-1</w:t>
      </w:r>
      <w:r w:rsidR="00966EC2" w:rsidRPr="00D82E5D">
        <w:t>6</w:t>
      </w:r>
      <w:r w:rsidR="00DC596F" w:rsidRPr="00D82E5D">
        <w:t xml:space="preserve">, </w:t>
      </w:r>
      <w:r w:rsidR="00D82E5D">
        <w:t>88.5</w:t>
      </w:r>
      <w:r w:rsidR="00D06FDF" w:rsidRPr="00D82E5D">
        <w:t xml:space="preserve"> </w:t>
      </w:r>
      <w:r w:rsidRPr="00CB1549">
        <w:t>per cent of people felt ‘safe’ or ‘very safe’ at home alone during the</w:t>
      </w:r>
      <w:r w:rsidR="009C201A" w:rsidRPr="00CB1549">
        <w:t xml:space="preserve"> night</w:t>
      </w:r>
      <w:r w:rsidR="00DC596F" w:rsidRPr="00CB1549">
        <w:t xml:space="preserve"> (</w:t>
      </w:r>
      <w:r w:rsidR="007D0B08">
        <w:t>figure </w:t>
      </w:r>
      <w:proofErr w:type="spellStart"/>
      <w:r w:rsidR="007D0B08">
        <w:t>C.4</w:t>
      </w:r>
      <w:proofErr w:type="spellEnd"/>
      <w:r w:rsidR="00DC596F" w:rsidRPr="00CB1549">
        <w:t>).</w:t>
      </w:r>
      <w:r w:rsidRPr="00CB1549">
        <w:t xml:space="preserve"> </w:t>
      </w:r>
      <w:r w:rsidR="00DC596F" w:rsidRPr="00CB1549">
        <w:t>The proportions were lower for those walking alone locally during the night (</w:t>
      </w:r>
      <w:r w:rsidR="00D82E5D">
        <w:t>51.7</w:t>
      </w:r>
      <w:r w:rsidR="00DC596F" w:rsidRPr="00CB1549">
        <w:t xml:space="preserve"> per cent nationally) and lower again for those on public transport during the night (</w:t>
      </w:r>
      <w:r w:rsidR="00D82E5D">
        <w:t>24.3</w:t>
      </w:r>
      <w:r w:rsidR="00DC596F" w:rsidRPr="00CB1549">
        <w:t xml:space="preserve"> per cent nationally)</w:t>
      </w:r>
      <w:r w:rsidR="009C201A">
        <w:t xml:space="preserve"> (figure </w:t>
      </w:r>
      <w:proofErr w:type="spellStart"/>
      <w:r w:rsidR="008971BF">
        <w:t>C.4</w:t>
      </w:r>
      <w:proofErr w:type="spellEnd"/>
      <w:r w:rsidR="009C201A" w:rsidRPr="001B03D5">
        <w:t>).</w:t>
      </w:r>
    </w:p>
    <w:p w:rsidR="00820081" w:rsidRDefault="00820081" w:rsidP="00723465">
      <w:pPr>
        <w:pStyle w:val="BoxSpaceAbove"/>
        <w:spacing w:before="240"/>
      </w:pPr>
    </w:p>
    <w:tbl>
      <w:tblPr>
        <w:tblW w:w="9292"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gridCol w:w="521"/>
      </w:tblGrid>
      <w:tr w:rsidR="00820081" w:rsidTr="00677606">
        <w:trPr>
          <w:trHeight w:val="755"/>
        </w:trPr>
        <w:tc>
          <w:tcPr>
            <w:tcW w:w="9292" w:type="dxa"/>
            <w:gridSpan w:val="2"/>
            <w:tcBorders>
              <w:top w:val="single" w:sz="6" w:space="0" w:color="78A22F"/>
              <w:left w:val="nil"/>
              <w:bottom w:val="nil"/>
              <w:right w:val="nil"/>
            </w:tcBorders>
            <w:shd w:val="clear" w:color="auto" w:fill="auto"/>
          </w:tcPr>
          <w:p w:rsidR="00820081" w:rsidRPr="00176D3F" w:rsidRDefault="00820081">
            <w:pPr>
              <w:pStyle w:val="FigureTitle"/>
              <w:rPr>
                <w:lang w:eastAsia="en-US"/>
              </w:rPr>
            </w:pPr>
            <w:r w:rsidRPr="00784A05">
              <w:rPr>
                <w:b w:val="0"/>
              </w:rPr>
              <w:t xml:space="preserve">Figure </w:t>
            </w:r>
            <w:proofErr w:type="spellStart"/>
            <w:r w:rsidR="008971BF">
              <w:rPr>
                <w:b w:val="0"/>
              </w:rPr>
              <w:t>C.4</w:t>
            </w:r>
            <w:proofErr w:type="spellEnd"/>
            <w:r>
              <w:tab/>
            </w:r>
            <w:r w:rsidRPr="001B03D5">
              <w:t>P</w:t>
            </w:r>
            <w:r w:rsidR="00DC596F">
              <w:t>roportion of</w:t>
            </w:r>
            <w:r w:rsidR="00F00F69">
              <w:t xml:space="preserve"> people who felt ‘safe’ or ‘very</w:t>
            </w:r>
            <w:r w:rsidR="00DC596F">
              <w:t xml:space="preserve"> safe’ in </w:t>
            </w:r>
            <w:r w:rsidRPr="001B03D5">
              <w:t>public places during the night</w:t>
            </w:r>
            <w:r w:rsidR="00DC596F">
              <w:t xml:space="preserve">, </w:t>
            </w:r>
            <w:r w:rsidR="00DC596F" w:rsidRPr="008710A0">
              <w:t>201</w:t>
            </w:r>
            <w:r w:rsidR="00966EC2" w:rsidRPr="008710A0">
              <w:t>5</w:t>
            </w:r>
            <w:r w:rsidR="00DC596F" w:rsidRPr="008710A0">
              <w:t>-1</w:t>
            </w:r>
            <w:r w:rsidR="00966EC2" w:rsidRPr="008710A0">
              <w:t>6</w:t>
            </w:r>
            <w:r w:rsidR="00ED3B76" w:rsidRPr="008710A0">
              <w:rPr>
                <w:rStyle w:val="NoteLabel"/>
                <w:b/>
              </w:rPr>
              <w:t>a</w:t>
            </w:r>
          </w:p>
        </w:tc>
      </w:tr>
      <w:tr w:rsidR="00820081" w:rsidTr="00677606">
        <w:trPr>
          <w:trHeight w:val="3920"/>
        </w:trPr>
        <w:tc>
          <w:tcPr>
            <w:tcW w:w="9292" w:type="dxa"/>
            <w:gridSpan w:val="2"/>
            <w:tcBorders>
              <w:top w:val="nil"/>
              <w:left w:val="nil"/>
              <w:bottom w:val="nil"/>
              <w:right w:val="nil"/>
            </w:tcBorders>
            <w:shd w:val="clear" w:color="auto" w:fill="auto"/>
            <w:tcMar>
              <w:top w:w="28" w:type="dxa"/>
              <w:bottom w:w="28" w:type="dxa"/>
            </w:tcMar>
          </w:tcPr>
          <w:tbl>
            <w:tblPr>
              <w:tblW w:w="4990" w:type="pct"/>
              <w:tblLayout w:type="fixed"/>
              <w:tblCellMar>
                <w:top w:w="28" w:type="dxa"/>
              </w:tblCellMar>
              <w:tblLook w:val="0000" w:firstRow="0" w:lastRow="0" w:firstColumn="0" w:lastColumn="0" w:noHBand="0" w:noVBand="0"/>
            </w:tblPr>
            <w:tblGrid>
              <w:gridCol w:w="8990"/>
            </w:tblGrid>
            <w:tr w:rsidR="00820081" w:rsidTr="00677606">
              <w:trPr>
                <w:trHeight w:val="3906"/>
              </w:trPr>
              <w:tc>
                <w:tcPr>
                  <w:tcW w:w="8990" w:type="dxa"/>
                </w:tcPr>
                <w:p w:rsidR="00820081" w:rsidRDefault="008710A0" w:rsidP="00C82E63">
                  <w:pPr>
                    <w:pStyle w:val="Figure"/>
                    <w:spacing w:before="60" w:after="60"/>
                  </w:pPr>
                  <w:r>
                    <w:rPr>
                      <w:noProof/>
                    </w:rPr>
                    <w:drawing>
                      <wp:inline distT="0" distB="0" distL="0" distR="0" wp14:anchorId="5D74F1B2" wp14:editId="6A69106E">
                        <wp:extent cx="5572125" cy="2428875"/>
                        <wp:effectExtent l="0" t="0" r="9525" b="9525"/>
                        <wp:docPr id="3" name="Picture 3" descr="Figure C.4 Proportion of people who felt safe or very safe in public places during the night,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2254" cy="2428931"/>
                                </a:xfrm>
                                <a:prstGeom prst="rect">
                                  <a:avLst/>
                                </a:prstGeom>
                                <a:noFill/>
                              </pic:spPr>
                            </pic:pic>
                          </a:graphicData>
                        </a:graphic>
                      </wp:inline>
                    </w:drawing>
                  </w:r>
                </w:p>
              </w:tc>
            </w:tr>
          </w:tbl>
          <w:p w:rsidR="00820081" w:rsidRDefault="00820081" w:rsidP="00C82E63">
            <w:pPr>
              <w:pStyle w:val="Figure"/>
            </w:pPr>
          </w:p>
        </w:tc>
      </w:tr>
      <w:tr w:rsidR="00820081" w:rsidRPr="00176D3F" w:rsidTr="00677606">
        <w:trPr>
          <w:trHeight w:val="317"/>
        </w:trPr>
        <w:tc>
          <w:tcPr>
            <w:tcW w:w="9292" w:type="dxa"/>
            <w:gridSpan w:val="2"/>
            <w:tcBorders>
              <w:top w:val="nil"/>
              <w:left w:val="nil"/>
              <w:bottom w:val="nil"/>
              <w:right w:val="nil"/>
            </w:tcBorders>
            <w:shd w:val="clear" w:color="auto" w:fill="auto"/>
          </w:tcPr>
          <w:p w:rsidR="00820081" w:rsidRPr="00176D3F" w:rsidRDefault="00A21483" w:rsidP="00ED3B76">
            <w:pPr>
              <w:pStyle w:val="Note"/>
              <w:keepNext/>
              <w:rPr>
                <w:szCs w:val="26"/>
                <w:lang w:eastAsia="en-US"/>
              </w:rPr>
            </w:pPr>
            <w:r w:rsidRPr="00415B0A">
              <w:rPr>
                <w:rStyle w:val="NoteLabel"/>
              </w:rPr>
              <w:t>a</w:t>
            </w:r>
            <w:r w:rsidR="00820081" w:rsidRPr="00415B0A">
              <w:t xml:space="preserve"> </w:t>
            </w:r>
            <w:r w:rsidR="00431AA5" w:rsidRPr="00415B0A">
              <w:t xml:space="preserve">See tables </w:t>
            </w:r>
            <w:proofErr w:type="spellStart"/>
            <w:r w:rsidR="00431AA5" w:rsidRPr="004C18D2">
              <w:t>CA</w:t>
            </w:r>
            <w:r w:rsidR="00ED3B76" w:rsidRPr="004C18D2">
              <w:t>.</w:t>
            </w:r>
            <w:r w:rsidR="00431AA5" w:rsidRPr="004C18D2">
              <w:t>1</w:t>
            </w:r>
            <w:proofErr w:type="spellEnd"/>
            <w:r w:rsidR="00431AA5" w:rsidRPr="004C18D2">
              <w:noBreakHyphen/>
              <w:t xml:space="preserve">2 </w:t>
            </w:r>
            <w:r w:rsidR="00ED3B76" w:rsidRPr="00CC6C7F">
              <w:t xml:space="preserve">and </w:t>
            </w:r>
            <w:proofErr w:type="spellStart"/>
            <w:r w:rsidR="00ED3B76" w:rsidRPr="00CC6C7F">
              <w:t>6A.19</w:t>
            </w:r>
            <w:proofErr w:type="spellEnd"/>
            <w:r w:rsidR="00ED3B76" w:rsidRPr="00CC6C7F">
              <w:noBreakHyphen/>
              <w:t xml:space="preserve">21 </w:t>
            </w:r>
            <w:r w:rsidR="00431AA5" w:rsidRPr="00415B0A">
              <w:t>for detailed footnotes and caveats.</w:t>
            </w:r>
          </w:p>
        </w:tc>
      </w:tr>
      <w:tr w:rsidR="00820081" w:rsidRPr="00176D3F" w:rsidTr="00677606">
        <w:trPr>
          <w:trHeight w:val="302"/>
        </w:trPr>
        <w:tc>
          <w:tcPr>
            <w:tcW w:w="9292" w:type="dxa"/>
            <w:gridSpan w:val="2"/>
            <w:tcBorders>
              <w:top w:val="nil"/>
              <w:left w:val="nil"/>
              <w:bottom w:val="nil"/>
              <w:right w:val="nil"/>
            </w:tcBorders>
            <w:shd w:val="clear" w:color="auto" w:fill="auto"/>
          </w:tcPr>
          <w:p w:rsidR="00820081" w:rsidRPr="00176D3F" w:rsidRDefault="00820081" w:rsidP="00D937FA">
            <w:pPr>
              <w:pStyle w:val="Source"/>
            </w:pPr>
            <w:r>
              <w:rPr>
                <w:i/>
              </w:rPr>
              <w:t>S</w:t>
            </w:r>
            <w:r w:rsidRPr="00784A05">
              <w:rPr>
                <w:i/>
              </w:rPr>
              <w:t>ource</w:t>
            </w:r>
            <w:r w:rsidRPr="00176D3F">
              <w:t xml:space="preserve">: </w:t>
            </w:r>
            <w:r w:rsidR="0033791A">
              <w:t>Australia New Zealand Policing Advisory Agency (</w:t>
            </w:r>
            <w:proofErr w:type="spellStart"/>
            <w:r w:rsidR="0033791A">
              <w:t>ANZPAA</w:t>
            </w:r>
            <w:proofErr w:type="spellEnd"/>
            <w:r w:rsidR="0033791A">
              <w:t>)</w:t>
            </w:r>
            <w:r w:rsidRPr="001B03D5">
              <w:t xml:space="preserve"> (unpu</w:t>
            </w:r>
            <w:r>
              <w:t xml:space="preserve">blished) </w:t>
            </w:r>
            <w:proofErr w:type="spellStart"/>
            <w:r>
              <w:rPr>
                <w:i/>
              </w:rPr>
              <w:t>NSCSP</w:t>
            </w:r>
            <w:proofErr w:type="spellEnd"/>
            <w:r>
              <w:t xml:space="preserve">; </w:t>
            </w:r>
            <w:r w:rsidRPr="004C18D2">
              <w:t>table</w:t>
            </w:r>
            <w:r w:rsidR="00D937FA" w:rsidRPr="004C18D2">
              <w:t xml:space="preserve">s </w:t>
            </w:r>
            <w:proofErr w:type="spellStart"/>
            <w:r w:rsidR="00D937FA" w:rsidRPr="004C18D2">
              <w:t>CA.1</w:t>
            </w:r>
            <w:proofErr w:type="spellEnd"/>
            <w:r w:rsidR="00D937FA" w:rsidRPr="004C18D2">
              <w:noBreakHyphen/>
            </w:r>
            <w:r w:rsidRPr="004C18D2">
              <w:t>2</w:t>
            </w:r>
            <w:r w:rsidR="001E60F2">
              <w:t xml:space="preserve"> </w:t>
            </w:r>
            <w:r w:rsidR="001E60F2" w:rsidRPr="00EA1FCD">
              <w:t xml:space="preserve">and </w:t>
            </w:r>
            <w:proofErr w:type="spellStart"/>
            <w:r w:rsidR="001E60F2" w:rsidRPr="00EA1FCD">
              <w:t>6A.19</w:t>
            </w:r>
            <w:proofErr w:type="spellEnd"/>
            <w:r w:rsidR="001E60F2" w:rsidRPr="00EA1FCD">
              <w:noBreakHyphen/>
              <w:t>21</w:t>
            </w:r>
            <w:r w:rsidR="001E60F2">
              <w:t>.</w:t>
            </w:r>
          </w:p>
        </w:tc>
      </w:tr>
      <w:tr w:rsidR="00677606" w:rsidTr="00677606">
        <w:trPr>
          <w:gridAfter w:val="1"/>
          <w:wAfter w:w="521" w:type="dxa"/>
        </w:trPr>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820081" w:rsidRPr="000863A5" w:rsidTr="00677606">
        <w:trPr>
          <w:trHeight w:val="201"/>
        </w:trPr>
        <w:tc>
          <w:tcPr>
            <w:tcW w:w="9292" w:type="dxa"/>
            <w:gridSpan w:val="2"/>
            <w:tcBorders>
              <w:top w:val="single" w:sz="6" w:space="0" w:color="78A22F"/>
              <w:left w:val="nil"/>
              <w:bottom w:val="nil"/>
              <w:right w:val="nil"/>
            </w:tcBorders>
          </w:tcPr>
          <w:p w:rsidR="00820081" w:rsidRPr="00626D32" w:rsidRDefault="00820081" w:rsidP="00C82E63">
            <w:pPr>
              <w:pStyle w:val="BoxSpaceBelow"/>
            </w:pPr>
          </w:p>
        </w:tc>
      </w:tr>
    </w:tbl>
    <w:p w:rsidR="00B3791D" w:rsidRDefault="002B2D83" w:rsidP="00641CD3">
      <w:pPr>
        <w:pStyle w:val="Heading4"/>
        <w:spacing w:before="360"/>
      </w:pPr>
      <w:r>
        <w:lastRenderedPageBreak/>
        <w:t>Crime victimisation</w:t>
      </w:r>
    </w:p>
    <w:p w:rsidR="007C567D" w:rsidRDefault="006A1843" w:rsidP="008944C5">
      <w:pPr>
        <w:pStyle w:val="BodyText"/>
      </w:pPr>
      <w:r w:rsidRPr="00B86BDF">
        <w:t xml:space="preserve">‘Crime victimisation’ is an indicator of governments’ objective to </w:t>
      </w:r>
      <w:r w:rsidR="0096665E">
        <w:t>maintain safe communities</w:t>
      </w:r>
      <w:r>
        <w:t xml:space="preserve"> </w:t>
      </w:r>
      <w:r w:rsidR="00C17A11">
        <w:t>(b</w:t>
      </w:r>
      <w:r w:rsidR="004F57A7">
        <w:t xml:space="preserve">ox </w:t>
      </w:r>
      <w:proofErr w:type="spellStart"/>
      <w:r w:rsidR="009C3ACE">
        <w:t>C.</w:t>
      </w:r>
      <w:r w:rsidR="006D5DD0">
        <w:t>3</w:t>
      </w:r>
      <w:proofErr w:type="spellEnd"/>
      <w:r w:rsidR="004F57A7">
        <w:t>)</w:t>
      </w:r>
      <w:r w:rsidR="007C567D">
        <w:t>.</w:t>
      </w:r>
    </w:p>
    <w:p w:rsidR="007703B9" w:rsidRDefault="007703B9" w:rsidP="00641CD3">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703B9" w:rsidTr="00C82E63">
        <w:tc>
          <w:tcPr>
            <w:tcW w:w="8771" w:type="dxa"/>
            <w:tcBorders>
              <w:top w:val="single" w:sz="6" w:space="0" w:color="78A22F"/>
              <w:left w:val="nil"/>
              <w:bottom w:val="nil"/>
              <w:right w:val="nil"/>
            </w:tcBorders>
            <w:shd w:val="clear" w:color="auto" w:fill="F2F2F2" w:themeFill="background1" w:themeFillShade="F2"/>
          </w:tcPr>
          <w:p w:rsidR="007703B9" w:rsidRDefault="007703B9">
            <w:pPr>
              <w:pStyle w:val="BoxTitle"/>
            </w:pPr>
            <w:r>
              <w:rPr>
                <w:b w:val="0"/>
              </w:rPr>
              <w:t xml:space="preserve">Box </w:t>
            </w:r>
            <w:proofErr w:type="spellStart"/>
            <w:r>
              <w:rPr>
                <w:b w:val="0"/>
              </w:rPr>
              <w:t>C</w:t>
            </w:r>
            <w:r w:rsidR="004522AE">
              <w:rPr>
                <w:b w:val="0"/>
              </w:rPr>
              <w:t>.</w:t>
            </w:r>
            <w:r w:rsidR="006D5DD0">
              <w:rPr>
                <w:b w:val="0"/>
              </w:rPr>
              <w:t>3</w:t>
            </w:r>
            <w:proofErr w:type="spellEnd"/>
            <w:r>
              <w:tab/>
            </w:r>
            <w:r w:rsidRPr="00E16F6B">
              <w:rPr>
                <w:sz w:val="26"/>
                <w:szCs w:val="26"/>
              </w:rPr>
              <w:t>Crimes against the person and against property</w:t>
            </w:r>
          </w:p>
        </w:tc>
      </w:tr>
      <w:tr w:rsidR="007703B9" w:rsidTr="00C82E63">
        <w:trPr>
          <w:cantSplit/>
        </w:trPr>
        <w:tc>
          <w:tcPr>
            <w:tcW w:w="8771" w:type="dxa"/>
            <w:tcBorders>
              <w:top w:val="nil"/>
              <w:left w:val="nil"/>
              <w:bottom w:val="nil"/>
              <w:right w:val="nil"/>
            </w:tcBorders>
            <w:shd w:val="clear" w:color="auto" w:fill="F2F2F2" w:themeFill="background1" w:themeFillShade="F2"/>
          </w:tcPr>
          <w:p w:rsidR="007703B9" w:rsidRPr="00E16F6B" w:rsidRDefault="007703B9" w:rsidP="00CF796F">
            <w:pPr>
              <w:pStyle w:val="Box"/>
            </w:pPr>
            <w:r w:rsidRPr="00E16F6B">
              <w:t>‘Crime victi</w:t>
            </w:r>
            <w:r>
              <w:t xml:space="preserve">misation’ </w:t>
            </w:r>
            <w:r w:rsidR="00864E0B">
              <w:t>is defined by six measures</w:t>
            </w:r>
            <w:r w:rsidRPr="00E16F6B">
              <w:t>:</w:t>
            </w:r>
          </w:p>
          <w:p w:rsidR="007703B9" w:rsidRDefault="007703B9" w:rsidP="00C82E63">
            <w:pPr>
              <w:pStyle w:val="BoxListBullet"/>
            </w:pPr>
            <w:r w:rsidRPr="008944C5">
              <w:t>estimated victimisation rate for physical assault per 100 000 people aged 15 years or over</w:t>
            </w:r>
          </w:p>
          <w:p w:rsidR="00701073" w:rsidRPr="008944C5" w:rsidRDefault="00701073" w:rsidP="00C82E63">
            <w:pPr>
              <w:pStyle w:val="BoxListBullet"/>
            </w:pPr>
            <w:r>
              <w:t>estimated victimisation rate for threatened</w:t>
            </w:r>
            <w:r w:rsidRPr="008944C5">
              <w:t xml:space="preserve"> assault per 100 000 people aged 15 years or over</w:t>
            </w:r>
          </w:p>
          <w:p w:rsidR="007703B9" w:rsidRPr="008944C5" w:rsidRDefault="007703B9" w:rsidP="00C82E63">
            <w:pPr>
              <w:pStyle w:val="BoxListBullet"/>
            </w:pPr>
            <w:r w:rsidRPr="008944C5">
              <w:t>estimated victimisation rate for sexual assault per 100 000 people aged 18 years or over</w:t>
            </w:r>
          </w:p>
          <w:p w:rsidR="007703B9" w:rsidRDefault="007703B9" w:rsidP="00C82E63">
            <w:pPr>
              <w:pStyle w:val="BoxListBullet"/>
            </w:pPr>
            <w:r w:rsidRPr="008944C5">
              <w:t>estimated household victims of break-in per 100 000 households</w:t>
            </w:r>
          </w:p>
          <w:p w:rsidR="00864E0B" w:rsidRDefault="00864E0B" w:rsidP="00864E0B">
            <w:pPr>
              <w:pStyle w:val="BoxListBullet"/>
            </w:pPr>
            <w:r w:rsidRPr="008944C5">
              <w:t xml:space="preserve">estimated household victims of </w:t>
            </w:r>
            <w:r>
              <w:t xml:space="preserve">attempted </w:t>
            </w:r>
            <w:r w:rsidRPr="008944C5">
              <w:t>break-in per 100 000 households</w:t>
            </w:r>
          </w:p>
          <w:p w:rsidR="007703B9" w:rsidRPr="008944C5" w:rsidRDefault="007703B9" w:rsidP="00C82E63">
            <w:pPr>
              <w:pStyle w:val="BoxListBullet"/>
            </w:pPr>
            <w:r w:rsidRPr="008944C5">
              <w:t>estimated victims of motor vehicle theft per 100 000 households</w:t>
            </w:r>
          </w:p>
          <w:p w:rsidR="00D166F3" w:rsidRDefault="00864E0B" w:rsidP="002B1528">
            <w:pPr>
              <w:pStyle w:val="Box"/>
            </w:pPr>
            <w:r>
              <w:t>L</w:t>
            </w:r>
            <w:r w:rsidR="00D166F3">
              <w:t>ow or decreasing</w:t>
            </w:r>
            <w:r w:rsidR="00D166F3" w:rsidRPr="001B03D5">
              <w:t xml:space="preserve"> proportion</w:t>
            </w:r>
            <w:r>
              <w:t>s</w:t>
            </w:r>
            <w:r w:rsidR="00D166F3" w:rsidRPr="001B03D5">
              <w:t xml:space="preserve"> of </w:t>
            </w:r>
            <w:r>
              <w:t xml:space="preserve">crime </w:t>
            </w:r>
            <w:r w:rsidR="00D166F3">
              <w:t xml:space="preserve">victimisation </w:t>
            </w:r>
            <w:r w:rsidR="00D166F3" w:rsidRPr="001B03D5">
              <w:t>is desirable</w:t>
            </w:r>
            <w:r w:rsidR="00D166F3">
              <w:t>.</w:t>
            </w:r>
          </w:p>
          <w:p w:rsidR="007703B9" w:rsidRPr="005D4675" w:rsidRDefault="007703B9" w:rsidP="002B1528">
            <w:pPr>
              <w:pStyle w:val="Box"/>
            </w:pPr>
            <w:r w:rsidRPr="005D4675">
              <w:t xml:space="preserve">Data </w:t>
            </w:r>
            <w:r w:rsidRPr="00CF796F">
              <w:t>reported</w:t>
            </w:r>
            <w:r w:rsidRPr="005D4675">
              <w:t xml:space="preserve"> for this indicator are:</w:t>
            </w:r>
          </w:p>
          <w:p w:rsidR="007703B9" w:rsidRPr="005D4675" w:rsidRDefault="007703B9" w:rsidP="00CF796F">
            <w:pPr>
              <w:pStyle w:val="BoxListBullet"/>
              <w:rPr>
                <w:szCs w:val="24"/>
              </w:rPr>
            </w:pPr>
            <w:r w:rsidRPr="005D4675">
              <w:t>comparable (subject to caveats) across jurisdictions and over time</w:t>
            </w:r>
          </w:p>
          <w:p w:rsidR="007703B9" w:rsidRPr="001C08C9" w:rsidRDefault="007703B9">
            <w:pPr>
              <w:pStyle w:val="BoxListBullet"/>
              <w:rPr>
                <w:szCs w:val="24"/>
              </w:rPr>
            </w:pPr>
            <w:r w:rsidRPr="005D4675">
              <w:t xml:space="preserve">complete for the current reporting period (subject to caveats). All required </w:t>
            </w:r>
            <w:r w:rsidRPr="004C18D2">
              <w:t>201</w:t>
            </w:r>
            <w:r w:rsidR="00326AD0" w:rsidRPr="004C18D2">
              <w:t>4</w:t>
            </w:r>
            <w:r w:rsidRPr="004C18D2">
              <w:t>-1</w:t>
            </w:r>
            <w:r w:rsidR="00326AD0" w:rsidRPr="004C18D2">
              <w:t>5</w:t>
            </w:r>
            <w:r w:rsidRPr="004C18D2">
              <w:t xml:space="preserve"> </w:t>
            </w:r>
            <w:r w:rsidRPr="005D4675">
              <w:t>data are available for all jurisdictions.</w:t>
            </w:r>
          </w:p>
        </w:tc>
      </w:tr>
      <w:tr w:rsidR="007703B9" w:rsidTr="00C82E63">
        <w:trPr>
          <w:cantSplit/>
        </w:trPr>
        <w:tc>
          <w:tcPr>
            <w:tcW w:w="8771" w:type="dxa"/>
            <w:tcBorders>
              <w:top w:val="nil"/>
              <w:left w:val="nil"/>
              <w:bottom w:val="nil"/>
              <w:right w:val="nil"/>
            </w:tcBorders>
            <w:shd w:val="clear" w:color="auto" w:fill="F2F2F2" w:themeFill="background1" w:themeFillShade="F2"/>
          </w:tcPr>
          <w:p w:rsidR="007703B9" w:rsidRPr="007703B9" w:rsidRDefault="007703B9" w:rsidP="001517DB">
            <w:pPr>
              <w:pStyle w:val="BoxSource"/>
              <w:spacing w:after="60"/>
            </w:pPr>
            <w:r>
              <w:rPr>
                <w:i/>
              </w:rPr>
              <w:t xml:space="preserve">Source: </w:t>
            </w:r>
            <w:r>
              <w:t>Chapter 6.</w:t>
            </w:r>
          </w:p>
        </w:tc>
      </w:tr>
      <w:tr w:rsidR="007703B9" w:rsidRPr="000863A5" w:rsidTr="00C82E63">
        <w:tc>
          <w:tcPr>
            <w:tcW w:w="8771" w:type="dxa"/>
            <w:tcBorders>
              <w:top w:val="single" w:sz="6" w:space="0" w:color="78A22F"/>
              <w:left w:val="nil"/>
              <w:bottom w:val="nil"/>
              <w:right w:val="nil"/>
            </w:tcBorders>
          </w:tcPr>
          <w:p w:rsidR="007703B9" w:rsidRPr="00626D32" w:rsidRDefault="007703B9" w:rsidP="00C82E63">
            <w:pPr>
              <w:pStyle w:val="BoxSpaceBelow"/>
            </w:pPr>
          </w:p>
        </w:tc>
      </w:tr>
    </w:tbl>
    <w:p w:rsidR="00457507" w:rsidRDefault="00AF7C4D" w:rsidP="00AF7C4D">
      <w:pPr>
        <w:pStyle w:val="BodyText"/>
      </w:pPr>
      <w:r w:rsidRPr="00D24B94">
        <w:t>Based on ABS crime victimisation</w:t>
      </w:r>
      <w:r w:rsidRPr="001B03D5">
        <w:t xml:space="preserve"> </w:t>
      </w:r>
      <w:r>
        <w:t>survey data, n</w:t>
      </w:r>
      <w:r w:rsidRPr="001B03D5">
        <w:t>ationally</w:t>
      </w:r>
      <w:r w:rsidR="0071480A">
        <w:t xml:space="preserve"> in </w:t>
      </w:r>
      <w:r w:rsidR="0071480A" w:rsidRPr="00B97AA7">
        <w:t>201</w:t>
      </w:r>
      <w:r w:rsidR="00326AD0" w:rsidRPr="00B97AA7">
        <w:t>4</w:t>
      </w:r>
      <w:r w:rsidR="0071480A" w:rsidRPr="00B97AA7">
        <w:t>-1</w:t>
      </w:r>
      <w:r w:rsidR="00326AD0" w:rsidRPr="00B97AA7">
        <w:t>5</w:t>
      </w:r>
      <w:r w:rsidRPr="001B03D5">
        <w:t xml:space="preserve">, </w:t>
      </w:r>
      <w:r w:rsidR="00694279">
        <w:t xml:space="preserve">it was estimated </w:t>
      </w:r>
      <w:r w:rsidRPr="001B03D5">
        <w:t>there were</w:t>
      </w:r>
      <w:r w:rsidR="009338C9">
        <w:t>:</w:t>
      </w:r>
    </w:p>
    <w:p w:rsidR="00457507" w:rsidRPr="000C37B5" w:rsidRDefault="004E2B9D" w:rsidP="000C37B5">
      <w:pPr>
        <w:pStyle w:val="ListBullet"/>
      </w:pPr>
      <w:r w:rsidRPr="004E2B9D">
        <w:t>2137</w:t>
      </w:r>
      <w:r w:rsidR="00176D64" w:rsidRPr="004E2B9D">
        <w:t xml:space="preserve"> </w:t>
      </w:r>
      <w:r w:rsidR="00924CD4" w:rsidRPr="004E2B9D">
        <w:t>v</w:t>
      </w:r>
      <w:r w:rsidR="00924CD4" w:rsidRPr="000C37B5">
        <w:t>ictims of physical</w:t>
      </w:r>
      <w:r w:rsidR="00360FAC" w:rsidRPr="000C37B5">
        <w:t xml:space="preserve"> </w:t>
      </w:r>
      <w:r w:rsidR="00924CD4" w:rsidRPr="000C37B5">
        <w:t>assault</w:t>
      </w:r>
      <w:r w:rsidR="009E0475" w:rsidRPr="000C37B5">
        <w:t xml:space="preserve"> </w:t>
      </w:r>
      <w:r w:rsidR="00AF7C4D" w:rsidRPr="000C37B5">
        <w:t xml:space="preserve">per 100 000 people (figure </w:t>
      </w:r>
      <w:proofErr w:type="spellStart"/>
      <w:r w:rsidR="00966CEE">
        <w:t>C.5</w:t>
      </w:r>
      <w:proofErr w:type="spellEnd"/>
      <w:r w:rsidR="00AF7C4D" w:rsidRPr="000C37B5">
        <w:t>)</w:t>
      </w:r>
      <w:r w:rsidR="007B1DFB" w:rsidRPr="000C37B5">
        <w:t xml:space="preserve"> </w:t>
      </w:r>
    </w:p>
    <w:p w:rsidR="00C1198C" w:rsidRPr="000C37B5" w:rsidRDefault="004E2B9D" w:rsidP="000C37B5">
      <w:pPr>
        <w:pStyle w:val="ListBullet"/>
      </w:pPr>
      <w:r w:rsidRPr="004E2B9D">
        <w:t>2626</w:t>
      </w:r>
      <w:r w:rsidR="00176D64" w:rsidRPr="004E2B9D">
        <w:t xml:space="preserve"> </w:t>
      </w:r>
      <w:r w:rsidR="00C1198C" w:rsidRPr="004E2B9D">
        <w:t>v</w:t>
      </w:r>
      <w:r w:rsidR="00C1198C" w:rsidRPr="000C37B5">
        <w:t xml:space="preserve">ictims of </w:t>
      </w:r>
      <w:r w:rsidR="00D47334" w:rsidRPr="00EA1FCD">
        <w:t>face-to-face</w:t>
      </w:r>
      <w:r w:rsidR="00D47334">
        <w:t xml:space="preserve"> </w:t>
      </w:r>
      <w:r w:rsidR="00C1198C" w:rsidRPr="000C37B5">
        <w:t xml:space="preserve">threatened assault per 100 000 people (figure </w:t>
      </w:r>
      <w:proofErr w:type="spellStart"/>
      <w:r w:rsidR="00726E84" w:rsidRPr="000C37B5">
        <w:t>C</w:t>
      </w:r>
      <w:r w:rsidR="0077597C">
        <w:t>.</w:t>
      </w:r>
      <w:r w:rsidR="00966CEE">
        <w:t>5</w:t>
      </w:r>
      <w:proofErr w:type="spellEnd"/>
      <w:r w:rsidR="00C1198C" w:rsidRPr="000C37B5">
        <w:t>)</w:t>
      </w:r>
    </w:p>
    <w:p w:rsidR="00457507" w:rsidRPr="006270F1" w:rsidRDefault="004E2B9D" w:rsidP="00457507">
      <w:pPr>
        <w:pStyle w:val="ListBullet"/>
      </w:pPr>
      <w:r w:rsidRPr="004E2B9D">
        <w:t>329</w:t>
      </w:r>
      <w:r w:rsidR="00176D64" w:rsidRPr="004E2B9D">
        <w:t xml:space="preserve"> </w:t>
      </w:r>
      <w:r w:rsidR="00924CD4" w:rsidRPr="004E2B9D">
        <w:t xml:space="preserve">victims </w:t>
      </w:r>
      <w:r w:rsidR="00924CD4" w:rsidRPr="006270F1">
        <w:t>of sexual assault</w:t>
      </w:r>
      <w:r w:rsidR="009E0475" w:rsidRPr="006270F1">
        <w:t xml:space="preserve"> </w:t>
      </w:r>
      <w:r w:rsidR="00457507" w:rsidRPr="006270F1">
        <w:t xml:space="preserve">per 100 000 </w:t>
      </w:r>
      <w:r w:rsidR="00924CD4" w:rsidRPr="006270F1">
        <w:t>people</w:t>
      </w:r>
      <w:r w:rsidR="00457507" w:rsidRPr="006270F1">
        <w:t xml:space="preserve"> (figure </w:t>
      </w:r>
      <w:proofErr w:type="spellStart"/>
      <w:r w:rsidR="00726E84" w:rsidRPr="000C37B5">
        <w:t>C</w:t>
      </w:r>
      <w:r w:rsidR="0077597C">
        <w:t>.</w:t>
      </w:r>
      <w:r w:rsidR="00966CEE">
        <w:t>5</w:t>
      </w:r>
      <w:proofErr w:type="spellEnd"/>
      <w:r w:rsidR="00457507" w:rsidRPr="006270F1">
        <w:t>)</w:t>
      </w:r>
    </w:p>
    <w:p w:rsidR="00B3290A" w:rsidRPr="006270F1" w:rsidRDefault="004E2B9D" w:rsidP="000D160A">
      <w:pPr>
        <w:pStyle w:val="ListBullet"/>
      </w:pPr>
      <w:r w:rsidRPr="004E2B9D">
        <w:t>2715</w:t>
      </w:r>
      <w:r w:rsidR="00176D64" w:rsidRPr="004E2B9D">
        <w:t xml:space="preserve"> </w:t>
      </w:r>
      <w:r w:rsidR="001E11EE" w:rsidRPr="00025349">
        <w:t>v</w:t>
      </w:r>
      <w:r w:rsidR="001E11EE" w:rsidRPr="006270F1">
        <w:t xml:space="preserve">ictims of break-in per 100 000 households (figure </w:t>
      </w:r>
      <w:proofErr w:type="spellStart"/>
      <w:r w:rsidR="00726E84" w:rsidRPr="000C37B5">
        <w:t>C</w:t>
      </w:r>
      <w:r w:rsidR="0077597C">
        <w:t>.</w:t>
      </w:r>
      <w:r w:rsidR="00966CEE">
        <w:t>6</w:t>
      </w:r>
      <w:proofErr w:type="spellEnd"/>
      <w:r w:rsidR="001E11EE" w:rsidRPr="006270F1">
        <w:t>)</w:t>
      </w:r>
    </w:p>
    <w:p w:rsidR="001E11EE" w:rsidRPr="006270F1" w:rsidRDefault="004E2B9D" w:rsidP="000D160A">
      <w:pPr>
        <w:pStyle w:val="ListBullet"/>
      </w:pPr>
      <w:r w:rsidRPr="004E2B9D">
        <w:t>2022</w:t>
      </w:r>
      <w:r w:rsidR="00176D64" w:rsidRPr="004E2B9D">
        <w:t xml:space="preserve"> </w:t>
      </w:r>
      <w:r w:rsidR="001E11EE" w:rsidRPr="004E2B9D">
        <w:t>v</w:t>
      </w:r>
      <w:r w:rsidR="001E11EE" w:rsidRPr="006270F1">
        <w:t>ictims of attempted break-in per 100 000 households (figure</w:t>
      </w:r>
      <w:r w:rsidR="00726E84">
        <w:t xml:space="preserve"> </w:t>
      </w:r>
      <w:proofErr w:type="spellStart"/>
      <w:r w:rsidR="00726E84" w:rsidRPr="000C37B5">
        <w:t>C</w:t>
      </w:r>
      <w:r w:rsidR="0077597C">
        <w:t>.</w:t>
      </w:r>
      <w:r w:rsidR="00966CEE">
        <w:t>6</w:t>
      </w:r>
      <w:proofErr w:type="spellEnd"/>
      <w:r w:rsidR="001E11EE" w:rsidRPr="006270F1">
        <w:t>)</w:t>
      </w:r>
    </w:p>
    <w:p w:rsidR="001E11EE" w:rsidRDefault="004E2B9D" w:rsidP="000D160A">
      <w:pPr>
        <w:pStyle w:val="ListBullet"/>
      </w:pPr>
      <w:r w:rsidRPr="004E2B9D">
        <w:t>598</w:t>
      </w:r>
      <w:r w:rsidR="00176D64" w:rsidRPr="00025349">
        <w:t xml:space="preserve"> </w:t>
      </w:r>
      <w:r w:rsidR="001E11EE" w:rsidRPr="008944C5">
        <w:t xml:space="preserve">victims of motor vehicle theft per 100 000 households (figure </w:t>
      </w:r>
      <w:proofErr w:type="spellStart"/>
      <w:r w:rsidR="00726E84" w:rsidRPr="000C37B5">
        <w:t>C</w:t>
      </w:r>
      <w:r w:rsidR="0077597C">
        <w:t>.</w:t>
      </w:r>
      <w:r w:rsidR="00966CEE">
        <w:t>6</w:t>
      </w:r>
      <w:proofErr w:type="spellEnd"/>
      <w:r w:rsidR="001E11EE" w:rsidRPr="008944C5">
        <w:t>).</w:t>
      </w:r>
    </w:p>
    <w:p w:rsidR="00136AFA" w:rsidRDefault="00136AFA" w:rsidP="00136AFA">
      <w:pPr>
        <w:pStyle w:val="BodyText"/>
      </w:pPr>
      <w:r>
        <w:t xml:space="preserve">Nationally, rates of physical and </w:t>
      </w:r>
      <w:r w:rsidRPr="00EA1FCD">
        <w:t>face-to-face</w:t>
      </w:r>
      <w:r>
        <w:t xml:space="preserve"> threatened assault </w:t>
      </w:r>
      <w:r w:rsidRPr="00F867C6">
        <w:t xml:space="preserve">(table </w:t>
      </w:r>
      <w:proofErr w:type="spellStart"/>
      <w:r w:rsidRPr="00F867C6">
        <w:t>6A.27</w:t>
      </w:r>
      <w:proofErr w:type="spellEnd"/>
      <w:r w:rsidRPr="00F867C6">
        <w:t>)</w:t>
      </w:r>
      <w:r>
        <w:t xml:space="preserve"> have been decreasing since 2011</w:t>
      </w:r>
      <w:r>
        <w:noBreakHyphen/>
        <w:t>12.</w:t>
      </w:r>
    </w:p>
    <w:p w:rsidR="002715DD" w:rsidRDefault="002715DD" w:rsidP="002715DD">
      <w:pPr>
        <w:pStyle w:val="BoxSpaceAbove"/>
        <w:spacing w:before="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653414" w:rsidTr="00EA1FCD">
        <w:tc>
          <w:tcPr>
            <w:tcW w:w="8771" w:type="dxa"/>
            <w:tcBorders>
              <w:top w:val="single" w:sz="6" w:space="0" w:color="78A22F"/>
              <w:left w:val="nil"/>
              <w:bottom w:val="nil"/>
              <w:right w:val="nil"/>
            </w:tcBorders>
            <w:shd w:val="clear" w:color="auto" w:fill="auto"/>
          </w:tcPr>
          <w:p w:rsidR="00653414" w:rsidRPr="00176D3F" w:rsidRDefault="00653414">
            <w:pPr>
              <w:pStyle w:val="FigureTitle"/>
              <w:ind w:left="1396" w:hanging="1396"/>
            </w:pPr>
            <w:r w:rsidRPr="00784A05">
              <w:rPr>
                <w:b w:val="0"/>
              </w:rPr>
              <w:t xml:space="preserve">Figure </w:t>
            </w:r>
            <w:proofErr w:type="spellStart"/>
            <w:r>
              <w:rPr>
                <w:b w:val="0"/>
              </w:rPr>
              <w:t>C</w:t>
            </w:r>
            <w:r w:rsidR="0077597C">
              <w:rPr>
                <w:b w:val="0"/>
              </w:rPr>
              <w:t>.</w:t>
            </w:r>
            <w:r w:rsidR="00C121F2">
              <w:rPr>
                <w:b w:val="0"/>
              </w:rPr>
              <w:t>5</w:t>
            </w:r>
            <w:proofErr w:type="spellEnd"/>
            <w:r>
              <w:tab/>
            </w:r>
            <w:r w:rsidRPr="008944C5">
              <w:t xml:space="preserve">Estimated victims of </w:t>
            </w:r>
            <w:r w:rsidR="00F06469" w:rsidRPr="000C37B5">
              <w:t>assault</w:t>
            </w:r>
            <w:r w:rsidRPr="000C37B5">
              <w:t xml:space="preserve"> and sexual assault</w:t>
            </w:r>
            <w:r>
              <w:t xml:space="preserve">, </w:t>
            </w:r>
            <w:r w:rsidRPr="00095763">
              <w:t>201</w:t>
            </w:r>
            <w:r w:rsidR="000A2D06">
              <w:t>4</w:t>
            </w:r>
            <w:r w:rsidRPr="00095763">
              <w:t>-1</w:t>
            </w:r>
            <w:r w:rsidR="000A2D06">
              <w:t>5</w:t>
            </w:r>
            <w:r w:rsidR="00B51966">
              <w:rPr>
                <w:rStyle w:val="NoteLabel"/>
                <w:b/>
              </w:rPr>
              <w:t>a</w:t>
            </w:r>
          </w:p>
        </w:tc>
      </w:tr>
      <w:tr w:rsidR="00653414" w:rsidTr="00EA1FCD">
        <w:tc>
          <w:tcPr>
            <w:tcW w:w="8771" w:type="dxa"/>
            <w:tcBorders>
              <w:top w:val="nil"/>
              <w:left w:val="nil"/>
              <w:bottom w:val="nil"/>
              <w:right w:val="nil"/>
            </w:tcBorders>
            <w:shd w:val="clear" w:color="auto" w:fill="auto"/>
            <w:tcMar>
              <w:top w:w="28" w:type="dxa"/>
              <w:bottom w:w="28" w:type="dxa"/>
            </w:tcMar>
          </w:tcPr>
          <w:p w:rsidR="00864E0B" w:rsidRDefault="001245A3" w:rsidP="00C82E63">
            <w:pPr>
              <w:pStyle w:val="Figure"/>
            </w:pPr>
            <w:r>
              <w:rPr>
                <w:noProof/>
              </w:rPr>
              <w:drawing>
                <wp:inline distT="0" distB="0" distL="0" distR="0" wp14:anchorId="5BA832D6" wp14:editId="5EB324A4">
                  <wp:extent cx="5394960" cy="2788920"/>
                  <wp:effectExtent l="0" t="0" r="0" b="0"/>
                  <wp:docPr id="7" name="Picture 7" descr="Figure C.5 Estimated victims of assault and sexual assault,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4960" cy="2788920"/>
                          </a:xfrm>
                          <a:prstGeom prst="rect">
                            <a:avLst/>
                          </a:prstGeom>
                          <a:noFill/>
                        </pic:spPr>
                      </pic:pic>
                    </a:graphicData>
                  </a:graphic>
                </wp:inline>
              </w:drawing>
            </w:r>
          </w:p>
        </w:tc>
      </w:tr>
      <w:tr w:rsidR="00653414" w:rsidRPr="00176D3F" w:rsidTr="00C82E63">
        <w:tc>
          <w:tcPr>
            <w:tcW w:w="8771" w:type="dxa"/>
            <w:tcBorders>
              <w:top w:val="nil"/>
              <w:left w:val="nil"/>
              <w:bottom w:val="nil"/>
              <w:right w:val="nil"/>
            </w:tcBorders>
            <w:shd w:val="clear" w:color="auto" w:fill="auto"/>
          </w:tcPr>
          <w:p w:rsidR="00653414" w:rsidRPr="00176D3F" w:rsidRDefault="008C7EFF" w:rsidP="00145A3E">
            <w:pPr>
              <w:pStyle w:val="Note"/>
              <w:rPr>
                <w:szCs w:val="24"/>
              </w:rPr>
            </w:pPr>
            <w:r>
              <w:rPr>
                <w:rStyle w:val="NoteLabel"/>
              </w:rPr>
              <w:t>a</w:t>
            </w:r>
            <w:r>
              <w:t> </w:t>
            </w:r>
            <w:r w:rsidR="00145A3E" w:rsidRPr="00600FBD">
              <w:t xml:space="preserve">See tables </w:t>
            </w:r>
            <w:proofErr w:type="spellStart"/>
            <w:r w:rsidR="00145A3E" w:rsidRPr="0062498A">
              <w:t>CA.3</w:t>
            </w:r>
            <w:proofErr w:type="spellEnd"/>
            <w:r w:rsidR="00145A3E" w:rsidRPr="0062498A">
              <w:t xml:space="preserve"> and </w:t>
            </w:r>
            <w:proofErr w:type="spellStart"/>
            <w:r w:rsidR="00145A3E" w:rsidRPr="0062498A">
              <w:t>6A.27</w:t>
            </w:r>
            <w:proofErr w:type="spellEnd"/>
            <w:r w:rsidR="00145A3E" w:rsidRPr="000A2D06">
              <w:t xml:space="preserve"> </w:t>
            </w:r>
            <w:r w:rsidR="00145A3E" w:rsidRPr="00600FBD">
              <w:t>for detailed foo</w:t>
            </w:r>
            <w:r w:rsidR="006B76B5" w:rsidRPr="00600FBD">
              <w:t>t</w:t>
            </w:r>
            <w:r w:rsidR="00145A3E" w:rsidRPr="00600FBD">
              <w:t>notes and caveats</w:t>
            </w:r>
            <w:r w:rsidR="00145A3E">
              <w:t>.</w:t>
            </w:r>
          </w:p>
        </w:tc>
      </w:tr>
      <w:tr w:rsidR="00653414" w:rsidRPr="00176D3F" w:rsidTr="00C82E63">
        <w:tc>
          <w:tcPr>
            <w:tcW w:w="8771" w:type="dxa"/>
            <w:tcBorders>
              <w:top w:val="nil"/>
              <w:left w:val="nil"/>
              <w:bottom w:val="nil"/>
              <w:right w:val="nil"/>
            </w:tcBorders>
            <w:shd w:val="clear" w:color="auto" w:fill="auto"/>
          </w:tcPr>
          <w:p w:rsidR="00653414" w:rsidRPr="00176D3F" w:rsidRDefault="00653414">
            <w:pPr>
              <w:pStyle w:val="Source"/>
              <w:rPr>
                <w:lang w:eastAsia="en-US"/>
              </w:rPr>
            </w:pPr>
            <w:r>
              <w:rPr>
                <w:i/>
              </w:rPr>
              <w:t>S</w:t>
            </w:r>
            <w:r w:rsidRPr="00784A05">
              <w:rPr>
                <w:i/>
              </w:rPr>
              <w:t>ource</w:t>
            </w:r>
            <w:r w:rsidRPr="00176D3F">
              <w:t xml:space="preserve">: </w:t>
            </w:r>
            <w:r w:rsidRPr="00117413">
              <w:t>ABS</w:t>
            </w:r>
            <w:r w:rsidR="002938C5" w:rsidRPr="00117413">
              <w:t xml:space="preserve"> (201</w:t>
            </w:r>
            <w:r w:rsidR="000A2D06" w:rsidRPr="00117413">
              <w:t>6</w:t>
            </w:r>
            <w:r w:rsidR="002938C5" w:rsidRPr="00117413">
              <w:t>)</w:t>
            </w:r>
            <w:r w:rsidRPr="00117413">
              <w:t xml:space="preserve"> </w:t>
            </w:r>
            <w:r w:rsidRPr="00D110F7">
              <w:rPr>
                <w:i/>
              </w:rPr>
              <w:t>Cri</w:t>
            </w:r>
            <w:r>
              <w:rPr>
                <w:i/>
              </w:rPr>
              <w:t xml:space="preserve">me Victimisation, Australia </w:t>
            </w:r>
            <w:r w:rsidRPr="001321F4">
              <w:t>201</w:t>
            </w:r>
            <w:r w:rsidR="000A2D06">
              <w:t>4</w:t>
            </w:r>
            <w:r w:rsidRPr="001321F4">
              <w:t>-1</w:t>
            </w:r>
            <w:r w:rsidR="000A2D06">
              <w:t>5</w:t>
            </w:r>
            <w:r w:rsidR="008C7EFF">
              <w:t>, Cat. no. </w:t>
            </w:r>
            <w:r w:rsidRPr="00D110F7">
              <w:t xml:space="preserve">4530.0; </w:t>
            </w:r>
            <w:r w:rsidRPr="0062498A">
              <w:t>tables</w:t>
            </w:r>
            <w:r w:rsidR="00145A3E" w:rsidRPr="0062498A">
              <w:t xml:space="preserve"> </w:t>
            </w:r>
            <w:proofErr w:type="spellStart"/>
            <w:r w:rsidR="00145A3E" w:rsidRPr="0062498A">
              <w:t>CA.3</w:t>
            </w:r>
            <w:proofErr w:type="spellEnd"/>
            <w:r w:rsidR="00145A3E" w:rsidRPr="0062498A">
              <w:t xml:space="preserve"> and</w:t>
            </w:r>
            <w:r w:rsidR="00C833A7" w:rsidRPr="0062498A">
              <w:t> </w:t>
            </w:r>
            <w:proofErr w:type="spellStart"/>
            <w:r w:rsidRPr="0062498A">
              <w:t>6A.27</w:t>
            </w:r>
            <w:proofErr w:type="spellEnd"/>
            <w:r>
              <w:t>.</w:t>
            </w:r>
          </w:p>
        </w:tc>
      </w:tr>
      <w:tr w:rsidR="00677606" w:rsidTr="00883DE6">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653414" w:rsidRPr="000863A5" w:rsidTr="00C82E63">
        <w:tc>
          <w:tcPr>
            <w:tcW w:w="8771" w:type="dxa"/>
            <w:tcBorders>
              <w:top w:val="single" w:sz="6" w:space="0" w:color="78A22F"/>
              <w:left w:val="nil"/>
              <w:bottom w:val="nil"/>
              <w:right w:val="nil"/>
            </w:tcBorders>
          </w:tcPr>
          <w:p w:rsidR="00653414" w:rsidRPr="00626D32" w:rsidRDefault="00653414" w:rsidP="00C82E63">
            <w:pPr>
              <w:pStyle w:val="BoxSpaceBelow"/>
            </w:pPr>
          </w:p>
        </w:tc>
      </w:tr>
    </w:tbl>
    <w:p w:rsidR="00850192" w:rsidRDefault="00850192" w:rsidP="002252F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50192" w:rsidTr="00C82E63">
        <w:tc>
          <w:tcPr>
            <w:tcW w:w="8771" w:type="dxa"/>
            <w:tcBorders>
              <w:top w:val="single" w:sz="6" w:space="0" w:color="78A22F"/>
              <w:left w:val="nil"/>
              <w:bottom w:val="nil"/>
              <w:right w:val="nil"/>
            </w:tcBorders>
            <w:shd w:val="clear" w:color="auto" w:fill="auto"/>
          </w:tcPr>
          <w:p w:rsidR="00850192" w:rsidRPr="00176D3F" w:rsidRDefault="00850192">
            <w:pPr>
              <w:pStyle w:val="FigureTitle"/>
              <w:rPr>
                <w:lang w:eastAsia="en-US"/>
              </w:rPr>
            </w:pPr>
            <w:r w:rsidRPr="00784A05">
              <w:rPr>
                <w:b w:val="0"/>
              </w:rPr>
              <w:t xml:space="preserve">Figure </w:t>
            </w:r>
            <w:proofErr w:type="spellStart"/>
            <w:r>
              <w:rPr>
                <w:b w:val="0"/>
              </w:rPr>
              <w:t>C</w:t>
            </w:r>
            <w:r w:rsidR="00AD015A">
              <w:rPr>
                <w:b w:val="0"/>
              </w:rPr>
              <w:t>.</w:t>
            </w:r>
            <w:r w:rsidR="00C121F2">
              <w:rPr>
                <w:b w:val="0"/>
              </w:rPr>
              <w:t>6</w:t>
            </w:r>
            <w:proofErr w:type="spellEnd"/>
            <w:r>
              <w:tab/>
            </w:r>
            <w:r w:rsidRPr="008944C5">
              <w:t>Estimated victims of break-in</w:t>
            </w:r>
            <w:r>
              <w:t>, attempted break-in</w:t>
            </w:r>
            <w:r w:rsidRPr="008944C5">
              <w:t xml:space="preserve"> and motor vehicle theft</w:t>
            </w:r>
            <w:r>
              <w:t xml:space="preserve">, </w:t>
            </w:r>
            <w:r w:rsidRPr="00465EB9">
              <w:t>201</w:t>
            </w:r>
            <w:r w:rsidR="002A568E" w:rsidRPr="00465EB9">
              <w:t>4</w:t>
            </w:r>
            <w:r w:rsidRPr="00465EB9">
              <w:t>-1</w:t>
            </w:r>
            <w:r w:rsidR="002A568E" w:rsidRPr="00465EB9">
              <w:t>5</w:t>
            </w:r>
            <w:r w:rsidR="00B51966" w:rsidRPr="00465EB9">
              <w:rPr>
                <w:rStyle w:val="NoteLabel"/>
                <w:b/>
              </w:rPr>
              <w:t>a</w:t>
            </w:r>
          </w:p>
        </w:tc>
      </w:tr>
      <w:tr w:rsidR="00850192" w:rsidTr="000C37B5">
        <w:tc>
          <w:tcPr>
            <w:tcW w:w="8771" w:type="dxa"/>
            <w:tcBorders>
              <w:top w:val="nil"/>
              <w:left w:val="nil"/>
              <w:bottom w:val="nil"/>
              <w:right w:val="nil"/>
            </w:tcBorders>
            <w:shd w:val="clear" w:color="auto" w:fill="auto"/>
            <w:tcMar>
              <w:top w:w="28" w:type="dxa"/>
              <w:bottom w:w="28" w:type="dxa"/>
            </w:tcMar>
          </w:tcPr>
          <w:p w:rsidR="00864E0B" w:rsidRDefault="00E97AFA" w:rsidP="002252F2">
            <w:pPr>
              <w:pStyle w:val="Figure"/>
            </w:pPr>
            <w:r>
              <w:rPr>
                <w:noProof/>
              </w:rPr>
              <w:drawing>
                <wp:inline distT="0" distB="0" distL="0" distR="0" wp14:anchorId="19918CCF" wp14:editId="7FD3A3E2">
                  <wp:extent cx="5402580" cy="2987040"/>
                  <wp:effectExtent l="0" t="0" r="7620" b="3810"/>
                  <wp:docPr id="5" name="Picture 5" descr="Figure C.6 Estimated victims of break-in, attempted break-in and motor vehicle theft,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2580" cy="2987040"/>
                          </a:xfrm>
                          <a:prstGeom prst="rect">
                            <a:avLst/>
                          </a:prstGeom>
                          <a:noFill/>
                        </pic:spPr>
                      </pic:pic>
                    </a:graphicData>
                  </a:graphic>
                </wp:inline>
              </w:drawing>
            </w:r>
          </w:p>
        </w:tc>
      </w:tr>
      <w:tr w:rsidR="00850192" w:rsidRPr="00176D3F" w:rsidTr="000C37B5">
        <w:tc>
          <w:tcPr>
            <w:tcW w:w="8771" w:type="dxa"/>
            <w:tcBorders>
              <w:top w:val="nil"/>
              <w:left w:val="nil"/>
              <w:bottom w:val="nil"/>
              <w:right w:val="nil"/>
            </w:tcBorders>
            <w:shd w:val="clear" w:color="auto" w:fill="auto"/>
          </w:tcPr>
          <w:p w:rsidR="00850192" w:rsidRPr="00176D3F" w:rsidRDefault="0048009C" w:rsidP="00B51966">
            <w:pPr>
              <w:pStyle w:val="Note"/>
              <w:keepNext/>
              <w:rPr>
                <w:szCs w:val="24"/>
              </w:rPr>
            </w:pPr>
            <w:r>
              <w:rPr>
                <w:rStyle w:val="NoteLabel"/>
              </w:rPr>
              <w:t>a </w:t>
            </w:r>
            <w:r w:rsidR="00B51966" w:rsidRPr="00600FBD">
              <w:t xml:space="preserve">See tables </w:t>
            </w:r>
            <w:proofErr w:type="spellStart"/>
            <w:r w:rsidR="00B51966" w:rsidRPr="00E97AFA">
              <w:t>CA.4</w:t>
            </w:r>
            <w:proofErr w:type="spellEnd"/>
            <w:r w:rsidR="00B51966" w:rsidRPr="00E97AFA">
              <w:t xml:space="preserve"> and </w:t>
            </w:r>
            <w:proofErr w:type="spellStart"/>
            <w:r w:rsidR="00B51966" w:rsidRPr="00E97AFA">
              <w:t>6A.28</w:t>
            </w:r>
            <w:proofErr w:type="spellEnd"/>
            <w:r w:rsidR="00B51966" w:rsidRPr="00600FBD">
              <w:t xml:space="preserve"> for detailed footnotes and caveats.</w:t>
            </w:r>
          </w:p>
        </w:tc>
      </w:tr>
      <w:tr w:rsidR="00850192" w:rsidRPr="00176D3F" w:rsidTr="00C82E63">
        <w:tc>
          <w:tcPr>
            <w:tcW w:w="8771" w:type="dxa"/>
            <w:tcBorders>
              <w:top w:val="nil"/>
              <w:left w:val="nil"/>
              <w:bottom w:val="nil"/>
              <w:right w:val="nil"/>
            </w:tcBorders>
            <w:shd w:val="clear" w:color="auto" w:fill="auto"/>
          </w:tcPr>
          <w:p w:rsidR="00850192" w:rsidRPr="00176D3F" w:rsidRDefault="00850192" w:rsidP="000E4F57">
            <w:pPr>
              <w:pStyle w:val="Source"/>
            </w:pPr>
            <w:r>
              <w:rPr>
                <w:i/>
              </w:rPr>
              <w:t>S</w:t>
            </w:r>
            <w:r w:rsidRPr="00784A05">
              <w:rPr>
                <w:i/>
              </w:rPr>
              <w:t>ource</w:t>
            </w:r>
            <w:r w:rsidRPr="00176D3F">
              <w:t xml:space="preserve">: </w:t>
            </w:r>
            <w:r w:rsidR="007138F2" w:rsidRPr="000E4F57">
              <w:t>ABS (201</w:t>
            </w:r>
            <w:r w:rsidR="002A568E" w:rsidRPr="000E4F57">
              <w:t>6</w:t>
            </w:r>
            <w:r w:rsidR="007138F2" w:rsidRPr="000E4F57">
              <w:t>)</w:t>
            </w:r>
            <w:r w:rsidRPr="000E4F57">
              <w:t xml:space="preserve"> </w:t>
            </w:r>
            <w:r w:rsidRPr="000E4F57">
              <w:rPr>
                <w:i/>
              </w:rPr>
              <w:t xml:space="preserve">Crime Victimisation, Australia </w:t>
            </w:r>
            <w:r w:rsidRPr="000E4F57">
              <w:t>201</w:t>
            </w:r>
            <w:r w:rsidR="002A568E" w:rsidRPr="000E4F57">
              <w:t>4</w:t>
            </w:r>
            <w:r w:rsidRPr="000E4F57">
              <w:t>-1</w:t>
            </w:r>
            <w:r w:rsidR="002A568E" w:rsidRPr="000E4F57">
              <w:t>5</w:t>
            </w:r>
            <w:r w:rsidR="0048009C" w:rsidRPr="000E4F57">
              <w:t xml:space="preserve">, </w:t>
            </w:r>
            <w:r w:rsidR="0048009C">
              <w:t>Cat. no. 4530.0; tables</w:t>
            </w:r>
            <w:r w:rsidR="000E4F57">
              <w:t xml:space="preserve"> </w:t>
            </w:r>
            <w:proofErr w:type="spellStart"/>
            <w:r w:rsidR="000E4F57" w:rsidRPr="00E97AFA">
              <w:t>CA.4</w:t>
            </w:r>
            <w:proofErr w:type="spellEnd"/>
            <w:r w:rsidR="000E4F57">
              <w:t xml:space="preserve"> and</w:t>
            </w:r>
            <w:r w:rsidR="0048009C">
              <w:t> </w:t>
            </w:r>
            <w:proofErr w:type="spellStart"/>
            <w:r w:rsidR="000E4F57">
              <w:t>6A.28</w:t>
            </w:r>
            <w:proofErr w:type="spellEnd"/>
            <w:r w:rsidR="000E4F57">
              <w:t>.</w:t>
            </w:r>
          </w:p>
        </w:tc>
      </w:tr>
      <w:tr w:rsidR="00677606" w:rsidTr="00883DE6">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850192" w:rsidRPr="000863A5" w:rsidTr="00C82E63">
        <w:tc>
          <w:tcPr>
            <w:tcW w:w="8771" w:type="dxa"/>
            <w:tcBorders>
              <w:top w:val="single" w:sz="6" w:space="0" w:color="78A22F"/>
              <w:left w:val="nil"/>
              <w:bottom w:val="nil"/>
              <w:right w:val="nil"/>
            </w:tcBorders>
          </w:tcPr>
          <w:p w:rsidR="00850192" w:rsidRPr="00626D32" w:rsidRDefault="00850192" w:rsidP="00C82E63">
            <w:pPr>
              <w:pStyle w:val="BoxSpaceBelow"/>
            </w:pPr>
          </w:p>
        </w:tc>
      </w:tr>
    </w:tbl>
    <w:p w:rsidR="00B3791D" w:rsidRPr="00B3791D" w:rsidRDefault="00B3791D" w:rsidP="00B3791D">
      <w:pPr>
        <w:pStyle w:val="Heading4"/>
      </w:pPr>
      <w:r>
        <w:lastRenderedPageBreak/>
        <w:t>Re-offending rates</w:t>
      </w:r>
    </w:p>
    <w:p w:rsidR="00871DD5" w:rsidRDefault="00B3791D" w:rsidP="004478E5">
      <w:pPr>
        <w:pStyle w:val="BodyText"/>
      </w:pPr>
      <w:r w:rsidRPr="002162DC">
        <w:t>The extent to which people who have had contact with the criminal justice system are re</w:t>
      </w:r>
      <w:r w:rsidR="001963B1">
        <w:noBreakHyphen/>
      </w:r>
      <w:r w:rsidRPr="002162DC">
        <w:t>arrested, re-convicted or receive further sentences can be viewed as a partial indicator of</w:t>
      </w:r>
      <w:r w:rsidR="00A158F0">
        <w:t xml:space="preserve"> governments’ objective to</w:t>
      </w:r>
      <w:r w:rsidRPr="002162DC">
        <w:t xml:space="preserve"> </w:t>
      </w:r>
      <w:r w:rsidR="0096665E">
        <w:t>maintain safe communities</w:t>
      </w:r>
      <w:r w:rsidR="008E5BCA">
        <w:t xml:space="preserve"> (box</w:t>
      </w:r>
      <w:r w:rsidR="001963B1">
        <w:t> </w:t>
      </w:r>
      <w:proofErr w:type="spellStart"/>
      <w:r w:rsidR="00453858">
        <w:t>C.</w:t>
      </w:r>
      <w:r w:rsidR="00C121F2">
        <w:t>4</w:t>
      </w:r>
      <w:proofErr w:type="spellEnd"/>
      <w:r w:rsidR="00A158F0">
        <w:t>).</w:t>
      </w:r>
      <w:r w:rsidR="00FE0100">
        <w:t xml:space="preserve"> </w:t>
      </w:r>
    </w:p>
    <w:p w:rsidR="007C79A4" w:rsidRDefault="007C79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79A4" w:rsidTr="00C82E63">
        <w:tc>
          <w:tcPr>
            <w:tcW w:w="8771" w:type="dxa"/>
            <w:tcBorders>
              <w:top w:val="single" w:sz="6" w:space="0" w:color="78A22F"/>
              <w:left w:val="nil"/>
              <w:bottom w:val="nil"/>
              <w:right w:val="nil"/>
            </w:tcBorders>
            <w:shd w:val="clear" w:color="auto" w:fill="F2F2F2" w:themeFill="background1" w:themeFillShade="F2"/>
          </w:tcPr>
          <w:p w:rsidR="007C79A4" w:rsidRDefault="007C79A4">
            <w:pPr>
              <w:pStyle w:val="BoxTitle"/>
            </w:pPr>
            <w:r>
              <w:rPr>
                <w:b w:val="0"/>
              </w:rPr>
              <w:t xml:space="preserve">Box </w:t>
            </w:r>
            <w:proofErr w:type="spellStart"/>
            <w:r>
              <w:rPr>
                <w:b w:val="0"/>
              </w:rPr>
              <w:t>C</w:t>
            </w:r>
            <w:r w:rsidR="004100B8">
              <w:rPr>
                <w:b w:val="0"/>
              </w:rPr>
              <w:t>.</w:t>
            </w:r>
            <w:r w:rsidR="003C7E89">
              <w:rPr>
                <w:b w:val="0"/>
              </w:rPr>
              <w:t>4</w:t>
            </w:r>
            <w:proofErr w:type="spellEnd"/>
            <w:r>
              <w:tab/>
            </w:r>
            <w:r w:rsidRPr="00E16F6B">
              <w:rPr>
                <w:sz w:val="26"/>
                <w:szCs w:val="26"/>
              </w:rPr>
              <w:t>Re-</w:t>
            </w:r>
            <w:r w:rsidRPr="00E16F6B">
              <w:rPr>
                <w:rFonts w:cs="Arial"/>
                <w:sz w:val="26"/>
                <w:szCs w:val="26"/>
              </w:rPr>
              <w:t>offending rates</w:t>
            </w:r>
          </w:p>
        </w:tc>
      </w:tr>
      <w:tr w:rsidR="007C79A4" w:rsidTr="00C82E63">
        <w:trPr>
          <w:cantSplit/>
        </w:trPr>
        <w:tc>
          <w:tcPr>
            <w:tcW w:w="8771" w:type="dxa"/>
            <w:tcBorders>
              <w:top w:val="nil"/>
              <w:left w:val="nil"/>
              <w:bottom w:val="nil"/>
              <w:right w:val="nil"/>
            </w:tcBorders>
            <w:shd w:val="clear" w:color="auto" w:fill="F2F2F2" w:themeFill="background1" w:themeFillShade="F2"/>
          </w:tcPr>
          <w:p w:rsidR="007C79A4" w:rsidRPr="001662D3" w:rsidRDefault="007C79A4" w:rsidP="007C79A4">
            <w:pPr>
              <w:pStyle w:val="Box"/>
            </w:pPr>
            <w:proofErr w:type="spellStart"/>
            <w:r w:rsidRPr="001662D3">
              <w:t>‘Re</w:t>
            </w:r>
            <w:proofErr w:type="spellEnd"/>
            <w:r w:rsidRPr="001662D3">
              <w:t xml:space="preserve">-offending rates’ are defined as the extent to which people who have had contact with the criminal justice system are re-arrested, re-convicted, or return to </w:t>
            </w:r>
            <w:r w:rsidR="00CF67FA" w:rsidRPr="004E2B3A">
              <w:t>corrective services (either prison or community corrections)</w:t>
            </w:r>
            <w:r w:rsidR="00864E0B">
              <w:t xml:space="preserve">, and </w:t>
            </w:r>
            <w:r w:rsidRPr="001662D3">
              <w:t xml:space="preserve">is measured </w:t>
            </w:r>
            <w:r>
              <w:t>by:</w:t>
            </w:r>
          </w:p>
          <w:p w:rsidR="007C79A4" w:rsidRPr="003810A6" w:rsidRDefault="007C79A4" w:rsidP="007C79A4">
            <w:pPr>
              <w:pStyle w:val="BoxListBullet"/>
            </w:pPr>
            <w:r w:rsidRPr="001662D3">
              <w:t>the proportion of offenders who were proceeded against more than once by police</w:t>
            </w:r>
            <w:r>
              <w:t xml:space="preserve"> during </w:t>
            </w:r>
            <w:r w:rsidRPr="003810A6">
              <w:t>201</w:t>
            </w:r>
            <w:r w:rsidR="00284AB9" w:rsidRPr="003810A6">
              <w:t>4</w:t>
            </w:r>
            <w:r w:rsidRPr="003810A6">
              <w:t>-1</w:t>
            </w:r>
            <w:r w:rsidR="00284AB9" w:rsidRPr="003810A6">
              <w:t>5</w:t>
            </w:r>
          </w:p>
          <w:p w:rsidR="007C79A4" w:rsidRPr="001662D3" w:rsidRDefault="007C79A4" w:rsidP="007C79A4">
            <w:pPr>
              <w:pStyle w:val="BoxListBullet"/>
            </w:pPr>
            <w:r w:rsidRPr="001662D3">
              <w:t>the proportion of adults released from prison</w:t>
            </w:r>
            <w:r>
              <w:t xml:space="preserve"> during </w:t>
            </w:r>
            <w:r w:rsidRPr="003810A6">
              <w:t>201</w:t>
            </w:r>
            <w:r w:rsidR="00284AB9" w:rsidRPr="003810A6">
              <w:t>3</w:t>
            </w:r>
            <w:r w:rsidRPr="003810A6">
              <w:t>-1</w:t>
            </w:r>
            <w:r w:rsidR="00284AB9" w:rsidRPr="003810A6">
              <w:t>4</w:t>
            </w:r>
            <w:r w:rsidRPr="003810A6">
              <w:t xml:space="preserve"> </w:t>
            </w:r>
            <w:r w:rsidRPr="00095763">
              <w:t>who</w:t>
            </w:r>
            <w:r w:rsidRPr="001662D3">
              <w:t xml:space="preserve"> returned to corrective services (either prison or community corrections) within two years</w:t>
            </w:r>
          </w:p>
          <w:p w:rsidR="007C79A4" w:rsidRPr="001662D3" w:rsidRDefault="007C79A4" w:rsidP="007C79A4">
            <w:pPr>
              <w:pStyle w:val="BoxListBullet"/>
            </w:pPr>
            <w:r w:rsidRPr="001662D3">
              <w:t>the proportion of adults who were discharged from communit</w:t>
            </w:r>
            <w:r>
              <w:t xml:space="preserve">y corrections orders during </w:t>
            </w:r>
            <w:r w:rsidRPr="003810A6">
              <w:t>201</w:t>
            </w:r>
            <w:r w:rsidR="00284AB9" w:rsidRPr="003810A6">
              <w:t>3</w:t>
            </w:r>
            <w:r w:rsidRPr="003810A6">
              <w:t>-1</w:t>
            </w:r>
            <w:r w:rsidR="00284AB9" w:rsidRPr="003810A6">
              <w:t>4</w:t>
            </w:r>
            <w:r w:rsidRPr="003810A6">
              <w:t xml:space="preserve"> </w:t>
            </w:r>
            <w:r w:rsidRPr="001662D3">
              <w:t>who returned with a new correctional sanction within two years.</w:t>
            </w:r>
          </w:p>
          <w:p w:rsidR="007C79A4" w:rsidRPr="001662D3" w:rsidRDefault="007C79A4" w:rsidP="007C79A4">
            <w:pPr>
              <w:pStyle w:val="Box"/>
            </w:pPr>
            <w:r w:rsidRPr="001662D3">
              <w:t>Repeat offender data are</w:t>
            </w:r>
            <w:r>
              <w:t xml:space="preserve"> difficult to interpret. A low</w:t>
            </w:r>
            <w:r w:rsidRPr="001662D3">
              <w:t xml:space="preserve"> proportion of repeat offenders may indicate an effective justice system discouraging rep</w:t>
            </w:r>
            <w:r>
              <w:t>eat offending. However, a high</w:t>
            </w:r>
            <w:r w:rsidRPr="001662D3">
              <w:t xml:space="preserve"> proportion of repeat offenders may indicate more effective policing.</w:t>
            </w:r>
          </w:p>
          <w:p w:rsidR="007C79A4" w:rsidRPr="001662D3" w:rsidRDefault="007C79A4" w:rsidP="007C79A4">
            <w:pPr>
              <w:pStyle w:val="Box"/>
            </w:pPr>
            <w:r w:rsidRPr="001662D3">
              <w:t>Repeat offending rates are not weighted to account for the nature of the re-offence</w:t>
            </w:r>
            <w:r w:rsidR="00864E0B">
              <w:t>. F</w:t>
            </w:r>
            <w:r w:rsidRPr="001662D3">
              <w:t>or example, a return to prison for a traffic offence is counted in the same manner as a return for a more serious offence such as armed robbery. Rates of return to corrective services also do not take into account any further:</w:t>
            </w:r>
          </w:p>
          <w:p w:rsidR="007C79A4" w:rsidRPr="001662D3" w:rsidRDefault="007C79A4" w:rsidP="007C79A4">
            <w:pPr>
              <w:pStyle w:val="BoxListBullet"/>
            </w:pPr>
            <w:r w:rsidRPr="001662D3">
              <w:t>arrests</w:t>
            </w:r>
          </w:p>
          <w:p w:rsidR="007C79A4" w:rsidRPr="001662D3" w:rsidRDefault="007C79A4" w:rsidP="007C79A4">
            <w:pPr>
              <w:pStyle w:val="BoxListBullet"/>
            </w:pPr>
            <w:r w:rsidRPr="001662D3">
              <w:t xml:space="preserve">re-offending that leads to outcomes that are not administered by corrective services, for example, fines </w:t>
            </w:r>
          </w:p>
          <w:p w:rsidR="007C79A4" w:rsidRPr="0089150A" w:rsidRDefault="007C79A4" w:rsidP="007C79A4">
            <w:pPr>
              <w:pStyle w:val="BoxListBullet"/>
            </w:pPr>
            <w:r w:rsidRPr="001662D3">
              <w:t>correctional sanctions for a repeat offender who has previously been sentenced to only non-correctional sanctions, for example, fines.</w:t>
            </w:r>
          </w:p>
          <w:p w:rsidR="007C79A4" w:rsidRDefault="007C79A4" w:rsidP="007C79A4">
            <w:pPr>
              <w:pStyle w:val="Box"/>
            </w:pPr>
            <w:r>
              <w:t>Data reported for this indicator are:</w:t>
            </w:r>
          </w:p>
          <w:p w:rsidR="007C79A4" w:rsidRDefault="007C79A4" w:rsidP="007C79A4">
            <w:pPr>
              <w:pStyle w:val="BoxListBullet"/>
            </w:pPr>
            <w:r>
              <w:t>comparable (subject to caveats) across jurisdictions and over time, but there are jurisdictional differences in how alleged offenders are dealt with and the range of court and non-court actions available to police</w:t>
            </w:r>
          </w:p>
          <w:p w:rsidR="007C79A4" w:rsidRDefault="00D92DF3">
            <w:pPr>
              <w:pStyle w:val="BoxListBullet"/>
              <w:rPr>
                <w:szCs w:val="24"/>
              </w:rPr>
            </w:pPr>
            <w:r w:rsidRPr="00EA1FCD">
              <w:t>in</w:t>
            </w:r>
            <w:r w:rsidR="007C79A4" w:rsidRPr="00EA1FCD">
              <w:t>complete</w:t>
            </w:r>
            <w:r w:rsidR="007C79A4">
              <w:t xml:space="preserve"> for the current reporting period. All required </w:t>
            </w:r>
            <w:r w:rsidR="007C79A4" w:rsidRPr="003810A6">
              <w:t>201</w:t>
            </w:r>
            <w:r w:rsidR="00284AB9" w:rsidRPr="003810A6">
              <w:t>4</w:t>
            </w:r>
            <w:r w:rsidR="007C79A4" w:rsidRPr="003810A6">
              <w:t>-1</w:t>
            </w:r>
            <w:r w:rsidR="00284AB9" w:rsidRPr="003810A6">
              <w:t>5</w:t>
            </w:r>
            <w:r w:rsidR="007C79A4" w:rsidRPr="003810A6">
              <w:t xml:space="preserve"> and </w:t>
            </w:r>
            <w:r w:rsidR="00757885" w:rsidRPr="003810A6">
              <w:t>2</w:t>
            </w:r>
            <w:r w:rsidR="007C79A4" w:rsidRPr="003810A6">
              <w:t>01</w:t>
            </w:r>
            <w:r w:rsidR="00284AB9" w:rsidRPr="003810A6">
              <w:t>5</w:t>
            </w:r>
            <w:r w:rsidR="007C79A4" w:rsidRPr="003810A6">
              <w:t>-1</w:t>
            </w:r>
            <w:r w:rsidR="00284AB9" w:rsidRPr="003810A6">
              <w:t>6</w:t>
            </w:r>
            <w:r w:rsidR="007C79A4" w:rsidRPr="009F45A6">
              <w:rPr>
                <w:color w:val="FF0000"/>
              </w:rPr>
              <w:t xml:space="preserve"> </w:t>
            </w:r>
            <w:r w:rsidR="007C79A4">
              <w:t xml:space="preserve">data </w:t>
            </w:r>
            <w:r w:rsidR="005279DC">
              <w:t xml:space="preserve">were not </w:t>
            </w:r>
            <w:r w:rsidR="007C79A4">
              <w:t xml:space="preserve">available for </w:t>
            </w:r>
            <w:r w:rsidRPr="00EA1FCD">
              <w:t>WA</w:t>
            </w:r>
            <w:r w:rsidR="007C79A4">
              <w:t>.</w:t>
            </w:r>
          </w:p>
        </w:tc>
      </w:tr>
      <w:tr w:rsidR="007C79A4" w:rsidTr="00C82E63">
        <w:trPr>
          <w:cantSplit/>
        </w:trPr>
        <w:tc>
          <w:tcPr>
            <w:tcW w:w="8771" w:type="dxa"/>
            <w:tcBorders>
              <w:top w:val="nil"/>
              <w:left w:val="nil"/>
              <w:bottom w:val="nil"/>
              <w:right w:val="nil"/>
            </w:tcBorders>
            <w:shd w:val="clear" w:color="auto" w:fill="F2F2F2" w:themeFill="background1" w:themeFillShade="F2"/>
          </w:tcPr>
          <w:p w:rsidR="007C79A4" w:rsidRPr="007C79A4" w:rsidRDefault="007C79A4" w:rsidP="00723465">
            <w:pPr>
              <w:pStyle w:val="BoxSource"/>
              <w:spacing w:after="120"/>
            </w:pPr>
            <w:r>
              <w:rPr>
                <w:i/>
              </w:rPr>
              <w:t xml:space="preserve">Source: </w:t>
            </w:r>
            <w:r w:rsidRPr="008F13FE">
              <w:t xml:space="preserve">ABS </w:t>
            </w:r>
            <w:r w:rsidRPr="003810A6">
              <w:t>(201</w:t>
            </w:r>
            <w:r w:rsidR="00284AB9" w:rsidRPr="003810A6">
              <w:t>6</w:t>
            </w:r>
            <w:r w:rsidRPr="003810A6">
              <w:t>) Recorded Crime – Offenders, 201</w:t>
            </w:r>
            <w:r w:rsidR="00284AB9" w:rsidRPr="003810A6">
              <w:t>4</w:t>
            </w:r>
            <w:r w:rsidRPr="003810A6">
              <w:t>-1</w:t>
            </w:r>
            <w:r w:rsidR="00284AB9" w:rsidRPr="003810A6">
              <w:t>5</w:t>
            </w:r>
            <w:r w:rsidRPr="008F13FE">
              <w:t>, Cat. no. 4519.0; State and Territory governments (unpublished).</w:t>
            </w:r>
          </w:p>
        </w:tc>
      </w:tr>
      <w:tr w:rsidR="007C79A4" w:rsidRPr="000863A5" w:rsidTr="00C82E63">
        <w:tc>
          <w:tcPr>
            <w:tcW w:w="8771" w:type="dxa"/>
            <w:tcBorders>
              <w:top w:val="single" w:sz="6" w:space="0" w:color="78A22F"/>
              <w:left w:val="nil"/>
              <w:bottom w:val="nil"/>
              <w:right w:val="nil"/>
            </w:tcBorders>
          </w:tcPr>
          <w:p w:rsidR="007C79A4" w:rsidRPr="00626D32" w:rsidRDefault="007C79A4" w:rsidP="00C82E63">
            <w:pPr>
              <w:pStyle w:val="BoxSpaceBelow"/>
            </w:pPr>
          </w:p>
        </w:tc>
      </w:tr>
    </w:tbl>
    <w:p w:rsidR="00B3791D" w:rsidRPr="002162DC" w:rsidRDefault="002E7924" w:rsidP="00B3791D">
      <w:pPr>
        <w:pStyle w:val="Heading5"/>
      </w:pPr>
      <w:r>
        <w:t>O</w:t>
      </w:r>
      <w:r w:rsidR="00B3791D" w:rsidRPr="002162DC">
        <w:t>ffenders</w:t>
      </w:r>
      <w:r>
        <w:t xml:space="preserve"> proceeded against more than once by police</w:t>
      </w:r>
    </w:p>
    <w:p w:rsidR="00B3791D" w:rsidRDefault="00113E73" w:rsidP="004478E5">
      <w:pPr>
        <w:pStyle w:val="BodyText"/>
      </w:pPr>
      <w:r>
        <w:t>Table</w:t>
      </w:r>
      <w:r w:rsidR="0089150A">
        <w:t> </w:t>
      </w:r>
      <w:proofErr w:type="spellStart"/>
      <w:r w:rsidR="00A31EB2">
        <w:t>C.</w:t>
      </w:r>
      <w:r w:rsidR="00586E41">
        <w:t>3</w:t>
      </w:r>
      <w:proofErr w:type="spellEnd"/>
      <w:r w:rsidRPr="002162DC">
        <w:t xml:space="preserve"> provides data on the number of times offender</w:t>
      </w:r>
      <w:r>
        <w:t>s, aged 10 years and over</w:t>
      </w:r>
      <w:r w:rsidR="009D61C4">
        <w:t>, were proceeded against</w:t>
      </w:r>
      <w:r w:rsidR="00C931E5">
        <w:t xml:space="preserve"> by police</w:t>
      </w:r>
      <w:r w:rsidR="009D61C4">
        <w:t xml:space="preserve"> </w:t>
      </w:r>
      <w:r w:rsidR="009D61C4" w:rsidRPr="003810A6">
        <w:t>in 201</w:t>
      </w:r>
      <w:r w:rsidR="00284AB9" w:rsidRPr="003810A6">
        <w:t>4</w:t>
      </w:r>
      <w:r w:rsidRPr="003810A6">
        <w:t>-</w:t>
      </w:r>
      <w:r w:rsidR="009D61C4" w:rsidRPr="003810A6">
        <w:t>1</w:t>
      </w:r>
      <w:r w:rsidR="00284AB9" w:rsidRPr="003810A6">
        <w:t>5</w:t>
      </w:r>
      <w:r w:rsidRPr="003810A6">
        <w:t xml:space="preserve">. </w:t>
      </w:r>
      <w:r w:rsidR="00B3791D" w:rsidRPr="002162DC">
        <w:t>The data represent each sep</w:t>
      </w:r>
      <w:r w:rsidR="0064577D">
        <w:t xml:space="preserve">arate occasion </w:t>
      </w:r>
      <w:r w:rsidR="00B3791D">
        <w:t>that</w:t>
      </w:r>
      <w:r w:rsidR="0064577D">
        <w:t xml:space="preserve"> police</w:t>
      </w:r>
      <w:r w:rsidR="00B3791D">
        <w:t xml:space="preserve"> </w:t>
      </w:r>
      <w:r w:rsidR="00B3791D" w:rsidRPr="002162DC">
        <w:t>initiated a legal actio</w:t>
      </w:r>
      <w:r w:rsidR="0064577D">
        <w:t>n against an offender.</w:t>
      </w:r>
      <w:r w:rsidR="00C931E5">
        <w:t xml:space="preserve"> Depending on the type of offence </w:t>
      </w:r>
      <w:r w:rsidR="00C931E5">
        <w:lastRenderedPageBreak/>
        <w:t>committed, police will either initiate a court or non-cour</w:t>
      </w:r>
      <w:r w:rsidR="00914114">
        <w:t>t action. Court actions involve</w:t>
      </w:r>
      <w:r w:rsidR="00C931E5">
        <w:t xml:space="preserve"> the laying of charges against an offender that must be answered in court. Non-court actions can include informal or formal warnings, conferencing, counselling, drug diversionary schemes or the issuing of penalty notices which do not require an appearance in court.</w:t>
      </w:r>
      <w:r w:rsidR="0064577D">
        <w:t xml:space="preserve"> </w:t>
      </w:r>
      <w:r w:rsidR="00B3791D" w:rsidRPr="0064577D">
        <w:t>In each State and Territory</w:t>
      </w:r>
      <w:r w:rsidR="00463601">
        <w:t xml:space="preserve"> (except WA for whom data were not available)</w:t>
      </w:r>
      <w:r w:rsidR="00B3791D" w:rsidRPr="0064577D">
        <w:t xml:space="preserve">, the </w:t>
      </w:r>
      <w:r w:rsidR="00637144">
        <w:t>maj</w:t>
      </w:r>
      <w:r w:rsidR="00973962">
        <w:t>ority of offenders (around t</w:t>
      </w:r>
      <w:r w:rsidR="00CD29BD">
        <w:t>hree</w:t>
      </w:r>
      <w:r w:rsidR="00E656E1">
        <w:t>-</w:t>
      </w:r>
      <w:r w:rsidR="00CD29BD">
        <w:t>quarters</w:t>
      </w:r>
      <w:r w:rsidR="00B3791D" w:rsidRPr="002162DC">
        <w:t xml:space="preserve">) </w:t>
      </w:r>
      <w:r w:rsidR="00B3791D" w:rsidRPr="0064577D">
        <w:t>were</w:t>
      </w:r>
      <w:r w:rsidR="00B3791D" w:rsidRPr="002162DC">
        <w:t xml:space="preserve"> proceeded against </w:t>
      </w:r>
      <w:r w:rsidR="00B3791D" w:rsidRPr="0064577D">
        <w:t xml:space="preserve">only </w:t>
      </w:r>
      <w:r w:rsidR="0064577D" w:rsidRPr="0064577D">
        <w:t>once</w:t>
      </w:r>
      <w:r w:rsidR="009D61C4">
        <w:t xml:space="preserve"> </w:t>
      </w:r>
      <w:r w:rsidR="009D61C4" w:rsidRPr="008061F9">
        <w:t>during 201</w:t>
      </w:r>
      <w:r w:rsidR="00284AB9" w:rsidRPr="008061F9">
        <w:t>4</w:t>
      </w:r>
      <w:r w:rsidR="009D61C4" w:rsidRPr="008061F9">
        <w:t>-1</w:t>
      </w:r>
      <w:r w:rsidR="00284AB9" w:rsidRPr="008061F9">
        <w:t>5</w:t>
      </w:r>
      <w:r w:rsidR="00B3791D" w:rsidRPr="00A55F6C">
        <w:t>.</w:t>
      </w:r>
    </w:p>
    <w:p w:rsidR="00A121F4" w:rsidRDefault="00A121F4" w:rsidP="00C82E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layout."/>
      </w:tblPr>
      <w:tblGrid>
        <w:gridCol w:w="8771"/>
      </w:tblGrid>
      <w:tr w:rsidR="00A121F4" w:rsidTr="00C82E63">
        <w:tc>
          <w:tcPr>
            <w:tcW w:w="8771" w:type="dxa"/>
            <w:tcBorders>
              <w:top w:val="single" w:sz="6" w:space="0" w:color="78A22F" w:themeColor="accent1"/>
              <w:left w:val="nil"/>
              <w:bottom w:val="nil"/>
              <w:right w:val="nil"/>
            </w:tcBorders>
            <w:shd w:val="clear" w:color="auto" w:fill="auto"/>
          </w:tcPr>
          <w:p w:rsidR="00A121F4" w:rsidRPr="00784A05" w:rsidRDefault="00A121F4">
            <w:pPr>
              <w:pStyle w:val="TableTitle"/>
            </w:pPr>
            <w:r>
              <w:rPr>
                <w:b w:val="0"/>
              </w:rPr>
              <w:t xml:space="preserve">Table </w:t>
            </w:r>
            <w:proofErr w:type="spellStart"/>
            <w:r>
              <w:rPr>
                <w:b w:val="0"/>
              </w:rPr>
              <w:t>C.</w:t>
            </w:r>
            <w:r w:rsidR="005615CC">
              <w:rPr>
                <w:b w:val="0"/>
                <w:noProof/>
              </w:rPr>
              <w:t>3</w:t>
            </w:r>
            <w:proofErr w:type="spellEnd"/>
            <w:r>
              <w:tab/>
              <w:t xml:space="preserve">Number of times offenders were proceeded against during </w:t>
            </w:r>
            <w:r w:rsidRPr="008061F9">
              <w:t>201</w:t>
            </w:r>
            <w:r w:rsidR="008F3A25" w:rsidRPr="008061F9">
              <w:t>4</w:t>
            </w:r>
            <w:r w:rsidRPr="008061F9">
              <w:t>-1</w:t>
            </w:r>
            <w:r w:rsidR="008F3A25" w:rsidRPr="008061F9">
              <w:t>5</w:t>
            </w:r>
            <w:r w:rsidRPr="008061F9">
              <w:t xml:space="preserve"> (per </w:t>
            </w:r>
            <w:r>
              <w:t>cent)</w:t>
            </w:r>
            <w:r w:rsidRPr="003575CF">
              <w:rPr>
                <w:rStyle w:val="NoteLabel"/>
                <w:b/>
              </w:rPr>
              <w:t>a</w:t>
            </w:r>
          </w:p>
        </w:tc>
      </w:tr>
      <w:tr w:rsidR="00A121F4" w:rsidTr="00C82E63">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2101"/>
              <w:gridCol w:w="841"/>
              <w:gridCol w:w="729"/>
              <w:gridCol w:w="840"/>
              <w:gridCol w:w="840"/>
              <w:gridCol w:w="840"/>
              <w:gridCol w:w="728"/>
              <w:gridCol w:w="840"/>
              <w:gridCol w:w="728"/>
            </w:tblGrid>
            <w:tr w:rsidR="001C5E60" w:rsidTr="00723465">
              <w:tc>
                <w:tcPr>
                  <w:tcW w:w="1237" w:type="pct"/>
                  <w:tcBorders>
                    <w:top w:val="single" w:sz="6" w:space="0" w:color="BFBFBF"/>
                    <w:bottom w:val="single" w:sz="6" w:space="0" w:color="BFBFBF"/>
                  </w:tcBorders>
                  <w:shd w:val="clear" w:color="auto" w:fill="auto"/>
                </w:tcPr>
                <w:p w:rsidR="00ED74D8" w:rsidRDefault="00ED74D8" w:rsidP="00C82E63">
                  <w:pPr>
                    <w:pStyle w:val="TableColumnHeading"/>
                    <w:jc w:val="left"/>
                  </w:pPr>
                </w:p>
              </w:tc>
              <w:tc>
                <w:tcPr>
                  <w:tcW w:w="495" w:type="pct"/>
                  <w:tcBorders>
                    <w:top w:val="single" w:sz="6" w:space="0" w:color="BFBFBF"/>
                    <w:bottom w:val="single" w:sz="6" w:space="0" w:color="BFBFBF"/>
                  </w:tcBorders>
                  <w:shd w:val="clear" w:color="auto" w:fill="auto"/>
                </w:tcPr>
                <w:p w:rsidR="00ED74D8" w:rsidRDefault="00ED74D8">
                  <w:pPr>
                    <w:pStyle w:val="TableColumnHeading"/>
                    <w:spacing w:before="140"/>
                    <w:ind w:left="0" w:right="28"/>
                  </w:pPr>
                  <w:r>
                    <w:t>NSW</w:t>
                  </w:r>
                </w:p>
              </w:tc>
              <w:tc>
                <w:tcPr>
                  <w:tcW w:w="429" w:type="pct"/>
                  <w:tcBorders>
                    <w:top w:val="single" w:sz="6" w:space="0" w:color="BFBFBF"/>
                    <w:bottom w:val="single" w:sz="6" w:space="0" w:color="BFBFBF"/>
                  </w:tcBorders>
                  <w:shd w:val="clear" w:color="auto" w:fill="auto"/>
                </w:tcPr>
                <w:p w:rsidR="00ED74D8" w:rsidRPr="00EA2B08" w:rsidRDefault="00ED74D8">
                  <w:pPr>
                    <w:pStyle w:val="TableColumnHeading"/>
                    <w:spacing w:before="140"/>
                    <w:ind w:left="0" w:right="28"/>
                    <w:rPr>
                      <w:rStyle w:val="NoteLabel"/>
                      <w:b w:val="0"/>
                      <w:i w:val="0"/>
                      <w:szCs w:val="24"/>
                    </w:rPr>
                  </w:pPr>
                  <w:r>
                    <w:t>Vic</w:t>
                  </w:r>
                </w:p>
              </w:tc>
              <w:tc>
                <w:tcPr>
                  <w:tcW w:w="495" w:type="pct"/>
                  <w:tcBorders>
                    <w:top w:val="single" w:sz="6" w:space="0" w:color="BFBFBF"/>
                    <w:bottom w:val="single" w:sz="6" w:space="0" w:color="BFBFBF"/>
                  </w:tcBorders>
                  <w:shd w:val="clear" w:color="auto" w:fill="auto"/>
                </w:tcPr>
                <w:p w:rsidR="00ED74D8" w:rsidRDefault="00ED74D8">
                  <w:pPr>
                    <w:pStyle w:val="TableColumnHeading"/>
                    <w:spacing w:before="140"/>
                    <w:ind w:left="0" w:right="28"/>
                  </w:pPr>
                  <w:r>
                    <w:t>Qld</w:t>
                  </w:r>
                </w:p>
              </w:tc>
              <w:tc>
                <w:tcPr>
                  <w:tcW w:w="495" w:type="pct"/>
                  <w:tcBorders>
                    <w:top w:val="single" w:sz="6" w:space="0" w:color="BFBFBF"/>
                    <w:bottom w:val="single" w:sz="6" w:space="0" w:color="BFBFBF"/>
                  </w:tcBorders>
                  <w:shd w:val="clear" w:color="auto" w:fill="auto"/>
                </w:tcPr>
                <w:p w:rsidR="00ED74D8" w:rsidRDefault="00ED74D8" w:rsidP="00723465">
                  <w:pPr>
                    <w:pStyle w:val="TableColumnHeading"/>
                    <w:spacing w:before="140"/>
                    <w:ind w:left="0" w:right="28"/>
                  </w:pPr>
                  <w:r>
                    <w:t>WA</w:t>
                  </w:r>
                </w:p>
              </w:tc>
              <w:tc>
                <w:tcPr>
                  <w:tcW w:w="495" w:type="pct"/>
                  <w:tcBorders>
                    <w:top w:val="single" w:sz="6" w:space="0" w:color="BFBFBF"/>
                    <w:bottom w:val="single" w:sz="6" w:space="0" w:color="BFBFBF"/>
                  </w:tcBorders>
                  <w:shd w:val="clear" w:color="auto" w:fill="auto"/>
                </w:tcPr>
                <w:p w:rsidR="00ED74D8" w:rsidRDefault="00ED74D8" w:rsidP="00723465">
                  <w:pPr>
                    <w:pStyle w:val="TableColumnHeading"/>
                    <w:spacing w:before="140"/>
                    <w:ind w:left="0" w:right="28"/>
                  </w:pPr>
                  <w:r>
                    <w:t>SA</w:t>
                  </w:r>
                </w:p>
              </w:tc>
              <w:tc>
                <w:tcPr>
                  <w:tcW w:w="429" w:type="pct"/>
                  <w:tcBorders>
                    <w:top w:val="single" w:sz="6" w:space="0" w:color="BFBFBF"/>
                    <w:bottom w:val="single" w:sz="6" w:space="0" w:color="BFBFBF"/>
                  </w:tcBorders>
                  <w:shd w:val="clear" w:color="auto" w:fill="auto"/>
                </w:tcPr>
                <w:p w:rsidR="00ED74D8" w:rsidRDefault="00ED74D8">
                  <w:pPr>
                    <w:pStyle w:val="TableColumnHeading"/>
                    <w:spacing w:before="140"/>
                    <w:ind w:left="0" w:right="28"/>
                  </w:pPr>
                  <w:proofErr w:type="spellStart"/>
                  <w:r>
                    <w:t>Tas</w:t>
                  </w:r>
                  <w:proofErr w:type="spellEnd"/>
                </w:p>
              </w:tc>
              <w:tc>
                <w:tcPr>
                  <w:tcW w:w="495" w:type="pct"/>
                  <w:tcBorders>
                    <w:top w:val="single" w:sz="6" w:space="0" w:color="BFBFBF"/>
                    <w:bottom w:val="single" w:sz="6" w:space="0" w:color="BFBFBF"/>
                  </w:tcBorders>
                  <w:shd w:val="clear" w:color="auto" w:fill="auto"/>
                </w:tcPr>
                <w:p w:rsidR="00ED74D8" w:rsidRDefault="00ED74D8" w:rsidP="00723465">
                  <w:pPr>
                    <w:pStyle w:val="TableColumnHeading"/>
                    <w:spacing w:before="140"/>
                    <w:ind w:left="0" w:right="28"/>
                  </w:pPr>
                  <w:r>
                    <w:t>ACT</w:t>
                  </w:r>
                </w:p>
              </w:tc>
              <w:tc>
                <w:tcPr>
                  <w:tcW w:w="429" w:type="pct"/>
                  <w:tcBorders>
                    <w:top w:val="single" w:sz="6" w:space="0" w:color="BFBFBF"/>
                    <w:bottom w:val="single" w:sz="6" w:space="0" w:color="BFBFBF"/>
                  </w:tcBorders>
                  <w:shd w:val="clear" w:color="auto" w:fill="auto"/>
                </w:tcPr>
                <w:p w:rsidR="00ED74D8" w:rsidRDefault="00ED74D8">
                  <w:pPr>
                    <w:pStyle w:val="TableColumnHeading"/>
                    <w:spacing w:before="140"/>
                    <w:ind w:left="0" w:right="28"/>
                  </w:pPr>
                  <w:r>
                    <w:t>NT</w:t>
                  </w:r>
                </w:p>
              </w:tc>
            </w:tr>
            <w:tr w:rsidR="00A45674" w:rsidTr="009F45A6">
              <w:tc>
                <w:tcPr>
                  <w:tcW w:w="1237" w:type="pct"/>
                  <w:tcBorders>
                    <w:top w:val="single" w:sz="6" w:space="0" w:color="BFBFBF"/>
                  </w:tcBorders>
                  <w:shd w:val="clear" w:color="auto" w:fill="auto"/>
                </w:tcPr>
                <w:p w:rsidR="00A45674" w:rsidRDefault="007839D6" w:rsidP="00723465">
                  <w:pPr>
                    <w:pStyle w:val="TableUnitsRow"/>
                    <w:tabs>
                      <w:tab w:val="left" w:pos="687"/>
                    </w:tabs>
                    <w:jc w:val="left"/>
                  </w:pPr>
                  <w:r>
                    <w:tab/>
                  </w:r>
                  <w:r w:rsidR="00A45674">
                    <w:t>1</w:t>
                  </w:r>
                </w:p>
              </w:tc>
              <w:tc>
                <w:tcPr>
                  <w:tcW w:w="495" w:type="pct"/>
                  <w:tcBorders>
                    <w:top w:val="single" w:sz="6" w:space="0" w:color="BFBFBF"/>
                  </w:tcBorders>
                  <w:shd w:val="clear" w:color="auto" w:fill="auto"/>
                  <w:vAlign w:val="bottom"/>
                </w:tcPr>
                <w:p w:rsidR="00A45674" w:rsidRPr="00C77B02" w:rsidRDefault="00A45674" w:rsidP="00C77B02">
                  <w:pPr>
                    <w:pStyle w:val="TableBodyText"/>
                  </w:pPr>
                  <w:r w:rsidRPr="009F45A6">
                    <w:t>72.4</w:t>
                  </w:r>
                </w:p>
              </w:tc>
              <w:tc>
                <w:tcPr>
                  <w:tcW w:w="429" w:type="pct"/>
                  <w:tcBorders>
                    <w:top w:val="single" w:sz="6" w:space="0" w:color="BFBFBF"/>
                  </w:tcBorders>
                  <w:shd w:val="clear" w:color="auto" w:fill="auto"/>
                  <w:vAlign w:val="bottom"/>
                </w:tcPr>
                <w:p w:rsidR="00A45674" w:rsidRPr="00C77B02" w:rsidRDefault="00A45674" w:rsidP="00C77B02">
                  <w:pPr>
                    <w:pStyle w:val="TableBodyText"/>
                  </w:pPr>
                  <w:r w:rsidRPr="009F45A6">
                    <w:t>76.1</w:t>
                  </w:r>
                </w:p>
              </w:tc>
              <w:tc>
                <w:tcPr>
                  <w:tcW w:w="495" w:type="pct"/>
                  <w:tcBorders>
                    <w:top w:val="single" w:sz="6" w:space="0" w:color="BFBFBF"/>
                  </w:tcBorders>
                  <w:shd w:val="clear" w:color="auto" w:fill="auto"/>
                  <w:vAlign w:val="bottom"/>
                </w:tcPr>
                <w:p w:rsidR="00A45674" w:rsidRPr="00C77B02" w:rsidRDefault="00A45674" w:rsidP="00A86578">
                  <w:pPr>
                    <w:pStyle w:val="TableBodyText"/>
                  </w:pPr>
                  <w:r w:rsidRPr="009F45A6">
                    <w:t>68.6</w:t>
                  </w:r>
                </w:p>
              </w:tc>
              <w:tc>
                <w:tcPr>
                  <w:tcW w:w="495" w:type="pct"/>
                  <w:tcBorders>
                    <w:top w:val="single" w:sz="6" w:space="0" w:color="BFBFBF"/>
                  </w:tcBorders>
                  <w:shd w:val="clear" w:color="auto" w:fill="auto"/>
                  <w:vAlign w:val="center"/>
                </w:tcPr>
                <w:p w:rsidR="00A45674" w:rsidRPr="00C77B02" w:rsidRDefault="00A45674" w:rsidP="00A86578">
                  <w:pPr>
                    <w:pStyle w:val="TableBodyText"/>
                  </w:pPr>
                  <w:proofErr w:type="spellStart"/>
                  <w:r w:rsidRPr="009F45A6">
                    <w:t>na</w:t>
                  </w:r>
                  <w:proofErr w:type="spellEnd"/>
                </w:p>
              </w:tc>
              <w:tc>
                <w:tcPr>
                  <w:tcW w:w="495" w:type="pct"/>
                  <w:tcBorders>
                    <w:top w:val="single" w:sz="6" w:space="0" w:color="BFBFBF"/>
                  </w:tcBorders>
                  <w:shd w:val="clear" w:color="auto" w:fill="auto"/>
                  <w:vAlign w:val="bottom"/>
                </w:tcPr>
                <w:p w:rsidR="00A45674" w:rsidRPr="00C77B02" w:rsidRDefault="00A45674">
                  <w:pPr>
                    <w:pStyle w:val="TableBodyText"/>
                  </w:pPr>
                  <w:r w:rsidRPr="009F45A6">
                    <w:t>83.7</w:t>
                  </w:r>
                </w:p>
              </w:tc>
              <w:tc>
                <w:tcPr>
                  <w:tcW w:w="429" w:type="pct"/>
                  <w:tcBorders>
                    <w:top w:val="single" w:sz="6" w:space="0" w:color="BFBFBF"/>
                  </w:tcBorders>
                  <w:shd w:val="clear" w:color="auto" w:fill="auto"/>
                  <w:vAlign w:val="bottom"/>
                </w:tcPr>
                <w:p w:rsidR="00A45674" w:rsidRPr="00C77B02" w:rsidRDefault="00A45674">
                  <w:pPr>
                    <w:pStyle w:val="TableBodyText"/>
                  </w:pPr>
                  <w:r w:rsidRPr="009F45A6">
                    <w:t>77.8</w:t>
                  </w:r>
                </w:p>
              </w:tc>
              <w:tc>
                <w:tcPr>
                  <w:tcW w:w="495" w:type="pct"/>
                  <w:tcBorders>
                    <w:top w:val="single" w:sz="6" w:space="0" w:color="BFBFBF"/>
                  </w:tcBorders>
                  <w:shd w:val="clear" w:color="auto" w:fill="auto"/>
                  <w:vAlign w:val="bottom"/>
                </w:tcPr>
                <w:p w:rsidR="00A45674" w:rsidRPr="00C77B02" w:rsidRDefault="00A45674">
                  <w:pPr>
                    <w:pStyle w:val="TableBodyText"/>
                  </w:pPr>
                  <w:r w:rsidRPr="009F45A6">
                    <w:t>85.0</w:t>
                  </w:r>
                </w:p>
              </w:tc>
              <w:tc>
                <w:tcPr>
                  <w:tcW w:w="429" w:type="pct"/>
                  <w:tcBorders>
                    <w:top w:val="single" w:sz="6" w:space="0" w:color="BFBFBF"/>
                  </w:tcBorders>
                  <w:shd w:val="clear" w:color="auto" w:fill="auto"/>
                  <w:vAlign w:val="bottom"/>
                </w:tcPr>
                <w:p w:rsidR="00A45674" w:rsidRPr="00C77B02" w:rsidRDefault="00A45674">
                  <w:pPr>
                    <w:pStyle w:val="TableBodyText"/>
                  </w:pPr>
                  <w:r w:rsidRPr="009F45A6">
                    <w:t>66.4</w:t>
                  </w:r>
                </w:p>
              </w:tc>
            </w:tr>
            <w:tr w:rsidR="00A45674" w:rsidTr="009F45A6">
              <w:tc>
                <w:tcPr>
                  <w:tcW w:w="1237" w:type="pct"/>
                  <w:shd w:val="clear" w:color="auto" w:fill="auto"/>
                </w:tcPr>
                <w:p w:rsidR="00A45674" w:rsidRDefault="007839D6" w:rsidP="00723465">
                  <w:pPr>
                    <w:pStyle w:val="TableBodyText"/>
                    <w:tabs>
                      <w:tab w:val="left" w:pos="687"/>
                    </w:tabs>
                    <w:jc w:val="left"/>
                  </w:pPr>
                  <w:r>
                    <w:tab/>
                  </w:r>
                  <w:r w:rsidR="00A45674">
                    <w:t>2</w:t>
                  </w:r>
                </w:p>
              </w:tc>
              <w:tc>
                <w:tcPr>
                  <w:tcW w:w="495" w:type="pct"/>
                  <w:shd w:val="clear" w:color="auto" w:fill="auto"/>
                  <w:vAlign w:val="bottom"/>
                </w:tcPr>
                <w:p w:rsidR="00A45674" w:rsidRPr="00C77B02" w:rsidRDefault="00A45674" w:rsidP="00C77B02">
                  <w:pPr>
                    <w:pStyle w:val="TableBodyText"/>
                  </w:pPr>
                  <w:r w:rsidRPr="009F45A6">
                    <w:t>14.0</w:t>
                  </w:r>
                </w:p>
              </w:tc>
              <w:tc>
                <w:tcPr>
                  <w:tcW w:w="429" w:type="pct"/>
                  <w:shd w:val="clear" w:color="auto" w:fill="auto"/>
                  <w:vAlign w:val="bottom"/>
                </w:tcPr>
                <w:p w:rsidR="00A45674" w:rsidRPr="00C77B02" w:rsidRDefault="00A45674" w:rsidP="00C77B02">
                  <w:pPr>
                    <w:pStyle w:val="TableBodyText"/>
                  </w:pPr>
                  <w:r w:rsidRPr="009F45A6">
                    <w:t>13.0</w:t>
                  </w:r>
                </w:p>
              </w:tc>
              <w:tc>
                <w:tcPr>
                  <w:tcW w:w="495" w:type="pct"/>
                  <w:shd w:val="clear" w:color="auto" w:fill="auto"/>
                  <w:vAlign w:val="bottom"/>
                </w:tcPr>
                <w:p w:rsidR="00A45674" w:rsidRPr="00C77B02" w:rsidRDefault="00A45674" w:rsidP="00A86578">
                  <w:pPr>
                    <w:pStyle w:val="TableBodyText"/>
                  </w:pPr>
                  <w:r w:rsidRPr="009F45A6">
                    <w:t>16.4</w:t>
                  </w:r>
                </w:p>
              </w:tc>
              <w:tc>
                <w:tcPr>
                  <w:tcW w:w="495" w:type="pct"/>
                  <w:shd w:val="clear" w:color="auto" w:fill="auto"/>
                  <w:vAlign w:val="center"/>
                </w:tcPr>
                <w:p w:rsidR="00A45674" w:rsidRPr="00C77B02" w:rsidRDefault="00A45674" w:rsidP="00A86578">
                  <w:pPr>
                    <w:pStyle w:val="TableBodyText"/>
                  </w:pPr>
                  <w:proofErr w:type="spellStart"/>
                  <w:r w:rsidRPr="009F45A6">
                    <w:t>na</w:t>
                  </w:r>
                  <w:proofErr w:type="spellEnd"/>
                </w:p>
              </w:tc>
              <w:tc>
                <w:tcPr>
                  <w:tcW w:w="495" w:type="pct"/>
                  <w:shd w:val="clear" w:color="auto" w:fill="auto"/>
                  <w:vAlign w:val="bottom"/>
                </w:tcPr>
                <w:p w:rsidR="00A45674" w:rsidRPr="00A86578" w:rsidRDefault="00A45674">
                  <w:pPr>
                    <w:pStyle w:val="TableBodyText"/>
                  </w:pPr>
                  <w:r w:rsidRPr="009F45A6">
                    <w:t>9.9</w:t>
                  </w:r>
                </w:p>
              </w:tc>
              <w:tc>
                <w:tcPr>
                  <w:tcW w:w="429" w:type="pct"/>
                  <w:shd w:val="clear" w:color="auto" w:fill="auto"/>
                  <w:vAlign w:val="bottom"/>
                </w:tcPr>
                <w:p w:rsidR="00A45674" w:rsidRPr="00C77B02" w:rsidRDefault="00A45674">
                  <w:pPr>
                    <w:pStyle w:val="TableBodyText"/>
                  </w:pPr>
                  <w:r w:rsidRPr="009F45A6">
                    <w:t>12.7</w:t>
                  </w:r>
                </w:p>
              </w:tc>
              <w:tc>
                <w:tcPr>
                  <w:tcW w:w="495" w:type="pct"/>
                  <w:shd w:val="clear" w:color="auto" w:fill="auto"/>
                  <w:vAlign w:val="bottom"/>
                </w:tcPr>
                <w:p w:rsidR="00A45674" w:rsidRPr="00C77B02" w:rsidRDefault="00A45674">
                  <w:pPr>
                    <w:pStyle w:val="TableBodyText"/>
                  </w:pPr>
                  <w:r w:rsidRPr="009F45A6">
                    <w:t>9.8</w:t>
                  </w:r>
                </w:p>
              </w:tc>
              <w:tc>
                <w:tcPr>
                  <w:tcW w:w="429" w:type="pct"/>
                  <w:shd w:val="clear" w:color="auto" w:fill="auto"/>
                  <w:vAlign w:val="bottom"/>
                </w:tcPr>
                <w:p w:rsidR="00A45674" w:rsidRPr="00C77B02" w:rsidRDefault="00A45674">
                  <w:pPr>
                    <w:pStyle w:val="TableBodyText"/>
                  </w:pPr>
                  <w:r w:rsidRPr="009F45A6">
                    <w:t>17.5</w:t>
                  </w:r>
                </w:p>
              </w:tc>
            </w:tr>
            <w:tr w:rsidR="00A45674" w:rsidTr="009F45A6">
              <w:tc>
                <w:tcPr>
                  <w:tcW w:w="1237" w:type="pct"/>
                  <w:shd w:val="clear" w:color="auto" w:fill="auto"/>
                </w:tcPr>
                <w:p w:rsidR="00A45674" w:rsidRDefault="007839D6" w:rsidP="00723465">
                  <w:pPr>
                    <w:pStyle w:val="TableBodyText"/>
                    <w:tabs>
                      <w:tab w:val="left" w:pos="687"/>
                    </w:tabs>
                    <w:jc w:val="left"/>
                  </w:pPr>
                  <w:r>
                    <w:tab/>
                  </w:r>
                  <w:r w:rsidR="00A45674">
                    <w:t>3</w:t>
                  </w:r>
                </w:p>
              </w:tc>
              <w:tc>
                <w:tcPr>
                  <w:tcW w:w="495" w:type="pct"/>
                  <w:shd w:val="clear" w:color="auto" w:fill="auto"/>
                  <w:vAlign w:val="bottom"/>
                </w:tcPr>
                <w:p w:rsidR="00A45674" w:rsidRPr="00C77B02" w:rsidRDefault="00A45674" w:rsidP="00C77B02">
                  <w:pPr>
                    <w:pStyle w:val="TableBodyText"/>
                  </w:pPr>
                  <w:r w:rsidRPr="009F45A6">
                    <w:t>5.6</w:t>
                  </w:r>
                </w:p>
              </w:tc>
              <w:tc>
                <w:tcPr>
                  <w:tcW w:w="429" w:type="pct"/>
                  <w:shd w:val="clear" w:color="auto" w:fill="auto"/>
                  <w:vAlign w:val="bottom"/>
                </w:tcPr>
                <w:p w:rsidR="00A45674" w:rsidRPr="00C77B02" w:rsidRDefault="00A45674" w:rsidP="00C77B02">
                  <w:pPr>
                    <w:pStyle w:val="TableBodyText"/>
                  </w:pPr>
                  <w:r w:rsidRPr="009F45A6">
                    <w:t>5.0</w:t>
                  </w:r>
                </w:p>
              </w:tc>
              <w:tc>
                <w:tcPr>
                  <w:tcW w:w="495" w:type="pct"/>
                  <w:shd w:val="clear" w:color="auto" w:fill="auto"/>
                  <w:vAlign w:val="bottom"/>
                </w:tcPr>
                <w:p w:rsidR="00A45674" w:rsidRPr="00C77B02" w:rsidRDefault="00A45674" w:rsidP="00A86578">
                  <w:pPr>
                    <w:pStyle w:val="TableBodyText"/>
                  </w:pPr>
                  <w:r w:rsidRPr="009F45A6">
                    <w:t>6.7</w:t>
                  </w:r>
                </w:p>
              </w:tc>
              <w:tc>
                <w:tcPr>
                  <w:tcW w:w="495" w:type="pct"/>
                  <w:shd w:val="clear" w:color="auto" w:fill="auto"/>
                  <w:vAlign w:val="center"/>
                </w:tcPr>
                <w:p w:rsidR="00A45674" w:rsidRPr="00C77B02" w:rsidRDefault="00A45674" w:rsidP="00A86578">
                  <w:pPr>
                    <w:pStyle w:val="TableBodyText"/>
                  </w:pPr>
                  <w:proofErr w:type="spellStart"/>
                  <w:r w:rsidRPr="009F45A6">
                    <w:t>na</w:t>
                  </w:r>
                  <w:proofErr w:type="spellEnd"/>
                </w:p>
              </w:tc>
              <w:tc>
                <w:tcPr>
                  <w:tcW w:w="495" w:type="pct"/>
                  <w:shd w:val="clear" w:color="auto" w:fill="auto"/>
                  <w:vAlign w:val="bottom"/>
                </w:tcPr>
                <w:p w:rsidR="00A45674" w:rsidRPr="00C77B02" w:rsidRDefault="00A45674">
                  <w:pPr>
                    <w:pStyle w:val="TableBodyText"/>
                  </w:pPr>
                  <w:r w:rsidRPr="009F45A6">
                    <w:t>3.2</w:t>
                  </w:r>
                </w:p>
              </w:tc>
              <w:tc>
                <w:tcPr>
                  <w:tcW w:w="429" w:type="pct"/>
                  <w:shd w:val="clear" w:color="auto" w:fill="auto"/>
                  <w:vAlign w:val="bottom"/>
                </w:tcPr>
                <w:p w:rsidR="00A45674" w:rsidRPr="00C77B02" w:rsidRDefault="00A45674">
                  <w:pPr>
                    <w:pStyle w:val="TableBodyText"/>
                  </w:pPr>
                  <w:r w:rsidRPr="009F45A6">
                    <w:t>4.5</w:t>
                  </w:r>
                </w:p>
              </w:tc>
              <w:tc>
                <w:tcPr>
                  <w:tcW w:w="495" w:type="pct"/>
                  <w:shd w:val="clear" w:color="auto" w:fill="auto"/>
                  <w:vAlign w:val="bottom"/>
                </w:tcPr>
                <w:p w:rsidR="00A45674" w:rsidRPr="00C77B02" w:rsidRDefault="00A45674">
                  <w:pPr>
                    <w:pStyle w:val="TableBodyText"/>
                  </w:pPr>
                  <w:r w:rsidRPr="009F45A6">
                    <w:t>3.4</w:t>
                  </w:r>
                </w:p>
              </w:tc>
              <w:tc>
                <w:tcPr>
                  <w:tcW w:w="429" w:type="pct"/>
                  <w:shd w:val="clear" w:color="auto" w:fill="auto"/>
                  <w:vAlign w:val="bottom"/>
                </w:tcPr>
                <w:p w:rsidR="00A45674" w:rsidRPr="00C77B02" w:rsidRDefault="00A45674">
                  <w:pPr>
                    <w:pStyle w:val="TableBodyText"/>
                  </w:pPr>
                  <w:r w:rsidRPr="009F45A6">
                    <w:t>6.8</w:t>
                  </w:r>
                </w:p>
              </w:tc>
            </w:tr>
            <w:tr w:rsidR="00A45674" w:rsidTr="009F45A6">
              <w:tc>
                <w:tcPr>
                  <w:tcW w:w="1237" w:type="pct"/>
                  <w:shd w:val="clear" w:color="auto" w:fill="auto"/>
                </w:tcPr>
                <w:p w:rsidR="00A45674" w:rsidRDefault="007839D6" w:rsidP="00723465">
                  <w:pPr>
                    <w:pStyle w:val="TableBodyText"/>
                    <w:tabs>
                      <w:tab w:val="left" w:pos="687"/>
                    </w:tabs>
                    <w:jc w:val="left"/>
                  </w:pPr>
                  <w:r>
                    <w:tab/>
                  </w:r>
                  <w:r w:rsidR="00A45674">
                    <w:t>4</w:t>
                  </w:r>
                </w:p>
              </w:tc>
              <w:tc>
                <w:tcPr>
                  <w:tcW w:w="495" w:type="pct"/>
                  <w:shd w:val="clear" w:color="auto" w:fill="auto"/>
                  <w:vAlign w:val="bottom"/>
                </w:tcPr>
                <w:p w:rsidR="00A45674" w:rsidRPr="00C77B02" w:rsidRDefault="00A45674" w:rsidP="00C77B02">
                  <w:pPr>
                    <w:pStyle w:val="TableBodyText"/>
                  </w:pPr>
                  <w:r w:rsidRPr="009F45A6">
                    <w:t>2.8</w:t>
                  </w:r>
                </w:p>
              </w:tc>
              <w:tc>
                <w:tcPr>
                  <w:tcW w:w="429" w:type="pct"/>
                  <w:shd w:val="clear" w:color="auto" w:fill="auto"/>
                  <w:vAlign w:val="bottom"/>
                </w:tcPr>
                <w:p w:rsidR="00A45674" w:rsidRPr="00C77B02" w:rsidRDefault="00A45674" w:rsidP="00C77B02">
                  <w:pPr>
                    <w:pStyle w:val="TableBodyText"/>
                  </w:pPr>
                  <w:r w:rsidRPr="009F45A6">
                    <w:t>2.5</w:t>
                  </w:r>
                </w:p>
              </w:tc>
              <w:tc>
                <w:tcPr>
                  <w:tcW w:w="495" w:type="pct"/>
                  <w:shd w:val="clear" w:color="auto" w:fill="auto"/>
                  <w:vAlign w:val="bottom"/>
                </w:tcPr>
                <w:p w:rsidR="00A45674" w:rsidRPr="00C77B02" w:rsidRDefault="00A45674" w:rsidP="00A86578">
                  <w:pPr>
                    <w:pStyle w:val="TableBodyText"/>
                  </w:pPr>
                  <w:r w:rsidRPr="009F45A6">
                    <w:t>3.3</w:t>
                  </w:r>
                </w:p>
              </w:tc>
              <w:tc>
                <w:tcPr>
                  <w:tcW w:w="495" w:type="pct"/>
                  <w:shd w:val="clear" w:color="auto" w:fill="auto"/>
                  <w:vAlign w:val="center"/>
                </w:tcPr>
                <w:p w:rsidR="00A45674" w:rsidRPr="00C77B02" w:rsidRDefault="00A45674" w:rsidP="00A86578">
                  <w:pPr>
                    <w:pStyle w:val="TableBodyText"/>
                  </w:pPr>
                  <w:proofErr w:type="spellStart"/>
                  <w:r w:rsidRPr="009F45A6">
                    <w:t>na</w:t>
                  </w:r>
                  <w:proofErr w:type="spellEnd"/>
                </w:p>
              </w:tc>
              <w:tc>
                <w:tcPr>
                  <w:tcW w:w="495" w:type="pct"/>
                  <w:shd w:val="clear" w:color="auto" w:fill="auto"/>
                  <w:vAlign w:val="bottom"/>
                </w:tcPr>
                <w:p w:rsidR="00A45674" w:rsidRPr="00C77B02" w:rsidRDefault="00A45674">
                  <w:pPr>
                    <w:pStyle w:val="TableBodyText"/>
                  </w:pPr>
                  <w:r w:rsidRPr="009F45A6">
                    <w:t>1.5</w:t>
                  </w:r>
                </w:p>
              </w:tc>
              <w:tc>
                <w:tcPr>
                  <w:tcW w:w="429" w:type="pct"/>
                  <w:shd w:val="clear" w:color="auto" w:fill="auto"/>
                  <w:vAlign w:val="bottom"/>
                </w:tcPr>
                <w:p w:rsidR="00A45674" w:rsidRPr="00C77B02" w:rsidRDefault="00A45674">
                  <w:pPr>
                    <w:pStyle w:val="TableBodyText"/>
                  </w:pPr>
                  <w:r w:rsidRPr="009F45A6">
                    <w:t>2.0</w:t>
                  </w:r>
                </w:p>
              </w:tc>
              <w:tc>
                <w:tcPr>
                  <w:tcW w:w="495" w:type="pct"/>
                  <w:shd w:val="clear" w:color="auto" w:fill="auto"/>
                  <w:vAlign w:val="bottom"/>
                </w:tcPr>
                <w:p w:rsidR="00A45674" w:rsidRPr="00C77B02" w:rsidRDefault="00A45674">
                  <w:pPr>
                    <w:pStyle w:val="TableBodyText"/>
                  </w:pPr>
                  <w:r w:rsidRPr="009F45A6">
                    <w:t>1.0</w:t>
                  </w:r>
                </w:p>
              </w:tc>
              <w:tc>
                <w:tcPr>
                  <w:tcW w:w="429" w:type="pct"/>
                  <w:shd w:val="clear" w:color="auto" w:fill="auto"/>
                  <w:vAlign w:val="bottom"/>
                </w:tcPr>
                <w:p w:rsidR="00A45674" w:rsidRPr="00C77B02" w:rsidRDefault="00A45674">
                  <w:pPr>
                    <w:pStyle w:val="TableBodyText"/>
                  </w:pPr>
                  <w:r w:rsidRPr="009F45A6">
                    <w:t>3.6</w:t>
                  </w:r>
                </w:p>
              </w:tc>
            </w:tr>
            <w:tr w:rsidR="00A45674" w:rsidTr="009F45A6">
              <w:tc>
                <w:tcPr>
                  <w:tcW w:w="1237" w:type="pct"/>
                  <w:shd w:val="clear" w:color="auto" w:fill="auto"/>
                </w:tcPr>
                <w:p w:rsidR="00A45674" w:rsidRDefault="007839D6" w:rsidP="00723465">
                  <w:pPr>
                    <w:pStyle w:val="TableBodyText"/>
                    <w:tabs>
                      <w:tab w:val="left" w:pos="687"/>
                    </w:tabs>
                    <w:jc w:val="left"/>
                  </w:pPr>
                  <w:r>
                    <w:rPr>
                      <w:rFonts w:cs="Arial"/>
                    </w:rPr>
                    <w:tab/>
                  </w:r>
                  <w:r w:rsidR="00A45674">
                    <w:rPr>
                      <w:rFonts w:cs="Arial"/>
                    </w:rPr>
                    <w:t>≥</w:t>
                  </w:r>
                  <w:r w:rsidR="00A45674">
                    <w:t xml:space="preserve"> 5</w:t>
                  </w:r>
                </w:p>
              </w:tc>
              <w:tc>
                <w:tcPr>
                  <w:tcW w:w="495" w:type="pct"/>
                  <w:shd w:val="clear" w:color="auto" w:fill="auto"/>
                  <w:vAlign w:val="bottom"/>
                </w:tcPr>
                <w:p w:rsidR="00A45674" w:rsidRPr="00C77B02" w:rsidRDefault="00A45674" w:rsidP="00C77B02">
                  <w:pPr>
                    <w:pStyle w:val="TableBodyText"/>
                  </w:pPr>
                  <w:r w:rsidRPr="009F45A6">
                    <w:t>5.2</w:t>
                  </w:r>
                </w:p>
              </w:tc>
              <w:tc>
                <w:tcPr>
                  <w:tcW w:w="429" w:type="pct"/>
                  <w:shd w:val="clear" w:color="auto" w:fill="auto"/>
                  <w:vAlign w:val="bottom"/>
                </w:tcPr>
                <w:p w:rsidR="00A45674" w:rsidRPr="00C77B02" w:rsidRDefault="00A45674" w:rsidP="00C77B02">
                  <w:pPr>
                    <w:pStyle w:val="TableBodyText"/>
                  </w:pPr>
                  <w:r w:rsidRPr="009F45A6">
                    <w:t>3.4</w:t>
                  </w:r>
                </w:p>
              </w:tc>
              <w:tc>
                <w:tcPr>
                  <w:tcW w:w="495" w:type="pct"/>
                  <w:shd w:val="clear" w:color="auto" w:fill="auto"/>
                  <w:vAlign w:val="bottom"/>
                </w:tcPr>
                <w:p w:rsidR="00A45674" w:rsidRPr="00C77B02" w:rsidRDefault="00A45674" w:rsidP="00A86578">
                  <w:pPr>
                    <w:pStyle w:val="TableBodyText"/>
                  </w:pPr>
                  <w:r w:rsidRPr="009F45A6">
                    <w:t>5.0</w:t>
                  </w:r>
                </w:p>
              </w:tc>
              <w:tc>
                <w:tcPr>
                  <w:tcW w:w="495" w:type="pct"/>
                  <w:shd w:val="clear" w:color="auto" w:fill="auto"/>
                  <w:vAlign w:val="center"/>
                </w:tcPr>
                <w:p w:rsidR="00A45674" w:rsidRPr="00C77B02" w:rsidRDefault="00A45674" w:rsidP="00A86578">
                  <w:pPr>
                    <w:pStyle w:val="TableBodyText"/>
                  </w:pPr>
                  <w:proofErr w:type="spellStart"/>
                  <w:r w:rsidRPr="009F45A6">
                    <w:t>na</w:t>
                  </w:r>
                  <w:proofErr w:type="spellEnd"/>
                </w:p>
              </w:tc>
              <w:tc>
                <w:tcPr>
                  <w:tcW w:w="495" w:type="pct"/>
                  <w:shd w:val="clear" w:color="auto" w:fill="auto"/>
                  <w:vAlign w:val="bottom"/>
                </w:tcPr>
                <w:p w:rsidR="00A45674" w:rsidRPr="00C77B02" w:rsidRDefault="00A45674">
                  <w:pPr>
                    <w:pStyle w:val="TableBodyText"/>
                  </w:pPr>
                  <w:r w:rsidRPr="009F45A6">
                    <w:t>1.6</w:t>
                  </w:r>
                </w:p>
              </w:tc>
              <w:tc>
                <w:tcPr>
                  <w:tcW w:w="429" w:type="pct"/>
                  <w:shd w:val="clear" w:color="auto" w:fill="auto"/>
                  <w:vAlign w:val="bottom"/>
                </w:tcPr>
                <w:p w:rsidR="00A45674" w:rsidRPr="00C77B02" w:rsidRDefault="00A45674">
                  <w:pPr>
                    <w:pStyle w:val="TableBodyText"/>
                  </w:pPr>
                  <w:r w:rsidRPr="009F45A6">
                    <w:t>2.9</w:t>
                  </w:r>
                </w:p>
              </w:tc>
              <w:tc>
                <w:tcPr>
                  <w:tcW w:w="495" w:type="pct"/>
                  <w:shd w:val="clear" w:color="auto" w:fill="auto"/>
                  <w:vAlign w:val="bottom"/>
                </w:tcPr>
                <w:p w:rsidR="00A45674" w:rsidRPr="00C77B02" w:rsidRDefault="00A45674">
                  <w:pPr>
                    <w:pStyle w:val="TableBodyText"/>
                  </w:pPr>
                  <w:r w:rsidRPr="009F45A6">
                    <w:t>0.7</w:t>
                  </w:r>
                </w:p>
              </w:tc>
              <w:tc>
                <w:tcPr>
                  <w:tcW w:w="429" w:type="pct"/>
                  <w:shd w:val="clear" w:color="auto" w:fill="auto"/>
                  <w:vAlign w:val="bottom"/>
                </w:tcPr>
                <w:p w:rsidR="00A45674" w:rsidRPr="00C77B02" w:rsidRDefault="00A45674">
                  <w:pPr>
                    <w:pStyle w:val="TableBodyText"/>
                  </w:pPr>
                  <w:r w:rsidRPr="009F45A6">
                    <w:t>5.6</w:t>
                  </w:r>
                </w:p>
              </w:tc>
            </w:tr>
            <w:tr w:rsidR="001C5E60" w:rsidTr="00A45674">
              <w:tc>
                <w:tcPr>
                  <w:tcW w:w="1237" w:type="pct"/>
                </w:tcPr>
                <w:p w:rsidR="00ED74D8" w:rsidRDefault="007839D6" w:rsidP="00723465">
                  <w:pPr>
                    <w:pStyle w:val="TableBodyText"/>
                    <w:tabs>
                      <w:tab w:val="left" w:pos="687"/>
                    </w:tabs>
                    <w:jc w:val="left"/>
                  </w:pPr>
                  <w:r>
                    <w:tab/>
                  </w:r>
                  <w:r w:rsidR="00ED74D8">
                    <w:t>Total</w:t>
                  </w:r>
                </w:p>
              </w:tc>
              <w:tc>
                <w:tcPr>
                  <w:tcW w:w="495" w:type="pct"/>
                  <w:shd w:val="clear" w:color="auto" w:fill="auto"/>
                </w:tcPr>
                <w:p w:rsidR="00ED74D8" w:rsidRDefault="00ED74D8" w:rsidP="00C77B02">
                  <w:pPr>
                    <w:pStyle w:val="TableBodyText"/>
                  </w:pPr>
                  <w:r>
                    <w:t>100.0</w:t>
                  </w:r>
                </w:p>
              </w:tc>
              <w:tc>
                <w:tcPr>
                  <w:tcW w:w="429" w:type="pct"/>
                  <w:shd w:val="clear" w:color="auto" w:fill="auto"/>
                </w:tcPr>
                <w:p w:rsidR="00ED74D8" w:rsidRDefault="00ED74D8" w:rsidP="00A86578">
                  <w:pPr>
                    <w:pStyle w:val="TableBodyText"/>
                  </w:pPr>
                  <w:r>
                    <w:t>100.0</w:t>
                  </w:r>
                </w:p>
              </w:tc>
              <w:tc>
                <w:tcPr>
                  <w:tcW w:w="495" w:type="pct"/>
                  <w:shd w:val="clear" w:color="auto" w:fill="auto"/>
                </w:tcPr>
                <w:p w:rsidR="00ED74D8" w:rsidRDefault="00ED74D8">
                  <w:pPr>
                    <w:pStyle w:val="TableBodyText"/>
                  </w:pPr>
                  <w:r>
                    <w:t>100.0</w:t>
                  </w:r>
                </w:p>
              </w:tc>
              <w:tc>
                <w:tcPr>
                  <w:tcW w:w="495" w:type="pct"/>
                  <w:shd w:val="clear" w:color="auto" w:fill="auto"/>
                </w:tcPr>
                <w:p w:rsidR="00ED74D8" w:rsidRDefault="00ED74D8">
                  <w:pPr>
                    <w:pStyle w:val="TableBodyText"/>
                  </w:pPr>
                  <w:proofErr w:type="spellStart"/>
                  <w:r>
                    <w:t>na</w:t>
                  </w:r>
                  <w:proofErr w:type="spellEnd"/>
                </w:p>
              </w:tc>
              <w:tc>
                <w:tcPr>
                  <w:tcW w:w="495" w:type="pct"/>
                  <w:shd w:val="clear" w:color="auto" w:fill="auto"/>
                </w:tcPr>
                <w:p w:rsidR="00ED74D8" w:rsidRDefault="00ED74D8">
                  <w:pPr>
                    <w:pStyle w:val="TableBodyText"/>
                  </w:pPr>
                  <w:r>
                    <w:t>100.0</w:t>
                  </w:r>
                </w:p>
              </w:tc>
              <w:tc>
                <w:tcPr>
                  <w:tcW w:w="429" w:type="pct"/>
                  <w:shd w:val="clear" w:color="auto" w:fill="auto"/>
                </w:tcPr>
                <w:p w:rsidR="00ED74D8" w:rsidRDefault="00ED74D8">
                  <w:pPr>
                    <w:pStyle w:val="TableBodyText"/>
                  </w:pPr>
                  <w:r>
                    <w:t>100.0</w:t>
                  </w:r>
                </w:p>
              </w:tc>
              <w:tc>
                <w:tcPr>
                  <w:tcW w:w="495" w:type="pct"/>
                  <w:shd w:val="clear" w:color="auto" w:fill="auto"/>
                </w:tcPr>
                <w:p w:rsidR="00ED74D8" w:rsidRDefault="00ED74D8">
                  <w:pPr>
                    <w:pStyle w:val="TableBodyText"/>
                  </w:pPr>
                  <w:r>
                    <w:t>100.0</w:t>
                  </w:r>
                </w:p>
              </w:tc>
              <w:tc>
                <w:tcPr>
                  <w:tcW w:w="429" w:type="pct"/>
                  <w:shd w:val="clear" w:color="auto" w:fill="auto"/>
                </w:tcPr>
                <w:p w:rsidR="00ED74D8" w:rsidRDefault="00ED74D8">
                  <w:pPr>
                    <w:pStyle w:val="TableBodyText"/>
                  </w:pPr>
                  <w:r>
                    <w:t>100.0</w:t>
                  </w:r>
                </w:p>
              </w:tc>
            </w:tr>
            <w:tr w:rsidR="001C5E60" w:rsidRPr="00A73152" w:rsidTr="00723465">
              <w:tc>
                <w:tcPr>
                  <w:tcW w:w="1237" w:type="pct"/>
                  <w:tcBorders>
                    <w:bottom w:val="single" w:sz="6" w:space="0" w:color="BFBFBF"/>
                  </w:tcBorders>
                  <w:shd w:val="clear" w:color="auto" w:fill="auto"/>
                </w:tcPr>
                <w:p w:rsidR="00ED74D8" w:rsidRPr="00A73152" w:rsidRDefault="00ED74D8" w:rsidP="001C5E60">
                  <w:pPr>
                    <w:pStyle w:val="TableUnitsRow"/>
                    <w:spacing w:before="80"/>
                    <w:jc w:val="left"/>
                    <w:rPr>
                      <w:b/>
                    </w:rPr>
                  </w:pPr>
                  <w:r>
                    <w:rPr>
                      <w:b/>
                    </w:rPr>
                    <w:t>Total r</w:t>
                  </w:r>
                  <w:r w:rsidRPr="00A73152">
                    <w:rPr>
                      <w:b/>
                    </w:rPr>
                    <w:t>epeat offenders</w:t>
                  </w:r>
                </w:p>
              </w:tc>
              <w:tc>
                <w:tcPr>
                  <w:tcW w:w="495" w:type="pct"/>
                  <w:tcBorders>
                    <w:bottom w:val="single" w:sz="6" w:space="0" w:color="BFBFBF"/>
                  </w:tcBorders>
                  <w:shd w:val="clear" w:color="auto" w:fill="auto"/>
                  <w:vAlign w:val="bottom"/>
                </w:tcPr>
                <w:p w:rsidR="00ED74D8" w:rsidRPr="00A73152" w:rsidRDefault="00A45674">
                  <w:pPr>
                    <w:pStyle w:val="TableBodyText"/>
                    <w:rPr>
                      <w:b/>
                    </w:rPr>
                  </w:pPr>
                  <w:r>
                    <w:rPr>
                      <w:b/>
                    </w:rPr>
                    <w:t>27.6</w:t>
                  </w:r>
                </w:p>
              </w:tc>
              <w:tc>
                <w:tcPr>
                  <w:tcW w:w="429" w:type="pct"/>
                  <w:tcBorders>
                    <w:bottom w:val="single" w:sz="6" w:space="0" w:color="BFBFBF"/>
                  </w:tcBorders>
                  <w:shd w:val="clear" w:color="auto" w:fill="auto"/>
                  <w:vAlign w:val="bottom"/>
                </w:tcPr>
                <w:p w:rsidR="00ED74D8" w:rsidRPr="00A73152" w:rsidRDefault="00A45674">
                  <w:pPr>
                    <w:pStyle w:val="TableBodyText"/>
                    <w:rPr>
                      <w:b/>
                    </w:rPr>
                  </w:pPr>
                  <w:r>
                    <w:rPr>
                      <w:b/>
                    </w:rPr>
                    <w:t>23.9</w:t>
                  </w:r>
                </w:p>
              </w:tc>
              <w:tc>
                <w:tcPr>
                  <w:tcW w:w="495" w:type="pct"/>
                  <w:tcBorders>
                    <w:bottom w:val="single" w:sz="6" w:space="0" w:color="BFBFBF"/>
                  </w:tcBorders>
                  <w:shd w:val="clear" w:color="auto" w:fill="auto"/>
                  <w:vAlign w:val="bottom"/>
                </w:tcPr>
                <w:p w:rsidR="00ED74D8" w:rsidRPr="00A73152" w:rsidRDefault="00A45674">
                  <w:pPr>
                    <w:pStyle w:val="TableBodyText"/>
                    <w:rPr>
                      <w:b/>
                    </w:rPr>
                  </w:pPr>
                  <w:r>
                    <w:rPr>
                      <w:b/>
                    </w:rPr>
                    <w:t>31.4</w:t>
                  </w:r>
                </w:p>
              </w:tc>
              <w:tc>
                <w:tcPr>
                  <w:tcW w:w="495" w:type="pct"/>
                  <w:tcBorders>
                    <w:bottom w:val="single" w:sz="6" w:space="0" w:color="BFBFBF"/>
                  </w:tcBorders>
                  <w:shd w:val="clear" w:color="auto" w:fill="auto"/>
                  <w:vAlign w:val="bottom"/>
                </w:tcPr>
                <w:p w:rsidR="00ED74D8" w:rsidRPr="00A73152" w:rsidRDefault="00A45674">
                  <w:pPr>
                    <w:pStyle w:val="TableBodyText"/>
                    <w:rPr>
                      <w:b/>
                    </w:rPr>
                  </w:pPr>
                  <w:proofErr w:type="spellStart"/>
                  <w:r>
                    <w:rPr>
                      <w:b/>
                    </w:rPr>
                    <w:t>na</w:t>
                  </w:r>
                  <w:proofErr w:type="spellEnd"/>
                </w:p>
              </w:tc>
              <w:tc>
                <w:tcPr>
                  <w:tcW w:w="495" w:type="pct"/>
                  <w:tcBorders>
                    <w:bottom w:val="single" w:sz="6" w:space="0" w:color="BFBFBF"/>
                  </w:tcBorders>
                  <w:shd w:val="clear" w:color="auto" w:fill="auto"/>
                  <w:vAlign w:val="bottom"/>
                </w:tcPr>
                <w:p w:rsidR="00ED74D8" w:rsidRPr="00A73152" w:rsidRDefault="00C472FE">
                  <w:pPr>
                    <w:pStyle w:val="TableBodyText"/>
                    <w:rPr>
                      <w:b/>
                    </w:rPr>
                  </w:pPr>
                  <w:r>
                    <w:rPr>
                      <w:b/>
                    </w:rPr>
                    <w:t>16.2</w:t>
                  </w:r>
                </w:p>
              </w:tc>
              <w:tc>
                <w:tcPr>
                  <w:tcW w:w="429" w:type="pct"/>
                  <w:tcBorders>
                    <w:bottom w:val="single" w:sz="6" w:space="0" w:color="BFBFBF"/>
                  </w:tcBorders>
                  <w:shd w:val="clear" w:color="auto" w:fill="auto"/>
                  <w:vAlign w:val="bottom"/>
                </w:tcPr>
                <w:p w:rsidR="00ED74D8" w:rsidRPr="00A73152" w:rsidRDefault="00C472FE">
                  <w:pPr>
                    <w:pStyle w:val="TableBodyText"/>
                    <w:rPr>
                      <w:b/>
                    </w:rPr>
                  </w:pPr>
                  <w:r>
                    <w:rPr>
                      <w:b/>
                    </w:rPr>
                    <w:t>22.1</w:t>
                  </w:r>
                </w:p>
              </w:tc>
              <w:tc>
                <w:tcPr>
                  <w:tcW w:w="495" w:type="pct"/>
                  <w:tcBorders>
                    <w:bottom w:val="single" w:sz="6" w:space="0" w:color="BFBFBF"/>
                  </w:tcBorders>
                  <w:shd w:val="clear" w:color="auto" w:fill="auto"/>
                  <w:vAlign w:val="bottom"/>
                </w:tcPr>
                <w:p w:rsidR="00ED74D8" w:rsidRPr="00A73152" w:rsidRDefault="00C472FE" w:rsidP="00C472FE">
                  <w:pPr>
                    <w:pStyle w:val="TableBodyText"/>
                    <w:rPr>
                      <w:b/>
                    </w:rPr>
                  </w:pPr>
                  <w:r>
                    <w:rPr>
                      <w:b/>
                    </w:rPr>
                    <w:t>14</w:t>
                  </w:r>
                  <w:r w:rsidR="00A45674">
                    <w:rPr>
                      <w:b/>
                    </w:rPr>
                    <w:t>.</w:t>
                  </w:r>
                  <w:r>
                    <w:rPr>
                      <w:b/>
                    </w:rPr>
                    <w:t>9</w:t>
                  </w:r>
                </w:p>
              </w:tc>
              <w:tc>
                <w:tcPr>
                  <w:tcW w:w="429" w:type="pct"/>
                  <w:tcBorders>
                    <w:bottom w:val="single" w:sz="6" w:space="0" w:color="BFBFBF"/>
                  </w:tcBorders>
                  <w:shd w:val="clear" w:color="auto" w:fill="auto"/>
                  <w:vAlign w:val="bottom"/>
                </w:tcPr>
                <w:p w:rsidR="00ED74D8" w:rsidRPr="00A73152" w:rsidRDefault="00C472FE">
                  <w:pPr>
                    <w:pStyle w:val="TableBodyText"/>
                    <w:rPr>
                      <w:b/>
                    </w:rPr>
                  </w:pPr>
                  <w:r>
                    <w:rPr>
                      <w:b/>
                    </w:rPr>
                    <w:t>33.5</w:t>
                  </w:r>
                </w:p>
              </w:tc>
            </w:tr>
          </w:tbl>
          <w:p w:rsidR="00A121F4" w:rsidRDefault="00A121F4" w:rsidP="00C82E63">
            <w:pPr>
              <w:pStyle w:val="Box"/>
            </w:pPr>
          </w:p>
        </w:tc>
      </w:tr>
      <w:tr w:rsidR="00A121F4" w:rsidTr="00C82E63">
        <w:trPr>
          <w:cantSplit/>
        </w:trPr>
        <w:tc>
          <w:tcPr>
            <w:tcW w:w="8771" w:type="dxa"/>
            <w:tcBorders>
              <w:top w:val="nil"/>
              <w:left w:val="nil"/>
              <w:bottom w:val="nil"/>
              <w:right w:val="nil"/>
            </w:tcBorders>
            <w:shd w:val="clear" w:color="auto" w:fill="auto"/>
          </w:tcPr>
          <w:p w:rsidR="00A121F4" w:rsidRDefault="006C3C46" w:rsidP="00723465">
            <w:pPr>
              <w:pStyle w:val="Note"/>
              <w:jc w:val="left"/>
              <w:rPr>
                <w:i/>
                <w:szCs w:val="26"/>
                <w:lang w:eastAsia="en-US"/>
              </w:rPr>
            </w:pPr>
            <w:r w:rsidRPr="00FC1856">
              <w:rPr>
                <w:rStyle w:val="NoteLabel"/>
              </w:rPr>
              <w:t>a</w:t>
            </w:r>
            <w:r w:rsidRPr="00FC1856">
              <w:t> </w:t>
            </w:r>
            <w:r w:rsidR="00E57FF6" w:rsidRPr="00FC1856">
              <w:t>See</w:t>
            </w:r>
            <w:r w:rsidR="00140326" w:rsidRPr="00FC1856">
              <w:t xml:space="preserve"> box </w:t>
            </w:r>
            <w:proofErr w:type="spellStart"/>
            <w:r w:rsidR="00140326" w:rsidRPr="00FC1856">
              <w:t>C.</w:t>
            </w:r>
            <w:r w:rsidR="00744CE4">
              <w:t>4</w:t>
            </w:r>
            <w:proofErr w:type="spellEnd"/>
            <w:r w:rsidR="00140326" w:rsidRPr="00FC1856">
              <w:t xml:space="preserve"> </w:t>
            </w:r>
            <w:r w:rsidR="00140326" w:rsidRPr="008061F9">
              <w:t>and</w:t>
            </w:r>
            <w:r w:rsidR="00E57FF6" w:rsidRPr="008061F9">
              <w:t xml:space="preserve"> </w:t>
            </w:r>
            <w:r w:rsidR="002F5289" w:rsidRPr="008061F9">
              <w:t>t</w:t>
            </w:r>
            <w:r w:rsidR="00E57FF6" w:rsidRPr="008061F9">
              <w:t xml:space="preserve">able </w:t>
            </w:r>
            <w:proofErr w:type="spellStart"/>
            <w:r w:rsidR="00E57FF6" w:rsidRPr="008061F9">
              <w:t>CA.5</w:t>
            </w:r>
            <w:proofErr w:type="spellEnd"/>
            <w:r w:rsidR="00E57FF6" w:rsidRPr="008061F9">
              <w:t xml:space="preserve"> </w:t>
            </w:r>
            <w:r w:rsidR="00E57FF6" w:rsidRPr="00FC1856">
              <w:t>for detailed</w:t>
            </w:r>
            <w:r w:rsidR="00140326" w:rsidRPr="00FC1856">
              <w:t xml:space="preserve"> definitions,</w:t>
            </w:r>
            <w:r w:rsidR="00E57FF6" w:rsidRPr="00FC1856">
              <w:t xml:space="preserve"> footnotes and caveats</w:t>
            </w:r>
            <w:r w:rsidR="00E57FF6">
              <w:t xml:space="preserve">. </w:t>
            </w:r>
            <w:r w:rsidR="00CF176E">
              <w:br/>
            </w:r>
            <w:proofErr w:type="spellStart"/>
            <w:r w:rsidR="00ED74D8" w:rsidRPr="00AB398A">
              <w:rPr>
                <w:b/>
              </w:rPr>
              <w:t>na</w:t>
            </w:r>
            <w:proofErr w:type="spellEnd"/>
            <w:r w:rsidR="00ED74D8">
              <w:rPr>
                <w:b/>
              </w:rPr>
              <w:t> </w:t>
            </w:r>
            <w:r w:rsidR="00ED74D8" w:rsidRPr="00A1493A">
              <w:t>Not</w:t>
            </w:r>
            <w:r w:rsidR="00ED74D8">
              <w:t> </w:t>
            </w:r>
            <w:r w:rsidR="00ED74D8" w:rsidRPr="00A1493A">
              <w:t>available</w:t>
            </w:r>
            <w:r w:rsidR="00ED74D8">
              <w:t>.</w:t>
            </w:r>
          </w:p>
        </w:tc>
      </w:tr>
      <w:tr w:rsidR="00A121F4" w:rsidTr="00C82E63">
        <w:trPr>
          <w:cantSplit/>
        </w:trPr>
        <w:tc>
          <w:tcPr>
            <w:tcW w:w="8771" w:type="dxa"/>
            <w:tcBorders>
              <w:top w:val="nil"/>
              <w:left w:val="nil"/>
              <w:bottom w:val="nil"/>
              <w:right w:val="nil"/>
            </w:tcBorders>
            <w:shd w:val="clear" w:color="auto" w:fill="auto"/>
          </w:tcPr>
          <w:p w:rsidR="00A121F4" w:rsidRDefault="00ED74D8">
            <w:pPr>
              <w:pStyle w:val="Source"/>
            </w:pPr>
            <w:r>
              <w:rPr>
                <w:i/>
              </w:rPr>
              <w:t>Source</w:t>
            </w:r>
            <w:r w:rsidR="00A121F4" w:rsidRPr="00167F06">
              <w:t xml:space="preserve">: </w:t>
            </w:r>
            <w:r>
              <w:t xml:space="preserve">ABS </w:t>
            </w:r>
            <w:r w:rsidRPr="008061F9">
              <w:t>(201</w:t>
            </w:r>
            <w:r w:rsidR="0088141B" w:rsidRPr="008061F9">
              <w:t>6</w:t>
            </w:r>
            <w:r w:rsidRPr="008061F9">
              <w:t xml:space="preserve">), </w:t>
            </w:r>
            <w:r>
              <w:rPr>
                <w:i/>
              </w:rPr>
              <w:t>Recorded Crime – Offenders, selected states and territories</w:t>
            </w:r>
            <w:r w:rsidRPr="008061F9">
              <w:rPr>
                <w:i/>
              </w:rPr>
              <w:t xml:space="preserve">, </w:t>
            </w:r>
            <w:r w:rsidRPr="008061F9">
              <w:t>201</w:t>
            </w:r>
            <w:r w:rsidR="0088141B" w:rsidRPr="008061F9">
              <w:t>4</w:t>
            </w:r>
            <w:r w:rsidRPr="008061F9">
              <w:t>-1</w:t>
            </w:r>
            <w:r w:rsidR="0088141B" w:rsidRPr="008061F9">
              <w:t>5</w:t>
            </w:r>
            <w:r w:rsidRPr="00A55F6C">
              <w:rPr>
                <w:i/>
              </w:rPr>
              <w:t>,</w:t>
            </w:r>
            <w:r>
              <w:rPr>
                <w:i/>
              </w:rPr>
              <w:t xml:space="preserve"> </w:t>
            </w:r>
            <w:r>
              <w:t>Cat.</w:t>
            </w:r>
            <w:r w:rsidR="002E5F7B">
              <w:t> </w:t>
            </w:r>
            <w:r>
              <w:t>no.</w:t>
            </w:r>
            <w:r w:rsidR="00155F55">
              <w:t> </w:t>
            </w:r>
            <w:r>
              <w:t>4519.0</w:t>
            </w:r>
            <w:r w:rsidR="00112030" w:rsidRPr="008061F9">
              <w:t xml:space="preserve">; table </w:t>
            </w:r>
            <w:proofErr w:type="spellStart"/>
            <w:r w:rsidR="00112030" w:rsidRPr="008061F9">
              <w:t>CA.5</w:t>
            </w:r>
            <w:proofErr w:type="spellEnd"/>
            <w:r w:rsidR="00112030" w:rsidRPr="008061F9">
              <w:t>.</w:t>
            </w:r>
          </w:p>
        </w:tc>
      </w:tr>
      <w:tr w:rsidR="00677606" w:rsidTr="00883DE6">
        <w:tblPrEx>
          <w:tblBorders>
            <w:top w:val="single" w:sz="6" w:space="0" w:color="78A22F"/>
            <w:left w:val="single" w:sz="6" w:space="0" w:color="78A22F"/>
            <w:bottom w:val="single" w:sz="6" w:space="0" w:color="78A22F"/>
            <w:right w:val="single" w:sz="6" w:space="0" w:color="78A22F"/>
          </w:tblBorders>
        </w:tblPrEx>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A121F4" w:rsidRPr="000863A5" w:rsidTr="00C82E63">
        <w:tc>
          <w:tcPr>
            <w:tcW w:w="8771" w:type="dxa"/>
            <w:tcBorders>
              <w:top w:val="single" w:sz="6" w:space="0" w:color="78A22F" w:themeColor="accent1"/>
              <w:left w:val="nil"/>
              <w:bottom w:val="nil"/>
              <w:right w:val="nil"/>
            </w:tcBorders>
          </w:tcPr>
          <w:p w:rsidR="00A121F4" w:rsidRPr="00626D32" w:rsidRDefault="00A121F4" w:rsidP="00C82E63">
            <w:pPr>
              <w:pStyle w:val="BoxSpaceBelow"/>
            </w:pPr>
          </w:p>
        </w:tc>
      </w:tr>
    </w:tbl>
    <w:p w:rsidR="00B3791D" w:rsidRPr="002162DC" w:rsidRDefault="00A95B38" w:rsidP="00453033">
      <w:pPr>
        <w:pStyle w:val="Heading5"/>
      </w:pPr>
      <w:r>
        <w:t>Adult offenders released from prison</w:t>
      </w:r>
    </w:p>
    <w:p w:rsidR="00B3791D" w:rsidRDefault="00F0161C" w:rsidP="004478E5">
      <w:pPr>
        <w:pStyle w:val="BodyText"/>
      </w:pPr>
      <w:r>
        <w:t xml:space="preserve">The most recent data for </w:t>
      </w:r>
      <w:r w:rsidR="00A95B38">
        <w:t>adult offenders</w:t>
      </w:r>
      <w:r>
        <w:t xml:space="preserve"> released from prison who</w:t>
      </w:r>
      <w:r w:rsidR="00B3791D" w:rsidRPr="002162DC">
        <w:t xml:space="preserve"> return</w:t>
      </w:r>
      <w:r>
        <w:t>ed</w:t>
      </w:r>
      <w:r w:rsidR="00B3791D" w:rsidRPr="002162DC">
        <w:t xml:space="preserve"> to corrective services</w:t>
      </w:r>
      <w:r>
        <w:t xml:space="preserve"> within two years</w:t>
      </w:r>
      <w:r w:rsidR="00B3791D" w:rsidRPr="002162DC">
        <w:t xml:space="preserve"> relate t</w:t>
      </w:r>
      <w:r w:rsidR="00587BCD">
        <w:t xml:space="preserve">o prisoners released </w:t>
      </w:r>
      <w:r w:rsidR="00587BCD" w:rsidRPr="008061F9">
        <w:t>during 20</w:t>
      </w:r>
      <w:r w:rsidR="00B67471" w:rsidRPr="008061F9">
        <w:t>1</w:t>
      </w:r>
      <w:r w:rsidR="0088141B" w:rsidRPr="008061F9">
        <w:t>3</w:t>
      </w:r>
      <w:r w:rsidR="00587BCD" w:rsidRPr="008061F9">
        <w:t>-1</w:t>
      </w:r>
      <w:r w:rsidR="0088141B" w:rsidRPr="008061F9">
        <w:t>4</w:t>
      </w:r>
      <w:r w:rsidR="00B3791D" w:rsidRPr="008061F9">
        <w:t xml:space="preserve"> </w:t>
      </w:r>
      <w:r w:rsidR="00B3791D" w:rsidRPr="002162DC">
        <w:t>who returne</w:t>
      </w:r>
      <w:r w:rsidR="00587BCD">
        <w:t xml:space="preserve">d to corrective services </w:t>
      </w:r>
      <w:r w:rsidR="00587BCD" w:rsidRPr="008061F9">
        <w:t>by 201</w:t>
      </w:r>
      <w:r w:rsidR="0088141B" w:rsidRPr="008061F9">
        <w:t>5</w:t>
      </w:r>
      <w:r w:rsidR="00587BCD" w:rsidRPr="008061F9">
        <w:t>-1</w:t>
      </w:r>
      <w:r w:rsidR="0088141B" w:rsidRPr="008061F9">
        <w:t>6</w:t>
      </w:r>
      <w:r w:rsidR="00C83A7D" w:rsidRPr="008061F9">
        <w:t xml:space="preserve"> </w:t>
      </w:r>
      <w:r w:rsidR="00C83A7D" w:rsidRPr="00A55F6C">
        <w:t>(</w:t>
      </w:r>
      <w:r w:rsidR="00C83A7D">
        <w:t xml:space="preserve">table </w:t>
      </w:r>
      <w:proofErr w:type="spellStart"/>
      <w:r w:rsidR="00A31EB2">
        <w:t>C.</w:t>
      </w:r>
      <w:r w:rsidR="00586E41">
        <w:t>4</w:t>
      </w:r>
      <w:proofErr w:type="spellEnd"/>
      <w:r w:rsidR="00C83A7D">
        <w:t>)</w:t>
      </w:r>
      <w:r w:rsidR="00B3791D" w:rsidRPr="002162DC">
        <w:t>.</w:t>
      </w:r>
      <w:r w:rsidR="00D16F90">
        <w:t xml:space="preserve"> Nationally</w:t>
      </w:r>
      <w:r w:rsidR="00D16F90" w:rsidRPr="008061F9">
        <w:t xml:space="preserve">, </w:t>
      </w:r>
      <w:r w:rsidR="006A568B" w:rsidRPr="009F45A6">
        <w:t>44.6</w:t>
      </w:r>
      <w:r w:rsidR="008453AE" w:rsidRPr="008061F9">
        <w:t xml:space="preserve"> </w:t>
      </w:r>
      <w:r w:rsidR="00D16F90">
        <w:t>per cent of released prisoners had returned to prison with</w:t>
      </w:r>
      <w:r w:rsidR="00F26AEC">
        <w:t>in</w:t>
      </w:r>
      <w:r w:rsidR="00D16F90">
        <w:t xml:space="preserve"> two years, </w:t>
      </w:r>
      <w:r w:rsidR="00D16F90" w:rsidRPr="008061F9">
        <w:t xml:space="preserve">while </w:t>
      </w:r>
      <w:r w:rsidR="006A568B" w:rsidRPr="009F45A6">
        <w:t>52.6</w:t>
      </w:r>
      <w:r w:rsidR="008453AE" w:rsidRPr="008061F9">
        <w:t xml:space="preserve"> </w:t>
      </w:r>
      <w:r w:rsidR="00D16F90" w:rsidRPr="008061F9">
        <w:t xml:space="preserve">per </w:t>
      </w:r>
      <w:r w:rsidR="00D16F90">
        <w:t>cent had returned to corrective services.</w:t>
      </w:r>
    </w:p>
    <w:p w:rsidR="009F0C7F" w:rsidRDefault="009F0C7F" w:rsidP="00B976DC">
      <w:pPr>
        <w:pStyle w:val="BoxSpaceAbove"/>
        <w:spacing w:before="120"/>
      </w:pPr>
    </w:p>
    <w:tbl>
      <w:tblPr>
        <w:tblW w:w="8909"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layout."/>
      </w:tblPr>
      <w:tblGrid>
        <w:gridCol w:w="8771"/>
        <w:gridCol w:w="64"/>
        <w:gridCol w:w="74"/>
      </w:tblGrid>
      <w:tr w:rsidR="009F0C7F" w:rsidTr="00677606">
        <w:tc>
          <w:tcPr>
            <w:tcW w:w="8909" w:type="dxa"/>
            <w:gridSpan w:val="3"/>
            <w:tcBorders>
              <w:top w:val="single" w:sz="6" w:space="0" w:color="78A22F" w:themeColor="accent1"/>
              <w:left w:val="nil"/>
              <w:bottom w:val="nil"/>
              <w:right w:val="nil"/>
            </w:tcBorders>
            <w:shd w:val="clear" w:color="auto" w:fill="auto"/>
          </w:tcPr>
          <w:p w:rsidR="009F0C7F" w:rsidRPr="00784A05" w:rsidRDefault="009F0C7F">
            <w:pPr>
              <w:pStyle w:val="TableTitle"/>
            </w:pPr>
            <w:r>
              <w:rPr>
                <w:b w:val="0"/>
              </w:rPr>
              <w:t xml:space="preserve">Table </w:t>
            </w:r>
            <w:proofErr w:type="spellStart"/>
            <w:r>
              <w:rPr>
                <w:b w:val="0"/>
              </w:rPr>
              <w:t>C.</w:t>
            </w:r>
            <w:r w:rsidR="005615CC">
              <w:rPr>
                <w:b w:val="0"/>
                <w:noProof/>
              </w:rPr>
              <w:t>4</w:t>
            </w:r>
            <w:proofErr w:type="spellEnd"/>
            <w:r>
              <w:tab/>
            </w:r>
            <w:r w:rsidRPr="00A1493A">
              <w:t xml:space="preserve">Prisoners released </w:t>
            </w:r>
            <w:r w:rsidRPr="008061F9">
              <w:t>during 201</w:t>
            </w:r>
            <w:r w:rsidR="00C30E52" w:rsidRPr="008061F9">
              <w:t>3</w:t>
            </w:r>
            <w:r w:rsidRPr="008061F9">
              <w:noBreakHyphen/>
              <w:t>1</w:t>
            </w:r>
            <w:r w:rsidR="00C30E52" w:rsidRPr="008061F9">
              <w:t>4</w:t>
            </w:r>
            <w:r w:rsidRPr="008061F9">
              <w:t xml:space="preserve"> </w:t>
            </w:r>
            <w:r w:rsidRPr="000B0311">
              <w:t>who</w:t>
            </w:r>
            <w:r w:rsidRPr="00A1493A">
              <w:t xml:space="preserve"> returned to corrective services with a new correctional sanction within two years (per cent)</w:t>
            </w:r>
            <w:r w:rsidRPr="00A1493A">
              <w:rPr>
                <w:rStyle w:val="NoteLabel"/>
                <w:b/>
              </w:rPr>
              <w:t>a</w:t>
            </w:r>
          </w:p>
        </w:tc>
      </w:tr>
      <w:tr w:rsidR="00C77B02" w:rsidTr="00677606">
        <w:trPr>
          <w:gridAfter w:val="1"/>
          <w:wAfter w:w="74" w:type="dxa"/>
          <w:cantSplit/>
        </w:trPr>
        <w:tc>
          <w:tcPr>
            <w:tcW w:w="8835" w:type="dxa"/>
            <w:gridSpan w:val="2"/>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104"/>
              <w:gridCol w:w="709"/>
              <w:gridCol w:w="709"/>
              <w:gridCol w:w="709"/>
              <w:gridCol w:w="708"/>
              <w:gridCol w:w="709"/>
              <w:gridCol w:w="709"/>
              <w:gridCol w:w="709"/>
              <w:gridCol w:w="708"/>
              <w:gridCol w:w="709"/>
            </w:tblGrid>
            <w:tr w:rsidR="00C77B02" w:rsidRPr="00A1493A" w:rsidTr="00071D8B">
              <w:tc>
                <w:tcPr>
                  <w:tcW w:w="2104" w:type="dxa"/>
                  <w:tcBorders>
                    <w:top w:val="single" w:sz="6" w:space="0" w:color="BFBFBF"/>
                    <w:bottom w:val="single" w:sz="6" w:space="0" w:color="BFBFBF"/>
                  </w:tcBorders>
                  <w:shd w:val="clear" w:color="auto" w:fill="auto"/>
                </w:tcPr>
                <w:p w:rsidR="00C77B02" w:rsidRPr="00A1493A" w:rsidRDefault="00C77B02" w:rsidP="00C77B02">
                  <w:pPr>
                    <w:pStyle w:val="TableColumnHeading"/>
                    <w:jc w:val="left"/>
                  </w:pPr>
                </w:p>
              </w:tc>
              <w:tc>
                <w:tcPr>
                  <w:tcW w:w="709" w:type="dxa"/>
                  <w:tcBorders>
                    <w:top w:val="single" w:sz="6" w:space="0" w:color="BFBFBF"/>
                    <w:bottom w:val="single" w:sz="6" w:space="0" w:color="BFBFBF"/>
                  </w:tcBorders>
                  <w:shd w:val="clear" w:color="auto" w:fill="auto"/>
                </w:tcPr>
                <w:p w:rsidR="00C77B02" w:rsidRPr="00A1493A" w:rsidRDefault="00C77B02" w:rsidP="00C77B02">
                  <w:pPr>
                    <w:pStyle w:val="TableColumnHeading"/>
                    <w:ind w:left="0" w:right="28"/>
                  </w:pPr>
                  <w:r w:rsidRPr="00A1493A">
                    <w:t>NSW</w:t>
                  </w:r>
                </w:p>
              </w:tc>
              <w:tc>
                <w:tcPr>
                  <w:tcW w:w="709" w:type="dxa"/>
                  <w:tcBorders>
                    <w:top w:val="single" w:sz="6" w:space="0" w:color="BFBFBF"/>
                    <w:bottom w:val="single" w:sz="6" w:space="0" w:color="BFBFBF"/>
                  </w:tcBorders>
                  <w:shd w:val="clear" w:color="auto" w:fill="auto"/>
                </w:tcPr>
                <w:p w:rsidR="00C77B02" w:rsidRPr="00A1493A" w:rsidRDefault="00C77B02" w:rsidP="00C77B02">
                  <w:pPr>
                    <w:pStyle w:val="TableColumnHeading"/>
                    <w:ind w:left="0" w:right="28"/>
                  </w:pPr>
                  <w:r w:rsidRPr="00A1493A">
                    <w:t>Vic</w:t>
                  </w:r>
                </w:p>
              </w:tc>
              <w:tc>
                <w:tcPr>
                  <w:tcW w:w="709" w:type="dxa"/>
                  <w:tcBorders>
                    <w:top w:val="single" w:sz="6" w:space="0" w:color="BFBFBF"/>
                    <w:bottom w:val="single" w:sz="6" w:space="0" w:color="BFBFBF"/>
                  </w:tcBorders>
                  <w:shd w:val="clear" w:color="auto" w:fill="auto"/>
                </w:tcPr>
                <w:p w:rsidR="00C77B02" w:rsidRPr="00A1493A" w:rsidRDefault="00C77B02" w:rsidP="00C77B02">
                  <w:pPr>
                    <w:pStyle w:val="TableColumnHeading"/>
                    <w:ind w:left="0" w:right="28"/>
                  </w:pPr>
                  <w:r w:rsidRPr="00A1493A">
                    <w:t>Qld</w:t>
                  </w:r>
                </w:p>
              </w:tc>
              <w:tc>
                <w:tcPr>
                  <w:tcW w:w="708" w:type="dxa"/>
                  <w:tcBorders>
                    <w:top w:val="single" w:sz="6" w:space="0" w:color="BFBFBF"/>
                    <w:bottom w:val="single" w:sz="6" w:space="0" w:color="BFBFBF"/>
                  </w:tcBorders>
                  <w:shd w:val="clear" w:color="auto" w:fill="auto"/>
                </w:tcPr>
                <w:p w:rsidR="00C77B02" w:rsidRPr="00A1493A" w:rsidRDefault="00C77B02" w:rsidP="00C77B02">
                  <w:pPr>
                    <w:pStyle w:val="TableColumnHeading"/>
                    <w:ind w:left="0" w:right="28"/>
                  </w:pPr>
                  <w:r w:rsidRPr="00A1493A">
                    <w:t>WA</w:t>
                  </w:r>
                </w:p>
              </w:tc>
              <w:tc>
                <w:tcPr>
                  <w:tcW w:w="709" w:type="dxa"/>
                  <w:tcBorders>
                    <w:top w:val="single" w:sz="6" w:space="0" w:color="BFBFBF"/>
                    <w:bottom w:val="single" w:sz="6" w:space="0" w:color="BFBFBF"/>
                  </w:tcBorders>
                  <w:shd w:val="clear" w:color="auto" w:fill="auto"/>
                </w:tcPr>
                <w:p w:rsidR="00C77B02" w:rsidRPr="00A1493A" w:rsidRDefault="00C77B02" w:rsidP="00C77B02">
                  <w:pPr>
                    <w:pStyle w:val="TableColumnHeading"/>
                    <w:ind w:left="0" w:right="28"/>
                  </w:pPr>
                  <w:r w:rsidRPr="00A1493A">
                    <w:t>SA</w:t>
                  </w:r>
                </w:p>
              </w:tc>
              <w:tc>
                <w:tcPr>
                  <w:tcW w:w="709" w:type="dxa"/>
                  <w:tcBorders>
                    <w:top w:val="single" w:sz="6" w:space="0" w:color="BFBFBF"/>
                    <w:bottom w:val="single" w:sz="6" w:space="0" w:color="BFBFBF"/>
                  </w:tcBorders>
                  <w:shd w:val="clear" w:color="auto" w:fill="auto"/>
                </w:tcPr>
                <w:p w:rsidR="00C77B02" w:rsidRPr="00A1493A" w:rsidRDefault="00C77B02" w:rsidP="00C77B02">
                  <w:pPr>
                    <w:pStyle w:val="TableColumnHeading"/>
                    <w:ind w:left="0" w:right="28"/>
                  </w:pPr>
                  <w:proofErr w:type="spellStart"/>
                  <w:r w:rsidRPr="00A1493A">
                    <w:t>Tas</w:t>
                  </w:r>
                  <w:proofErr w:type="spellEnd"/>
                </w:p>
              </w:tc>
              <w:tc>
                <w:tcPr>
                  <w:tcW w:w="709" w:type="dxa"/>
                  <w:tcBorders>
                    <w:top w:val="single" w:sz="6" w:space="0" w:color="BFBFBF"/>
                    <w:bottom w:val="single" w:sz="6" w:space="0" w:color="BFBFBF"/>
                  </w:tcBorders>
                  <w:shd w:val="clear" w:color="auto" w:fill="auto"/>
                </w:tcPr>
                <w:p w:rsidR="00C77B02" w:rsidRPr="00C64919" w:rsidRDefault="00C77B02" w:rsidP="00C77B02">
                  <w:pPr>
                    <w:pStyle w:val="TableColumnHeading"/>
                    <w:ind w:left="0" w:right="28"/>
                    <w:rPr>
                      <w:rStyle w:val="NoteLabel"/>
                    </w:rPr>
                  </w:pPr>
                  <w:r w:rsidRPr="00A1493A">
                    <w:t>ACT</w:t>
                  </w:r>
                </w:p>
              </w:tc>
              <w:tc>
                <w:tcPr>
                  <w:tcW w:w="708" w:type="dxa"/>
                  <w:tcBorders>
                    <w:top w:val="single" w:sz="6" w:space="0" w:color="BFBFBF"/>
                    <w:bottom w:val="single" w:sz="6" w:space="0" w:color="BFBFBF"/>
                  </w:tcBorders>
                  <w:shd w:val="clear" w:color="auto" w:fill="auto"/>
                </w:tcPr>
                <w:p w:rsidR="00C77B02" w:rsidRPr="00A1493A" w:rsidRDefault="00C77B02" w:rsidP="00C77B02">
                  <w:pPr>
                    <w:pStyle w:val="TableColumnHeading"/>
                    <w:ind w:left="0" w:right="28"/>
                  </w:pPr>
                  <w:r w:rsidRPr="00A1493A">
                    <w:t>NT</w:t>
                  </w:r>
                </w:p>
              </w:tc>
              <w:tc>
                <w:tcPr>
                  <w:tcW w:w="709" w:type="dxa"/>
                  <w:tcBorders>
                    <w:top w:val="single" w:sz="6" w:space="0" w:color="BFBFBF"/>
                    <w:bottom w:val="single" w:sz="6" w:space="0" w:color="BFBFBF"/>
                  </w:tcBorders>
                  <w:shd w:val="clear" w:color="auto" w:fill="auto"/>
                </w:tcPr>
                <w:p w:rsidR="00C77B02" w:rsidRPr="00A1493A" w:rsidRDefault="00C77B02" w:rsidP="00C77B02">
                  <w:pPr>
                    <w:pStyle w:val="TableColumnHeading"/>
                    <w:ind w:right="28"/>
                  </w:pPr>
                  <w:proofErr w:type="spellStart"/>
                  <w:r w:rsidRPr="00A1493A">
                    <w:t>Aust</w:t>
                  </w:r>
                  <w:proofErr w:type="spellEnd"/>
                </w:p>
              </w:tc>
            </w:tr>
            <w:tr w:rsidR="00C77B02" w:rsidRPr="00A1493A" w:rsidTr="00071D8B">
              <w:tc>
                <w:tcPr>
                  <w:tcW w:w="2104" w:type="dxa"/>
                  <w:tcBorders>
                    <w:top w:val="single" w:sz="6" w:space="0" w:color="BFBFBF"/>
                  </w:tcBorders>
                </w:tcPr>
                <w:p w:rsidR="00C77B02" w:rsidRPr="00A1493A" w:rsidRDefault="00C77B02" w:rsidP="00C77B02">
                  <w:pPr>
                    <w:pStyle w:val="TableBodyText"/>
                    <w:spacing w:before="40"/>
                    <w:ind w:left="0" w:right="0"/>
                    <w:jc w:val="left"/>
                  </w:pPr>
                  <w:r w:rsidRPr="00A1493A">
                    <w:t>Prisoners returning to:</w:t>
                  </w:r>
                </w:p>
              </w:tc>
              <w:tc>
                <w:tcPr>
                  <w:tcW w:w="709" w:type="dxa"/>
                  <w:tcBorders>
                    <w:top w:val="single" w:sz="6" w:space="0" w:color="BFBFBF"/>
                  </w:tcBorders>
                </w:tcPr>
                <w:p w:rsidR="00C77B02" w:rsidRPr="00A1493A" w:rsidRDefault="00C77B02" w:rsidP="00C77B02">
                  <w:pPr>
                    <w:pStyle w:val="TableBodyText"/>
                    <w:spacing w:before="40"/>
                  </w:pPr>
                </w:p>
              </w:tc>
              <w:tc>
                <w:tcPr>
                  <w:tcW w:w="709" w:type="dxa"/>
                  <w:tcBorders>
                    <w:top w:val="single" w:sz="6" w:space="0" w:color="BFBFBF"/>
                  </w:tcBorders>
                </w:tcPr>
                <w:p w:rsidR="00C77B02" w:rsidRPr="00A1493A" w:rsidRDefault="00C77B02" w:rsidP="00C77B02">
                  <w:pPr>
                    <w:pStyle w:val="TableBodyText"/>
                    <w:spacing w:before="40"/>
                  </w:pPr>
                </w:p>
              </w:tc>
              <w:tc>
                <w:tcPr>
                  <w:tcW w:w="709" w:type="dxa"/>
                  <w:tcBorders>
                    <w:top w:val="single" w:sz="6" w:space="0" w:color="BFBFBF"/>
                  </w:tcBorders>
                </w:tcPr>
                <w:p w:rsidR="00C77B02" w:rsidRPr="00A1493A" w:rsidRDefault="00C77B02" w:rsidP="00C77B02">
                  <w:pPr>
                    <w:pStyle w:val="TableBodyText"/>
                    <w:spacing w:before="40"/>
                  </w:pPr>
                </w:p>
              </w:tc>
              <w:tc>
                <w:tcPr>
                  <w:tcW w:w="708" w:type="dxa"/>
                  <w:tcBorders>
                    <w:top w:val="single" w:sz="6" w:space="0" w:color="BFBFBF"/>
                  </w:tcBorders>
                </w:tcPr>
                <w:p w:rsidR="00C77B02" w:rsidRPr="00A1493A" w:rsidRDefault="00C77B02" w:rsidP="00C77B02">
                  <w:pPr>
                    <w:pStyle w:val="TableBodyText"/>
                    <w:spacing w:before="40"/>
                  </w:pPr>
                </w:p>
              </w:tc>
              <w:tc>
                <w:tcPr>
                  <w:tcW w:w="709" w:type="dxa"/>
                  <w:tcBorders>
                    <w:top w:val="single" w:sz="6" w:space="0" w:color="BFBFBF"/>
                  </w:tcBorders>
                </w:tcPr>
                <w:p w:rsidR="00C77B02" w:rsidRPr="00A1493A" w:rsidRDefault="00C77B02" w:rsidP="00C77B02">
                  <w:pPr>
                    <w:pStyle w:val="TableBodyText"/>
                    <w:spacing w:before="40"/>
                  </w:pPr>
                </w:p>
              </w:tc>
              <w:tc>
                <w:tcPr>
                  <w:tcW w:w="709" w:type="dxa"/>
                  <w:tcBorders>
                    <w:top w:val="single" w:sz="6" w:space="0" w:color="BFBFBF"/>
                  </w:tcBorders>
                </w:tcPr>
                <w:p w:rsidR="00C77B02" w:rsidRPr="00A1493A" w:rsidRDefault="00C77B02" w:rsidP="00C77B02">
                  <w:pPr>
                    <w:pStyle w:val="TableBodyText"/>
                    <w:spacing w:before="40"/>
                  </w:pPr>
                </w:p>
              </w:tc>
              <w:tc>
                <w:tcPr>
                  <w:tcW w:w="709" w:type="dxa"/>
                  <w:tcBorders>
                    <w:top w:val="single" w:sz="6" w:space="0" w:color="BFBFBF"/>
                  </w:tcBorders>
                </w:tcPr>
                <w:p w:rsidR="00C77B02" w:rsidRPr="00A1493A" w:rsidRDefault="00C77B02" w:rsidP="00C77B02">
                  <w:pPr>
                    <w:pStyle w:val="TableBodyText"/>
                    <w:spacing w:before="40"/>
                  </w:pPr>
                </w:p>
              </w:tc>
              <w:tc>
                <w:tcPr>
                  <w:tcW w:w="708" w:type="dxa"/>
                  <w:tcBorders>
                    <w:top w:val="single" w:sz="6" w:space="0" w:color="BFBFBF"/>
                  </w:tcBorders>
                </w:tcPr>
                <w:p w:rsidR="00C77B02" w:rsidRPr="00A1493A" w:rsidRDefault="00C77B02" w:rsidP="00C77B02">
                  <w:pPr>
                    <w:pStyle w:val="TableBodyText"/>
                    <w:spacing w:before="40"/>
                  </w:pPr>
                </w:p>
              </w:tc>
              <w:tc>
                <w:tcPr>
                  <w:tcW w:w="709" w:type="dxa"/>
                  <w:tcBorders>
                    <w:top w:val="single" w:sz="6" w:space="0" w:color="BFBFBF"/>
                  </w:tcBorders>
                </w:tcPr>
                <w:p w:rsidR="00C77B02" w:rsidRPr="00A1493A" w:rsidRDefault="00C77B02" w:rsidP="00C77B02">
                  <w:pPr>
                    <w:pStyle w:val="TableBodyText"/>
                    <w:spacing w:before="40"/>
                    <w:ind w:right="28"/>
                  </w:pPr>
                </w:p>
              </w:tc>
            </w:tr>
            <w:tr w:rsidR="00C77B02" w:rsidTr="00071D8B">
              <w:tc>
                <w:tcPr>
                  <w:tcW w:w="2104" w:type="dxa"/>
                </w:tcPr>
                <w:p w:rsidR="00C77B02" w:rsidRPr="00A1493A" w:rsidRDefault="00C77B02" w:rsidP="00C77B02">
                  <w:pPr>
                    <w:pStyle w:val="TableBodyText"/>
                    <w:ind w:left="0" w:right="0"/>
                    <w:jc w:val="left"/>
                    <w:rPr>
                      <w:rStyle w:val="NoteLabel"/>
                    </w:rPr>
                  </w:pPr>
                  <w:r w:rsidRPr="00A1493A">
                    <w:t xml:space="preserve"> — prison</w:t>
                  </w:r>
                </w:p>
              </w:tc>
              <w:tc>
                <w:tcPr>
                  <w:tcW w:w="709" w:type="dxa"/>
                  <w:vAlign w:val="center"/>
                </w:tcPr>
                <w:p w:rsidR="00C77B02" w:rsidRDefault="00C77B02" w:rsidP="00A86578">
                  <w:pPr>
                    <w:pStyle w:val="TableBodyText"/>
                  </w:pPr>
                  <w:r>
                    <w:t>50.7</w:t>
                  </w:r>
                </w:p>
              </w:tc>
              <w:tc>
                <w:tcPr>
                  <w:tcW w:w="709" w:type="dxa"/>
                  <w:vAlign w:val="center"/>
                </w:tcPr>
                <w:p w:rsidR="00C77B02" w:rsidRDefault="00C77B02">
                  <w:pPr>
                    <w:pStyle w:val="TableBodyText"/>
                  </w:pPr>
                  <w:r>
                    <w:t>42.8</w:t>
                  </w:r>
                </w:p>
              </w:tc>
              <w:tc>
                <w:tcPr>
                  <w:tcW w:w="709" w:type="dxa"/>
                  <w:vAlign w:val="center"/>
                </w:tcPr>
                <w:p w:rsidR="00C77B02" w:rsidRDefault="00C77B02">
                  <w:pPr>
                    <w:pStyle w:val="TableBodyText"/>
                  </w:pPr>
                  <w:r>
                    <w:t>39.7</w:t>
                  </w:r>
                </w:p>
              </w:tc>
              <w:tc>
                <w:tcPr>
                  <w:tcW w:w="708" w:type="dxa"/>
                  <w:vAlign w:val="center"/>
                </w:tcPr>
                <w:p w:rsidR="00C77B02" w:rsidRDefault="00C77B02">
                  <w:pPr>
                    <w:pStyle w:val="TableBodyText"/>
                  </w:pPr>
                  <w:r>
                    <w:t>38.1</w:t>
                  </w:r>
                </w:p>
              </w:tc>
              <w:tc>
                <w:tcPr>
                  <w:tcW w:w="709" w:type="dxa"/>
                  <w:vAlign w:val="center"/>
                </w:tcPr>
                <w:p w:rsidR="00C77B02" w:rsidRDefault="00C77B02">
                  <w:pPr>
                    <w:pStyle w:val="TableBodyText"/>
                  </w:pPr>
                  <w:r>
                    <w:t>36.9</w:t>
                  </w:r>
                </w:p>
              </w:tc>
              <w:tc>
                <w:tcPr>
                  <w:tcW w:w="709" w:type="dxa"/>
                  <w:vAlign w:val="center"/>
                </w:tcPr>
                <w:p w:rsidR="00C77B02" w:rsidRDefault="00C77B02">
                  <w:pPr>
                    <w:pStyle w:val="TableBodyText"/>
                  </w:pPr>
                  <w:r>
                    <w:t>39.8</w:t>
                  </w:r>
                </w:p>
              </w:tc>
              <w:tc>
                <w:tcPr>
                  <w:tcW w:w="709" w:type="dxa"/>
                  <w:vAlign w:val="center"/>
                </w:tcPr>
                <w:p w:rsidR="00C77B02" w:rsidRDefault="00C77B02">
                  <w:pPr>
                    <w:pStyle w:val="TableBodyText"/>
                  </w:pPr>
                  <w:r>
                    <w:t>41.0</w:t>
                  </w:r>
                </w:p>
              </w:tc>
              <w:tc>
                <w:tcPr>
                  <w:tcW w:w="708" w:type="dxa"/>
                  <w:vAlign w:val="center"/>
                </w:tcPr>
                <w:p w:rsidR="00C77B02" w:rsidRDefault="00C77B02">
                  <w:pPr>
                    <w:pStyle w:val="TableBodyText"/>
                  </w:pPr>
                  <w:r>
                    <w:t>58.3</w:t>
                  </w:r>
                </w:p>
              </w:tc>
              <w:tc>
                <w:tcPr>
                  <w:tcW w:w="709" w:type="dxa"/>
                  <w:vAlign w:val="center"/>
                </w:tcPr>
                <w:p w:rsidR="00C77B02" w:rsidRDefault="00C77B02">
                  <w:pPr>
                    <w:pStyle w:val="TableBodyText"/>
                  </w:pPr>
                  <w:r>
                    <w:t>44.6</w:t>
                  </w:r>
                </w:p>
              </w:tc>
            </w:tr>
            <w:tr w:rsidR="00C77B02" w:rsidTr="00071D8B">
              <w:tc>
                <w:tcPr>
                  <w:tcW w:w="2104" w:type="dxa"/>
                  <w:tcBorders>
                    <w:bottom w:val="single" w:sz="4" w:space="0" w:color="BFBFBF"/>
                  </w:tcBorders>
                </w:tcPr>
                <w:p w:rsidR="00C77B02" w:rsidRPr="00A1493A" w:rsidRDefault="00C77B02" w:rsidP="00C77B02">
                  <w:pPr>
                    <w:pStyle w:val="TableBodyText"/>
                    <w:jc w:val="left"/>
                    <w:rPr>
                      <w:rStyle w:val="NoteLabel"/>
                    </w:rPr>
                  </w:pPr>
                  <w:r w:rsidRPr="00A1493A">
                    <w:t xml:space="preserve"> </w:t>
                  </w:r>
                  <w:r w:rsidRPr="00A1493A">
                    <w:rPr>
                      <w:rFonts w:cs="Arial"/>
                    </w:rPr>
                    <w:t>—</w:t>
                  </w:r>
                  <w:r w:rsidRPr="00A1493A">
                    <w:t xml:space="preserve"> corrective services</w:t>
                  </w:r>
                  <w:r>
                    <w:rPr>
                      <w:rStyle w:val="NoteLabel"/>
                    </w:rPr>
                    <w:t>b</w:t>
                  </w:r>
                </w:p>
              </w:tc>
              <w:tc>
                <w:tcPr>
                  <w:tcW w:w="709" w:type="dxa"/>
                  <w:tcBorders>
                    <w:bottom w:val="single" w:sz="4" w:space="0" w:color="BFBFBF"/>
                  </w:tcBorders>
                  <w:vAlign w:val="center"/>
                </w:tcPr>
                <w:p w:rsidR="00C77B02" w:rsidRDefault="00C77B02" w:rsidP="00A86578">
                  <w:pPr>
                    <w:pStyle w:val="TableBodyText"/>
                  </w:pPr>
                  <w:r>
                    <w:t>55.1</w:t>
                  </w:r>
                </w:p>
              </w:tc>
              <w:tc>
                <w:tcPr>
                  <w:tcW w:w="709" w:type="dxa"/>
                  <w:tcBorders>
                    <w:bottom w:val="single" w:sz="4" w:space="0" w:color="BFBFBF"/>
                  </w:tcBorders>
                  <w:vAlign w:val="center"/>
                </w:tcPr>
                <w:p w:rsidR="00C77B02" w:rsidRDefault="00C77B02">
                  <w:pPr>
                    <w:pStyle w:val="TableBodyText"/>
                  </w:pPr>
                  <w:r>
                    <w:t>55.6</w:t>
                  </w:r>
                </w:p>
              </w:tc>
              <w:tc>
                <w:tcPr>
                  <w:tcW w:w="709" w:type="dxa"/>
                  <w:tcBorders>
                    <w:bottom w:val="single" w:sz="4" w:space="0" w:color="BFBFBF"/>
                  </w:tcBorders>
                  <w:vAlign w:val="center"/>
                </w:tcPr>
                <w:p w:rsidR="00C77B02" w:rsidRDefault="00C77B02" w:rsidP="00C77B02">
                  <w:pPr>
                    <w:pStyle w:val="TableBodyText"/>
                  </w:pPr>
                  <w:r>
                    <w:t>49.8</w:t>
                  </w:r>
                </w:p>
              </w:tc>
              <w:tc>
                <w:tcPr>
                  <w:tcW w:w="708" w:type="dxa"/>
                  <w:tcBorders>
                    <w:bottom w:val="single" w:sz="4" w:space="0" w:color="BFBFBF"/>
                  </w:tcBorders>
                  <w:vAlign w:val="center"/>
                </w:tcPr>
                <w:p w:rsidR="00C77B02" w:rsidRDefault="00C77B02" w:rsidP="00C77B02">
                  <w:pPr>
                    <w:pStyle w:val="TableBodyText"/>
                  </w:pPr>
                  <w:r>
                    <w:t>45.7</w:t>
                  </w:r>
                </w:p>
              </w:tc>
              <w:tc>
                <w:tcPr>
                  <w:tcW w:w="709" w:type="dxa"/>
                  <w:tcBorders>
                    <w:bottom w:val="single" w:sz="4" w:space="0" w:color="BFBFBF"/>
                  </w:tcBorders>
                  <w:vAlign w:val="center"/>
                </w:tcPr>
                <w:p w:rsidR="00C77B02" w:rsidRDefault="00C77B02" w:rsidP="00C77B02">
                  <w:pPr>
                    <w:pStyle w:val="TableBodyText"/>
                  </w:pPr>
                  <w:r>
                    <w:t>46.1</w:t>
                  </w:r>
                </w:p>
              </w:tc>
              <w:tc>
                <w:tcPr>
                  <w:tcW w:w="709" w:type="dxa"/>
                  <w:tcBorders>
                    <w:bottom w:val="single" w:sz="4" w:space="0" w:color="BFBFBF"/>
                  </w:tcBorders>
                  <w:vAlign w:val="center"/>
                </w:tcPr>
                <w:p w:rsidR="00C77B02" w:rsidRDefault="00C77B02" w:rsidP="00A86578">
                  <w:pPr>
                    <w:pStyle w:val="TableBodyText"/>
                  </w:pPr>
                  <w:r>
                    <w:t>49.8</w:t>
                  </w:r>
                </w:p>
              </w:tc>
              <w:tc>
                <w:tcPr>
                  <w:tcW w:w="709" w:type="dxa"/>
                  <w:tcBorders>
                    <w:bottom w:val="single" w:sz="4" w:space="0" w:color="BFBFBF"/>
                  </w:tcBorders>
                  <w:vAlign w:val="center"/>
                </w:tcPr>
                <w:p w:rsidR="00C77B02" w:rsidRDefault="00C77B02">
                  <w:pPr>
                    <w:pStyle w:val="TableBodyText"/>
                  </w:pPr>
                  <w:r>
                    <w:t>61.3</w:t>
                  </w:r>
                </w:p>
              </w:tc>
              <w:tc>
                <w:tcPr>
                  <w:tcW w:w="708" w:type="dxa"/>
                  <w:tcBorders>
                    <w:bottom w:val="single" w:sz="4" w:space="0" w:color="BFBFBF"/>
                  </w:tcBorders>
                  <w:vAlign w:val="center"/>
                </w:tcPr>
                <w:p w:rsidR="00C77B02" w:rsidRDefault="00C77B02">
                  <w:pPr>
                    <w:pStyle w:val="TableBodyText"/>
                  </w:pPr>
                  <w:r>
                    <w:t>61.0</w:t>
                  </w:r>
                </w:p>
              </w:tc>
              <w:tc>
                <w:tcPr>
                  <w:tcW w:w="709" w:type="dxa"/>
                  <w:tcBorders>
                    <w:bottom w:val="single" w:sz="4" w:space="0" w:color="BFBFBF"/>
                  </w:tcBorders>
                  <w:vAlign w:val="center"/>
                </w:tcPr>
                <w:p w:rsidR="00C77B02" w:rsidRDefault="00C77B02" w:rsidP="00C77B02">
                  <w:pPr>
                    <w:pStyle w:val="TableBodyText"/>
                  </w:pPr>
                  <w:r>
                    <w:t>52.6</w:t>
                  </w:r>
                </w:p>
              </w:tc>
            </w:tr>
          </w:tbl>
          <w:p w:rsidR="00C77B02" w:rsidRDefault="00C77B02" w:rsidP="00071D8B">
            <w:pPr>
              <w:pStyle w:val="Box"/>
            </w:pPr>
          </w:p>
        </w:tc>
      </w:tr>
      <w:tr w:rsidR="009F0C7F" w:rsidTr="00677606">
        <w:trPr>
          <w:cantSplit/>
        </w:trPr>
        <w:tc>
          <w:tcPr>
            <w:tcW w:w="8909" w:type="dxa"/>
            <w:gridSpan w:val="3"/>
            <w:tcBorders>
              <w:top w:val="nil"/>
              <w:left w:val="nil"/>
              <w:bottom w:val="nil"/>
              <w:right w:val="nil"/>
            </w:tcBorders>
            <w:shd w:val="clear" w:color="auto" w:fill="auto"/>
          </w:tcPr>
          <w:p w:rsidR="009F0C7F" w:rsidRDefault="00203432" w:rsidP="002E6E85">
            <w:pPr>
              <w:pStyle w:val="Note"/>
              <w:rPr>
                <w:i/>
              </w:rPr>
            </w:pPr>
            <w:r>
              <w:rPr>
                <w:rStyle w:val="NoteLabel"/>
              </w:rPr>
              <w:t>a</w:t>
            </w:r>
            <w:r>
              <w:t> </w:t>
            </w:r>
            <w:r w:rsidR="00E62CDF" w:rsidRPr="008A68B7">
              <w:rPr>
                <w:rFonts w:cs="Arial"/>
                <w:szCs w:val="18"/>
              </w:rPr>
              <w:t>Refers to all prisoners released following a term of sentenced imprisonment including prisoners subject to correctional supervision following release, that is, offenders released on parole or other community corrections orders.</w:t>
            </w:r>
            <w:r w:rsidR="00E62CDF">
              <w:rPr>
                <w:rFonts w:cs="Arial"/>
                <w:szCs w:val="18"/>
              </w:rPr>
              <w:t xml:space="preserve"> Data include returns to prison resulting from the cancellation of a parole order.</w:t>
            </w:r>
            <w:r w:rsidR="00E62CDF" w:rsidRPr="008A68B7">
              <w:rPr>
                <w:rFonts w:cs="Arial"/>
                <w:szCs w:val="18"/>
              </w:rPr>
              <w:t xml:space="preserve"> </w:t>
            </w:r>
            <w:r w:rsidR="00E62CDF" w:rsidRPr="008A68B7">
              <w:rPr>
                <w:rStyle w:val="NoteLabel"/>
              </w:rPr>
              <w:t>b</w:t>
            </w:r>
            <w:r w:rsidR="002E6E85">
              <w:rPr>
                <w:rStyle w:val="NoteLabel"/>
              </w:rPr>
              <w:t> </w:t>
            </w:r>
            <w:r w:rsidR="00E62CDF" w:rsidRPr="00E0701C">
              <w:rPr>
                <w:rFonts w:cs="Arial"/>
                <w:szCs w:val="18"/>
              </w:rPr>
              <w:t>Includes a prison sentence or</w:t>
            </w:r>
            <w:r w:rsidR="00E62CDF">
              <w:rPr>
                <w:rFonts w:cs="Arial"/>
                <w:szCs w:val="18"/>
              </w:rPr>
              <w:t xml:space="preserve"> a community corrections order.</w:t>
            </w:r>
          </w:p>
        </w:tc>
      </w:tr>
      <w:tr w:rsidR="009F0C7F" w:rsidTr="00677606">
        <w:trPr>
          <w:cantSplit/>
        </w:trPr>
        <w:tc>
          <w:tcPr>
            <w:tcW w:w="8909" w:type="dxa"/>
            <w:gridSpan w:val="3"/>
            <w:tcBorders>
              <w:top w:val="nil"/>
              <w:left w:val="nil"/>
              <w:bottom w:val="nil"/>
              <w:right w:val="nil"/>
            </w:tcBorders>
            <w:shd w:val="clear" w:color="auto" w:fill="auto"/>
          </w:tcPr>
          <w:p w:rsidR="009F0C7F" w:rsidRDefault="00E62CDF" w:rsidP="00E62CDF">
            <w:pPr>
              <w:pStyle w:val="Source"/>
            </w:pPr>
            <w:r>
              <w:rPr>
                <w:i/>
              </w:rPr>
              <w:t>Source</w:t>
            </w:r>
            <w:r w:rsidR="009F0C7F" w:rsidRPr="00167F06">
              <w:t xml:space="preserve">: </w:t>
            </w:r>
            <w:r w:rsidRPr="00E0701C">
              <w:t>State and Territory governments (unpublished).</w:t>
            </w:r>
          </w:p>
        </w:tc>
      </w:tr>
      <w:tr w:rsidR="00677606" w:rsidTr="00677606">
        <w:tblPrEx>
          <w:tblBorders>
            <w:top w:val="single" w:sz="6" w:space="0" w:color="78A22F"/>
            <w:left w:val="single" w:sz="6" w:space="0" w:color="78A22F"/>
            <w:bottom w:val="single" w:sz="6" w:space="0" w:color="78A22F"/>
            <w:right w:val="single" w:sz="6" w:space="0" w:color="78A22F"/>
          </w:tblBorders>
        </w:tblPrEx>
        <w:trPr>
          <w:gridAfter w:val="2"/>
          <w:wAfter w:w="138" w:type="dxa"/>
        </w:trPr>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9F0C7F" w:rsidRPr="000863A5" w:rsidTr="00677606">
        <w:tc>
          <w:tcPr>
            <w:tcW w:w="8909" w:type="dxa"/>
            <w:gridSpan w:val="3"/>
            <w:tcBorders>
              <w:top w:val="single" w:sz="6" w:space="0" w:color="78A22F" w:themeColor="accent1"/>
              <w:left w:val="nil"/>
              <w:bottom w:val="nil"/>
              <w:right w:val="nil"/>
            </w:tcBorders>
          </w:tcPr>
          <w:p w:rsidR="009F0C7F" w:rsidRPr="00626D32" w:rsidRDefault="009F0C7F" w:rsidP="00C82E63">
            <w:pPr>
              <w:pStyle w:val="BoxSpaceBelow"/>
            </w:pPr>
          </w:p>
        </w:tc>
      </w:tr>
    </w:tbl>
    <w:p w:rsidR="00B3791D" w:rsidRDefault="00CC1749" w:rsidP="00EA1FCD">
      <w:pPr>
        <w:pStyle w:val="BodyText"/>
        <w:keepLines/>
      </w:pPr>
      <w:r>
        <w:lastRenderedPageBreak/>
        <w:t xml:space="preserve">Table </w:t>
      </w:r>
      <w:proofErr w:type="spellStart"/>
      <w:r w:rsidR="00A31EB2">
        <w:t>C.</w:t>
      </w:r>
      <w:r w:rsidR="00586E41">
        <w:t>5</w:t>
      </w:r>
      <w:proofErr w:type="spellEnd"/>
      <w:r w:rsidR="00B3791D" w:rsidRPr="002162DC">
        <w:t xml:space="preserve"> provides a time serie</w:t>
      </w:r>
      <w:r w:rsidR="00A95B38">
        <w:t>s on the proportion of adult offenders</w:t>
      </w:r>
      <w:r w:rsidR="00B3791D" w:rsidRPr="002162DC">
        <w:t xml:space="preserve"> released</w:t>
      </w:r>
      <w:r w:rsidR="00A95B38">
        <w:t xml:space="preserve"> from prison</w:t>
      </w:r>
      <w:r w:rsidR="00B3791D" w:rsidRPr="002162DC">
        <w:t xml:space="preserve"> who returned to prison under sentence within two years. </w:t>
      </w:r>
      <w:r w:rsidR="0073021C">
        <w:t>The</w:t>
      </w:r>
      <w:r w:rsidR="00290327" w:rsidRPr="00A2167F">
        <w:t xml:space="preserve"> </w:t>
      </w:r>
      <w:r w:rsidR="00761525" w:rsidRPr="00A2167F">
        <w:t>proportion</w:t>
      </w:r>
      <w:r w:rsidR="00B3791D" w:rsidRPr="00A2167F">
        <w:t xml:space="preserve"> has </w:t>
      </w:r>
      <w:r w:rsidR="00CC1D84">
        <w:t xml:space="preserve">been </w:t>
      </w:r>
      <w:r w:rsidR="007E4EB4" w:rsidRPr="00A2167F">
        <w:t>increas</w:t>
      </w:r>
      <w:r w:rsidR="00CC1D84">
        <w:t>ing</w:t>
      </w:r>
      <w:r w:rsidR="008061F9">
        <w:t xml:space="preserve"> each year</w:t>
      </w:r>
      <w:r w:rsidR="00804ED3" w:rsidRPr="00A2167F">
        <w:t xml:space="preserve"> since </w:t>
      </w:r>
      <w:r w:rsidR="00290327" w:rsidRPr="00CC1D84">
        <w:t>20</w:t>
      </w:r>
      <w:r w:rsidR="00CF348E" w:rsidRPr="00CC1D84">
        <w:t>1</w:t>
      </w:r>
      <w:r w:rsidR="00CC1D84" w:rsidRPr="009F45A6">
        <w:t>1</w:t>
      </w:r>
      <w:r w:rsidR="00290327" w:rsidRPr="00CC1D84">
        <w:t>-</w:t>
      </w:r>
      <w:r w:rsidR="00FA795E" w:rsidRPr="00CC1D84">
        <w:t>1</w:t>
      </w:r>
      <w:r w:rsidR="00CC1D84" w:rsidRPr="00CC1D84">
        <w:t>2</w:t>
      </w:r>
      <w:r w:rsidR="00B3791D" w:rsidRPr="00A2167F">
        <w:t>.</w:t>
      </w:r>
    </w:p>
    <w:p w:rsidR="001D7B71" w:rsidRDefault="001D7B71" w:rsidP="00C82E63">
      <w:pPr>
        <w:pStyle w:val="BoxSpaceAbove"/>
      </w:pPr>
    </w:p>
    <w:tbl>
      <w:tblPr>
        <w:tblW w:w="8771"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layout."/>
      </w:tblPr>
      <w:tblGrid>
        <w:gridCol w:w="8771"/>
      </w:tblGrid>
      <w:tr w:rsidR="001D7B71" w:rsidTr="00677606">
        <w:tc>
          <w:tcPr>
            <w:tcW w:w="8767" w:type="dxa"/>
            <w:tcBorders>
              <w:top w:val="single" w:sz="6" w:space="0" w:color="78A22F" w:themeColor="accent1"/>
              <w:left w:val="nil"/>
              <w:bottom w:val="nil"/>
              <w:right w:val="nil"/>
            </w:tcBorders>
            <w:shd w:val="clear" w:color="auto" w:fill="auto"/>
          </w:tcPr>
          <w:p w:rsidR="001D7B71" w:rsidRPr="00784A05" w:rsidRDefault="001D7B71" w:rsidP="001D7B71">
            <w:pPr>
              <w:pStyle w:val="TableTitle"/>
            </w:pPr>
            <w:r>
              <w:rPr>
                <w:b w:val="0"/>
              </w:rPr>
              <w:t xml:space="preserve">Table </w:t>
            </w:r>
            <w:proofErr w:type="spellStart"/>
            <w:r>
              <w:rPr>
                <w:b w:val="0"/>
              </w:rPr>
              <w:t>C.</w:t>
            </w:r>
            <w:r w:rsidR="005615CC">
              <w:rPr>
                <w:b w:val="0"/>
                <w:noProof/>
              </w:rPr>
              <w:t>5</w:t>
            </w:r>
            <w:proofErr w:type="spellEnd"/>
            <w:r>
              <w:tab/>
            </w:r>
            <w:r w:rsidRPr="00A1493A">
              <w:t>Prisoners</w:t>
            </w:r>
            <w:r w:rsidRPr="00E0701C">
              <w:t xml:space="preserve"> released who returned to prison under sentence </w:t>
            </w:r>
            <w:r w:rsidRPr="00A1493A">
              <w:t>within two years (per cent)</w:t>
            </w:r>
          </w:p>
        </w:tc>
      </w:tr>
      <w:tr w:rsidR="001D7B71" w:rsidTr="00677606">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1254"/>
              <w:gridCol w:w="850"/>
              <w:gridCol w:w="851"/>
              <w:gridCol w:w="850"/>
              <w:gridCol w:w="851"/>
              <w:gridCol w:w="850"/>
              <w:gridCol w:w="851"/>
              <w:gridCol w:w="709"/>
              <w:gridCol w:w="708"/>
              <w:gridCol w:w="709"/>
            </w:tblGrid>
            <w:tr w:rsidR="00A925EF" w:rsidRPr="00A1493A" w:rsidTr="00CE02E7">
              <w:trPr>
                <w:trHeight w:val="275"/>
              </w:trPr>
              <w:tc>
                <w:tcPr>
                  <w:tcW w:w="1254" w:type="dxa"/>
                  <w:tcBorders>
                    <w:top w:val="single" w:sz="6" w:space="0" w:color="BFBFBF"/>
                    <w:bottom w:val="single" w:sz="6" w:space="0" w:color="BFBFBF"/>
                  </w:tcBorders>
                  <w:shd w:val="clear" w:color="auto" w:fill="auto"/>
                </w:tcPr>
                <w:p w:rsidR="00A925EF" w:rsidRPr="00A1493A" w:rsidRDefault="00A925EF" w:rsidP="00C82E63">
                  <w:pPr>
                    <w:pStyle w:val="TableColumnHeading"/>
                    <w:jc w:val="left"/>
                  </w:pPr>
                </w:p>
              </w:tc>
              <w:tc>
                <w:tcPr>
                  <w:tcW w:w="850"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t>NSW</w:t>
                  </w:r>
                </w:p>
              </w:tc>
              <w:tc>
                <w:tcPr>
                  <w:tcW w:w="851"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rsidRPr="00A1493A">
                    <w:t>Vic</w:t>
                  </w:r>
                </w:p>
              </w:tc>
              <w:tc>
                <w:tcPr>
                  <w:tcW w:w="850"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rsidRPr="00A1493A">
                    <w:t>Qld</w:t>
                  </w:r>
                </w:p>
              </w:tc>
              <w:tc>
                <w:tcPr>
                  <w:tcW w:w="851"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rsidRPr="00A1493A">
                    <w:t>WA</w:t>
                  </w:r>
                </w:p>
              </w:tc>
              <w:tc>
                <w:tcPr>
                  <w:tcW w:w="850" w:type="dxa"/>
                  <w:tcBorders>
                    <w:top w:val="single" w:sz="6" w:space="0" w:color="BFBFBF"/>
                    <w:bottom w:val="single" w:sz="6" w:space="0" w:color="BFBFBF"/>
                  </w:tcBorders>
                  <w:shd w:val="clear" w:color="auto" w:fill="auto"/>
                </w:tcPr>
                <w:p w:rsidR="00A925EF" w:rsidRPr="0085602C" w:rsidRDefault="00A925EF" w:rsidP="00CE02E7">
                  <w:pPr>
                    <w:pStyle w:val="TableColumnHeading"/>
                    <w:ind w:left="0" w:right="28"/>
                    <w:rPr>
                      <w:rStyle w:val="NoteLabel"/>
                    </w:rPr>
                  </w:pPr>
                  <w:r w:rsidRPr="00A1493A">
                    <w:t>SA</w:t>
                  </w:r>
                  <w:r w:rsidR="001E7760">
                    <w:rPr>
                      <w:rStyle w:val="NoteLabel"/>
                    </w:rPr>
                    <w:t>a</w:t>
                  </w:r>
                </w:p>
              </w:tc>
              <w:tc>
                <w:tcPr>
                  <w:tcW w:w="851"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proofErr w:type="spellStart"/>
                  <w:r w:rsidRPr="00A1493A">
                    <w:t>Tas</w:t>
                  </w:r>
                  <w:proofErr w:type="spellEnd"/>
                </w:p>
              </w:tc>
              <w:tc>
                <w:tcPr>
                  <w:tcW w:w="709" w:type="dxa"/>
                  <w:tcBorders>
                    <w:top w:val="single" w:sz="6" w:space="0" w:color="BFBFBF"/>
                    <w:bottom w:val="single" w:sz="6" w:space="0" w:color="BFBFBF"/>
                  </w:tcBorders>
                  <w:shd w:val="clear" w:color="auto" w:fill="auto"/>
                </w:tcPr>
                <w:p w:rsidR="00A925EF" w:rsidRPr="00A1493A" w:rsidRDefault="00A925EF" w:rsidP="00CE02E7">
                  <w:pPr>
                    <w:pStyle w:val="TableColumnHeading"/>
                    <w:ind w:left="0" w:right="28"/>
                  </w:pPr>
                  <w:r w:rsidRPr="00A1493A">
                    <w:t>ACT</w:t>
                  </w:r>
                </w:p>
              </w:tc>
              <w:tc>
                <w:tcPr>
                  <w:tcW w:w="708" w:type="dxa"/>
                  <w:tcBorders>
                    <w:top w:val="single" w:sz="6" w:space="0" w:color="BFBFBF"/>
                    <w:bottom w:val="single" w:sz="6" w:space="0" w:color="BFBFBF"/>
                  </w:tcBorders>
                  <w:shd w:val="clear" w:color="auto" w:fill="auto"/>
                </w:tcPr>
                <w:p w:rsidR="00A925EF" w:rsidRPr="0085602C" w:rsidRDefault="00A925EF" w:rsidP="00463601">
                  <w:pPr>
                    <w:pStyle w:val="TableColumnHeading"/>
                    <w:ind w:left="0" w:right="28"/>
                    <w:rPr>
                      <w:rStyle w:val="NoteLabel"/>
                    </w:rPr>
                  </w:pPr>
                  <w:r w:rsidRPr="00A1493A">
                    <w:t>NT</w:t>
                  </w:r>
                  <w:r w:rsidR="004C165E">
                    <w:rPr>
                      <w:rStyle w:val="NoteLabel"/>
                    </w:rPr>
                    <w:t>b</w:t>
                  </w:r>
                </w:p>
              </w:tc>
              <w:tc>
                <w:tcPr>
                  <w:tcW w:w="709" w:type="dxa"/>
                  <w:tcBorders>
                    <w:top w:val="single" w:sz="6" w:space="0" w:color="BFBFBF"/>
                    <w:bottom w:val="single" w:sz="6" w:space="0" w:color="BFBFBF"/>
                  </w:tcBorders>
                  <w:shd w:val="clear" w:color="auto" w:fill="auto"/>
                </w:tcPr>
                <w:p w:rsidR="00A925EF" w:rsidRPr="00A1493A" w:rsidRDefault="00A925EF" w:rsidP="00C82E63">
                  <w:pPr>
                    <w:pStyle w:val="TableColumnHeading"/>
                    <w:ind w:right="28"/>
                  </w:pPr>
                  <w:proofErr w:type="spellStart"/>
                  <w:r w:rsidRPr="00A1493A">
                    <w:t>Aust</w:t>
                  </w:r>
                  <w:proofErr w:type="spellEnd"/>
                </w:p>
              </w:tc>
            </w:tr>
            <w:tr w:rsidR="00155E55" w:rsidTr="00A55F6C">
              <w:trPr>
                <w:trHeight w:val="153"/>
              </w:trPr>
              <w:tc>
                <w:tcPr>
                  <w:tcW w:w="1254" w:type="dxa"/>
                  <w:tcBorders>
                    <w:top w:val="single" w:sz="6" w:space="0" w:color="BFBFBF"/>
                  </w:tcBorders>
                  <w:shd w:val="clear" w:color="auto" w:fill="auto"/>
                  <w:vAlign w:val="center"/>
                </w:tcPr>
                <w:p w:rsidR="00155E55" w:rsidRPr="00A1493A" w:rsidRDefault="00155E55">
                  <w:pPr>
                    <w:pStyle w:val="TableBodyText"/>
                    <w:spacing w:before="40"/>
                    <w:ind w:left="0" w:right="0"/>
                    <w:jc w:val="left"/>
                  </w:pPr>
                  <w:r w:rsidRPr="00A1493A">
                    <w:t>20</w:t>
                  </w:r>
                  <w:r>
                    <w:t>1</w:t>
                  </w:r>
                  <w:r w:rsidR="008178F1">
                    <w:t>1</w:t>
                  </w:r>
                  <w:r w:rsidRPr="00A1493A">
                    <w:rPr>
                      <w:rFonts w:cs="Arial"/>
                    </w:rPr>
                    <w:noBreakHyphen/>
                  </w:r>
                  <w:r>
                    <w:rPr>
                      <w:rFonts w:cs="Arial"/>
                    </w:rPr>
                    <w:t>1</w:t>
                  </w:r>
                  <w:r w:rsidR="008178F1">
                    <w:rPr>
                      <w:rFonts w:cs="Arial"/>
                    </w:rPr>
                    <w:t>2</w:t>
                  </w:r>
                </w:p>
              </w:tc>
              <w:tc>
                <w:tcPr>
                  <w:tcW w:w="850" w:type="dxa"/>
                  <w:tcBorders>
                    <w:top w:val="single" w:sz="6" w:space="0" w:color="BFBFBF"/>
                  </w:tcBorders>
                  <w:shd w:val="clear" w:color="auto" w:fill="auto"/>
                  <w:vAlign w:val="center"/>
                </w:tcPr>
                <w:p w:rsidR="00155E55" w:rsidRDefault="00A86578" w:rsidP="00155E55">
                  <w:pPr>
                    <w:pStyle w:val="TableBodyText"/>
                  </w:pPr>
                  <w:r>
                    <w:t>42.5</w:t>
                  </w:r>
                </w:p>
              </w:tc>
              <w:tc>
                <w:tcPr>
                  <w:tcW w:w="851" w:type="dxa"/>
                  <w:tcBorders>
                    <w:top w:val="single" w:sz="6" w:space="0" w:color="BFBFBF"/>
                  </w:tcBorders>
                  <w:shd w:val="clear" w:color="auto" w:fill="auto"/>
                  <w:vAlign w:val="center"/>
                </w:tcPr>
                <w:p w:rsidR="00155E55" w:rsidRDefault="00A86578" w:rsidP="00155E55">
                  <w:pPr>
                    <w:pStyle w:val="TableBodyText"/>
                  </w:pPr>
                  <w:r>
                    <w:t>35.1</w:t>
                  </w:r>
                </w:p>
              </w:tc>
              <w:tc>
                <w:tcPr>
                  <w:tcW w:w="850" w:type="dxa"/>
                  <w:tcBorders>
                    <w:top w:val="single" w:sz="6" w:space="0" w:color="BFBFBF"/>
                  </w:tcBorders>
                  <w:shd w:val="clear" w:color="auto" w:fill="auto"/>
                  <w:vAlign w:val="center"/>
                </w:tcPr>
                <w:p w:rsidR="00155E55" w:rsidRDefault="00A86578" w:rsidP="00155E55">
                  <w:pPr>
                    <w:pStyle w:val="TableBodyText"/>
                  </w:pPr>
                  <w:r>
                    <w:t>36.1</w:t>
                  </w:r>
                </w:p>
              </w:tc>
              <w:tc>
                <w:tcPr>
                  <w:tcW w:w="851" w:type="dxa"/>
                  <w:tcBorders>
                    <w:top w:val="single" w:sz="6" w:space="0" w:color="BFBFBF"/>
                  </w:tcBorders>
                  <w:shd w:val="clear" w:color="auto" w:fill="auto"/>
                  <w:vAlign w:val="center"/>
                </w:tcPr>
                <w:p w:rsidR="00155E55" w:rsidRDefault="00A86578" w:rsidP="00155E55">
                  <w:pPr>
                    <w:pStyle w:val="TableBodyText"/>
                  </w:pPr>
                  <w:r>
                    <w:t>36.1</w:t>
                  </w:r>
                </w:p>
              </w:tc>
              <w:tc>
                <w:tcPr>
                  <w:tcW w:w="850" w:type="dxa"/>
                  <w:tcBorders>
                    <w:top w:val="single" w:sz="6" w:space="0" w:color="BFBFBF"/>
                  </w:tcBorders>
                  <w:shd w:val="clear" w:color="auto" w:fill="auto"/>
                  <w:vAlign w:val="center"/>
                </w:tcPr>
                <w:p w:rsidR="00155E55" w:rsidRDefault="00A86578" w:rsidP="00155E55">
                  <w:pPr>
                    <w:pStyle w:val="TableBodyText"/>
                  </w:pPr>
                  <w:r>
                    <w:t>29.1</w:t>
                  </w:r>
                </w:p>
              </w:tc>
              <w:tc>
                <w:tcPr>
                  <w:tcW w:w="851" w:type="dxa"/>
                  <w:tcBorders>
                    <w:top w:val="single" w:sz="6" w:space="0" w:color="BFBFBF"/>
                  </w:tcBorders>
                  <w:shd w:val="clear" w:color="auto" w:fill="auto"/>
                  <w:vAlign w:val="center"/>
                </w:tcPr>
                <w:p w:rsidR="00155E55" w:rsidRDefault="00A86578" w:rsidP="00155E55">
                  <w:pPr>
                    <w:pStyle w:val="TableBodyText"/>
                  </w:pPr>
                  <w:r>
                    <w:t>36.4</w:t>
                  </w:r>
                </w:p>
              </w:tc>
              <w:tc>
                <w:tcPr>
                  <w:tcW w:w="709" w:type="dxa"/>
                  <w:tcBorders>
                    <w:top w:val="single" w:sz="6" w:space="0" w:color="BFBFBF"/>
                  </w:tcBorders>
                  <w:shd w:val="clear" w:color="auto" w:fill="auto"/>
                  <w:vAlign w:val="center"/>
                </w:tcPr>
                <w:p w:rsidR="00155E55" w:rsidRDefault="00A86578" w:rsidP="00155E55">
                  <w:pPr>
                    <w:pStyle w:val="TableBodyText"/>
                  </w:pPr>
                  <w:r>
                    <w:t>40.8</w:t>
                  </w:r>
                </w:p>
              </w:tc>
              <w:tc>
                <w:tcPr>
                  <w:tcW w:w="708" w:type="dxa"/>
                  <w:tcBorders>
                    <w:top w:val="single" w:sz="6" w:space="0" w:color="BFBFBF"/>
                  </w:tcBorders>
                  <w:shd w:val="clear" w:color="auto" w:fill="auto"/>
                  <w:vAlign w:val="center"/>
                </w:tcPr>
                <w:p w:rsidR="00155E55" w:rsidRDefault="00A86578" w:rsidP="00155E55">
                  <w:pPr>
                    <w:pStyle w:val="TableBodyText"/>
                  </w:pPr>
                  <w:r>
                    <w:t>60.7</w:t>
                  </w:r>
                </w:p>
              </w:tc>
              <w:tc>
                <w:tcPr>
                  <w:tcW w:w="709" w:type="dxa"/>
                  <w:tcBorders>
                    <w:top w:val="single" w:sz="6" w:space="0" w:color="BFBFBF"/>
                  </w:tcBorders>
                  <w:shd w:val="clear" w:color="auto" w:fill="auto"/>
                  <w:vAlign w:val="center"/>
                </w:tcPr>
                <w:p w:rsidR="00155E55" w:rsidRDefault="00A86578" w:rsidP="00155E55">
                  <w:pPr>
                    <w:pStyle w:val="TableBodyText"/>
                  </w:pPr>
                  <w:r>
                    <w:t>39.5</w:t>
                  </w:r>
                </w:p>
              </w:tc>
            </w:tr>
            <w:tr w:rsidR="00155E55" w:rsidTr="00A55F6C">
              <w:tc>
                <w:tcPr>
                  <w:tcW w:w="1254" w:type="dxa"/>
                  <w:shd w:val="clear" w:color="auto" w:fill="auto"/>
                  <w:vAlign w:val="center"/>
                </w:tcPr>
                <w:p w:rsidR="00155E55" w:rsidRPr="00A1493A" w:rsidRDefault="00155E55">
                  <w:pPr>
                    <w:pStyle w:val="TableBodyText"/>
                    <w:ind w:left="0" w:right="0"/>
                    <w:jc w:val="left"/>
                  </w:pPr>
                  <w:r>
                    <w:t>201</w:t>
                  </w:r>
                  <w:r w:rsidR="008178F1">
                    <w:t>2</w:t>
                  </w:r>
                  <w:r w:rsidRPr="00A1493A">
                    <w:rPr>
                      <w:rFonts w:cs="Arial"/>
                    </w:rPr>
                    <w:noBreakHyphen/>
                  </w:r>
                  <w:r>
                    <w:t>1</w:t>
                  </w:r>
                  <w:r w:rsidR="008178F1">
                    <w:t>3</w:t>
                  </w:r>
                </w:p>
              </w:tc>
              <w:tc>
                <w:tcPr>
                  <w:tcW w:w="850" w:type="dxa"/>
                  <w:shd w:val="clear" w:color="auto" w:fill="auto"/>
                  <w:vAlign w:val="center"/>
                </w:tcPr>
                <w:p w:rsidR="00155E55" w:rsidRDefault="00A86578" w:rsidP="00155E55">
                  <w:pPr>
                    <w:pStyle w:val="TableBodyText"/>
                  </w:pPr>
                  <w:r>
                    <w:t>42.7</w:t>
                  </w:r>
                </w:p>
              </w:tc>
              <w:tc>
                <w:tcPr>
                  <w:tcW w:w="851" w:type="dxa"/>
                  <w:shd w:val="clear" w:color="auto" w:fill="auto"/>
                  <w:vAlign w:val="center"/>
                </w:tcPr>
                <w:p w:rsidR="00155E55" w:rsidRDefault="00A86578" w:rsidP="00155E55">
                  <w:pPr>
                    <w:pStyle w:val="TableBodyText"/>
                  </w:pPr>
                  <w:r>
                    <w:t>36.8</w:t>
                  </w:r>
                </w:p>
              </w:tc>
              <w:tc>
                <w:tcPr>
                  <w:tcW w:w="850" w:type="dxa"/>
                  <w:shd w:val="clear" w:color="auto" w:fill="auto"/>
                  <w:vAlign w:val="center"/>
                </w:tcPr>
                <w:p w:rsidR="00155E55" w:rsidRDefault="00A86578" w:rsidP="00155E55">
                  <w:pPr>
                    <w:pStyle w:val="TableBodyText"/>
                  </w:pPr>
                  <w:r>
                    <w:t>38.3</w:t>
                  </w:r>
                </w:p>
              </w:tc>
              <w:tc>
                <w:tcPr>
                  <w:tcW w:w="851" w:type="dxa"/>
                  <w:shd w:val="clear" w:color="auto" w:fill="auto"/>
                  <w:vAlign w:val="center"/>
                </w:tcPr>
                <w:p w:rsidR="00155E55" w:rsidRDefault="00A86578" w:rsidP="00155E55">
                  <w:pPr>
                    <w:pStyle w:val="TableBodyText"/>
                  </w:pPr>
                  <w:r>
                    <w:t>36.3</w:t>
                  </w:r>
                </w:p>
              </w:tc>
              <w:tc>
                <w:tcPr>
                  <w:tcW w:w="850" w:type="dxa"/>
                  <w:shd w:val="clear" w:color="auto" w:fill="auto"/>
                  <w:vAlign w:val="center"/>
                </w:tcPr>
                <w:p w:rsidR="00155E55" w:rsidRDefault="00A86578" w:rsidP="00155E55">
                  <w:pPr>
                    <w:pStyle w:val="TableBodyText"/>
                  </w:pPr>
                  <w:r>
                    <w:t>29.0</w:t>
                  </w:r>
                </w:p>
              </w:tc>
              <w:tc>
                <w:tcPr>
                  <w:tcW w:w="851" w:type="dxa"/>
                  <w:shd w:val="clear" w:color="auto" w:fill="auto"/>
                  <w:vAlign w:val="center"/>
                </w:tcPr>
                <w:p w:rsidR="00155E55" w:rsidRDefault="00A86578" w:rsidP="00155E55">
                  <w:pPr>
                    <w:pStyle w:val="TableBodyText"/>
                  </w:pPr>
                  <w:r>
                    <w:t>39.1</w:t>
                  </w:r>
                </w:p>
              </w:tc>
              <w:tc>
                <w:tcPr>
                  <w:tcW w:w="709" w:type="dxa"/>
                  <w:shd w:val="clear" w:color="auto" w:fill="auto"/>
                  <w:vAlign w:val="center"/>
                </w:tcPr>
                <w:p w:rsidR="00155E55" w:rsidRDefault="00A86578" w:rsidP="00155E55">
                  <w:pPr>
                    <w:pStyle w:val="TableBodyText"/>
                  </w:pPr>
                  <w:r>
                    <w:t>46.6</w:t>
                  </w:r>
                </w:p>
              </w:tc>
              <w:tc>
                <w:tcPr>
                  <w:tcW w:w="708" w:type="dxa"/>
                  <w:shd w:val="clear" w:color="auto" w:fill="auto"/>
                  <w:vAlign w:val="center"/>
                </w:tcPr>
                <w:p w:rsidR="00155E55" w:rsidRDefault="00A86578" w:rsidP="00155E55">
                  <w:pPr>
                    <w:pStyle w:val="TableBodyText"/>
                  </w:pPr>
                  <w:r>
                    <w:t>62.4</w:t>
                  </w:r>
                </w:p>
              </w:tc>
              <w:tc>
                <w:tcPr>
                  <w:tcW w:w="709" w:type="dxa"/>
                  <w:shd w:val="clear" w:color="auto" w:fill="auto"/>
                  <w:vAlign w:val="center"/>
                </w:tcPr>
                <w:p w:rsidR="00155E55" w:rsidRDefault="00A86578" w:rsidP="00155E55">
                  <w:pPr>
                    <w:pStyle w:val="TableBodyText"/>
                  </w:pPr>
                  <w:r>
                    <w:t>40.7</w:t>
                  </w:r>
                </w:p>
              </w:tc>
            </w:tr>
            <w:tr w:rsidR="00155E55" w:rsidTr="00A55F6C">
              <w:tc>
                <w:tcPr>
                  <w:tcW w:w="1254" w:type="dxa"/>
                  <w:shd w:val="clear" w:color="auto" w:fill="auto"/>
                  <w:vAlign w:val="center"/>
                </w:tcPr>
                <w:p w:rsidR="00155E55" w:rsidRPr="00A1493A" w:rsidRDefault="00155E55">
                  <w:pPr>
                    <w:pStyle w:val="TableBodyText"/>
                    <w:ind w:left="0" w:right="0"/>
                    <w:jc w:val="left"/>
                  </w:pPr>
                  <w:r w:rsidRPr="00A1493A">
                    <w:t>20</w:t>
                  </w:r>
                  <w:r>
                    <w:t>1</w:t>
                  </w:r>
                  <w:r w:rsidR="008178F1">
                    <w:t>3</w:t>
                  </w:r>
                  <w:r w:rsidRPr="00A1493A">
                    <w:rPr>
                      <w:rFonts w:cs="Arial"/>
                    </w:rPr>
                    <w:noBreakHyphen/>
                  </w:r>
                  <w:r>
                    <w:t>1</w:t>
                  </w:r>
                  <w:r w:rsidR="008178F1">
                    <w:t>4</w:t>
                  </w:r>
                </w:p>
              </w:tc>
              <w:tc>
                <w:tcPr>
                  <w:tcW w:w="850" w:type="dxa"/>
                  <w:shd w:val="clear" w:color="auto" w:fill="auto"/>
                  <w:vAlign w:val="center"/>
                </w:tcPr>
                <w:p w:rsidR="00155E55" w:rsidRDefault="00A86578" w:rsidP="00155E55">
                  <w:pPr>
                    <w:pStyle w:val="TableBodyText"/>
                  </w:pPr>
                  <w:r>
                    <w:t>45.8</w:t>
                  </w:r>
                </w:p>
              </w:tc>
              <w:tc>
                <w:tcPr>
                  <w:tcW w:w="851" w:type="dxa"/>
                  <w:shd w:val="clear" w:color="auto" w:fill="auto"/>
                  <w:vAlign w:val="center"/>
                </w:tcPr>
                <w:p w:rsidR="00155E55" w:rsidRDefault="00A86578" w:rsidP="00155E55">
                  <w:pPr>
                    <w:pStyle w:val="TableBodyText"/>
                  </w:pPr>
                  <w:r>
                    <w:t>39.5</w:t>
                  </w:r>
                </w:p>
              </w:tc>
              <w:tc>
                <w:tcPr>
                  <w:tcW w:w="850" w:type="dxa"/>
                  <w:shd w:val="clear" w:color="auto" w:fill="auto"/>
                  <w:vAlign w:val="center"/>
                </w:tcPr>
                <w:p w:rsidR="00155E55" w:rsidRDefault="00A86578" w:rsidP="00155E55">
                  <w:pPr>
                    <w:pStyle w:val="TableBodyText"/>
                  </w:pPr>
                  <w:r>
                    <w:t>39.8</w:t>
                  </w:r>
                </w:p>
              </w:tc>
              <w:tc>
                <w:tcPr>
                  <w:tcW w:w="851" w:type="dxa"/>
                  <w:shd w:val="clear" w:color="auto" w:fill="auto"/>
                  <w:vAlign w:val="center"/>
                </w:tcPr>
                <w:p w:rsidR="00155E55" w:rsidRDefault="00A86578" w:rsidP="00155E55">
                  <w:pPr>
                    <w:pStyle w:val="TableBodyText"/>
                  </w:pPr>
                  <w:r>
                    <w:t>39.0</w:t>
                  </w:r>
                </w:p>
              </w:tc>
              <w:tc>
                <w:tcPr>
                  <w:tcW w:w="850" w:type="dxa"/>
                  <w:shd w:val="clear" w:color="auto" w:fill="auto"/>
                  <w:vAlign w:val="center"/>
                </w:tcPr>
                <w:p w:rsidR="00155E55" w:rsidRDefault="00A86578" w:rsidP="00155E55">
                  <w:pPr>
                    <w:pStyle w:val="TableBodyText"/>
                  </w:pPr>
                  <w:r>
                    <w:t>38.4</w:t>
                  </w:r>
                </w:p>
              </w:tc>
              <w:tc>
                <w:tcPr>
                  <w:tcW w:w="851" w:type="dxa"/>
                  <w:shd w:val="clear" w:color="auto" w:fill="auto"/>
                  <w:vAlign w:val="center"/>
                </w:tcPr>
                <w:p w:rsidR="00155E55" w:rsidRDefault="00A86578" w:rsidP="00155E55">
                  <w:pPr>
                    <w:pStyle w:val="TableBodyText"/>
                  </w:pPr>
                  <w:r>
                    <w:t>39.3</w:t>
                  </w:r>
                </w:p>
              </w:tc>
              <w:tc>
                <w:tcPr>
                  <w:tcW w:w="709" w:type="dxa"/>
                  <w:shd w:val="clear" w:color="auto" w:fill="auto"/>
                  <w:vAlign w:val="center"/>
                </w:tcPr>
                <w:p w:rsidR="00155E55" w:rsidRDefault="00A86578" w:rsidP="00155E55">
                  <w:pPr>
                    <w:pStyle w:val="TableBodyText"/>
                  </w:pPr>
                  <w:r>
                    <w:t>41.9</w:t>
                  </w:r>
                </w:p>
              </w:tc>
              <w:tc>
                <w:tcPr>
                  <w:tcW w:w="708" w:type="dxa"/>
                  <w:shd w:val="clear" w:color="auto" w:fill="auto"/>
                  <w:vAlign w:val="center"/>
                </w:tcPr>
                <w:p w:rsidR="00155E55" w:rsidRDefault="00A86578" w:rsidP="00155E55">
                  <w:pPr>
                    <w:pStyle w:val="TableBodyText"/>
                  </w:pPr>
                  <w:r>
                    <w:t>59.1</w:t>
                  </w:r>
                </w:p>
              </w:tc>
              <w:tc>
                <w:tcPr>
                  <w:tcW w:w="709" w:type="dxa"/>
                  <w:shd w:val="clear" w:color="auto" w:fill="auto"/>
                  <w:vAlign w:val="center"/>
                </w:tcPr>
                <w:p w:rsidR="00155E55" w:rsidRDefault="00A86578" w:rsidP="00155E55">
                  <w:pPr>
                    <w:pStyle w:val="TableBodyText"/>
                  </w:pPr>
                  <w:r>
                    <w:t>42.7</w:t>
                  </w:r>
                </w:p>
              </w:tc>
            </w:tr>
            <w:tr w:rsidR="00155E55" w:rsidTr="00A55F6C">
              <w:tc>
                <w:tcPr>
                  <w:tcW w:w="1254" w:type="dxa"/>
                  <w:shd w:val="clear" w:color="auto" w:fill="auto"/>
                  <w:vAlign w:val="center"/>
                </w:tcPr>
                <w:p w:rsidR="00155E55" w:rsidRPr="00A1493A" w:rsidRDefault="00155E55">
                  <w:pPr>
                    <w:pStyle w:val="TableBodyText"/>
                    <w:ind w:left="0" w:right="0"/>
                    <w:jc w:val="left"/>
                  </w:pPr>
                  <w:r>
                    <w:t>201</w:t>
                  </w:r>
                  <w:r w:rsidR="008178F1">
                    <w:t>4</w:t>
                  </w:r>
                  <w:r w:rsidRPr="00A1493A">
                    <w:rPr>
                      <w:rFonts w:cs="Arial"/>
                    </w:rPr>
                    <w:noBreakHyphen/>
                  </w:r>
                  <w:r>
                    <w:t>1</w:t>
                  </w:r>
                  <w:r w:rsidR="008178F1">
                    <w:t>5</w:t>
                  </w:r>
                </w:p>
              </w:tc>
              <w:tc>
                <w:tcPr>
                  <w:tcW w:w="850" w:type="dxa"/>
                  <w:shd w:val="clear" w:color="auto" w:fill="auto"/>
                  <w:vAlign w:val="center"/>
                </w:tcPr>
                <w:p w:rsidR="00155E55" w:rsidRDefault="00A86578" w:rsidP="00155E55">
                  <w:pPr>
                    <w:pStyle w:val="TableBodyText"/>
                  </w:pPr>
                  <w:r>
                    <w:t>48.1</w:t>
                  </w:r>
                </w:p>
              </w:tc>
              <w:tc>
                <w:tcPr>
                  <w:tcW w:w="851" w:type="dxa"/>
                  <w:shd w:val="clear" w:color="auto" w:fill="auto"/>
                  <w:vAlign w:val="center"/>
                </w:tcPr>
                <w:p w:rsidR="00155E55" w:rsidRDefault="00A86578" w:rsidP="00155E55">
                  <w:pPr>
                    <w:pStyle w:val="TableBodyText"/>
                  </w:pPr>
                  <w:r>
                    <w:t>44.1</w:t>
                  </w:r>
                </w:p>
              </w:tc>
              <w:tc>
                <w:tcPr>
                  <w:tcW w:w="850" w:type="dxa"/>
                  <w:shd w:val="clear" w:color="auto" w:fill="auto"/>
                  <w:vAlign w:val="center"/>
                </w:tcPr>
                <w:p w:rsidR="00155E55" w:rsidRDefault="00A86578" w:rsidP="00155E55">
                  <w:pPr>
                    <w:pStyle w:val="TableBodyText"/>
                  </w:pPr>
                  <w:r>
                    <w:t>40.9</w:t>
                  </w:r>
                </w:p>
              </w:tc>
              <w:tc>
                <w:tcPr>
                  <w:tcW w:w="851" w:type="dxa"/>
                  <w:shd w:val="clear" w:color="auto" w:fill="auto"/>
                  <w:vAlign w:val="center"/>
                </w:tcPr>
                <w:p w:rsidR="00155E55" w:rsidRDefault="00A86578" w:rsidP="00155E55">
                  <w:pPr>
                    <w:pStyle w:val="TableBodyText"/>
                  </w:pPr>
                  <w:r>
                    <w:t>36.2</w:t>
                  </w:r>
                </w:p>
              </w:tc>
              <w:tc>
                <w:tcPr>
                  <w:tcW w:w="850" w:type="dxa"/>
                  <w:shd w:val="clear" w:color="auto" w:fill="auto"/>
                  <w:vAlign w:val="center"/>
                </w:tcPr>
                <w:p w:rsidR="00155E55" w:rsidRDefault="00A86578" w:rsidP="00155E55">
                  <w:pPr>
                    <w:pStyle w:val="TableBodyText"/>
                  </w:pPr>
                  <w:r>
                    <w:t>38.1</w:t>
                  </w:r>
                </w:p>
              </w:tc>
              <w:tc>
                <w:tcPr>
                  <w:tcW w:w="851" w:type="dxa"/>
                  <w:shd w:val="clear" w:color="auto" w:fill="auto"/>
                  <w:vAlign w:val="center"/>
                </w:tcPr>
                <w:p w:rsidR="00155E55" w:rsidRDefault="00A86578" w:rsidP="00155E55">
                  <w:pPr>
                    <w:pStyle w:val="TableBodyText"/>
                  </w:pPr>
                  <w:r>
                    <w:t>39.9</w:t>
                  </w:r>
                </w:p>
              </w:tc>
              <w:tc>
                <w:tcPr>
                  <w:tcW w:w="709" w:type="dxa"/>
                  <w:shd w:val="clear" w:color="auto" w:fill="auto"/>
                  <w:vAlign w:val="center"/>
                </w:tcPr>
                <w:p w:rsidR="00155E55" w:rsidRDefault="00A86578" w:rsidP="00155E55">
                  <w:pPr>
                    <w:pStyle w:val="TableBodyText"/>
                  </w:pPr>
                  <w:r>
                    <w:t>38.7</w:t>
                  </w:r>
                </w:p>
              </w:tc>
              <w:tc>
                <w:tcPr>
                  <w:tcW w:w="708" w:type="dxa"/>
                  <w:shd w:val="clear" w:color="auto" w:fill="auto"/>
                  <w:vAlign w:val="center"/>
                </w:tcPr>
                <w:p w:rsidR="00155E55" w:rsidRDefault="00A86578" w:rsidP="00155E55">
                  <w:pPr>
                    <w:pStyle w:val="TableBodyText"/>
                  </w:pPr>
                  <w:r>
                    <w:t>59.5</w:t>
                  </w:r>
                </w:p>
              </w:tc>
              <w:tc>
                <w:tcPr>
                  <w:tcW w:w="709" w:type="dxa"/>
                  <w:shd w:val="clear" w:color="auto" w:fill="auto"/>
                  <w:vAlign w:val="center"/>
                </w:tcPr>
                <w:p w:rsidR="00155E55" w:rsidRDefault="00A86578" w:rsidP="00155E55">
                  <w:pPr>
                    <w:pStyle w:val="TableBodyText"/>
                  </w:pPr>
                  <w:r>
                    <w:t>44.5</w:t>
                  </w:r>
                </w:p>
              </w:tc>
            </w:tr>
            <w:tr w:rsidR="00155E55" w:rsidTr="00A55F6C">
              <w:tc>
                <w:tcPr>
                  <w:tcW w:w="1254" w:type="dxa"/>
                  <w:tcBorders>
                    <w:bottom w:val="single" w:sz="4" w:space="0" w:color="BFBFBF"/>
                  </w:tcBorders>
                  <w:shd w:val="clear" w:color="auto" w:fill="auto"/>
                  <w:vAlign w:val="center"/>
                </w:tcPr>
                <w:p w:rsidR="00155E55" w:rsidRPr="00A1493A" w:rsidRDefault="00155E55">
                  <w:pPr>
                    <w:pStyle w:val="TableBodyText"/>
                    <w:ind w:left="0" w:right="0"/>
                    <w:jc w:val="left"/>
                  </w:pPr>
                  <w:r>
                    <w:t>201</w:t>
                  </w:r>
                  <w:r w:rsidR="008178F1">
                    <w:t>5</w:t>
                  </w:r>
                  <w:r w:rsidRPr="00A1493A">
                    <w:rPr>
                      <w:rFonts w:cs="Arial"/>
                    </w:rPr>
                    <w:noBreakHyphen/>
                  </w:r>
                  <w:r>
                    <w:rPr>
                      <w:rFonts w:cs="Arial"/>
                    </w:rPr>
                    <w:t>1</w:t>
                  </w:r>
                  <w:r w:rsidR="008178F1">
                    <w:rPr>
                      <w:rFonts w:cs="Arial"/>
                    </w:rPr>
                    <w:t>6</w:t>
                  </w:r>
                </w:p>
              </w:tc>
              <w:tc>
                <w:tcPr>
                  <w:tcW w:w="850" w:type="dxa"/>
                  <w:tcBorders>
                    <w:bottom w:val="single" w:sz="4" w:space="0" w:color="BFBFBF"/>
                  </w:tcBorders>
                  <w:shd w:val="clear" w:color="auto" w:fill="auto"/>
                  <w:vAlign w:val="center"/>
                </w:tcPr>
                <w:p w:rsidR="00155E55" w:rsidRDefault="00A86578" w:rsidP="00155E55">
                  <w:pPr>
                    <w:pStyle w:val="TableBodyText"/>
                  </w:pPr>
                  <w:r>
                    <w:t>50.7</w:t>
                  </w:r>
                </w:p>
              </w:tc>
              <w:tc>
                <w:tcPr>
                  <w:tcW w:w="851" w:type="dxa"/>
                  <w:tcBorders>
                    <w:bottom w:val="single" w:sz="4" w:space="0" w:color="BFBFBF"/>
                  </w:tcBorders>
                  <w:shd w:val="clear" w:color="auto" w:fill="auto"/>
                  <w:vAlign w:val="center"/>
                </w:tcPr>
                <w:p w:rsidR="00155E55" w:rsidRDefault="00A86578" w:rsidP="00155E55">
                  <w:pPr>
                    <w:pStyle w:val="TableBodyText"/>
                  </w:pPr>
                  <w:r>
                    <w:t>42.8</w:t>
                  </w:r>
                </w:p>
              </w:tc>
              <w:tc>
                <w:tcPr>
                  <w:tcW w:w="850" w:type="dxa"/>
                  <w:tcBorders>
                    <w:bottom w:val="single" w:sz="4" w:space="0" w:color="BFBFBF"/>
                  </w:tcBorders>
                  <w:shd w:val="clear" w:color="auto" w:fill="auto"/>
                  <w:vAlign w:val="center"/>
                </w:tcPr>
                <w:p w:rsidR="00155E55" w:rsidRDefault="00A86578" w:rsidP="00155E55">
                  <w:pPr>
                    <w:pStyle w:val="TableBodyText"/>
                  </w:pPr>
                  <w:r>
                    <w:t>39.7</w:t>
                  </w:r>
                </w:p>
              </w:tc>
              <w:tc>
                <w:tcPr>
                  <w:tcW w:w="851" w:type="dxa"/>
                  <w:tcBorders>
                    <w:bottom w:val="single" w:sz="4" w:space="0" w:color="BFBFBF"/>
                  </w:tcBorders>
                  <w:shd w:val="clear" w:color="auto" w:fill="auto"/>
                  <w:vAlign w:val="center"/>
                </w:tcPr>
                <w:p w:rsidR="00155E55" w:rsidRDefault="00A86578" w:rsidP="00155E55">
                  <w:pPr>
                    <w:pStyle w:val="TableBodyText"/>
                  </w:pPr>
                  <w:r>
                    <w:t>38.1</w:t>
                  </w:r>
                </w:p>
              </w:tc>
              <w:tc>
                <w:tcPr>
                  <w:tcW w:w="850" w:type="dxa"/>
                  <w:tcBorders>
                    <w:bottom w:val="single" w:sz="4" w:space="0" w:color="BFBFBF"/>
                  </w:tcBorders>
                  <w:shd w:val="clear" w:color="auto" w:fill="auto"/>
                  <w:vAlign w:val="center"/>
                </w:tcPr>
                <w:p w:rsidR="00155E55" w:rsidRDefault="00A86578" w:rsidP="00155E55">
                  <w:pPr>
                    <w:pStyle w:val="TableBodyText"/>
                  </w:pPr>
                  <w:r>
                    <w:t>36.9</w:t>
                  </w:r>
                </w:p>
              </w:tc>
              <w:tc>
                <w:tcPr>
                  <w:tcW w:w="851" w:type="dxa"/>
                  <w:tcBorders>
                    <w:bottom w:val="single" w:sz="4" w:space="0" w:color="BFBFBF"/>
                  </w:tcBorders>
                  <w:shd w:val="clear" w:color="auto" w:fill="auto"/>
                  <w:vAlign w:val="center"/>
                </w:tcPr>
                <w:p w:rsidR="00155E55" w:rsidRDefault="00A86578" w:rsidP="00155E55">
                  <w:pPr>
                    <w:pStyle w:val="TableBodyText"/>
                  </w:pPr>
                  <w:r>
                    <w:t>39.8</w:t>
                  </w:r>
                </w:p>
              </w:tc>
              <w:tc>
                <w:tcPr>
                  <w:tcW w:w="709" w:type="dxa"/>
                  <w:tcBorders>
                    <w:bottom w:val="single" w:sz="4" w:space="0" w:color="BFBFBF"/>
                  </w:tcBorders>
                  <w:shd w:val="clear" w:color="auto" w:fill="auto"/>
                  <w:vAlign w:val="center"/>
                </w:tcPr>
                <w:p w:rsidR="00155E55" w:rsidRDefault="00A86578" w:rsidP="00155E55">
                  <w:pPr>
                    <w:pStyle w:val="TableBodyText"/>
                  </w:pPr>
                  <w:r>
                    <w:t>41.0</w:t>
                  </w:r>
                </w:p>
              </w:tc>
              <w:tc>
                <w:tcPr>
                  <w:tcW w:w="708" w:type="dxa"/>
                  <w:tcBorders>
                    <w:bottom w:val="single" w:sz="4" w:space="0" w:color="BFBFBF"/>
                  </w:tcBorders>
                  <w:shd w:val="clear" w:color="auto" w:fill="auto"/>
                  <w:vAlign w:val="center"/>
                </w:tcPr>
                <w:p w:rsidR="00155E55" w:rsidRDefault="00A86578" w:rsidP="00155E55">
                  <w:pPr>
                    <w:pStyle w:val="TableBodyText"/>
                  </w:pPr>
                  <w:r>
                    <w:t>58.3</w:t>
                  </w:r>
                </w:p>
              </w:tc>
              <w:tc>
                <w:tcPr>
                  <w:tcW w:w="709" w:type="dxa"/>
                  <w:tcBorders>
                    <w:bottom w:val="single" w:sz="4" w:space="0" w:color="BFBFBF"/>
                  </w:tcBorders>
                  <w:shd w:val="clear" w:color="auto" w:fill="auto"/>
                  <w:vAlign w:val="center"/>
                </w:tcPr>
                <w:p w:rsidR="00155E55" w:rsidRDefault="00A86578" w:rsidP="00155E55">
                  <w:pPr>
                    <w:pStyle w:val="TableBodyText"/>
                  </w:pPr>
                  <w:r>
                    <w:t>44.6</w:t>
                  </w:r>
                </w:p>
              </w:tc>
            </w:tr>
          </w:tbl>
          <w:p w:rsidR="001D7B71" w:rsidRDefault="001D7B71" w:rsidP="00C82E63">
            <w:pPr>
              <w:pStyle w:val="Box"/>
            </w:pPr>
          </w:p>
        </w:tc>
      </w:tr>
      <w:tr w:rsidR="001D7B71" w:rsidTr="00677606">
        <w:trPr>
          <w:cantSplit/>
        </w:trPr>
        <w:tc>
          <w:tcPr>
            <w:tcW w:w="8767" w:type="dxa"/>
            <w:tcBorders>
              <w:top w:val="nil"/>
              <w:left w:val="nil"/>
              <w:bottom w:val="nil"/>
              <w:right w:val="nil"/>
            </w:tcBorders>
            <w:shd w:val="clear" w:color="auto" w:fill="auto"/>
          </w:tcPr>
          <w:p w:rsidR="001D7B71" w:rsidRDefault="002F7269" w:rsidP="00E73E87">
            <w:pPr>
              <w:pStyle w:val="Note"/>
              <w:rPr>
                <w:i/>
              </w:rPr>
            </w:pPr>
            <w:proofErr w:type="spellStart"/>
            <w:r>
              <w:rPr>
                <w:rStyle w:val="NoteLabel"/>
              </w:rPr>
              <w:t>a</w:t>
            </w:r>
            <w:proofErr w:type="spellEnd"/>
            <w:r>
              <w:t> </w:t>
            </w:r>
            <w:r w:rsidR="000861CC">
              <w:t>Rates for S</w:t>
            </w:r>
            <w:r w:rsidR="00463601">
              <w:t>A</w:t>
            </w:r>
            <w:r w:rsidR="000861CC">
              <w:t xml:space="preserve"> f</w:t>
            </w:r>
            <w:r w:rsidR="00463601">
              <w:t>rom</w:t>
            </w:r>
            <w:r w:rsidR="000861CC">
              <w:t xml:space="preserve"> 2013-14</w:t>
            </w:r>
            <w:r w:rsidR="00463601">
              <w:t xml:space="preserve"> onwards</w:t>
            </w:r>
            <w:r w:rsidR="000861CC">
              <w:t xml:space="preserve"> reflect </w:t>
            </w:r>
            <w:r w:rsidR="00463601">
              <w:t xml:space="preserve">legislative </w:t>
            </w:r>
            <w:r w:rsidR="000861CC">
              <w:t>changes introduced in August 2012 that provides opportunity for parole to be cancelled for a breach of any condition, resulting in return to prison to serve the remaining sentence(s). Previously, breaches of only certain types of conditions would result in cancellation of parole.</w:t>
            </w:r>
            <w:r w:rsidR="004C165E">
              <w:t xml:space="preserve"> </w:t>
            </w:r>
            <w:r w:rsidR="004C165E">
              <w:rPr>
                <w:rStyle w:val="NoteLabel"/>
              </w:rPr>
              <w:t>b</w:t>
            </w:r>
            <w:r w:rsidR="004C165E">
              <w:t> </w:t>
            </w:r>
            <w:r w:rsidR="004C165E" w:rsidRPr="00A2167F">
              <w:t>NT figures for 2011-12 to 201</w:t>
            </w:r>
            <w:r w:rsidR="00F35FAF">
              <w:t>4</w:t>
            </w:r>
            <w:r w:rsidR="004C165E" w:rsidRPr="00A2167F">
              <w:t>-1</w:t>
            </w:r>
            <w:r w:rsidR="00F35FAF">
              <w:t>5</w:t>
            </w:r>
            <w:r w:rsidR="004C165E" w:rsidRPr="00A2167F">
              <w:t xml:space="preserve"> have been revised </w:t>
            </w:r>
            <w:r w:rsidR="00F35FAF">
              <w:t>and Australian averages adjusted accordingly</w:t>
            </w:r>
            <w:r w:rsidR="004C165E" w:rsidRPr="00A2167F">
              <w:t>.</w:t>
            </w:r>
            <w:r w:rsidR="004C165E">
              <w:t xml:space="preserve"> </w:t>
            </w:r>
            <w:r w:rsidR="000861CC">
              <w:t xml:space="preserve"> </w:t>
            </w:r>
          </w:p>
        </w:tc>
      </w:tr>
      <w:tr w:rsidR="001D7B71" w:rsidTr="00677606">
        <w:trPr>
          <w:cantSplit/>
        </w:trPr>
        <w:tc>
          <w:tcPr>
            <w:tcW w:w="8767" w:type="dxa"/>
            <w:tcBorders>
              <w:top w:val="nil"/>
              <w:left w:val="nil"/>
              <w:bottom w:val="nil"/>
              <w:right w:val="nil"/>
            </w:tcBorders>
            <w:shd w:val="clear" w:color="auto" w:fill="auto"/>
          </w:tcPr>
          <w:p w:rsidR="001D7B71" w:rsidRDefault="00A925EF" w:rsidP="00A925EF">
            <w:pPr>
              <w:pStyle w:val="Source"/>
            </w:pPr>
            <w:r>
              <w:rPr>
                <w:i/>
              </w:rPr>
              <w:t>Source</w:t>
            </w:r>
            <w:r w:rsidR="001D7B71" w:rsidRPr="00167F06">
              <w:t xml:space="preserve">: </w:t>
            </w:r>
            <w:r w:rsidRPr="00A10868">
              <w:rPr>
                <w:rStyle w:val="SourceChar"/>
              </w:rPr>
              <w:t>State and Territory governments (unpublished).</w:t>
            </w:r>
          </w:p>
        </w:tc>
      </w:tr>
      <w:tr w:rsidR="00677606" w:rsidTr="00677606">
        <w:tblPrEx>
          <w:tblBorders>
            <w:top w:val="single" w:sz="6" w:space="0" w:color="78A22F"/>
            <w:left w:val="single" w:sz="6" w:space="0" w:color="78A22F"/>
            <w:bottom w:val="single" w:sz="6" w:space="0" w:color="78A22F"/>
            <w:right w:val="single" w:sz="6" w:space="0" w:color="78A22F"/>
          </w:tblBorders>
        </w:tblPrEx>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1D7B71" w:rsidRPr="000863A5" w:rsidTr="00677606">
        <w:tc>
          <w:tcPr>
            <w:tcW w:w="8767" w:type="dxa"/>
            <w:tcBorders>
              <w:top w:val="single" w:sz="6" w:space="0" w:color="78A22F" w:themeColor="accent1"/>
              <w:left w:val="nil"/>
              <w:bottom w:val="nil"/>
              <w:right w:val="nil"/>
            </w:tcBorders>
          </w:tcPr>
          <w:p w:rsidR="001D7B71" w:rsidRPr="00626D32" w:rsidRDefault="001D7B71" w:rsidP="00C82E63">
            <w:pPr>
              <w:pStyle w:val="BoxSpaceBelow"/>
            </w:pPr>
          </w:p>
        </w:tc>
      </w:tr>
    </w:tbl>
    <w:p w:rsidR="00B3791D" w:rsidRDefault="00A95B38" w:rsidP="00AC4B50">
      <w:pPr>
        <w:pStyle w:val="Heading5"/>
      </w:pPr>
      <w:r>
        <w:t>Adult offenders discharged from community corrections orders</w:t>
      </w:r>
    </w:p>
    <w:p w:rsidR="00B3791D" w:rsidRDefault="003E005F" w:rsidP="004F0FD4">
      <w:pPr>
        <w:pStyle w:val="BodyText"/>
      </w:pPr>
      <w:r>
        <w:t xml:space="preserve">Table </w:t>
      </w:r>
      <w:proofErr w:type="spellStart"/>
      <w:r w:rsidR="00A31EB2">
        <w:t>C.</w:t>
      </w:r>
      <w:r w:rsidR="00586E41">
        <w:t>6</w:t>
      </w:r>
      <w:proofErr w:type="spellEnd"/>
      <w:r w:rsidR="00A31EB2">
        <w:t xml:space="preserve"> </w:t>
      </w:r>
      <w:r w:rsidR="00B3791D" w:rsidRPr="002162DC">
        <w:t>provides data on offenders</w:t>
      </w:r>
      <w:r w:rsidR="00C17833">
        <w:t xml:space="preserve"> </w:t>
      </w:r>
      <w:r w:rsidR="00C17833" w:rsidRPr="002162DC">
        <w:t>who</w:t>
      </w:r>
      <w:r w:rsidR="00C17833">
        <w:t xml:space="preserve"> were discharged after</w:t>
      </w:r>
      <w:r w:rsidR="00C17833" w:rsidRPr="002162DC">
        <w:t xml:space="preserve"> serv</w:t>
      </w:r>
      <w:r w:rsidR="00C17833">
        <w:t>ing</w:t>
      </w:r>
      <w:r w:rsidR="00C17833" w:rsidRPr="002162DC">
        <w:t xml:space="preserve"> orders administered by community corrections, including post-prison orders such as parole or licence</w:t>
      </w:r>
      <w:r w:rsidR="00C17833">
        <w:t>,</w:t>
      </w:r>
      <w:r w:rsidR="00B3791D" w:rsidRPr="002162DC">
        <w:t xml:space="preserve"> </w:t>
      </w:r>
      <w:r w:rsidR="00C17833">
        <w:t>and then returned</w:t>
      </w:r>
      <w:r w:rsidR="00B3791D" w:rsidRPr="002162DC">
        <w:t xml:space="preserve"> with a new correctional sanction within two years. Nationally, of those offende</w:t>
      </w:r>
      <w:r w:rsidR="00AC4B50">
        <w:t>rs who were released durin</w:t>
      </w:r>
      <w:r w:rsidR="005C4ADB">
        <w:t xml:space="preserve">g </w:t>
      </w:r>
      <w:r w:rsidR="005C4ADB" w:rsidRPr="00B11D41">
        <w:t>20</w:t>
      </w:r>
      <w:r w:rsidR="005079A4" w:rsidRPr="00B11D41">
        <w:t>1</w:t>
      </w:r>
      <w:r w:rsidR="00753E08" w:rsidRPr="00B11D41">
        <w:t>3</w:t>
      </w:r>
      <w:r w:rsidR="005C4ADB" w:rsidRPr="00B11D41">
        <w:t>-1</w:t>
      </w:r>
      <w:r w:rsidR="00753E08" w:rsidRPr="00B11D41">
        <w:t>4</w:t>
      </w:r>
      <w:r w:rsidR="00AC4B50" w:rsidRPr="00B11D41">
        <w:t>,</w:t>
      </w:r>
      <w:r w:rsidR="00B3791D" w:rsidRPr="00B11D41">
        <w:t xml:space="preserve"> </w:t>
      </w:r>
      <w:r w:rsidR="001659A3" w:rsidRPr="009F45A6">
        <w:t>14.8</w:t>
      </w:r>
      <w:r w:rsidR="005079A4" w:rsidRPr="00B11D41">
        <w:t xml:space="preserve"> </w:t>
      </w:r>
      <w:r w:rsidR="00B3791D" w:rsidRPr="00B11D41">
        <w:t xml:space="preserve">per </w:t>
      </w:r>
      <w:r w:rsidR="00B3791D" w:rsidRPr="002162DC">
        <w:t>cent had returned with a new correctional sanction to</w:t>
      </w:r>
      <w:r w:rsidR="00AC4B50">
        <w:t xml:space="preserve"> community corrections, and </w:t>
      </w:r>
      <w:r w:rsidR="001659A3" w:rsidRPr="009F45A6">
        <w:t>23.5</w:t>
      </w:r>
      <w:r w:rsidR="00563E39" w:rsidRPr="00B11D41">
        <w:t xml:space="preserve"> </w:t>
      </w:r>
      <w:r w:rsidR="00B3791D" w:rsidRPr="002162DC">
        <w:t>per cent had returne</w:t>
      </w:r>
      <w:r w:rsidR="005C4ADB">
        <w:t xml:space="preserve">d to corrective services </w:t>
      </w:r>
      <w:r w:rsidR="005C4ADB" w:rsidRPr="00A55F6C">
        <w:t xml:space="preserve">by </w:t>
      </w:r>
      <w:r w:rsidR="005C4ADB" w:rsidRPr="00B11D41">
        <w:t>201</w:t>
      </w:r>
      <w:r w:rsidR="00753E08" w:rsidRPr="00B11D41">
        <w:t>5</w:t>
      </w:r>
      <w:r w:rsidR="005C4ADB" w:rsidRPr="00B11D41">
        <w:t>-1</w:t>
      </w:r>
      <w:r w:rsidR="00753E08" w:rsidRPr="00B11D41">
        <w:t>6</w:t>
      </w:r>
      <w:r w:rsidR="00B3791D" w:rsidRPr="00A55F6C">
        <w:t>.</w:t>
      </w:r>
    </w:p>
    <w:p w:rsidR="00B80C1F" w:rsidRDefault="00B80C1F" w:rsidP="00C82E63">
      <w:pPr>
        <w:pStyle w:val="BoxSpaceAbove"/>
      </w:pPr>
    </w:p>
    <w:tbl>
      <w:tblPr>
        <w:tblW w:w="8771"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layout."/>
      </w:tblPr>
      <w:tblGrid>
        <w:gridCol w:w="8771"/>
      </w:tblGrid>
      <w:tr w:rsidR="00B80C1F" w:rsidTr="00677606">
        <w:tc>
          <w:tcPr>
            <w:tcW w:w="8767" w:type="dxa"/>
            <w:tcBorders>
              <w:top w:val="single" w:sz="6" w:space="0" w:color="78A22F" w:themeColor="accent1"/>
              <w:left w:val="nil"/>
              <w:bottom w:val="nil"/>
              <w:right w:val="nil"/>
            </w:tcBorders>
            <w:shd w:val="clear" w:color="auto" w:fill="auto"/>
          </w:tcPr>
          <w:p w:rsidR="00B80C1F" w:rsidRPr="00784A05" w:rsidRDefault="00B80C1F">
            <w:pPr>
              <w:pStyle w:val="TableTitle"/>
            </w:pPr>
            <w:r>
              <w:rPr>
                <w:b w:val="0"/>
              </w:rPr>
              <w:t xml:space="preserve">Table </w:t>
            </w:r>
            <w:proofErr w:type="spellStart"/>
            <w:r>
              <w:rPr>
                <w:b w:val="0"/>
              </w:rPr>
              <w:t>C.</w:t>
            </w:r>
            <w:r w:rsidR="005615CC">
              <w:rPr>
                <w:b w:val="0"/>
                <w:noProof/>
              </w:rPr>
              <w:t>6</w:t>
            </w:r>
            <w:proofErr w:type="spellEnd"/>
            <w:r>
              <w:tab/>
            </w:r>
            <w:r w:rsidRPr="00A1493A">
              <w:t>Offenders discharged from community corrections orders</w:t>
            </w:r>
            <w:r>
              <w:t xml:space="preserve"> </w:t>
            </w:r>
            <w:r w:rsidRPr="00B11D41">
              <w:t>during 201</w:t>
            </w:r>
            <w:r w:rsidR="001F3EAA" w:rsidRPr="00B11D41">
              <w:t>3</w:t>
            </w:r>
            <w:r w:rsidRPr="00B11D41">
              <w:rPr>
                <w:rFonts w:cs="Arial"/>
              </w:rPr>
              <w:noBreakHyphen/>
              <w:t>1</w:t>
            </w:r>
            <w:r w:rsidR="001F3EAA" w:rsidRPr="00B11D41">
              <w:rPr>
                <w:rFonts w:cs="Arial"/>
              </w:rPr>
              <w:t>4</w:t>
            </w:r>
            <w:r w:rsidRPr="00B11D41">
              <w:t xml:space="preserve"> who </w:t>
            </w:r>
            <w:r w:rsidRPr="00A1493A">
              <w:t>returned with a new correctional sanction within two years (per cent)</w:t>
            </w:r>
          </w:p>
        </w:tc>
      </w:tr>
      <w:tr w:rsidR="00EC3BCC" w:rsidTr="00677606">
        <w:trPr>
          <w:cantSplit/>
        </w:trPr>
        <w:tc>
          <w:tcPr>
            <w:tcW w:w="8767" w:type="dxa"/>
            <w:tcBorders>
              <w:top w:val="nil"/>
              <w:left w:val="nil"/>
              <w:bottom w:val="nil"/>
              <w:right w:val="nil"/>
            </w:tcBorders>
            <w:shd w:val="clear" w:color="auto" w:fill="auto"/>
          </w:tcPr>
          <w:tbl>
            <w:tblPr>
              <w:tblW w:w="8483" w:type="dxa"/>
              <w:tblCellMar>
                <w:left w:w="0" w:type="dxa"/>
                <w:right w:w="0" w:type="dxa"/>
              </w:tblCellMar>
              <w:tblLook w:val="0000" w:firstRow="0" w:lastRow="0" w:firstColumn="0" w:lastColumn="0" w:noHBand="0" w:noVBand="0"/>
            </w:tblPr>
            <w:tblGrid>
              <w:gridCol w:w="2246"/>
              <w:gridCol w:w="709"/>
              <w:gridCol w:w="709"/>
              <w:gridCol w:w="708"/>
              <w:gridCol w:w="709"/>
              <w:gridCol w:w="709"/>
              <w:gridCol w:w="709"/>
              <w:gridCol w:w="708"/>
              <w:gridCol w:w="709"/>
              <w:gridCol w:w="567"/>
            </w:tblGrid>
            <w:tr w:rsidR="00EC3BCC" w:rsidRPr="00A1493A" w:rsidTr="00071D8B">
              <w:tc>
                <w:tcPr>
                  <w:tcW w:w="2246" w:type="dxa"/>
                  <w:tcBorders>
                    <w:top w:val="single" w:sz="6" w:space="0" w:color="BFBFBF"/>
                    <w:bottom w:val="single" w:sz="6" w:space="0" w:color="BFBFBF"/>
                  </w:tcBorders>
                  <w:shd w:val="clear" w:color="auto" w:fill="auto"/>
                </w:tcPr>
                <w:p w:rsidR="00EC3BCC" w:rsidRPr="00A1493A" w:rsidRDefault="00EC3BCC" w:rsidP="00EC3BCC">
                  <w:pPr>
                    <w:pStyle w:val="TableColumnHeading"/>
                    <w:jc w:val="left"/>
                  </w:pPr>
                </w:p>
              </w:tc>
              <w:tc>
                <w:tcPr>
                  <w:tcW w:w="709" w:type="dxa"/>
                  <w:tcBorders>
                    <w:top w:val="single" w:sz="6" w:space="0" w:color="BFBFBF"/>
                    <w:bottom w:val="single" w:sz="6" w:space="0" w:color="BFBFBF"/>
                  </w:tcBorders>
                  <w:shd w:val="clear" w:color="auto" w:fill="auto"/>
                </w:tcPr>
                <w:p w:rsidR="00EC3BCC" w:rsidRPr="00A1493A" w:rsidRDefault="00EC3BCC" w:rsidP="00EC3BCC">
                  <w:pPr>
                    <w:pStyle w:val="TableColumnHeading"/>
                    <w:ind w:left="0" w:right="28"/>
                  </w:pPr>
                  <w:r w:rsidRPr="00A1493A">
                    <w:t>NSW</w:t>
                  </w:r>
                </w:p>
              </w:tc>
              <w:tc>
                <w:tcPr>
                  <w:tcW w:w="709" w:type="dxa"/>
                  <w:tcBorders>
                    <w:top w:val="single" w:sz="6" w:space="0" w:color="BFBFBF"/>
                    <w:bottom w:val="single" w:sz="6" w:space="0" w:color="BFBFBF"/>
                  </w:tcBorders>
                  <w:shd w:val="clear" w:color="auto" w:fill="auto"/>
                </w:tcPr>
                <w:p w:rsidR="00EC3BCC" w:rsidRPr="00A1493A" w:rsidRDefault="00EC3BCC" w:rsidP="00EC3BCC">
                  <w:pPr>
                    <w:pStyle w:val="TableColumnHeading"/>
                    <w:ind w:left="0" w:right="28"/>
                  </w:pPr>
                  <w:r w:rsidRPr="00A1493A">
                    <w:t>Vic</w:t>
                  </w:r>
                </w:p>
              </w:tc>
              <w:tc>
                <w:tcPr>
                  <w:tcW w:w="708" w:type="dxa"/>
                  <w:tcBorders>
                    <w:top w:val="single" w:sz="6" w:space="0" w:color="BFBFBF"/>
                    <w:bottom w:val="single" w:sz="6" w:space="0" w:color="BFBFBF"/>
                  </w:tcBorders>
                  <w:shd w:val="clear" w:color="auto" w:fill="auto"/>
                </w:tcPr>
                <w:p w:rsidR="00EC3BCC" w:rsidRPr="00A1493A" w:rsidRDefault="00EC3BCC" w:rsidP="00EC3BCC">
                  <w:pPr>
                    <w:pStyle w:val="TableColumnHeading"/>
                    <w:ind w:left="0" w:right="28"/>
                  </w:pPr>
                  <w:r w:rsidRPr="00A1493A">
                    <w:t>Qld</w:t>
                  </w:r>
                </w:p>
              </w:tc>
              <w:tc>
                <w:tcPr>
                  <w:tcW w:w="709" w:type="dxa"/>
                  <w:tcBorders>
                    <w:top w:val="single" w:sz="6" w:space="0" w:color="BFBFBF"/>
                    <w:bottom w:val="single" w:sz="6" w:space="0" w:color="BFBFBF"/>
                  </w:tcBorders>
                  <w:shd w:val="clear" w:color="auto" w:fill="auto"/>
                </w:tcPr>
                <w:p w:rsidR="00EC3BCC" w:rsidRPr="00A1493A" w:rsidRDefault="00EC3BCC" w:rsidP="00EC3BCC">
                  <w:pPr>
                    <w:pStyle w:val="TableColumnHeading"/>
                    <w:ind w:left="0" w:right="28"/>
                  </w:pPr>
                  <w:r w:rsidRPr="00A1493A">
                    <w:t>WA</w:t>
                  </w:r>
                </w:p>
              </w:tc>
              <w:tc>
                <w:tcPr>
                  <w:tcW w:w="709" w:type="dxa"/>
                  <w:tcBorders>
                    <w:top w:val="single" w:sz="6" w:space="0" w:color="BFBFBF"/>
                    <w:bottom w:val="single" w:sz="6" w:space="0" w:color="BFBFBF"/>
                  </w:tcBorders>
                  <w:shd w:val="clear" w:color="auto" w:fill="auto"/>
                </w:tcPr>
                <w:p w:rsidR="00EC3BCC" w:rsidRPr="00EB076D" w:rsidRDefault="00EC3BCC" w:rsidP="00EC3BCC">
                  <w:pPr>
                    <w:pStyle w:val="TableColumnHeading"/>
                    <w:ind w:left="0" w:right="28"/>
                    <w:rPr>
                      <w:rStyle w:val="NoteLabel"/>
                    </w:rPr>
                  </w:pPr>
                  <w:r w:rsidRPr="00A1493A">
                    <w:t>SA</w:t>
                  </w:r>
                </w:p>
              </w:tc>
              <w:tc>
                <w:tcPr>
                  <w:tcW w:w="709" w:type="dxa"/>
                  <w:tcBorders>
                    <w:top w:val="single" w:sz="6" w:space="0" w:color="BFBFBF"/>
                    <w:bottom w:val="single" w:sz="6" w:space="0" w:color="BFBFBF"/>
                  </w:tcBorders>
                  <w:shd w:val="clear" w:color="auto" w:fill="auto"/>
                </w:tcPr>
                <w:p w:rsidR="00EC3BCC" w:rsidRPr="00A1493A" w:rsidRDefault="00EC3BCC" w:rsidP="00EC3BCC">
                  <w:pPr>
                    <w:pStyle w:val="TableColumnHeading"/>
                    <w:ind w:left="0" w:right="28"/>
                  </w:pPr>
                  <w:proofErr w:type="spellStart"/>
                  <w:r w:rsidRPr="00A1493A">
                    <w:t>Tas</w:t>
                  </w:r>
                  <w:proofErr w:type="spellEnd"/>
                </w:p>
              </w:tc>
              <w:tc>
                <w:tcPr>
                  <w:tcW w:w="708" w:type="dxa"/>
                  <w:tcBorders>
                    <w:top w:val="single" w:sz="6" w:space="0" w:color="BFBFBF"/>
                    <w:bottom w:val="single" w:sz="6" w:space="0" w:color="BFBFBF"/>
                  </w:tcBorders>
                  <w:shd w:val="clear" w:color="auto" w:fill="auto"/>
                </w:tcPr>
                <w:p w:rsidR="00EC3BCC" w:rsidRPr="00EB076D" w:rsidRDefault="00EC3BCC" w:rsidP="00EC3BCC">
                  <w:pPr>
                    <w:pStyle w:val="TableColumnHeading"/>
                    <w:ind w:left="0" w:right="28"/>
                    <w:rPr>
                      <w:rStyle w:val="NoteLabel"/>
                    </w:rPr>
                  </w:pPr>
                  <w:r w:rsidRPr="00A1493A">
                    <w:t>ACT</w:t>
                  </w:r>
                </w:p>
              </w:tc>
              <w:tc>
                <w:tcPr>
                  <w:tcW w:w="709" w:type="dxa"/>
                  <w:tcBorders>
                    <w:top w:val="single" w:sz="6" w:space="0" w:color="BFBFBF"/>
                    <w:bottom w:val="single" w:sz="6" w:space="0" w:color="BFBFBF"/>
                  </w:tcBorders>
                  <w:shd w:val="clear" w:color="auto" w:fill="auto"/>
                </w:tcPr>
                <w:p w:rsidR="00EC3BCC" w:rsidRPr="00A1493A" w:rsidRDefault="00EC3BCC" w:rsidP="00EC3BCC">
                  <w:pPr>
                    <w:pStyle w:val="TableColumnHeading"/>
                    <w:ind w:left="0" w:right="28"/>
                  </w:pPr>
                  <w:r w:rsidRPr="00A1493A">
                    <w:t>NT</w:t>
                  </w:r>
                </w:p>
              </w:tc>
              <w:tc>
                <w:tcPr>
                  <w:tcW w:w="567" w:type="dxa"/>
                  <w:tcBorders>
                    <w:top w:val="single" w:sz="6" w:space="0" w:color="BFBFBF"/>
                    <w:bottom w:val="single" w:sz="6" w:space="0" w:color="BFBFBF"/>
                  </w:tcBorders>
                  <w:shd w:val="clear" w:color="auto" w:fill="auto"/>
                </w:tcPr>
                <w:p w:rsidR="00EC3BCC" w:rsidRPr="00A1493A" w:rsidRDefault="00EC3BCC" w:rsidP="00EC3BCC">
                  <w:pPr>
                    <w:pStyle w:val="TableColumnHeading"/>
                    <w:ind w:right="28"/>
                  </w:pPr>
                  <w:proofErr w:type="spellStart"/>
                  <w:r w:rsidRPr="00A1493A">
                    <w:t>Aust</w:t>
                  </w:r>
                  <w:proofErr w:type="spellEnd"/>
                </w:p>
              </w:tc>
            </w:tr>
            <w:tr w:rsidR="00EC3BCC" w:rsidRPr="00A1493A" w:rsidTr="00071D8B">
              <w:tc>
                <w:tcPr>
                  <w:tcW w:w="2246" w:type="dxa"/>
                  <w:tcBorders>
                    <w:top w:val="single" w:sz="6" w:space="0" w:color="BFBFBF"/>
                  </w:tcBorders>
                </w:tcPr>
                <w:p w:rsidR="00EC3BCC" w:rsidRPr="00A1493A" w:rsidRDefault="00EC3BCC" w:rsidP="00EC3BCC">
                  <w:pPr>
                    <w:pStyle w:val="TableBodyText"/>
                    <w:spacing w:before="40"/>
                    <w:ind w:left="0" w:right="0"/>
                    <w:jc w:val="left"/>
                  </w:pPr>
                  <w:r w:rsidRPr="00A1493A">
                    <w:t>Offenders returning to:</w:t>
                  </w:r>
                </w:p>
              </w:tc>
              <w:tc>
                <w:tcPr>
                  <w:tcW w:w="709" w:type="dxa"/>
                  <w:tcBorders>
                    <w:top w:val="single" w:sz="6" w:space="0" w:color="BFBFBF"/>
                  </w:tcBorders>
                </w:tcPr>
                <w:p w:rsidR="00EC3BCC" w:rsidRPr="00A1493A" w:rsidRDefault="00EC3BCC" w:rsidP="00EC3BCC">
                  <w:pPr>
                    <w:pStyle w:val="TableBodyText"/>
                    <w:spacing w:before="40"/>
                  </w:pPr>
                </w:p>
              </w:tc>
              <w:tc>
                <w:tcPr>
                  <w:tcW w:w="709" w:type="dxa"/>
                  <w:tcBorders>
                    <w:top w:val="single" w:sz="6" w:space="0" w:color="BFBFBF"/>
                  </w:tcBorders>
                </w:tcPr>
                <w:p w:rsidR="00EC3BCC" w:rsidRPr="00A1493A" w:rsidRDefault="00EC3BCC" w:rsidP="00EC3BCC">
                  <w:pPr>
                    <w:pStyle w:val="TableBodyText"/>
                    <w:spacing w:before="40"/>
                  </w:pPr>
                </w:p>
              </w:tc>
              <w:tc>
                <w:tcPr>
                  <w:tcW w:w="708" w:type="dxa"/>
                  <w:tcBorders>
                    <w:top w:val="single" w:sz="6" w:space="0" w:color="BFBFBF"/>
                  </w:tcBorders>
                </w:tcPr>
                <w:p w:rsidR="00EC3BCC" w:rsidRPr="00A1493A" w:rsidRDefault="00EC3BCC" w:rsidP="00EC3BCC">
                  <w:pPr>
                    <w:pStyle w:val="TableBodyText"/>
                    <w:spacing w:before="40"/>
                  </w:pPr>
                </w:p>
              </w:tc>
              <w:tc>
                <w:tcPr>
                  <w:tcW w:w="709" w:type="dxa"/>
                  <w:tcBorders>
                    <w:top w:val="single" w:sz="6" w:space="0" w:color="BFBFBF"/>
                  </w:tcBorders>
                </w:tcPr>
                <w:p w:rsidR="00EC3BCC" w:rsidRPr="00A1493A" w:rsidRDefault="00EC3BCC" w:rsidP="00EC3BCC">
                  <w:pPr>
                    <w:pStyle w:val="TableBodyText"/>
                    <w:spacing w:before="40"/>
                  </w:pPr>
                </w:p>
              </w:tc>
              <w:tc>
                <w:tcPr>
                  <w:tcW w:w="709" w:type="dxa"/>
                  <w:tcBorders>
                    <w:top w:val="single" w:sz="6" w:space="0" w:color="BFBFBF"/>
                  </w:tcBorders>
                </w:tcPr>
                <w:p w:rsidR="00EC3BCC" w:rsidRPr="00A1493A" w:rsidRDefault="00EC3BCC" w:rsidP="00EC3BCC">
                  <w:pPr>
                    <w:pStyle w:val="TableBodyText"/>
                    <w:spacing w:before="40"/>
                  </w:pPr>
                </w:p>
              </w:tc>
              <w:tc>
                <w:tcPr>
                  <w:tcW w:w="709" w:type="dxa"/>
                  <w:tcBorders>
                    <w:top w:val="single" w:sz="6" w:space="0" w:color="BFBFBF"/>
                  </w:tcBorders>
                </w:tcPr>
                <w:p w:rsidR="00EC3BCC" w:rsidRPr="00A1493A" w:rsidRDefault="00EC3BCC" w:rsidP="00EC3BCC">
                  <w:pPr>
                    <w:pStyle w:val="TableBodyText"/>
                    <w:spacing w:before="40"/>
                  </w:pPr>
                </w:p>
              </w:tc>
              <w:tc>
                <w:tcPr>
                  <w:tcW w:w="708" w:type="dxa"/>
                  <w:tcBorders>
                    <w:top w:val="single" w:sz="6" w:space="0" w:color="BFBFBF"/>
                  </w:tcBorders>
                </w:tcPr>
                <w:p w:rsidR="00EC3BCC" w:rsidRPr="00A1493A" w:rsidRDefault="00EC3BCC" w:rsidP="00EC3BCC">
                  <w:pPr>
                    <w:pStyle w:val="TableBodyText"/>
                    <w:spacing w:before="40"/>
                  </w:pPr>
                </w:p>
              </w:tc>
              <w:tc>
                <w:tcPr>
                  <w:tcW w:w="709" w:type="dxa"/>
                  <w:tcBorders>
                    <w:top w:val="single" w:sz="6" w:space="0" w:color="BFBFBF"/>
                  </w:tcBorders>
                </w:tcPr>
                <w:p w:rsidR="00EC3BCC" w:rsidRPr="00A1493A" w:rsidRDefault="00EC3BCC" w:rsidP="00EC3BCC">
                  <w:pPr>
                    <w:pStyle w:val="TableBodyText"/>
                    <w:spacing w:before="40"/>
                  </w:pPr>
                </w:p>
              </w:tc>
              <w:tc>
                <w:tcPr>
                  <w:tcW w:w="567" w:type="dxa"/>
                  <w:tcBorders>
                    <w:top w:val="single" w:sz="6" w:space="0" w:color="BFBFBF"/>
                  </w:tcBorders>
                </w:tcPr>
                <w:p w:rsidR="00EC3BCC" w:rsidRPr="00A1493A" w:rsidRDefault="00EC3BCC" w:rsidP="00EC3BCC">
                  <w:pPr>
                    <w:pStyle w:val="TableBodyText"/>
                    <w:spacing w:before="40"/>
                    <w:ind w:right="28"/>
                  </w:pPr>
                </w:p>
              </w:tc>
            </w:tr>
            <w:tr w:rsidR="00EC3BCC" w:rsidTr="00071D8B">
              <w:tc>
                <w:tcPr>
                  <w:tcW w:w="2246" w:type="dxa"/>
                </w:tcPr>
                <w:p w:rsidR="00EC3BCC" w:rsidRPr="00A1493A" w:rsidRDefault="00EC3BCC" w:rsidP="00EC3BCC">
                  <w:pPr>
                    <w:pStyle w:val="TableBodyText"/>
                    <w:ind w:left="0" w:right="0"/>
                    <w:jc w:val="left"/>
                  </w:pPr>
                  <w:r w:rsidRPr="00A1493A">
                    <w:t xml:space="preserve"> — community corrections</w:t>
                  </w:r>
                </w:p>
              </w:tc>
              <w:tc>
                <w:tcPr>
                  <w:tcW w:w="709" w:type="dxa"/>
                  <w:shd w:val="clear" w:color="auto" w:fill="auto"/>
                  <w:vAlign w:val="center"/>
                </w:tcPr>
                <w:p w:rsidR="00EC3BCC" w:rsidRDefault="00EC3BCC" w:rsidP="00EC3BCC">
                  <w:pPr>
                    <w:pStyle w:val="TableBodyText"/>
                  </w:pPr>
                  <w:r>
                    <w:t>12.1</w:t>
                  </w:r>
                </w:p>
              </w:tc>
              <w:tc>
                <w:tcPr>
                  <w:tcW w:w="709" w:type="dxa"/>
                  <w:shd w:val="clear" w:color="auto" w:fill="auto"/>
                  <w:vAlign w:val="center"/>
                </w:tcPr>
                <w:p w:rsidR="00EC3BCC" w:rsidRDefault="00EC3BCC">
                  <w:pPr>
                    <w:pStyle w:val="TableBodyText"/>
                  </w:pPr>
                  <w:r>
                    <w:t>21.1</w:t>
                  </w:r>
                </w:p>
              </w:tc>
              <w:tc>
                <w:tcPr>
                  <w:tcW w:w="708" w:type="dxa"/>
                  <w:shd w:val="clear" w:color="auto" w:fill="auto"/>
                  <w:vAlign w:val="center"/>
                </w:tcPr>
                <w:p w:rsidR="00EC3BCC" w:rsidRDefault="00EC3BCC">
                  <w:pPr>
                    <w:pStyle w:val="TableBodyText"/>
                  </w:pPr>
                  <w:r>
                    <w:t>15.8</w:t>
                  </w:r>
                </w:p>
              </w:tc>
              <w:tc>
                <w:tcPr>
                  <w:tcW w:w="709" w:type="dxa"/>
                  <w:shd w:val="clear" w:color="auto" w:fill="auto"/>
                  <w:vAlign w:val="center"/>
                </w:tcPr>
                <w:p w:rsidR="00EC3BCC" w:rsidRDefault="00EC3BCC">
                  <w:pPr>
                    <w:pStyle w:val="TableBodyText"/>
                  </w:pPr>
                  <w:r>
                    <w:t>10.6</w:t>
                  </w:r>
                </w:p>
              </w:tc>
              <w:tc>
                <w:tcPr>
                  <w:tcW w:w="709" w:type="dxa"/>
                  <w:shd w:val="clear" w:color="auto" w:fill="auto"/>
                  <w:vAlign w:val="center"/>
                </w:tcPr>
                <w:p w:rsidR="00EC3BCC" w:rsidRDefault="00EC3BCC">
                  <w:pPr>
                    <w:pStyle w:val="TableBodyText"/>
                  </w:pPr>
                  <w:r>
                    <w:t>12.1</w:t>
                  </w:r>
                </w:p>
              </w:tc>
              <w:tc>
                <w:tcPr>
                  <w:tcW w:w="709" w:type="dxa"/>
                  <w:shd w:val="clear" w:color="auto" w:fill="auto"/>
                  <w:vAlign w:val="center"/>
                </w:tcPr>
                <w:p w:rsidR="00EC3BCC" w:rsidRDefault="00EC3BCC">
                  <w:pPr>
                    <w:pStyle w:val="TableBodyText"/>
                  </w:pPr>
                  <w:r>
                    <w:t>19.2</w:t>
                  </w:r>
                </w:p>
              </w:tc>
              <w:tc>
                <w:tcPr>
                  <w:tcW w:w="708" w:type="dxa"/>
                  <w:shd w:val="clear" w:color="auto" w:fill="auto"/>
                  <w:vAlign w:val="center"/>
                </w:tcPr>
                <w:p w:rsidR="00EC3BCC" w:rsidRDefault="00EC3BCC" w:rsidP="00EC3BCC">
                  <w:pPr>
                    <w:pStyle w:val="TableBodyText"/>
                  </w:pPr>
                  <w:r>
                    <w:t>15.4</w:t>
                  </w:r>
                </w:p>
              </w:tc>
              <w:tc>
                <w:tcPr>
                  <w:tcW w:w="709" w:type="dxa"/>
                  <w:shd w:val="clear" w:color="auto" w:fill="auto"/>
                  <w:vAlign w:val="center"/>
                </w:tcPr>
                <w:p w:rsidR="00EC3BCC" w:rsidRDefault="00EC3BCC">
                  <w:pPr>
                    <w:pStyle w:val="TableBodyText"/>
                  </w:pPr>
                  <w:r>
                    <w:t>11.1</w:t>
                  </w:r>
                </w:p>
              </w:tc>
              <w:tc>
                <w:tcPr>
                  <w:tcW w:w="567" w:type="dxa"/>
                  <w:shd w:val="clear" w:color="auto" w:fill="auto"/>
                  <w:vAlign w:val="center"/>
                </w:tcPr>
                <w:p w:rsidR="00EC3BCC" w:rsidRDefault="00EC3BCC">
                  <w:pPr>
                    <w:pStyle w:val="TableBodyText"/>
                  </w:pPr>
                  <w:r>
                    <w:t>14.8</w:t>
                  </w:r>
                </w:p>
              </w:tc>
            </w:tr>
            <w:tr w:rsidR="00EC3BCC" w:rsidTr="00071D8B">
              <w:tc>
                <w:tcPr>
                  <w:tcW w:w="2246" w:type="dxa"/>
                  <w:tcBorders>
                    <w:bottom w:val="single" w:sz="6" w:space="0" w:color="BFBFBF"/>
                  </w:tcBorders>
                  <w:shd w:val="clear" w:color="auto" w:fill="auto"/>
                </w:tcPr>
                <w:p w:rsidR="00EC3BCC" w:rsidRPr="00A1493A" w:rsidRDefault="00EC3BCC" w:rsidP="00EC3BCC">
                  <w:pPr>
                    <w:pStyle w:val="TableBodyText"/>
                    <w:ind w:left="0" w:right="0"/>
                    <w:jc w:val="left"/>
                    <w:rPr>
                      <w:rStyle w:val="NoteLabel"/>
                    </w:rPr>
                  </w:pPr>
                  <w:r w:rsidRPr="00A1493A">
                    <w:rPr>
                      <w:rFonts w:cs="Arial"/>
                    </w:rPr>
                    <w:t xml:space="preserve"> —</w:t>
                  </w:r>
                  <w:r w:rsidRPr="00A1493A">
                    <w:t xml:space="preserve"> corrective services</w:t>
                  </w:r>
                  <w:r>
                    <w:rPr>
                      <w:rStyle w:val="NoteLabel"/>
                    </w:rPr>
                    <w:t>a</w:t>
                  </w:r>
                </w:p>
              </w:tc>
              <w:tc>
                <w:tcPr>
                  <w:tcW w:w="709" w:type="dxa"/>
                  <w:tcBorders>
                    <w:bottom w:val="single" w:sz="6" w:space="0" w:color="BFBFBF"/>
                  </w:tcBorders>
                  <w:shd w:val="clear" w:color="auto" w:fill="auto"/>
                  <w:vAlign w:val="center"/>
                </w:tcPr>
                <w:p w:rsidR="00EC3BCC" w:rsidRDefault="00EC3BCC" w:rsidP="00EC3BCC">
                  <w:pPr>
                    <w:pStyle w:val="TableBodyText"/>
                  </w:pPr>
                  <w:r>
                    <w:t>23.4</w:t>
                  </w:r>
                </w:p>
              </w:tc>
              <w:tc>
                <w:tcPr>
                  <w:tcW w:w="709" w:type="dxa"/>
                  <w:tcBorders>
                    <w:bottom w:val="single" w:sz="6" w:space="0" w:color="BFBFBF"/>
                  </w:tcBorders>
                  <w:shd w:val="clear" w:color="auto" w:fill="auto"/>
                  <w:vAlign w:val="center"/>
                </w:tcPr>
                <w:p w:rsidR="00EC3BCC" w:rsidRDefault="00EC3BCC" w:rsidP="00EC3BCC">
                  <w:pPr>
                    <w:pStyle w:val="TableBodyText"/>
                  </w:pPr>
                  <w:r>
                    <w:t>28.9</w:t>
                  </w:r>
                </w:p>
              </w:tc>
              <w:tc>
                <w:tcPr>
                  <w:tcW w:w="708" w:type="dxa"/>
                  <w:tcBorders>
                    <w:bottom w:val="single" w:sz="6" w:space="0" w:color="BFBFBF"/>
                  </w:tcBorders>
                  <w:shd w:val="clear" w:color="auto" w:fill="auto"/>
                  <w:vAlign w:val="center"/>
                </w:tcPr>
                <w:p w:rsidR="00EC3BCC" w:rsidRDefault="00EC3BCC" w:rsidP="00EC3BCC">
                  <w:pPr>
                    <w:pStyle w:val="TableBodyText"/>
                  </w:pPr>
                  <w:r>
                    <w:t>21.7</w:t>
                  </w:r>
                </w:p>
              </w:tc>
              <w:tc>
                <w:tcPr>
                  <w:tcW w:w="709" w:type="dxa"/>
                  <w:tcBorders>
                    <w:bottom w:val="single" w:sz="6" w:space="0" w:color="BFBFBF"/>
                  </w:tcBorders>
                  <w:shd w:val="clear" w:color="auto" w:fill="auto"/>
                  <w:vAlign w:val="center"/>
                </w:tcPr>
                <w:p w:rsidR="00EC3BCC" w:rsidRDefault="00EC3BCC" w:rsidP="00EC3BCC">
                  <w:pPr>
                    <w:pStyle w:val="TableBodyText"/>
                  </w:pPr>
                  <w:r>
                    <w:t>16.5</w:t>
                  </w:r>
                </w:p>
              </w:tc>
              <w:tc>
                <w:tcPr>
                  <w:tcW w:w="709" w:type="dxa"/>
                  <w:tcBorders>
                    <w:bottom w:val="single" w:sz="6" w:space="0" w:color="BFBFBF"/>
                  </w:tcBorders>
                  <w:shd w:val="clear" w:color="auto" w:fill="auto"/>
                  <w:vAlign w:val="center"/>
                </w:tcPr>
                <w:p w:rsidR="00EC3BCC" w:rsidRDefault="00EC3BCC" w:rsidP="00EC3BCC">
                  <w:pPr>
                    <w:pStyle w:val="TableBodyText"/>
                  </w:pPr>
                  <w:r>
                    <w:t>21.0</w:t>
                  </w:r>
                </w:p>
              </w:tc>
              <w:tc>
                <w:tcPr>
                  <w:tcW w:w="709" w:type="dxa"/>
                  <w:tcBorders>
                    <w:bottom w:val="single" w:sz="6" w:space="0" w:color="BFBFBF"/>
                  </w:tcBorders>
                  <w:shd w:val="clear" w:color="auto" w:fill="auto"/>
                  <w:vAlign w:val="center"/>
                </w:tcPr>
                <w:p w:rsidR="00EC3BCC" w:rsidRDefault="00EC3BCC" w:rsidP="00EC3BCC">
                  <w:pPr>
                    <w:pStyle w:val="TableBodyText"/>
                  </w:pPr>
                  <w:r>
                    <w:t>24.1</w:t>
                  </w:r>
                </w:p>
              </w:tc>
              <w:tc>
                <w:tcPr>
                  <w:tcW w:w="708" w:type="dxa"/>
                  <w:tcBorders>
                    <w:bottom w:val="single" w:sz="6" w:space="0" w:color="BFBFBF"/>
                  </w:tcBorders>
                  <w:shd w:val="clear" w:color="auto" w:fill="auto"/>
                  <w:vAlign w:val="center"/>
                </w:tcPr>
                <w:p w:rsidR="00EC3BCC" w:rsidRDefault="00EC3BCC">
                  <w:pPr>
                    <w:pStyle w:val="TableBodyText"/>
                  </w:pPr>
                  <w:r>
                    <w:t>15.8</w:t>
                  </w:r>
                </w:p>
              </w:tc>
              <w:tc>
                <w:tcPr>
                  <w:tcW w:w="709" w:type="dxa"/>
                  <w:tcBorders>
                    <w:bottom w:val="single" w:sz="6" w:space="0" w:color="BFBFBF"/>
                  </w:tcBorders>
                  <w:shd w:val="clear" w:color="auto" w:fill="auto"/>
                  <w:vAlign w:val="center"/>
                </w:tcPr>
                <w:p w:rsidR="00EC3BCC" w:rsidRDefault="00EC3BCC" w:rsidP="00EC3BCC">
                  <w:pPr>
                    <w:pStyle w:val="TableBodyText"/>
                  </w:pPr>
                  <w:r>
                    <w:t>32.1</w:t>
                  </w:r>
                </w:p>
              </w:tc>
              <w:tc>
                <w:tcPr>
                  <w:tcW w:w="567" w:type="dxa"/>
                  <w:tcBorders>
                    <w:bottom w:val="single" w:sz="6" w:space="0" w:color="BFBFBF"/>
                  </w:tcBorders>
                  <w:shd w:val="clear" w:color="auto" w:fill="auto"/>
                  <w:vAlign w:val="center"/>
                </w:tcPr>
                <w:p w:rsidR="00EC3BCC" w:rsidRDefault="00EC3BCC" w:rsidP="00EC3BCC">
                  <w:pPr>
                    <w:pStyle w:val="TableBodyText"/>
                  </w:pPr>
                  <w:r>
                    <w:t>23.5</w:t>
                  </w:r>
                </w:p>
              </w:tc>
            </w:tr>
          </w:tbl>
          <w:p w:rsidR="00EC3BCC" w:rsidRDefault="00EC3BCC" w:rsidP="00071D8B">
            <w:pPr>
              <w:pStyle w:val="Box"/>
            </w:pPr>
          </w:p>
        </w:tc>
      </w:tr>
      <w:tr w:rsidR="00B80C1F" w:rsidTr="00677606">
        <w:trPr>
          <w:cantSplit/>
        </w:trPr>
        <w:tc>
          <w:tcPr>
            <w:tcW w:w="8767" w:type="dxa"/>
            <w:tcBorders>
              <w:top w:val="nil"/>
              <w:left w:val="nil"/>
              <w:bottom w:val="nil"/>
              <w:right w:val="nil"/>
            </w:tcBorders>
            <w:shd w:val="clear" w:color="auto" w:fill="auto"/>
          </w:tcPr>
          <w:p w:rsidR="00B80C1F" w:rsidRPr="00E45C8E" w:rsidRDefault="00B80C1F" w:rsidP="00C82E63">
            <w:pPr>
              <w:pStyle w:val="Note"/>
            </w:pPr>
            <w:proofErr w:type="spellStart"/>
            <w:r w:rsidRPr="008E77FE">
              <w:rPr>
                <w:rStyle w:val="NoteLabel"/>
              </w:rPr>
              <w:t>a</w:t>
            </w:r>
            <w:proofErr w:type="spellEnd"/>
            <w:r w:rsidR="002F43C2">
              <w:t> </w:t>
            </w:r>
            <w:r w:rsidR="00E45C8E" w:rsidRPr="00F923A2">
              <w:t>Includes a prison sentence or</w:t>
            </w:r>
            <w:r w:rsidR="00E45C8E">
              <w:t xml:space="preserve"> a community corrections order.</w:t>
            </w:r>
          </w:p>
        </w:tc>
      </w:tr>
      <w:tr w:rsidR="00B80C1F" w:rsidTr="00677606">
        <w:trPr>
          <w:cantSplit/>
        </w:trPr>
        <w:tc>
          <w:tcPr>
            <w:tcW w:w="8767" w:type="dxa"/>
            <w:tcBorders>
              <w:top w:val="nil"/>
              <w:left w:val="nil"/>
              <w:bottom w:val="nil"/>
              <w:right w:val="nil"/>
            </w:tcBorders>
            <w:shd w:val="clear" w:color="auto" w:fill="auto"/>
          </w:tcPr>
          <w:p w:rsidR="00B80C1F" w:rsidRDefault="00E45C8E" w:rsidP="00C82E63">
            <w:pPr>
              <w:pStyle w:val="Source"/>
            </w:pPr>
            <w:r>
              <w:rPr>
                <w:i/>
              </w:rPr>
              <w:t xml:space="preserve">Source: </w:t>
            </w:r>
            <w:r>
              <w:t>State and Territory governments (unpublished).</w:t>
            </w:r>
          </w:p>
        </w:tc>
      </w:tr>
      <w:tr w:rsidR="00677606" w:rsidTr="00677606">
        <w:tblPrEx>
          <w:tblBorders>
            <w:top w:val="single" w:sz="6" w:space="0" w:color="78A22F"/>
            <w:left w:val="single" w:sz="6" w:space="0" w:color="78A22F"/>
            <w:bottom w:val="single" w:sz="6" w:space="0" w:color="78A22F"/>
            <w:right w:val="single" w:sz="6" w:space="0" w:color="78A22F"/>
          </w:tblBorders>
        </w:tblPrEx>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B80C1F" w:rsidRPr="000863A5" w:rsidTr="00677606">
        <w:tc>
          <w:tcPr>
            <w:tcW w:w="8767" w:type="dxa"/>
            <w:tcBorders>
              <w:top w:val="single" w:sz="6" w:space="0" w:color="78A22F" w:themeColor="accent1"/>
              <w:left w:val="nil"/>
              <w:bottom w:val="nil"/>
              <w:right w:val="nil"/>
            </w:tcBorders>
          </w:tcPr>
          <w:p w:rsidR="00B80C1F" w:rsidRPr="00626D32" w:rsidRDefault="00B80C1F" w:rsidP="00C82E63">
            <w:pPr>
              <w:pStyle w:val="BoxSpaceBelow"/>
            </w:pPr>
          </w:p>
        </w:tc>
      </w:tr>
    </w:tbl>
    <w:p w:rsidR="00B3791D" w:rsidRDefault="00E13741" w:rsidP="00A158F0">
      <w:pPr>
        <w:pStyle w:val="Heading4"/>
      </w:pPr>
      <w:r>
        <w:lastRenderedPageBreak/>
        <w:t>Justice staff</w:t>
      </w:r>
    </w:p>
    <w:p w:rsidR="00A16EBF" w:rsidRDefault="00181D2D" w:rsidP="007676CA">
      <w:pPr>
        <w:pStyle w:val="BodyText"/>
      </w:pPr>
      <w:r>
        <w:t>‘J</w:t>
      </w:r>
      <w:r w:rsidR="00B208D7">
        <w:t>ustice staff</w:t>
      </w:r>
      <w:r>
        <w:t>’</w:t>
      </w:r>
      <w:r w:rsidR="00B208D7">
        <w:t xml:space="preserve"> employed relative to the population is an indicator of governments’ </w:t>
      </w:r>
      <w:r w:rsidR="00E73E87">
        <w:t xml:space="preserve">objective </w:t>
      </w:r>
      <w:r w:rsidR="00B208D7">
        <w:t xml:space="preserve">to provide justice services in an equitable and </w:t>
      </w:r>
      <w:r w:rsidR="00E73E87">
        <w:t xml:space="preserve">accessible </w:t>
      </w:r>
      <w:r w:rsidR="00B208D7">
        <w:t>manner</w:t>
      </w:r>
      <w:r w:rsidR="0089150A">
        <w:t xml:space="preserve"> (box </w:t>
      </w:r>
      <w:proofErr w:type="spellStart"/>
      <w:r w:rsidR="001465CE">
        <w:t>C.</w:t>
      </w:r>
      <w:r w:rsidR="00AB25A3">
        <w:t>5</w:t>
      </w:r>
      <w:proofErr w:type="spellEnd"/>
      <w:r w:rsidR="0089150A">
        <w:t>)</w:t>
      </w:r>
      <w:r w:rsidR="00B208D7">
        <w:t xml:space="preserve">. </w:t>
      </w:r>
    </w:p>
    <w:p w:rsidR="009A3E88" w:rsidRDefault="009A3E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A3E88" w:rsidTr="00C82E63">
        <w:tc>
          <w:tcPr>
            <w:tcW w:w="8771" w:type="dxa"/>
            <w:tcBorders>
              <w:top w:val="single" w:sz="6" w:space="0" w:color="78A22F"/>
              <w:left w:val="nil"/>
              <w:bottom w:val="nil"/>
              <w:right w:val="nil"/>
            </w:tcBorders>
            <w:shd w:val="clear" w:color="auto" w:fill="F2F2F2" w:themeFill="background1" w:themeFillShade="F2"/>
          </w:tcPr>
          <w:p w:rsidR="009A3E88" w:rsidRDefault="009A3E88">
            <w:pPr>
              <w:pStyle w:val="BoxTitle"/>
              <w:rPr>
                <w:lang w:eastAsia="en-US"/>
              </w:rPr>
            </w:pPr>
            <w:r>
              <w:rPr>
                <w:b w:val="0"/>
              </w:rPr>
              <w:t xml:space="preserve">Box </w:t>
            </w:r>
            <w:proofErr w:type="spellStart"/>
            <w:r>
              <w:rPr>
                <w:b w:val="0"/>
              </w:rPr>
              <w:t>C</w:t>
            </w:r>
            <w:r w:rsidR="009D12E6">
              <w:rPr>
                <w:b w:val="0"/>
              </w:rPr>
              <w:t>.</w:t>
            </w:r>
            <w:r w:rsidR="00AB25A3">
              <w:rPr>
                <w:b w:val="0"/>
              </w:rPr>
              <w:t>5</w:t>
            </w:r>
            <w:proofErr w:type="spellEnd"/>
            <w:r>
              <w:tab/>
            </w:r>
            <w:r w:rsidRPr="001F0FFC">
              <w:rPr>
                <w:rFonts w:cs="Arial"/>
                <w:sz w:val="26"/>
                <w:szCs w:val="26"/>
              </w:rPr>
              <w:t>Jus</w:t>
            </w:r>
            <w:r w:rsidR="00A75DC2">
              <w:rPr>
                <w:rFonts w:cs="Arial"/>
                <w:sz w:val="26"/>
                <w:szCs w:val="26"/>
              </w:rPr>
              <w:t>tice staff</w:t>
            </w:r>
          </w:p>
        </w:tc>
      </w:tr>
      <w:tr w:rsidR="009A3E88" w:rsidTr="00C82E63">
        <w:trPr>
          <w:cantSplit/>
        </w:trPr>
        <w:tc>
          <w:tcPr>
            <w:tcW w:w="8771" w:type="dxa"/>
            <w:tcBorders>
              <w:top w:val="nil"/>
              <w:left w:val="nil"/>
              <w:bottom w:val="nil"/>
              <w:right w:val="nil"/>
            </w:tcBorders>
            <w:shd w:val="clear" w:color="auto" w:fill="F2F2F2" w:themeFill="background1" w:themeFillShade="F2"/>
          </w:tcPr>
          <w:p w:rsidR="009A3E88" w:rsidRDefault="00A75DC2" w:rsidP="00A343BC">
            <w:pPr>
              <w:pStyle w:val="Box"/>
            </w:pPr>
            <w:r>
              <w:t>Data on j</w:t>
            </w:r>
            <w:r w:rsidR="009A3E88" w:rsidRPr="001F0FFC">
              <w:t xml:space="preserve">ustice staff </w:t>
            </w:r>
            <w:r>
              <w:t xml:space="preserve">are currently available for police </w:t>
            </w:r>
            <w:r w:rsidR="009A3E88" w:rsidRPr="001F0FFC">
              <w:t>and courts</w:t>
            </w:r>
            <w:r>
              <w:t>, and</w:t>
            </w:r>
            <w:r w:rsidR="009A3E88" w:rsidRPr="001F0FFC">
              <w:t xml:space="preserve"> are defined by two measures</w:t>
            </w:r>
            <w:r w:rsidR="009A3E88" w:rsidRPr="00A16EBF">
              <w:t>:</w:t>
            </w:r>
          </w:p>
          <w:p w:rsidR="009A3E88" w:rsidRPr="00380D0E" w:rsidRDefault="00E73E87" w:rsidP="009A3E88">
            <w:pPr>
              <w:pStyle w:val="BoxListBullet"/>
              <w:keepNext w:val="0"/>
            </w:pPr>
            <w:r>
              <w:t xml:space="preserve">FTE </w:t>
            </w:r>
            <w:r w:rsidR="009A3E88" w:rsidRPr="00380D0E">
              <w:t>Police staff</w:t>
            </w:r>
            <w:r>
              <w:t xml:space="preserve"> per 100 000 population. Police staff</w:t>
            </w:r>
            <w:r w:rsidR="009A3E88" w:rsidRPr="00380D0E">
              <w:t xml:space="preserve"> are categorised according to operational status. An operational police staff member is any member whose primary duty is the delivery of</w:t>
            </w:r>
            <w:r w:rsidR="009A3E88">
              <w:t xml:space="preserve"> police or police</w:t>
            </w:r>
            <w:r w:rsidR="009A3E88">
              <w:noBreakHyphen/>
            </w:r>
            <w:r w:rsidR="009A3E88" w:rsidRPr="00380D0E">
              <w:t xml:space="preserve">related services to an external client (primarily members of the public but may also include other government departments). Specialised activities may be outsourced or undertaken by administrative (unsworn) staff. </w:t>
            </w:r>
          </w:p>
          <w:p w:rsidR="00E73E87" w:rsidRDefault="00E73E87" w:rsidP="009A3E88">
            <w:pPr>
              <w:pStyle w:val="BoxListBullet"/>
              <w:keepNext w:val="0"/>
            </w:pPr>
            <w:r>
              <w:t>FTE j</w:t>
            </w:r>
            <w:r w:rsidR="009A3E88" w:rsidRPr="00380D0E">
              <w:t xml:space="preserve">udicial officers </w:t>
            </w:r>
            <w:r>
              <w:t xml:space="preserve">per 100 000 population. </w:t>
            </w:r>
            <w:r w:rsidR="009A3E88" w:rsidRPr="00380D0E">
              <w:t>A judicial officer is defined as an officer who can make enforceable orders of the court. The number of judicial officers is expressed in full time equivalent units and where judicial officers have both judicial and non</w:t>
            </w:r>
            <w:r w:rsidR="009A3E88" w:rsidRPr="00380D0E">
              <w:noBreakHyphen/>
              <w:t xml:space="preserve">judicial work, it refers to the proportion of time allocated to judicial work. </w:t>
            </w:r>
          </w:p>
          <w:p w:rsidR="009A3E88" w:rsidRPr="00380D0E" w:rsidRDefault="009A3E88" w:rsidP="009F45A6">
            <w:pPr>
              <w:pStyle w:val="Box"/>
            </w:pPr>
            <w:r w:rsidRPr="00380D0E">
              <w:t xml:space="preserve">A higher proportion of judicial </w:t>
            </w:r>
            <w:r w:rsidR="00E73E87">
              <w:t>staff per</w:t>
            </w:r>
            <w:r w:rsidR="00E73E87" w:rsidRPr="00380D0E">
              <w:t xml:space="preserve"> </w:t>
            </w:r>
            <w:r w:rsidRPr="00380D0E">
              <w:t>population indicates potentially greater access to the judicial system.</w:t>
            </w:r>
          </w:p>
          <w:p w:rsidR="009A3E88" w:rsidRPr="009A3E88" w:rsidRDefault="009A3E88" w:rsidP="009925AC">
            <w:pPr>
              <w:pStyle w:val="Box"/>
            </w:pPr>
            <w:r w:rsidRPr="009A3E88">
              <w:t>Data reported for this indicator are:</w:t>
            </w:r>
          </w:p>
          <w:p w:rsidR="009A3E88" w:rsidRPr="009A3E88" w:rsidRDefault="009A3E88" w:rsidP="00A343BC">
            <w:pPr>
              <w:pStyle w:val="BoxListBullet"/>
            </w:pPr>
            <w:r w:rsidRPr="009A3E88">
              <w:t>comparable (subject to caveats) across jurisdictions and over time</w:t>
            </w:r>
          </w:p>
          <w:p w:rsidR="009A3E88" w:rsidRPr="00843A6C" w:rsidRDefault="009A3E88">
            <w:pPr>
              <w:pStyle w:val="BoxListBullet"/>
            </w:pPr>
            <w:r w:rsidRPr="009A3E88">
              <w:t xml:space="preserve">complete for the current reporting period (subject to caveats). All </w:t>
            </w:r>
            <w:r w:rsidRPr="00C663AD">
              <w:t xml:space="preserve">required </w:t>
            </w:r>
            <w:r w:rsidRPr="00992C05">
              <w:t>201</w:t>
            </w:r>
            <w:r w:rsidR="001F3EAA" w:rsidRPr="00992C05">
              <w:t>5</w:t>
            </w:r>
            <w:r w:rsidRPr="00992C05">
              <w:t>-1</w:t>
            </w:r>
            <w:r w:rsidR="001F3EAA" w:rsidRPr="00992C05">
              <w:t>6</w:t>
            </w:r>
            <w:r w:rsidRPr="00992C05">
              <w:t xml:space="preserve"> </w:t>
            </w:r>
            <w:r w:rsidRPr="009A3E88">
              <w:t>data are available for all jurisdictions.</w:t>
            </w:r>
          </w:p>
        </w:tc>
      </w:tr>
      <w:tr w:rsidR="009A3E88" w:rsidTr="00C82E63">
        <w:trPr>
          <w:cantSplit/>
        </w:trPr>
        <w:tc>
          <w:tcPr>
            <w:tcW w:w="8771" w:type="dxa"/>
            <w:tcBorders>
              <w:top w:val="nil"/>
              <w:left w:val="nil"/>
              <w:bottom w:val="nil"/>
              <w:right w:val="nil"/>
            </w:tcBorders>
            <w:shd w:val="clear" w:color="auto" w:fill="F2F2F2" w:themeFill="background1" w:themeFillShade="F2"/>
          </w:tcPr>
          <w:p w:rsidR="009A3E88" w:rsidRPr="00E51F58" w:rsidRDefault="009A3E88" w:rsidP="005857F8">
            <w:pPr>
              <w:pStyle w:val="BoxSource"/>
              <w:spacing w:after="120"/>
            </w:pPr>
            <w:r w:rsidRPr="00E51F58">
              <w:t>Source: Chapters 6 and 7.</w:t>
            </w:r>
          </w:p>
        </w:tc>
      </w:tr>
      <w:tr w:rsidR="009A3E88" w:rsidRPr="000863A5" w:rsidTr="00C82E63">
        <w:tc>
          <w:tcPr>
            <w:tcW w:w="8771" w:type="dxa"/>
            <w:tcBorders>
              <w:top w:val="single" w:sz="6" w:space="0" w:color="78A22F"/>
              <w:left w:val="nil"/>
              <w:bottom w:val="nil"/>
              <w:right w:val="nil"/>
            </w:tcBorders>
          </w:tcPr>
          <w:p w:rsidR="009A3E88" w:rsidRPr="00626D32" w:rsidRDefault="009A3E88" w:rsidP="009A3E88">
            <w:pPr>
              <w:pStyle w:val="BoxSpaceBelow"/>
            </w:pPr>
          </w:p>
        </w:tc>
      </w:tr>
    </w:tbl>
    <w:p w:rsidR="00CB1CA5" w:rsidRDefault="007F34E2" w:rsidP="007F34E2">
      <w:pPr>
        <w:pStyle w:val="Heading5"/>
      </w:pPr>
      <w:r>
        <w:t xml:space="preserve">Police staff </w:t>
      </w:r>
    </w:p>
    <w:p w:rsidR="007F34E2" w:rsidRDefault="007F34E2" w:rsidP="007F34E2">
      <w:pPr>
        <w:pStyle w:val="BodyText"/>
      </w:pPr>
      <w:r w:rsidRPr="007F34E2">
        <w:t xml:space="preserve">Nationally, there was a total of </w:t>
      </w:r>
      <w:r w:rsidR="008C111A">
        <w:t>64 324</w:t>
      </w:r>
      <w:r w:rsidR="00214493">
        <w:t xml:space="preserve"> </w:t>
      </w:r>
      <w:r w:rsidRPr="007F34E2">
        <w:t xml:space="preserve">operational </w:t>
      </w:r>
      <w:r w:rsidRPr="00C663AD">
        <w:t>and</w:t>
      </w:r>
      <w:r w:rsidR="004B4162" w:rsidRPr="00C663AD">
        <w:t xml:space="preserve"> </w:t>
      </w:r>
      <w:r w:rsidR="008C111A">
        <w:t>6327</w:t>
      </w:r>
      <w:r w:rsidR="001F3EAA">
        <w:t xml:space="preserve"> </w:t>
      </w:r>
      <w:r w:rsidRPr="007F34E2">
        <w:t>n</w:t>
      </w:r>
      <w:r w:rsidR="001222B2">
        <w:t>on</w:t>
      </w:r>
      <w:r w:rsidR="001222B2">
        <w:noBreakHyphen/>
        <w:t xml:space="preserve">operational staff in </w:t>
      </w:r>
      <w:r w:rsidR="001222B2" w:rsidRPr="008C111A">
        <w:t>201</w:t>
      </w:r>
      <w:r w:rsidR="001F3EAA" w:rsidRPr="008C111A">
        <w:t>5</w:t>
      </w:r>
      <w:r w:rsidR="00FC4B4A" w:rsidRPr="008C111A">
        <w:noBreakHyphen/>
      </w:r>
      <w:r w:rsidRPr="008C111A">
        <w:t>1</w:t>
      </w:r>
      <w:r w:rsidR="001F3EAA" w:rsidRPr="008C111A">
        <w:t>6</w:t>
      </w:r>
      <w:r w:rsidR="00E73E87">
        <w:t xml:space="preserve"> — a</w:t>
      </w:r>
      <w:r w:rsidR="00272DFB" w:rsidRPr="008C111A">
        <w:t>pproximately</w:t>
      </w:r>
      <w:r w:rsidR="00272DFB" w:rsidRPr="00272DFB">
        <w:t xml:space="preserve"> </w:t>
      </w:r>
      <w:r w:rsidR="008C111A">
        <w:t>91</w:t>
      </w:r>
      <w:r w:rsidR="005925E7">
        <w:t xml:space="preserve"> </w:t>
      </w:r>
      <w:r w:rsidR="00272DFB" w:rsidRPr="00272DFB">
        <w:t>per cent of police staff were operational</w:t>
      </w:r>
      <w:r w:rsidR="00E73E87">
        <w:t xml:space="preserve"> — with </w:t>
      </w:r>
      <w:r w:rsidR="008C111A">
        <w:t>269</w:t>
      </w:r>
      <w:r w:rsidR="00E73E87">
        <w:t> </w:t>
      </w:r>
      <w:r w:rsidR="00022A92">
        <w:t xml:space="preserve">FTE </w:t>
      </w:r>
      <w:r w:rsidRPr="00C663AD">
        <w:t>o</w:t>
      </w:r>
      <w:r w:rsidRPr="007F34E2">
        <w:t>perational police staff p</w:t>
      </w:r>
      <w:r w:rsidR="005829BC">
        <w:t xml:space="preserve">er </w:t>
      </w:r>
      <w:r w:rsidR="005829BC" w:rsidRPr="005829BC">
        <w:t>100</w:t>
      </w:r>
      <w:r w:rsidR="005829BC">
        <w:t> </w:t>
      </w:r>
      <w:r w:rsidRPr="005829BC">
        <w:t>000</w:t>
      </w:r>
      <w:r w:rsidRPr="007F34E2">
        <w:t xml:space="preserve"> people </w:t>
      </w:r>
      <w:r w:rsidR="00F51DFF">
        <w:t xml:space="preserve">(figure </w:t>
      </w:r>
      <w:proofErr w:type="spellStart"/>
      <w:r w:rsidR="003D4BB2">
        <w:t>C</w:t>
      </w:r>
      <w:r w:rsidR="006D1F25">
        <w:t>.</w:t>
      </w:r>
      <w:r w:rsidR="00AB25A3">
        <w:t>7</w:t>
      </w:r>
      <w:proofErr w:type="spellEnd"/>
      <w:r w:rsidRPr="007F34E2">
        <w:t xml:space="preserve">). The number of staff per 100 000 people varies across jurisdictions, in part, due to differing operating environments. </w:t>
      </w:r>
    </w:p>
    <w:p w:rsidR="00E73E87" w:rsidRDefault="00E73E87" w:rsidP="00E73E87">
      <w:pPr>
        <w:pStyle w:val="Heading5"/>
        <w:spacing w:before="240"/>
      </w:pPr>
      <w:r>
        <w:t>Judicial officers</w:t>
      </w:r>
    </w:p>
    <w:p w:rsidR="00E73E87" w:rsidRDefault="00E73E87" w:rsidP="009F45A6">
      <w:pPr>
        <w:pStyle w:val="BodyText"/>
        <w:spacing w:before="120"/>
      </w:pPr>
      <w:r>
        <w:t xml:space="preserve">Nationally, there </w:t>
      </w:r>
      <w:r w:rsidRPr="008E7828">
        <w:t>were</w:t>
      </w:r>
      <w:r>
        <w:t xml:space="preserve"> 4.5 FTE judicial officers per </w:t>
      </w:r>
      <w:r w:rsidRPr="00103A8C">
        <w:t>100</w:t>
      </w:r>
      <w:r>
        <w:t> </w:t>
      </w:r>
      <w:r w:rsidRPr="00103A8C">
        <w:t>000</w:t>
      </w:r>
      <w:r>
        <w:t xml:space="preserve"> population in </w:t>
      </w:r>
      <w:r w:rsidRPr="008E7828">
        <w:t>2015</w:t>
      </w:r>
      <w:r w:rsidRPr="008E7828">
        <w:noBreakHyphen/>
        <w:t xml:space="preserve">16 </w:t>
      </w:r>
      <w:r w:rsidRPr="00C663AD">
        <w:t>(</w:t>
      </w:r>
      <w:r>
        <w:t>figure </w:t>
      </w:r>
      <w:proofErr w:type="spellStart"/>
      <w:r>
        <w:t>C.8</w:t>
      </w:r>
      <w:proofErr w:type="spellEnd"/>
      <w:r>
        <w:t>). Factors such as geographical dispersion, judicial workload and population density should be considered when comparing data on judicial officers.</w:t>
      </w:r>
    </w:p>
    <w:p w:rsidR="00162080" w:rsidRDefault="00162080"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162080" w:rsidTr="00C82E63">
        <w:tc>
          <w:tcPr>
            <w:tcW w:w="8771" w:type="dxa"/>
            <w:tcBorders>
              <w:top w:val="single" w:sz="6" w:space="0" w:color="78A22F"/>
              <w:left w:val="nil"/>
              <w:bottom w:val="nil"/>
              <w:right w:val="nil"/>
            </w:tcBorders>
            <w:shd w:val="clear" w:color="auto" w:fill="auto"/>
          </w:tcPr>
          <w:p w:rsidR="00162080" w:rsidRPr="00176D3F" w:rsidRDefault="00162080">
            <w:pPr>
              <w:pStyle w:val="FigureTitle"/>
            </w:pPr>
            <w:r w:rsidRPr="00784A05">
              <w:rPr>
                <w:b w:val="0"/>
              </w:rPr>
              <w:t xml:space="preserve">Figure </w:t>
            </w:r>
            <w:proofErr w:type="spellStart"/>
            <w:r>
              <w:rPr>
                <w:b w:val="0"/>
              </w:rPr>
              <w:t>C</w:t>
            </w:r>
            <w:r w:rsidR="006D1F25">
              <w:rPr>
                <w:b w:val="0"/>
              </w:rPr>
              <w:t>.</w:t>
            </w:r>
            <w:r w:rsidR="00AB25A3">
              <w:rPr>
                <w:b w:val="0"/>
              </w:rPr>
              <w:t>7</w:t>
            </w:r>
            <w:proofErr w:type="spellEnd"/>
            <w:r>
              <w:tab/>
            </w:r>
            <w:r w:rsidRPr="007F34E2">
              <w:t>Polic</w:t>
            </w:r>
            <w:r>
              <w:t xml:space="preserve">e staff per 100 000 population, </w:t>
            </w:r>
            <w:r w:rsidRPr="00255DF7">
              <w:t>201</w:t>
            </w:r>
            <w:r w:rsidR="001F3EAA" w:rsidRPr="00255DF7">
              <w:t>5</w:t>
            </w:r>
            <w:r w:rsidRPr="00255DF7">
              <w:t>-1</w:t>
            </w:r>
            <w:r w:rsidR="001F3EAA" w:rsidRPr="00255DF7">
              <w:t>6</w:t>
            </w:r>
            <w:r w:rsidRPr="00255DF7">
              <w:rPr>
                <w:rStyle w:val="NoteLabel"/>
                <w:b/>
              </w:rPr>
              <w:t>a</w:t>
            </w:r>
          </w:p>
        </w:tc>
      </w:tr>
      <w:tr w:rsidR="00162080"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62080" w:rsidTr="00F017F8">
              <w:tc>
                <w:tcPr>
                  <w:tcW w:w="8487" w:type="dxa"/>
                  <w:tcBorders>
                    <w:top w:val="nil"/>
                    <w:bottom w:val="nil"/>
                  </w:tcBorders>
                </w:tcPr>
                <w:p w:rsidR="00162080" w:rsidRDefault="00255DF7" w:rsidP="003655D8">
                  <w:pPr>
                    <w:pStyle w:val="Figure"/>
                    <w:spacing w:before="60" w:after="60"/>
                  </w:pPr>
                  <w:r>
                    <w:rPr>
                      <w:noProof/>
                    </w:rPr>
                    <w:drawing>
                      <wp:inline distT="0" distB="0" distL="0" distR="0" wp14:anchorId="75430843" wp14:editId="27A0F996">
                        <wp:extent cx="5402580" cy="2796540"/>
                        <wp:effectExtent l="0" t="0" r="7620" b="3810"/>
                        <wp:docPr id="4" name="Picture 4" descr="Figure C.7 Police staff per 100 000 population,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2580" cy="2796540"/>
                                </a:xfrm>
                                <a:prstGeom prst="rect">
                                  <a:avLst/>
                                </a:prstGeom>
                                <a:noFill/>
                              </pic:spPr>
                            </pic:pic>
                          </a:graphicData>
                        </a:graphic>
                      </wp:inline>
                    </w:drawing>
                  </w:r>
                </w:p>
              </w:tc>
            </w:tr>
          </w:tbl>
          <w:p w:rsidR="00162080" w:rsidRDefault="00162080" w:rsidP="00C82E63">
            <w:pPr>
              <w:pStyle w:val="Figure"/>
            </w:pPr>
          </w:p>
        </w:tc>
      </w:tr>
      <w:tr w:rsidR="00162080" w:rsidRPr="00176D3F" w:rsidTr="00C82E63">
        <w:tc>
          <w:tcPr>
            <w:tcW w:w="8771" w:type="dxa"/>
            <w:tcBorders>
              <w:top w:val="nil"/>
              <w:left w:val="nil"/>
              <w:bottom w:val="nil"/>
              <w:right w:val="nil"/>
            </w:tcBorders>
            <w:shd w:val="clear" w:color="auto" w:fill="auto"/>
          </w:tcPr>
          <w:p w:rsidR="00162080" w:rsidRPr="00176D3F" w:rsidRDefault="00162080">
            <w:pPr>
              <w:pStyle w:val="Source"/>
            </w:pPr>
            <w:r>
              <w:rPr>
                <w:rStyle w:val="NoteLabel"/>
              </w:rPr>
              <w:t>a</w:t>
            </w:r>
            <w:r>
              <w:t xml:space="preserve"> </w:t>
            </w:r>
            <w:r w:rsidR="00D4397C">
              <w:rPr>
                <w:rStyle w:val="NoteChar"/>
              </w:rPr>
              <w:t xml:space="preserve">See </w:t>
            </w:r>
            <w:r w:rsidR="00847088">
              <w:rPr>
                <w:rStyle w:val="NoteChar"/>
              </w:rPr>
              <w:t xml:space="preserve">box </w:t>
            </w:r>
            <w:proofErr w:type="spellStart"/>
            <w:r w:rsidR="00847088">
              <w:rPr>
                <w:rStyle w:val="NoteChar"/>
              </w:rPr>
              <w:t>C.</w:t>
            </w:r>
            <w:r w:rsidR="00AB25A3">
              <w:rPr>
                <w:rStyle w:val="NoteChar"/>
              </w:rPr>
              <w:t>5</w:t>
            </w:r>
            <w:proofErr w:type="spellEnd"/>
            <w:r w:rsidR="00847088">
              <w:rPr>
                <w:rStyle w:val="NoteChar"/>
              </w:rPr>
              <w:t xml:space="preserve"> and </w:t>
            </w:r>
            <w:r w:rsidR="00D4397C" w:rsidRPr="00255DF7">
              <w:rPr>
                <w:rStyle w:val="NoteChar"/>
              </w:rPr>
              <w:t>table</w:t>
            </w:r>
            <w:r w:rsidR="006876EC" w:rsidRPr="00255DF7">
              <w:rPr>
                <w:rStyle w:val="NoteChar"/>
              </w:rPr>
              <w:t>s</w:t>
            </w:r>
            <w:r w:rsidR="00D4397C" w:rsidRPr="00255DF7">
              <w:rPr>
                <w:rStyle w:val="NoteChar"/>
              </w:rPr>
              <w:t xml:space="preserve"> </w:t>
            </w:r>
            <w:proofErr w:type="spellStart"/>
            <w:r w:rsidR="00D4397C" w:rsidRPr="00255DF7">
              <w:rPr>
                <w:rStyle w:val="NoteChar"/>
              </w:rPr>
              <w:t>CA.6</w:t>
            </w:r>
            <w:proofErr w:type="spellEnd"/>
            <w:r w:rsidR="006876EC" w:rsidRPr="00255DF7">
              <w:rPr>
                <w:rStyle w:val="NoteChar"/>
              </w:rPr>
              <w:t xml:space="preserve"> and</w:t>
            </w:r>
            <w:r w:rsidR="00D4397C" w:rsidRPr="00255DF7">
              <w:rPr>
                <w:rStyle w:val="NoteChar"/>
              </w:rPr>
              <w:t xml:space="preserve"> </w:t>
            </w:r>
            <w:proofErr w:type="spellStart"/>
            <w:r w:rsidR="00D4397C" w:rsidRPr="00255DF7">
              <w:rPr>
                <w:rStyle w:val="NoteChar"/>
              </w:rPr>
              <w:t>6A.1</w:t>
            </w:r>
            <w:proofErr w:type="spellEnd"/>
            <w:r w:rsidR="00D4397C" w:rsidRPr="00255DF7">
              <w:rPr>
                <w:rStyle w:val="NoteChar"/>
              </w:rPr>
              <w:noBreakHyphen/>
              <w:t>8</w:t>
            </w:r>
            <w:r w:rsidR="00D4397C">
              <w:rPr>
                <w:rStyle w:val="NoteChar"/>
              </w:rPr>
              <w:t xml:space="preserve"> for detailed</w:t>
            </w:r>
            <w:r w:rsidR="00847088">
              <w:rPr>
                <w:rStyle w:val="NoteChar"/>
              </w:rPr>
              <w:t xml:space="preserve"> definitions,</w:t>
            </w:r>
            <w:r w:rsidR="00D4397C">
              <w:rPr>
                <w:rStyle w:val="NoteChar"/>
              </w:rPr>
              <w:t xml:space="preserve"> footnotes and caveats.</w:t>
            </w:r>
          </w:p>
        </w:tc>
      </w:tr>
      <w:tr w:rsidR="00162080" w:rsidRPr="00176D3F" w:rsidTr="00C82E63">
        <w:tc>
          <w:tcPr>
            <w:tcW w:w="8771" w:type="dxa"/>
            <w:tcBorders>
              <w:top w:val="nil"/>
              <w:left w:val="nil"/>
              <w:bottom w:val="nil"/>
              <w:right w:val="nil"/>
            </w:tcBorders>
            <w:shd w:val="clear" w:color="auto" w:fill="auto"/>
          </w:tcPr>
          <w:p w:rsidR="00162080" w:rsidRPr="00176D3F" w:rsidRDefault="00162080" w:rsidP="00162080">
            <w:pPr>
              <w:pStyle w:val="Source"/>
              <w:spacing w:before="40"/>
            </w:pPr>
            <w:r>
              <w:rPr>
                <w:i/>
              </w:rPr>
              <w:t>S</w:t>
            </w:r>
            <w:r w:rsidRPr="00784A05">
              <w:rPr>
                <w:i/>
              </w:rPr>
              <w:t>ource</w:t>
            </w:r>
            <w:r w:rsidRPr="00176D3F">
              <w:t xml:space="preserve">: </w:t>
            </w:r>
            <w:r w:rsidRPr="007F34E2">
              <w:t>State and Territory governments (</w:t>
            </w:r>
            <w:r>
              <w:t xml:space="preserve">unpublished); table </w:t>
            </w:r>
            <w:proofErr w:type="spellStart"/>
            <w:r>
              <w:t>CA.</w:t>
            </w:r>
            <w:r w:rsidR="00075B6B">
              <w:t>6</w:t>
            </w:r>
            <w:proofErr w:type="spellEnd"/>
            <w:r w:rsidR="001813A7">
              <w:t xml:space="preserve"> </w:t>
            </w:r>
            <w:r w:rsidR="001813A7" w:rsidRPr="00EA1FCD">
              <w:t xml:space="preserve">and </w:t>
            </w:r>
            <w:proofErr w:type="spellStart"/>
            <w:r w:rsidR="001813A7" w:rsidRPr="00EA1FCD">
              <w:t>6A.1</w:t>
            </w:r>
            <w:proofErr w:type="spellEnd"/>
            <w:r w:rsidR="001813A7" w:rsidRPr="00EA1FCD">
              <w:rPr>
                <w:rStyle w:val="NoteChar"/>
              </w:rPr>
              <w:noBreakHyphen/>
              <w:t>8.</w:t>
            </w:r>
          </w:p>
        </w:tc>
      </w:tr>
      <w:tr w:rsidR="00677606" w:rsidTr="00883DE6">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162080" w:rsidRPr="000863A5" w:rsidTr="00C82E63">
        <w:tc>
          <w:tcPr>
            <w:tcW w:w="8771" w:type="dxa"/>
            <w:tcBorders>
              <w:top w:val="single" w:sz="6" w:space="0" w:color="78A22F"/>
              <w:left w:val="nil"/>
              <w:bottom w:val="nil"/>
              <w:right w:val="nil"/>
            </w:tcBorders>
          </w:tcPr>
          <w:p w:rsidR="00162080" w:rsidRPr="00626D32" w:rsidRDefault="00162080" w:rsidP="00C82E63">
            <w:pPr>
              <w:pStyle w:val="BoxSpaceBelow"/>
            </w:pPr>
          </w:p>
        </w:tc>
      </w:tr>
    </w:tbl>
    <w:p w:rsidR="00CA3ABD" w:rsidRDefault="00CA3ABD" w:rsidP="00D8717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A3ABD" w:rsidTr="00D8717A">
        <w:trPr>
          <w:tblHeader/>
        </w:trPr>
        <w:tc>
          <w:tcPr>
            <w:tcW w:w="8771" w:type="dxa"/>
            <w:tcBorders>
              <w:top w:val="single" w:sz="6" w:space="0" w:color="78A22F"/>
              <w:left w:val="nil"/>
              <w:bottom w:val="nil"/>
              <w:right w:val="nil"/>
            </w:tcBorders>
            <w:shd w:val="clear" w:color="auto" w:fill="auto"/>
          </w:tcPr>
          <w:p w:rsidR="00CA3ABD" w:rsidRPr="00176D3F" w:rsidRDefault="00CA3ABD" w:rsidP="009F45A6">
            <w:pPr>
              <w:pStyle w:val="FigureTitle"/>
            </w:pPr>
            <w:r w:rsidRPr="00784A05">
              <w:rPr>
                <w:b w:val="0"/>
              </w:rPr>
              <w:t xml:space="preserve">Figure </w:t>
            </w:r>
            <w:proofErr w:type="spellStart"/>
            <w:r>
              <w:rPr>
                <w:b w:val="0"/>
              </w:rPr>
              <w:t>C.8</w:t>
            </w:r>
            <w:proofErr w:type="spellEnd"/>
            <w:r>
              <w:tab/>
              <w:t xml:space="preserve">Judicial officers per 100 000 population, </w:t>
            </w:r>
            <w:r w:rsidRPr="00316786">
              <w:t>2015-16</w:t>
            </w:r>
            <w:r w:rsidRPr="00316786">
              <w:rPr>
                <w:rStyle w:val="NoteLabel"/>
                <w:b/>
              </w:rPr>
              <w:t>a</w:t>
            </w:r>
          </w:p>
        </w:tc>
      </w:tr>
      <w:tr w:rsidR="00CA3ABD" w:rsidTr="00D8717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CA3ABD" w:rsidRPr="00B1465D" w:rsidTr="00D8717A">
              <w:trPr>
                <w:tblHeader/>
                <w:jc w:val="center"/>
              </w:trPr>
              <w:tc>
                <w:tcPr>
                  <w:tcW w:w="5000" w:type="pct"/>
                  <w:tcBorders>
                    <w:top w:val="nil"/>
                    <w:bottom w:val="nil"/>
                  </w:tcBorders>
                </w:tcPr>
                <w:p w:rsidR="00CA3ABD" w:rsidRPr="00B1465D" w:rsidRDefault="00CA3ABD" w:rsidP="00D8717A">
                  <w:pPr>
                    <w:pStyle w:val="Figure"/>
                    <w:spacing w:before="60" w:after="60"/>
                    <w:rPr>
                      <w:rFonts w:ascii="Arial" w:hAnsi="Arial" w:cs="Arial"/>
                      <w:sz w:val="18"/>
                      <w:szCs w:val="18"/>
                    </w:rPr>
                  </w:pPr>
                  <w:r>
                    <w:rPr>
                      <w:rFonts w:ascii="Arial" w:hAnsi="Arial" w:cs="Arial"/>
                      <w:noProof/>
                      <w:sz w:val="18"/>
                      <w:szCs w:val="18"/>
                    </w:rPr>
                    <w:drawing>
                      <wp:inline distT="0" distB="0" distL="0" distR="0" wp14:anchorId="6593C416" wp14:editId="70D65C9A">
                        <wp:extent cx="5402580" cy="2796540"/>
                        <wp:effectExtent l="0" t="0" r="7620" b="3810"/>
                        <wp:docPr id="11" name="Picture 11" descr="Figure C.8 Judicial officers per 100 000 population, 20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2580" cy="2796540"/>
                                </a:xfrm>
                                <a:prstGeom prst="rect">
                                  <a:avLst/>
                                </a:prstGeom>
                                <a:noFill/>
                              </pic:spPr>
                            </pic:pic>
                          </a:graphicData>
                        </a:graphic>
                      </wp:inline>
                    </w:drawing>
                  </w:r>
                </w:p>
              </w:tc>
            </w:tr>
          </w:tbl>
          <w:p w:rsidR="00CA3ABD" w:rsidRDefault="00CA3ABD" w:rsidP="00D8717A">
            <w:pPr>
              <w:pStyle w:val="Figure"/>
            </w:pPr>
          </w:p>
        </w:tc>
      </w:tr>
      <w:tr w:rsidR="00CA3ABD" w:rsidRPr="00176D3F" w:rsidTr="00D8717A">
        <w:tc>
          <w:tcPr>
            <w:tcW w:w="8771" w:type="dxa"/>
            <w:tcBorders>
              <w:top w:val="nil"/>
              <w:left w:val="nil"/>
              <w:bottom w:val="nil"/>
              <w:right w:val="nil"/>
            </w:tcBorders>
            <w:shd w:val="clear" w:color="auto" w:fill="auto"/>
          </w:tcPr>
          <w:p w:rsidR="00CA3ABD" w:rsidRPr="00176D3F" w:rsidRDefault="00CA3ABD" w:rsidP="00D8717A">
            <w:pPr>
              <w:pStyle w:val="Source"/>
              <w:spacing w:before="0"/>
            </w:pPr>
            <w:r>
              <w:rPr>
                <w:rStyle w:val="NoteLabel"/>
              </w:rPr>
              <w:t>a</w:t>
            </w:r>
            <w:r>
              <w:t xml:space="preserve"> </w:t>
            </w:r>
            <w:r>
              <w:rPr>
                <w:rStyle w:val="NoteChar"/>
              </w:rPr>
              <w:t xml:space="preserve">See box </w:t>
            </w:r>
            <w:proofErr w:type="spellStart"/>
            <w:r>
              <w:rPr>
                <w:rStyle w:val="NoteChar"/>
              </w:rPr>
              <w:t>C.5</w:t>
            </w:r>
            <w:proofErr w:type="spellEnd"/>
            <w:r>
              <w:rPr>
                <w:rStyle w:val="NoteChar"/>
              </w:rPr>
              <w:t xml:space="preserve"> and </w:t>
            </w:r>
            <w:r w:rsidRPr="00316786">
              <w:rPr>
                <w:rStyle w:val="NoteChar"/>
              </w:rPr>
              <w:t xml:space="preserve">tables </w:t>
            </w:r>
            <w:proofErr w:type="spellStart"/>
            <w:r>
              <w:rPr>
                <w:rStyle w:val="NoteChar"/>
              </w:rPr>
              <w:t>CA.7</w:t>
            </w:r>
            <w:proofErr w:type="spellEnd"/>
            <w:r w:rsidRPr="00316786">
              <w:rPr>
                <w:rStyle w:val="NoteChar"/>
              </w:rPr>
              <w:t xml:space="preserve"> and </w:t>
            </w:r>
            <w:proofErr w:type="spellStart"/>
            <w:r>
              <w:rPr>
                <w:rStyle w:val="NoteChar"/>
              </w:rPr>
              <w:t>7</w:t>
            </w:r>
            <w:r w:rsidRPr="00316786">
              <w:rPr>
                <w:rStyle w:val="NoteChar"/>
              </w:rPr>
              <w:t>A.</w:t>
            </w:r>
            <w:r>
              <w:rPr>
                <w:rStyle w:val="NoteChar"/>
              </w:rPr>
              <w:t>27</w:t>
            </w:r>
            <w:proofErr w:type="spellEnd"/>
            <w:r>
              <w:rPr>
                <w:rStyle w:val="NoteChar"/>
              </w:rPr>
              <w:t xml:space="preserve"> for detailed definitions, footnotes and caveats.</w:t>
            </w:r>
          </w:p>
        </w:tc>
      </w:tr>
      <w:tr w:rsidR="00CA3ABD" w:rsidRPr="00176D3F" w:rsidTr="00D8717A">
        <w:tc>
          <w:tcPr>
            <w:tcW w:w="8771" w:type="dxa"/>
            <w:tcBorders>
              <w:top w:val="nil"/>
              <w:left w:val="nil"/>
              <w:bottom w:val="nil"/>
              <w:right w:val="nil"/>
            </w:tcBorders>
            <w:shd w:val="clear" w:color="auto" w:fill="auto"/>
          </w:tcPr>
          <w:p w:rsidR="00CA3ABD" w:rsidRPr="00176D3F" w:rsidRDefault="00CA3ABD" w:rsidP="00D8717A">
            <w:pPr>
              <w:pStyle w:val="Source"/>
              <w:keepLines w:val="0"/>
              <w:spacing w:before="40"/>
            </w:pPr>
            <w:r>
              <w:rPr>
                <w:i/>
              </w:rPr>
              <w:t>S</w:t>
            </w:r>
            <w:r w:rsidRPr="00784A05">
              <w:rPr>
                <w:i/>
              </w:rPr>
              <w:t>ource</w:t>
            </w:r>
            <w:r w:rsidRPr="00176D3F">
              <w:t xml:space="preserve">: </w:t>
            </w:r>
            <w:r w:rsidRPr="007F34E2">
              <w:t>State and Territory governments (</w:t>
            </w:r>
            <w:r>
              <w:t xml:space="preserve">unpublished); table </w:t>
            </w:r>
            <w:proofErr w:type="spellStart"/>
            <w:r>
              <w:t>CA.7</w:t>
            </w:r>
            <w:proofErr w:type="spellEnd"/>
            <w:r w:rsidR="00456C1E">
              <w:t xml:space="preserve"> </w:t>
            </w:r>
            <w:r w:rsidR="00456C1E" w:rsidRPr="00EA1FCD">
              <w:t xml:space="preserve">and </w:t>
            </w:r>
            <w:proofErr w:type="spellStart"/>
            <w:r w:rsidR="00456C1E" w:rsidRPr="00EA1FCD">
              <w:rPr>
                <w:rStyle w:val="NoteChar"/>
              </w:rPr>
              <w:t>7A.27</w:t>
            </w:r>
            <w:proofErr w:type="spellEnd"/>
            <w:r w:rsidR="00456C1E">
              <w:rPr>
                <w:rStyle w:val="NoteChar"/>
              </w:rPr>
              <w:t>.</w:t>
            </w:r>
          </w:p>
        </w:tc>
      </w:tr>
      <w:tr w:rsidR="00677606" w:rsidTr="00883DE6">
        <w:tc>
          <w:tcPr>
            <w:tcW w:w="8771" w:type="dxa"/>
            <w:tcBorders>
              <w:top w:val="nil"/>
              <w:left w:val="nil"/>
              <w:bottom w:val="single" w:sz="6" w:space="0" w:color="78A22F"/>
              <w:right w:val="nil"/>
            </w:tcBorders>
            <w:shd w:val="clear" w:color="auto" w:fill="auto"/>
          </w:tcPr>
          <w:p w:rsidR="00677606" w:rsidRDefault="00677606" w:rsidP="00883DE6">
            <w:pPr>
              <w:pStyle w:val="Figurespace"/>
            </w:pPr>
          </w:p>
        </w:tc>
      </w:tr>
      <w:tr w:rsidR="00CA3ABD" w:rsidRPr="000863A5" w:rsidTr="00D8717A">
        <w:tc>
          <w:tcPr>
            <w:tcW w:w="8771" w:type="dxa"/>
            <w:tcBorders>
              <w:top w:val="single" w:sz="6" w:space="0" w:color="78A22F"/>
              <w:left w:val="nil"/>
              <w:bottom w:val="nil"/>
              <w:right w:val="nil"/>
            </w:tcBorders>
          </w:tcPr>
          <w:p w:rsidR="00CA3ABD" w:rsidRPr="00626D32" w:rsidRDefault="00CA3ABD" w:rsidP="00D8717A">
            <w:pPr>
              <w:pStyle w:val="BoxSpaceBelow"/>
            </w:pPr>
          </w:p>
        </w:tc>
      </w:tr>
    </w:tbl>
    <w:p w:rsidR="00DA62E7" w:rsidRPr="001B03D5" w:rsidRDefault="00DA62E7" w:rsidP="00380D0E">
      <w:pPr>
        <w:pStyle w:val="Heading4"/>
      </w:pPr>
      <w:bookmarkStart w:id="15" w:name="_Toc300668516"/>
      <w:r w:rsidRPr="001B03D5">
        <w:lastRenderedPageBreak/>
        <w:t>Higher court defendants resulting in a guilty plea or finding</w:t>
      </w:r>
    </w:p>
    <w:p w:rsidR="00DA62E7" w:rsidRDefault="00DA62E7" w:rsidP="00380D0E">
      <w:pPr>
        <w:pStyle w:val="BodyText"/>
      </w:pPr>
      <w:r w:rsidRPr="001B03D5">
        <w:t>‘Higher court defendants resulting in a gu</w:t>
      </w:r>
      <w:r>
        <w:t>ilty plea or finding’ is an</w:t>
      </w:r>
      <w:r w:rsidRPr="001B03D5">
        <w:t xml:space="preserve"> indicator of governments’ obje</w:t>
      </w:r>
      <w:r>
        <w:t xml:space="preserve">ctive </w:t>
      </w:r>
      <w:r w:rsidRPr="001B03D5">
        <w:t xml:space="preserve">to </w:t>
      </w:r>
      <w:r w:rsidR="00874D46">
        <w:t>provide justice services in an equitable and accessible manner</w:t>
      </w:r>
      <w:r>
        <w:t xml:space="preserve"> (box </w:t>
      </w:r>
      <w:proofErr w:type="spellStart"/>
      <w:r w:rsidR="00652C28">
        <w:t>C.</w:t>
      </w:r>
      <w:r w:rsidR="00837430">
        <w:t>6</w:t>
      </w:r>
      <w:proofErr w:type="spellEnd"/>
      <w:r w:rsidRPr="001B03D5">
        <w:t>).</w:t>
      </w:r>
    </w:p>
    <w:p w:rsidR="00C83F87" w:rsidRDefault="00C83F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3F87" w:rsidTr="00C82E63">
        <w:tc>
          <w:tcPr>
            <w:tcW w:w="8771" w:type="dxa"/>
            <w:tcBorders>
              <w:top w:val="single" w:sz="6" w:space="0" w:color="78A22F"/>
              <w:left w:val="nil"/>
              <w:bottom w:val="nil"/>
              <w:right w:val="nil"/>
            </w:tcBorders>
            <w:shd w:val="clear" w:color="auto" w:fill="F2F2F2" w:themeFill="background1" w:themeFillShade="F2"/>
          </w:tcPr>
          <w:p w:rsidR="00C83F87" w:rsidRDefault="00C83F87">
            <w:pPr>
              <w:pStyle w:val="BoxTitle"/>
              <w:rPr>
                <w:lang w:eastAsia="en-US"/>
              </w:rPr>
            </w:pPr>
            <w:r>
              <w:rPr>
                <w:b w:val="0"/>
              </w:rPr>
              <w:t xml:space="preserve">Box </w:t>
            </w:r>
            <w:proofErr w:type="spellStart"/>
            <w:r>
              <w:rPr>
                <w:b w:val="0"/>
              </w:rPr>
              <w:t>C</w:t>
            </w:r>
            <w:r w:rsidR="0023636E">
              <w:rPr>
                <w:b w:val="0"/>
              </w:rPr>
              <w:t>.</w:t>
            </w:r>
            <w:r w:rsidR="00837430">
              <w:rPr>
                <w:b w:val="0"/>
              </w:rPr>
              <w:t>6</w:t>
            </w:r>
            <w:proofErr w:type="spellEnd"/>
            <w:r>
              <w:tab/>
            </w:r>
            <w:r w:rsidRPr="001F0FFC">
              <w:rPr>
                <w:sz w:val="26"/>
                <w:szCs w:val="26"/>
              </w:rPr>
              <w:t>Higher court defendants resulting in a guilty plea or finding</w:t>
            </w:r>
          </w:p>
        </w:tc>
      </w:tr>
      <w:tr w:rsidR="00C83F87" w:rsidTr="00C82E63">
        <w:trPr>
          <w:cantSplit/>
        </w:trPr>
        <w:tc>
          <w:tcPr>
            <w:tcW w:w="8771" w:type="dxa"/>
            <w:tcBorders>
              <w:top w:val="nil"/>
              <w:left w:val="nil"/>
              <w:bottom w:val="nil"/>
              <w:right w:val="nil"/>
            </w:tcBorders>
            <w:shd w:val="clear" w:color="auto" w:fill="F2F2F2" w:themeFill="background1" w:themeFillShade="F2"/>
          </w:tcPr>
          <w:p w:rsidR="00C83F87" w:rsidRPr="00380D0E" w:rsidRDefault="00C83F87" w:rsidP="00C82E63">
            <w:pPr>
              <w:pStyle w:val="Box"/>
            </w:pPr>
            <w:r w:rsidRPr="00380D0E">
              <w:t>‘Higher court defendants resulting in a guilty plea or finding’ is defined as the number of higher courts</w:t>
            </w:r>
            <w:r>
              <w:t>’</w:t>
            </w:r>
            <w:r w:rsidRPr="00380D0E">
              <w:t xml:space="preserve"> finalised adjudicated defendants who either submitted a guilty plea or were found guilty, as a proportion of the total number of higher courts adjudicated defendants.</w:t>
            </w:r>
          </w:p>
          <w:p w:rsidR="00C83F87" w:rsidRPr="00380D0E" w:rsidRDefault="00C83F87" w:rsidP="00C82E63">
            <w:pPr>
              <w:pStyle w:val="Box"/>
            </w:pPr>
            <w:r w:rsidRPr="00380D0E">
              <w:t>A high or increasing proportion of higher courts</w:t>
            </w:r>
            <w:r>
              <w:t>’</w:t>
            </w:r>
            <w:r w:rsidRPr="00380D0E">
              <w:t xml:space="preserve"> adjudicated defendants submitting a guilty plea or being the subject of a guilty finding is desirable. </w:t>
            </w:r>
          </w:p>
          <w:p w:rsidR="00C83F87" w:rsidRPr="00380D0E" w:rsidRDefault="00C83F87" w:rsidP="00C82E63">
            <w:pPr>
              <w:pStyle w:val="Box"/>
            </w:pPr>
            <w:r w:rsidRPr="00380D0E">
              <w:t>This indicator does not provide information on the number of defendants where police have identified a likely offender, but chose not</w:t>
            </w:r>
            <w:r>
              <w:t xml:space="preserve"> to</w:t>
            </w:r>
            <w:r w:rsidRPr="00380D0E">
              <w:t xml:space="preserve"> bring the likely offender to trial due to a variety of factors</w:t>
            </w:r>
            <w:r>
              <w:t>,</w:t>
            </w:r>
            <w:r w:rsidRPr="00380D0E">
              <w:t xml:space="preserve"> nor to cases that have been finalised by a non-adjudicated method.</w:t>
            </w:r>
          </w:p>
          <w:p w:rsidR="00C83F87" w:rsidRDefault="00C83F87" w:rsidP="00C82E63">
            <w:pPr>
              <w:pStyle w:val="Box"/>
            </w:pPr>
            <w:r w:rsidRPr="00380D0E">
              <w:t>Data reported for this indicator are</w:t>
            </w:r>
            <w:r>
              <w:t>:</w:t>
            </w:r>
          </w:p>
          <w:p w:rsidR="00C83F87" w:rsidRPr="00C83F87" w:rsidRDefault="00C83F87" w:rsidP="00302B97">
            <w:pPr>
              <w:pStyle w:val="BoxListBullet"/>
            </w:pPr>
            <w:r w:rsidRPr="00C83F87">
              <w:t>comparable (subject to caveats) across jurisdictions and over time</w:t>
            </w:r>
          </w:p>
          <w:p w:rsidR="00C83F87" w:rsidRPr="00380D0E" w:rsidRDefault="00C83F87" w:rsidP="00723465">
            <w:pPr>
              <w:pStyle w:val="BoxListBullet"/>
              <w:spacing w:after="120"/>
            </w:pPr>
            <w:r w:rsidRPr="00C83F87">
              <w:t xml:space="preserve">complete for the current reporting period (subject to caveats). All </w:t>
            </w:r>
            <w:r w:rsidRPr="005E3110">
              <w:t xml:space="preserve">required </w:t>
            </w:r>
            <w:r w:rsidRPr="004B460C">
              <w:t>201</w:t>
            </w:r>
            <w:r w:rsidR="00CC411D" w:rsidRPr="004B460C">
              <w:t>4</w:t>
            </w:r>
            <w:r w:rsidRPr="004B460C">
              <w:t>-1</w:t>
            </w:r>
            <w:r w:rsidR="00CC411D" w:rsidRPr="004B460C">
              <w:t>5</w:t>
            </w:r>
            <w:r w:rsidRPr="004B460C">
              <w:t xml:space="preserve"> </w:t>
            </w:r>
            <w:r w:rsidRPr="00C83F87">
              <w:t>data are available for all jurisdictions</w:t>
            </w:r>
            <w:r w:rsidRPr="009073AF">
              <w:rPr>
                <w:sz w:val="22"/>
                <w:szCs w:val="22"/>
              </w:rPr>
              <w:t>.</w:t>
            </w:r>
          </w:p>
        </w:tc>
      </w:tr>
      <w:tr w:rsidR="00C83F87" w:rsidRPr="000863A5" w:rsidTr="00C82E63">
        <w:tc>
          <w:tcPr>
            <w:tcW w:w="8771" w:type="dxa"/>
            <w:tcBorders>
              <w:top w:val="single" w:sz="6" w:space="0" w:color="78A22F"/>
              <w:left w:val="nil"/>
              <w:bottom w:val="nil"/>
              <w:right w:val="nil"/>
            </w:tcBorders>
          </w:tcPr>
          <w:p w:rsidR="00C83F87" w:rsidRPr="00626D32" w:rsidRDefault="00C83F87" w:rsidP="00C82E63">
            <w:pPr>
              <w:pStyle w:val="BoxSpaceBelow"/>
            </w:pPr>
          </w:p>
        </w:tc>
      </w:tr>
    </w:tbl>
    <w:p w:rsidR="002E201A" w:rsidRDefault="003655D8" w:rsidP="00380D0E">
      <w:pPr>
        <w:pStyle w:val="BodyText"/>
      </w:pPr>
      <w:r w:rsidRPr="005E3110">
        <w:t xml:space="preserve">Nationally </w:t>
      </w:r>
      <w:r w:rsidRPr="004B460C">
        <w:t>in 201</w:t>
      </w:r>
      <w:r w:rsidR="00CC411D" w:rsidRPr="004B460C">
        <w:t>4</w:t>
      </w:r>
      <w:r w:rsidRPr="004B460C">
        <w:t>-1</w:t>
      </w:r>
      <w:r w:rsidR="00CC411D" w:rsidRPr="004B460C">
        <w:t>5</w:t>
      </w:r>
      <w:r w:rsidRPr="004B460C">
        <w:t xml:space="preserve">, </w:t>
      </w:r>
      <w:r w:rsidRPr="005E3110">
        <w:t>t</w:t>
      </w:r>
      <w:r w:rsidR="00DA62E7" w:rsidRPr="005E3110">
        <w:t>he</w:t>
      </w:r>
      <w:r w:rsidR="00DA62E7">
        <w:t xml:space="preserve"> proportion of higher court</w:t>
      </w:r>
      <w:r w:rsidR="00DA62E7" w:rsidRPr="001B03D5">
        <w:t xml:space="preserve"> </w:t>
      </w:r>
      <w:r w:rsidR="00ED54DD">
        <w:t xml:space="preserve">finalised </w:t>
      </w:r>
      <w:r w:rsidR="00DA62E7" w:rsidRPr="001B03D5">
        <w:t>adjudicated defendants who either submitted a g</w:t>
      </w:r>
      <w:r w:rsidR="00DA62E7">
        <w:t>uilty plea or were found guilty</w:t>
      </w:r>
      <w:r w:rsidR="004A44A4">
        <w:t xml:space="preserve"> </w:t>
      </w:r>
      <w:r w:rsidR="00DA62E7" w:rsidRPr="004B460C">
        <w:t>was</w:t>
      </w:r>
      <w:r w:rsidR="005C5250" w:rsidRPr="004B460C">
        <w:t xml:space="preserve"> </w:t>
      </w:r>
      <w:r w:rsidR="00526A1A" w:rsidRPr="009F45A6">
        <w:t>92.8</w:t>
      </w:r>
      <w:r w:rsidR="00C03FB5" w:rsidRPr="004B460C">
        <w:t xml:space="preserve"> </w:t>
      </w:r>
      <w:r w:rsidR="002929F4">
        <w:t xml:space="preserve">per cent </w:t>
      </w:r>
      <w:r w:rsidR="00DA62E7">
        <w:t>(figure </w:t>
      </w:r>
      <w:proofErr w:type="spellStart"/>
      <w:r w:rsidR="0087759C">
        <w:t>C</w:t>
      </w:r>
      <w:r w:rsidR="0085683D">
        <w:t>.</w:t>
      </w:r>
      <w:r w:rsidR="00837430">
        <w:t>9</w:t>
      </w:r>
      <w:proofErr w:type="spellEnd"/>
      <w:r w:rsidR="00DA62E7" w:rsidRPr="001B03D5">
        <w:t>).</w:t>
      </w:r>
      <w:r w:rsidR="002F34D9">
        <w:t xml:space="preserve"> </w:t>
      </w:r>
    </w:p>
    <w:p w:rsidR="002E201A" w:rsidRDefault="002E201A" w:rsidP="002E201A">
      <w:pPr>
        <w:pStyle w:val="BodyText"/>
      </w:pPr>
      <w:r>
        <w:br w:type="page"/>
      </w:r>
    </w:p>
    <w:p w:rsidR="002E201A" w:rsidRDefault="002E201A" w:rsidP="007911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E201A" w:rsidTr="00BE5F3A">
        <w:trPr>
          <w:tblHeader/>
        </w:trPr>
        <w:tc>
          <w:tcPr>
            <w:tcW w:w="8771" w:type="dxa"/>
            <w:tcBorders>
              <w:top w:val="single" w:sz="6" w:space="0" w:color="78A22F"/>
              <w:left w:val="nil"/>
              <w:bottom w:val="nil"/>
              <w:right w:val="nil"/>
            </w:tcBorders>
            <w:shd w:val="clear" w:color="auto" w:fill="auto"/>
          </w:tcPr>
          <w:p w:rsidR="002E201A" w:rsidRPr="00176D3F" w:rsidRDefault="002E201A" w:rsidP="002E201A">
            <w:pPr>
              <w:pStyle w:val="FigureTitle"/>
            </w:pPr>
            <w:r w:rsidRPr="00784A05">
              <w:rPr>
                <w:b w:val="0"/>
              </w:rPr>
              <w:t xml:space="preserve">Figure </w:t>
            </w:r>
            <w:proofErr w:type="spellStart"/>
            <w:r>
              <w:rPr>
                <w:b w:val="0"/>
              </w:rPr>
              <w:t>C.9</w:t>
            </w:r>
            <w:proofErr w:type="spellEnd"/>
            <w:r>
              <w:tab/>
              <w:t xml:space="preserve">Proportion </w:t>
            </w:r>
            <w:r w:rsidRPr="00380D0E">
              <w:t>of higher court finalised adjudicated defendants resulting in a guilty plea or finding</w:t>
            </w:r>
            <w:r w:rsidRPr="005E3110">
              <w:t xml:space="preserve">, </w:t>
            </w:r>
            <w:r w:rsidRPr="009F45A6">
              <w:t>2014-15</w:t>
            </w:r>
            <w:r w:rsidRPr="009F45A6">
              <w:rPr>
                <w:rStyle w:val="NoteLabel"/>
                <w:b/>
              </w:rPr>
              <w:t>a</w:t>
            </w:r>
          </w:p>
        </w:tc>
      </w:tr>
      <w:tr w:rsidR="002E201A" w:rsidTr="00F9595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E201A" w:rsidRPr="00B1465D" w:rsidTr="00BE5F3A">
              <w:trPr>
                <w:tblHeader/>
                <w:jc w:val="center"/>
              </w:trPr>
              <w:tc>
                <w:tcPr>
                  <w:tcW w:w="5000" w:type="pct"/>
                  <w:tcBorders>
                    <w:top w:val="nil"/>
                    <w:bottom w:val="nil"/>
                  </w:tcBorders>
                </w:tcPr>
                <w:p w:rsidR="002E201A" w:rsidRPr="00B1465D" w:rsidRDefault="002E201A" w:rsidP="007C17A6">
                  <w:pPr>
                    <w:pStyle w:val="Figure"/>
                    <w:spacing w:before="60" w:after="60"/>
                    <w:rPr>
                      <w:rFonts w:ascii="Arial" w:hAnsi="Arial" w:cs="Arial"/>
                      <w:sz w:val="18"/>
                      <w:szCs w:val="18"/>
                    </w:rPr>
                  </w:pPr>
                  <w:r>
                    <w:rPr>
                      <w:rFonts w:ascii="Arial" w:hAnsi="Arial" w:cs="Arial"/>
                      <w:noProof/>
                      <w:sz w:val="18"/>
                      <w:szCs w:val="18"/>
                    </w:rPr>
                    <w:drawing>
                      <wp:inline distT="0" distB="0" distL="0" distR="0" wp14:anchorId="6AAB6D43" wp14:editId="4D8BA424">
                        <wp:extent cx="5402580" cy="2613660"/>
                        <wp:effectExtent l="0" t="0" r="7620" b="0"/>
                        <wp:docPr id="8" name="Picture 8" descr="Figure C.9 Proportion of higher court finalised adjudicated defendants resulting in a guilty plea or finding,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2580" cy="2613660"/>
                                </a:xfrm>
                                <a:prstGeom prst="rect">
                                  <a:avLst/>
                                </a:prstGeom>
                                <a:noFill/>
                              </pic:spPr>
                            </pic:pic>
                          </a:graphicData>
                        </a:graphic>
                      </wp:inline>
                    </w:drawing>
                  </w:r>
                </w:p>
              </w:tc>
            </w:tr>
          </w:tbl>
          <w:p w:rsidR="002E201A" w:rsidRDefault="002E201A" w:rsidP="00176D3F">
            <w:pPr>
              <w:pStyle w:val="Figure"/>
            </w:pPr>
          </w:p>
        </w:tc>
      </w:tr>
      <w:tr w:rsidR="002E201A" w:rsidRPr="00176D3F" w:rsidTr="00F95957">
        <w:tc>
          <w:tcPr>
            <w:tcW w:w="8771" w:type="dxa"/>
            <w:tcBorders>
              <w:top w:val="nil"/>
              <w:left w:val="nil"/>
              <w:bottom w:val="nil"/>
              <w:right w:val="nil"/>
            </w:tcBorders>
            <w:shd w:val="clear" w:color="auto" w:fill="auto"/>
          </w:tcPr>
          <w:p w:rsidR="002E201A" w:rsidRPr="00176D3F" w:rsidRDefault="002E201A" w:rsidP="00F41D3E">
            <w:pPr>
              <w:pStyle w:val="Note"/>
            </w:pPr>
            <w:r>
              <w:rPr>
                <w:rStyle w:val="NoteLabel"/>
              </w:rPr>
              <w:t>a</w:t>
            </w:r>
            <w:r>
              <w:t xml:space="preserve"> </w:t>
            </w:r>
            <w:r w:rsidRPr="00854FAA">
              <w:t xml:space="preserve">See box </w:t>
            </w:r>
            <w:proofErr w:type="spellStart"/>
            <w:r w:rsidRPr="00854FAA">
              <w:t>C.</w:t>
            </w:r>
            <w:r>
              <w:t>6</w:t>
            </w:r>
            <w:proofErr w:type="spellEnd"/>
            <w:r w:rsidRPr="00854FAA">
              <w:t xml:space="preserve"> and table </w:t>
            </w:r>
            <w:proofErr w:type="spellStart"/>
            <w:r w:rsidRPr="00854FAA">
              <w:t>CA.8</w:t>
            </w:r>
            <w:proofErr w:type="spellEnd"/>
            <w:r w:rsidRPr="00854FAA">
              <w:t xml:space="preserve"> for detailed definitions, footnotes and caveats.</w:t>
            </w:r>
            <w:r>
              <w:t>.</w:t>
            </w:r>
          </w:p>
        </w:tc>
      </w:tr>
      <w:tr w:rsidR="002E201A" w:rsidRPr="00176D3F" w:rsidTr="00F95957">
        <w:tc>
          <w:tcPr>
            <w:tcW w:w="8771" w:type="dxa"/>
            <w:tcBorders>
              <w:top w:val="nil"/>
              <w:left w:val="nil"/>
              <w:bottom w:val="nil"/>
              <w:right w:val="nil"/>
            </w:tcBorders>
            <w:shd w:val="clear" w:color="auto" w:fill="auto"/>
          </w:tcPr>
          <w:p w:rsidR="002E201A" w:rsidRPr="00176D3F" w:rsidRDefault="002E201A" w:rsidP="00784A05">
            <w:pPr>
              <w:pStyle w:val="Source"/>
            </w:pPr>
            <w:r>
              <w:rPr>
                <w:i/>
              </w:rPr>
              <w:t>S</w:t>
            </w:r>
            <w:r w:rsidRPr="00784A05">
              <w:rPr>
                <w:i/>
              </w:rPr>
              <w:t>ource</w:t>
            </w:r>
            <w:r w:rsidRPr="00176D3F">
              <w:t xml:space="preserve">: </w:t>
            </w:r>
            <w:r w:rsidRPr="001B03D5">
              <w:t xml:space="preserve">ABS </w:t>
            </w:r>
            <w:r>
              <w:t>(</w:t>
            </w:r>
            <w:r w:rsidRPr="00EA1FCD">
              <w:t>201</w:t>
            </w:r>
            <w:r w:rsidR="001D36B5" w:rsidRPr="00EA1FCD">
              <w:t>6</w:t>
            </w:r>
            <w:r>
              <w:t xml:space="preserve">) </w:t>
            </w:r>
            <w:r w:rsidRPr="002929F4">
              <w:rPr>
                <w:i/>
              </w:rPr>
              <w:t>Criminal Courts, Australia</w:t>
            </w:r>
            <w:r>
              <w:rPr>
                <w:i/>
              </w:rPr>
              <w:t>.</w:t>
            </w:r>
            <w:r>
              <w:t xml:space="preserve"> Cat. no. 4513.0; table </w:t>
            </w:r>
            <w:proofErr w:type="spellStart"/>
            <w:r>
              <w:t>CA.8</w:t>
            </w:r>
            <w:proofErr w:type="spellEnd"/>
            <w:r>
              <w:t>.</w:t>
            </w:r>
          </w:p>
        </w:tc>
      </w:tr>
      <w:tr w:rsidR="002E201A" w:rsidTr="00F95957">
        <w:tc>
          <w:tcPr>
            <w:tcW w:w="8771" w:type="dxa"/>
            <w:tcBorders>
              <w:top w:val="nil"/>
              <w:left w:val="nil"/>
              <w:bottom w:val="single" w:sz="6" w:space="0" w:color="78A22F"/>
              <w:right w:val="nil"/>
            </w:tcBorders>
            <w:shd w:val="clear" w:color="auto" w:fill="auto"/>
          </w:tcPr>
          <w:p w:rsidR="002E201A" w:rsidRDefault="002E201A" w:rsidP="00176D3F">
            <w:pPr>
              <w:pStyle w:val="Figurespace"/>
            </w:pPr>
          </w:p>
        </w:tc>
      </w:tr>
      <w:tr w:rsidR="002E201A" w:rsidRPr="000863A5" w:rsidTr="00215A8A">
        <w:tc>
          <w:tcPr>
            <w:tcW w:w="8771" w:type="dxa"/>
            <w:tcBorders>
              <w:top w:val="single" w:sz="6" w:space="0" w:color="78A22F"/>
              <w:left w:val="nil"/>
              <w:bottom w:val="nil"/>
              <w:right w:val="nil"/>
            </w:tcBorders>
          </w:tcPr>
          <w:p w:rsidR="002E201A" w:rsidRPr="00626D32" w:rsidRDefault="002E201A" w:rsidP="00176D3F">
            <w:pPr>
              <w:pStyle w:val="BoxSpaceBelow"/>
            </w:pPr>
          </w:p>
        </w:tc>
      </w:tr>
    </w:tbl>
    <w:p w:rsidR="00CC7A5C" w:rsidRPr="00DE6A6C" w:rsidRDefault="00B966A1">
      <w:pPr>
        <w:pStyle w:val="Heading2"/>
      </w:pPr>
      <w:bookmarkStart w:id="16" w:name="_Toc300668517"/>
      <w:bookmarkStart w:id="17" w:name="_Toc464037055"/>
      <w:bookmarkEnd w:id="15"/>
      <w:proofErr w:type="spellStart"/>
      <w:r>
        <w:t>C.</w:t>
      </w:r>
      <w:r w:rsidR="005615CC">
        <w:rPr>
          <w:noProof/>
        </w:rPr>
        <w:t>3</w:t>
      </w:r>
      <w:proofErr w:type="spellEnd"/>
      <w:r>
        <w:tab/>
      </w:r>
      <w:r w:rsidR="00CC7A5C" w:rsidRPr="00DE6A6C">
        <w:t>Cross-cutting and interface issues</w:t>
      </w:r>
      <w:bookmarkEnd w:id="16"/>
      <w:bookmarkEnd w:id="17"/>
    </w:p>
    <w:p w:rsidR="00CC7A5C" w:rsidRPr="00DE6A6C" w:rsidRDefault="00CC7A5C" w:rsidP="007F495B">
      <w:pPr>
        <w:pStyle w:val="BodyText"/>
      </w:pPr>
      <w:r w:rsidRPr="00DE6A6C">
        <w:t>Although service areas are represented in separate chapters in this Report, performance results are to some extent interdependent.</w:t>
      </w:r>
      <w:r w:rsidR="00FE0100">
        <w:t xml:space="preserve"> </w:t>
      </w:r>
      <w:r>
        <w:t>Changes to the functio</w:t>
      </w:r>
      <w:r w:rsidR="00AF3A5E">
        <w:t>ns and operations of each element</w:t>
      </w:r>
      <w:r>
        <w:t xml:space="preserve"> of the justice system can affect the other parts of </w:t>
      </w:r>
      <w:r w:rsidRPr="00DE6A6C">
        <w:t>the system, for example, the effect of:</w:t>
      </w:r>
    </w:p>
    <w:p w:rsidR="00874D46" w:rsidRDefault="00CC7A5C" w:rsidP="00922970">
      <w:pPr>
        <w:pStyle w:val="ListBullet"/>
      </w:pPr>
      <w:r>
        <w:t>police services</w:t>
      </w:r>
      <w:r w:rsidRPr="00DE6A6C">
        <w:t xml:space="preserve"> on the courts through the implementation of initiatives such as police cautions an</w:t>
      </w:r>
      <w:r w:rsidR="005E596C">
        <w:t>d other diversionary strategies</w:t>
      </w:r>
    </w:p>
    <w:p w:rsidR="00CC7A5C" w:rsidRPr="00DE6A6C" w:rsidRDefault="00CC7A5C" w:rsidP="00922970">
      <w:pPr>
        <w:pStyle w:val="ListBullet"/>
      </w:pPr>
      <w:r w:rsidRPr="00DE6A6C">
        <w:t xml:space="preserve">police and courts on corrective services, such as use of court diversion schemes, bail and the </w:t>
      </w:r>
      <w:r>
        <w:t>range of sentencing options available</w:t>
      </w:r>
    </w:p>
    <w:p w:rsidR="00CC7A5C" w:rsidRPr="00DE6A6C" w:rsidRDefault="00CC7A5C" w:rsidP="00922970">
      <w:pPr>
        <w:pStyle w:val="ListBullet"/>
      </w:pPr>
      <w:r w:rsidRPr="00DE6A6C">
        <w:t xml:space="preserve">correctional systems’ services on courts </w:t>
      </w:r>
      <w:r>
        <w:t>sentencing decisions</w:t>
      </w:r>
      <w:r w:rsidRPr="00DE6A6C">
        <w:t xml:space="preserve"> through </w:t>
      </w:r>
      <w:r>
        <w:t>court advice</w:t>
      </w:r>
      <w:r w:rsidRPr="00DE6A6C">
        <w:t xml:space="preserve"> services.</w:t>
      </w:r>
    </w:p>
    <w:p w:rsidR="00CC7A5C" w:rsidRPr="00DE6A6C" w:rsidRDefault="00CC7A5C" w:rsidP="00922970">
      <w:pPr>
        <w:pStyle w:val="BodyText"/>
      </w:pPr>
      <w:r w:rsidRPr="00DE6A6C">
        <w:t xml:space="preserve">There is a trend toward the delivery of justice services through partnerships between agencies, in order to address </w:t>
      </w:r>
      <w:r w:rsidR="005E596C">
        <w:t>complex issues and client needs. F</w:t>
      </w:r>
      <w:r w:rsidRPr="00DE6A6C">
        <w:t>or example, bail or housing support programs</w:t>
      </w:r>
      <w:r>
        <w:t>, Neighbourhood Justice centres in Victoria, specialist courts such as Indigenous and drug courts,</w:t>
      </w:r>
      <w:r w:rsidR="00837430">
        <w:t xml:space="preserve"> and</w:t>
      </w:r>
      <w:r>
        <w:t xml:space="preserve"> adoption of restorative justice principles.</w:t>
      </w:r>
    </w:p>
    <w:p w:rsidR="0002412D" w:rsidRPr="00451B94" w:rsidRDefault="00B966A1" w:rsidP="00844D70">
      <w:pPr>
        <w:pStyle w:val="Heading2"/>
        <w:ind w:left="0" w:firstLine="0"/>
      </w:pPr>
      <w:bookmarkStart w:id="18" w:name="_Toc245529196"/>
      <w:bookmarkStart w:id="19" w:name="_Toc300668521"/>
      <w:bookmarkStart w:id="20" w:name="_Toc464037056"/>
      <w:proofErr w:type="spellStart"/>
      <w:r>
        <w:lastRenderedPageBreak/>
        <w:t>C.</w:t>
      </w:r>
      <w:r w:rsidR="00904E16">
        <w:t>4</w:t>
      </w:r>
      <w:proofErr w:type="spellEnd"/>
      <w:r>
        <w:tab/>
      </w:r>
      <w:r w:rsidR="00342A53" w:rsidRPr="00881445">
        <w:t>Ref</w:t>
      </w:r>
      <w:r w:rsidR="00342A53">
        <w:t>erence</w:t>
      </w:r>
      <w:r w:rsidR="00361031">
        <w:t>s</w:t>
      </w:r>
      <w:bookmarkEnd w:id="18"/>
      <w:bookmarkEnd w:id="19"/>
      <w:bookmarkEnd w:id="20"/>
    </w:p>
    <w:p w:rsidR="004C51DC" w:rsidRDefault="00342A53" w:rsidP="00502E89">
      <w:pPr>
        <w:pStyle w:val="Reference"/>
      </w:pPr>
      <w:r w:rsidRPr="009E364D">
        <w:t>ABS (Austral</w:t>
      </w:r>
      <w:r w:rsidR="00E0409C" w:rsidRPr="009E364D">
        <w:t xml:space="preserve">ian Bureau of Statistics) </w:t>
      </w:r>
    </w:p>
    <w:p w:rsidR="00BD51C0" w:rsidRPr="00476F6E" w:rsidRDefault="00BD51C0" w:rsidP="00380D0E">
      <w:pPr>
        <w:pStyle w:val="Reference"/>
      </w:pPr>
      <w:r w:rsidRPr="00476F6E">
        <w:t>—— 20</w:t>
      </w:r>
      <w:r w:rsidR="007F7C4A" w:rsidRPr="00476F6E">
        <w:t>1</w:t>
      </w:r>
      <w:r w:rsidR="00A358EA" w:rsidRPr="00476F6E">
        <w:t>6</w:t>
      </w:r>
      <w:r w:rsidRPr="00476F6E">
        <w:t xml:space="preserve">, </w:t>
      </w:r>
      <w:r w:rsidRPr="00476F6E">
        <w:rPr>
          <w:i/>
        </w:rPr>
        <w:t>Cri</w:t>
      </w:r>
      <w:r w:rsidR="007F7C4A" w:rsidRPr="00476F6E">
        <w:rPr>
          <w:i/>
        </w:rPr>
        <w:t>me Victimisation Australia, 20</w:t>
      </w:r>
      <w:r w:rsidR="00313F37" w:rsidRPr="00476F6E">
        <w:rPr>
          <w:i/>
        </w:rPr>
        <w:t>1</w:t>
      </w:r>
      <w:r w:rsidR="00A358EA" w:rsidRPr="00476F6E">
        <w:rPr>
          <w:i/>
        </w:rPr>
        <w:t>4</w:t>
      </w:r>
      <w:r w:rsidR="007F7C4A" w:rsidRPr="00476F6E">
        <w:rPr>
          <w:i/>
        </w:rPr>
        <w:t>-1</w:t>
      </w:r>
      <w:r w:rsidR="00A358EA" w:rsidRPr="00476F6E">
        <w:rPr>
          <w:i/>
        </w:rPr>
        <w:t>5</w:t>
      </w:r>
      <w:r w:rsidR="007F7C4A" w:rsidRPr="00476F6E">
        <w:rPr>
          <w:i/>
        </w:rPr>
        <w:t>,</w:t>
      </w:r>
      <w:r w:rsidRPr="00476F6E">
        <w:rPr>
          <w:i/>
        </w:rPr>
        <w:t xml:space="preserve"> </w:t>
      </w:r>
      <w:r w:rsidR="0005210D" w:rsidRPr="00476F6E">
        <w:t>Cat. </w:t>
      </w:r>
      <w:r w:rsidRPr="00476F6E">
        <w:t>no.</w:t>
      </w:r>
      <w:r w:rsidR="0005210D" w:rsidRPr="00476F6E">
        <w:t> </w:t>
      </w:r>
      <w:r w:rsidRPr="00476F6E">
        <w:t>4530.0</w:t>
      </w:r>
      <w:r w:rsidR="00AF6DD4" w:rsidRPr="00476F6E">
        <w:t>, Canberra.</w:t>
      </w:r>
    </w:p>
    <w:p w:rsidR="00F0361D" w:rsidRPr="00476F6E" w:rsidRDefault="00F0361D" w:rsidP="00F0361D">
      <w:pPr>
        <w:pStyle w:val="Reference"/>
      </w:pPr>
      <w:r w:rsidRPr="00476F6E">
        <w:t>—— 201</w:t>
      </w:r>
      <w:r w:rsidR="00A358EA" w:rsidRPr="00476F6E">
        <w:t>6</w:t>
      </w:r>
      <w:r w:rsidRPr="00476F6E">
        <w:t xml:space="preserve">, </w:t>
      </w:r>
      <w:r w:rsidRPr="00476F6E">
        <w:rPr>
          <w:i/>
        </w:rPr>
        <w:t>Criminal Courts Australia, 201</w:t>
      </w:r>
      <w:r w:rsidR="00A358EA" w:rsidRPr="00476F6E">
        <w:rPr>
          <w:i/>
        </w:rPr>
        <w:t>4</w:t>
      </w:r>
      <w:r w:rsidRPr="00476F6E">
        <w:rPr>
          <w:i/>
        </w:rPr>
        <w:t>-1</w:t>
      </w:r>
      <w:r w:rsidR="00A358EA" w:rsidRPr="00476F6E">
        <w:rPr>
          <w:i/>
        </w:rPr>
        <w:t>5</w:t>
      </w:r>
      <w:r w:rsidRPr="00476F6E">
        <w:t>, Cat</w:t>
      </w:r>
      <w:r w:rsidR="0005210D" w:rsidRPr="00476F6E">
        <w:t>. </w:t>
      </w:r>
      <w:r w:rsidRPr="00476F6E">
        <w:t>no.</w:t>
      </w:r>
      <w:r w:rsidR="0005210D" w:rsidRPr="00476F6E">
        <w:t> </w:t>
      </w:r>
      <w:r w:rsidRPr="00476F6E">
        <w:t>4513.0</w:t>
      </w:r>
      <w:r w:rsidR="00AF6DD4" w:rsidRPr="00476F6E">
        <w:t>, Canberra</w:t>
      </w:r>
      <w:r w:rsidRPr="00476F6E">
        <w:t>.</w:t>
      </w:r>
    </w:p>
    <w:p w:rsidR="00F0361D" w:rsidRPr="00476F6E" w:rsidRDefault="00F0361D" w:rsidP="00F0361D">
      <w:pPr>
        <w:pStyle w:val="Reference"/>
      </w:pPr>
      <w:r w:rsidRPr="00476F6E">
        <w:t>—— 201</w:t>
      </w:r>
      <w:r w:rsidR="00A358EA" w:rsidRPr="00476F6E">
        <w:t>6</w:t>
      </w:r>
      <w:r w:rsidRPr="00476F6E">
        <w:t xml:space="preserve">, </w:t>
      </w:r>
      <w:r w:rsidRPr="00476F6E">
        <w:rPr>
          <w:i/>
        </w:rPr>
        <w:t>Recorded Crime — Offenders, Australia, 201</w:t>
      </w:r>
      <w:r w:rsidR="00A358EA" w:rsidRPr="00476F6E">
        <w:rPr>
          <w:i/>
        </w:rPr>
        <w:t>4</w:t>
      </w:r>
      <w:r w:rsidRPr="00476F6E">
        <w:rPr>
          <w:i/>
        </w:rPr>
        <w:t>-1</w:t>
      </w:r>
      <w:r w:rsidR="00A358EA" w:rsidRPr="00476F6E">
        <w:rPr>
          <w:i/>
        </w:rPr>
        <w:t>5</w:t>
      </w:r>
      <w:r w:rsidRPr="00476F6E">
        <w:t>, Cat.</w:t>
      </w:r>
      <w:r w:rsidR="0005210D" w:rsidRPr="00476F6E">
        <w:t> </w:t>
      </w:r>
      <w:r w:rsidRPr="00476F6E">
        <w:t>no.</w:t>
      </w:r>
      <w:r w:rsidR="0005210D" w:rsidRPr="00476F6E">
        <w:t> </w:t>
      </w:r>
      <w:r w:rsidRPr="00476F6E">
        <w:t>4519.0</w:t>
      </w:r>
      <w:r w:rsidR="00AF6DD4" w:rsidRPr="00476F6E">
        <w:t>, Canberra.</w:t>
      </w:r>
    </w:p>
    <w:p w:rsidR="00BA66D3" w:rsidRDefault="00351311" w:rsidP="00380D0E">
      <w:pPr>
        <w:pStyle w:val="Reference"/>
      </w:pPr>
      <w:r>
        <w:t>ACC (Australian Crime Commission)</w:t>
      </w:r>
    </w:p>
    <w:p w:rsidR="003C4585" w:rsidRDefault="00BA66D3" w:rsidP="003C4585">
      <w:pPr>
        <w:pStyle w:val="Reference"/>
        <w:jc w:val="left"/>
      </w:pPr>
      <w:r w:rsidRPr="00B87949">
        <w:t>—— </w:t>
      </w:r>
      <w:r>
        <w:t>2013</w:t>
      </w:r>
      <w:r w:rsidRPr="00B87949">
        <w:t xml:space="preserve">, </w:t>
      </w:r>
      <w:r w:rsidR="00351311">
        <w:rPr>
          <w:i/>
        </w:rPr>
        <w:t>Organised crime in Australia 2013</w:t>
      </w:r>
      <w:r w:rsidR="00351311">
        <w:t>,</w:t>
      </w:r>
      <w:r>
        <w:t xml:space="preserve"> </w:t>
      </w:r>
      <w:r w:rsidR="003C4585">
        <w:t>https://www.crimecommission.gov.au/publications/intelligence-products/organised-crime-australia/organised-crime-australia-2013 (accessed 23 July 2015)</w:t>
      </w:r>
    </w:p>
    <w:p w:rsidR="00AE6C6B" w:rsidRDefault="003C4585" w:rsidP="003C4585">
      <w:pPr>
        <w:pStyle w:val="Reference"/>
        <w:jc w:val="left"/>
      </w:pPr>
      <w:r>
        <w:t>—— 2015, Organised crime in Australia 2015, https://www.crimecommission.gov.au/publications/intelligence-products/organised-crime-australia/organised-crime-australia-2015 (accessed 23 July 2015).</w:t>
      </w:r>
      <w:r w:rsidR="00AE6C6B">
        <w:t xml:space="preserve">Australian Government Attorney-General’s Department 2009, </w:t>
      </w:r>
      <w:r w:rsidR="00AE6C6B">
        <w:rPr>
          <w:i/>
        </w:rPr>
        <w:t>A strategic framework for access to justice</w:t>
      </w:r>
      <w:r w:rsidR="00444A6D">
        <w:rPr>
          <w:i/>
        </w:rPr>
        <w:t xml:space="preserve"> in the federal civil justice system</w:t>
      </w:r>
      <w:r w:rsidR="00444A6D">
        <w:t xml:space="preserve">. Report by </w:t>
      </w:r>
      <w:r w:rsidR="00813952">
        <w:t>the Access to Justice Taskforce, Canberra.</w:t>
      </w:r>
    </w:p>
    <w:p w:rsidR="00A67E86" w:rsidRPr="00A67E86" w:rsidRDefault="00A67E86" w:rsidP="0056650B">
      <w:pPr>
        <w:pStyle w:val="Reference"/>
        <w:jc w:val="left"/>
      </w:pPr>
      <w:proofErr w:type="spellStart"/>
      <w:r>
        <w:t>Coumarelos</w:t>
      </w:r>
      <w:proofErr w:type="spellEnd"/>
      <w:r>
        <w:t xml:space="preserve">, C., </w:t>
      </w:r>
      <w:proofErr w:type="spellStart"/>
      <w:r>
        <w:t>Macourt</w:t>
      </w:r>
      <w:proofErr w:type="spellEnd"/>
      <w:r>
        <w:t xml:space="preserve">, D., People, J., McDonald, H.M., Wei, Z., </w:t>
      </w:r>
      <w:proofErr w:type="spellStart"/>
      <w:r>
        <w:t>Iriana</w:t>
      </w:r>
      <w:proofErr w:type="spellEnd"/>
      <w:r>
        <w:t xml:space="preserve">, R. and Ramsey, S. 2012. </w:t>
      </w:r>
      <w:r>
        <w:rPr>
          <w:i/>
        </w:rPr>
        <w:t>Legal Australia-Wide Survey: Legal Need in Australia</w:t>
      </w:r>
      <w:r>
        <w:t>, Law and Justice Foundation of NSW, Sydney.</w:t>
      </w:r>
    </w:p>
    <w:p w:rsidR="00AE1B23" w:rsidRPr="00AE1B23" w:rsidRDefault="00AE1B23" w:rsidP="0056650B">
      <w:pPr>
        <w:pStyle w:val="Reference"/>
        <w:jc w:val="left"/>
      </w:pPr>
      <w:r>
        <w:t xml:space="preserve">Forsythe, L and Adams, K 2009. Mental health, abuse, drug use and crime: does gender matter? </w:t>
      </w:r>
      <w:r>
        <w:rPr>
          <w:i/>
        </w:rPr>
        <w:t>Trends and Issues in crime and criminal justice no. 38</w:t>
      </w:r>
      <w:r>
        <w:t>, Australian Institute of Criminology, Canberra.</w:t>
      </w:r>
    </w:p>
    <w:p w:rsidR="00F86968" w:rsidRPr="005D1412" w:rsidRDefault="00F86968" w:rsidP="0056650B">
      <w:pPr>
        <w:pStyle w:val="Reference"/>
      </w:pPr>
      <w:r>
        <w:t xml:space="preserve">Productivity Commission 2014, </w:t>
      </w:r>
      <w:r>
        <w:rPr>
          <w:i/>
        </w:rPr>
        <w:t>Access to Justice Arrangements</w:t>
      </w:r>
      <w:r>
        <w:t>, Inquiry Report No. 72, Canberra.</w:t>
      </w:r>
    </w:p>
    <w:p w:rsidR="004D6B4A" w:rsidRPr="003036BD" w:rsidRDefault="004D6B4A" w:rsidP="0056650B">
      <w:pPr>
        <w:pStyle w:val="Reference"/>
      </w:pPr>
      <w:r>
        <w:t xml:space="preserve">Smith, </w:t>
      </w:r>
      <w:proofErr w:type="spellStart"/>
      <w:r>
        <w:t>RG</w:t>
      </w:r>
      <w:proofErr w:type="spellEnd"/>
      <w:r>
        <w:t xml:space="preserve">, </w:t>
      </w:r>
      <w:proofErr w:type="spellStart"/>
      <w:r>
        <w:t>Jorna</w:t>
      </w:r>
      <w:proofErr w:type="spellEnd"/>
      <w:r>
        <w:t xml:space="preserve">, P, Sweeney, J and Fuller, G 2014, Counting the costs of crime in Australia: A 2011 estimate. </w:t>
      </w:r>
      <w:r>
        <w:rPr>
          <w:i/>
        </w:rPr>
        <w:t>Research and Public Policy Series no. 129</w:t>
      </w:r>
      <w:r>
        <w:t>, Australian Institute of Criminology, Canberra.</w:t>
      </w:r>
    </w:p>
    <w:p w:rsidR="0004689C" w:rsidRPr="0004689C" w:rsidRDefault="0004689C" w:rsidP="008F2A80">
      <w:pPr>
        <w:pStyle w:val="Reference"/>
      </w:pPr>
      <w:proofErr w:type="spellStart"/>
      <w:r>
        <w:t>Rollings</w:t>
      </w:r>
      <w:proofErr w:type="spellEnd"/>
      <w:r>
        <w:t>, K</w:t>
      </w:r>
      <w:r w:rsidR="00813952">
        <w:t>.</w:t>
      </w:r>
      <w:r>
        <w:t xml:space="preserve"> 2008, Counting the costs of crime in Australia. </w:t>
      </w:r>
      <w:r>
        <w:rPr>
          <w:i/>
        </w:rPr>
        <w:t>Resear</w:t>
      </w:r>
      <w:r w:rsidR="0005210D">
        <w:rPr>
          <w:i/>
        </w:rPr>
        <w:t>ch and Public Policy Series no. </w:t>
      </w:r>
      <w:r>
        <w:rPr>
          <w:i/>
        </w:rPr>
        <w:t>91</w:t>
      </w:r>
      <w:r>
        <w:t xml:space="preserve">, Australian </w:t>
      </w:r>
      <w:r w:rsidR="00813952">
        <w:t>Institute of Criminology, Canberra.</w:t>
      </w:r>
    </w:p>
    <w:p w:rsidR="00BD51C0" w:rsidRPr="00DE3D16" w:rsidRDefault="008F2A80" w:rsidP="00F41ABC">
      <w:pPr>
        <w:pStyle w:val="Reference"/>
      </w:pPr>
      <w:proofErr w:type="spellStart"/>
      <w:r>
        <w:t>Weatherburn</w:t>
      </w:r>
      <w:proofErr w:type="spellEnd"/>
      <w:r>
        <w:t xml:space="preserve">, D 2001, What causes crime? </w:t>
      </w:r>
      <w:r>
        <w:rPr>
          <w:i/>
        </w:rPr>
        <w:t>Crime and Justice Bulletin no.</w:t>
      </w:r>
      <w:r w:rsidR="0005210D">
        <w:rPr>
          <w:i/>
        </w:rPr>
        <w:t> </w:t>
      </w:r>
      <w:r>
        <w:rPr>
          <w:i/>
        </w:rPr>
        <w:t>54</w:t>
      </w:r>
      <w:r>
        <w:t>, NSW Bureau of Crime Statistics and Research.</w:t>
      </w:r>
    </w:p>
    <w:sectPr w:rsidR="00BD51C0" w:rsidRPr="00DE3D16" w:rsidSect="00A5045C">
      <w:headerReference w:type="even" r:id="rId18"/>
      <w:headerReference w:type="default" r:id="rId19"/>
      <w:footerReference w:type="even" r:id="rId20"/>
      <w:footerReference w:type="default" r:id="rId21"/>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60D" w:rsidRDefault="0036160D">
      <w:r>
        <w:separator/>
      </w:r>
    </w:p>
  </w:endnote>
  <w:endnote w:type="continuationSeparator" w:id="0">
    <w:p w:rsidR="0036160D" w:rsidRDefault="0036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36160D" w:rsidTr="00A5045C">
      <w:trPr>
        <w:trHeight w:hRule="exact" w:val="567"/>
      </w:trPr>
      <w:tc>
        <w:tcPr>
          <w:tcW w:w="510" w:type="dxa"/>
        </w:tcPr>
        <w:p w:rsidR="0036160D" w:rsidRPr="00A24443" w:rsidRDefault="0036160D" w:rsidP="000258FB">
          <w:pPr>
            <w:pStyle w:val="Footer"/>
            <w:tabs>
              <w:tab w:val="left" w:pos="0"/>
            </w:tabs>
            <w:ind w:right="0"/>
            <w:rPr>
              <w:rStyle w:val="PageNumber"/>
              <w:caps w:val="0"/>
            </w:rPr>
          </w:pPr>
          <w:proofErr w:type="spellStart"/>
          <w:r>
            <w:rPr>
              <w:rStyle w:val="PageNumber"/>
              <w:caps w:val="0"/>
            </w:rPr>
            <w:t>C.</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E1208">
            <w:rPr>
              <w:rStyle w:val="PageNumber"/>
              <w:caps w:val="0"/>
              <w:noProof/>
            </w:rPr>
            <w:t>18</w:t>
          </w:r>
          <w:r w:rsidRPr="00A24443">
            <w:rPr>
              <w:rStyle w:val="PageNumber"/>
              <w:caps w:val="0"/>
            </w:rPr>
            <w:fldChar w:fldCharType="end"/>
          </w:r>
        </w:p>
      </w:tc>
      <w:tc>
        <w:tcPr>
          <w:tcW w:w="7767" w:type="dxa"/>
        </w:tcPr>
        <w:p w:rsidR="0036160D" w:rsidRPr="0013739A" w:rsidRDefault="0036160D" w:rsidP="00BF3223">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5615CC">
            <w:rPr>
              <w:rFonts w:cs="Arial"/>
            </w:rPr>
            <w:t>Report on Government Services 2017</w:t>
          </w:r>
          <w:r w:rsidRPr="00BA5B14">
            <w:rPr>
              <w:rFonts w:cs="Arial"/>
            </w:rPr>
            <w:fldChar w:fldCharType="end"/>
          </w:r>
          <w:bookmarkStart w:id="21" w:name="DraftReportEven"/>
          <w:bookmarkEnd w:id="21"/>
        </w:p>
      </w:tc>
      <w:tc>
        <w:tcPr>
          <w:tcW w:w="511" w:type="dxa"/>
        </w:tcPr>
        <w:p w:rsidR="0036160D" w:rsidRDefault="0036160D" w:rsidP="000258FB">
          <w:pPr>
            <w:pStyle w:val="Footer"/>
          </w:pPr>
        </w:p>
      </w:tc>
    </w:tr>
  </w:tbl>
  <w:p w:rsidR="0036160D" w:rsidRDefault="0036160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0"/>
    </w:tblGrid>
    <w:tr w:rsidR="0036160D" w:rsidTr="00A5045C">
      <w:trPr>
        <w:trHeight w:hRule="exact" w:val="567"/>
      </w:trPr>
      <w:tc>
        <w:tcPr>
          <w:tcW w:w="510" w:type="dxa"/>
        </w:tcPr>
        <w:p w:rsidR="0036160D" w:rsidRDefault="0036160D" w:rsidP="000258FB">
          <w:pPr>
            <w:pStyle w:val="Footer"/>
            <w:ind w:right="360" w:firstLine="360"/>
          </w:pPr>
        </w:p>
      </w:tc>
      <w:tc>
        <w:tcPr>
          <w:tcW w:w="7768" w:type="dxa"/>
        </w:tcPr>
        <w:p w:rsidR="0036160D" w:rsidRPr="00BA5B14" w:rsidRDefault="0036160D" w:rsidP="00BF3223">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5615CC">
            <w:rPr>
              <w:rFonts w:cs="Arial"/>
            </w:rPr>
            <w:t>Justice Sector Overview</w:t>
          </w:r>
          <w:r w:rsidRPr="00BA5B14">
            <w:rPr>
              <w:rFonts w:cs="Arial"/>
            </w:rPr>
            <w:fldChar w:fldCharType="end"/>
          </w:r>
          <w:bookmarkStart w:id="22" w:name="DraftReportOdd"/>
          <w:bookmarkEnd w:id="22"/>
        </w:p>
      </w:tc>
      <w:tc>
        <w:tcPr>
          <w:tcW w:w="510" w:type="dxa"/>
        </w:tcPr>
        <w:p w:rsidR="0036160D" w:rsidRPr="00A24443" w:rsidRDefault="0036160D" w:rsidP="000258FB">
          <w:pPr>
            <w:pStyle w:val="Footer"/>
            <w:jc w:val="right"/>
            <w:rPr>
              <w:caps w:val="0"/>
            </w:rPr>
          </w:pPr>
          <w:bookmarkStart w:id="23" w:name="begin"/>
          <w:bookmarkEnd w:id="23"/>
          <w:proofErr w:type="spellStart"/>
          <w:r>
            <w:rPr>
              <w:rStyle w:val="PageNumber"/>
              <w:caps w:val="0"/>
            </w:rPr>
            <w:t>C.</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E1208">
            <w:rPr>
              <w:rStyle w:val="PageNumber"/>
              <w:caps w:val="0"/>
              <w:noProof/>
            </w:rPr>
            <w:t>1</w:t>
          </w:r>
          <w:r w:rsidRPr="00A24443">
            <w:rPr>
              <w:rStyle w:val="PageNumber"/>
              <w:caps w:val="0"/>
            </w:rPr>
            <w:fldChar w:fldCharType="end"/>
          </w:r>
        </w:p>
      </w:tc>
    </w:tr>
  </w:tbl>
  <w:p w:rsidR="0036160D" w:rsidRDefault="0036160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60D" w:rsidRDefault="0036160D">
      <w:r>
        <w:separator/>
      </w:r>
    </w:p>
  </w:footnote>
  <w:footnote w:type="continuationSeparator" w:id="0">
    <w:p w:rsidR="0036160D" w:rsidRDefault="003616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6160D" w:rsidTr="000258FB">
      <w:tc>
        <w:tcPr>
          <w:tcW w:w="2155" w:type="dxa"/>
          <w:tcBorders>
            <w:top w:val="single" w:sz="24" w:space="0" w:color="auto"/>
          </w:tcBorders>
        </w:tcPr>
        <w:p w:rsidR="0036160D" w:rsidRDefault="0036160D" w:rsidP="000258FB">
          <w:pPr>
            <w:pStyle w:val="HeaderEven"/>
          </w:pPr>
        </w:p>
      </w:tc>
      <w:tc>
        <w:tcPr>
          <w:tcW w:w="6634" w:type="dxa"/>
          <w:tcBorders>
            <w:top w:val="single" w:sz="6" w:space="0" w:color="auto"/>
          </w:tcBorders>
        </w:tcPr>
        <w:p w:rsidR="0036160D" w:rsidRDefault="0036160D" w:rsidP="009F45A6">
          <w:pPr>
            <w:pStyle w:val="HeaderEven"/>
          </w:pPr>
        </w:p>
      </w:tc>
    </w:tr>
  </w:tbl>
  <w:p w:rsidR="0036160D" w:rsidRDefault="0036160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6160D">
      <w:tc>
        <w:tcPr>
          <w:tcW w:w="2155" w:type="dxa"/>
          <w:tcBorders>
            <w:top w:val="single" w:sz="24" w:space="0" w:color="auto"/>
          </w:tcBorders>
        </w:tcPr>
        <w:p w:rsidR="0036160D" w:rsidRDefault="0036160D" w:rsidP="00722388">
          <w:pPr>
            <w:pStyle w:val="HeaderEven"/>
          </w:pPr>
        </w:p>
      </w:tc>
      <w:tc>
        <w:tcPr>
          <w:tcW w:w="6634" w:type="dxa"/>
          <w:tcBorders>
            <w:top w:val="single" w:sz="6" w:space="0" w:color="auto"/>
          </w:tcBorders>
        </w:tcPr>
        <w:p w:rsidR="0036160D" w:rsidRDefault="0036160D" w:rsidP="00722388">
          <w:pPr>
            <w:pStyle w:val="HeaderEven"/>
          </w:pPr>
        </w:p>
      </w:tc>
    </w:tr>
  </w:tbl>
  <w:p w:rsidR="0036160D" w:rsidRDefault="0036160D" w:rsidP="00722388">
    <w:pPr>
      <w:pStyle w:val="HeaderEnd"/>
    </w:pPr>
  </w:p>
  <w:p w:rsidR="0036160D" w:rsidRDefault="0036160D">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7057F34"/>
    <w:multiLevelType w:val="singleLevel"/>
    <w:tmpl w:val="ED98921A"/>
    <w:lvl w:ilvl="0">
      <w:start w:val="1"/>
      <w:numFmt w:val="decimal"/>
      <w:lvlText w:val="%1."/>
      <w:legacy w:legacy="1" w:legacySpace="0" w:legacyIndent="340"/>
      <w:lvlJc w:val="left"/>
      <w:pPr>
        <w:ind w:left="340" w:hanging="340"/>
      </w:pPr>
    </w:lvl>
  </w:abstractNum>
  <w:abstractNum w:abstractNumId="12">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1F74561"/>
    <w:multiLevelType w:val="singleLevel"/>
    <w:tmpl w:val="ED98921A"/>
    <w:lvl w:ilvl="0">
      <w:start w:val="1"/>
      <w:numFmt w:val="decimal"/>
      <w:lvlText w:val="%1."/>
      <w:legacy w:legacy="1" w:legacySpace="0" w:legacyIndent="340"/>
      <w:lvlJc w:val="left"/>
      <w:pPr>
        <w:ind w:left="340" w:hanging="340"/>
      </w:p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8">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9"/>
  </w:num>
  <w:num w:numId="3">
    <w:abstractNumId w:val="10"/>
  </w:num>
  <w:num w:numId="4">
    <w:abstractNumId w:val="15"/>
  </w:num>
  <w:num w:numId="5">
    <w:abstractNumId w:val="24"/>
  </w:num>
  <w:num w:numId="6">
    <w:abstractNumId w:val="20"/>
  </w:num>
  <w:num w:numId="7">
    <w:abstractNumId w:val="43"/>
  </w:num>
  <w:num w:numId="8">
    <w:abstractNumId w:val="44"/>
  </w:num>
  <w:num w:numId="9">
    <w:abstractNumId w:val="17"/>
  </w:num>
  <w:num w:numId="10">
    <w:abstractNumId w:val="25"/>
  </w:num>
  <w:num w:numId="11">
    <w:abstractNumId w:val="27"/>
  </w:num>
  <w:num w:numId="12">
    <w:abstractNumId w:val="7"/>
  </w:num>
  <w:num w:numId="13">
    <w:abstractNumId w:val="14"/>
  </w:num>
  <w:num w:numId="14">
    <w:abstractNumId w:val="13"/>
  </w:num>
  <w:num w:numId="15">
    <w:abstractNumId w:val="5"/>
  </w:num>
  <w:num w:numId="16">
    <w:abstractNumId w:val="3"/>
  </w:num>
  <w:num w:numId="17">
    <w:abstractNumId w:val="2"/>
  </w:num>
  <w:num w:numId="18">
    <w:abstractNumId w:val="4"/>
  </w:num>
  <w:num w:numId="19">
    <w:abstractNumId w:val="1"/>
  </w:num>
  <w:num w:numId="20">
    <w:abstractNumId w:val="0"/>
  </w:num>
  <w:num w:numId="21">
    <w:abstractNumId w:val="11"/>
  </w:num>
  <w:num w:numId="22">
    <w:abstractNumId w:val="33"/>
  </w:num>
  <w:num w:numId="23">
    <w:abstractNumId w:val="36"/>
  </w:num>
  <w:num w:numId="24">
    <w:abstractNumId w:val="23"/>
  </w:num>
  <w:num w:numId="25">
    <w:abstractNumId w:val="26"/>
  </w:num>
  <w:num w:numId="26">
    <w:abstractNumId w:val="28"/>
  </w:num>
  <w:num w:numId="27">
    <w:abstractNumId w:val="42"/>
  </w:num>
  <w:num w:numId="28">
    <w:abstractNumId w:val="32"/>
  </w:num>
  <w:num w:numId="29">
    <w:abstractNumId w:val="38"/>
  </w:num>
  <w:num w:numId="30">
    <w:abstractNumId w:val="40"/>
  </w:num>
  <w:num w:numId="31">
    <w:abstractNumId w:val="30"/>
  </w:num>
  <w:num w:numId="32">
    <w:abstractNumId w:val="21"/>
  </w:num>
  <w:num w:numId="33">
    <w:abstractNumId w:val="45"/>
  </w:num>
  <w:num w:numId="34">
    <w:abstractNumId w:val="8"/>
  </w:num>
  <w:num w:numId="35">
    <w:abstractNumId w:val="18"/>
  </w:num>
  <w:num w:numId="36">
    <w:abstractNumId w:val="41"/>
  </w:num>
  <w:num w:numId="37">
    <w:abstractNumId w:val="31"/>
  </w:num>
  <w:num w:numId="38">
    <w:abstractNumId w:val="12"/>
  </w:num>
  <w:num w:numId="39">
    <w:abstractNumId w:val="35"/>
  </w:num>
  <w:num w:numId="40">
    <w:abstractNumId w:val="20"/>
  </w:num>
  <w:num w:numId="41">
    <w:abstractNumId w:val="19"/>
  </w:num>
  <w:num w:numId="42">
    <w:abstractNumId w:val="29"/>
  </w:num>
  <w:num w:numId="43">
    <w:abstractNumId w:val="22"/>
  </w:num>
  <w:num w:numId="44">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5">
    <w:abstractNumId w:val="34"/>
  </w:num>
  <w:num w:numId="46">
    <w:abstractNumId w:val="16"/>
  </w:num>
  <w:num w:numId="47">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324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C"/>
    <w:docVar w:name="DocType" w:val="0"/>
    <w:docVar w:name="FindingOptions" w:val="1"/>
    <w:docVar w:name="LongChapterTitle" w:val="Chapter"/>
    <w:docVar w:name="LongReportTitle" w:val="Report title"/>
    <w:docVar w:name="RecOptions" w:val="111"/>
    <w:docVar w:name="ShortChapterTitle" w:val="Justice Preface"/>
    <w:docVar w:name="ShortReportTitle" w:val="Report on Government Services 2009"/>
    <w:docVar w:name="SideNote" w:val="1"/>
    <w:docVar w:name="UseShortChapter" w:val="0"/>
    <w:docVar w:name="UseShortReport" w:val="0"/>
  </w:docVars>
  <w:rsids>
    <w:rsidRoot w:val="00DA0C08"/>
    <w:rsid w:val="000007C1"/>
    <w:rsid w:val="00000840"/>
    <w:rsid w:val="00000CC1"/>
    <w:rsid w:val="000011CC"/>
    <w:rsid w:val="000013AE"/>
    <w:rsid w:val="00001B1C"/>
    <w:rsid w:val="0000216A"/>
    <w:rsid w:val="0000258A"/>
    <w:rsid w:val="00002C67"/>
    <w:rsid w:val="00002E5B"/>
    <w:rsid w:val="00004178"/>
    <w:rsid w:val="00004DFD"/>
    <w:rsid w:val="00005143"/>
    <w:rsid w:val="000052A1"/>
    <w:rsid w:val="000054F1"/>
    <w:rsid w:val="00005A12"/>
    <w:rsid w:val="00005AA2"/>
    <w:rsid w:val="000063BD"/>
    <w:rsid w:val="00006C51"/>
    <w:rsid w:val="00007218"/>
    <w:rsid w:val="00007336"/>
    <w:rsid w:val="00007962"/>
    <w:rsid w:val="00007BA4"/>
    <w:rsid w:val="0001029A"/>
    <w:rsid w:val="00010AB6"/>
    <w:rsid w:val="00010B33"/>
    <w:rsid w:val="00010EEB"/>
    <w:rsid w:val="00011028"/>
    <w:rsid w:val="00011C01"/>
    <w:rsid w:val="0001239E"/>
    <w:rsid w:val="00012870"/>
    <w:rsid w:val="00013043"/>
    <w:rsid w:val="00013063"/>
    <w:rsid w:val="00013C60"/>
    <w:rsid w:val="00013FB3"/>
    <w:rsid w:val="000146E9"/>
    <w:rsid w:val="00014E57"/>
    <w:rsid w:val="00014F57"/>
    <w:rsid w:val="00015256"/>
    <w:rsid w:val="00015A2E"/>
    <w:rsid w:val="00015C75"/>
    <w:rsid w:val="0001631E"/>
    <w:rsid w:val="0002063A"/>
    <w:rsid w:val="00020C69"/>
    <w:rsid w:val="00020FCA"/>
    <w:rsid w:val="000213F3"/>
    <w:rsid w:val="000214EC"/>
    <w:rsid w:val="00021E60"/>
    <w:rsid w:val="000228FB"/>
    <w:rsid w:val="00022A92"/>
    <w:rsid w:val="00022D9D"/>
    <w:rsid w:val="00023171"/>
    <w:rsid w:val="000232C6"/>
    <w:rsid w:val="00023CA9"/>
    <w:rsid w:val="0002412D"/>
    <w:rsid w:val="000242B8"/>
    <w:rsid w:val="00024D99"/>
    <w:rsid w:val="00025349"/>
    <w:rsid w:val="000258FB"/>
    <w:rsid w:val="000261D4"/>
    <w:rsid w:val="00026CB2"/>
    <w:rsid w:val="000274DC"/>
    <w:rsid w:val="000278F2"/>
    <w:rsid w:val="00027C4F"/>
    <w:rsid w:val="0003024E"/>
    <w:rsid w:val="000304BE"/>
    <w:rsid w:val="00030826"/>
    <w:rsid w:val="00030B77"/>
    <w:rsid w:val="000315E2"/>
    <w:rsid w:val="000316FD"/>
    <w:rsid w:val="000318D8"/>
    <w:rsid w:val="00031CB3"/>
    <w:rsid w:val="00031ED1"/>
    <w:rsid w:val="000321A4"/>
    <w:rsid w:val="00032775"/>
    <w:rsid w:val="00032B6A"/>
    <w:rsid w:val="00032BD4"/>
    <w:rsid w:val="0003303C"/>
    <w:rsid w:val="00033136"/>
    <w:rsid w:val="0003448F"/>
    <w:rsid w:val="0003462A"/>
    <w:rsid w:val="0003464B"/>
    <w:rsid w:val="00034720"/>
    <w:rsid w:val="00034743"/>
    <w:rsid w:val="000349CA"/>
    <w:rsid w:val="00034D24"/>
    <w:rsid w:val="00035455"/>
    <w:rsid w:val="000354A9"/>
    <w:rsid w:val="000355B5"/>
    <w:rsid w:val="00035A69"/>
    <w:rsid w:val="00036907"/>
    <w:rsid w:val="00036C0B"/>
    <w:rsid w:val="000370BB"/>
    <w:rsid w:val="000371F9"/>
    <w:rsid w:val="00037797"/>
    <w:rsid w:val="00037A07"/>
    <w:rsid w:val="00037EC4"/>
    <w:rsid w:val="00037F9A"/>
    <w:rsid w:val="000403BD"/>
    <w:rsid w:val="0004197F"/>
    <w:rsid w:val="000436D5"/>
    <w:rsid w:val="0004376A"/>
    <w:rsid w:val="00043BAB"/>
    <w:rsid w:val="00044672"/>
    <w:rsid w:val="00045513"/>
    <w:rsid w:val="00045D2E"/>
    <w:rsid w:val="000463B9"/>
    <w:rsid w:val="000464BB"/>
    <w:rsid w:val="0004689C"/>
    <w:rsid w:val="00046B5B"/>
    <w:rsid w:val="00046DAB"/>
    <w:rsid w:val="000471A7"/>
    <w:rsid w:val="00047639"/>
    <w:rsid w:val="000478A5"/>
    <w:rsid w:val="00050110"/>
    <w:rsid w:val="00050148"/>
    <w:rsid w:val="00051200"/>
    <w:rsid w:val="00051418"/>
    <w:rsid w:val="00051444"/>
    <w:rsid w:val="000514F6"/>
    <w:rsid w:val="00051E94"/>
    <w:rsid w:val="0005210D"/>
    <w:rsid w:val="00052546"/>
    <w:rsid w:val="00052A85"/>
    <w:rsid w:val="000530A7"/>
    <w:rsid w:val="0005345C"/>
    <w:rsid w:val="000534BA"/>
    <w:rsid w:val="000537BC"/>
    <w:rsid w:val="00053EAF"/>
    <w:rsid w:val="0005456A"/>
    <w:rsid w:val="00054A37"/>
    <w:rsid w:val="00054EDA"/>
    <w:rsid w:val="000552E1"/>
    <w:rsid w:val="00055365"/>
    <w:rsid w:val="00055B2D"/>
    <w:rsid w:val="00055D36"/>
    <w:rsid w:val="00055E5F"/>
    <w:rsid w:val="00055ED3"/>
    <w:rsid w:val="00056137"/>
    <w:rsid w:val="000561A7"/>
    <w:rsid w:val="00057B12"/>
    <w:rsid w:val="00057C4C"/>
    <w:rsid w:val="00060863"/>
    <w:rsid w:val="00061391"/>
    <w:rsid w:val="000614FF"/>
    <w:rsid w:val="000618C5"/>
    <w:rsid w:val="00061F7C"/>
    <w:rsid w:val="00062273"/>
    <w:rsid w:val="00062786"/>
    <w:rsid w:val="00063994"/>
    <w:rsid w:val="00063BE9"/>
    <w:rsid w:val="00063DE1"/>
    <w:rsid w:val="00064317"/>
    <w:rsid w:val="0006439E"/>
    <w:rsid w:val="00065B46"/>
    <w:rsid w:val="00065EF9"/>
    <w:rsid w:val="0006649C"/>
    <w:rsid w:val="000666D4"/>
    <w:rsid w:val="0006695D"/>
    <w:rsid w:val="00066D33"/>
    <w:rsid w:val="0006766C"/>
    <w:rsid w:val="0007005E"/>
    <w:rsid w:val="0007088C"/>
    <w:rsid w:val="00070955"/>
    <w:rsid w:val="00070E95"/>
    <w:rsid w:val="0007109B"/>
    <w:rsid w:val="00071659"/>
    <w:rsid w:val="00071C05"/>
    <w:rsid w:val="00071D8B"/>
    <w:rsid w:val="00072642"/>
    <w:rsid w:val="00072F41"/>
    <w:rsid w:val="00073FED"/>
    <w:rsid w:val="000740C8"/>
    <w:rsid w:val="000742BE"/>
    <w:rsid w:val="00074429"/>
    <w:rsid w:val="000745A7"/>
    <w:rsid w:val="00074681"/>
    <w:rsid w:val="00074F89"/>
    <w:rsid w:val="0007528A"/>
    <w:rsid w:val="00075518"/>
    <w:rsid w:val="00075B6B"/>
    <w:rsid w:val="00075C12"/>
    <w:rsid w:val="00076861"/>
    <w:rsid w:val="00076CDF"/>
    <w:rsid w:val="00077905"/>
    <w:rsid w:val="0007795E"/>
    <w:rsid w:val="00077AEE"/>
    <w:rsid w:val="000804AB"/>
    <w:rsid w:val="000809A5"/>
    <w:rsid w:val="00081640"/>
    <w:rsid w:val="000821F3"/>
    <w:rsid w:val="000822E4"/>
    <w:rsid w:val="000829C7"/>
    <w:rsid w:val="00082B62"/>
    <w:rsid w:val="000830B9"/>
    <w:rsid w:val="00083B14"/>
    <w:rsid w:val="0008429D"/>
    <w:rsid w:val="00084800"/>
    <w:rsid w:val="00084A34"/>
    <w:rsid w:val="000850A1"/>
    <w:rsid w:val="00085BF3"/>
    <w:rsid w:val="000861CC"/>
    <w:rsid w:val="000864F5"/>
    <w:rsid w:val="0008666F"/>
    <w:rsid w:val="00086D86"/>
    <w:rsid w:val="00087395"/>
    <w:rsid w:val="00087432"/>
    <w:rsid w:val="0008754B"/>
    <w:rsid w:val="000877E0"/>
    <w:rsid w:val="000901CB"/>
    <w:rsid w:val="000902E4"/>
    <w:rsid w:val="00090827"/>
    <w:rsid w:val="00090C66"/>
    <w:rsid w:val="000912FE"/>
    <w:rsid w:val="0009143D"/>
    <w:rsid w:val="00091544"/>
    <w:rsid w:val="00091771"/>
    <w:rsid w:val="00091777"/>
    <w:rsid w:val="00091792"/>
    <w:rsid w:val="000922A3"/>
    <w:rsid w:val="000923E1"/>
    <w:rsid w:val="0009247A"/>
    <w:rsid w:val="000933E9"/>
    <w:rsid w:val="000945A9"/>
    <w:rsid w:val="0009466A"/>
    <w:rsid w:val="000946EE"/>
    <w:rsid w:val="00095523"/>
    <w:rsid w:val="00095763"/>
    <w:rsid w:val="00095BE4"/>
    <w:rsid w:val="000961E6"/>
    <w:rsid w:val="00096476"/>
    <w:rsid w:val="00096607"/>
    <w:rsid w:val="00097113"/>
    <w:rsid w:val="0009785E"/>
    <w:rsid w:val="00097D4A"/>
    <w:rsid w:val="000A014C"/>
    <w:rsid w:val="000A081D"/>
    <w:rsid w:val="000A0F84"/>
    <w:rsid w:val="000A0FC2"/>
    <w:rsid w:val="000A1375"/>
    <w:rsid w:val="000A2477"/>
    <w:rsid w:val="000A27CD"/>
    <w:rsid w:val="000A2906"/>
    <w:rsid w:val="000A2CA6"/>
    <w:rsid w:val="000A2D06"/>
    <w:rsid w:val="000A30CA"/>
    <w:rsid w:val="000A42D1"/>
    <w:rsid w:val="000A55B3"/>
    <w:rsid w:val="000A6B67"/>
    <w:rsid w:val="000A6CEA"/>
    <w:rsid w:val="000A6F95"/>
    <w:rsid w:val="000A797D"/>
    <w:rsid w:val="000A7AFF"/>
    <w:rsid w:val="000A7FAB"/>
    <w:rsid w:val="000B0311"/>
    <w:rsid w:val="000B04D1"/>
    <w:rsid w:val="000B04EC"/>
    <w:rsid w:val="000B0EA1"/>
    <w:rsid w:val="000B10AE"/>
    <w:rsid w:val="000B1157"/>
    <w:rsid w:val="000B1255"/>
    <w:rsid w:val="000B134B"/>
    <w:rsid w:val="000B21F2"/>
    <w:rsid w:val="000B26CF"/>
    <w:rsid w:val="000B3A1B"/>
    <w:rsid w:val="000B3DE1"/>
    <w:rsid w:val="000B42B6"/>
    <w:rsid w:val="000B478F"/>
    <w:rsid w:val="000B4C46"/>
    <w:rsid w:val="000B534E"/>
    <w:rsid w:val="000B55F7"/>
    <w:rsid w:val="000B5D0F"/>
    <w:rsid w:val="000B6600"/>
    <w:rsid w:val="000B6C93"/>
    <w:rsid w:val="000B7313"/>
    <w:rsid w:val="000B7368"/>
    <w:rsid w:val="000B75BE"/>
    <w:rsid w:val="000C029F"/>
    <w:rsid w:val="000C0987"/>
    <w:rsid w:val="000C0E89"/>
    <w:rsid w:val="000C0EAA"/>
    <w:rsid w:val="000C18D9"/>
    <w:rsid w:val="000C215D"/>
    <w:rsid w:val="000C292C"/>
    <w:rsid w:val="000C30DF"/>
    <w:rsid w:val="000C34CE"/>
    <w:rsid w:val="000C367D"/>
    <w:rsid w:val="000C36F7"/>
    <w:rsid w:val="000C37B5"/>
    <w:rsid w:val="000C390A"/>
    <w:rsid w:val="000C475F"/>
    <w:rsid w:val="000C4F11"/>
    <w:rsid w:val="000C5C01"/>
    <w:rsid w:val="000C69F1"/>
    <w:rsid w:val="000C7D78"/>
    <w:rsid w:val="000C7FED"/>
    <w:rsid w:val="000D04F7"/>
    <w:rsid w:val="000D1276"/>
    <w:rsid w:val="000D15CA"/>
    <w:rsid w:val="000D160A"/>
    <w:rsid w:val="000D16A9"/>
    <w:rsid w:val="000D1C77"/>
    <w:rsid w:val="000D1E6A"/>
    <w:rsid w:val="000D2725"/>
    <w:rsid w:val="000D27FF"/>
    <w:rsid w:val="000D3584"/>
    <w:rsid w:val="000D3730"/>
    <w:rsid w:val="000D4BCA"/>
    <w:rsid w:val="000D5495"/>
    <w:rsid w:val="000D5953"/>
    <w:rsid w:val="000D5A22"/>
    <w:rsid w:val="000D61DE"/>
    <w:rsid w:val="000D6D4F"/>
    <w:rsid w:val="000D7592"/>
    <w:rsid w:val="000E001D"/>
    <w:rsid w:val="000E008A"/>
    <w:rsid w:val="000E07A2"/>
    <w:rsid w:val="000E0BB0"/>
    <w:rsid w:val="000E1508"/>
    <w:rsid w:val="000E28CC"/>
    <w:rsid w:val="000E2DC4"/>
    <w:rsid w:val="000E4933"/>
    <w:rsid w:val="000E4F57"/>
    <w:rsid w:val="000E5707"/>
    <w:rsid w:val="000E5C29"/>
    <w:rsid w:val="000E5D55"/>
    <w:rsid w:val="000E6326"/>
    <w:rsid w:val="000E68BC"/>
    <w:rsid w:val="000E7005"/>
    <w:rsid w:val="000E7622"/>
    <w:rsid w:val="000E769F"/>
    <w:rsid w:val="000E7DD0"/>
    <w:rsid w:val="000E7F58"/>
    <w:rsid w:val="000F0101"/>
    <w:rsid w:val="000F09D2"/>
    <w:rsid w:val="000F0A2A"/>
    <w:rsid w:val="000F1796"/>
    <w:rsid w:val="000F1FAA"/>
    <w:rsid w:val="000F1FB2"/>
    <w:rsid w:val="000F2BA7"/>
    <w:rsid w:val="000F329E"/>
    <w:rsid w:val="000F3474"/>
    <w:rsid w:val="000F3DFE"/>
    <w:rsid w:val="000F438E"/>
    <w:rsid w:val="000F4B5B"/>
    <w:rsid w:val="000F64A3"/>
    <w:rsid w:val="000F684C"/>
    <w:rsid w:val="000F6F12"/>
    <w:rsid w:val="000F73AE"/>
    <w:rsid w:val="000F7DB1"/>
    <w:rsid w:val="0010002B"/>
    <w:rsid w:val="0010032B"/>
    <w:rsid w:val="0010039C"/>
    <w:rsid w:val="00100A3E"/>
    <w:rsid w:val="00100F17"/>
    <w:rsid w:val="0010141F"/>
    <w:rsid w:val="00101474"/>
    <w:rsid w:val="00102BB6"/>
    <w:rsid w:val="001038B6"/>
    <w:rsid w:val="00103A8C"/>
    <w:rsid w:val="0010442C"/>
    <w:rsid w:val="00104FDB"/>
    <w:rsid w:val="001053CF"/>
    <w:rsid w:val="0010547B"/>
    <w:rsid w:val="0010678C"/>
    <w:rsid w:val="001069A5"/>
    <w:rsid w:val="00110D87"/>
    <w:rsid w:val="0011181A"/>
    <w:rsid w:val="00111AB1"/>
    <w:rsid w:val="00112030"/>
    <w:rsid w:val="00112AF6"/>
    <w:rsid w:val="00112B66"/>
    <w:rsid w:val="00112C19"/>
    <w:rsid w:val="00112CA4"/>
    <w:rsid w:val="001133B2"/>
    <w:rsid w:val="00113793"/>
    <w:rsid w:val="00113B2C"/>
    <w:rsid w:val="00113E73"/>
    <w:rsid w:val="001141B7"/>
    <w:rsid w:val="00114A75"/>
    <w:rsid w:val="001153F6"/>
    <w:rsid w:val="00116FAA"/>
    <w:rsid w:val="00117413"/>
    <w:rsid w:val="00117C44"/>
    <w:rsid w:val="00121503"/>
    <w:rsid w:val="00121884"/>
    <w:rsid w:val="00121F17"/>
    <w:rsid w:val="001222B2"/>
    <w:rsid w:val="00122C08"/>
    <w:rsid w:val="001245A3"/>
    <w:rsid w:val="001249D6"/>
    <w:rsid w:val="00124E19"/>
    <w:rsid w:val="001260DB"/>
    <w:rsid w:val="001267EE"/>
    <w:rsid w:val="0012687E"/>
    <w:rsid w:val="00126CF0"/>
    <w:rsid w:val="00127124"/>
    <w:rsid w:val="0012724D"/>
    <w:rsid w:val="00127C09"/>
    <w:rsid w:val="00127E2E"/>
    <w:rsid w:val="0013060C"/>
    <w:rsid w:val="00130D84"/>
    <w:rsid w:val="00131310"/>
    <w:rsid w:val="00131436"/>
    <w:rsid w:val="001321F4"/>
    <w:rsid w:val="0013262C"/>
    <w:rsid w:val="0013282E"/>
    <w:rsid w:val="001335C4"/>
    <w:rsid w:val="00133D5A"/>
    <w:rsid w:val="001343FD"/>
    <w:rsid w:val="001351A1"/>
    <w:rsid w:val="001357B6"/>
    <w:rsid w:val="00135D5E"/>
    <w:rsid w:val="00135E16"/>
    <w:rsid w:val="00136825"/>
    <w:rsid w:val="00136862"/>
    <w:rsid w:val="00136AFA"/>
    <w:rsid w:val="001376DD"/>
    <w:rsid w:val="0013792C"/>
    <w:rsid w:val="001379AD"/>
    <w:rsid w:val="00137C34"/>
    <w:rsid w:val="00137C77"/>
    <w:rsid w:val="001401EB"/>
    <w:rsid w:val="00140326"/>
    <w:rsid w:val="001403F0"/>
    <w:rsid w:val="001414CF"/>
    <w:rsid w:val="001424E9"/>
    <w:rsid w:val="00143029"/>
    <w:rsid w:val="00143E42"/>
    <w:rsid w:val="00143E7A"/>
    <w:rsid w:val="00144223"/>
    <w:rsid w:val="001447DF"/>
    <w:rsid w:val="00145A3E"/>
    <w:rsid w:val="00145C3D"/>
    <w:rsid w:val="00145EA8"/>
    <w:rsid w:val="001465CE"/>
    <w:rsid w:val="00146804"/>
    <w:rsid w:val="00146C8C"/>
    <w:rsid w:val="001505CA"/>
    <w:rsid w:val="001505DC"/>
    <w:rsid w:val="001506DA"/>
    <w:rsid w:val="001517DB"/>
    <w:rsid w:val="00151DBE"/>
    <w:rsid w:val="001534A0"/>
    <w:rsid w:val="00153D5F"/>
    <w:rsid w:val="00154488"/>
    <w:rsid w:val="00154C28"/>
    <w:rsid w:val="00154FB5"/>
    <w:rsid w:val="001551DF"/>
    <w:rsid w:val="00155E55"/>
    <w:rsid w:val="00155F55"/>
    <w:rsid w:val="00156157"/>
    <w:rsid w:val="00156706"/>
    <w:rsid w:val="00156BF6"/>
    <w:rsid w:val="00156E6F"/>
    <w:rsid w:val="00157A0E"/>
    <w:rsid w:val="00157F74"/>
    <w:rsid w:val="001603B3"/>
    <w:rsid w:val="00160A29"/>
    <w:rsid w:val="00160BB2"/>
    <w:rsid w:val="00161D6F"/>
    <w:rsid w:val="00162080"/>
    <w:rsid w:val="00162874"/>
    <w:rsid w:val="00162CE7"/>
    <w:rsid w:val="00162EA3"/>
    <w:rsid w:val="00162F4D"/>
    <w:rsid w:val="00163512"/>
    <w:rsid w:val="0016372C"/>
    <w:rsid w:val="00163817"/>
    <w:rsid w:val="00163E67"/>
    <w:rsid w:val="00164D37"/>
    <w:rsid w:val="00164E2B"/>
    <w:rsid w:val="00164F13"/>
    <w:rsid w:val="0016550D"/>
    <w:rsid w:val="001659A3"/>
    <w:rsid w:val="00165D9B"/>
    <w:rsid w:val="0016612E"/>
    <w:rsid w:val="001662D3"/>
    <w:rsid w:val="00166580"/>
    <w:rsid w:val="00166BAA"/>
    <w:rsid w:val="001671F6"/>
    <w:rsid w:val="00167433"/>
    <w:rsid w:val="00167D3F"/>
    <w:rsid w:val="001708CB"/>
    <w:rsid w:val="00170EFA"/>
    <w:rsid w:val="00171152"/>
    <w:rsid w:val="00171166"/>
    <w:rsid w:val="00171491"/>
    <w:rsid w:val="001717A9"/>
    <w:rsid w:val="001718CB"/>
    <w:rsid w:val="001723FB"/>
    <w:rsid w:val="00172E29"/>
    <w:rsid w:val="00173016"/>
    <w:rsid w:val="0017312D"/>
    <w:rsid w:val="001731EC"/>
    <w:rsid w:val="00173301"/>
    <w:rsid w:val="00173611"/>
    <w:rsid w:val="0017378F"/>
    <w:rsid w:val="00173811"/>
    <w:rsid w:val="00173AFB"/>
    <w:rsid w:val="00173C3F"/>
    <w:rsid w:val="00173FAE"/>
    <w:rsid w:val="001740AA"/>
    <w:rsid w:val="001746D5"/>
    <w:rsid w:val="00175286"/>
    <w:rsid w:val="00176D4D"/>
    <w:rsid w:val="00176D64"/>
    <w:rsid w:val="0018004D"/>
    <w:rsid w:val="00180871"/>
    <w:rsid w:val="001809CF"/>
    <w:rsid w:val="00180A26"/>
    <w:rsid w:val="00180FC6"/>
    <w:rsid w:val="001813A7"/>
    <w:rsid w:val="00181D2D"/>
    <w:rsid w:val="00181DBD"/>
    <w:rsid w:val="00181F03"/>
    <w:rsid w:val="00182184"/>
    <w:rsid w:val="001821E5"/>
    <w:rsid w:val="00182B71"/>
    <w:rsid w:val="00182D1B"/>
    <w:rsid w:val="001832D3"/>
    <w:rsid w:val="00183EA7"/>
    <w:rsid w:val="00184354"/>
    <w:rsid w:val="0018560C"/>
    <w:rsid w:val="00186A5A"/>
    <w:rsid w:val="00186E6B"/>
    <w:rsid w:val="0018777F"/>
    <w:rsid w:val="001904AE"/>
    <w:rsid w:val="001904C8"/>
    <w:rsid w:val="0019084E"/>
    <w:rsid w:val="00190887"/>
    <w:rsid w:val="00190A86"/>
    <w:rsid w:val="00190D03"/>
    <w:rsid w:val="00191933"/>
    <w:rsid w:val="00192317"/>
    <w:rsid w:val="00192668"/>
    <w:rsid w:val="0019284B"/>
    <w:rsid w:val="00192DF9"/>
    <w:rsid w:val="001934E4"/>
    <w:rsid w:val="0019364C"/>
    <w:rsid w:val="0019390F"/>
    <w:rsid w:val="00193BA2"/>
    <w:rsid w:val="00193D6A"/>
    <w:rsid w:val="0019472A"/>
    <w:rsid w:val="0019493C"/>
    <w:rsid w:val="001963B1"/>
    <w:rsid w:val="00196CBC"/>
    <w:rsid w:val="001A04B2"/>
    <w:rsid w:val="001A09C2"/>
    <w:rsid w:val="001A1C4A"/>
    <w:rsid w:val="001A2F1E"/>
    <w:rsid w:val="001A2F43"/>
    <w:rsid w:val="001A2F91"/>
    <w:rsid w:val="001A3115"/>
    <w:rsid w:val="001A326F"/>
    <w:rsid w:val="001A38D6"/>
    <w:rsid w:val="001A402F"/>
    <w:rsid w:val="001A424A"/>
    <w:rsid w:val="001A550B"/>
    <w:rsid w:val="001A6653"/>
    <w:rsid w:val="001A6972"/>
    <w:rsid w:val="001A6A2D"/>
    <w:rsid w:val="001A77A4"/>
    <w:rsid w:val="001A787A"/>
    <w:rsid w:val="001A7AE8"/>
    <w:rsid w:val="001B0041"/>
    <w:rsid w:val="001B0BFF"/>
    <w:rsid w:val="001B1426"/>
    <w:rsid w:val="001B1755"/>
    <w:rsid w:val="001B29E5"/>
    <w:rsid w:val="001B2B2F"/>
    <w:rsid w:val="001B3333"/>
    <w:rsid w:val="001B3391"/>
    <w:rsid w:val="001B3527"/>
    <w:rsid w:val="001B3D74"/>
    <w:rsid w:val="001B3DED"/>
    <w:rsid w:val="001B47CD"/>
    <w:rsid w:val="001B4EB9"/>
    <w:rsid w:val="001B592A"/>
    <w:rsid w:val="001B5DA1"/>
    <w:rsid w:val="001B6147"/>
    <w:rsid w:val="001B649D"/>
    <w:rsid w:val="001B71C6"/>
    <w:rsid w:val="001B77CF"/>
    <w:rsid w:val="001B7961"/>
    <w:rsid w:val="001B7BFD"/>
    <w:rsid w:val="001C08C9"/>
    <w:rsid w:val="001C0B3C"/>
    <w:rsid w:val="001C11E5"/>
    <w:rsid w:val="001C1547"/>
    <w:rsid w:val="001C15C2"/>
    <w:rsid w:val="001C1A24"/>
    <w:rsid w:val="001C1E18"/>
    <w:rsid w:val="001C2659"/>
    <w:rsid w:val="001C2A70"/>
    <w:rsid w:val="001C2C11"/>
    <w:rsid w:val="001C3062"/>
    <w:rsid w:val="001C4C80"/>
    <w:rsid w:val="001C5E60"/>
    <w:rsid w:val="001C6180"/>
    <w:rsid w:val="001C6610"/>
    <w:rsid w:val="001C7040"/>
    <w:rsid w:val="001C739B"/>
    <w:rsid w:val="001C77A3"/>
    <w:rsid w:val="001D00AF"/>
    <w:rsid w:val="001D0166"/>
    <w:rsid w:val="001D0848"/>
    <w:rsid w:val="001D1083"/>
    <w:rsid w:val="001D111F"/>
    <w:rsid w:val="001D13EE"/>
    <w:rsid w:val="001D15FE"/>
    <w:rsid w:val="001D1DC7"/>
    <w:rsid w:val="001D205F"/>
    <w:rsid w:val="001D20BD"/>
    <w:rsid w:val="001D22E1"/>
    <w:rsid w:val="001D22E3"/>
    <w:rsid w:val="001D36B5"/>
    <w:rsid w:val="001D3849"/>
    <w:rsid w:val="001D3A5D"/>
    <w:rsid w:val="001D486C"/>
    <w:rsid w:val="001D4A66"/>
    <w:rsid w:val="001D4AC4"/>
    <w:rsid w:val="001D4B60"/>
    <w:rsid w:val="001D5042"/>
    <w:rsid w:val="001D51D6"/>
    <w:rsid w:val="001D561E"/>
    <w:rsid w:val="001D5D22"/>
    <w:rsid w:val="001D5F7E"/>
    <w:rsid w:val="001D62E4"/>
    <w:rsid w:val="001D65EA"/>
    <w:rsid w:val="001D6E03"/>
    <w:rsid w:val="001D6F96"/>
    <w:rsid w:val="001D74EB"/>
    <w:rsid w:val="001D75E3"/>
    <w:rsid w:val="001D7844"/>
    <w:rsid w:val="001D7B71"/>
    <w:rsid w:val="001D7C0F"/>
    <w:rsid w:val="001D7E48"/>
    <w:rsid w:val="001E0373"/>
    <w:rsid w:val="001E11EE"/>
    <w:rsid w:val="001E180C"/>
    <w:rsid w:val="001E19A0"/>
    <w:rsid w:val="001E19F7"/>
    <w:rsid w:val="001E1E80"/>
    <w:rsid w:val="001E2142"/>
    <w:rsid w:val="001E245F"/>
    <w:rsid w:val="001E2FB2"/>
    <w:rsid w:val="001E30B7"/>
    <w:rsid w:val="001E315E"/>
    <w:rsid w:val="001E35DD"/>
    <w:rsid w:val="001E3B21"/>
    <w:rsid w:val="001E495F"/>
    <w:rsid w:val="001E4FA0"/>
    <w:rsid w:val="001E5021"/>
    <w:rsid w:val="001E6045"/>
    <w:rsid w:val="001E60F2"/>
    <w:rsid w:val="001E6320"/>
    <w:rsid w:val="001E68D3"/>
    <w:rsid w:val="001E7592"/>
    <w:rsid w:val="001E7760"/>
    <w:rsid w:val="001E7913"/>
    <w:rsid w:val="001E7B8A"/>
    <w:rsid w:val="001F0702"/>
    <w:rsid w:val="001F08AD"/>
    <w:rsid w:val="001F09E5"/>
    <w:rsid w:val="001F0FFC"/>
    <w:rsid w:val="001F1BBF"/>
    <w:rsid w:val="001F1EC4"/>
    <w:rsid w:val="001F2367"/>
    <w:rsid w:val="001F2390"/>
    <w:rsid w:val="001F2860"/>
    <w:rsid w:val="001F29C6"/>
    <w:rsid w:val="001F337C"/>
    <w:rsid w:val="001F3E70"/>
    <w:rsid w:val="001F3EAA"/>
    <w:rsid w:val="001F45A9"/>
    <w:rsid w:val="001F470D"/>
    <w:rsid w:val="001F4985"/>
    <w:rsid w:val="001F5287"/>
    <w:rsid w:val="001F529C"/>
    <w:rsid w:val="001F536F"/>
    <w:rsid w:val="001F5AF4"/>
    <w:rsid w:val="001F5E10"/>
    <w:rsid w:val="001F5E5E"/>
    <w:rsid w:val="001F70EB"/>
    <w:rsid w:val="001F71A1"/>
    <w:rsid w:val="001F7918"/>
    <w:rsid w:val="0020004F"/>
    <w:rsid w:val="0020150A"/>
    <w:rsid w:val="00202541"/>
    <w:rsid w:val="00202549"/>
    <w:rsid w:val="00203432"/>
    <w:rsid w:val="00203F09"/>
    <w:rsid w:val="002041E6"/>
    <w:rsid w:val="0020426A"/>
    <w:rsid w:val="00204465"/>
    <w:rsid w:val="00204A60"/>
    <w:rsid w:val="0020546D"/>
    <w:rsid w:val="002054BB"/>
    <w:rsid w:val="002056E0"/>
    <w:rsid w:val="00205823"/>
    <w:rsid w:val="00206C1A"/>
    <w:rsid w:val="00207B40"/>
    <w:rsid w:val="0021032B"/>
    <w:rsid w:val="00210558"/>
    <w:rsid w:val="00210C05"/>
    <w:rsid w:val="0021100F"/>
    <w:rsid w:val="00211659"/>
    <w:rsid w:val="00211A49"/>
    <w:rsid w:val="00211B64"/>
    <w:rsid w:val="00211C0D"/>
    <w:rsid w:val="0021271A"/>
    <w:rsid w:val="00212892"/>
    <w:rsid w:val="00213435"/>
    <w:rsid w:val="0021444F"/>
    <w:rsid w:val="00214493"/>
    <w:rsid w:val="00214F54"/>
    <w:rsid w:val="002155A8"/>
    <w:rsid w:val="002158C8"/>
    <w:rsid w:val="002160FB"/>
    <w:rsid w:val="00216C4F"/>
    <w:rsid w:val="00216FCD"/>
    <w:rsid w:val="00217051"/>
    <w:rsid w:val="00217BA0"/>
    <w:rsid w:val="00217C07"/>
    <w:rsid w:val="002202D9"/>
    <w:rsid w:val="0022164A"/>
    <w:rsid w:val="002223B2"/>
    <w:rsid w:val="00222C22"/>
    <w:rsid w:val="0022386E"/>
    <w:rsid w:val="00223A93"/>
    <w:rsid w:val="00223BF3"/>
    <w:rsid w:val="00223F42"/>
    <w:rsid w:val="002247A9"/>
    <w:rsid w:val="002248CF"/>
    <w:rsid w:val="002252F2"/>
    <w:rsid w:val="00225947"/>
    <w:rsid w:val="00225A00"/>
    <w:rsid w:val="00225BB7"/>
    <w:rsid w:val="00225D3C"/>
    <w:rsid w:val="0022670D"/>
    <w:rsid w:val="00227F06"/>
    <w:rsid w:val="00230044"/>
    <w:rsid w:val="00230DC1"/>
    <w:rsid w:val="00231EDC"/>
    <w:rsid w:val="00232383"/>
    <w:rsid w:val="002329C0"/>
    <w:rsid w:val="00232CDD"/>
    <w:rsid w:val="0023353C"/>
    <w:rsid w:val="002335F2"/>
    <w:rsid w:val="00233AEA"/>
    <w:rsid w:val="002345BD"/>
    <w:rsid w:val="002346D2"/>
    <w:rsid w:val="002355B2"/>
    <w:rsid w:val="002356C2"/>
    <w:rsid w:val="00235739"/>
    <w:rsid w:val="002360D4"/>
    <w:rsid w:val="0023636E"/>
    <w:rsid w:val="00236516"/>
    <w:rsid w:val="002377FB"/>
    <w:rsid w:val="00237A55"/>
    <w:rsid w:val="00240D28"/>
    <w:rsid w:val="002421FC"/>
    <w:rsid w:val="00242340"/>
    <w:rsid w:val="00242CA8"/>
    <w:rsid w:val="00243402"/>
    <w:rsid w:val="00243571"/>
    <w:rsid w:val="002443A0"/>
    <w:rsid w:val="00244770"/>
    <w:rsid w:val="002448DB"/>
    <w:rsid w:val="00245427"/>
    <w:rsid w:val="00247B0D"/>
    <w:rsid w:val="00247C87"/>
    <w:rsid w:val="002500C6"/>
    <w:rsid w:val="00250351"/>
    <w:rsid w:val="0025182E"/>
    <w:rsid w:val="00251AD5"/>
    <w:rsid w:val="00251C76"/>
    <w:rsid w:val="00251FD7"/>
    <w:rsid w:val="002523D0"/>
    <w:rsid w:val="00252847"/>
    <w:rsid w:val="00252E5F"/>
    <w:rsid w:val="00253162"/>
    <w:rsid w:val="00253187"/>
    <w:rsid w:val="002533BC"/>
    <w:rsid w:val="002533FD"/>
    <w:rsid w:val="00253581"/>
    <w:rsid w:val="00253807"/>
    <w:rsid w:val="00253A5F"/>
    <w:rsid w:val="00253C29"/>
    <w:rsid w:val="00253C8B"/>
    <w:rsid w:val="0025428D"/>
    <w:rsid w:val="0025453D"/>
    <w:rsid w:val="002547A3"/>
    <w:rsid w:val="002549D4"/>
    <w:rsid w:val="0025519B"/>
    <w:rsid w:val="00255DF7"/>
    <w:rsid w:val="00256944"/>
    <w:rsid w:val="00256B74"/>
    <w:rsid w:val="00256F27"/>
    <w:rsid w:val="00257047"/>
    <w:rsid w:val="00257896"/>
    <w:rsid w:val="00257D5B"/>
    <w:rsid w:val="002602C5"/>
    <w:rsid w:val="0026067D"/>
    <w:rsid w:val="00260CBB"/>
    <w:rsid w:val="002610A5"/>
    <w:rsid w:val="002614AB"/>
    <w:rsid w:val="002614D0"/>
    <w:rsid w:val="00262F66"/>
    <w:rsid w:val="00263B1F"/>
    <w:rsid w:val="00264269"/>
    <w:rsid w:val="00264C21"/>
    <w:rsid w:val="0026540D"/>
    <w:rsid w:val="00265488"/>
    <w:rsid w:val="00265819"/>
    <w:rsid w:val="002669C8"/>
    <w:rsid w:val="002674FC"/>
    <w:rsid w:val="00270A61"/>
    <w:rsid w:val="002715DD"/>
    <w:rsid w:val="00271D35"/>
    <w:rsid w:val="00271F73"/>
    <w:rsid w:val="0027209D"/>
    <w:rsid w:val="0027299C"/>
    <w:rsid w:val="00272DFB"/>
    <w:rsid w:val="00273019"/>
    <w:rsid w:val="0027336F"/>
    <w:rsid w:val="00273A82"/>
    <w:rsid w:val="00273E86"/>
    <w:rsid w:val="002751ED"/>
    <w:rsid w:val="002772FE"/>
    <w:rsid w:val="002779C4"/>
    <w:rsid w:val="00277EF1"/>
    <w:rsid w:val="002801CC"/>
    <w:rsid w:val="00280953"/>
    <w:rsid w:val="00280CAE"/>
    <w:rsid w:val="00281112"/>
    <w:rsid w:val="0028131C"/>
    <w:rsid w:val="00281407"/>
    <w:rsid w:val="002816A4"/>
    <w:rsid w:val="0028228C"/>
    <w:rsid w:val="002829C4"/>
    <w:rsid w:val="00282A7B"/>
    <w:rsid w:val="00282C74"/>
    <w:rsid w:val="002833EC"/>
    <w:rsid w:val="0028359F"/>
    <w:rsid w:val="00283797"/>
    <w:rsid w:val="0028392B"/>
    <w:rsid w:val="00283D62"/>
    <w:rsid w:val="00284125"/>
    <w:rsid w:val="002848B4"/>
    <w:rsid w:val="00284AB9"/>
    <w:rsid w:val="0028543A"/>
    <w:rsid w:val="00286608"/>
    <w:rsid w:val="002868C5"/>
    <w:rsid w:val="00287022"/>
    <w:rsid w:val="00287856"/>
    <w:rsid w:val="00287857"/>
    <w:rsid w:val="00290327"/>
    <w:rsid w:val="00290495"/>
    <w:rsid w:val="002905C7"/>
    <w:rsid w:val="002905E8"/>
    <w:rsid w:val="00290E67"/>
    <w:rsid w:val="00291AF1"/>
    <w:rsid w:val="002929F4"/>
    <w:rsid w:val="00293228"/>
    <w:rsid w:val="002938C5"/>
    <w:rsid w:val="00294745"/>
    <w:rsid w:val="00294C3D"/>
    <w:rsid w:val="00294C7F"/>
    <w:rsid w:val="002950D7"/>
    <w:rsid w:val="00295D60"/>
    <w:rsid w:val="00295EC9"/>
    <w:rsid w:val="0029623B"/>
    <w:rsid w:val="002963AA"/>
    <w:rsid w:val="00297F80"/>
    <w:rsid w:val="002A0055"/>
    <w:rsid w:val="002A04AD"/>
    <w:rsid w:val="002A0BF0"/>
    <w:rsid w:val="002A0F1D"/>
    <w:rsid w:val="002A1316"/>
    <w:rsid w:val="002A1453"/>
    <w:rsid w:val="002A2711"/>
    <w:rsid w:val="002A2CEF"/>
    <w:rsid w:val="002A3138"/>
    <w:rsid w:val="002A3172"/>
    <w:rsid w:val="002A3703"/>
    <w:rsid w:val="002A4281"/>
    <w:rsid w:val="002A4CDE"/>
    <w:rsid w:val="002A521C"/>
    <w:rsid w:val="002A53F5"/>
    <w:rsid w:val="002A568E"/>
    <w:rsid w:val="002A6000"/>
    <w:rsid w:val="002A77D9"/>
    <w:rsid w:val="002A7898"/>
    <w:rsid w:val="002A794A"/>
    <w:rsid w:val="002B04BF"/>
    <w:rsid w:val="002B0F71"/>
    <w:rsid w:val="002B1396"/>
    <w:rsid w:val="002B1528"/>
    <w:rsid w:val="002B29FC"/>
    <w:rsid w:val="002B2D39"/>
    <w:rsid w:val="002B2D83"/>
    <w:rsid w:val="002B3160"/>
    <w:rsid w:val="002B36A5"/>
    <w:rsid w:val="002B3D48"/>
    <w:rsid w:val="002B4E12"/>
    <w:rsid w:val="002B5341"/>
    <w:rsid w:val="002B540A"/>
    <w:rsid w:val="002B5CA7"/>
    <w:rsid w:val="002B6698"/>
    <w:rsid w:val="002B6819"/>
    <w:rsid w:val="002B6EAA"/>
    <w:rsid w:val="002B6EB0"/>
    <w:rsid w:val="002B7052"/>
    <w:rsid w:val="002B7308"/>
    <w:rsid w:val="002B77D6"/>
    <w:rsid w:val="002B7D34"/>
    <w:rsid w:val="002C265C"/>
    <w:rsid w:val="002C3461"/>
    <w:rsid w:val="002C4C8B"/>
    <w:rsid w:val="002C4D88"/>
    <w:rsid w:val="002C4EC1"/>
    <w:rsid w:val="002C5279"/>
    <w:rsid w:val="002C5301"/>
    <w:rsid w:val="002C535C"/>
    <w:rsid w:val="002C55DB"/>
    <w:rsid w:val="002C5C08"/>
    <w:rsid w:val="002C5CEF"/>
    <w:rsid w:val="002C5D2A"/>
    <w:rsid w:val="002C6326"/>
    <w:rsid w:val="002C671B"/>
    <w:rsid w:val="002C6C5B"/>
    <w:rsid w:val="002C7360"/>
    <w:rsid w:val="002C7D2E"/>
    <w:rsid w:val="002C7DC1"/>
    <w:rsid w:val="002D0755"/>
    <w:rsid w:val="002D0C28"/>
    <w:rsid w:val="002D11D6"/>
    <w:rsid w:val="002D175C"/>
    <w:rsid w:val="002D1E52"/>
    <w:rsid w:val="002D20BB"/>
    <w:rsid w:val="002D21EE"/>
    <w:rsid w:val="002D2517"/>
    <w:rsid w:val="002D2BAC"/>
    <w:rsid w:val="002D3031"/>
    <w:rsid w:val="002D3818"/>
    <w:rsid w:val="002D38F0"/>
    <w:rsid w:val="002D4C56"/>
    <w:rsid w:val="002D4CD0"/>
    <w:rsid w:val="002D4DA5"/>
    <w:rsid w:val="002D54B8"/>
    <w:rsid w:val="002D54DC"/>
    <w:rsid w:val="002D5B66"/>
    <w:rsid w:val="002D5BA8"/>
    <w:rsid w:val="002D5F77"/>
    <w:rsid w:val="002D5FD4"/>
    <w:rsid w:val="002D6816"/>
    <w:rsid w:val="002D6877"/>
    <w:rsid w:val="002D6EFE"/>
    <w:rsid w:val="002D7356"/>
    <w:rsid w:val="002D770D"/>
    <w:rsid w:val="002D7E04"/>
    <w:rsid w:val="002E0AA2"/>
    <w:rsid w:val="002E103A"/>
    <w:rsid w:val="002E1452"/>
    <w:rsid w:val="002E195B"/>
    <w:rsid w:val="002E201A"/>
    <w:rsid w:val="002E249D"/>
    <w:rsid w:val="002E2BC4"/>
    <w:rsid w:val="002E2C5D"/>
    <w:rsid w:val="002E3223"/>
    <w:rsid w:val="002E40E9"/>
    <w:rsid w:val="002E40FD"/>
    <w:rsid w:val="002E4875"/>
    <w:rsid w:val="002E4D5D"/>
    <w:rsid w:val="002E4FFD"/>
    <w:rsid w:val="002E5AB1"/>
    <w:rsid w:val="002E5BB4"/>
    <w:rsid w:val="002E5F7B"/>
    <w:rsid w:val="002E60E0"/>
    <w:rsid w:val="002E6166"/>
    <w:rsid w:val="002E622F"/>
    <w:rsid w:val="002E676E"/>
    <w:rsid w:val="002E6776"/>
    <w:rsid w:val="002E6ADF"/>
    <w:rsid w:val="002E6E85"/>
    <w:rsid w:val="002E7419"/>
    <w:rsid w:val="002E7529"/>
    <w:rsid w:val="002E7924"/>
    <w:rsid w:val="002E7FBB"/>
    <w:rsid w:val="002F012B"/>
    <w:rsid w:val="002F06C1"/>
    <w:rsid w:val="002F2704"/>
    <w:rsid w:val="002F34D9"/>
    <w:rsid w:val="002F43C2"/>
    <w:rsid w:val="002F45ED"/>
    <w:rsid w:val="002F5289"/>
    <w:rsid w:val="002F5396"/>
    <w:rsid w:val="002F54D4"/>
    <w:rsid w:val="002F5504"/>
    <w:rsid w:val="002F5B3F"/>
    <w:rsid w:val="002F6AA6"/>
    <w:rsid w:val="002F6B62"/>
    <w:rsid w:val="002F6C00"/>
    <w:rsid w:val="002F6CD8"/>
    <w:rsid w:val="002F6D97"/>
    <w:rsid w:val="002F6EB9"/>
    <w:rsid w:val="002F7232"/>
    <w:rsid w:val="002F7269"/>
    <w:rsid w:val="002F733A"/>
    <w:rsid w:val="002F74E2"/>
    <w:rsid w:val="002F793B"/>
    <w:rsid w:val="002F7E2E"/>
    <w:rsid w:val="002F7F1A"/>
    <w:rsid w:val="00300218"/>
    <w:rsid w:val="00300400"/>
    <w:rsid w:val="003012EF"/>
    <w:rsid w:val="00301430"/>
    <w:rsid w:val="003022B8"/>
    <w:rsid w:val="003023BE"/>
    <w:rsid w:val="00302B17"/>
    <w:rsid w:val="00302B97"/>
    <w:rsid w:val="0030351A"/>
    <w:rsid w:val="00303583"/>
    <w:rsid w:val="003036BD"/>
    <w:rsid w:val="003038ED"/>
    <w:rsid w:val="00303FBC"/>
    <w:rsid w:val="00304819"/>
    <w:rsid w:val="00304CF9"/>
    <w:rsid w:val="00304F2F"/>
    <w:rsid w:val="00305456"/>
    <w:rsid w:val="003056DD"/>
    <w:rsid w:val="00305857"/>
    <w:rsid w:val="00306035"/>
    <w:rsid w:val="003072B7"/>
    <w:rsid w:val="00307CE8"/>
    <w:rsid w:val="00307FCF"/>
    <w:rsid w:val="00310531"/>
    <w:rsid w:val="00310BD4"/>
    <w:rsid w:val="00311186"/>
    <w:rsid w:val="00311324"/>
    <w:rsid w:val="003118D0"/>
    <w:rsid w:val="00311AF2"/>
    <w:rsid w:val="003124BE"/>
    <w:rsid w:val="003124C4"/>
    <w:rsid w:val="003125C5"/>
    <w:rsid w:val="0031279D"/>
    <w:rsid w:val="00312C1B"/>
    <w:rsid w:val="00312F5E"/>
    <w:rsid w:val="00313EC5"/>
    <w:rsid w:val="00313F37"/>
    <w:rsid w:val="003140C2"/>
    <w:rsid w:val="00314D65"/>
    <w:rsid w:val="00314E7A"/>
    <w:rsid w:val="003152CB"/>
    <w:rsid w:val="00315B80"/>
    <w:rsid w:val="00315C28"/>
    <w:rsid w:val="003160F9"/>
    <w:rsid w:val="00316E5C"/>
    <w:rsid w:val="00317EFF"/>
    <w:rsid w:val="00320234"/>
    <w:rsid w:val="0032043D"/>
    <w:rsid w:val="00320E86"/>
    <w:rsid w:val="003210AE"/>
    <w:rsid w:val="00321551"/>
    <w:rsid w:val="0032215B"/>
    <w:rsid w:val="00323011"/>
    <w:rsid w:val="00323BFD"/>
    <w:rsid w:val="00324933"/>
    <w:rsid w:val="003256B1"/>
    <w:rsid w:val="0032573F"/>
    <w:rsid w:val="00326AD0"/>
    <w:rsid w:val="00327ACD"/>
    <w:rsid w:val="00327C62"/>
    <w:rsid w:val="00327CCC"/>
    <w:rsid w:val="00327E75"/>
    <w:rsid w:val="003306D5"/>
    <w:rsid w:val="0033130C"/>
    <w:rsid w:val="003318B0"/>
    <w:rsid w:val="00331B81"/>
    <w:rsid w:val="00331FB6"/>
    <w:rsid w:val="00333616"/>
    <w:rsid w:val="003338E1"/>
    <w:rsid w:val="00333AB1"/>
    <w:rsid w:val="00334E33"/>
    <w:rsid w:val="00335264"/>
    <w:rsid w:val="003359A5"/>
    <w:rsid w:val="003366CB"/>
    <w:rsid w:val="00336D20"/>
    <w:rsid w:val="0033745D"/>
    <w:rsid w:val="0033791A"/>
    <w:rsid w:val="0033797B"/>
    <w:rsid w:val="003379D6"/>
    <w:rsid w:val="00337A9B"/>
    <w:rsid w:val="00340159"/>
    <w:rsid w:val="0034030D"/>
    <w:rsid w:val="003403B1"/>
    <w:rsid w:val="00340BB3"/>
    <w:rsid w:val="00341475"/>
    <w:rsid w:val="00342380"/>
    <w:rsid w:val="00342458"/>
    <w:rsid w:val="003425F0"/>
    <w:rsid w:val="003426CD"/>
    <w:rsid w:val="00342A53"/>
    <w:rsid w:val="00342AE0"/>
    <w:rsid w:val="00343467"/>
    <w:rsid w:val="003446A0"/>
    <w:rsid w:val="00345188"/>
    <w:rsid w:val="00345BDD"/>
    <w:rsid w:val="00346DE4"/>
    <w:rsid w:val="0034730F"/>
    <w:rsid w:val="00347580"/>
    <w:rsid w:val="003475A0"/>
    <w:rsid w:val="00347B7A"/>
    <w:rsid w:val="00347CE3"/>
    <w:rsid w:val="0035039E"/>
    <w:rsid w:val="00350487"/>
    <w:rsid w:val="00350C57"/>
    <w:rsid w:val="00351311"/>
    <w:rsid w:val="00351D11"/>
    <w:rsid w:val="00351F21"/>
    <w:rsid w:val="00352001"/>
    <w:rsid w:val="0035205E"/>
    <w:rsid w:val="00352B43"/>
    <w:rsid w:val="00352CF2"/>
    <w:rsid w:val="00352D32"/>
    <w:rsid w:val="003539EB"/>
    <w:rsid w:val="00353DF6"/>
    <w:rsid w:val="0035401F"/>
    <w:rsid w:val="003543BA"/>
    <w:rsid w:val="003545EE"/>
    <w:rsid w:val="003549A4"/>
    <w:rsid w:val="003549B7"/>
    <w:rsid w:val="00354CA1"/>
    <w:rsid w:val="003550A8"/>
    <w:rsid w:val="00355583"/>
    <w:rsid w:val="00355B57"/>
    <w:rsid w:val="00356199"/>
    <w:rsid w:val="003563EF"/>
    <w:rsid w:val="00356AD6"/>
    <w:rsid w:val="00357400"/>
    <w:rsid w:val="003575CF"/>
    <w:rsid w:val="00357B75"/>
    <w:rsid w:val="00357E7A"/>
    <w:rsid w:val="00360542"/>
    <w:rsid w:val="0036055C"/>
    <w:rsid w:val="00360580"/>
    <w:rsid w:val="00360C31"/>
    <w:rsid w:val="00360C4D"/>
    <w:rsid w:val="00360F15"/>
    <w:rsid w:val="00360FAC"/>
    <w:rsid w:val="00361031"/>
    <w:rsid w:val="0036160D"/>
    <w:rsid w:val="00361831"/>
    <w:rsid w:val="00361B68"/>
    <w:rsid w:val="00361F98"/>
    <w:rsid w:val="00362048"/>
    <w:rsid w:val="00362319"/>
    <w:rsid w:val="003638DA"/>
    <w:rsid w:val="003650C5"/>
    <w:rsid w:val="003655D8"/>
    <w:rsid w:val="003675D6"/>
    <w:rsid w:val="003676EE"/>
    <w:rsid w:val="003676FE"/>
    <w:rsid w:val="00370DDF"/>
    <w:rsid w:val="00371407"/>
    <w:rsid w:val="003719C9"/>
    <w:rsid w:val="00372409"/>
    <w:rsid w:val="003727EE"/>
    <w:rsid w:val="00372B5D"/>
    <w:rsid w:val="00372BC9"/>
    <w:rsid w:val="00373DD5"/>
    <w:rsid w:val="0037402F"/>
    <w:rsid w:val="00374DAC"/>
    <w:rsid w:val="003750F1"/>
    <w:rsid w:val="00375669"/>
    <w:rsid w:val="00375AFB"/>
    <w:rsid w:val="00375D57"/>
    <w:rsid w:val="00376A40"/>
    <w:rsid w:val="00376AC4"/>
    <w:rsid w:val="00376B38"/>
    <w:rsid w:val="00376B72"/>
    <w:rsid w:val="00376BC0"/>
    <w:rsid w:val="00376E6E"/>
    <w:rsid w:val="003805C2"/>
    <w:rsid w:val="00380D0E"/>
    <w:rsid w:val="003810A6"/>
    <w:rsid w:val="00381205"/>
    <w:rsid w:val="0038124B"/>
    <w:rsid w:val="003815E7"/>
    <w:rsid w:val="00382737"/>
    <w:rsid w:val="00383A40"/>
    <w:rsid w:val="00383CC2"/>
    <w:rsid w:val="00383E49"/>
    <w:rsid w:val="00383F3D"/>
    <w:rsid w:val="00385527"/>
    <w:rsid w:val="00386E09"/>
    <w:rsid w:val="003872DA"/>
    <w:rsid w:val="003876F3"/>
    <w:rsid w:val="00387BE0"/>
    <w:rsid w:val="00390045"/>
    <w:rsid w:val="00390463"/>
    <w:rsid w:val="003907B6"/>
    <w:rsid w:val="00390DEF"/>
    <w:rsid w:val="003912E9"/>
    <w:rsid w:val="00391D1F"/>
    <w:rsid w:val="0039249F"/>
    <w:rsid w:val="00392731"/>
    <w:rsid w:val="00392996"/>
    <w:rsid w:val="00393D4C"/>
    <w:rsid w:val="00393E83"/>
    <w:rsid w:val="0039481D"/>
    <w:rsid w:val="00394A63"/>
    <w:rsid w:val="0039520B"/>
    <w:rsid w:val="00395C54"/>
    <w:rsid w:val="00395EBE"/>
    <w:rsid w:val="00395ED8"/>
    <w:rsid w:val="00396236"/>
    <w:rsid w:val="00396CA9"/>
    <w:rsid w:val="003972EF"/>
    <w:rsid w:val="003A0AD9"/>
    <w:rsid w:val="003A1050"/>
    <w:rsid w:val="003A19E1"/>
    <w:rsid w:val="003A1C57"/>
    <w:rsid w:val="003A2253"/>
    <w:rsid w:val="003A3ABC"/>
    <w:rsid w:val="003A6907"/>
    <w:rsid w:val="003A70BE"/>
    <w:rsid w:val="003A71A6"/>
    <w:rsid w:val="003A74B6"/>
    <w:rsid w:val="003A7555"/>
    <w:rsid w:val="003A7619"/>
    <w:rsid w:val="003A78A5"/>
    <w:rsid w:val="003A7EE8"/>
    <w:rsid w:val="003A7F6A"/>
    <w:rsid w:val="003B02F2"/>
    <w:rsid w:val="003B05A9"/>
    <w:rsid w:val="003B0B54"/>
    <w:rsid w:val="003B0F3D"/>
    <w:rsid w:val="003B154C"/>
    <w:rsid w:val="003B15FB"/>
    <w:rsid w:val="003B1A46"/>
    <w:rsid w:val="003B1E2F"/>
    <w:rsid w:val="003B2A2F"/>
    <w:rsid w:val="003B3A42"/>
    <w:rsid w:val="003B3D3E"/>
    <w:rsid w:val="003B4116"/>
    <w:rsid w:val="003B599B"/>
    <w:rsid w:val="003B669D"/>
    <w:rsid w:val="003B67D4"/>
    <w:rsid w:val="003B6D0C"/>
    <w:rsid w:val="003C0818"/>
    <w:rsid w:val="003C146F"/>
    <w:rsid w:val="003C1677"/>
    <w:rsid w:val="003C17C4"/>
    <w:rsid w:val="003C27F4"/>
    <w:rsid w:val="003C2F72"/>
    <w:rsid w:val="003C37C0"/>
    <w:rsid w:val="003C3E76"/>
    <w:rsid w:val="003C4011"/>
    <w:rsid w:val="003C4585"/>
    <w:rsid w:val="003C4868"/>
    <w:rsid w:val="003C48E5"/>
    <w:rsid w:val="003C4C52"/>
    <w:rsid w:val="003C4DB3"/>
    <w:rsid w:val="003C53DD"/>
    <w:rsid w:val="003C5625"/>
    <w:rsid w:val="003C60CB"/>
    <w:rsid w:val="003C641F"/>
    <w:rsid w:val="003C68C1"/>
    <w:rsid w:val="003C7925"/>
    <w:rsid w:val="003C7A0C"/>
    <w:rsid w:val="003C7A77"/>
    <w:rsid w:val="003C7E89"/>
    <w:rsid w:val="003C7F55"/>
    <w:rsid w:val="003D03DB"/>
    <w:rsid w:val="003D0FED"/>
    <w:rsid w:val="003D110E"/>
    <w:rsid w:val="003D11EA"/>
    <w:rsid w:val="003D142B"/>
    <w:rsid w:val="003D19DD"/>
    <w:rsid w:val="003D1A77"/>
    <w:rsid w:val="003D30EF"/>
    <w:rsid w:val="003D3822"/>
    <w:rsid w:val="003D39B6"/>
    <w:rsid w:val="003D3D05"/>
    <w:rsid w:val="003D46F8"/>
    <w:rsid w:val="003D485E"/>
    <w:rsid w:val="003D490B"/>
    <w:rsid w:val="003D4BB2"/>
    <w:rsid w:val="003D4C06"/>
    <w:rsid w:val="003D4F65"/>
    <w:rsid w:val="003D55A6"/>
    <w:rsid w:val="003D5B52"/>
    <w:rsid w:val="003D5C60"/>
    <w:rsid w:val="003D6F0A"/>
    <w:rsid w:val="003D6FA6"/>
    <w:rsid w:val="003D70CD"/>
    <w:rsid w:val="003D71DC"/>
    <w:rsid w:val="003D7E63"/>
    <w:rsid w:val="003E005F"/>
    <w:rsid w:val="003E056B"/>
    <w:rsid w:val="003E0A46"/>
    <w:rsid w:val="003E152A"/>
    <w:rsid w:val="003E20A5"/>
    <w:rsid w:val="003E28E2"/>
    <w:rsid w:val="003E2C0B"/>
    <w:rsid w:val="003E2D07"/>
    <w:rsid w:val="003E2F3E"/>
    <w:rsid w:val="003E38D7"/>
    <w:rsid w:val="003E3D7A"/>
    <w:rsid w:val="003E56DA"/>
    <w:rsid w:val="003E58E3"/>
    <w:rsid w:val="003E616A"/>
    <w:rsid w:val="003E6179"/>
    <w:rsid w:val="003E6B65"/>
    <w:rsid w:val="003E79B1"/>
    <w:rsid w:val="003E7B3A"/>
    <w:rsid w:val="003F0231"/>
    <w:rsid w:val="003F024C"/>
    <w:rsid w:val="003F05D6"/>
    <w:rsid w:val="003F06EE"/>
    <w:rsid w:val="003F085E"/>
    <w:rsid w:val="003F0B76"/>
    <w:rsid w:val="003F0CCF"/>
    <w:rsid w:val="003F0DD9"/>
    <w:rsid w:val="003F11DD"/>
    <w:rsid w:val="003F16A9"/>
    <w:rsid w:val="003F1735"/>
    <w:rsid w:val="003F22D8"/>
    <w:rsid w:val="003F29E3"/>
    <w:rsid w:val="003F2A56"/>
    <w:rsid w:val="003F4050"/>
    <w:rsid w:val="003F4307"/>
    <w:rsid w:val="003F4484"/>
    <w:rsid w:val="003F493B"/>
    <w:rsid w:val="003F4A40"/>
    <w:rsid w:val="003F5B1A"/>
    <w:rsid w:val="003F6349"/>
    <w:rsid w:val="003F69BC"/>
    <w:rsid w:val="003F7198"/>
    <w:rsid w:val="003F75C2"/>
    <w:rsid w:val="003F7E31"/>
    <w:rsid w:val="004017F2"/>
    <w:rsid w:val="00401921"/>
    <w:rsid w:val="00401DDE"/>
    <w:rsid w:val="00402026"/>
    <w:rsid w:val="00402249"/>
    <w:rsid w:val="00402414"/>
    <w:rsid w:val="00402EB7"/>
    <w:rsid w:val="004030BA"/>
    <w:rsid w:val="004034BB"/>
    <w:rsid w:val="0040355F"/>
    <w:rsid w:val="0040373B"/>
    <w:rsid w:val="004047A9"/>
    <w:rsid w:val="00404A18"/>
    <w:rsid w:val="0040534A"/>
    <w:rsid w:val="0040561E"/>
    <w:rsid w:val="004057C2"/>
    <w:rsid w:val="0040583F"/>
    <w:rsid w:val="00406255"/>
    <w:rsid w:val="0040662D"/>
    <w:rsid w:val="0040674F"/>
    <w:rsid w:val="004100B8"/>
    <w:rsid w:val="00410BC8"/>
    <w:rsid w:val="00410C84"/>
    <w:rsid w:val="00410EA4"/>
    <w:rsid w:val="00411794"/>
    <w:rsid w:val="00411904"/>
    <w:rsid w:val="00411911"/>
    <w:rsid w:val="004121A4"/>
    <w:rsid w:val="00412246"/>
    <w:rsid w:val="0041233D"/>
    <w:rsid w:val="0041238A"/>
    <w:rsid w:val="00412F78"/>
    <w:rsid w:val="0041302A"/>
    <w:rsid w:val="0041339D"/>
    <w:rsid w:val="004136E1"/>
    <w:rsid w:val="00413ACE"/>
    <w:rsid w:val="00413C88"/>
    <w:rsid w:val="00413FD1"/>
    <w:rsid w:val="00414DDC"/>
    <w:rsid w:val="004155A9"/>
    <w:rsid w:val="00415B0A"/>
    <w:rsid w:val="00415D9E"/>
    <w:rsid w:val="00416862"/>
    <w:rsid w:val="00417011"/>
    <w:rsid w:val="00417127"/>
    <w:rsid w:val="00417175"/>
    <w:rsid w:val="00417707"/>
    <w:rsid w:val="00417D69"/>
    <w:rsid w:val="004205D6"/>
    <w:rsid w:val="0042076C"/>
    <w:rsid w:val="004216AD"/>
    <w:rsid w:val="004218F6"/>
    <w:rsid w:val="00421D6E"/>
    <w:rsid w:val="00422487"/>
    <w:rsid w:val="004225EB"/>
    <w:rsid w:val="00422991"/>
    <w:rsid w:val="00422C1E"/>
    <w:rsid w:val="0042310B"/>
    <w:rsid w:val="00423F55"/>
    <w:rsid w:val="004244AD"/>
    <w:rsid w:val="00424B50"/>
    <w:rsid w:val="00424F05"/>
    <w:rsid w:val="0042544A"/>
    <w:rsid w:val="0042562A"/>
    <w:rsid w:val="004256D2"/>
    <w:rsid w:val="00425855"/>
    <w:rsid w:val="004260FA"/>
    <w:rsid w:val="004266F6"/>
    <w:rsid w:val="00426E60"/>
    <w:rsid w:val="00426EB1"/>
    <w:rsid w:val="00427067"/>
    <w:rsid w:val="00427448"/>
    <w:rsid w:val="00427879"/>
    <w:rsid w:val="00427DA6"/>
    <w:rsid w:val="00430058"/>
    <w:rsid w:val="00430820"/>
    <w:rsid w:val="00430E92"/>
    <w:rsid w:val="00431655"/>
    <w:rsid w:val="00431889"/>
    <w:rsid w:val="00431AA5"/>
    <w:rsid w:val="00431C9E"/>
    <w:rsid w:val="00431ED3"/>
    <w:rsid w:val="00432106"/>
    <w:rsid w:val="004326BA"/>
    <w:rsid w:val="004336A7"/>
    <w:rsid w:val="004336C7"/>
    <w:rsid w:val="00433E84"/>
    <w:rsid w:val="00434A64"/>
    <w:rsid w:val="00434ADA"/>
    <w:rsid w:val="00434E21"/>
    <w:rsid w:val="00435F2D"/>
    <w:rsid w:val="00437094"/>
    <w:rsid w:val="004370A0"/>
    <w:rsid w:val="00437699"/>
    <w:rsid w:val="00437C71"/>
    <w:rsid w:val="00440960"/>
    <w:rsid w:val="00442A45"/>
    <w:rsid w:val="00442FDA"/>
    <w:rsid w:val="00443214"/>
    <w:rsid w:val="00443758"/>
    <w:rsid w:val="00444329"/>
    <w:rsid w:val="0044438A"/>
    <w:rsid w:val="00444A6D"/>
    <w:rsid w:val="0044585A"/>
    <w:rsid w:val="00445DC7"/>
    <w:rsid w:val="00445EAB"/>
    <w:rsid w:val="004469AA"/>
    <w:rsid w:val="004471D9"/>
    <w:rsid w:val="004471FF"/>
    <w:rsid w:val="00447228"/>
    <w:rsid w:val="004478E5"/>
    <w:rsid w:val="00447EF4"/>
    <w:rsid w:val="00447F6E"/>
    <w:rsid w:val="004507FF"/>
    <w:rsid w:val="00451082"/>
    <w:rsid w:val="0045169A"/>
    <w:rsid w:val="004518EA"/>
    <w:rsid w:val="00451B94"/>
    <w:rsid w:val="004522AE"/>
    <w:rsid w:val="004522D9"/>
    <w:rsid w:val="004527DC"/>
    <w:rsid w:val="00452ACA"/>
    <w:rsid w:val="00452C3E"/>
    <w:rsid w:val="00453033"/>
    <w:rsid w:val="004533F8"/>
    <w:rsid w:val="0045364F"/>
    <w:rsid w:val="0045365E"/>
    <w:rsid w:val="00453858"/>
    <w:rsid w:val="0045423C"/>
    <w:rsid w:val="004542F3"/>
    <w:rsid w:val="004546C2"/>
    <w:rsid w:val="0045495B"/>
    <w:rsid w:val="00454AA2"/>
    <w:rsid w:val="00455DF0"/>
    <w:rsid w:val="0045682D"/>
    <w:rsid w:val="00456C1E"/>
    <w:rsid w:val="00457507"/>
    <w:rsid w:val="00457638"/>
    <w:rsid w:val="00460DD9"/>
    <w:rsid w:val="0046190C"/>
    <w:rsid w:val="00461919"/>
    <w:rsid w:val="00461A2C"/>
    <w:rsid w:val="00462DF7"/>
    <w:rsid w:val="00462FD5"/>
    <w:rsid w:val="00463330"/>
    <w:rsid w:val="00463601"/>
    <w:rsid w:val="004637A1"/>
    <w:rsid w:val="00463F7B"/>
    <w:rsid w:val="00464952"/>
    <w:rsid w:val="0046533C"/>
    <w:rsid w:val="00465818"/>
    <w:rsid w:val="004659A8"/>
    <w:rsid w:val="00465D47"/>
    <w:rsid w:val="00465E3B"/>
    <w:rsid w:val="00465EB9"/>
    <w:rsid w:val="0046642A"/>
    <w:rsid w:val="0046733E"/>
    <w:rsid w:val="004676E2"/>
    <w:rsid w:val="00467B69"/>
    <w:rsid w:val="00467C40"/>
    <w:rsid w:val="00467CF5"/>
    <w:rsid w:val="00471B8A"/>
    <w:rsid w:val="00472232"/>
    <w:rsid w:val="00472971"/>
    <w:rsid w:val="004729B0"/>
    <w:rsid w:val="00472A70"/>
    <w:rsid w:val="00472F65"/>
    <w:rsid w:val="00473253"/>
    <w:rsid w:val="00473595"/>
    <w:rsid w:val="004742B9"/>
    <w:rsid w:val="0047430B"/>
    <w:rsid w:val="00474866"/>
    <w:rsid w:val="00476F6E"/>
    <w:rsid w:val="00477214"/>
    <w:rsid w:val="00477CA4"/>
    <w:rsid w:val="0048009C"/>
    <w:rsid w:val="004805A4"/>
    <w:rsid w:val="00480DCD"/>
    <w:rsid w:val="00481279"/>
    <w:rsid w:val="00481650"/>
    <w:rsid w:val="004817AA"/>
    <w:rsid w:val="00481D5E"/>
    <w:rsid w:val="00482B98"/>
    <w:rsid w:val="00483184"/>
    <w:rsid w:val="00483AEA"/>
    <w:rsid w:val="00484139"/>
    <w:rsid w:val="00484CA7"/>
    <w:rsid w:val="00484DBB"/>
    <w:rsid w:val="00484FB2"/>
    <w:rsid w:val="0048536F"/>
    <w:rsid w:val="00485F61"/>
    <w:rsid w:val="0048630A"/>
    <w:rsid w:val="0048663B"/>
    <w:rsid w:val="004866F5"/>
    <w:rsid w:val="00486BA0"/>
    <w:rsid w:val="004872E0"/>
    <w:rsid w:val="00491AAA"/>
    <w:rsid w:val="00492E54"/>
    <w:rsid w:val="004934F6"/>
    <w:rsid w:val="00493787"/>
    <w:rsid w:val="00493BA7"/>
    <w:rsid w:val="004941A5"/>
    <w:rsid w:val="00494A35"/>
    <w:rsid w:val="00494ED7"/>
    <w:rsid w:val="004953C8"/>
    <w:rsid w:val="004955F5"/>
    <w:rsid w:val="00495DE0"/>
    <w:rsid w:val="00496365"/>
    <w:rsid w:val="00496575"/>
    <w:rsid w:val="00496B9F"/>
    <w:rsid w:val="00496F7F"/>
    <w:rsid w:val="004A00B2"/>
    <w:rsid w:val="004A0281"/>
    <w:rsid w:val="004A045C"/>
    <w:rsid w:val="004A065E"/>
    <w:rsid w:val="004A0885"/>
    <w:rsid w:val="004A1062"/>
    <w:rsid w:val="004A1A74"/>
    <w:rsid w:val="004A20C6"/>
    <w:rsid w:val="004A2AC5"/>
    <w:rsid w:val="004A2C47"/>
    <w:rsid w:val="004A2F84"/>
    <w:rsid w:val="004A44A4"/>
    <w:rsid w:val="004A4FFA"/>
    <w:rsid w:val="004A55F7"/>
    <w:rsid w:val="004A6350"/>
    <w:rsid w:val="004A68B6"/>
    <w:rsid w:val="004A6CB1"/>
    <w:rsid w:val="004A72A9"/>
    <w:rsid w:val="004A73CA"/>
    <w:rsid w:val="004A747B"/>
    <w:rsid w:val="004B0879"/>
    <w:rsid w:val="004B15C5"/>
    <w:rsid w:val="004B1D7F"/>
    <w:rsid w:val="004B2CED"/>
    <w:rsid w:val="004B30EA"/>
    <w:rsid w:val="004B320D"/>
    <w:rsid w:val="004B3798"/>
    <w:rsid w:val="004B4162"/>
    <w:rsid w:val="004B4523"/>
    <w:rsid w:val="004B460C"/>
    <w:rsid w:val="004B4BC3"/>
    <w:rsid w:val="004B4F21"/>
    <w:rsid w:val="004B5BE4"/>
    <w:rsid w:val="004B5D29"/>
    <w:rsid w:val="004B6029"/>
    <w:rsid w:val="004B659A"/>
    <w:rsid w:val="004B7A8B"/>
    <w:rsid w:val="004C0013"/>
    <w:rsid w:val="004C00B2"/>
    <w:rsid w:val="004C0213"/>
    <w:rsid w:val="004C0230"/>
    <w:rsid w:val="004C03C9"/>
    <w:rsid w:val="004C041D"/>
    <w:rsid w:val="004C165E"/>
    <w:rsid w:val="004C18D2"/>
    <w:rsid w:val="004C1D92"/>
    <w:rsid w:val="004C2A32"/>
    <w:rsid w:val="004C2BC2"/>
    <w:rsid w:val="004C30BF"/>
    <w:rsid w:val="004C334C"/>
    <w:rsid w:val="004C37B6"/>
    <w:rsid w:val="004C396A"/>
    <w:rsid w:val="004C3F18"/>
    <w:rsid w:val="004C40DF"/>
    <w:rsid w:val="004C4974"/>
    <w:rsid w:val="004C51DC"/>
    <w:rsid w:val="004C57FF"/>
    <w:rsid w:val="004C5A24"/>
    <w:rsid w:val="004C63CC"/>
    <w:rsid w:val="004C6524"/>
    <w:rsid w:val="004C7373"/>
    <w:rsid w:val="004D12AA"/>
    <w:rsid w:val="004D134C"/>
    <w:rsid w:val="004D1633"/>
    <w:rsid w:val="004D1658"/>
    <w:rsid w:val="004D16B3"/>
    <w:rsid w:val="004D1E23"/>
    <w:rsid w:val="004D1E71"/>
    <w:rsid w:val="004D32BF"/>
    <w:rsid w:val="004D407A"/>
    <w:rsid w:val="004D4DB6"/>
    <w:rsid w:val="004D4E38"/>
    <w:rsid w:val="004D4F63"/>
    <w:rsid w:val="004D5C2F"/>
    <w:rsid w:val="004D61C6"/>
    <w:rsid w:val="004D644B"/>
    <w:rsid w:val="004D651B"/>
    <w:rsid w:val="004D6540"/>
    <w:rsid w:val="004D6B4A"/>
    <w:rsid w:val="004D7A1B"/>
    <w:rsid w:val="004D7BB3"/>
    <w:rsid w:val="004D7DF5"/>
    <w:rsid w:val="004D7ED9"/>
    <w:rsid w:val="004E211E"/>
    <w:rsid w:val="004E2B3A"/>
    <w:rsid w:val="004E2B9D"/>
    <w:rsid w:val="004E4482"/>
    <w:rsid w:val="004E5707"/>
    <w:rsid w:val="004E5AB0"/>
    <w:rsid w:val="004E5F8D"/>
    <w:rsid w:val="004E6A1F"/>
    <w:rsid w:val="004E6BEF"/>
    <w:rsid w:val="004E6D0C"/>
    <w:rsid w:val="004E6DD8"/>
    <w:rsid w:val="004F0807"/>
    <w:rsid w:val="004F0A6A"/>
    <w:rsid w:val="004F0B69"/>
    <w:rsid w:val="004F0C27"/>
    <w:rsid w:val="004F0FD4"/>
    <w:rsid w:val="004F1648"/>
    <w:rsid w:val="004F1E35"/>
    <w:rsid w:val="004F2386"/>
    <w:rsid w:val="004F27FE"/>
    <w:rsid w:val="004F3F5C"/>
    <w:rsid w:val="004F4DA3"/>
    <w:rsid w:val="004F539F"/>
    <w:rsid w:val="004F57A7"/>
    <w:rsid w:val="004F5D59"/>
    <w:rsid w:val="004F6869"/>
    <w:rsid w:val="004F6A31"/>
    <w:rsid w:val="004F7479"/>
    <w:rsid w:val="004F7DA7"/>
    <w:rsid w:val="005001C0"/>
    <w:rsid w:val="005002EE"/>
    <w:rsid w:val="0050087F"/>
    <w:rsid w:val="00500E77"/>
    <w:rsid w:val="00500EBA"/>
    <w:rsid w:val="00500F2C"/>
    <w:rsid w:val="00500F4F"/>
    <w:rsid w:val="00501347"/>
    <w:rsid w:val="005019CA"/>
    <w:rsid w:val="0050265D"/>
    <w:rsid w:val="005028DF"/>
    <w:rsid w:val="00502E89"/>
    <w:rsid w:val="0050306E"/>
    <w:rsid w:val="005033AF"/>
    <w:rsid w:val="00503F27"/>
    <w:rsid w:val="00504A7F"/>
    <w:rsid w:val="00504D3B"/>
    <w:rsid w:val="00505268"/>
    <w:rsid w:val="0050563E"/>
    <w:rsid w:val="00505C00"/>
    <w:rsid w:val="005065D1"/>
    <w:rsid w:val="00506B7D"/>
    <w:rsid w:val="005074CE"/>
    <w:rsid w:val="0050764B"/>
    <w:rsid w:val="005078B0"/>
    <w:rsid w:val="005079A4"/>
    <w:rsid w:val="00507A24"/>
    <w:rsid w:val="00507BC1"/>
    <w:rsid w:val="0051022E"/>
    <w:rsid w:val="0051029F"/>
    <w:rsid w:val="005102DF"/>
    <w:rsid w:val="005108BC"/>
    <w:rsid w:val="00511072"/>
    <w:rsid w:val="00511EB3"/>
    <w:rsid w:val="00511F94"/>
    <w:rsid w:val="005120C0"/>
    <w:rsid w:val="00512CBB"/>
    <w:rsid w:val="00512DFA"/>
    <w:rsid w:val="00512E92"/>
    <w:rsid w:val="0051305F"/>
    <w:rsid w:val="005132EB"/>
    <w:rsid w:val="005137E6"/>
    <w:rsid w:val="00513D82"/>
    <w:rsid w:val="00513E53"/>
    <w:rsid w:val="005142E4"/>
    <w:rsid w:val="0051436B"/>
    <w:rsid w:val="0051444F"/>
    <w:rsid w:val="00514532"/>
    <w:rsid w:val="00514CC1"/>
    <w:rsid w:val="00514F8C"/>
    <w:rsid w:val="00514F9E"/>
    <w:rsid w:val="0051502A"/>
    <w:rsid w:val="00515734"/>
    <w:rsid w:val="00515B1D"/>
    <w:rsid w:val="00515D18"/>
    <w:rsid w:val="00515DB9"/>
    <w:rsid w:val="005165C2"/>
    <w:rsid w:val="005168EF"/>
    <w:rsid w:val="005173BB"/>
    <w:rsid w:val="005174CD"/>
    <w:rsid w:val="00517E97"/>
    <w:rsid w:val="00517EE9"/>
    <w:rsid w:val="00517FDB"/>
    <w:rsid w:val="005201DA"/>
    <w:rsid w:val="005202B2"/>
    <w:rsid w:val="005206E0"/>
    <w:rsid w:val="00521832"/>
    <w:rsid w:val="005224F2"/>
    <w:rsid w:val="00522740"/>
    <w:rsid w:val="00523B79"/>
    <w:rsid w:val="005244C0"/>
    <w:rsid w:val="0052560B"/>
    <w:rsid w:val="00525BEC"/>
    <w:rsid w:val="005261A6"/>
    <w:rsid w:val="005266DD"/>
    <w:rsid w:val="00526A1A"/>
    <w:rsid w:val="005279DC"/>
    <w:rsid w:val="00527A7A"/>
    <w:rsid w:val="00527AA9"/>
    <w:rsid w:val="00527D31"/>
    <w:rsid w:val="00527EB3"/>
    <w:rsid w:val="005309CC"/>
    <w:rsid w:val="00530BA6"/>
    <w:rsid w:val="00530F07"/>
    <w:rsid w:val="00531677"/>
    <w:rsid w:val="0053188C"/>
    <w:rsid w:val="00531AAA"/>
    <w:rsid w:val="00531FC5"/>
    <w:rsid w:val="0053202A"/>
    <w:rsid w:val="0053278F"/>
    <w:rsid w:val="005332EE"/>
    <w:rsid w:val="00533709"/>
    <w:rsid w:val="00533A72"/>
    <w:rsid w:val="00533C0C"/>
    <w:rsid w:val="005345E9"/>
    <w:rsid w:val="005348AB"/>
    <w:rsid w:val="00535929"/>
    <w:rsid w:val="005364F1"/>
    <w:rsid w:val="00536A4D"/>
    <w:rsid w:val="00536D10"/>
    <w:rsid w:val="00536FC6"/>
    <w:rsid w:val="00536FDB"/>
    <w:rsid w:val="005374E2"/>
    <w:rsid w:val="005378FC"/>
    <w:rsid w:val="00537A0E"/>
    <w:rsid w:val="00537B04"/>
    <w:rsid w:val="00537F50"/>
    <w:rsid w:val="0054014F"/>
    <w:rsid w:val="0054034D"/>
    <w:rsid w:val="00540804"/>
    <w:rsid w:val="00540C7C"/>
    <w:rsid w:val="00541C7A"/>
    <w:rsid w:val="00541E55"/>
    <w:rsid w:val="00542A79"/>
    <w:rsid w:val="00542CD9"/>
    <w:rsid w:val="005431D6"/>
    <w:rsid w:val="005433F7"/>
    <w:rsid w:val="00543466"/>
    <w:rsid w:val="00543883"/>
    <w:rsid w:val="005441B6"/>
    <w:rsid w:val="00544911"/>
    <w:rsid w:val="00544CA5"/>
    <w:rsid w:val="00546478"/>
    <w:rsid w:val="00546DBA"/>
    <w:rsid w:val="00546DC0"/>
    <w:rsid w:val="00546E44"/>
    <w:rsid w:val="00547788"/>
    <w:rsid w:val="00547CD0"/>
    <w:rsid w:val="00550FA4"/>
    <w:rsid w:val="005512BE"/>
    <w:rsid w:val="0055136E"/>
    <w:rsid w:val="00552028"/>
    <w:rsid w:val="00552491"/>
    <w:rsid w:val="005526E7"/>
    <w:rsid w:val="00553481"/>
    <w:rsid w:val="005538B4"/>
    <w:rsid w:val="00553BEE"/>
    <w:rsid w:val="00553CF1"/>
    <w:rsid w:val="00553EE0"/>
    <w:rsid w:val="00554A10"/>
    <w:rsid w:val="00555565"/>
    <w:rsid w:val="00555599"/>
    <w:rsid w:val="005556FD"/>
    <w:rsid w:val="005561A3"/>
    <w:rsid w:val="005567B7"/>
    <w:rsid w:val="0055686A"/>
    <w:rsid w:val="00556EFA"/>
    <w:rsid w:val="00560767"/>
    <w:rsid w:val="0056100C"/>
    <w:rsid w:val="005611CA"/>
    <w:rsid w:val="005614CC"/>
    <w:rsid w:val="00561585"/>
    <w:rsid w:val="005615CC"/>
    <w:rsid w:val="00562721"/>
    <w:rsid w:val="00563359"/>
    <w:rsid w:val="00563CE0"/>
    <w:rsid w:val="00563D34"/>
    <w:rsid w:val="00563DAA"/>
    <w:rsid w:val="00563E39"/>
    <w:rsid w:val="00564A40"/>
    <w:rsid w:val="00564C3D"/>
    <w:rsid w:val="00564D79"/>
    <w:rsid w:val="0056650B"/>
    <w:rsid w:val="00567847"/>
    <w:rsid w:val="00567F8C"/>
    <w:rsid w:val="00570397"/>
    <w:rsid w:val="005703C5"/>
    <w:rsid w:val="00570740"/>
    <w:rsid w:val="00571028"/>
    <w:rsid w:val="00571431"/>
    <w:rsid w:val="00572415"/>
    <w:rsid w:val="00573704"/>
    <w:rsid w:val="005737B4"/>
    <w:rsid w:val="005738B6"/>
    <w:rsid w:val="00573E70"/>
    <w:rsid w:val="005742E3"/>
    <w:rsid w:val="005742F4"/>
    <w:rsid w:val="00574352"/>
    <w:rsid w:val="005745AE"/>
    <w:rsid w:val="00574B33"/>
    <w:rsid w:val="00574EE8"/>
    <w:rsid w:val="00575B02"/>
    <w:rsid w:val="00575B94"/>
    <w:rsid w:val="00575F97"/>
    <w:rsid w:val="005761FE"/>
    <w:rsid w:val="005771A1"/>
    <w:rsid w:val="00577715"/>
    <w:rsid w:val="00577998"/>
    <w:rsid w:val="00580209"/>
    <w:rsid w:val="00580876"/>
    <w:rsid w:val="0058092F"/>
    <w:rsid w:val="005816BD"/>
    <w:rsid w:val="00581A43"/>
    <w:rsid w:val="00581CE4"/>
    <w:rsid w:val="00582795"/>
    <w:rsid w:val="005829BC"/>
    <w:rsid w:val="00582A1A"/>
    <w:rsid w:val="005835C9"/>
    <w:rsid w:val="00584373"/>
    <w:rsid w:val="00584465"/>
    <w:rsid w:val="005857F8"/>
    <w:rsid w:val="0058594F"/>
    <w:rsid w:val="00585B29"/>
    <w:rsid w:val="00586004"/>
    <w:rsid w:val="00586635"/>
    <w:rsid w:val="00586918"/>
    <w:rsid w:val="00586E41"/>
    <w:rsid w:val="00587472"/>
    <w:rsid w:val="00587BCD"/>
    <w:rsid w:val="00587E10"/>
    <w:rsid w:val="00590A72"/>
    <w:rsid w:val="00590FB2"/>
    <w:rsid w:val="005914A6"/>
    <w:rsid w:val="00591626"/>
    <w:rsid w:val="005917AE"/>
    <w:rsid w:val="0059185D"/>
    <w:rsid w:val="005925E7"/>
    <w:rsid w:val="0059286D"/>
    <w:rsid w:val="0059329C"/>
    <w:rsid w:val="0059355C"/>
    <w:rsid w:val="0059429A"/>
    <w:rsid w:val="00594808"/>
    <w:rsid w:val="005948A9"/>
    <w:rsid w:val="005948DC"/>
    <w:rsid w:val="00595D2F"/>
    <w:rsid w:val="00595FFB"/>
    <w:rsid w:val="0059612E"/>
    <w:rsid w:val="005961D8"/>
    <w:rsid w:val="005966EA"/>
    <w:rsid w:val="00597A0C"/>
    <w:rsid w:val="00597F73"/>
    <w:rsid w:val="005A0559"/>
    <w:rsid w:val="005A0A92"/>
    <w:rsid w:val="005A0C84"/>
    <w:rsid w:val="005A190A"/>
    <w:rsid w:val="005A1B69"/>
    <w:rsid w:val="005A3196"/>
    <w:rsid w:val="005A34A4"/>
    <w:rsid w:val="005A3C0D"/>
    <w:rsid w:val="005A44C9"/>
    <w:rsid w:val="005A4D92"/>
    <w:rsid w:val="005A5339"/>
    <w:rsid w:val="005A55C2"/>
    <w:rsid w:val="005A56A2"/>
    <w:rsid w:val="005A5DE4"/>
    <w:rsid w:val="005A5E0E"/>
    <w:rsid w:val="005A5F97"/>
    <w:rsid w:val="005A61B0"/>
    <w:rsid w:val="005A62BB"/>
    <w:rsid w:val="005A672A"/>
    <w:rsid w:val="005A6836"/>
    <w:rsid w:val="005A6A15"/>
    <w:rsid w:val="005A6E33"/>
    <w:rsid w:val="005A7426"/>
    <w:rsid w:val="005A753E"/>
    <w:rsid w:val="005B07B7"/>
    <w:rsid w:val="005B0EAC"/>
    <w:rsid w:val="005B168A"/>
    <w:rsid w:val="005B186D"/>
    <w:rsid w:val="005B190D"/>
    <w:rsid w:val="005B19D9"/>
    <w:rsid w:val="005B1D98"/>
    <w:rsid w:val="005B1FD3"/>
    <w:rsid w:val="005B250D"/>
    <w:rsid w:val="005B2E94"/>
    <w:rsid w:val="005B3850"/>
    <w:rsid w:val="005B3BBD"/>
    <w:rsid w:val="005B4234"/>
    <w:rsid w:val="005B425D"/>
    <w:rsid w:val="005B48B0"/>
    <w:rsid w:val="005B551E"/>
    <w:rsid w:val="005B6C64"/>
    <w:rsid w:val="005B6E5A"/>
    <w:rsid w:val="005B79A9"/>
    <w:rsid w:val="005B7E25"/>
    <w:rsid w:val="005C0096"/>
    <w:rsid w:val="005C047B"/>
    <w:rsid w:val="005C0608"/>
    <w:rsid w:val="005C0D6C"/>
    <w:rsid w:val="005C1194"/>
    <w:rsid w:val="005C15CB"/>
    <w:rsid w:val="005C1655"/>
    <w:rsid w:val="005C1D73"/>
    <w:rsid w:val="005C1EA1"/>
    <w:rsid w:val="005C243D"/>
    <w:rsid w:val="005C2565"/>
    <w:rsid w:val="005C3114"/>
    <w:rsid w:val="005C3728"/>
    <w:rsid w:val="005C3D5C"/>
    <w:rsid w:val="005C3E61"/>
    <w:rsid w:val="005C4594"/>
    <w:rsid w:val="005C4ADB"/>
    <w:rsid w:val="005C4F43"/>
    <w:rsid w:val="005C50BD"/>
    <w:rsid w:val="005C513F"/>
    <w:rsid w:val="005C5250"/>
    <w:rsid w:val="005C60EE"/>
    <w:rsid w:val="005C708A"/>
    <w:rsid w:val="005C76ED"/>
    <w:rsid w:val="005C77DE"/>
    <w:rsid w:val="005C7B35"/>
    <w:rsid w:val="005C7D26"/>
    <w:rsid w:val="005C7E6C"/>
    <w:rsid w:val="005D0442"/>
    <w:rsid w:val="005D09E5"/>
    <w:rsid w:val="005D0D70"/>
    <w:rsid w:val="005D0D77"/>
    <w:rsid w:val="005D11A3"/>
    <w:rsid w:val="005D123E"/>
    <w:rsid w:val="005D1C9D"/>
    <w:rsid w:val="005D1CB5"/>
    <w:rsid w:val="005D2913"/>
    <w:rsid w:val="005D39DE"/>
    <w:rsid w:val="005D3A0B"/>
    <w:rsid w:val="005D3E38"/>
    <w:rsid w:val="005D444D"/>
    <w:rsid w:val="005D4675"/>
    <w:rsid w:val="005D4C8C"/>
    <w:rsid w:val="005D4ED8"/>
    <w:rsid w:val="005D5218"/>
    <w:rsid w:val="005D5925"/>
    <w:rsid w:val="005D5CD3"/>
    <w:rsid w:val="005D60DE"/>
    <w:rsid w:val="005D6A4F"/>
    <w:rsid w:val="005D70E9"/>
    <w:rsid w:val="005D7B4E"/>
    <w:rsid w:val="005E03A8"/>
    <w:rsid w:val="005E04CD"/>
    <w:rsid w:val="005E09F3"/>
    <w:rsid w:val="005E0AF5"/>
    <w:rsid w:val="005E1F2B"/>
    <w:rsid w:val="005E2595"/>
    <w:rsid w:val="005E2FBA"/>
    <w:rsid w:val="005E30B1"/>
    <w:rsid w:val="005E3110"/>
    <w:rsid w:val="005E357E"/>
    <w:rsid w:val="005E3BB7"/>
    <w:rsid w:val="005E417B"/>
    <w:rsid w:val="005E424D"/>
    <w:rsid w:val="005E47FF"/>
    <w:rsid w:val="005E48ED"/>
    <w:rsid w:val="005E4BF6"/>
    <w:rsid w:val="005E596C"/>
    <w:rsid w:val="005E5E84"/>
    <w:rsid w:val="005E7498"/>
    <w:rsid w:val="005E7CB7"/>
    <w:rsid w:val="005E7EA9"/>
    <w:rsid w:val="005F05FE"/>
    <w:rsid w:val="005F1129"/>
    <w:rsid w:val="005F12CC"/>
    <w:rsid w:val="005F22EB"/>
    <w:rsid w:val="005F3F3D"/>
    <w:rsid w:val="005F43D1"/>
    <w:rsid w:val="005F4573"/>
    <w:rsid w:val="005F4EE7"/>
    <w:rsid w:val="005F5480"/>
    <w:rsid w:val="005F5522"/>
    <w:rsid w:val="005F5C26"/>
    <w:rsid w:val="005F60D3"/>
    <w:rsid w:val="005F706D"/>
    <w:rsid w:val="005F7799"/>
    <w:rsid w:val="005F7811"/>
    <w:rsid w:val="005F78CF"/>
    <w:rsid w:val="005F7DB3"/>
    <w:rsid w:val="005F7FE7"/>
    <w:rsid w:val="006003CE"/>
    <w:rsid w:val="00600FBD"/>
    <w:rsid w:val="00601616"/>
    <w:rsid w:val="00601711"/>
    <w:rsid w:val="00602710"/>
    <w:rsid w:val="00602AC0"/>
    <w:rsid w:val="00602F04"/>
    <w:rsid w:val="00603671"/>
    <w:rsid w:val="00604296"/>
    <w:rsid w:val="006043CF"/>
    <w:rsid w:val="0060466F"/>
    <w:rsid w:val="00605F45"/>
    <w:rsid w:val="00606CFD"/>
    <w:rsid w:val="00606E7A"/>
    <w:rsid w:val="006079EF"/>
    <w:rsid w:val="00607DFD"/>
    <w:rsid w:val="006100A4"/>
    <w:rsid w:val="00610CAC"/>
    <w:rsid w:val="00610DF5"/>
    <w:rsid w:val="0061129D"/>
    <w:rsid w:val="00611BEB"/>
    <w:rsid w:val="00612061"/>
    <w:rsid w:val="006124D4"/>
    <w:rsid w:val="0061270A"/>
    <w:rsid w:val="006129AF"/>
    <w:rsid w:val="00613E4D"/>
    <w:rsid w:val="0061402D"/>
    <w:rsid w:val="006142C5"/>
    <w:rsid w:val="00614503"/>
    <w:rsid w:val="00614883"/>
    <w:rsid w:val="00614991"/>
    <w:rsid w:val="00614BD6"/>
    <w:rsid w:val="00615779"/>
    <w:rsid w:val="006157B2"/>
    <w:rsid w:val="006162F3"/>
    <w:rsid w:val="006168BA"/>
    <w:rsid w:val="00617296"/>
    <w:rsid w:val="006172DE"/>
    <w:rsid w:val="006175A7"/>
    <w:rsid w:val="00617E51"/>
    <w:rsid w:val="006205F4"/>
    <w:rsid w:val="00620E3E"/>
    <w:rsid w:val="00621433"/>
    <w:rsid w:val="00621E46"/>
    <w:rsid w:val="00621FD7"/>
    <w:rsid w:val="006222CA"/>
    <w:rsid w:val="00622AC8"/>
    <w:rsid w:val="00623648"/>
    <w:rsid w:val="00623C58"/>
    <w:rsid w:val="006240F2"/>
    <w:rsid w:val="0062498A"/>
    <w:rsid w:val="006249AA"/>
    <w:rsid w:val="00624D65"/>
    <w:rsid w:val="00624F08"/>
    <w:rsid w:val="0062520C"/>
    <w:rsid w:val="0062558D"/>
    <w:rsid w:val="006255D7"/>
    <w:rsid w:val="00625813"/>
    <w:rsid w:val="006258D0"/>
    <w:rsid w:val="00625D2C"/>
    <w:rsid w:val="00625FAF"/>
    <w:rsid w:val="006261BF"/>
    <w:rsid w:val="006262A7"/>
    <w:rsid w:val="00626E0A"/>
    <w:rsid w:val="006270F1"/>
    <w:rsid w:val="006273E3"/>
    <w:rsid w:val="006276E1"/>
    <w:rsid w:val="00627D3D"/>
    <w:rsid w:val="006306B0"/>
    <w:rsid w:val="00630809"/>
    <w:rsid w:val="006308C6"/>
    <w:rsid w:val="00630CD2"/>
    <w:rsid w:val="006314F5"/>
    <w:rsid w:val="0063196E"/>
    <w:rsid w:val="006322E1"/>
    <w:rsid w:val="00632437"/>
    <w:rsid w:val="0063272F"/>
    <w:rsid w:val="006329E8"/>
    <w:rsid w:val="00632E25"/>
    <w:rsid w:val="00633461"/>
    <w:rsid w:val="00633649"/>
    <w:rsid w:val="006336C6"/>
    <w:rsid w:val="00633C3B"/>
    <w:rsid w:val="00633D3E"/>
    <w:rsid w:val="00633E65"/>
    <w:rsid w:val="00633E8C"/>
    <w:rsid w:val="006341CC"/>
    <w:rsid w:val="00634809"/>
    <w:rsid w:val="0063483A"/>
    <w:rsid w:val="00634FBB"/>
    <w:rsid w:val="00635D82"/>
    <w:rsid w:val="0063617C"/>
    <w:rsid w:val="00637144"/>
    <w:rsid w:val="00640E42"/>
    <w:rsid w:val="00641792"/>
    <w:rsid w:val="00641CD3"/>
    <w:rsid w:val="00641D77"/>
    <w:rsid w:val="0064206A"/>
    <w:rsid w:val="006428C7"/>
    <w:rsid w:val="00643761"/>
    <w:rsid w:val="0064402C"/>
    <w:rsid w:val="0064424D"/>
    <w:rsid w:val="0064492A"/>
    <w:rsid w:val="00644954"/>
    <w:rsid w:val="00645363"/>
    <w:rsid w:val="0064577D"/>
    <w:rsid w:val="00645DF8"/>
    <w:rsid w:val="00645F69"/>
    <w:rsid w:val="00646383"/>
    <w:rsid w:val="00647B92"/>
    <w:rsid w:val="0065011F"/>
    <w:rsid w:val="006501EA"/>
    <w:rsid w:val="0065070A"/>
    <w:rsid w:val="00650A8C"/>
    <w:rsid w:val="00650B47"/>
    <w:rsid w:val="00650F19"/>
    <w:rsid w:val="006512B3"/>
    <w:rsid w:val="00651CB0"/>
    <w:rsid w:val="00652093"/>
    <w:rsid w:val="006528F7"/>
    <w:rsid w:val="00652C28"/>
    <w:rsid w:val="00652DD3"/>
    <w:rsid w:val="00652F23"/>
    <w:rsid w:val="00653414"/>
    <w:rsid w:val="0065401A"/>
    <w:rsid w:val="00654959"/>
    <w:rsid w:val="00654A39"/>
    <w:rsid w:val="00654C1E"/>
    <w:rsid w:val="006558B9"/>
    <w:rsid w:val="006560AE"/>
    <w:rsid w:val="0065629A"/>
    <w:rsid w:val="0065688E"/>
    <w:rsid w:val="00656CC6"/>
    <w:rsid w:val="00656DCE"/>
    <w:rsid w:val="00656FB1"/>
    <w:rsid w:val="00656FB8"/>
    <w:rsid w:val="006572A1"/>
    <w:rsid w:val="00657824"/>
    <w:rsid w:val="00657EE3"/>
    <w:rsid w:val="00657FC1"/>
    <w:rsid w:val="006605DC"/>
    <w:rsid w:val="00661DBD"/>
    <w:rsid w:val="00662663"/>
    <w:rsid w:val="00662BEE"/>
    <w:rsid w:val="00663134"/>
    <w:rsid w:val="0066325A"/>
    <w:rsid w:val="00663563"/>
    <w:rsid w:val="0066435B"/>
    <w:rsid w:val="00664662"/>
    <w:rsid w:val="00664943"/>
    <w:rsid w:val="00664FD9"/>
    <w:rsid w:val="00665444"/>
    <w:rsid w:val="006657CC"/>
    <w:rsid w:val="00665818"/>
    <w:rsid w:val="006659B8"/>
    <w:rsid w:val="00665DF0"/>
    <w:rsid w:val="006666C4"/>
    <w:rsid w:val="00666A86"/>
    <w:rsid w:val="00666BCA"/>
    <w:rsid w:val="00666D0E"/>
    <w:rsid w:val="006677A7"/>
    <w:rsid w:val="00667888"/>
    <w:rsid w:val="00667F38"/>
    <w:rsid w:val="00670336"/>
    <w:rsid w:val="00670591"/>
    <w:rsid w:val="00670E73"/>
    <w:rsid w:val="00671975"/>
    <w:rsid w:val="00671E5E"/>
    <w:rsid w:val="0067234E"/>
    <w:rsid w:val="00672C39"/>
    <w:rsid w:val="00673B01"/>
    <w:rsid w:val="00673D78"/>
    <w:rsid w:val="00674045"/>
    <w:rsid w:val="0067534B"/>
    <w:rsid w:val="00675C53"/>
    <w:rsid w:val="00675D19"/>
    <w:rsid w:val="006771D3"/>
    <w:rsid w:val="0067726E"/>
    <w:rsid w:val="00677606"/>
    <w:rsid w:val="00677D85"/>
    <w:rsid w:val="00677DBB"/>
    <w:rsid w:val="00680683"/>
    <w:rsid w:val="006806A3"/>
    <w:rsid w:val="00680973"/>
    <w:rsid w:val="00680F03"/>
    <w:rsid w:val="00681C63"/>
    <w:rsid w:val="00682639"/>
    <w:rsid w:val="00682DE8"/>
    <w:rsid w:val="0068315E"/>
    <w:rsid w:val="00683723"/>
    <w:rsid w:val="00683B86"/>
    <w:rsid w:val="00684543"/>
    <w:rsid w:val="00684809"/>
    <w:rsid w:val="00685CA6"/>
    <w:rsid w:val="0068687A"/>
    <w:rsid w:val="0068721D"/>
    <w:rsid w:val="006876EC"/>
    <w:rsid w:val="00687E2C"/>
    <w:rsid w:val="00690833"/>
    <w:rsid w:val="00690DE5"/>
    <w:rsid w:val="006914FA"/>
    <w:rsid w:val="00691FE8"/>
    <w:rsid w:val="006924D3"/>
    <w:rsid w:val="0069383F"/>
    <w:rsid w:val="00694279"/>
    <w:rsid w:val="006954C5"/>
    <w:rsid w:val="00695F83"/>
    <w:rsid w:val="0069642D"/>
    <w:rsid w:val="00697335"/>
    <w:rsid w:val="006974D8"/>
    <w:rsid w:val="00697DCC"/>
    <w:rsid w:val="006A00D0"/>
    <w:rsid w:val="006A0503"/>
    <w:rsid w:val="006A0639"/>
    <w:rsid w:val="006A0C0C"/>
    <w:rsid w:val="006A0D2D"/>
    <w:rsid w:val="006A0DB1"/>
    <w:rsid w:val="006A0F41"/>
    <w:rsid w:val="006A1745"/>
    <w:rsid w:val="006A1793"/>
    <w:rsid w:val="006A1843"/>
    <w:rsid w:val="006A1FA3"/>
    <w:rsid w:val="006A3A06"/>
    <w:rsid w:val="006A3D87"/>
    <w:rsid w:val="006A4F23"/>
    <w:rsid w:val="006A568B"/>
    <w:rsid w:val="006A5958"/>
    <w:rsid w:val="006A6966"/>
    <w:rsid w:val="006B0758"/>
    <w:rsid w:val="006B105C"/>
    <w:rsid w:val="006B1425"/>
    <w:rsid w:val="006B1913"/>
    <w:rsid w:val="006B1964"/>
    <w:rsid w:val="006B1B18"/>
    <w:rsid w:val="006B1EA4"/>
    <w:rsid w:val="006B28D8"/>
    <w:rsid w:val="006B2990"/>
    <w:rsid w:val="006B2B31"/>
    <w:rsid w:val="006B341B"/>
    <w:rsid w:val="006B38F7"/>
    <w:rsid w:val="006B53E3"/>
    <w:rsid w:val="006B5A7A"/>
    <w:rsid w:val="006B66BF"/>
    <w:rsid w:val="006B6882"/>
    <w:rsid w:val="006B6A24"/>
    <w:rsid w:val="006B7316"/>
    <w:rsid w:val="006B76B5"/>
    <w:rsid w:val="006C0388"/>
    <w:rsid w:val="006C0455"/>
    <w:rsid w:val="006C0B39"/>
    <w:rsid w:val="006C1DD9"/>
    <w:rsid w:val="006C29D8"/>
    <w:rsid w:val="006C2A1E"/>
    <w:rsid w:val="006C2C4D"/>
    <w:rsid w:val="006C3309"/>
    <w:rsid w:val="006C3C46"/>
    <w:rsid w:val="006C3F9C"/>
    <w:rsid w:val="006C504E"/>
    <w:rsid w:val="006C50A4"/>
    <w:rsid w:val="006C60FD"/>
    <w:rsid w:val="006C65CD"/>
    <w:rsid w:val="006C7247"/>
    <w:rsid w:val="006C79C4"/>
    <w:rsid w:val="006C7A87"/>
    <w:rsid w:val="006C7BC1"/>
    <w:rsid w:val="006D0019"/>
    <w:rsid w:val="006D00F0"/>
    <w:rsid w:val="006D0209"/>
    <w:rsid w:val="006D0357"/>
    <w:rsid w:val="006D03F3"/>
    <w:rsid w:val="006D0C5D"/>
    <w:rsid w:val="006D0E80"/>
    <w:rsid w:val="006D1666"/>
    <w:rsid w:val="006D1D92"/>
    <w:rsid w:val="006D1DBC"/>
    <w:rsid w:val="006D1EC0"/>
    <w:rsid w:val="006D1F25"/>
    <w:rsid w:val="006D3A51"/>
    <w:rsid w:val="006D4534"/>
    <w:rsid w:val="006D5082"/>
    <w:rsid w:val="006D5DD0"/>
    <w:rsid w:val="006D6050"/>
    <w:rsid w:val="006D706B"/>
    <w:rsid w:val="006D70A8"/>
    <w:rsid w:val="006D71C7"/>
    <w:rsid w:val="006D7ABB"/>
    <w:rsid w:val="006E0133"/>
    <w:rsid w:val="006E04A0"/>
    <w:rsid w:val="006E05A7"/>
    <w:rsid w:val="006E2574"/>
    <w:rsid w:val="006E26F4"/>
    <w:rsid w:val="006E3393"/>
    <w:rsid w:val="006E3537"/>
    <w:rsid w:val="006E3666"/>
    <w:rsid w:val="006E40A2"/>
    <w:rsid w:val="006E4A75"/>
    <w:rsid w:val="006E4B07"/>
    <w:rsid w:val="006E4CC8"/>
    <w:rsid w:val="006E5AA6"/>
    <w:rsid w:val="006E5BE2"/>
    <w:rsid w:val="006E5C1C"/>
    <w:rsid w:val="006E5EED"/>
    <w:rsid w:val="006E63AA"/>
    <w:rsid w:val="006E6BC1"/>
    <w:rsid w:val="006E72AE"/>
    <w:rsid w:val="006E74E7"/>
    <w:rsid w:val="006E7617"/>
    <w:rsid w:val="006E76CE"/>
    <w:rsid w:val="006F1118"/>
    <w:rsid w:val="006F1903"/>
    <w:rsid w:val="006F19A5"/>
    <w:rsid w:val="006F2466"/>
    <w:rsid w:val="006F28CA"/>
    <w:rsid w:val="006F3EF8"/>
    <w:rsid w:val="006F45E2"/>
    <w:rsid w:val="006F57EB"/>
    <w:rsid w:val="006F5D97"/>
    <w:rsid w:val="006F60B6"/>
    <w:rsid w:val="006F642A"/>
    <w:rsid w:val="006F6A40"/>
    <w:rsid w:val="006F786B"/>
    <w:rsid w:val="00701073"/>
    <w:rsid w:val="007010BB"/>
    <w:rsid w:val="007011EB"/>
    <w:rsid w:val="007019CB"/>
    <w:rsid w:val="00702343"/>
    <w:rsid w:val="00702AFC"/>
    <w:rsid w:val="0070337B"/>
    <w:rsid w:val="007039D3"/>
    <w:rsid w:val="0070432A"/>
    <w:rsid w:val="0070493A"/>
    <w:rsid w:val="00704AC7"/>
    <w:rsid w:val="00704AF8"/>
    <w:rsid w:val="007058EB"/>
    <w:rsid w:val="00705D5A"/>
    <w:rsid w:val="00706199"/>
    <w:rsid w:val="00706E2E"/>
    <w:rsid w:val="00707212"/>
    <w:rsid w:val="00707812"/>
    <w:rsid w:val="007109E4"/>
    <w:rsid w:val="00710E91"/>
    <w:rsid w:val="00711B9E"/>
    <w:rsid w:val="00711D24"/>
    <w:rsid w:val="00711FB9"/>
    <w:rsid w:val="00712E14"/>
    <w:rsid w:val="007130A3"/>
    <w:rsid w:val="007131E7"/>
    <w:rsid w:val="00713421"/>
    <w:rsid w:val="007138F2"/>
    <w:rsid w:val="0071480A"/>
    <w:rsid w:val="00714D60"/>
    <w:rsid w:val="00714DBC"/>
    <w:rsid w:val="007169B1"/>
    <w:rsid w:val="007169E1"/>
    <w:rsid w:val="00716A92"/>
    <w:rsid w:val="00716D02"/>
    <w:rsid w:val="00717172"/>
    <w:rsid w:val="007174CB"/>
    <w:rsid w:val="00717625"/>
    <w:rsid w:val="007203AE"/>
    <w:rsid w:val="007204CF"/>
    <w:rsid w:val="00720D41"/>
    <w:rsid w:val="00720D9C"/>
    <w:rsid w:val="0072130C"/>
    <w:rsid w:val="00721E19"/>
    <w:rsid w:val="00721EF4"/>
    <w:rsid w:val="00722100"/>
    <w:rsid w:val="00722388"/>
    <w:rsid w:val="00722831"/>
    <w:rsid w:val="00723465"/>
    <w:rsid w:val="00723F62"/>
    <w:rsid w:val="00724B98"/>
    <w:rsid w:val="007250D0"/>
    <w:rsid w:val="00725899"/>
    <w:rsid w:val="00725B24"/>
    <w:rsid w:val="00726306"/>
    <w:rsid w:val="007264F7"/>
    <w:rsid w:val="007269E6"/>
    <w:rsid w:val="00726DCE"/>
    <w:rsid w:val="00726E84"/>
    <w:rsid w:val="00727003"/>
    <w:rsid w:val="00727053"/>
    <w:rsid w:val="00727CD5"/>
    <w:rsid w:val="00727DC4"/>
    <w:rsid w:val="0073021C"/>
    <w:rsid w:val="0073052F"/>
    <w:rsid w:val="007308D0"/>
    <w:rsid w:val="00731232"/>
    <w:rsid w:val="00731F4F"/>
    <w:rsid w:val="00732777"/>
    <w:rsid w:val="00732D3A"/>
    <w:rsid w:val="0073343C"/>
    <w:rsid w:val="007336E1"/>
    <w:rsid w:val="00733BC8"/>
    <w:rsid w:val="00734033"/>
    <w:rsid w:val="007341C6"/>
    <w:rsid w:val="007347A8"/>
    <w:rsid w:val="00735617"/>
    <w:rsid w:val="00740C68"/>
    <w:rsid w:val="00741646"/>
    <w:rsid w:val="007416E1"/>
    <w:rsid w:val="00741EFC"/>
    <w:rsid w:val="007421BB"/>
    <w:rsid w:val="00742200"/>
    <w:rsid w:val="007435FA"/>
    <w:rsid w:val="00743AAF"/>
    <w:rsid w:val="00743CC9"/>
    <w:rsid w:val="00744079"/>
    <w:rsid w:val="00744619"/>
    <w:rsid w:val="007446B1"/>
    <w:rsid w:val="007446C3"/>
    <w:rsid w:val="007449F5"/>
    <w:rsid w:val="00744A4A"/>
    <w:rsid w:val="00744CE4"/>
    <w:rsid w:val="00744FE2"/>
    <w:rsid w:val="0074561A"/>
    <w:rsid w:val="00745CA0"/>
    <w:rsid w:val="00746055"/>
    <w:rsid w:val="007463EB"/>
    <w:rsid w:val="007465BF"/>
    <w:rsid w:val="00747489"/>
    <w:rsid w:val="00747A91"/>
    <w:rsid w:val="0075000A"/>
    <w:rsid w:val="00751D68"/>
    <w:rsid w:val="007531E6"/>
    <w:rsid w:val="0075326D"/>
    <w:rsid w:val="00753E08"/>
    <w:rsid w:val="00753E5F"/>
    <w:rsid w:val="007543B8"/>
    <w:rsid w:val="00754A13"/>
    <w:rsid w:val="00754A4E"/>
    <w:rsid w:val="00755569"/>
    <w:rsid w:val="00755D58"/>
    <w:rsid w:val="00756F2A"/>
    <w:rsid w:val="007570EE"/>
    <w:rsid w:val="00757826"/>
    <w:rsid w:val="00757885"/>
    <w:rsid w:val="00757A57"/>
    <w:rsid w:val="00757DF5"/>
    <w:rsid w:val="00760578"/>
    <w:rsid w:val="007607F0"/>
    <w:rsid w:val="00760E6A"/>
    <w:rsid w:val="00761525"/>
    <w:rsid w:val="00761B48"/>
    <w:rsid w:val="00761C2C"/>
    <w:rsid w:val="00761EBD"/>
    <w:rsid w:val="007620CC"/>
    <w:rsid w:val="007628AB"/>
    <w:rsid w:val="00762A40"/>
    <w:rsid w:val="00762AA5"/>
    <w:rsid w:val="00763649"/>
    <w:rsid w:val="00764577"/>
    <w:rsid w:val="007648D1"/>
    <w:rsid w:val="007648EE"/>
    <w:rsid w:val="007659B8"/>
    <w:rsid w:val="007665C3"/>
    <w:rsid w:val="007676CA"/>
    <w:rsid w:val="007703B9"/>
    <w:rsid w:val="007705B3"/>
    <w:rsid w:val="007707E5"/>
    <w:rsid w:val="00770D05"/>
    <w:rsid w:val="00770D78"/>
    <w:rsid w:val="007717B4"/>
    <w:rsid w:val="00771BA7"/>
    <w:rsid w:val="00772697"/>
    <w:rsid w:val="00772FE2"/>
    <w:rsid w:val="007730AD"/>
    <w:rsid w:val="007743DE"/>
    <w:rsid w:val="007748B4"/>
    <w:rsid w:val="00774FA0"/>
    <w:rsid w:val="0077597C"/>
    <w:rsid w:val="007761E3"/>
    <w:rsid w:val="00776941"/>
    <w:rsid w:val="00776BF3"/>
    <w:rsid w:val="00776D29"/>
    <w:rsid w:val="00776D5E"/>
    <w:rsid w:val="007770D1"/>
    <w:rsid w:val="007772C8"/>
    <w:rsid w:val="007779D2"/>
    <w:rsid w:val="00777BC6"/>
    <w:rsid w:val="00777D08"/>
    <w:rsid w:val="00777FEA"/>
    <w:rsid w:val="007800F1"/>
    <w:rsid w:val="007803EA"/>
    <w:rsid w:val="00780AB9"/>
    <w:rsid w:val="00781783"/>
    <w:rsid w:val="00781B7F"/>
    <w:rsid w:val="00781DA2"/>
    <w:rsid w:val="007820D9"/>
    <w:rsid w:val="00782623"/>
    <w:rsid w:val="007826CE"/>
    <w:rsid w:val="00782C10"/>
    <w:rsid w:val="00782DE8"/>
    <w:rsid w:val="007839D6"/>
    <w:rsid w:val="007845C1"/>
    <w:rsid w:val="00784A9D"/>
    <w:rsid w:val="00784DD7"/>
    <w:rsid w:val="00784EE3"/>
    <w:rsid w:val="00785259"/>
    <w:rsid w:val="00785762"/>
    <w:rsid w:val="00785A18"/>
    <w:rsid w:val="007867B8"/>
    <w:rsid w:val="00786C0C"/>
    <w:rsid w:val="0078777D"/>
    <w:rsid w:val="00787789"/>
    <w:rsid w:val="00787D60"/>
    <w:rsid w:val="007900D2"/>
    <w:rsid w:val="00790F6D"/>
    <w:rsid w:val="007910C7"/>
    <w:rsid w:val="007910E4"/>
    <w:rsid w:val="007916C3"/>
    <w:rsid w:val="00791A55"/>
    <w:rsid w:val="00791BE9"/>
    <w:rsid w:val="007920D8"/>
    <w:rsid w:val="00792BE1"/>
    <w:rsid w:val="00792D3E"/>
    <w:rsid w:val="00793147"/>
    <w:rsid w:val="007934C0"/>
    <w:rsid w:val="00793A7A"/>
    <w:rsid w:val="00793F10"/>
    <w:rsid w:val="007942B9"/>
    <w:rsid w:val="00794961"/>
    <w:rsid w:val="00794B76"/>
    <w:rsid w:val="007952E1"/>
    <w:rsid w:val="00795869"/>
    <w:rsid w:val="00796355"/>
    <w:rsid w:val="007964B7"/>
    <w:rsid w:val="0079708C"/>
    <w:rsid w:val="00797DCC"/>
    <w:rsid w:val="007A0BCE"/>
    <w:rsid w:val="007A12ED"/>
    <w:rsid w:val="007A15E8"/>
    <w:rsid w:val="007A1866"/>
    <w:rsid w:val="007A21E1"/>
    <w:rsid w:val="007A307C"/>
    <w:rsid w:val="007A32D5"/>
    <w:rsid w:val="007A3642"/>
    <w:rsid w:val="007A4BD7"/>
    <w:rsid w:val="007A5BF6"/>
    <w:rsid w:val="007A5C33"/>
    <w:rsid w:val="007A5D28"/>
    <w:rsid w:val="007A6A70"/>
    <w:rsid w:val="007A6A95"/>
    <w:rsid w:val="007A6ED8"/>
    <w:rsid w:val="007A7577"/>
    <w:rsid w:val="007A7850"/>
    <w:rsid w:val="007B03F4"/>
    <w:rsid w:val="007B0E0A"/>
    <w:rsid w:val="007B1778"/>
    <w:rsid w:val="007B1DFB"/>
    <w:rsid w:val="007B2A76"/>
    <w:rsid w:val="007B2BA3"/>
    <w:rsid w:val="007B3976"/>
    <w:rsid w:val="007B3B31"/>
    <w:rsid w:val="007B4C06"/>
    <w:rsid w:val="007B63FB"/>
    <w:rsid w:val="007B676E"/>
    <w:rsid w:val="007B7140"/>
    <w:rsid w:val="007B784C"/>
    <w:rsid w:val="007B798D"/>
    <w:rsid w:val="007C0D25"/>
    <w:rsid w:val="007C1EB9"/>
    <w:rsid w:val="007C1EF0"/>
    <w:rsid w:val="007C248D"/>
    <w:rsid w:val="007C31C1"/>
    <w:rsid w:val="007C326A"/>
    <w:rsid w:val="007C3763"/>
    <w:rsid w:val="007C3A2A"/>
    <w:rsid w:val="007C3B77"/>
    <w:rsid w:val="007C3DC3"/>
    <w:rsid w:val="007C4D8D"/>
    <w:rsid w:val="007C4DA6"/>
    <w:rsid w:val="007C4DAD"/>
    <w:rsid w:val="007C5357"/>
    <w:rsid w:val="007C567D"/>
    <w:rsid w:val="007C575D"/>
    <w:rsid w:val="007C595B"/>
    <w:rsid w:val="007C62C1"/>
    <w:rsid w:val="007C6AB7"/>
    <w:rsid w:val="007C6B1A"/>
    <w:rsid w:val="007C79A4"/>
    <w:rsid w:val="007C7BB0"/>
    <w:rsid w:val="007C7DB4"/>
    <w:rsid w:val="007D0B08"/>
    <w:rsid w:val="007D15DD"/>
    <w:rsid w:val="007D1F44"/>
    <w:rsid w:val="007D20E9"/>
    <w:rsid w:val="007D32A9"/>
    <w:rsid w:val="007D3B66"/>
    <w:rsid w:val="007D43DD"/>
    <w:rsid w:val="007D4AE3"/>
    <w:rsid w:val="007D4CE3"/>
    <w:rsid w:val="007D4FE6"/>
    <w:rsid w:val="007D53BE"/>
    <w:rsid w:val="007D5B2A"/>
    <w:rsid w:val="007D63D3"/>
    <w:rsid w:val="007D6D02"/>
    <w:rsid w:val="007D74B0"/>
    <w:rsid w:val="007D7534"/>
    <w:rsid w:val="007D7E7E"/>
    <w:rsid w:val="007D7F87"/>
    <w:rsid w:val="007E07EC"/>
    <w:rsid w:val="007E156A"/>
    <w:rsid w:val="007E164F"/>
    <w:rsid w:val="007E1683"/>
    <w:rsid w:val="007E1C22"/>
    <w:rsid w:val="007E1E27"/>
    <w:rsid w:val="007E1F90"/>
    <w:rsid w:val="007E2A8D"/>
    <w:rsid w:val="007E2C37"/>
    <w:rsid w:val="007E3B1F"/>
    <w:rsid w:val="007E3BD6"/>
    <w:rsid w:val="007E3CC4"/>
    <w:rsid w:val="007E4AA7"/>
    <w:rsid w:val="007E4EB4"/>
    <w:rsid w:val="007E542A"/>
    <w:rsid w:val="007E5566"/>
    <w:rsid w:val="007E5AAA"/>
    <w:rsid w:val="007E5AB6"/>
    <w:rsid w:val="007E5D76"/>
    <w:rsid w:val="007E604F"/>
    <w:rsid w:val="007E6893"/>
    <w:rsid w:val="007E6ED6"/>
    <w:rsid w:val="007E7697"/>
    <w:rsid w:val="007E7C61"/>
    <w:rsid w:val="007F0587"/>
    <w:rsid w:val="007F061F"/>
    <w:rsid w:val="007F0E8B"/>
    <w:rsid w:val="007F125E"/>
    <w:rsid w:val="007F163A"/>
    <w:rsid w:val="007F2494"/>
    <w:rsid w:val="007F2CA7"/>
    <w:rsid w:val="007F3004"/>
    <w:rsid w:val="007F34E2"/>
    <w:rsid w:val="007F353D"/>
    <w:rsid w:val="007F36B7"/>
    <w:rsid w:val="007F4100"/>
    <w:rsid w:val="007F4800"/>
    <w:rsid w:val="007F495B"/>
    <w:rsid w:val="007F5BF5"/>
    <w:rsid w:val="007F6BF2"/>
    <w:rsid w:val="007F6F00"/>
    <w:rsid w:val="007F778D"/>
    <w:rsid w:val="007F78D8"/>
    <w:rsid w:val="007F7C4A"/>
    <w:rsid w:val="007F7C6B"/>
    <w:rsid w:val="00800D90"/>
    <w:rsid w:val="00800EB7"/>
    <w:rsid w:val="0080319E"/>
    <w:rsid w:val="00803958"/>
    <w:rsid w:val="008039B3"/>
    <w:rsid w:val="00803EE8"/>
    <w:rsid w:val="00804ED3"/>
    <w:rsid w:val="008058C1"/>
    <w:rsid w:val="00805DCE"/>
    <w:rsid w:val="008061F9"/>
    <w:rsid w:val="00806B1C"/>
    <w:rsid w:val="00807A47"/>
    <w:rsid w:val="00807BA3"/>
    <w:rsid w:val="00810185"/>
    <w:rsid w:val="00810A23"/>
    <w:rsid w:val="00810BA2"/>
    <w:rsid w:val="00810C71"/>
    <w:rsid w:val="00810CC4"/>
    <w:rsid w:val="0081105B"/>
    <w:rsid w:val="00811B18"/>
    <w:rsid w:val="0081200A"/>
    <w:rsid w:val="00813952"/>
    <w:rsid w:val="00813C34"/>
    <w:rsid w:val="00813D59"/>
    <w:rsid w:val="00813E05"/>
    <w:rsid w:val="00814BD5"/>
    <w:rsid w:val="00815621"/>
    <w:rsid w:val="008158EA"/>
    <w:rsid w:val="00815C4F"/>
    <w:rsid w:val="00815DDB"/>
    <w:rsid w:val="00816504"/>
    <w:rsid w:val="008167EC"/>
    <w:rsid w:val="00816C31"/>
    <w:rsid w:val="00816E42"/>
    <w:rsid w:val="00816F1B"/>
    <w:rsid w:val="008178F1"/>
    <w:rsid w:val="00820081"/>
    <w:rsid w:val="008200B3"/>
    <w:rsid w:val="008203B8"/>
    <w:rsid w:val="008207BE"/>
    <w:rsid w:val="00820A62"/>
    <w:rsid w:val="00820CC5"/>
    <w:rsid w:val="00820FAF"/>
    <w:rsid w:val="0082173A"/>
    <w:rsid w:val="00822305"/>
    <w:rsid w:val="00822CB5"/>
    <w:rsid w:val="0082333A"/>
    <w:rsid w:val="008235CD"/>
    <w:rsid w:val="00823D00"/>
    <w:rsid w:val="00823F27"/>
    <w:rsid w:val="008241FA"/>
    <w:rsid w:val="00825474"/>
    <w:rsid w:val="00825C6B"/>
    <w:rsid w:val="00826161"/>
    <w:rsid w:val="008269EF"/>
    <w:rsid w:val="008272BB"/>
    <w:rsid w:val="008278F1"/>
    <w:rsid w:val="0083010F"/>
    <w:rsid w:val="008302E1"/>
    <w:rsid w:val="00830F5C"/>
    <w:rsid w:val="008311F5"/>
    <w:rsid w:val="00831313"/>
    <w:rsid w:val="00831BCB"/>
    <w:rsid w:val="00831E8E"/>
    <w:rsid w:val="00831E9D"/>
    <w:rsid w:val="00831F2C"/>
    <w:rsid w:val="00832E7C"/>
    <w:rsid w:val="00833670"/>
    <w:rsid w:val="00833F02"/>
    <w:rsid w:val="00833F58"/>
    <w:rsid w:val="00834238"/>
    <w:rsid w:val="0083442A"/>
    <w:rsid w:val="00834CAD"/>
    <w:rsid w:val="0083545C"/>
    <w:rsid w:val="008356E6"/>
    <w:rsid w:val="00835FE7"/>
    <w:rsid w:val="0083604E"/>
    <w:rsid w:val="0083626C"/>
    <w:rsid w:val="00836994"/>
    <w:rsid w:val="00836B7E"/>
    <w:rsid w:val="00836EF7"/>
    <w:rsid w:val="00837430"/>
    <w:rsid w:val="00837D41"/>
    <w:rsid w:val="00840147"/>
    <w:rsid w:val="00842CEE"/>
    <w:rsid w:val="00843466"/>
    <w:rsid w:val="0084347C"/>
    <w:rsid w:val="00843A6C"/>
    <w:rsid w:val="00844D70"/>
    <w:rsid w:val="008453AE"/>
    <w:rsid w:val="00845558"/>
    <w:rsid w:val="008458F1"/>
    <w:rsid w:val="00847088"/>
    <w:rsid w:val="00847E89"/>
    <w:rsid w:val="00850192"/>
    <w:rsid w:val="0085284E"/>
    <w:rsid w:val="008528C4"/>
    <w:rsid w:val="00852F2D"/>
    <w:rsid w:val="00853ABA"/>
    <w:rsid w:val="008549BE"/>
    <w:rsid w:val="00854F97"/>
    <w:rsid w:val="00854FAA"/>
    <w:rsid w:val="0085602C"/>
    <w:rsid w:val="0085608C"/>
    <w:rsid w:val="008560EB"/>
    <w:rsid w:val="0085683D"/>
    <w:rsid w:val="008569BC"/>
    <w:rsid w:val="0085760C"/>
    <w:rsid w:val="008578B5"/>
    <w:rsid w:val="008600D0"/>
    <w:rsid w:val="0086079A"/>
    <w:rsid w:val="0086085C"/>
    <w:rsid w:val="00860862"/>
    <w:rsid w:val="00860BF1"/>
    <w:rsid w:val="0086158D"/>
    <w:rsid w:val="008619CC"/>
    <w:rsid w:val="00861DAA"/>
    <w:rsid w:val="00862081"/>
    <w:rsid w:val="008639A1"/>
    <w:rsid w:val="00864034"/>
    <w:rsid w:val="008645A7"/>
    <w:rsid w:val="00864E0B"/>
    <w:rsid w:val="00865BBD"/>
    <w:rsid w:val="00865F01"/>
    <w:rsid w:val="00865FBC"/>
    <w:rsid w:val="00866086"/>
    <w:rsid w:val="008663F2"/>
    <w:rsid w:val="00866FDB"/>
    <w:rsid w:val="008673A3"/>
    <w:rsid w:val="00867447"/>
    <w:rsid w:val="00867C91"/>
    <w:rsid w:val="00870293"/>
    <w:rsid w:val="008710A0"/>
    <w:rsid w:val="00871DD5"/>
    <w:rsid w:val="00872635"/>
    <w:rsid w:val="00872F47"/>
    <w:rsid w:val="00872F6C"/>
    <w:rsid w:val="00873D1E"/>
    <w:rsid w:val="00873F5A"/>
    <w:rsid w:val="00874117"/>
    <w:rsid w:val="008746F6"/>
    <w:rsid w:val="00874815"/>
    <w:rsid w:val="00874CAB"/>
    <w:rsid w:val="00874D46"/>
    <w:rsid w:val="00875B54"/>
    <w:rsid w:val="00875D4B"/>
    <w:rsid w:val="008767ED"/>
    <w:rsid w:val="008768F7"/>
    <w:rsid w:val="00876B72"/>
    <w:rsid w:val="00877303"/>
    <w:rsid w:val="0087759C"/>
    <w:rsid w:val="00877C75"/>
    <w:rsid w:val="008803EA"/>
    <w:rsid w:val="00880BC0"/>
    <w:rsid w:val="00880C0F"/>
    <w:rsid w:val="00880DD8"/>
    <w:rsid w:val="00880E6C"/>
    <w:rsid w:val="0088141B"/>
    <w:rsid w:val="00881559"/>
    <w:rsid w:val="008826D0"/>
    <w:rsid w:val="00883562"/>
    <w:rsid w:val="008836CE"/>
    <w:rsid w:val="00883906"/>
    <w:rsid w:val="008849B6"/>
    <w:rsid w:val="00884D6D"/>
    <w:rsid w:val="00885915"/>
    <w:rsid w:val="00885A6C"/>
    <w:rsid w:val="008865AE"/>
    <w:rsid w:val="00886950"/>
    <w:rsid w:val="00887E30"/>
    <w:rsid w:val="00890B21"/>
    <w:rsid w:val="0089150A"/>
    <w:rsid w:val="0089155D"/>
    <w:rsid w:val="00891A04"/>
    <w:rsid w:val="00891B71"/>
    <w:rsid w:val="008920C8"/>
    <w:rsid w:val="0089239A"/>
    <w:rsid w:val="00892734"/>
    <w:rsid w:val="008931EC"/>
    <w:rsid w:val="008932F8"/>
    <w:rsid w:val="00893B04"/>
    <w:rsid w:val="008944C5"/>
    <w:rsid w:val="0089587F"/>
    <w:rsid w:val="0089590B"/>
    <w:rsid w:val="00895937"/>
    <w:rsid w:val="00895996"/>
    <w:rsid w:val="00895E15"/>
    <w:rsid w:val="0089603B"/>
    <w:rsid w:val="008971BF"/>
    <w:rsid w:val="00897360"/>
    <w:rsid w:val="008A0BDF"/>
    <w:rsid w:val="008A1026"/>
    <w:rsid w:val="008A1359"/>
    <w:rsid w:val="008A156C"/>
    <w:rsid w:val="008A1F3C"/>
    <w:rsid w:val="008A2217"/>
    <w:rsid w:val="008A3AF7"/>
    <w:rsid w:val="008A415E"/>
    <w:rsid w:val="008A47D0"/>
    <w:rsid w:val="008A4B48"/>
    <w:rsid w:val="008A5D82"/>
    <w:rsid w:val="008A64D5"/>
    <w:rsid w:val="008A6656"/>
    <w:rsid w:val="008A68B7"/>
    <w:rsid w:val="008A6EA2"/>
    <w:rsid w:val="008A7111"/>
    <w:rsid w:val="008A7A23"/>
    <w:rsid w:val="008A7C2E"/>
    <w:rsid w:val="008A7DC7"/>
    <w:rsid w:val="008B089F"/>
    <w:rsid w:val="008B0A74"/>
    <w:rsid w:val="008B0FFE"/>
    <w:rsid w:val="008B159A"/>
    <w:rsid w:val="008B1684"/>
    <w:rsid w:val="008B169A"/>
    <w:rsid w:val="008B1790"/>
    <w:rsid w:val="008B2179"/>
    <w:rsid w:val="008B2527"/>
    <w:rsid w:val="008B2844"/>
    <w:rsid w:val="008B39D0"/>
    <w:rsid w:val="008B3C69"/>
    <w:rsid w:val="008B45C3"/>
    <w:rsid w:val="008B52A5"/>
    <w:rsid w:val="008B5429"/>
    <w:rsid w:val="008B56B2"/>
    <w:rsid w:val="008B5741"/>
    <w:rsid w:val="008B5B75"/>
    <w:rsid w:val="008B67BB"/>
    <w:rsid w:val="008B69A8"/>
    <w:rsid w:val="008B726B"/>
    <w:rsid w:val="008B767E"/>
    <w:rsid w:val="008B7907"/>
    <w:rsid w:val="008C02D9"/>
    <w:rsid w:val="008C111A"/>
    <w:rsid w:val="008C1584"/>
    <w:rsid w:val="008C15FF"/>
    <w:rsid w:val="008C1EDB"/>
    <w:rsid w:val="008C22C5"/>
    <w:rsid w:val="008C22E0"/>
    <w:rsid w:val="008C292B"/>
    <w:rsid w:val="008C343C"/>
    <w:rsid w:val="008C34AA"/>
    <w:rsid w:val="008C44F7"/>
    <w:rsid w:val="008C45FD"/>
    <w:rsid w:val="008C514C"/>
    <w:rsid w:val="008C51A6"/>
    <w:rsid w:val="008C566B"/>
    <w:rsid w:val="008C6BFB"/>
    <w:rsid w:val="008C75AB"/>
    <w:rsid w:val="008C7614"/>
    <w:rsid w:val="008C765F"/>
    <w:rsid w:val="008C7BC5"/>
    <w:rsid w:val="008C7EFF"/>
    <w:rsid w:val="008C7F80"/>
    <w:rsid w:val="008D002C"/>
    <w:rsid w:val="008D0208"/>
    <w:rsid w:val="008D02A5"/>
    <w:rsid w:val="008D0388"/>
    <w:rsid w:val="008D05D2"/>
    <w:rsid w:val="008D0C9D"/>
    <w:rsid w:val="008D1790"/>
    <w:rsid w:val="008D2028"/>
    <w:rsid w:val="008D311D"/>
    <w:rsid w:val="008D32B6"/>
    <w:rsid w:val="008D33F2"/>
    <w:rsid w:val="008D3861"/>
    <w:rsid w:val="008D3CBC"/>
    <w:rsid w:val="008D3EB8"/>
    <w:rsid w:val="008D4024"/>
    <w:rsid w:val="008D44AD"/>
    <w:rsid w:val="008D48E2"/>
    <w:rsid w:val="008D49CF"/>
    <w:rsid w:val="008D52DD"/>
    <w:rsid w:val="008D608D"/>
    <w:rsid w:val="008D73BC"/>
    <w:rsid w:val="008D795E"/>
    <w:rsid w:val="008D7D76"/>
    <w:rsid w:val="008D7F68"/>
    <w:rsid w:val="008E0225"/>
    <w:rsid w:val="008E04B2"/>
    <w:rsid w:val="008E1A0A"/>
    <w:rsid w:val="008E1A20"/>
    <w:rsid w:val="008E1D4F"/>
    <w:rsid w:val="008E1DED"/>
    <w:rsid w:val="008E2148"/>
    <w:rsid w:val="008E2593"/>
    <w:rsid w:val="008E2A24"/>
    <w:rsid w:val="008E3B2D"/>
    <w:rsid w:val="008E5BCA"/>
    <w:rsid w:val="008E5D08"/>
    <w:rsid w:val="008E67B6"/>
    <w:rsid w:val="008E6E8C"/>
    <w:rsid w:val="008E7497"/>
    <w:rsid w:val="008E7522"/>
    <w:rsid w:val="008E7828"/>
    <w:rsid w:val="008E7DC1"/>
    <w:rsid w:val="008E7E13"/>
    <w:rsid w:val="008F03D9"/>
    <w:rsid w:val="008F08D4"/>
    <w:rsid w:val="008F0C98"/>
    <w:rsid w:val="008F0EFB"/>
    <w:rsid w:val="008F1042"/>
    <w:rsid w:val="008F13FE"/>
    <w:rsid w:val="008F16A3"/>
    <w:rsid w:val="008F1717"/>
    <w:rsid w:val="008F17CC"/>
    <w:rsid w:val="008F1829"/>
    <w:rsid w:val="008F1CAC"/>
    <w:rsid w:val="008F226A"/>
    <w:rsid w:val="008F2A52"/>
    <w:rsid w:val="008F2A80"/>
    <w:rsid w:val="008F3328"/>
    <w:rsid w:val="008F3A25"/>
    <w:rsid w:val="008F3DCA"/>
    <w:rsid w:val="008F3FB6"/>
    <w:rsid w:val="008F4057"/>
    <w:rsid w:val="008F41C0"/>
    <w:rsid w:val="008F4490"/>
    <w:rsid w:val="008F46DA"/>
    <w:rsid w:val="008F4DF8"/>
    <w:rsid w:val="008F5C76"/>
    <w:rsid w:val="008F5C81"/>
    <w:rsid w:val="008F64FB"/>
    <w:rsid w:val="008F6B87"/>
    <w:rsid w:val="008F6EA8"/>
    <w:rsid w:val="008F6F9B"/>
    <w:rsid w:val="008F72AB"/>
    <w:rsid w:val="008F7828"/>
    <w:rsid w:val="0090025C"/>
    <w:rsid w:val="0090091F"/>
    <w:rsid w:val="00900AB8"/>
    <w:rsid w:val="00900D3D"/>
    <w:rsid w:val="00900F3D"/>
    <w:rsid w:val="00901DB9"/>
    <w:rsid w:val="009020CC"/>
    <w:rsid w:val="00902282"/>
    <w:rsid w:val="0090258A"/>
    <w:rsid w:val="00902641"/>
    <w:rsid w:val="00902DFE"/>
    <w:rsid w:val="00904BC4"/>
    <w:rsid w:val="00904E16"/>
    <w:rsid w:val="0090507E"/>
    <w:rsid w:val="00906A66"/>
    <w:rsid w:val="00906EC0"/>
    <w:rsid w:val="009073AF"/>
    <w:rsid w:val="00907400"/>
    <w:rsid w:val="009075FC"/>
    <w:rsid w:val="0091051B"/>
    <w:rsid w:val="009106D4"/>
    <w:rsid w:val="00910C12"/>
    <w:rsid w:val="00911440"/>
    <w:rsid w:val="009119E7"/>
    <w:rsid w:val="00912AAC"/>
    <w:rsid w:val="00913117"/>
    <w:rsid w:val="00914114"/>
    <w:rsid w:val="00914212"/>
    <w:rsid w:val="009142B7"/>
    <w:rsid w:val="0091502E"/>
    <w:rsid w:val="00915E0D"/>
    <w:rsid w:val="00915EBF"/>
    <w:rsid w:val="00916683"/>
    <w:rsid w:val="00916C52"/>
    <w:rsid w:val="00916D96"/>
    <w:rsid w:val="00916E9A"/>
    <w:rsid w:val="009171C5"/>
    <w:rsid w:val="009174AE"/>
    <w:rsid w:val="00917BDE"/>
    <w:rsid w:val="00920580"/>
    <w:rsid w:val="0092090C"/>
    <w:rsid w:val="00920A3B"/>
    <w:rsid w:val="00921258"/>
    <w:rsid w:val="0092135A"/>
    <w:rsid w:val="00921757"/>
    <w:rsid w:val="00921840"/>
    <w:rsid w:val="009218CE"/>
    <w:rsid w:val="00921BC1"/>
    <w:rsid w:val="009223A0"/>
    <w:rsid w:val="009227EE"/>
    <w:rsid w:val="00922970"/>
    <w:rsid w:val="00922C1E"/>
    <w:rsid w:val="009231A3"/>
    <w:rsid w:val="00923986"/>
    <w:rsid w:val="00923CCA"/>
    <w:rsid w:val="00924181"/>
    <w:rsid w:val="00924CD4"/>
    <w:rsid w:val="00924D6C"/>
    <w:rsid w:val="00924E9D"/>
    <w:rsid w:val="009251A1"/>
    <w:rsid w:val="009254C0"/>
    <w:rsid w:val="00925F81"/>
    <w:rsid w:val="0092600A"/>
    <w:rsid w:val="009261D7"/>
    <w:rsid w:val="0092650B"/>
    <w:rsid w:val="009273D2"/>
    <w:rsid w:val="0092748A"/>
    <w:rsid w:val="0092761C"/>
    <w:rsid w:val="009277ED"/>
    <w:rsid w:val="00927B9E"/>
    <w:rsid w:val="00927CC9"/>
    <w:rsid w:val="009303E7"/>
    <w:rsid w:val="009311CB"/>
    <w:rsid w:val="009312F8"/>
    <w:rsid w:val="00931468"/>
    <w:rsid w:val="00931DEE"/>
    <w:rsid w:val="009320AA"/>
    <w:rsid w:val="0093254A"/>
    <w:rsid w:val="0093270F"/>
    <w:rsid w:val="00932855"/>
    <w:rsid w:val="0093330F"/>
    <w:rsid w:val="009338C9"/>
    <w:rsid w:val="00933C01"/>
    <w:rsid w:val="0093422A"/>
    <w:rsid w:val="00935E37"/>
    <w:rsid w:val="00936DC1"/>
    <w:rsid w:val="009371DA"/>
    <w:rsid w:val="009375A2"/>
    <w:rsid w:val="00937BD2"/>
    <w:rsid w:val="00940524"/>
    <w:rsid w:val="00940A54"/>
    <w:rsid w:val="009420CF"/>
    <w:rsid w:val="0094213F"/>
    <w:rsid w:val="009422E6"/>
    <w:rsid w:val="00942C2D"/>
    <w:rsid w:val="0094396E"/>
    <w:rsid w:val="00944017"/>
    <w:rsid w:val="00944B1D"/>
    <w:rsid w:val="00945193"/>
    <w:rsid w:val="00945694"/>
    <w:rsid w:val="00945E7F"/>
    <w:rsid w:val="0094692F"/>
    <w:rsid w:val="00946B41"/>
    <w:rsid w:val="009470FA"/>
    <w:rsid w:val="00950042"/>
    <w:rsid w:val="0095009E"/>
    <w:rsid w:val="00950550"/>
    <w:rsid w:val="00950FF2"/>
    <w:rsid w:val="00951D65"/>
    <w:rsid w:val="009520C1"/>
    <w:rsid w:val="00952B88"/>
    <w:rsid w:val="0095359A"/>
    <w:rsid w:val="009548A1"/>
    <w:rsid w:val="00954FE4"/>
    <w:rsid w:val="009551E0"/>
    <w:rsid w:val="009553F2"/>
    <w:rsid w:val="0095587F"/>
    <w:rsid w:val="00955890"/>
    <w:rsid w:val="00955936"/>
    <w:rsid w:val="0095690E"/>
    <w:rsid w:val="00956982"/>
    <w:rsid w:val="00957158"/>
    <w:rsid w:val="0096004A"/>
    <w:rsid w:val="00960B63"/>
    <w:rsid w:val="00960CE9"/>
    <w:rsid w:val="00960ECA"/>
    <w:rsid w:val="009619FE"/>
    <w:rsid w:val="00961E8E"/>
    <w:rsid w:val="00961F43"/>
    <w:rsid w:val="009626A2"/>
    <w:rsid w:val="009627FE"/>
    <w:rsid w:val="00962886"/>
    <w:rsid w:val="00962B75"/>
    <w:rsid w:val="009644E9"/>
    <w:rsid w:val="00964EA0"/>
    <w:rsid w:val="00965247"/>
    <w:rsid w:val="00965B92"/>
    <w:rsid w:val="00965F26"/>
    <w:rsid w:val="00966059"/>
    <w:rsid w:val="009660D4"/>
    <w:rsid w:val="009661AE"/>
    <w:rsid w:val="0096665E"/>
    <w:rsid w:val="00966891"/>
    <w:rsid w:val="00966ACB"/>
    <w:rsid w:val="00966CEE"/>
    <w:rsid w:val="00966EC2"/>
    <w:rsid w:val="0096771B"/>
    <w:rsid w:val="00967B1F"/>
    <w:rsid w:val="00967EC7"/>
    <w:rsid w:val="0097063A"/>
    <w:rsid w:val="00971369"/>
    <w:rsid w:val="00971666"/>
    <w:rsid w:val="00971A85"/>
    <w:rsid w:val="0097216C"/>
    <w:rsid w:val="00972325"/>
    <w:rsid w:val="0097299C"/>
    <w:rsid w:val="00972DD9"/>
    <w:rsid w:val="0097301B"/>
    <w:rsid w:val="00973962"/>
    <w:rsid w:val="00973D97"/>
    <w:rsid w:val="009741AA"/>
    <w:rsid w:val="00974223"/>
    <w:rsid w:val="00974889"/>
    <w:rsid w:val="00974A8B"/>
    <w:rsid w:val="00975693"/>
    <w:rsid w:val="0097572C"/>
    <w:rsid w:val="009759CD"/>
    <w:rsid w:val="0097659E"/>
    <w:rsid w:val="00976B37"/>
    <w:rsid w:val="00976E5E"/>
    <w:rsid w:val="0097732F"/>
    <w:rsid w:val="00977864"/>
    <w:rsid w:val="00977A1C"/>
    <w:rsid w:val="00981DDE"/>
    <w:rsid w:val="00982516"/>
    <w:rsid w:val="009828C6"/>
    <w:rsid w:val="00982AB6"/>
    <w:rsid w:val="009839B8"/>
    <w:rsid w:val="00984C58"/>
    <w:rsid w:val="009851A5"/>
    <w:rsid w:val="00985621"/>
    <w:rsid w:val="00985D1F"/>
    <w:rsid w:val="00985D47"/>
    <w:rsid w:val="00986758"/>
    <w:rsid w:val="00986F8E"/>
    <w:rsid w:val="009870EE"/>
    <w:rsid w:val="009872B6"/>
    <w:rsid w:val="00990783"/>
    <w:rsid w:val="00990EC8"/>
    <w:rsid w:val="00991320"/>
    <w:rsid w:val="0099182A"/>
    <w:rsid w:val="00991C6E"/>
    <w:rsid w:val="00991F99"/>
    <w:rsid w:val="00991FA7"/>
    <w:rsid w:val="009925AC"/>
    <w:rsid w:val="00992C05"/>
    <w:rsid w:val="00992CD5"/>
    <w:rsid w:val="00992EE5"/>
    <w:rsid w:val="00993A6D"/>
    <w:rsid w:val="00993A83"/>
    <w:rsid w:val="00993A89"/>
    <w:rsid w:val="00993BE9"/>
    <w:rsid w:val="00993E71"/>
    <w:rsid w:val="0099428D"/>
    <w:rsid w:val="009944A2"/>
    <w:rsid w:val="00994590"/>
    <w:rsid w:val="00994E57"/>
    <w:rsid w:val="00994F71"/>
    <w:rsid w:val="0099566B"/>
    <w:rsid w:val="00995825"/>
    <w:rsid w:val="00995B49"/>
    <w:rsid w:val="009960C6"/>
    <w:rsid w:val="009962A3"/>
    <w:rsid w:val="00996339"/>
    <w:rsid w:val="00996FD9"/>
    <w:rsid w:val="009979BB"/>
    <w:rsid w:val="009A09D1"/>
    <w:rsid w:val="009A0E3B"/>
    <w:rsid w:val="009A2324"/>
    <w:rsid w:val="009A2501"/>
    <w:rsid w:val="009A30E7"/>
    <w:rsid w:val="009A32F9"/>
    <w:rsid w:val="009A3E88"/>
    <w:rsid w:val="009A48AE"/>
    <w:rsid w:val="009A5241"/>
    <w:rsid w:val="009A536C"/>
    <w:rsid w:val="009A62AB"/>
    <w:rsid w:val="009A67D1"/>
    <w:rsid w:val="009A719F"/>
    <w:rsid w:val="009A7A58"/>
    <w:rsid w:val="009B0331"/>
    <w:rsid w:val="009B044C"/>
    <w:rsid w:val="009B0533"/>
    <w:rsid w:val="009B0CD3"/>
    <w:rsid w:val="009B0F9D"/>
    <w:rsid w:val="009B1224"/>
    <w:rsid w:val="009B12A0"/>
    <w:rsid w:val="009B12E4"/>
    <w:rsid w:val="009B1A7F"/>
    <w:rsid w:val="009B1AE9"/>
    <w:rsid w:val="009B204C"/>
    <w:rsid w:val="009B2186"/>
    <w:rsid w:val="009B252B"/>
    <w:rsid w:val="009B294C"/>
    <w:rsid w:val="009B3075"/>
    <w:rsid w:val="009B31CA"/>
    <w:rsid w:val="009B341F"/>
    <w:rsid w:val="009B3D03"/>
    <w:rsid w:val="009B3FBB"/>
    <w:rsid w:val="009B59C0"/>
    <w:rsid w:val="009B6AC4"/>
    <w:rsid w:val="009B764E"/>
    <w:rsid w:val="009C0E70"/>
    <w:rsid w:val="009C184F"/>
    <w:rsid w:val="009C1F2D"/>
    <w:rsid w:val="009C201A"/>
    <w:rsid w:val="009C2A19"/>
    <w:rsid w:val="009C2AF2"/>
    <w:rsid w:val="009C2B94"/>
    <w:rsid w:val="009C330E"/>
    <w:rsid w:val="009C36DC"/>
    <w:rsid w:val="009C375B"/>
    <w:rsid w:val="009C37E3"/>
    <w:rsid w:val="009C3ACE"/>
    <w:rsid w:val="009C3E3D"/>
    <w:rsid w:val="009C483F"/>
    <w:rsid w:val="009C519C"/>
    <w:rsid w:val="009C5659"/>
    <w:rsid w:val="009C64EF"/>
    <w:rsid w:val="009C6506"/>
    <w:rsid w:val="009C65D4"/>
    <w:rsid w:val="009D04F8"/>
    <w:rsid w:val="009D055E"/>
    <w:rsid w:val="009D08A5"/>
    <w:rsid w:val="009D08D3"/>
    <w:rsid w:val="009D093F"/>
    <w:rsid w:val="009D124E"/>
    <w:rsid w:val="009D12E6"/>
    <w:rsid w:val="009D1718"/>
    <w:rsid w:val="009D1BAD"/>
    <w:rsid w:val="009D1DB7"/>
    <w:rsid w:val="009D359C"/>
    <w:rsid w:val="009D3686"/>
    <w:rsid w:val="009D3FCA"/>
    <w:rsid w:val="009D405F"/>
    <w:rsid w:val="009D49AD"/>
    <w:rsid w:val="009D5385"/>
    <w:rsid w:val="009D5FAF"/>
    <w:rsid w:val="009D61C4"/>
    <w:rsid w:val="009D63AD"/>
    <w:rsid w:val="009D6666"/>
    <w:rsid w:val="009D6BD8"/>
    <w:rsid w:val="009D71BE"/>
    <w:rsid w:val="009D7BA0"/>
    <w:rsid w:val="009E007A"/>
    <w:rsid w:val="009E0475"/>
    <w:rsid w:val="009E073C"/>
    <w:rsid w:val="009E099F"/>
    <w:rsid w:val="009E09AB"/>
    <w:rsid w:val="009E1208"/>
    <w:rsid w:val="009E2031"/>
    <w:rsid w:val="009E22F1"/>
    <w:rsid w:val="009E27CA"/>
    <w:rsid w:val="009E2CAA"/>
    <w:rsid w:val="009E3361"/>
    <w:rsid w:val="009E364D"/>
    <w:rsid w:val="009E3BC2"/>
    <w:rsid w:val="009E3EB8"/>
    <w:rsid w:val="009E3EE4"/>
    <w:rsid w:val="009E40FB"/>
    <w:rsid w:val="009E4408"/>
    <w:rsid w:val="009E48AE"/>
    <w:rsid w:val="009E4B57"/>
    <w:rsid w:val="009E595A"/>
    <w:rsid w:val="009E5BF7"/>
    <w:rsid w:val="009E60AC"/>
    <w:rsid w:val="009E61D4"/>
    <w:rsid w:val="009E6B28"/>
    <w:rsid w:val="009E6C49"/>
    <w:rsid w:val="009E7BF4"/>
    <w:rsid w:val="009E7F2E"/>
    <w:rsid w:val="009F0C7F"/>
    <w:rsid w:val="009F0F9D"/>
    <w:rsid w:val="009F10C0"/>
    <w:rsid w:val="009F1496"/>
    <w:rsid w:val="009F1578"/>
    <w:rsid w:val="009F15CF"/>
    <w:rsid w:val="009F1630"/>
    <w:rsid w:val="009F2031"/>
    <w:rsid w:val="009F2EDA"/>
    <w:rsid w:val="009F3DC3"/>
    <w:rsid w:val="009F45A6"/>
    <w:rsid w:val="009F478A"/>
    <w:rsid w:val="009F4A40"/>
    <w:rsid w:val="009F4BA4"/>
    <w:rsid w:val="009F5277"/>
    <w:rsid w:val="009F6043"/>
    <w:rsid w:val="009F658C"/>
    <w:rsid w:val="009F6802"/>
    <w:rsid w:val="009F69F4"/>
    <w:rsid w:val="009F6E79"/>
    <w:rsid w:val="009F77E1"/>
    <w:rsid w:val="009F7BF5"/>
    <w:rsid w:val="009F7DDE"/>
    <w:rsid w:val="009F7F77"/>
    <w:rsid w:val="00A00163"/>
    <w:rsid w:val="00A00259"/>
    <w:rsid w:val="00A003E9"/>
    <w:rsid w:val="00A00719"/>
    <w:rsid w:val="00A00AE5"/>
    <w:rsid w:val="00A00FA0"/>
    <w:rsid w:val="00A01361"/>
    <w:rsid w:val="00A0146E"/>
    <w:rsid w:val="00A017AC"/>
    <w:rsid w:val="00A01816"/>
    <w:rsid w:val="00A01C4E"/>
    <w:rsid w:val="00A01EA6"/>
    <w:rsid w:val="00A02828"/>
    <w:rsid w:val="00A0449C"/>
    <w:rsid w:val="00A04F07"/>
    <w:rsid w:val="00A05A29"/>
    <w:rsid w:val="00A05EF5"/>
    <w:rsid w:val="00A06180"/>
    <w:rsid w:val="00A0749B"/>
    <w:rsid w:val="00A076B6"/>
    <w:rsid w:val="00A10868"/>
    <w:rsid w:val="00A10955"/>
    <w:rsid w:val="00A10A40"/>
    <w:rsid w:val="00A10D2D"/>
    <w:rsid w:val="00A118C8"/>
    <w:rsid w:val="00A11FBF"/>
    <w:rsid w:val="00A121F4"/>
    <w:rsid w:val="00A12DFD"/>
    <w:rsid w:val="00A140FF"/>
    <w:rsid w:val="00A141A3"/>
    <w:rsid w:val="00A144BA"/>
    <w:rsid w:val="00A146DB"/>
    <w:rsid w:val="00A1493A"/>
    <w:rsid w:val="00A14D06"/>
    <w:rsid w:val="00A15332"/>
    <w:rsid w:val="00A158F0"/>
    <w:rsid w:val="00A15C51"/>
    <w:rsid w:val="00A15E82"/>
    <w:rsid w:val="00A16116"/>
    <w:rsid w:val="00A1623A"/>
    <w:rsid w:val="00A16565"/>
    <w:rsid w:val="00A16E03"/>
    <w:rsid w:val="00A16EBF"/>
    <w:rsid w:val="00A16EF0"/>
    <w:rsid w:val="00A17D10"/>
    <w:rsid w:val="00A20839"/>
    <w:rsid w:val="00A20D27"/>
    <w:rsid w:val="00A20EDB"/>
    <w:rsid w:val="00A21180"/>
    <w:rsid w:val="00A21483"/>
    <w:rsid w:val="00A2167F"/>
    <w:rsid w:val="00A2222B"/>
    <w:rsid w:val="00A22997"/>
    <w:rsid w:val="00A23878"/>
    <w:rsid w:val="00A23EED"/>
    <w:rsid w:val="00A24590"/>
    <w:rsid w:val="00A24958"/>
    <w:rsid w:val="00A249B6"/>
    <w:rsid w:val="00A24BAE"/>
    <w:rsid w:val="00A24DF8"/>
    <w:rsid w:val="00A25D08"/>
    <w:rsid w:val="00A25E10"/>
    <w:rsid w:val="00A31A4D"/>
    <w:rsid w:val="00A31EB2"/>
    <w:rsid w:val="00A324DE"/>
    <w:rsid w:val="00A32C6A"/>
    <w:rsid w:val="00A3304F"/>
    <w:rsid w:val="00A333B4"/>
    <w:rsid w:val="00A337F3"/>
    <w:rsid w:val="00A343BC"/>
    <w:rsid w:val="00A344AB"/>
    <w:rsid w:val="00A34521"/>
    <w:rsid w:val="00A34AC8"/>
    <w:rsid w:val="00A35045"/>
    <w:rsid w:val="00A3511A"/>
    <w:rsid w:val="00A351DE"/>
    <w:rsid w:val="00A354C4"/>
    <w:rsid w:val="00A358EA"/>
    <w:rsid w:val="00A36371"/>
    <w:rsid w:val="00A366AE"/>
    <w:rsid w:val="00A36C7E"/>
    <w:rsid w:val="00A36D1B"/>
    <w:rsid w:val="00A36F51"/>
    <w:rsid w:val="00A373EE"/>
    <w:rsid w:val="00A37880"/>
    <w:rsid w:val="00A37B8C"/>
    <w:rsid w:val="00A37D5E"/>
    <w:rsid w:val="00A405E2"/>
    <w:rsid w:val="00A4142D"/>
    <w:rsid w:val="00A41E12"/>
    <w:rsid w:val="00A42426"/>
    <w:rsid w:val="00A42E6E"/>
    <w:rsid w:val="00A44152"/>
    <w:rsid w:val="00A449F7"/>
    <w:rsid w:val="00A450AB"/>
    <w:rsid w:val="00A454DC"/>
    <w:rsid w:val="00A45674"/>
    <w:rsid w:val="00A45B73"/>
    <w:rsid w:val="00A45D41"/>
    <w:rsid w:val="00A461A3"/>
    <w:rsid w:val="00A463DE"/>
    <w:rsid w:val="00A46450"/>
    <w:rsid w:val="00A4757C"/>
    <w:rsid w:val="00A5045C"/>
    <w:rsid w:val="00A50736"/>
    <w:rsid w:val="00A509A4"/>
    <w:rsid w:val="00A50B32"/>
    <w:rsid w:val="00A50BFB"/>
    <w:rsid w:val="00A51967"/>
    <w:rsid w:val="00A52589"/>
    <w:rsid w:val="00A52604"/>
    <w:rsid w:val="00A5293A"/>
    <w:rsid w:val="00A52A98"/>
    <w:rsid w:val="00A53972"/>
    <w:rsid w:val="00A53BB4"/>
    <w:rsid w:val="00A540C2"/>
    <w:rsid w:val="00A542FD"/>
    <w:rsid w:val="00A54569"/>
    <w:rsid w:val="00A55350"/>
    <w:rsid w:val="00A55B47"/>
    <w:rsid w:val="00A55CDB"/>
    <w:rsid w:val="00A55F18"/>
    <w:rsid w:val="00A55F6C"/>
    <w:rsid w:val="00A56139"/>
    <w:rsid w:val="00A563EF"/>
    <w:rsid w:val="00A56D01"/>
    <w:rsid w:val="00A57E50"/>
    <w:rsid w:val="00A57EC9"/>
    <w:rsid w:val="00A6092B"/>
    <w:rsid w:val="00A61090"/>
    <w:rsid w:val="00A61AED"/>
    <w:rsid w:val="00A61C8E"/>
    <w:rsid w:val="00A61ED5"/>
    <w:rsid w:val="00A6507E"/>
    <w:rsid w:val="00A65CFE"/>
    <w:rsid w:val="00A65D11"/>
    <w:rsid w:val="00A66383"/>
    <w:rsid w:val="00A67BD1"/>
    <w:rsid w:val="00A67E86"/>
    <w:rsid w:val="00A701BC"/>
    <w:rsid w:val="00A702CB"/>
    <w:rsid w:val="00A708C4"/>
    <w:rsid w:val="00A71C44"/>
    <w:rsid w:val="00A72A56"/>
    <w:rsid w:val="00A72EC2"/>
    <w:rsid w:val="00A73152"/>
    <w:rsid w:val="00A7364F"/>
    <w:rsid w:val="00A73914"/>
    <w:rsid w:val="00A73A76"/>
    <w:rsid w:val="00A73DA4"/>
    <w:rsid w:val="00A75C7F"/>
    <w:rsid w:val="00A75DC2"/>
    <w:rsid w:val="00A75E2D"/>
    <w:rsid w:val="00A761B8"/>
    <w:rsid w:val="00A7682B"/>
    <w:rsid w:val="00A768D1"/>
    <w:rsid w:val="00A77535"/>
    <w:rsid w:val="00A80BAF"/>
    <w:rsid w:val="00A80CDB"/>
    <w:rsid w:val="00A80E24"/>
    <w:rsid w:val="00A813C3"/>
    <w:rsid w:val="00A81E8B"/>
    <w:rsid w:val="00A81F1D"/>
    <w:rsid w:val="00A81FBA"/>
    <w:rsid w:val="00A823CC"/>
    <w:rsid w:val="00A82512"/>
    <w:rsid w:val="00A8278A"/>
    <w:rsid w:val="00A82BCC"/>
    <w:rsid w:val="00A82CAC"/>
    <w:rsid w:val="00A82D95"/>
    <w:rsid w:val="00A835B7"/>
    <w:rsid w:val="00A841EF"/>
    <w:rsid w:val="00A857D8"/>
    <w:rsid w:val="00A85A97"/>
    <w:rsid w:val="00A86578"/>
    <w:rsid w:val="00A86D99"/>
    <w:rsid w:val="00A9012B"/>
    <w:rsid w:val="00A903EC"/>
    <w:rsid w:val="00A907B6"/>
    <w:rsid w:val="00A924F3"/>
    <w:rsid w:val="00A925EF"/>
    <w:rsid w:val="00A9320B"/>
    <w:rsid w:val="00A941E3"/>
    <w:rsid w:val="00A94611"/>
    <w:rsid w:val="00A94E1B"/>
    <w:rsid w:val="00A94E39"/>
    <w:rsid w:val="00A95814"/>
    <w:rsid w:val="00A95818"/>
    <w:rsid w:val="00A95B38"/>
    <w:rsid w:val="00A96466"/>
    <w:rsid w:val="00A964E1"/>
    <w:rsid w:val="00A96DA8"/>
    <w:rsid w:val="00A9744C"/>
    <w:rsid w:val="00AA154D"/>
    <w:rsid w:val="00AA249C"/>
    <w:rsid w:val="00AA2B41"/>
    <w:rsid w:val="00AA2CDA"/>
    <w:rsid w:val="00AA3686"/>
    <w:rsid w:val="00AA3917"/>
    <w:rsid w:val="00AA3BD9"/>
    <w:rsid w:val="00AA3C27"/>
    <w:rsid w:val="00AA3E1A"/>
    <w:rsid w:val="00AA4508"/>
    <w:rsid w:val="00AA4FD7"/>
    <w:rsid w:val="00AA5946"/>
    <w:rsid w:val="00AA5A54"/>
    <w:rsid w:val="00AA62FB"/>
    <w:rsid w:val="00AA6A3B"/>
    <w:rsid w:val="00AA7467"/>
    <w:rsid w:val="00AB07E8"/>
    <w:rsid w:val="00AB0A82"/>
    <w:rsid w:val="00AB0CB1"/>
    <w:rsid w:val="00AB0DAB"/>
    <w:rsid w:val="00AB14AA"/>
    <w:rsid w:val="00AB156C"/>
    <w:rsid w:val="00AB199A"/>
    <w:rsid w:val="00AB1EBD"/>
    <w:rsid w:val="00AB1F19"/>
    <w:rsid w:val="00AB2525"/>
    <w:rsid w:val="00AB25A3"/>
    <w:rsid w:val="00AB2823"/>
    <w:rsid w:val="00AB2BDC"/>
    <w:rsid w:val="00AB3515"/>
    <w:rsid w:val="00AB3622"/>
    <w:rsid w:val="00AB398A"/>
    <w:rsid w:val="00AB3E92"/>
    <w:rsid w:val="00AB4114"/>
    <w:rsid w:val="00AB46CD"/>
    <w:rsid w:val="00AB4A70"/>
    <w:rsid w:val="00AB5610"/>
    <w:rsid w:val="00AB5659"/>
    <w:rsid w:val="00AB62E9"/>
    <w:rsid w:val="00AB76CA"/>
    <w:rsid w:val="00AB7F47"/>
    <w:rsid w:val="00AC09D2"/>
    <w:rsid w:val="00AC0BEC"/>
    <w:rsid w:val="00AC0E7A"/>
    <w:rsid w:val="00AC23DC"/>
    <w:rsid w:val="00AC2758"/>
    <w:rsid w:val="00AC2B5F"/>
    <w:rsid w:val="00AC2E7D"/>
    <w:rsid w:val="00AC3368"/>
    <w:rsid w:val="00AC3A17"/>
    <w:rsid w:val="00AC4619"/>
    <w:rsid w:val="00AC4627"/>
    <w:rsid w:val="00AC4B10"/>
    <w:rsid w:val="00AC4B50"/>
    <w:rsid w:val="00AC5405"/>
    <w:rsid w:val="00AC6329"/>
    <w:rsid w:val="00AC6EB6"/>
    <w:rsid w:val="00AC71C9"/>
    <w:rsid w:val="00AC7DC5"/>
    <w:rsid w:val="00AC7EDD"/>
    <w:rsid w:val="00AD015A"/>
    <w:rsid w:val="00AD023B"/>
    <w:rsid w:val="00AD0E5F"/>
    <w:rsid w:val="00AD1518"/>
    <w:rsid w:val="00AD178E"/>
    <w:rsid w:val="00AD191A"/>
    <w:rsid w:val="00AD1C35"/>
    <w:rsid w:val="00AD1EC1"/>
    <w:rsid w:val="00AD22F3"/>
    <w:rsid w:val="00AD2DB8"/>
    <w:rsid w:val="00AD4327"/>
    <w:rsid w:val="00AD4628"/>
    <w:rsid w:val="00AD46AF"/>
    <w:rsid w:val="00AD4714"/>
    <w:rsid w:val="00AD53F4"/>
    <w:rsid w:val="00AD577E"/>
    <w:rsid w:val="00AD5A42"/>
    <w:rsid w:val="00AD5C69"/>
    <w:rsid w:val="00AD642A"/>
    <w:rsid w:val="00AD6B49"/>
    <w:rsid w:val="00AD6D42"/>
    <w:rsid w:val="00AD6D7C"/>
    <w:rsid w:val="00AD73CD"/>
    <w:rsid w:val="00AD7A94"/>
    <w:rsid w:val="00AE0ACE"/>
    <w:rsid w:val="00AE13A7"/>
    <w:rsid w:val="00AE1B23"/>
    <w:rsid w:val="00AE1C87"/>
    <w:rsid w:val="00AE1FCE"/>
    <w:rsid w:val="00AE2DE1"/>
    <w:rsid w:val="00AE2FBF"/>
    <w:rsid w:val="00AE304C"/>
    <w:rsid w:val="00AE30A6"/>
    <w:rsid w:val="00AE3686"/>
    <w:rsid w:val="00AE3A43"/>
    <w:rsid w:val="00AE3BA4"/>
    <w:rsid w:val="00AE3C11"/>
    <w:rsid w:val="00AE48BF"/>
    <w:rsid w:val="00AE5038"/>
    <w:rsid w:val="00AE510A"/>
    <w:rsid w:val="00AE5319"/>
    <w:rsid w:val="00AE57A3"/>
    <w:rsid w:val="00AE63D9"/>
    <w:rsid w:val="00AE63E0"/>
    <w:rsid w:val="00AE6C6B"/>
    <w:rsid w:val="00AE7C3B"/>
    <w:rsid w:val="00AF0514"/>
    <w:rsid w:val="00AF0650"/>
    <w:rsid w:val="00AF1703"/>
    <w:rsid w:val="00AF1746"/>
    <w:rsid w:val="00AF1C16"/>
    <w:rsid w:val="00AF2147"/>
    <w:rsid w:val="00AF238E"/>
    <w:rsid w:val="00AF2BF2"/>
    <w:rsid w:val="00AF33E7"/>
    <w:rsid w:val="00AF3A5E"/>
    <w:rsid w:val="00AF46E9"/>
    <w:rsid w:val="00AF4739"/>
    <w:rsid w:val="00AF47D0"/>
    <w:rsid w:val="00AF5030"/>
    <w:rsid w:val="00AF5290"/>
    <w:rsid w:val="00AF5B72"/>
    <w:rsid w:val="00AF6140"/>
    <w:rsid w:val="00AF6266"/>
    <w:rsid w:val="00AF6270"/>
    <w:rsid w:val="00AF6A47"/>
    <w:rsid w:val="00AF6DD4"/>
    <w:rsid w:val="00AF6E3B"/>
    <w:rsid w:val="00AF7044"/>
    <w:rsid w:val="00AF76A8"/>
    <w:rsid w:val="00AF7C4D"/>
    <w:rsid w:val="00AF7E38"/>
    <w:rsid w:val="00AF7F2D"/>
    <w:rsid w:val="00B0007B"/>
    <w:rsid w:val="00B007CA"/>
    <w:rsid w:val="00B00AE9"/>
    <w:rsid w:val="00B01CEA"/>
    <w:rsid w:val="00B01F58"/>
    <w:rsid w:val="00B0390E"/>
    <w:rsid w:val="00B044E6"/>
    <w:rsid w:val="00B049A5"/>
    <w:rsid w:val="00B04B50"/>
    <w:rsid w:val="00B0647D"/>
    <w:rsid w:val="00B06D5C"/>
    <w:rsid w:val="00B06E0A"/>
    <w:rsid w:val="00B0709A"/>
    <w:rsid w:val="00B070FE"/>
    <w:rsid w:val="00B0733B"/>
    <w:rsid w:val="00B100C0"/>
    <w:rsid w:val="00B101DB"/>
    <w:rsid w:val="00B10209"/>
    <w:rsid w:val="00B10754"/>
    <w:rsid w:val="00B10D5A"/>
    <w:rsid w:val="00B115FB"/>
    <w:rsid w:val="00B11D41"/>
    <w:rsid w:val="00B11F87"/>
    <w:rsid w:val="00B1229F"/>
    <w:rsid w:val="00B12BAC"/>
    <w:rsid w:val="00B140C4"/>
    <w:rsid w:val="00B15117"/>
    <w:rsid w:val="00B15E73"/>
    <w:rsid w:val="00B1610E"/>
    <w:rsid w:val="00B16BC5"/>
    <w:rsid w:val="00B16E5B"/>
    <w:rsid w:val="00B17876"/>
    <w:rsid w:val="00B17974"/>
    <w:rsid w:val="00B2022D"/>
    <w:rsid w:val="00B20301"/>
    <w:rsid w:val="00B2058E"/>
    <w:rsid w:val="00B208D7"/>
    <w:rsid w:val="00B20959"/>
    <w:rsid w:val="00B21006"/>
    <w:rsid w:val="00B220C5"/>
    <w:rsid w:val="00B2242E"/>
    <w:rsid w:val="00B229C9"/>
    <w:rsid w:val="00B22E32"/>
    <w:rsid w:val="00B22F1B"/>
    <w:rsid w:val="00B23281"/>
    <w:rsid w:val="00B24114"/>
    <w:rsid w:val="00B24240"/>
    <w:rsid w:val="00B2428C"/>
    <w:rsid w:val="00B247B7"/>
    <w:rsid w:val="00B24BA6"/>
    <w:rsid w:val="00B24E71"/>
    <w:rsid w:val="00B25021"/>
    <w:rsid w:val="00B25211"/>
    <w:rsid w:val="00B2606D"/>
    <w:rsid w:val="00B26849"/>
    <w:rsid w:val="00B26934"/>
    <w:rsid w:val="00B2702A"/>
    <w:rsid w:val="00B27185"/>
    <w:rsid w:val="00B2728B"/>
    <w:rsid w:val="00B27F9E"/>
    <w:rsid w:val="00B300F6"/>
    <w:rsid w:val="00B30204"/>
    <w:rsid w:val="00B30379"/>
    <w:rsid w:val="00B3073E"/>
    <w:rsid w:val="00B3090E"/>
    <w:rsid w:val="00B315CD"/>
    <w:rsid w:val="00B323EC"/>
    <w:rsid w:val="00B324E9"/>
    <w:rsid w:val="00B3290A"/>
    <w:rsid w:val="00B33A9E"/>
    <w:rsid w:val="00B3413F"/>
    <w:rsid w:val="00B347C7"/>
    <w:rsid w:val="00B35632"/>
    <w:rsid w:val="00B357DC"/>
    <w:rsid w:val="00B3587B"/>
    <w:rsid w:val="00B36E2E"/>
    <w:rsid w:val="00B36FEF"/>
    <w:rsid w:val="00B3707C"/>
    <w:rsid w:val="00B3791D"/>
    <w:rsid w:val="00B40DC9"/>
    <w:rsid w:val="00B410A7"/>
    <w:rsid w:val="00B410F0"/>
    <w:rsid w:val="00B419AF"/>
    <w:rsid w:val="00B41B0B"/>
    <w:rsid w:val="00B42099"/>
    <w:rsid w:val="00B42BD1"/>
    <w:rsid w:val="00B42C35"/>
    <w:rsid w:val="00B433F4"/>
    <w:rsid w:val="00B43D20"/>
    <w:rsid w:val="00B43ED1"/>
    <w:rsid w:val="00B45B52"/>
    <w:rsid w:val="00B46672"/>
    <w:rsid w:val="00B46BBF"/>
    <w:rsid w:val="00B47283"/>
    <w:rsid w:val="00B47A38"/>
    <w:rsid w:val="00B47B96"/>
    <w:rsid w:val="00B47BEB"/>
    <w:rsid w:val="00B5001C"/>
    <w:rsid w:val="00B500B5"/>
    <w:rsid w:val="00B5012C"/>
    <w:rsid w:val="00B5121D"/>
    <w:rsid w:val="00B513E1"/>
    <w:rsid w:val="00B51966"/>
    <w:rsid w:val="00B51F7A"/>
    <w:rsid w:val="00B52A7D"/>
    <w:rsid w:val="00B5497E"/>
    <w:rsid w:val="00B54CB7"/>
    <w:rsid w:val="00B564B6"/>
    <w:rsid w:val="00B56E59"/>
    <w:rsid w:val="00B5736C"/>
    <w:rsid w:val="00B5768E"/>
    <w:rsid w:val="00B57C56"/>
    <w:rsid w:val="00B61D6F"/>
    <w:rsid w:val="00B6215D"/>
    <w:rsid w:val="00B622E6"/>
    <w:rsid w:val="00B632D5"/>
    <w:rsid w:val="00B64025"/>
    <w:rsid w:val="00B64858"/>
    <w:rsid w:val="00B653FE"/>
    <w:rsid w:val="00B6544C"/>
    <w:rsid w:val="00B6582B"/>
    <w:rsid w:val="00B65BEB"/>
    <w:rsid w:val="00B65CB4"/>
    <w:rsid w:val="00B661CB"/>
    <w:rsid w:val="00B668F7"/>
    <w:rsid w:val="00B67471"/>
    <w:rsid w:val="00B676D1"/>
    <w:rsid w:val="00B67D9C"/>
    <w:rsid w:val="00B70751"/>
    <w:rsid w:val="00B7076F"/>
    <w:rsid w:val="00B71159"/>
    <w:rsid w:val="00B71342"/>
    <w:rsid w:val="00B71B74"/>
    <w:rsid w:val="00B727CA"/>
    <w:rsid w:val="00B72C80"/>
    <w:rsid w:val="00B7307A"/>
    <w:rsid w:val="00B7356D"/>
    <w:rsid w:val="00B7398D"/>
    <w:rsid w:val="00B73A58"/>
    <w:rsid w:val="00B74599"/>
    <w:rsid w:val="00B747DD"/>
    <w:rsid w:val="00B74984"/>
    <w:rsid w:val="00B74EFF"/>
    <w:rsid w:val="00B7614B"/>
    <w:rsid w:val="00B7617B"/>
    <w:rsid w:val="00B76417"/>
    <w:rsid w:val="00B76DBD"/>
    <w:rsid w:val="00B76DD3"/>
    <w:rsid w:val="00B77209"/>
    <w:rsid w:val="00B773DD"/>
    <w:rsid w:val="00B775DC"/>
    <w:rsid w:val="00B77AF1"/>
    <w:rsid w:val="00B8052C"/>
    <w:rsid w:val="00B808C5"/>
    <w:rsid w:val="00B80A7A"/>
    <w:rsid w:val="00B80C1F"/>
    <w:rsid w:val="00B80C50"/>
    <w:rsid w:val="00B810AE"/>
    <w:rsid w:val="00B813B2"/>
    <w:rsid w:val="00B81477"/>
    <w:rsid w:val="00B8150B"/>
    <w:rsid w:val="00B81A27"/>
    <w:rsid w:val="00B823AA"/>
    <w:rsid w:val="00B829E5"/>
    <w:rsid w:val="00B8306E"/>
    <w:rsid w:val="00B837D7"/>
    <w:rsid w:val="00B83A97"/>
    <w:rsid w:val="00B842FA"/>
    <w:rsid w:val="00B84ADA"/>
    <w:rsid w:val="00B84BB8"/>
    <w:rsid w:val="00B84EE0"/>
    <w:rsid w:val="00B850A0"/>
    <w:rsid w:val="00B854AE"/>
    <w:rsid w:val="00B867A8"/>
    <w:rsid w:val="00B86E3C"/>
    <w:rsid w:val="00B87171"/>
    <w:rsid w:val="00B8726E"/>
    <w:rsid w:val="00B8764F"/>
    <w:rsid w:val="00B87B1F"/>
    <w:rsid w:val="00B87F7D"/>
    <w:rsid w:val="00B9014D"/>
    <w:rsid w:val="00B912A8"/>
    <w:rsid w:val="00B91B42"/>
    <w:rsid w:val="00B91B83"/>
    <w:rsid w:val="00B91E86"/>
    <w:rsid w:val="00B923EB"/>
    <w:rsid w:val="00B926DB"/>
    <w:rsid w:val="00B927D2"/>
    <w:rsid w:val="00B92FD1"/>
    <w:rsid w:val="00B93DB3"/>
    <w:rsid w:val="00B93FD3"/>
    <w:rsid w:val="00B9491B"/>
    <w:rsid w:val="00B94C88"/>
    <w:rsid w:val="00B94D71"/>
    <w:rsid w:val="00B952F8"/>
    <w:rsid w:val="00B966A1"/>
    <w:rsid w:val="00B968C0"/>
    <w:rsid w:val="00B970AC"/>
    <w:rsid w:val="00B976DC"/>
    <w:rsid w:val="00B97AA7"/>
    <w:rsid w:val="00B97BB8"/>
    <w:rsid w:val="00B97BF6"/>
    <w:rsid w:val="00BA0CB8"/>
    <w:rsid w:val="00BA0E9B"/>
    <w:rsid w:val="00BA0FD1"/>
    <w:rsid w:val="00BA1B42"/>
    <w:rsid w:val="00BA1CAF"/>
    <w:rsid w:val="00BA25A0"/>
    <w:rsid w:val="00BA2C70"/>
    <w:rsid w:val="00BA2E28"/>
    <w:rsid w:val="00BA4071"/>
    <w:rsid w:val="00BA42EF"/>
    <w:rsid w:val="00BA4661"/>
    <w:rsid w:val="00BA484D"/>
    <w:rsid w:val="00BA4E65"/>
    <w:rsid w:val="00BA57AB"/>
    <w:rsid w:val="00BA57AD"/>
    <w:rsid w:val="00BA5993"/>
    <w:rsid w:val="00BA66D3"/>
    <w:rsid w:val="00BA6BDA"/>
    <w:rsid w:val="00BA7699"/>
    <w:rsid w:val="00BA76F5"/>
    <w:rsid w:val="00BA7A68"/>
    <w:rsid w:val="00BB0693"/>
    <w:rsid w:val="00BB0D22"/>
    <w:rsid w:val="00BB1263"/>
    <w:rsid w:val="00BB1750"/>
    <w:rsid w:val="00BB1776"/>
    <w:rsid w:val="00BB1F6B"/>
    <w:rsid w:val="00BB2966"/>
    <w:rsid w:val="00BB2D93"/>
    <w:rsid w:val="00BB3199"/>
    <w:rsid w:val="00BB33BD"/>
    <w:rsid w:val="00BB3533"/>
    <w:rsid w:val="00BB376F"/>
    <w:rsid w:val="00BB378D"/>
    <w:rsid w:val="00BB3ECD"/>
    <w:rsid w:val="00BB4561"/>
    <w:rsid w:val="00BB526B"/>
    <w:rsid w:val="00BB538C"/>
    <w:rsid w:val="00BB609A"/>
    <w:rsid w:val="00BB6650"/>
    <w:rsid w:val="00BB6BEA"/>
    <w:rsid w:val="00BB6E0C"/>
    <w:rsid w:val="00BB7DD7"/>
    <w:rsid w:val="00BC0818"/>
    <w:rsid w:val="00BC0E73"/>
    <w:rsid w:val="00BC1FF4"/>
    <w:rsid w:val="00BC28E4"/>
    <w:rsid w:val="00BC3258"/>
    <w:rsid w:val="00BC3619"/>
    <w:rsid w:val="00BC39C3"/>
    <w:rsid w:val="00BC4238"/>
    <w:rsid w:val="00BC45F7"/>
    <w:rsid w:val="00BC4AA3"/>
    <w:rsid w:val="00BC5277"/>
    <w:rsid w:val="00BC6B39"/>
    <w:rsid w:val="00BC731C"/>
    <w:rsid w:val="00BD02FF"/>
    <w:rsid w:val="00BD059C"/>
    <w:rsid w:val="00BD12AE"/>
    <w:rsid w:val="00BD228F"/>
    <w:rsid w:val="00BD22CD"/>
    <w:rsid w:val="00BD360B"/>
    <w:rsid w:val="00BD3612"/>
    <w:rsid w:val="00BD3640"/>
    <w:rsid w:val="00BD3F92"/>
    <w:rsid w:val="00BD432C"/>
    <w:rsid w:val="00BD4415"/>
    <w:rsid w:val="00BD4960"/>
    <w:rsid w:val="00BD4B91"/>
    <w:rsid w:val="00BD4EC0"/>
    <w:rsid w:val="00BD51C0"/>
    <w:rsid w:val="00BD5D8C"/>
    <w:rsid w:val="00BD61BC"/>
    <w:rsid w:val="00BD6762"/>
    <w:rsid w:val="00BD6F5F"/>
    <w:rsid w:val="00BD76B9"/>
    <w:rsid w:val="00BE01F7"/>
    <w:rsid w:val="00BE06C1"/>
    <w:rsid w:val="00BE14B1"/>
    <w:rsid w:val="00BE1529"/>
    <w:rsid w:val="00BE1A9A"/>
    <w:rsid w:val="00BE1B5B"/>
    <w:rsid w:val="00BE3FBB"/>
    <w:rsid w:val="00BE422D"/>
    <w:rsid w:val="00BE5358"/>
    <w:rsid w:val="00BE5596"/>
    <w:rsid w:val="00BE5643"/>
    <w:rsid w:val="00BE5A1B"/>
    <w:rsid w:val="00BE5CD9"/>
    <w:rsid w:val="00BE5D79"/>
    <w:rsid w:val="00BE6420"/>
    <w:rsid w:val="00BE68CD"/>
    <w:rsid w:val="00BE6F1F"/>
    <w:rsid w:val="00BF01C0"/>
    <w:rsid w:val="00BF02F4"/>
    <w:rsid w:val="00BF09D6"/>
    <w:rsid w:val="00BF0D54"/>
    <w:rsid w:val="00BF1755"/>
    <w:rsid w:val="00BF2906"/>
    <w:rsid w:val="00BF2968"/>
    <w:rsid w:val="00BF3223"/>
    <w:rsid w:val="00BF38BF"/>
    <w:rsid w:val="00BF3A81"/>
    <w:rsid w:val="00BF4118"/>
    <w:rsid w:val="00BF4D41"/>
    <w:rsid w:val="00BF4FD2"/>
    <w:rsid w:val="00BF511E"/>
    <w:rsid w:val="00BF5CC7"/>
    <w:rsid w:val="00BF6692"/>
    <w:rsid w:val="00BF68CF"/>
    <w:rsid w:val="00BF68F5"/>
    <w:rsid w:val="00BF694B"/>
    <w:rsid w:val="00BF7B15"/>
    <w:rsid w:val="00C00453"/>
    <w:rsid w:val="00C00D5B"/>
    <w:rsid w:val="00C00DE2"/>
    <w:rsid w:val="00C014E0"/>
    <w:rsid w:val="00C01D89"/>
    <w:rsid w:val="00C01FA0"/>
    <w:rsid w:val="00C029A9"/>
    <w:rsid w:val="00C02E27"/>
    <w:rsid w:val="00C036D7"/>
    <w:rsid w:val="00C03A98"/>
    <w:rsid w:val="00C03F92"/>
    <w:rsid w:val="00C03FB5"/>
    <w:rsid w:val="00C059FF"/>
    <w:rsid w:val="00C063F4"/>
    <w:rsid w:val="00C07135"/>
    <w:rsid w:val="00C07E82"/>
    <w:rsid w:val="00C10141"/>
    <w:rsid w:val="00C101D6"/>
    <w:rsid w:val="00C1040F"/>
    <w:rsid w:val="00C10A99"/>
    <w:rsid w:val="00C10BB6"/>
    <w:rsid w:val="00C10C60"/>
    <w:rsid w:val="00C10C63"/>
    <w:rsid w:val="00C10D3D"/>
    <w:rsid w:val="00C1166C"/>
    <w:rsid w:val="00C11862"/>
    <w:rsid w:val="00C1198C"/>
    <w:rsid w:val="00C121F2"/>
    <w:rsid w:val="00C12404"/>
    <w:rsid w:val="00C136ED"/>
    <w:rsid w:val="00C139A7"/>
    <w:rsid w:val="00C13A1B"/>
    <w:rsid w:val="00C13AB2"/>
    <w:rsid w:val="00C13BA4"/>
    <w:rsid w:val="00C13BC0"/>
    <w:rsid w:val="00C13DD7"/>
    <w:rsid w:val="00C14010"/>
    <w:rsid w:val="00C14011"/>
    <w:rsid w:val="00C14190"/>
    <w:rsid w:val="00C150F0"/>
    <w:rsid w:val="00C153B2"/>
    <w:rsid w:val="00C1584E"/>
    <w:rsid w:val="00C15998"/>
    <w:rsid w:val="00C1599C"/>
    <w:rsid w:val="00C159E7"/>
    <w:rsid w:val="00C1654A"/>
    <w:rsid w:val="00C16C16"/>
    <w:rsid w:val="00C17833"/>
    <w:rsid w:val="00C17A11"/>
    <w:rsid w:val="00C20440"/>
    <w:rsid w:val="00C21032"/>
    <w:rsid w:val="00C21B23"/>
    <w:rsid w:val="00C22251"/>
    <w:rsid w:val="00C224ED"/>
    <w:rsid w:val="00C22996"/>
    <w:rsid w:val="00C22A0B"/>
    <w:rsid w:val="00C23299"/>
    <w:rsid w:val="00C2375F"/>
    <w:rsid w:val="00C242B7"/>
    <w:rsid w:val="00C2489E"/>
    <w:rsid w:val="00C24C97"/>
    <w:rsid w:val="00C24EC9"/>
    <w:rsid w:val="00C251D2"/>
    <w:rsid w:val="00C2543C"/>
    <w:rsid w:val="00C2575F"/>
    <w:rsid w:val="00C259B5"/>
    <w:rsid w:val="00C25AE4"/>
    <w:rsid w:val="00C26D05"/>
    <w:rsid w:val="00C2777D"/>
    <w:rsid w:val="00C30843"/>
    <w:rsid w:val="00C30E52"/>
    <w:rsid w:val="00C3145F"/>
    <w:rsid w:val="00C32765"/>
    <w:rsid w:val="00C327C8"/>
    <w:rsid w:val="00C32D48"/>
    <w:rsid w:val="00C33193"/>
    <w:rsid w:val="00C34264"/>
    <w:rsid w:val="00C349B4"/>
    <w:rsid w:val="00C34A49"/>
    <w:rsid w:val="00C3566B"/>
    <w:rsid w:val="00C36893"/>
    <w:rsid w:val="00C36B87"/>
    <w:rsid w:val="00C36CDC"/>
    <w:rsid w:val="00C374AC"/>
    <w:rsid w:val="00C37A7B"/>
    <w:rsid w:val="00C408A4"/>
    <w:rsid w:val="00C41057"/>
    <w:rsid w:val="00C41891"/>
    <w:rsid w:val="00C418E0"/>
    <w:rsid w:val="00C41C64"/>
    <w:rsid w:val="00C420A9"/>
    <w:rsid w:val="00C428A6"/>
    <w:rsid w:val="00C4291E"/>
    <w:rsid w:val="00C42F00"/>
    <w:rsid w:val="00C437D8"/>
    <w:rsid w:val="00C44863"/>
    <w:rsid w:val="00C44A0F"/>
    <w:rsid w:val="00C44BA6"/>
    <w:rsid w:val="00C44EDC"/>
    <w:rsid w:val="00C44EE9"/>
    <w:rsid w:val="00C4578B"/>
    <w:rsid w:val="00C462B7"/>
    <w:rsid w:val="00C46818"/>
    <w:rsid w:val="00C46CE9"/>
    <w:rsid w:val="00C46D44"/>
    <w:rsid w:val="00C46D73"/>
    <w:rsid w:val="00C472FE"/>
    <w:rsid w:val="00C47468"/>
    <w:rsid w:val="00C500FD"/>
    <w:rsid w:val="00C5012C"/>
    <w:rsid w:val="00C503B0"/>
    <w:rsid w:val="00C50A54"/>
    <w:rsid w:val="00C516A3"/>
    <w:rsid w:val="00C51EB4"/>
    <w:rsid w:val="00C526C5"/>
    <w:rsid w:val="00C5298E"/>
    <w:rsid w:val="00C539EC"/>
    <w:rsid w:val="00C53E8B"/>
    <w:rsid w:val="00C54880"/>
    <w:rsid w:val="00C54B1D"/>
    <w:rsid w:val="00C55162"/>
    <w:rsid w:val="00C55494"/>
    <w:rsid w:val="00C55B85"/>
    <w:rsid w:val="00C560E7"/>
    <w:rsid w:val="00C56410"/>
    <w:rsid w:val="00C564E7"/>
    <w:rsid w:val="00C56C2D"/>
    <w:rsid w:val="00C56E9C"/>
    <w:rsid w:val="00C57BCF"/>
    <w:rsid w:val="00C607DE"/>
    <w:rsid w:val="00C61B03"/>
    <w:rsid w:val="00C61C83"/>
    <w:rsid w:val="00C6203E"/>
    <w:rsid w:val="00C62CD1"/>
    <w:rsid w:val="00C62E0C"/>
    <w:rsid w:val="00C63048"/>
    <w:rsid w:val="00C64919"/>
    <w:rsid w:val="00C64AE5"/>
    <w:rsid w:val="00C64D1E"/>
    <w:rsid w:val="00C64F52"/>
    <w:rsid w:val="00C6516F"/>
    <w:rsid w:val="00C658AE"/>
    <w:rsid w:val="00C65C85"/>
    <w:rsid w:val="00C65F13"/>
    <w:rsid w:val="00C663AD"/>
    <w:rsid w:val="00C66DC4"/>
    <w:rsid w:val="00C67D4A"/>
    <w:rsid w:val="00C67DA9"/>
    <w:rsid w:val="00C70B00"/>
    <w:rsid w:val="00C70FBE"/>
    <w:rsid w:val="00C71294"/>
    <w:rsid w:val="00C71F8B"/>
    <w:rsid w:val="00C731AE"/>
    <w:rsid w:val="00C738E9"/>
    <w:rsid w:val="00C73BB4"/>
    <w:rsid w:val="00C73C7B"/>
    <w:rsid w:val="00C7417C"/>
    <w:rsid w:val="00C74E23"/>
    <w:rsid w:val="00C74EA5"/>
    <w:rsid w:val="00C74EAA"/>
    <w:rsid w:val="00C75267"/>
    <w:rsid w:val="00C75369"/>
    <w:rsid w:val="00C75429"/>
    <w:rsid w:val="00C75D64"/>
    <w:rsid w:val="00C75E65"/>
    <w:rsid w:val="00C760C4"/>
    <w:rsid w:val="00C77B02"/>
    <w:rsid w:val="00C808DA"/>
    <w:rsid w:val="00C81274"/>
    <w:rsid w:val="00C812D0"/>
    <w:rsid w:val="00C81407"/>
    <w:rsid w:val="00C8188A"/>
    <w:rsid w:val="00C81AC6"/>
    <w:rsid w:val="00C81B22"/>
    <w:rsid w:val="00C81F71"/>
    <w:rsid w:val="00C82523"/>
    <w:rsid w:val="00C82E63"/>
    <w:rsid w:val="00C833A7"/>
    <w:rsid w:val="00C833E6"/>
    <w:rsid w:val="00C839C0"/>
    <w:rsid w:val="00C83A7D"/>
    <w:rsid w:val="00C83BD9"/>
    <w:rsid w:val="00C83D20"/>
    <w:rsid w:val="00C83F87"/>
    <w:rsid w:val="00C844D3"/>
    <w:rsid w:val="00C84D98"/>
    <w:rsid w:val="00C850A1"/>
    <w:rsid w:val="00C8583D"/>
    <w:rsid w:val="00C85D97"/>
    <w:rsid w:val="00C85FA7"/>
    <w:rsid w:val="00C864B8"/>
    <w:rsid w:val="00C8696B"/>
    <w:rsid w:val="00C86C06"/>
    <w:rsid w:val="00C86CDC"/>
    <w:rsid w:val="00C86D48"/>
    <w:rsid w:val="00C904EF"/>
    <w:rsid w:val="00C905BA"/>
    <w:rsid w:val="00C90721"/>
    <w:rsid w:val="00C90942"/>
    <w:rsid w:val="00C90B66"/>
    <w:rsid w:val="00C90E1F"/>
    <w:rsid w:val="00C919E7"/>
    <w:rsid w:val="00C920D5"/>
    <w:rsid w:val="00C92284"/>
    <w:rsid w:val="00C92E03"/>
    <w:rsid w:val="00C931E5"/>
    <w:rsid w:val="00C93EE5"/>
    <w:rsid w:val="00C94FB1"/>
    <w:rsid w:val="00C953EC"/>
    <w:rsid w:val="00C9652E"/>
    <w:rsid w:val="00C97E2A"/>
    <w:rsid w:val="00CA0118"/>
    <w:rsid w:val="00CA0489"/>
    <w:rsid w:val="00CA0DA6"/>
    <w:rsid w:val="00CA1864"/>
    <w:rsid w:val="00CA1EC1"/>
    <w:rsid w:val="00CA24AC"/>
    <w:rsid w:val="00CA27EC"/>
    <w:rsid w:val="00CA2FF2"/>
    <w:rsid w:val="00CA3394"/>
    <w:rsid w:val="00CA3880"/>
    <w:rsid w:val="00CA3ABD"/>
    <w:rsid w:val="00CA3ACA"/>
    <w:rsid w:val="00CA3FEC"/>
    <w:rsid w:val="00CA40BC"/>
    <w:rsid w:val="00CA421C"/>
    <w:rsid w:val="00CA4904"/>
    <w:rsid w:val="00CA5B7F"/>
    <w:rsid w:val="00CA6430"/>
    <w:rsid w:val="00CA64AF"/>
    <w:rsid w:val="00CA7304"/>
    <w:rsid w:val="00CA7570"/>
    <w:rsid w:val="00CB031B"/>
    <w:rsid w:val="00CB0F1E"/>
    <w:rsid w:val="00CB1549"/>
    <w:rsid w:val="00CB1CA5"/>
    <w:rsid w:val="00CB27D2"/>
    <w:rsid w:val="00CB29F9"/>
    <w:rsid w:val="00CB2CD7"/>
    <w:rsid w:val="00CB3206"/>
    <w:rsid w:val="00CB3C0E"/>
    <w:rsid w:val="00CB4737"/>
    <w:rsid w:val="00CB4A8D"/>
    <w:rsid w:val="00CB5B5D"/>
    <w:rsid w:val="00CB6630"/>
    <w:rsid w:val="00CB6F71"/>
    <w:rsid w:val="00CB7063"/>
    <w:rsid w:val="00CB7618"/>
    <w:rsid w:val="00CB7E35"/>
    <w:rsid w:val="00CC00C7"/>
    <w:rsid w:val="00CC0281"/>
    <w:rsid w:val="00CC1749"/>
    <w:rsid w:val="00CC1A24"/>
    <w:rsid w:val="00CC1D84"/>
    <w:rsid w:val="00CC295D"/>
    <w:rsid w:val="00CC2B18"/>
    <w:rsid w:val="00CC313B"/>
    <w:rsid w:val="00CC32EA"/>
    <w:rsid w:val="00CC34AB"/>
    <w:rsid w:val="00CC38FB"/>
    <w:rsid w:val="00CC411D"/>
    <w:rsid w:val="00CC42A4"/>
    <w:rsid w:val="00CC43C0"/>
    <w:rsid w:val="00CC6216"/>
    <w:rsid w:val="00CC6907"/>
    <w:rsid w:val="00CC6C7F"/>
    <w:rsid w:val="00CC72E3"/>
    <w:rsid w:val="00CC754B"/>
    <w:rsid w:val="00CC7A27"/>
    <w:rsid w:val="00CC7A5C"/>
    <w:rsid w:val="00CC7D13"/>
    <w:rsid w:val="00CD0314"/>
    <w:rsid w:val="00CD03E3"/>
    <w:rsid w:val="00CD088B"/>
    <w:rsid w:val="00CD089F"/>
    <w:rsid w:val="00CD0B3D"/>
    <w:rsid w:val="00CD0B57"/>
    <w:rsid w:val="00CD14CF"/>
    <w:rsid w:val="00CD25E0"/>
    <w:rsid w:val="00CD26E5"/>
    <w:rsid w:val="00CD29BD"/>
    <w:rsid w:val="00CD2BA8"/>
    <w:rsid w:val="00CD2D00"/>
    <w:rsid w:val="00CD32FF"/>
    <w:rsid w:val="00CD380F"/>
    <w:rsid w:val="00CD38B3"/>
    <w:rsid w:val="00CD4BF5"/>
    <w:rsid w:val="00CD4D66"/>
    <w:rsid w:val="00CD4FF8"/>
    <w:rsid w:val="00CD513F"/>
    <w:rsid w:val="00CD57AD"/>
    <w:rsid w:val="00CD606D"/>
    <w:rsid w:val="00CD668A"/>
    <w:rsid w:val="00CD7A7A"/>
    <w:rsid w:val="00CD7E92"/>
    <w:rsid w:val="00CE02E7"/>
    <w:rsid w:val="00CE14A1"/>
    <w:rsid w:val="00CE1817"/>
    <w:rsid w:val="00CE1EB7"/>
    <w:rsid w:val="00CE229E"/>
    <w:rsid w:val="00CE312C"/>
    <w:rsid w:val="00CE354E"/>
    <w:rsid w:val="00CE3757"/>
    <w:rsid w:val="00CE3AE7"/>
    <w:rsid w:val="00CE477E"/>
    <w:rsid w:val="00CE47D1"/>
    <w:rsid w:val="00CE5172"/>
    <w:rsid w:val="00CE5358"/>
    <w:rsid w:val="00CE5882"/>
    <w:rsid w:val="00CE6713"/>
    <w:rsid w:val="00CE68B9"/>
    <w:rsid w:val="00CE79D6"/>
    <w:rsid w:val="00CE7D64"/>
    <w:rsid w:val="00CE7F54"/>
    <w:rsid w:val="00CF0804"/>
    <w:rsid w:val="00CF0EFC"/>
    <w:rsid w:val="00CF176E"/>
    <w:rsid w:val="00CF1789"/>
    <w:rsid w:val="00CF1A75"/>
    <w:rsid w:val="00CF2A8F"/>
    <w:rsid w:val="00CF30B0"/>
    <w:rsid w:val="00CF3425"/>
    <w:rsid w:val="00CF348E"/>
    <w:rsid w:val="00CF3816"/>
    <w:rsid w:val="00CF4676"/>
    <w:rsid w:val="00CF4699"/>
    <w:rsid w:val="00CF4BE3"/>
    <w:rsid w:val="00CF4C08"/>
    <w:rsid w:val="00CF4C39"/>
    <w:rsid w:val="00CF58CE"/>
    <w:rsid w:val="00CF5EE1"/>
    <w:rsid w:val="00CF63EC"/>
    <w:rsid w:val="00CF67FA"/>
    <w:rsid w:val="00CF6B65"/>
    <w:rsid w:val="00CF74C8"/>
    <w:rsid w:val="00CF796F"/>
    <w:rsid w:val="00CF7E7B"/>
    <w:rsid w:val="00D005EF"/>
    <w:rsid w:val="00D00730"/>
    <w:rsid w:val="00D00EA9"/>
    <w:rsid w:val="00D01050"/>
    <w:rsid w:val="00D025CB"/>
    <w:rsid w:val="00D027BB"/>
    <w:rsid w:val="00D029C0"/>
    <w:rsid w:val="00D03D4F"/>
    <w:rsid w:val="00D04A75"/>
    <w:rsid w:val="00D04C94"/>
    <w:rsid w:val="00D06135"/>
    <w:rsid w:val="00D06ACD"/>
    <w:rsid w:val="00D06F11"/>
    <w:rsid w:val="00D06FDF"/>
    <w:rsid w:val="00D07239"/>
    <w:rsid w:val="00D07EF9"/>
    <w:rsid w:val="00D100B4"/>
    <w:rsid w:val="00D10109"/>
    <w:rsid w:val="00D105F3"/>
    <w:rsid w:val="00D11016"/>
    <w:rsid w:val="00D11C20"/>
    <w:rsid w:val="00D1255F"/>
    <w:rsid w:val="00D13F66"/>
    <w:rsid w:val="00D14C61"/>
    <w:rsid w:val="00D14FA1"/>
    <w:rsid w:val="00D15D47"/>
    <w:rsid w:val="00D161C5"/>
    <w:rsid w:val="00D166F3"/>
    <w:rsid w:val="00D16AB3"/>
    <w:rsid w:val="00D16BB5"/>
    <w:rsid w:val="00D16CF8"/>
    <w:rsid w:val="00D16D26"/>
    <w:rsid w:val="00D16F90"/>
    <w:rsid w:val="00D20371"/>
    <w:rsid w:val="00D20465"/>
    <w:rsid w:val="00D20BBE"/>
    <w:rsid w:val="00D20DA5"/>
    <w:rsid w:val="00D215E6"/>
    <w:rsid w:val="00D22DFC"/>
    <w:rsid w:val="00D22EB7"/>
    <w:rsid w:val="00D22F3A"/>
    <w:rsid w:val="00D22F51"/>
    <w:rsid w:val="00D23B97"/>
    <w:rsid w:val="00D24217"/>
    <w:rsid w:val="00D2427F"/>
    <w:rsid w:val="00D242D5"/>
    <w:rsid w:val="00D24B21"/>
    <w:rsid w:val="00D24C67"/>
    <w:rsid w:val="00D24F3C"/>
    <w:rsid w:val="00D2597D"/>
    <w:rsid w:val="00D263A5"/>
    <w:rsid w:val="00D26C00"/>
    <w:rsid w:val="00D273C9"/>
    <w:rsid w:val="00D30E91"/>
    <w:rsid w:val="00D30EB4"/>
    <w:rsid w:val="00D317A5"/>
    <w:rsid w:val="00D3181E"/>
    <w:rsid w:val="00D3212F"/>
    <w:rsid w:val="00D33073"/>
    <w:rsid w:val="00D33DEB"/>
    <w:rsid w:val="00D34354"/>
    <w:rsid w:val="00D343CB"/>
    <w:rsid w:val="00D34ADE"/>
    <w:rsid w:val="00D34C58"/>
    <w:rsid w:val="00D34C7B"/>
    <w:rsid w:val="00D3513C"/>
    <w:rsid w:val="00D352DD"/>
    <w:rsid w:val="00D359E2"/>
    <w:rsid w:val="00D360D6"/>
    <w:rsid w:val="00D362C4"/>
    <w:rsid w:val="00D364C6"/>
    <w:rsid w:val="00D36AB2"/>
    <w:rsid w:val="00D374F8"/>
    <w:rsid w:val="00D37619"/>
    <w:rsid w:val="00D37DB4"/>
    <w:rsid w:val="00D400CF"/>
    <w:rsid w:val="00D40263"/>
    <w:rsid w:val="00D4045D"/>
    <w:rsid w:val="00D41072"/>
    <w:rsid w:val="00D412A9"/>
    <w:rsid w:val="00D41766"/>
    <w:rsid w:val="00D41C5A"/>
    <w:rsid w:val="00D41FA1"/>
    <w:rsid w:val="00D43314"/>
    <w:rsid w:val="00D43468"/>
    <w:rsid w:val="00D4353D"/>
    <w:rsid w:val="00D4397C"/>
    <w:rsid w:val="00D439AD"/>
    <w:rsid w:val="00D43A0E"/>
    <w:rsid w:val="00D454A0"/>
    <w:rsid w:val="00D45736"/>
    <w:rsid w:val="00D4595E"/>
    <w:rsid w:val="00D45975"/>
    <w:rsid w:val="00D45F95"/>
    <w:rsid w:val="00D45FB7"/>
    <w:rsid w:val="00D46262"/>
    <w:rsid w:val="00D46565"/>
    <w:rsid w:val="00D465BF"/>
    <w:rsid w:val="00D46C15"/>
    <w:rsid w:val="00D47334"/>
    <w:rsid w:val="00D47BE2"/>
    <w:rsid w:val="00D5035D"/>
    <w:rsid w:val="00D5057D"/>
    <w:rsid w:val="00D50712"/>
    <w:rsid w:val="00D50EA7"/>
    <w:rsid w:val="00D51933"/>
    <w:rsid w:val="00D51BA6"/>
    <w:rsid w:val="00D5210E"/>
    <w:rsid w:val="00D52278"/>
    <w:rsid w:val="00D52528"/>
    <w:rsid w:val="00D5366B"/>
    <w:rsid w:val="00D539E5"/>
    <w:rsid w:val="00D54169"/>
    <w:rsid w:val="00D55ABC"/>
    <w:rsid w:val="00D564DB"/>
    <w:rsid w:val="00D56F80"/>
    <w:rsid w:val="00D56FFC"/>
    <w:rsid w:val="00D57443"/>
    <w:rsid w:val="00D574A0"/>
    <w:rsid w:val="00D57865"/>
    <w:rsid w:val="00D6068B"/>
    <w:rsid w:val="00D607D8"/>
    <w:rsid w:val="00D60FA0"/>
    <w:rsid w:val="00D61916"/>
    <w:rsid w:val="00D619C1"/>
    <w:rsid w:val="00D61BA6"/>
    <w:rsid w:val="00D6257D"/>
    <w:rsid w:val="00D63016"/>
    <w:rsid w:val="00D636BA"/>
    <w:rsid w:val="00D63F00"/>
    <w:rsid w:val="00D64D1A"/>
    <w:rsid w:val="00D65D27"/>
    <w:rsid w:val="00D66503"/>
    <w:rsid w:val="00D66DEE"/>
    <w:rsid w:val="00D6741D"/>
    <w:rsid w:val="00D67F8D"/>
    <w:rsid w:val="00D71F3D"/>
    <w:rsid w:val="00D72146"/>
    <w:rsid w:val="00D722E6"/>
    <w:rsid w:val="00D7280C"/>
    <w:rsid w:val="00D72DDE"/>
    <w:rsid w:val="00D72F92"/>
    <w:rsid w:val="00D73447"/>
    <w:rsid w:val="00D7348E"/>
    <w:rsid w:val="00D73593"/>
    <w:rsid w:val="00D73DD1"/>
    <w:rsid w:val="00D74BA3"/>
    <w:rsid w:val="00D74D80"/>
    <w:rsid w:val="00D74E29"/>
    <w:rsid w:val="00D74E60"/>
    <w:rsid w:val="00D74E68"/>
    <w:rsid w:val="00D75271"/>
    <w:rsid w:val="00D760B5"/>
    <w:rsid w:val="00D76112"/>
    <w:rsid w:val="00D7719C"/>
    <w:rsid w:val="00D7737E"/>
    <w:rsid w:val="00D8012B"/>
    <w:rsid w:val="00D80682"/>
    <w:rsid w:val="00D80C2F"/>
    <w:rsid w:val="00D814B5"/>
    <w:rsid w:val="00D8170B"/>
    <w:rsid w:val="00D8189A"/>
    <w:rsid w:val="00D81EA7"/>
    <w:rsid w:val="00D828DD"/>
    <w:rsid w:val="00D82E5D"/>
    <w:rsid w:val="00D82E68"/>
    <w:rsid w:val="00D83101"/>
    <w:rsid w:val="00D831D5"/>
    <w:rsid w:val="00D83927"/>
    <w:rsid w:val="00D839AA"/>
    <w:rsid w:val="00D839F6"/>
    <w:rsid w:val="00D83B82"/>
    <w:rsid w:val="00D84CAB"/>
    <w:rsid w:val="00D852A4"/>
    <w:rsid w:val="00D85605"/>
    <w:rsid w:val="00D8717A"/>
    <w:rsid w:val="00D873A1"/>
    <w:rsid w:val="00D87444"/>
    <w:rsid w:val="00D87C14"/>
    <w:rsid w:val="00D87D6E"/>
    <w:rsid w:val="00D9000A"/>
    <w:rsid w:val="00D901B8"/>
    <w:rsid w:val="00D90293"/>
    <w:rsid w:val="00D90E7F"/>
    <w:rsid w:val="00D91456"/>
    <w:rsid w:val="00D91FC5"/>
    <w:rsid w:val="00D920F2"/>
    <w:rsid w:val="00D92AAA"/>
    <w:rsid w:val="00D92DF3"/>
    <w:rsid w:val="00D930FA"/>
    <w:rsid w:val="00D9347B"/>
    <w:rsid w:val="00D93732"/>
    <w:rsid w:val="00D9375D"/>
    <w:rsid w:val="00D937FA"/>
    <w:rsid w:val="00D93897"/>
    <w:rsid w:val="00D9408E"/>
    <w:rsid w:val="00D941D5"/>
    <w:rsid w:val="00D94585"/>
    <w:rsid w:val="00D948D9"/>
    <w:rsid w:val="00D94D07"/>
    <w:rsid w:val="00D950FB"/>
    <w:rsid w:val="00D95C49"/>
    <w:rsid w:val="00D96671"/>
    <w:rsid w:val="00D96BCE"/>
    <w:rsid w:val="00D972DD"/>
    <w:rsid w:val="00DA0B5D"/>
    <w:rsid w:val="00DA0C08"/>
    <w:rsid w:val="00DA1390"/>
    <w:rsid w:val="00DA178C"/>
    <w:rsid w:val="00DA198A"/>
    <w:rsid w:val="00DA19E5"/>
    <w:rsid w:val="00DA22BD"/>
    <w:rsid w:val="00DA230C"/>
    <w:rsid w:val="00DA23D0"/>
    <w:rsid w:val="00DA2772"/>
    <w:rsid w:val="00DA3233"/>
    <w:rsid w:val="00DA33CD"/>
    <w:rsid w:val="00DA3586"/>
    <w:rsid w:val="00DA3ED8"/>
    <w:rsid w:val="00DA4669"/>
    <w:rsid w:val="00DA4CFA"/>
    <w:rsid w:val="00DA5FAD"/>
    <w:rsid w:val="00DA62E7"/>
    <w:rsid w:val="00DA63F5"/>
    <w:rsid w:val="00DA70EE"/>
    <w:rsid w:val="00DA78E9"/>
    <w:rsid w:val="00DA7C91"/>
    <w:rsid w:val="00DB0136"/>
    <w:rsid w:val="00DB0433"/>
    <w:rsid w:val="00DB078E"/>
    <w:rsid w:val="00DB08DC"/>
    <w:rsid w:val="00DB1265"/>
    <w:rsid w:val="00DB14ED"/>
    <w:rsid w:val="00DB22EC"/>
    <w:rsid w:val="00DB2CAB"/>
    <w:rsid w:val="00DB2E2C"/>
    <w:rsid w:val="00DB334A"/>
    <w:rsid w:val="00DB3433"/>
    <w:rsid w:val="00DB37B3"/>
    <w:rsid w:val="00DB38B2"/>
    <w:rsid w:val="00DB391D"/>
    <w:rsid w:val="00DB3FCB"/>
    <w:rsid w:val="00DB4586"/>
    <w:rsid w:val="00DB490C"/>
    <w:rsid w:val="00DB4F65"/>
    <w:rsid w:val="00DB53BB"/>
    <w:rsid w:val="00DB5ACF"/>
    <w:rsid w:val="00DB5CB5"/>
    <w:rsid w:val="00DB6242"/>
    <w:rsid w:val="00DB6D58"/>
    <w:rsid w:val="00DB7E2C"/>
    <w:rsid w:val="00DC0028"/>
    <w:rsid w:val="00DC0500"/>
    <w:rsid w:val="00DC061B"/>
    <w:rsid w:val="00DC0813"/>
    <w:rsid w:val="00DC0933"/>
    <w:rsid w:val="00DC0FEF"/>
    <w:rsid w:val="00DC21C3"/>
    <w:rsid w:val="00DC2286"/>
    <w:rsid w:val="00DC253B"/>
    <w:rsid w:val="00DC3672"/>
    <w:rsid w:val="00DC3F8B"/>
    <w:rsid w:val="00DC4284"/>
    <w:rsid w:val="00DC596F"/>
    <w:rsid w:val="00DC640A"/>
    <w:rsid w:val="00DC6482"/>
    <w:rsid w:val="00DC6713"/>
    <w:rsid w:val="00DC6C97"/>
    <w:rsid w:val="00DC761D"/>
    <w:rsid w:val="00DC7639"/>
    <w:rsid w:val="00DC7C59"/>
    <w:rsid w:val="00DD07F4"/>
    <w:rsid w:val="00DD09D2"/>
    <w:rsid w:val="00DD0B3B"/>
    <w:rsid w:val="00DD0DAE"/>
    <w:rsid w:val="00DD11B1"/>
    <w:rsid w:val="00DD1285"/>
    <w:rsid w:val="00DD154F"/>
    <w:rsid w:val="00DD1CD5"/>
    <w:rsid w:val="00DD1E4F"/>
    <w:rsid w:val="00DD2C43"/>
    <w:rsid w:val="00DD2D3C"/>
    <w:rsid w:val="00DD35AB"/>
    <w:rsid w:val="00DD365A"/>
    <w:rsid w:val="00DD3A62"/>
    <w:rsid w:val="00DD3B4B"/>
    <w:rsid w:val="00DD3BE8"/>
    <w:rsid w:val="00DD53CD"/>
    <w:rsid w:val="00DD5F21"/>
    <w:rsid w:val="00DD61D4"/>
    <w:rsid w:val="00DD77CA"/>
    <w:rsid w:val="00DD77FB"/>
    <w:rsid w:val="00DE0352"/>
    <w:rsid w:val="00DE04B2"/>
    <w:rsid w:val="00DE078D"/>
    <w:rsid w:val="00DE1AD7"/>
    <w:rsid w:val="00DE30EC"/>
    <w:rsid w:val="00DE338C"/>
    <w:rsid w:val="00DE3D16"/>
    <w:rsid w:val="00DE4FE3"/>
    <w:rsid w:val="00DE5034"/>
    <w:rsid w:val="00DE52B2"/>
    <w:rsid w:val="00DE5566"/>
    <w:rsid w:val="00DE5927"/>
    <w:rsid w:val="00DE5A13"/>
    <w:rsid w:val="00DE65CC"/>
    <w:rsid w:val="00DE7745"/>
    <w:rsid w:val="00DE7ECE"/>
    <w:rsid w:val="00DF0418"/>
    <w:rsid w:val="00DF0AD4"/>
    <w:rsid w:val="00DF0ED6"/>
    <w:rsid w:val="00DF1335"/>
    <w:rsid w:val="00DF17FD"/>
    <w:rsid w:val="00DF1A4F"/>
    <w:rsid w:val="00DF28E8"/>
    <w:rsid w:val="00DF2A24"/>
    <w:rsid w:val="00DF2DD0"/>
    <w:rsid w:val="00DF3D88"/>
    <w:rsid w:val="00DF4E08"/>
    <w:rsid w:val="00DF4FEE"/>
    <w:rsid w:val="00DF518D"/>
    <w:rsid w:val="00DF537F"/>
    <w:rsid w:val="00DF5C5C"/>
    <w:rsid w:val="00DF5D2C"/>
    <w:rsid w:val="00DF631A"/>
    <w:rsid w:val="00DF6720"/>
    <w:rsid w:val="00DF6C22"/>
    <w:rsid w:val="00DF7ED2"/>
    <w:rsid w:val="00E00637"/>
    <w:rsid w:val="00E0064C"/>
    <w:rsid w:val="00E0134A"/>
    <w:rsid w:val="00E01BF5"/>
    <w:rsid w:val="00E02799"/>
    <w:rsid w:val="00E02C9B"/>
    <w:rsid w:val="00E037C2"/>
    <w:rsid w:val="00E03DD5"/>
    <w:rsid w:val="00E0409C"/>
    <w:rsid w:val="00E04CDC"/>
    <w:rsid w:val="00E067A8"/>
    <w:rsid w:val="00E0690F"/>
    <w:rsid w:val="00E06CF4"/>
    <w:rsid w:val="00E0701C"/>
    <w:rsid w:val="00E10205"/>
    <w:rsid w:val="00E1029E"/>
    <w:rsid w:val="00E102FC"/>
    <w:rsid w:val="00E10D0A"/>
    <w:rsid w:val="00E110E6"/>
    <w:rsid w:val="00E1152C"/>
    <w:rsid w:val="00E119F3"/>
    <w:rsid w:val="00E11B7A"/>
    <w:rsid w:val="00E11FFA"/>
    <w:rsid w:val="00E12934"/>
    <w:rsid w:val="00E134BB"/>
    <w:rsid w:val="00E13741"/>
    <w:rsid w:val="00E13B40"/>
    <w:rsid w:val="00E140D9"/>
    <w:rsid w:val="00E14CBA"/>
    <w:rsid w:val="00E14F0F"/>
    <w:rsid w:val="00E15770"/>
    <w:rsid w:val="00E15793"/>
    <w:rsid w:val="00E15A50"/>
    <w:rsid w:val="00E1626C"/>
    <w:rsid w:val="00E165A6"/>
    <w:rsid w:val="00E1695F"/>
    <w:rsid w:val="00E16F6B"/>
    <w:rsid w:val="00E2060B"/>
    <w:rsid w:val="00E2086F"/>
    <w:rsid w:val="00E209B5"/>
    <w:rsid w:val="00E20C8A"/>
    <w:rsid w:val="00E21426"/>
    <w:rsid w:val="00E217DF"/>
    <w:rsid w:val="00E22064"/>
    <w:rsid w:val="00E2232F"/>
    <w:rsid w:val="00E226D0"/>
    <w:rsid w:val="00E24BC3"/>
    <w:rsid w:val="00E25491"/>
    <w:rsid w:val="00E25696"/>
    <w:rsid w:val="00E25F00"/>
    <w:rsid w:val="00E26791"/>
    <w:rsid w:val="00E270CA"/>
    <w:rsid w:val="00E27529"/>
    <w:rsid w:val="00E2753B"/>
    <w:rsid w:val="00E30843"/>
    <w:rsid w:val="00E30915"/>
    <w:rsid w:val="00E31707"/>
    <w:rsid w:val="00E31AB8"/>
    <w:rsid w:val="00E32926"/>
    <w:rsid w:val="00E32CAB"/>
    <w:rsid w:val="00E3313C"/>
    <w:rsid w:val="00E333D8"/>
    <w:rsid w:val="00E33911"/>
    <w:rsid w:val="00E33EB6"/>
    <w:rsid w:val="00E346BB"/>
    <w:rsid w:val="00E3498F"/>
    <w:rsid w:val="00E352E0"/>
    <w:rsid w:val="00E3532D"/>
    <w:rsid w:val="00E355F5"/>
    <w:rsid w:val="00E35C57"/>
    <w:rsid w:val="00E36A31"/>
    <w:rsid w:val="00E36C26"/>
    <w:rsid w:val="00E375A3"/>
    <w:rsid w:val="00E37AD7"/>
    <w:rsid w:val="00E4004D"/>
    <w:rsid w:val="00E40139"/>
    <w:rsid w:val="00E405AF"/>
    <w:rsid w:val="00E407DA"/>
    <w:rsid w:val="00E40B4C"/>
    <w:rsid w:val="00E41E53"/>
    <w:rsid w:val="00E41E90"/>
    <w:rsid w:val="00E420FC"/>
    <w:rsid w:val="00E436F1"/>
    <w:rsid w:val="00E44543"/>
    <w:rsid w:val="00E44D10"/>
    <w:rsid w:val="00E44E5F"/>
    <w:rsid w:val="00E45540"/>
    <w:rsid w:val="00E4566F"/>
    <w:rsid w:val="00E45882"/>
    <w:rsid w:val="00E45C16"/>
    <w:rsid w:val="00E45C8E"/>
    <w:rsid w:val="00E45DD6"/>
    <w:rsid w:val="00E45E2B"/>
    <w:rsid w:val="00E45EC2"/>
    <w:rsid w:val="00E4636A"/>
    <w:rsid w:val="00E4654E"/>
    <w:rsid w:val="00E465C0"/>
    <w:rsid w:val="00E46EC2"/>
    <w:rsid w:val="00E4717C"/>
    <w:rsid w:val="00E473BF"/>
    <w:rsid w:val="00E473EF"/>
    <w:rsid w:val="00E504C2"/>
    <w:rsid w:val="00E50E9C"/>
    <w:rsid w:val="00E512D5"/>
    <w:rsid w:val="00E51518"/>
    <w:rsid w:val="00E51616"/>
    <w:rsid w:val="00E51C5E"/>
    <w:rsid w:val="00E51F58"/>
    <w:rsid w:val="00E5233B"/>
    <w:rsid w:val="00E52CC8"/>
    <w:rsid w:val="00E53CDA"/>
    <w:rsid w:val="00E544CD"/>
    <w:rsid w:val="00E55A9F"/>
    <w:rsid w:val="00E55D20"/>
    <w:rsid w:val="00E5605D"/>
    <w:rsid w:val="00E57ADC"/>
    <w:rsid w:val="00E57D37"/>
    <w:rsid w:val="00E57FF6"/>
    <w:rsid w:val="00E60816"/>
    <w:rsid w:val="00E608B3"/>
    <w:rsid w:val="00E60AA1"/>
    <w:rsid w:val="00E61C00"/>
    <w:rsid w:val="00E61FCB"/>
    <w:rsid w:val="00E62227"/>
    <w:rsid w:val="00E623DC"/>
    <w:rsid w:val="00E62AFB"/>
    <w:rsid w:val="00E62CDF"/>
    <w:rsid w:val="00E62DB1"/>
    <w:rsid w:val="00E634B7"/>
    <w:rsid w:val="00E635A3"/>
    <w:rsid w:val="00E63BFE"/>
    <w:rsid w:val="00E63FF3"/>
    <w:rsid w:val="00E645CB"/>
    <w:rsid w:val="00E64766"/>
    <w:rsid w:val="00E64793"/>
    <w:rsid w:val="00E651B5"/>
    <w:rsid w:val="00E651FD"/>
    <w:rsid w:val="00E656E1"/>
    <w:rsid w:val="00E657C4"/>
    <w:rsid w:val="00E658CE"/>
    <w:rsid w:val="00E65A2A"/>
    <w:rsid w:val="00E66659"/>
    <w:rsid w:val="00E66873"/>
    <w:rsid w:val="00E668A9"/>
    <w:rsid w:val="00E66F08"/>
    <w:rsid w:val="00E673DC"/>
    <w:rsid w:val="00E67599"/>
    <w:rsid w:val="00E679DA"/>
    <w:rsid w:val="00E7013B"/>
    <w:rsid w:val="00E70E5F"/>
    <w:rsid w:val="00E7130D"/>
    <w:rsid w:val="00E715FF"/>
    <w:rsid w:val="00E7188C"/>
    <w:rsid w:val="00E720AC"/>
    <w:rsid w:val="00E7251E"/>
    <w:rsid w:val="00E7260D"/>
    <w:rsid w:val="00E736AB"/>
    <w:rsid w:val="00E73D3B"/>
    <w:rsid w:val="00E73D8A"/>
    <w:rsid w:val="00E73E87"/>
    <w:rsid w:val="00E74055"/>
    <w:rsid w:val="00E7426C"/>
    <w:rsid w:val="00E7442B"/>
    <w:rsid w:val="00E744D7"/>
    <w:rsid w:val="00E74847"/>
    <w:rsid w:val="00E74ABA"/>
    <w:rsid w:val="00E752EB"/>
    <w:rsid w:val="00E75465"/>
    <w:rsid w:val="00E75BCE"/>
    <w:rsid w:val="00E76053"/>
    <w:rsid w:val="00E7606A"/>
    <w:rsid w:val="00E762B6"/>
    <w:rsid w:val="00E76ABD"/>
    <w:rsid w:val="00E77076"/>
    <w:rsid w:val="00E806A4"/>
    <w:rsid w:val="00E8080F"/>
    <w:rsid w:val="00E80933"/>
    <w:rsid w:val="00E81732"/>
    <w:rsid w:val="00E81975"/>
    <w:rsid w:val="00E82010"/>
    <w:rsid w:val="00E82852"/>
    <w:rsid w:val="00E82EC5"/>
    <w:rsid w:val="00E838A3"/>
    <w:rsid w:val="00E839A5"/>
    <w:rsid w:val="00E840F1"/>
    <w:rsid w:val="00E84698"/>
    <w:rsid w:val="00E84730"/>
    <w:rsid w:val="00E84C84"/>
    <w:rsid w:val="00E84ECF"/>
    <w:rsid w:val="00E854C3"/>
    <w:rsid w:val="00E8586C"/>
    <w:rsid w:val="00E874AE"/>
    <w:rsid w:val="00E87A89"/>
    <w:rsid w:val="00E87B30"/>
    <w:rsid w:val="00E9029C"/>
    <w:rsid w:val="00E90343"/>
    <w:rsid w:val="00E90D4E"/>
    <w:rsid w:val="00E926F2"/>
    <w:rsid w:val="00E9390F"/>
    <w:rsid w:val="00E93CE3"/>
    <w:rsid w:val="00E94DBE"/>
    <w:rsid w:val="00E954DE"/>
    <w:rsid w:val="00E966AD"/>
    <w:rsid w:val="00E96FEB"/>
    <w:rsid w:val="00E97494"/>
    <w:rsid w:val="00E97651"/>
    <w:rsid w:val="00E97AFA"/>
    <w:rsid w:val="00EA0208"/>
    <w:rsid w:val="00EA0CD2"/>
    <w:rsid w:val="00EA1243"/>
    <w:rsid w:val="00EA1FCD"/>
    <w:rsid w:val="00EA2393"/>
    <w:rsid w:val="00EA2B08"/>
    <w:rsid w:val="00EA2B75"/>
    <w:rsid w:val="00EA30F0"/>
    <w:rsid w:val="00EA32E1"/>
    <w:rsid w:val="00EA371F"/>
    <w:rsid w:val="00EA3A2A"/>
    <w:rsid w:val="00EA3B17"/>
    <w:rsid w:val="00EA3DA8"/>
    <w:rsid w:val="00EA4314"/>
    <w:rsid w:val="00EA4610"/>
    <w:rsid w:val="00EA4B40"/>
    <w:rsid w:val="00EA4CF0"/>
    <w:rsid w:val="00EA5003"/>
    <w:rsid w:val="00EA5FFE"/>
    <w:rsid w:val="00EA6900"/>
    <w:rsid w:val="00EA7420"/>
    <w:rsid w:val="00EA742D"/>
    <w:rsid w:val="00EB076D"/>
    <w:rsid w:val="00EB0CC1"/>
    <w:rsid w:val="00EB251E"/>
    <w:rsid w:val="00EB2EEA"/>
    <w:rsid w:val="00EB3518"/>
    <w:rsid w:val="00EB3E53"/>
    <w:rsid w:val="00EB44C0"/>
    <w:rsid w:val="00EB4BA3"/>
    <w:rsid w:val="00EB5269"/>
    <w:rsid w:val="00EB583F"/>
    <w:rsid w:val="00EB5F9D"/>
    <w:rsid w:val="00EB69F3"/>
    <w:rsid w:val="00EB6A71"/>
    <w:rsid w:val="00EB6D49"/>
    <w:rsid w:val="00EB717F"/>
    <w:rsid w:val="00EC074C"/>
    <w:rsid w:val="00EC1539"/>
    <w:rsid w:val="00EC154D"/>
    <w:rsid w:val="00EC19B1"/>
    <w:rsid w:val="00EC21B8"/>
    <w:rsid w:val="00EC2AD4"/>
    <w:rsid w:val="00EC33CD"/>
    <w:rsid w:val="00EC34BE"/>
    <w:rsid w:val="00EC3BCC"/>
    <w:rsid w:val="00EC3DF1"/>
    <w:rsid w:val="00EC3F59"/>
    <w:rsid w:val="00EC40D4"/>
    <w:rsid w:val="00EC434D"/>
    <w:rsid w:val="00EC44A3"/>
    <w:rsid w:val="00EC4678"/>
    <w:rsid w:val="00EC5259"/>
    <w:rsid w:val="00EC525F"/>
    <w:rsid w:val="00EC5CD4"/>
    <w:rsid w:val="00EC5DF8"/>
    <w:rsid w:val="00EC776C"/>
    <w:rsid w:val="00EC7846"/>
    <w:rsid w:val="00ED11BA"/>
    <w:rsid w:val="00ED18C7"/>
    <w:rsid w:val="00ED25A2"/>
    <w:rsid w:val="00ED2892"/>
    <w:rsid w:val="00ED2EF8"/>
    <w:rsid w:val="00ED3217"/>
    <w:rsid w:val="00ED3AF7"/>
    <w:rsid w:val="00ED3B76"/>
    <w:rsid w:val="00ED3BDC"/>
    <w:rsid w:val="00ED4A19"/>
    <w:rsid w:val="00ED4B9E"/>
    <w:rsid w:val="00ED54DD"/>
    <w:rsid w:val="00ED5893"/>
    <w:rsid w:val="00ED5E68"/>
    <w:rsid w:val="00ED61C6"/>
    <w:rsid w:val="00ED71A6"/>
    <w:rsid w:val="00ED73C8"/>
    <w:rsid w:val="00ED74D8"/>
    <w:rsid w:val="00ED7527"/>
    <w:rsid w:val="00ED793E"/>
    <w:rsid w:val="00ED7B13"/>
    <w:rsid w:val="00ED7B98"/>
    <w:rsid w:val="00EE0563"/>
    <w:rsid w:val="00EE0EFB"/>
    <w:rsid w:val="00EE11DB"/>
    <w:rsid w:val="00EE1B47"/>
    <w:rsid w:val="00EE237B"/>
    <w:rsid w:val="00EE28B9"/>
    <w:rsid w:val="00EE3146"/>
    <w:rsid w:val="00EE43D6"/>
    <w:rsid w:val="00EE43EA"/>
    <w:rsid w:val="00EE515D"/>
    <w:rsid w:val="00EE54EE"/>
    <w:rsid w:val="00EE7769"/>
    <w:rsid w:val="00EF002C"/>
    <w:rsid w:val="00EF0C4B"/>
    <w:rsid w:val="00EF0F2C"/>
    <w:rsid w:val="00EF10AF"/>
    <w:rsid w:val="00EF1D63"/>
    <w:rsid w:val="00EF26A7"/>
    <w:rsid w:val="00EF2A9F"/>
    <w:rsid w:val="00EF3032"/>
    <w:rsid w:val="00EF3133"/>
    <w:rsid w:val="00EF3484"/>
    <w:rsid w:val="00EF396D"/>
    <w:rsid w:val="00EF400B"/>
    <w:rsid w:val="00EF431C"/>
    <w:rsid w:val="00EF444A"/>
    <w:rsid w:val="00EF446E"/>
    <w:rsid w:val="00EF4846"/>
    <w:rsid w:val="00EF5EBA"/>
    <w:rsid w:val="00EF5EE6"/>
    <w:rsid w:val="00EF6A30"/>
    <w:rsid w:val="00EF7A98"/>
    <w:rsid w:val="00F0038B"/>
    <w:rsid w:val="00F00B41"/>
    <w:rsid w:val="00F00B53"/>
    <w:rsid w:val="00F00F69"/>
    <w:rsid w:val="00F0161C"/>
    <w:rsid w:val="00F017F8"/>
    <w:rsid w:val="00F01AF4"/>
    <w:rsid w:val="00F02012"/>
    <w:rsid w:val="00F022D2"/>
    <w:rsid w:val="00F0263F"/>
    <w:rsid w:val="00F03172"/>
    <w:rsid w:val="00F03402"/>
    <w:rsid w:val="00F03541"/>
    <w:rsid w:val="00F0361D"/>
    <w:rsid w:val="00F03AB8"/>
    <w:rsid w:val="00F03C58"/>
    <w:rsid w:val="00F0436B"/>
    <w:rsid w:val="00F04702"/>
    <w:rsid w:val="00F04FC2"/>
    <w:rsid w:val="00F05155"/>
    <w:rsid w:val="00F052A0"/>
    <w:rsid w:val="00F05EE0"/>
    <w:rsid w:val="00F06469"/>
    <w:rsid w:val="00F069B0"/>
    <w:rsid w:val="00F078A4"/>
    <w:rsid w:val="00F07B60"/>
    <w:rsid w:val="00F10314"/>
    <w:rsid w:val="00F1088B"/>
    <w:rsid w:val="00F10D4D"/>
    <w:rsid w:val="00F10F43"/>
    <w:rsid w:val="00F113BD"/>
    <w:rsid w:val="00F1199D"/>
    <w:rsid w:val="00F11B95"/>
    <w:rsid w:val="00F12AD8"/>
    <w:rsid w:val="00F12E08"/>
    <w:rsid w:val="00F13B59"/>
    <w:rsid w:val="00F13F9F"/>
    <w:rsid w:val="00F13FD4"/>
    <w:rsid w:val="00F1448F"/>
    <w:rsid w:val="00F1458D"/>
    <w:rsid w:val="00F14CB3"/>
    <w:rsid w:val="00F153B3"/>
    <w:rsid w:val="00F1590B"/>
    <w:rsid w:val="00F16280"/>
    <w:rsid w:val="00F16368"/>
    <w:rsid w:val="00F16E6A"/>
    <w:rsid w:val="00F16E7F"/>
    <w:rsid w:val="00F170F9"/>
    <w:rsid w:val="00F17347"/>
    <w:rsid w:val="00F17B56"/>
    <w:rsid w:val="00F20559"/>
    <w:rsid w:val="00F20A8C"/>
    <w:rsid w:val="00F20BB6"/>
    <w:rsid w:val="00F211DF"/>
    <w:rsid w:val="00F22368"/>
    <w:rsid w:val="00F22798"/>
    <w:rsid w:val="00F229ED"/>
    <w:rsid w:val="00F24825"/>
    <w:rsid w:val="00F24F4A"/>
    <w:rsid w:val="00F256F3"/>
    <w:rsid w:val="00F25995"/>
    <w:rsid w:val="00F26AEC"/>
    <w:rsid w:val="00F26EE0"/>
    <w:rsid w:val="00F27165"/>
    <w:rsid w:val="00F27710"/>
    <w:rsid w:val="00F27F4F"/>
    <w:rsid w:val="00F27FFB"/>
    <w:rsid w:val="00F30500"/>
    <w:rsid w:val="00F30AD5"/>
    <w:rsid w:val="00F30EC4"/>
    <w:rsid w:val="00F3120B"/>
    <w:rsid w:val="00F314F6"/>
    <w:rsid w:val="00F3201B"/>
    <w:rsid w:val="00F33138"/>
    <w:rsid w:val="00F331E7"/>
    <w:rsid w:val="00F3327B"/>
    <w:rsid w:val="00F33BCE"/>
    <w:rsid w:val="00F33D54"/>
    <w:rsid w:val="00F34214"/>
    <w:rsid w:val="00F3423F"/>
    <w:rsid w:val="00F342AC"/>
    <w:rsid w:val="00F34C09"/>
    <w:rsid w:val="00F34CFE"/>
    <w:rsid w:val="00F35FAF"/>
    <w:rsid w:val="00F36010"/>
    <w:rsid w:val="00F364D3"/>
    <w:rsid w:val="00F36AFD"/>
    <w:rsid w:val="00F36B26"/>
    <w:rsid w:val="00F37446"/>
    <w:rsid w:val="00F37861"/>
    <w:rsid w:val="00F37E40"/>
    <w:rsid w:val="00F4011D"/>
    <w:rsid w:val="00F4011F"/>
    <w:rsid w:val="00F40906"/>
    <w:rsid w:val="00F412A0"/>
    <w:rsid w:val="00F41ABC"/>
    <w:rsid w:val="00F4262C"/>
    <w:rsid w:val="00F42701"/>
    <w:rsid w:val="00F428E8"/>
    <w:rsid w:val="00F429B9"/>
    <w:rsid w:val="00F441FF"/>
    <w:rsid w:val="00F466CD"/>
    <w:rsid w:val="00F470BD"/>
    <w:rsid w:val="00F47A19"/>
    <w:rsid w:val="00F47DBC"/>
    <w:rsid w:val="00F47DDD"/>
    <w:rsid w:val="00F5076D"/>
    <w:rsid w:val="00F51057"/>
    <w:rsid w:val="00F51480"/>
    <w:rsid w:val="00F515D1"/>
    <w:rsid w:val="00F51C44"/>
    <w:rsid w:val="00F51DFF"/>
    <w:rsid w:val="00F51F3C"/>
    <w:rsid w:val="00F52053"/>
    <w:rsid w:val="00F521E4"/>
    <w:rsid w:val="00F5250C"/>
    <w:rsid w:val="00F52EFC"/>
    <w:rsid w:val="00F53189"/>
    <w:rsid w:val="00F5393D"/>
    <w:rsid w:val="00F542D5"/>
    <w:rsid w:val="00F5442F"/>
    <w:rsid w:val="00F54CCA"/>
    <w:rsid w:val="00F559A3"/>
    <w:rsid w:val="00F55D73"/>
    <w:rsid w:val="00F55ED0"/>
    <w:rsid w:val="00F55FE9"/>
    <w:rsid w:val="00F5636D"/>
    <w:rsid w:val="00F56A50"/>
    <w:rsid w:val="00F56ACA"/>
    <w:rsid w:val="00F577A0"/>
    <w:rsid w:val="00F57DEC"/>
    <w:rsid w:val="00F600B9"/>
    <w:rsid w:val="00F60457"/>
    <w:rsid w:val="00F60BBF"/>
    <w:rsid w:val="00F60D2A"/>
    <w:rsid w:val="00F61246"/>
    <w:rsid w:val="00F61CBC"/>
    <w:rsid w:val="00F61E7A"/>
    <w:rsid w:val="00F621D2"/>
    <w:rsid w:val="00F62F31"/>
    <w:rsid w:val="00F6314A"/>
    <w:rsid w:val="00F63961"/>
    <w:rsid w:val="00F63963"/>
    <w:rsid w:val="00F63EAC"/>
    <w:rsid w:val="00F63F09"/>
    <w:rsid w:val="00F64C5A"/>
    <w:rsid w:val="00F65904"/>
    <w:rsid w:val="00F65A2D"/>
    <w:rsid w:val="00F65AAE"/>
    <w:rsid w:val="00F664A8"/>
    <w:rsid w:val="00F665BE"/>
    <w:rsid w:val="00F66C58"/>
    <w:rsid w:val="00F66D7C"/>
    <w:rsid w:val="00F6752C"/>
    <w:rsid w:val="00F67552"/>
    <w:rsid w:val="00F67907"/>
    <w:rsid w:val="00F7012C"/>
    <w:rsid w:val="00F7086C"/>
    <w:rsid w:val="00F71F8A"/>
    <w:rsid w:val="00F72B5F"/>
    <w:rsid w:val="00F73052"/>
    <w:rsid w:val="00F73271"/>
    <w:rsid w:val="00F73EE9"/>
    <w:rsid w:val="00F7465B"/>
    <w:rsid w:val="00F74C2A"/>
    <w:rsid w:val="00F7572A"/>
    <w:rsid w:val="00F75E07"/>
    <w:rsid w:val="00F76006"/>
    <w:rsid w:val="00F774FC"/>
    <w:rsid w:val="00F77D7E"/>
    <w:rsid w:val="00F77DFB"/>
    <w:rsid w:val="00F77FAE"/>
    <w:rsid w:val="00F815AE"/>
    <w:rsid w:val="00F81806"/>
    <w:rsid w:val="00F82054"/>
    <w:rsid w:val="00F83063"/>
    <w:rsid w:val="00F830F7"/>
    <w:rsid w:val="00F8489D"/>
    <w:rsid w:val="00F84996"/>
    <w:rsid w:val="00F8578A"/>
    <w:rsid w:val="00F8673E"/>
    <w:rsid w:val="00F867C6"/>
    <w:rsid w:val="00F8681B"/>
    <w:rsid w:val="00F86856"/>
    <w:rsid w:val="00F86968"/>
    <w:rsid w:val="00F86D1A"/>
    <w:rsid w:val="00F8723A"/>
    <w:rsid w:val="00F8773D"/>
    <w:rsid w:val="00F8789E"/>
    <w:rsid w:val="00F906BD"/>
    <w:rsid w:val="00F90747"/>
    <w:rsid w:val="00F90EB6"/>
    <w:rsid w:val="00F914D4"/>
    <w:rsid w:val="00F91BD5"/>
    <w:rsid w:val="00F91C54"/>
    <w:rsid w:val="00F91C71"/>
    <w:rsid w:val="00F92185"/>
    <w:rsid w:val="00F923A2"/>
    <w:rsid w:val="00F92806"/>
    <w:rsid w:val="00F92BA7"/>
    <w:rsid w:val="00F9420A"/>
    <w:rsid w:val="00F94936"/>
    <w:rsid w:val="00F952AC"/>
    <w:rsid w:val="00F9552B"/>
    <w:rsid w:val="00F965E3"/>
    <w:rsid w:val="00F96A7E"/>
    <w:rsid w:val="00F96CF6"/>
    <w:rsid w:val="00F97AA2"/>
    <w:rsid w:val="00F97DF6"/>
    <w:rsid w:val="00FA0439"/>
    <w:rsid w:val="00FA1BC0"/>
    <w:rsid w:val="00FA1FBC"/>
    <w:rsid w:val="00FA1FEB"/>
    <w:rsid w:val="00FA20FD"/>
    <w:rsid w:val="00FA2C81"/>
    <w:rsid w:val="00FA33BE"/>
    <w:rsid w:val="00FA380D"/>
    <w:rsid w:val="00FA381A"/>
    <w:rsid w:val="00FA39D6"/>
    <w:rsid w:val="00FA3D25"/>
    <w:rsid w:val="00FA43B2"/>
    <w:rsid w:val="00FA451E"/>
    <w:rsid w:val="00FA5741"/>
    <w:rsid w:val="00FA5896"/>
    <w:rsid w:val="00FA58D9"/>
    <w:rsid w:val="00FA6598"/>
    <w:rsid w:val="00FA65F8"/>
    <w:rsid w:val="00FA7011"/>
    <w:rsid w:val="00FA758E"/>
    <w:rsid w:val="00FA76DA"/>
    <w:rsid w:val="00FA785C"/>
    <w:rsid w:val="00FA795E"/>
    <w:rsid w:val="00FA7A57"/>
    <w:rsid w:val="00FA7F7B"/>
    <w:rsid w:val="00FB0648"/>
    <w:rsid w:val="00FB2765"/>
    <w:rsid w:val="00FB34F9"/>
    <w:rsid w:val="00FB36AA"/>
    <w:rsid w:val="00FB39D9"/>
    <w:rsid w:val="00FB3AAE"/>
    <w:rsid w:val="00FB3F09"/>
    <w:rsid w:val="00FB4158"/>
    <w:rsid w:val="00FB4D9E"/>
    <w:rsid w:val="00FB53FD"/>
    <w:rsid w:val="00FB5884"/>
    <w:rsid w:val="00FB595D"/>
    <w:rsid w:val="00FB61BC"/>
    <w:rsid w:val="00FB6A3C"/>
    <w:rsid w:val="00FB6A57"/>
    <w:rsid w:val="00FB6C61"/>
    <w:rsid w:val="00FB74CD"/>
    <w:rsid w:val="00FB7CB0"/>
    <w:rsid w:val="00FC0068"/>
    <w:rsid w:val="00FC0312"/>
    <w:rsid w:val="00FC0B29"/>
    <w:rsid w:val="00FC1856"/>
    <w:rsid w:val="00FC1962"/>
    <w:rsid w:val="00FC22E3"/>
    <w:rsid w:val="00FC27DC"/>
    <w:rsid w:val="00FC2E4B"/>
    <w:rsid w:val="00FC3067"/>
    <w:rsid w:val="00FC354E"/>
    <w:rsid w:val="00FC3F50"/>
    <w:rsid w:val="00FC4664"/>
    <w:rsid w:val="00FC4702"/>
    <w:rsid w:val="00FC479B"/>
    <w:rsid w:val="00FC48A3"/>
    <w:rsid w:val="00FC4B4A"/>
    <w:rsid w:val="00FC4D6F"/>
    <w:rsid w:val="00FC69B9"/>
    <w:rsid w:val="00FC76C8"/>
    <w:rsid w:val="00FC76E3"/>
    <w:rsid w:val="00FC77D9"/>
    <w:rsid w:val="00FC7867"/>
    <w:rsid w:val="00FC7D02"/>
    <w:rsid w:val="00FC7D95"/>
    <w:rsid w:val="00FD0547"/>
    <w:rsid w:val="00FD0584"/>
    <w:rsid w:val="00FD0DFD"/>
    <w:rsid w:val="00FD1541"/>
    <w:rsid w:val="00FD1A6F"/>
    <w:rsid w:val="00FD1D41"/>
    <w:rsid w:val="00FD24CE"/>
    <w:rsid w:val="00FD25C0"/>
    <w:rsid w:val="00FD288C"/>
    <w:rsid w:val="00FD4180"/>
    <w:rsid w:val="00FD44F2"/>
    <w:rsid w:val="00FD5443"/>
    <w:rsid w:val="00FD593C"/>
    <w:rsid w:val="00FD5960"/>
    <w:rsid w:val="00FD61AA"/>
    <w:rsid w:val="00FD6F1F"/>
    <w:rsid w:val="00FD77E0"/>
    <w:rsid w:val="00FD78F0"/>
    <w:rsid w:val="00FE0100"/>
    <w:rsid w:val="00FE0AFA"/>
    <w:rsid w:val="00FE0E71"/>
    <w:rsid w:val="00FE11C2"/>
    <w:rsid w:val="00FE13DC"/>
    <w:rsid w:val="00FE1913"/>
    <w:rsid w:val="00FE1F31"/>
    <w:rsid w:val="00FE21E4"/>
    <w:rsid w:val="00FE2323"/>
    <w:rsid w:val="00FE281D"/>
    <w:rsid w:val="00FE2C70"/>
    <w:rsid w:val="00FE3114"/>
    <w:rsid w:val="00FE33CA"/>
    <w:rsid w:val="00FE45DD"/>
    <w:rsid w:val="00FE5113"/>
    <w:rsid w:val="00FE53AE"/>
    <w:rsid w:val="00FE584F"/>
    <w:rsid w:val="00FE5CFF"/>
    <w:rsid w:val="00FE5D45"/>
    <w:rsid w:val="00FE63F5"/>
    <w:rsid w:val="00FE79BF"/>
    <w:rsid w:val="00FE7F36"/>
    <w:rsid w:val="00FE7FCB"/>
    <w:rsid w:val="00FF094A"/>
    <w:rsid w:val="00FF0ADE"/>
    <w:rsid w:val="00FF0CDA"/>
    <w:rsid w:val="00FF163D"/>
    <w:rsid w:val="00FF19B2"/>
    <w:rsid w:val="00FF3317"/>
    <w:rsid w:val="00FF3663"/>
    <w:rsid w:val="00FF3A02"/>
    <w:rsid w:val="00FF3C87"/>
    <w:rsid w:val="00FF4017"/>
    <w:rsid w:val="00FF4940"/>
    <w:rsid w:val="00FF5300"/>
    <w:rsid w:val="00FF56F3"/>
    <w:rsid w:val="00FF5A38"/>
    <w:rsid w:val="00FF5B0F"/>
    <w:rsid w:val="00FF5B7D"/>
    <w:rsid w:val="00FF65DB"/>
    <w:rsid w:val="00FF6772"/>
    <w:rsid w:val="00FF678C"/>
    <w:rsid w:val="00FF67A4"/>
    <w:rsid w:val="00FF6900"/>
    <w:rsid w:val="00FF7105"/>
    <w:rsid w:val="00FF7434"/>
    <w:rsid w:val="00FF756A"/>
    <w:rsid w:val="00FF776E"/>
    <w:rsid w:val="00FF7D44"/>
    <w:rsid w:val="00FF7F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4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B26CF"/>
    <w:rPr>
      <w:sz w:val="24"/>
      <w:szCs w:val="24"/>
    </w:rPr>
  </w:style>
  <w:style w:type="paragraph" w:styleId="Heading1">
    <w:name w:val="heading 1"/>
    <w:basedOn w:val="BodyText"/>
    <w:next w:val="BodyText"/>
    <w:rsid w:val="000B26C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B26C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B26CF"/>
    <w:pPr>
      <w:spacing w:before="560" w:line="320" w:lineRule="exact"/>
      <w:ind w:left="0" w:firstLine="0"/>
      <w:outlineLvl w:val="2"/>
    </w:pPr>
    <w:rPr>
      <w:sz w:val="26"/>
    </w:rPr>
  </w:style>
  <w:style w:type="paragraph" w:styleId="Heading4">
    <w:name w:val="heading 4"/>
    <w:basedOn w:val="Heading3"/>
    <w:next w:val="BodyText"/>
    <w:qFormat/>
    <w:rsid w:val="000B26CF"/>
    <w:pPr>
      <w:spacing w:before="480"/>
      <w:outlineLvl w:val="3"/>
    </w:pPr>
    <w:rPr>
      <w:b w:val="0"/>
      <w:sz w:val="24"/>
    </w:rPr>
  </w:style>
  <w:style w:type="paragraph" w:styleId="Heading5">
    <w:name w:val="heading 5"/>
    <w:basedOn w:val="Heading4"/>
    <w:next w:val="BodyText"/>
    <w:link w:val="Heading5Char"/>
    <w:qFormat/>
    <w:rsid w:val="000B26CF"/>
    <w:pPr>
      <w:outlineLvl w:val="4"/>
    </w:pPr>
    <w:rPr>
      <w:i/>
      <w:sz w:val="22"/>
    </w:rPr>
  </w:style>
  <w:style w:type="paragraph" w:styleId="Heading6">
    <w:name w:val="heading 6"/>
    <w:basedOn w:val="BodyText"/>
    <w:next w:val="BodyText"/>
    <w:rsid w:val="000B26CF"/>
    <w:pPr>
      <w:spacing w:after="60"/>
      <w:jc w:val="left"/>
      <w:outlineLvl w:val="5"/>
    </w:pPr>
    <w:rPr>
      <w:i/>
      <w:sz w:val="22"/>
    </w:rPr>
  </w:style>
  <w:style w:type="paragraph" w:styleId="Heading7">
    <w:name w:val="heading 7"/>
    <w:basedOn w:val="BodyText"/>
    <w:next w:val="BodyText"/>
    <w:rsid w:val="000B26CF"/>
    <w:pPr>
      <w:spacing w:after="60" w:line="240" w:lineRule="auto"/>
      <w:jc w:val="left"/>
      <w:outlineLvl w:val="6"/>
    </w:pPr>
    <w:rPr>
      <w:rFonts w:ascii="Arial" w:hAnsi="Arial"/>
      <w:sz w:val="20"/>
    </w:rPr>
  </w:style>
  <w:style w:type="paragraph" w:styleId="Heading8">
    <w:name w:val="heading 8"/>
    <w:basedOn w:val="BodyText"/>
    <w:next w:val="BodyText"/>
    <w:rsid w:val="000B26CF"/>
    <w:pPr>
      <w:spacing w:after="60" w:line="240" w:lineRule="auto"/>
      <w:jc w:val="left"/>
      <w:outlineLvl w:val="7"/>
    </w:pPr>
    <w:rPr>
      <w:rFonts w:ascii="Arial" w:hAnsi="Arial"/>
      <w:i/>
      <w:sz w:val="20"/>
    </w:rPr>
  </w:style>
  <w:style w:type="paragraph" w:styleId="Heading9">
    <w:name w:val="heading 9"/>
    <w:basedOn w:val="BodyText"/>
    <w:next w:val="BodyText"/>
    <w:rsid w:val="000B26C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B26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6CF"/>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0B26CF"/>
    <w:pPr>
      <w:spacing w:before="240" w:line="300" w:lineRule="atLeast"/>
      <w:jc w:val="both"/>
    </w:pPr>
    <w:rPr>
      <w:sz w:val="24"/>
    </w:rPr>
  </w:style>
  <w:style w:type="paragraph" w:customStyle="1" w:styleId="Chapter">
    <w:name w:val="Chapter"/>
    <w:basedOn w:val="Heading1"/>
    <w:next w:val="BodyText"/>
    <w:semiHidden/>
    <w:rsid w:val="000B26CF"/>
    <w:pPr>
      <w:ind w:left="0" w:firstLine="0"/>
      <w:outlineLvl w:val="9"/>
    </w:pPr>
  </w:style>
  <w:style w:type="paragraph" w:customStyle="1" w:styleId="SequenceInfo">
    <w:name w:val="Sequence Info"/>
    <w:basedOn w:val="BodyText"/>
    <w:semiHidden/>
    <w:rsid w:val="000B26CF"/>
    <w:rPr>
      <w:vanish/>
      <w:sz w:val="16"/>
    </w:rPr>
  </w:style>
  <w:style w:type="character" w:styleId="CommentReference">
    <w:name w:val="annotation reference"/>
    <w:basedOn w:val="DefaultParagraphFont"/>
    <w:semiHidden/>
    <w:rsid w:val="000B26CF"/>
    <w:rPr>
      <w:b/>
      <w:vanish/>
      <w:color w:val="FF00FF"/>
      <w:sz w:val="20"/>
    </w:rPr>
  </w:style>
  <w:style w:type="paragraph" w:styleId="CommentText">
    <w:name w:val="annotation text"/>
    <w:basedOn w:val="Normal"/>
    <w:semiHidden/>
    <w:rsid w:val="000B26CF"/>
    <w:pPr>
      <w:spacing w:before="120" w:line="240" w:lineRule="atLeast"/>
      <w:ind w:left="567" w:hanging="567"/>
    </w:pPr>
    <w:rPr>
      <w:sz w:val="20"/>
    </w:rPr>
  </w:style>
  <w:style w:type="paragraph" w:customStyle="1" w:styleId="Abbreviation">
    <w:name w:val="Abbreviation"/>
    <w:basedOn w:val="BodyText"/>
    <w:rsid w:val="000B26CF"/>
    <w:pPr>
      <w:spacing w:before="120"/>
      <w:ind w:left="2381" w:hanging="2381"/>
      <w:jc w:val="left"/>
    </w:pPr>
  </w:style>
  <w:style w:type="paragraph" w:customStyle="1" w:styleId="Box">
    <w:name w:val="Box"/>
    <w:basedOn w:val="BodyText"/>
    <w:link w:val="BoxChar"/>
    <w:qFormat/>
    <w:rsid w:val="000B26CF"/>
    <w:pPr>
      <w:keepNext/>
      <w:spacing w:before="120" w:line="260" w:lineRule="atLeast"/>
    </w:pPr>
    <w:rPr>
      <w:rFonts w:ascii="Arial" w:hAnsi="Arial"/>
      <w:sz w:val="20"/>
    </w:rPr>
  </w:style>
  <w:style w:type="paragraph" w:customStyle="1" w:styleId="QuoteBullet">
    <w:name w:val="Quote Bullet"/>
    <w:basedOn w:val="Quote"/>
    <w:rsid w:val="000B26CF"/>
    <w:pPr>
      <w:numPr>
        <w:numId w:val="11"/>
      </w:numPr>
    </w:pPr>
  </w:style>
  <w:style w:type="paragraph" w:customStyle="1" w:styleId="BoxListBullet">
    <w:name w:val="Box List Bullet"/>
    <w:basedOn w:val="BodyText"/>
    <w:rsid w:val="000B26CF"/>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0B26CF"/>
    <w:pPr>
      <w:numPr>
        <w:numId w:val="3"/>
      </w:numPr>
      <w:ind w:left="568" w:hanging="284"/>
    </w:pPr>
  </w:style>
  <w:style w:type="paragraph" w:customStyle="1" w:styleId="BoxListNumber">
    <w:name w:val="Box List Number"/>
    <w:basedOn w:val="BodyText"/>
    <w:rsid w:val="000B26C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B26CF"/>
    <w:pPr>
      <w:numPr>
        <w:ilvl w:val="1"/>
      </w:numPr>
      <w:ind w:left="681" w:hanging="397"/>
    </w:pPr>
  </w:style>
  <w:style w:type="paragraph" w:customStyle="1" w:styleId="BoxQuote">
    <w:name w:val="Box Quote"/>
    <w:basedOn w:val="BodyText"/>
    <w:next w:val="Box"/>
    <w:qFormat/>
    <w:rsid w:val="000B26CF"/>
    <w:pPr>
      <w:keepNext/>
      <w:spacing w:before="60" w:line="240" w:lineRule="exact"/>
      <w:ind w:left="284"/>
    </w:pPr>
    <w:rPr>
      <w:rFonts w:ascii="Arial" w:hAnsi="Arial"/>
      <w:sz w:val="18"/>
    </w:rPr>
  </w:style>
  <w:style w:type="paragraph" w:customStyle="1" w:styleId="BoxSource">
    <w:name w:val="Box Source"/>
    <w:basedOn w:val="Source"/>
    <w:next w:val="BodyText"/>
    <w:rsid w:val="000B26CF"/>
    <w:pPr>
      <w:spacing w:before="120"/>
    </w:pPr>
  </w:style>
  <w:style w:type="paragraph" w:customStyle="1" w:styleId="BoxSpace">
    <w:name w:val="Box Space"/>
    <w:basedOn w:val="BodyText"/>
    <w:rsid w:val="007D7F87"/>
    <w:pPr>
      <w:keepNext/>
      <w:spacing w:before="360" w:line="80" w:lineRule="exact"/>
      <w:jc w:val="left"/>
    </w:pPr>
  </w:style>
  <w:style w:type="paragraph" w:customStyle="1" w:styleId="BoxSubtitle">
    <w:name w:val="Box Subtitle"/>
    <w:basedOn w:val="BoxTitle"/>
    <w:next w:val="Normal"/>
    <w:rsid w:val="000B26CF"/>
    <w:pPr>
      <w:spacing w:after="80" w:line="200" w:lineRule="exact"/>
      <w:ind w:firstLine="0"/>
    </w:pPr>
    <w:rPr>
      <w:b w:val="0"/>
      <w:sz w:val="20"/>
    </w:rPr>
  </w:style>
  <w:style w:type="paragraph" w:customStyle="1" w:styleId="BoxTitle">
    <w:name w:val="Box Title"/>
    <w:basedOn w:val="Caption"/>
    <w:next w:val="BoxSubtitle"/>
    <w:rsid w:val="000B26CF"/>
    <w:pPr>
      <w:spacing w:before="120" w:after="0"/>
    </w:pPr>
  </w:style>
  <w:style w:type="paragraph" w:styleId="Caption">
    <w:name w:val="caption"/>
    <w:basedOn w:val="Normal"/>
    <w:next w:val="BodyText"/>
    <w:rsid w:val="000B26CF"/>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B26CF"/>
    <w:pPr>
      <w:spacing w:line="280" w:lineRule="atLeast"/>
      <w:ind w:left="907"/>
    </w:pPr>
    <w:rPr>
      <w:rFonts w:ascii="Arial" w:hAnsi="Arial"/>
      <w:b/>
      <w:sz w:val="20"/>
    </w:rPr>
  </w:style>
  <w:style w:type="character" w:customStyle="1" w:styleId="DocumentInfo">
    <w:name w:val="Document Info"/>
    <w:basedOn w:val="DefaultParagraphFont"/>
    <w:semiHidden/>
    <w:rsid w:val="000B26CF"/>
    <w:rPr>
      <w:rFonts w:ascii="Arial" w:hAnsi="Arial"/>
      <w:sz w:val="14"/>
    </w:rPr>
  </w:style>
  <w:style w:type="paragraph" w:styleId="Footer">
    <w:name w:val="footer"/>
    <w:basedOn w:val="BodyText"/>
    <w:link w:val="FooterChar"/>
    <w:semiHidden/>
    <w:rsid w:val="000B26C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0B26CF"/>
    <w:rPr>
      <w:b/>
      <w:color w:val="FF0000"/>
      <w:sz w:val="24"/>
      <w:u w:val="dotted"/>
    </w:rPr>
  </w:style>
  <w:style w:type="paragraph" w:styleId="BalloonText">
    <w:name w:val="Balloon Text"/>
    <w:basedOn w:val="Normal"/>
    <w:link w:val="BalloonTextChar"/>
    <w:rsid w:val="000B26CF"/>
    <w:rPr>
      <w:rFonts w:ascii="Tahoma" w:hAnsi="Tahoma" w:cs="Tahoma"/>
      <w:sz w:val="16"/>
      <w:szCs w:val="16"/>
    </w:rPr>
  </w:style>
  <w:style w:type="paragraph" w:customStyle="1" w:styleId="Figure">
    <w:name w:val="Figure"/>
    <w:basedOn w:val="BodyText"/>
    <w:rsid w:val="000B26CF"/>
    <w:pPr>
      <w:keepNext/>
      <w:spacing w:before="120" w:after="120" w:line="240" w:lineRule="atLeast"/>
      <w:jc w:val="center"/>
    </w:pPr>
  </w:style>
  <w:style w:type="paragraph" w:customStyle="1" w:styleId="FigureTitle">
    <w:name w:val="Figure Title"/>
    <w:basedOn w:val="Caption"/>
    <w:next w:val="Subtitle"/>
    <w:rsid w:val="000B26CF"/>
    <w:pPr>
      <w:spacing w:before="120"/>
    </w:pPr>
  </w:style>
  <w:style w:type="paragraph" w:styleId="Subtitle">
    <w:name w:val="Subtitle"/>
    <w:basedOn w:val="Caption"/>
    <w:link w:val="SubtitleChar"/>
    <w:qFormat/>
    <w:rsid w:val="000B26CF"/>
    <w:pPr>
      <w:spacing w:before="0" w:line="200" w:lineRule="exact"/>
      <w:ind w:firstLine="0"/>
    </w:pPr>
    <w:rPr>
      <w:b w:val="0"/>
      <w:sz w:val="20"/>
    </w:rPr>
  </w:style>
  <w:style w:type="paragraph" w:customStyle="1" w:styleId="Finding">
    <w:name w:val="Finding"/>
    <w:basedOn w:val="BodyText"/>
    <w:rsid w:val="000B26CF"/>
    <w:pPr>
      <w:keepLines/>
      <w:spacing w:before="120" w:line="280" w:lineRule="atLeast"/>
    </w:pPr>
    <w:rPr>
      <w:rFonts w:ascii="Arial" w:hAnsi="Arial"/>
      <w:sz w:val="22"/>
    </w:rPr>
  </w:style>
  <w:style w:type="paragraph" w:customStyle="1" w:styleId="FindingBullet">
    <w:name w:val="Finding Bullet"/>
    <w:basedOn w:val="Finding"/>
    <w:rsid w:val="000B26CF"/>
    <w:pPr>
      <w:numPr>
        <w:numId w:val="7"/>
      </w:numPr>
      <w:spacing w:before="80"/>
    </w:pPr>
  </w:style>
  <w:style w:type="paragraph" w:customStyle="1" w:styleId="FindingNoTitle">
    <w:name w:val="Finding NoTitle"/>
    <w:basedOn w:val="Finding"/>
    <w:rsid w:val="000B26CF"/>
    <w:pPr>
      <w:spacing w:before="240"/>
    </w:pPr>
  </w:style>
  <w:style w:type="paragraph" w:customStyle="1" w:styleId="FindingTitle">
    <w:name w:val="Finding Title"/>
    <w:basedOn w:val="RecTitle"/>
    <w:next w:val="Finding"/>
    <w:rsid w:val="000B26CF"/>
  </w:style>
  <w:style w:type="paragraph" w:customStyle="1" w:styleId="FooterEnd">
    <w:name w:val="Footer End"/>
    <w:basedOn w:val="Footer"/>
    <w:rsid w:val="000B26CF"/>
    <w:pPr>
      <w:spacing w:before="0" w:line="20" w:lineRule="exact"/>
    </w:pPr>
  </w:style>
  <w:style w:type="character" w:styleId="FootnoteReference">
    <w:name w:val="footnote reference"/>
    <w:basedOn w:val="DefaultParagraphFont"/>
    <w:semiHidden/>
    <w:rsid w:val="000B26CF"/>
    <w:rPr>
      <w:rFonts w:ascii="Times New Roman" w:hAnsi="Times New Roman"/>
      <w:position w:val="6"/>
      <w:sz w:val="20"/>
      <w:vertAlign w:val="baseline"/>
    </w:rPr>
  </w:style>
  <w:style w:type="paragraph" w:styleId="FootnoteText">
    <w:name w:val="footnote text"/>
    <w:basedOn w:val="BodyText"/>
    <w:rsid w:val="000B26CF"/>
    <w:pPr>
      <w:tabs>
        <w:tab w:val="left" w:pos="284"/>
      </w:tabs>
      <w:spacing w:before="80" w:line="240" w:lineRule="exact"/>
      <w:ind w:left="284" w:hanging="284"/>
    </w:pPr>
    <w:rPr>
      <w:sz w:val="20"/>
    </w:rPr>
  </w:style>
  <w:style w:type="paragraph" w:styleId="Header">
    <w:name w:val="header"/>
    <w:basedOn w:val="BodyText"/>
    <w:rsid w:val="000B26C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B26CF"/>
    <w:pPr>
      <w:spacing w:line="20" w:lineRule="exact"/>
    </w:pPr>
    <w:rPr>
      <w:sz w:val="16"/>
    </w:rPr>
  </w:style>
  <w:style w:type="paragraph" w:customStyle="1" w:styleId="HeaderEven">
    <w:name w:val="Header Even"/>
    <w:basedOn w:val="Header"/>
    <w:rsid w:val="000B26CF"/>
  </w:style>
  <w:style w:type="paragraph" w:customStyle="1" w:styleId="HeaderOdd">
    <w:name w:val="Header Odd"/>
    <w:basedOn w:val="Header"/>
    <w:rsid w:val="000B26CF"/>
  </w:style>
  <w:style w:type="paragraph" w:customStyle="1" w:styleId="InformationRequest">
    <w:name w:val="Information Request"/>
    <w:basedOn w:val="Finding"/>
    <w:next w:val="BodyText"/>
    <w:rsid w:val="000B26CF"/>
    <w:rPr>
      <w:i/>
    </w:rPr>
  </w:style>
  <w:style w:type="paragraph" w:styleId="ListBullet">
    <w:name w:val="List Bullet"/>
    <w:aliases w:val="List Bullet Char1,List Bullet Char Char,List Bullet Char1 Char Char"/>
    <w:basedOn w:val="BodyText"/>
    <w:link w:val="ListBulletChar"/>
    <w:rsid w:val="000B26CF"/>
    <w:pPr>
      <w:numPr>
        <w:numId w:val="5"/>
      </w:numPr>
      <w:spacing w:before="120"/>
    </w:pPr>
  </w:style>
  <w:style w:type="paragraph" w:styleId="ListBullet2">
    <w:name w:val="List Bullet 2"/>
    <w:basedOn w:val="BodyText"/>
    <w:rsid w:val="000B26CF"/>
    <w:pPr>
      <w:numPr>
        <w:numId w:val="2"/>
      </w:numPr>
      <w:spacing w:before="120"/>
    </w:pPr>
  </w:style>
  <w:style w:type="paragraph" w:styleId="ListBullet3">
    <w:name w:val="List Bullet 3"/>
    <w:basedOn w:val="BodyText"/>
    <w:rsid w:val="000B26CF"/>
    <w:pPr>
      <w:numPr>
        <w:numId w:val="1"/>
      </w:numPr>
      <w:spacing w:before="120"/>
      <w:ind w:left="1020" w:hanging="340"/>
    </w:pPr>
  </w:style>
  <w:style w:type="paragraph" w:styleId="ListNumber">
    <w:name w:val="List Number"/>
    <w:basedOn w:val="BodyText"/>
    <w:rsid w:val="000B26CF"/>
    <w:pPr>
      <w:numPr>
        <w:numId w:val="13"/>
      </w:numPr>
      <w:spacing w:before="120"/>
    </w:pPr>
  </w:style>
  <w:style w:type="paragraph" w:styleId="ListNumber2">
    <w:name w:val="List Number 2"/>
    <w:basedOn w:val="ListNumber"/>
    <w:rsid w:val="000B26CF"/>
    <w:pPr>
      <w:numPr>
        <w:ilvl w:val="1"/>
      </w:numPr>
    </w:pPr>
  </w:style>
  <w:style w:type="paragraph" w:styleId="ListNumber3">
    <w:name w:val="List Number 3"/>
    <w:basedOn w:val="ListNumber2"/>
    <w:rsid w:val="000B26CF"/>
    <w:pPr>
      <w:numPr>
        <w:ilvl w:val="2"/>
      </w:numPr>
    </w:pPr>
  </w:style>
  <w:style w:type="paragraph" w:customStyle="1" w:styleId="Note">
    <w:name w:val="Note"/>
    <w:basedOn w:val="BodyText"/>
    <w:next w:val="BodyText"/>
    <w:link w:val="NoteChar"/>
    <w:rsid w:val="000B26CF"/>
    <w:pPr>
      <w:keepLines/>
      <w:spacing w:before="80" w:line="220" w:lineRule="exact"/>
    </w:pPr>
    <w:rPr>
      <w:rFonts w:ascii="Arial" w:hAnsi="Arial"/>
      <w:sz w:val="18"/>
    </w:rPr>
  </w:style>
  <w:style w:type="character" w:customStyle="1" w:styleId="NoteLabel">
    <w:name w:val="Note Label"/>
    <w:basedOn w:val="DefaultParagraphFont"/>
    <w:rsid w:val="000B26CF"/>
    <w:rPr>
      <w:rFonts w:ascii="Arial" w:hAnsi="Arial"/>
      <w:b/>
      <w:position w:val="6"/>
      <w:sz w:val="18"/>
    </w:rPr>
  </w:style>
  <w:style w:type="character" w:styleId="PageNumber">
    <w:name w:val="page number"/>
    <w:basedOn w:val="DefaultParagraphFont"/>
    <w:rsid w:val="000B26CF"/>
    <w:rPr>
      <w:rFonts w:ascii="Arial" w:hAnsi="Arial"/>
      <w:b/>
      <w:sz w:val="16"/>
    </w:rPr>
  </w:style>
  <w:style w:type="paragraph" w:customStyle="1" w:styleId="PartDivider">
    <w:name w:val="Part Divider"/>
    <w:basedOn w:val="BodyText"/>
    <w:next w:val="BodyText"/>
    <w:semiHidden/>
    <w:rsid w:val="000B26CF"/>
    <w:pPr>
      <w:spacing w:before="0" w:line="40" w:lineRule="exact"/>
      <w:jc w:val="right"/>
    </w:pPr>
    <w:rPr>
      <w:smallCaps/>
      <w:sz w:val="16"/>
    </w:rPr>
  </w:style>
  <w:style w:type="paragraph" w:customStyle="1" w:styleId="PartNumber">
    <w:name w:val="Part Number"/>
    <w:basedOn w:val="BodyText"/>
    <w:next w:val="BodyText"/>
    <w:semiHidden/>
    <w:rsid w:val="000B26CF"/>
    <w:pPr>
      <w:spacing w:before="4000" w:line="320" w:lineRule="exact"/>
      <w:ind w:left="6634"/>
      <w:jc w:val="right"/>
    </w:pPr>
    <w:rPr>
      <w:smallCaps/>
      <w:spacing w:val="60"/>
      <w:sz w:val="32"/>
    </w:rPr>
  </w:style>
  <w:style w:type="paragraph" w:customStyle="1" w:styleId="PartTitle">
    <w:name w:val="Part Title"/>
    <w:basedOn w:val="BodyText"/>
    <w:semiHidden/>
    <w:rsid w:val="000B26CF"/>
    <w:pPr>
      <w:spacing w:before="160" w:after="1360" w:line="520" w:lineRule="exact"/>
      <w:ind w:right="2381"/>
      <w:jc w:val="right"/>
    </w:pPr>
    <w:rPr>
      <w:smallCaps/>
      <w:sz w:val="52"/>
    </w:rPr>
  </w:style>
  <w:style w:type="paragraph" w:styleId="Quote">
    <w:name w:val="Quote"/>
    <w:basedOn w:val="BodyText"/>
    <w:next w:val="BodyText"/>
    <w:qFormat/>
    <w:rsid w:val="000B26CF"/>
    <w:pPr>
      <w:spacing w:before="120" w:line="280" w:lineRule="exact"/>
      <w:ind w:left="340"/>
    </w:pPr>
    <w:rPr>
      <w:sz w:val="22"/>
    </w:rPr>
  </w:style>
  <w:style w:type="paragraph" w:customStyle="1" w:styleId="Rec">
    <w:name w:val="Rec"/>
    <w:basedOn w:val="BodyText"/>
    <w:qFormat/>
    <w:rsid w:val="000B26CF"/>
    <w:pPr>
      <w:keepLines/>
      <w:spacing w:before="120" w:line="280" w:lineRule="atLeast"/>
    </w:pPr>
    <w:rPr>
      <w:rFonts w:ascii="Arial" w:hAnsi="Arial"/>
      <w:sz w:val="22"/>
    </w:rPr>
  </w:style>
  <w:style w:type="paragraph" w:customStyle="1" w:styleId="RecBullet">
    <w:name w:val="Rec Bullet"/>
    <w:basedOn w:val="Rec"/>
    <w:rsid w:val="000B26CF"/>
    <w:pPr>
      <w:numPr>
        <w:numId w:val="8"/>
      </w:numPr>
      <w:spacing w:before="80"/>
    </w:pPr>
  </w:style>
  <w:style w:type="paragraph" w:customStyle="1" w:styleId="RecTitle">
    <w:name w:val="Rec Title"/>
    <w:basedOn w:val="BodyText"/>
    <w:next w:val="Rec"/>
    <w:qFormat/>
    <w:rsid w:val="000B26CF"/>
    <w:pPr>
      <w:keepNext/>
      <w:keepLines/>
      <w:spacing w:line="280" w:lineRule="atLeast"/>
    </w:pPr>
    <w:rPr>
      <w:rFonts w:ascii="Arial" w:hAnsi="Arial"/>
      <w:caps/>
      <w:sz w:val="18"/>
    </w:rPr>
  </w:style>
  <w:style w:type="paragraph" w:customStyle="1" w:styleId="RecB">
    <w:name w:val="RecB"/>
    <w:basedOn w:val="Normal"/>
    <w:rsid w:val="000B26C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B26CF"/>
    <w:pPr>
      <w:numPr>
        <w:numId w:val="9"/>
      </w:numPr>
      <w:spacing w:before="80"/>
    </w:pPr>
  </w:style>
  <w:style w:type="paragraph" w:customStyle="1" w:styleId="RecBNoTitle">
    <w:name w:val="RecB NoTitle"/>
    <w:basedOn w:val="RecB"/>
    <w:rsid w:val="000B26CF"/>
    <w:pPr>
      <w:spacing w:before="240"/>
    </w:pPr>
  </w:style>
  <w:style w:type="paragraph" w:customStyle="1" w:styleId="Reference">
    <w:name w:val="Reference"/>
    <w:basedOn w:val="BodyText"/>
    <w:rsid w:val="000B26CF"/>
    <w:pPr>
      <w:spacing w:before="120"/>
      <w:ind w:left="340" w:hanging="340"/>
    </w:pPr>
  </w:style>
  <w:style w:type="paragraph" w:customStyle="1" w:styleId="SideNote">
    <w:name w:val="Side Note"/>
    <w:basedOn w:val="BodyText"/>
    <w:next w:val="BodyText"/>
    <w:semiHidden/>
    <w:rsid w:val="000B26C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B26CF"/>
    <w:pPr>
      <w:framePr w:wrap="around"/>
      <w:numPr>
        <w:numId w:val="4"/>
      </w:numPr>
      <w:tabs>
        <w:tab w:val="left" w:pos="227"/>
      </w:tabs>
    </w:pPr>
  </w:style>
  <w:style w:type="paragraph" w:customStyle="1" w:styleId="SideNoteGraphic">
    <w:name w:val="Side Note Graphic"/>
    <w:basedOn w:val="SideNote"/>
    <w:next w:val="BodyText"/>
    <w:semiHidden/>
    <w:rsid w:val="000B26CF"/>
    <w:pPr>
      <w:framePr w:wrap="around"/>
    </w:pPr>
  </w:style>
  <w:style w:type="paragraph" w:customStyle="1" w:styleId="Source">
    <w:name w:val="Source"/>
    <w:basedOn w:val="Normal"/>
    <w:next w:val="BodyText"/>
    <w:link w:val="SourceChar"/>
    <w:rsid w:val="000B26CF"/>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0B26C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B26CF"/>
    <w:pPr>
      <w:numPr>
        <w:numId w:val="10"/>
      </w:numPr>
      <w:jc w:val="left"/>
    </w:pPr>
  </w:style>
  <w:style w:type="paragraph" w:customStyle="1" w:styleId="TableColumnHeading">
    <w:name w:val="Table Column Heading"/>
    <w:basedOn w:val="TableBodyText"/>
    <w:link w:val="TableColumnHeadingChar"/>
    <w:rsid w:val="000B26CF"/>
    <w:pPr>
      <w:spacing w:before="80" w:after="80"/>
    </w:pPr>
    <w:rPr>
      <w:i/>
    </w:rPr>
  </w:style>
  <w:style w:type="paragraph" w:styleId="TableofFigures">
    <w:name w:val="table of figures"/>
    <w:basedOn w:val="TOC3"/>
    <w:next w:val="BodyText"/>
    <w:semiHidden/>
    <w:rsid w:val="000B26CF"/>
    <w:pPr>
      <w:ind w:left="737" w:hanging="737"/>
    </w:pPr>
  </w:style>
  <w:style w:type="paragraph" w:styleId="TOC3">
    <w:name w:val="toc 3"/>
    <w:basedOn w:val="TOC2"/>
    <w:rsid w:val="000B26CF"/>
    <w:pPr>
      <w:spacing w:before="60"/>
      <w:ind w:left="1190" w:hanging="680"/>
    </w:pPr>
  </w:style>
  <w:style w:type="paragraph" w:customStyle="1" w:styleId="TableTitle">
    <w:name w:val="Table Title"/>
    <w:basedOn w:val="Caption"/>
    <w:next w:val="Subtitle"/>
    <w:qFormat/>
    <w:rsid w:val="000B26CF"/>
    <w:pPr>
      <w:spacing w:before="120"/>
    </w:pPr>
  </w:style>
  <w:style w:type="paragraph" w:customStyle="1" w:styleId="TableUnitsRow">
    <w:name w:val="Table Units Row"/>
    <w:basedOn w:val="TableBodyText"/>
    <w:rsid w:val="000B26CF"/>
    <w:pPr>
      <w:spacing w:before="40"/>
    </w:pPr>
  </w:style>
  <w:style w:type="paragraph" w:styleId="TOC1">
    <w:name w:val="toc 1"/>
    <w:basedOn w:val="Normal"/>
    <w:next w:val="TOC2"/>
    <w:link w:val="TOC1Char"/>
    <w:rsid w:val="000B26CF"/>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0B26CF"/>
    <w:pPr>
      <w:ind w:left="1134" w:hanging="624"/>
    </w:pPr>
    <w:rPr>
      <w:b w:val="0"/>
    </w:rPr>
  </w:style>
  <w:style w:type="paragraph" w:styleId="TOC4">
    <w:name w:val="toc 4"/>
    <w:basedOn w:val="TOC3"/>
    <w:semiHidden/>
    <w:rsid w:val="000B26CF"/>
    <w:pPr>
      <w:ind w:left="1191" w:firstLine="0"/>
    </w:pPr>
  </w:style>
  <w:style w:type="paragraph" w:customStyle="1" w:styleId="BoxContinued">
    <w:name w:val="Box Continued"/>
    <w:basedOn w:val="BodyText"/>
    <w:next w:val="BodyText"/>
    <w:semiHidden/>
    <w:rsid w:val="000B26CF"/>
    <w:pPr>
      <w:spacing w:before="180" w:line="220" w:lineRule="exact"/>
      <w:jc w:val="right"/>
    </w:pPr>
    <w:rPr>
      <w:rFonts w:ascii="Arial" w:hAnsi="Arial"/>
      <w:sz w:val="18"/>
    </w:rPr>
  </w:style>
  <w:style w:type="paragraph" w:customStyle="1" w:styleId="Continued">
    <w:name w:val="Continued"/>
    <w:basedOn w:val="BoxContinued"/>
    <w:next w:val="BodyText"/>
    <w:rsid w:val="000B26CF"/>
  </w:style>
  <w:style w:type="paragraph" w:customStyle="1" w:styleId="BoxHeading1">
    <w:name w:val="Box Heading 1"/>
    <w:basedOn w:val="BodyText"/>
    <w:next w:val="Box"/>
    <w:rsid w:val="000B26CF"/>
    <w:pPr>
      <w:keepNext/>
      <w:spacing w:before="200" w:line="280" w:lineRule="atLeast"/>
    </w:pPr>
    <w:rPr>
      <w:rFonts w:ascii="Arial" w:hAnsi="Arial"/>
      <w:b/>
      <w:sz w:val="22"/>
    </w:rPr>
  </w:style>
  <w:style w:type="paragraph" w:customStyle="1" w:styleId="BoxHeading2">
    <w:name w:val="Box Heading 2"/>
    <w:basedOn w:val="BoxHeading1"/>
    <w:next w:val="Normal"/>
    <w:rsid w:val="000B26CF"/>
    <w:rPr>
      <w:b w:val="0"/>
      <w:i/>
    </w:rPr>
  </w:style>
  <w:style w:type="paragraph" w:customStyle="1" w:styleId="Jurisdictioncommentsbodytext">
    <w:name w:val="Jurisdiction comments body text"/>
    <w:rsid w:val="000B26CF"/>
    <w:pPr>
      <w:spacing w:after="140"/>
      <w:jc w:val="both"/>
    </w:pPr>
    <w:rPr>
      <w:rFonts w:ascii="Arial" w:hAnsi="Arial"/>
      <w:sz w:val="24"/>
      <w:lang w:eastAsia="en-US"/>
    </w:rPr>
  </w:style>
  <w:style w:type="paragraph" w:customStyle="1" w:styleId="Jurisdictioncommentsheading">
    <w:name w:val="Jurisdiction comments heading"/>
    <w:rsid w:val="000B26C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B26CF"/>
    <w:pPr>
      <w:numPr>
        <w:numId w:val="12"/>
      </w:numPr>
      <w:spacing w:after="140"/>
      <w:jc w:val="both"/>
    </w:pPr>
    <w:rPr>
      <w:rFonts w:ascii="Arial" w:hAnsi="Arial"/>
      <w:sz w:val="24"/>
      <w:lang w:eastAsia="en-US"/>
    </w:rPr>
  </w:style>
  <w:style w:type="table" w:styleId="TableGrid">
    <w:name w:val="Table Grid"/>
    <w:basedOn w:val="TableNormal"/>
    <w:rsid w:val="000B26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Info">
    <w:name w:val="Doc Info"/>
    <w:basedOn w:val="Normal"/>
    <w:next w:val="Normal"/>
    <w:rsid w:val="00EC434D"/>
    <w:pPr>
      <w:jc w:val="center"/>
    </w:pPr>
    <w:rPr>
      <w:rFonts w:ascii="Arial" w:hAnsi="Arial"/>
      <w:sz w:val="14"/>
    </w:rPr>
  </w:style>
  <w:style w:type="paragraph" w:customStyle="1" w:styleId="Heading2NotTOC">
    <w:name w:val="Heading 2 Not TOC"/>
    <w:basedOn w:val="Heading2"/>
    <w:next w:val="BodyText"/>
    <w:rsid w:val="00EC434D"/>
    <w:pPr>
      <w:outlineLvl w:val="9"/>
    </w:pPr>
  </w:style>
  <w:style w:type="paragraph" w:customStyle="1" w:styleId="SOC">
    <w:name w:val="SOC"/>
    <w:basedOn w:val="BodyText"/>
    <w:rsid w:val="00EC434D"/>
    <w:pPr>
      <w:spacing w:before="0" w:after="140" w:line="240" w:lineRule="auto"/>
    </w:pPr>
    <w:rPr>
      <w:rFonts w:ascii="Arial" w:hAnsi="Arial"/>
    </w:rPr>
  </w:style>
  <w:style w:type="character" w:customStyle="1" w:styleId="BoxChar">
    <w:name w:val="Box Char"/>
    <w:basedOn w:val="DefaultParagraphFont"/>
    <w:link w:val="Box"/>
    <w:rsid w:val="00726306"/>
    <w:rPr>
      <w:rFonts w:ascii="Arial" w:hAnsi="Arial"/>
    </w:rPr>
  </w:style>
  <w:style w:type="character" w:styleId="Hyperlink">
    <w:name w:val="Hyperlink"/>
    <w:basedOn w:val="DefaultParagraphFont"/>
    <w:uiPriority w:val="99"/>
    <w:rsid w:val="00726306"/>
    <w:rPr>
      <w:color w:val="0000FF"/>
      <w:u w:val="single"/>
    </w:rPr>
  </w:style>
  <w:style w:type="paragraph" w:styleId="CommentSubject">
    <w:name w:val="annotation subject"/>
    <w:basedOn w:val="CommentText"/>
    <w:next w:val="CommentText"/>
    <w:semiHidden/>
    <w:rsid w:val="004D1E71"/>
    <w:pPr>
      <w:spacing w:before="0" w:line="240" w:lineRule="auto"/>
      <w:ind w:left="0" w:firstLine="0"/>
    </w:pPr>
    <w:rPr>
      <w:b/>
      <w:bCs/>
      <w:szCs w:val="20"/>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0B26CF"/>
    <w:rPr>
      <w:sz w:val="24"/>
    </w:rPr>
  </w:style>
  <w:style w:type="character" w:customStyle="1" w:styleId="NoteChar">
    <w:name w:val="Note Char"/>
    <w:basedOn w:val="BodyTextChar"/>
    <w:link w:val="Note"/>
    <w:rsid w:val="00A10868"/>
    <w:rPr>
      <w:rFonts w:ascii="Arial" w:hAnsi="Arial"/>
      <w:sz w:val="18"/>
    </w:rPr>
  </w:style>
  <w:style w:type="character" w:customStyle="1" w:styleId="SourceChar">
    <w:name w:val="Source Char"/>
    <w:basedOn w:val="NoteChar"/>
    <w:link w:val="Source"/>
    <w:rsid w:val="00A10868"/>
    <w:rPr>
      <w:rFonts w:ascii="Arial" w:hAnsi="Arial"/>
      <w:sz w:val="18"/>
    </w:rPr>
  </w:style>
  <w:style w:type="character" w:customStyle="1" w:styleId="Heading3Char">
    <w:name w:val="Heading 3 Char"/>
    <w:basedOn w:val="DefaultParagraphFont"/>
    <w:link w:val="Heading3"/>
    <w:rsid w:val="002158C8"/>
    <w:rPr>
      <w:rFonts w:ascii="Arial" w:hAnsi="Arial"/>
      <w:b/>
      <w:sz w:val="26"/>
    </w:rPr>
  </w:style>
  <w:style w:type="paragraph" w:styleId="BodyText2">
    <w:name w:val="Body Text 2"/>
    <w:basedOn w:val="Normal"/>
    <w:rsid w:val="00B3791D"/>
    <w:pPr>
      <w:spacing w:after="120" w:line="480" w:lineRule="auto"/>
    </w:pPr>
  </w:style>
  <w:style w:type="character" w:customStyle="1" w:styleId="TableBodyTextChar">
    <w:name w:val="Table Body Text Char"/>
    <w:basedOn w:val="DefaultParagraphFont"/>
    <w:link w:val="TableBodyText"/>
    <w:rsid w:val="00ED5E68"/>
    <w:rPr>
      <w:rFonts w:ascii="Arial" w:hAnsi="Arial"/>
      <w:sz w:val="18"/>
    </w:rPr>
  </w:style>
  <w:style w:type="character" w:customStyle="1" w:styleId="TableColumnHeadingChar">
    <w:name w:val="Table Column Heading Char"/>
    <w:basedOn w:val="TableBodyTextChar"/>
    <w:link w:val="TableColumnHeading"/>
    <w:rsid w:val="00ED5E68"/>
    <w:rPr>
      <w:rFonts w:ascii="Arial" w:hAnsi="Arial"/>
      <w:i/>
      <w:sz w:val="18"/>
    </w:rPr>
  </w:style>
  <w:style w:type="character" w:customStyle="1" w:styleId="ListBulletChar">
    <w:name w:val="List Bullet Char"/>
    <w:aliases w:val="List Bullet Char1 Char,List Bullet Char Char Char,List Bullet Char1 Char Char Char"/>
    <w:basedOn w:val="BodyTextChar"/>
    <w:link w:val="ListBullet"/>
    <w:rsid w:val="0028359F"/>
    <w:rPr>
      <w:sz w:val="24"/>
    </w:rPr>
  </w:style>
  <w:style w:type="paragraph" w:styleId="TOC5">
    <w:name w:val="toc 5"/>
    <w:basedOn w:val="Normal"/>
    <w:next w:val="Normal"/>
    <w:autoRedefine/>
    <w:semiHidden/>
    <w:rsid w:val="00086D86"/>
    <w:pPr>
      <w:ind w:left="1040"/>
    </w:pPr>
    <w:rPr>
      <w:sz w:val="20"/>
      <w:szCs w:val="20"/>
    </w:rPr>
  </w:style>
  <w:style w:type="paragraph" w:styleId="TOC6">
    <w:name w:val="toc 6"/>
    <w:basedOn w:val="Normal"/>
    <w:next w:val="Normal"/>
    <w:autoRedefine/>
    <w:semiHidden/>
    <w:rsid w:val="00086D86"/>
    <w:pPr>
      <w:ind w:left="1300"/>
    </w:pPr>
    <w:rPr>
      <w:sz w:val="20"/>
      <w:szCs w:val="20"/>
    </w:rPr>
  </w:style>
  <w:style w:type="paragraph" w:styleId="TOC7">
    <w:name w:val="toc 7"/>
    <w:basedOn w:val="Normal"/>
    <w:next w:val="Normal"/>
    <w:autoRedefine/>
    <w:semiHidden/>
    <w:rsid w:val="00086D86"/>
    <w:pPr>
      <w:ind w:left="1560"/>
    </w:pPr>
    <w:rPr>
      <w:sz w:val="20"/>
      <w:szCs w:val="20"/>
    </w:rPr>
  </w:style>
  <w:style w:type="paragraph" w:styleId="TOC8">
    <w:name w:val="toc 8"/>
    <w:basedOn w:val="Normal"/>
    <w:next w:val="Normal"/>
    <w:autoRedefine/>
    <w:semiHidden/>
    <w:rsid w:val="00086D86"/>
    <w:pPr>
      <w:ind w:left="1820"/>
    </w:pPr>
    <w:rPr>
      <w:sz w:val="20"/>
      <w:szCs w:val="20"/>
    </w:rPr>
  </w:style>
  <w:style w:type="paragraph" w:styleId="TOC9">
    <w:name w:val="toc 9"/>
    <w:basedOn w:val="Normal"/>
    <w:next w:val="Normal"/>
    <w:autoRedefine/>
    <w:semiHidden/>
    <w:rsid w:val="00086D86"/>
    <w:pPr>
      <w:ind w:left="2080"/>
    </w:pPr>
    <w:rPr>
      <w:sz w:val="20"/>
      <w:szCs w:val="20"/>
    </w:rPr>
  </w:style>
  <w:style w:type="character" w:styleId="FollowedHyperlink">
    <w:name w:val="FollowedHyperlink"/>
    <w:basedOn w:val="DefaultParagraphFont"/>
    <w:rsid w:val="00015256"/>
    <w:rPr>
      <w:color w:val="800080"/>
      <w:u w:val="single"/>
    </w:rPr>
  </w:style>
  <w:style w:type="paragraph" w:styleId="Revision">
    <w:name w:val="Revision"/>
    <w:hidden/>
    <w:uiPriority w:val="99"/>
    <w:semiHidden/>
    <w:rsid w:val="00843A6C"/>
    <w:rPr>
      <w:rFonts w:asciiTheme="minorHAnsi" w:eastAsiaTheme="minorHAnsi" w:hAnsiTheme="minorHAnsi" w:cstheme="minorBidi"/>
      <w:sz w:val="22"/>
      <w:szCs w:val="22"/>
      <w:lang w:eastAsia="en-US"/>
    </w:rPr>
  </w:style>
  <w:style w:type="paragraph" w:customStyle="1" w:styleId="BoxSpaceAbove">
    <w:name w:val="Box Space Above"/>
    <w:basedOn w:val="BodyText"/>
    <w:rsid w:val="000B26CF"/>
    <w:pPr>
      <w:keepNext/>
      <w:spacing w:before="360" w:line="80" w:lineRule="exact"/>
      <w:jc w:val="left"/>
    </w:pPr>
  </w:style>
  <w:style w:type="paragraph" w:customStyle="1" w:styleId="RecBBullet2">
    <w:name w:val="RecB Bullet 2"/>
    <w:basedOn w:val="ListBullet2"/>
    <w:semiHidden/>
    <w:rsid w:val="000B26CF"/>
    <w:pPr>
      <w:pBdr>
        <w:left w:val="single" w:sz="24" w:space="29" w:color="C0C0C0"/>
      </w:pBdr>
    </w:pPr>
    <w:rPr>
      <w:b/>
      <w:i/>
    </w:rPr>
  </w:style>
  <w:style w:type="character" w:customStyle="1" w:styleId="BalloonTextChar">
    <w:name w:val="Balloon Text Char"/>
    <w:basedOn w:val="DefaultParagraphFont"/>
    <w:link w:val="BalloonText"/>
    <w:rsid w:val="000B26CF"/>
    <w:rPr>
      <w:rFonts w:ascii="Tahoma" w:hAnsi="Tahoma" w:cs="Tahoma"/>
      <w:sz w:val="16"/>
      <w:szCs w:val="16"/>
    </w:rPr>
  </w:style>
  <w:style w:type="character" w:customStyle="1" w:styleId="SubtitleChar">
    <w:name w:val="Subtitle Char"/>
    <w:basedOn w:val="DefaultParagraphFont"/>
    <w:link w:val="Subtitle"/>
    <w:rsid w:val="000B26CF"/>
    <w:rPr>
      <w:rFonts w:ascii="Arial" w:hAnsi="Arial"/>
      <w:szCs w:val="24"/>
    </w:rPr>
  </w:style>
  <w:style w:type="paragraph" w:customStyle="1" w:styleId="BoxListBullet3">
    <w:name w:val="Box List Bullet 3"/>
    <w:basedOn w:val="ListBullet3"/>
    <w:rsid w:val="000B26CF"/>
    <w:pPr>
      <w:numPr>
        <w:numId w:val="42"/>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B26CF"/>
    <w:rPr>
      <w:i/>
      <w:iCs/>
    </w:rPr>
  </w:style>
  <w:style w:type="paragraph" w:customStyle="1" w:styleId="BoxQuoteBullet">
    <w:name w:val="Box Quote Bullet"/>
    <w:basedOn w:val="BoxQuote"/>
    <w:next w:val="Box"/>
    <w:rsid w:val="000B26CF"/>
    <w:pPr>
      <w:numPr>
        <w:numId w:val="41"/>
      </w:numPr>
      <w:ind w:left="568" w:hanging="284"/>
    </w:pPr>
  </w:style>
  <w:style w:type="paragraph" w:customStyle="1" w:styleId="InformationRequestBullet">
    <w:name w:val="Information Request Bullet"/>
    <w:basedOn w:val="ListBullet"/>
    <w:next w:val="BodyText"/>
    <w:rsid w:val="000B26CF"/>
    <w:pPr>
      <w:numPr>
        <w:numId w:val="43"/>
      </w:numPr>
      <w:spacing w:before="80" w:line="280" w:lineRule="atLeast"/>
      <w:ind w:left="357" w:hanging="357"/>
    </w:pPr>
    <w:rPr>
      <w:rFonts w:ascii="Arial" w:hAnsi="Arial"/>
      <w:i/>
      <w:sz w:val="22"/>
    </w:rPr>
  </w:style>
  <w:style w:type="paragraph" w:customStyle="1" w:styleId="BoxSpaceBelow">
    <w:name w:val="Box Space Below"/>
    <w:basedOn w:val="Box"/>
    <w:rsid w:val="000B26CF"/>
    <w:pPr>
      <w:keepNext w:val="0"/>
      <w:spacing w:before="60" w:after="60" w:line="80" w:lineRule="exact"/>
    </w:pPr>
    <w:rPr>
      <w:sz w:val="14"/>
    </w:rPr>
  </w:style>
  <w:style w:type="paragraph" w:customStyle="1" w:styleId="KeyPointsListBullet">
    <w:name w:val="Key Points List Bullet"/>
    <w:basedOn w:val="Normal"/>
    <w:qFormat/>
    <w:rsid w:val="000B26CF"/>
    <w:pPr>
      <w:keepNext/>
      <w:numPr>
        <w:numId w:val="4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B26CF"/>
    <w:pPr>
      <w:numPr>
        <w:numId w:val="46"/>
      </w:numPr>
      <w:ind w:left="568" w:hanging="284"/>
    </w:pPr>
  </w:style>
  <w:style w:type="paragraph" w:customStyle="1" w:styleId="InformationRequestTitle">
    <w:name w:val="Information Request Title"/>
    <w:basedOn w:val="FindingTitle"/>
    <w:next w:val="InformationRequest"/>
    <w:rsid w:val="000B26CF"/>
    <w:rPr>
      <w:i/>
    </w:rPr>
  </w:style>
  <w:style w:type="paragraph" w:customStyle="1" w:styleId="Space">
    <w:name w:val="Space"/>
    <w:basedOn w:val="Normal"/>
    <w:rsid w:val="000B26CF"/>
    <w:pPr>
      <w:keepNext/>
      <w:spacing w:line="120" w:lineRule="exact"/>
      <w:jc w:val="both"/>
    </w:pPr>
    <w:rPr>
      <w:rFonts w:ascii="Arial" w:hAnsi="Arial"/>
      <w:sz w:val="20"/>
      <w:szCs w:val="20"/>
    </w:rPr>
  </w:style>
  <w:style w:type="paragraph" w:customStyle="1" w:styleId="Heading1nochapterno">
    <w:name w:val="Heading 1 (no chapter no.)"/>
    <w:basedOn w:val="Heading1"/>
    <w:rsid w:val="000B26CF"/>
    <w:pPr>
      <w:spacing w:before="0"/>
      <w:ind w:left="0" w:firstLine="0"/>
    </w:pPr>
  </w:style>
  <w:style w:type="paragraph" w:customStyle="1" w:styleId="Heading2nosectionno">
    <w:name w:val="Heading 2 (no section no.)"/>
    <w:basedOn w:val="Heading2"/>
    <w:rsid w:val="000B26CF"/>
    <w:pPr>
      <w:ind w:left="0" w:firstLine="0"/>
    </w:pPr>
  </w:style>
  <w:style w:type="character" w:customStyle="1" w:styleId="Heading5Char">
    <w:name w:val="Heading 5 Char"/>
    <w:basedOn w:val="DefaultParagraphFont"/>
    <w:link w:val="Heading5"/>
    <w:rsid w:val="000B26CF"/>
    <w:rPr>
      <w:rFonts w:ascii="Arial" w:hAnsi="Arial"/>
      <w:i/>
      <w:sz w:val="22"/>
    </w:rPr>
  </w:style>
  <w:style w:type="paragraph" w:customStyle="1" w:styleId="Figurespace">
    <w:name w:val="Figure space"/>
    <w:basedOn w:val="Box"/>
    <w:rsid w:val="000B26CF"/>
    <w:pPr>
      <w:spacing w:before="0" w:line="120" w:lineRule="exact"/>
    </w:pPr>
  </w:style>
  <w:style w:type="paragraph" w:customStyle="1" w:styleId="FooterDraftReport">
    <w:name w:val="FooterDraftReport"/>
    <w:basedOn w:val="Footer"/>
    <w:link w:val="FooterDraftReportChar"/>
    <w:rsid w:val="000B26C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0B26CF"/>
    <w:rPr>
      <w:rFonts w:ascii="Arial" w:hAnsi="Arial"/>
      <w:caps/>
      <w:spacing w:val="-4"/>
      <w:sz w:val="16"/>
    </w:rPr>
  </w:style>
  <w:style w:type="character" w:customStyle="1" w:styleId="FooterDraftReportChar">
    <w:name w:val="FooterDraftReport Char"/>
    <w:basedOn w:val="FooterChar"/>
    <w:link w:val="FooterDraftReport"/>
    <w:rsid w:val="000B26C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B26CF"/>
    <w:rPr>
      <w:rFonts w:ascii="Arial" w:hAnsi="Arial"/>
      <w:b/>
      <w:sz w:val="26"/>
      <w:szCs w:val="26"/>
      <w:lang w:eastAsia="en-US"/>
    </w:rPr>
  </w:style>
  <w:style w:type="character" w:customStyle="1" w:styleId="Continuedintitle">
    <w:name w:val="Continued (in title)"/>
    <w:basedOn w:val="DefaultParagraphFont"/>
    <w:rsid w:val="005D444D"/>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B26CF"/>
    <w:rPr>
      <w:sz w:val="24"/>
      <w:szCs w:val="24"/>
    </w:rPr>
  </w:style>
  <w:style w:type="paragraph" w:styleId="Heading1">
    <w:name w:val="heading 1"/>
    <w:basedOn w:val="BodyText"/>
    <w:next w:val="BodyText"/>
    <w:rsid w:val="000B26C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0B26C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B26CF"/>
    <w:pPr>
      <w:spacing w:before="560" w:line="320" w:lineRule="exact"/>
      <w:ind w:left="0" w:firstLine="0"/>
      <w:outlineLvl w:val="2"/>
    </w:pPr>
    <w:rPr>
      <w:sz w:val="26"/>
    </w:rPr>
  </w:style>
  <w:style w:type="paragraph" w:styleId="Heading4">
    <w:name w:val="heading 4"/>
    <w:basedOn w:val="Heading3"/>
    <w:next w:val="BodyText"/>
    <w:qFormat/>
    <w:rsid w:val="000B26CF"/>
    <w:pPr>
      <w:spacing w:before="480"/>
      <w:outlineLvl w:val="3"/>
    </w:pPr>
    <w:rPr>
      <w:b w:val="0"/>
      <w:sz w:val="24"/>
    </w:rPr>
  </w:style>
  <w:style w:type="paragraph" w:styleId="Heading5">
    <w:name w:val="heading 5"/>
    <w:basedOn w:val="Heading4"/>
    <w:next w:val="BodyText"/>
    <w:link w:val="Heading5Char"/>
    <w:qFormat/>
    <w:rsid w:val="000B26CF"/>
    <w:pPr>
      <w:outlineLvl w:val="4"/>
    </w:pPr>
    <w:rPr>
      <w:i/>
      <w:sz w:val="22"/>
    </w:rPr>
  </w:style>
  <w:style w:type="paragraph" w:styleId="Heading6">
    <w:name w:val="heading 6"/>
    <w:basedOn w:val="BodyText"/>
    <w:next w:val="BodyText"/>
    <w:rsid w:val="000B26CF"/>
    <w:pPr>
      <w:spacing w:after="60"/>
      <w:jc w:val="left"/>
      <w:outlineLvl w:val="5"/>
    </w:pPr>
    <w:rPr>
      <w:i/>
      <w:sz w:val="22"/>
    </w:rPr>
  </w:style>
  <w:style w:type="paragraph" w:styleId="Heading7">
    <w:name w:val="heading 7"/>
    <w:basedOn w:val="BodyText"/>
    <w:next w:val="BodyText"/>
    <w:rsid w:val="000B26CF"/>
    <w:pPr>
      <w:spacing w:after="60" w:line="240" w:lineRule="auto"/>
      <w:jc w:val="left"/>
      <w:outlineLvl w:val="6"/>
    </w:pPr>
    <w:rPr>
      <w:rFonts w:ascii="Arial" w:hAnsi="Arial"/>
      <w:sz w:val="20"/>
    </w:rPr>
  </w:style>
  <w:style w:type="paragraph" w:styleId="Heading8">
    <w:name w:val="heading 8"/>
    <w:basedOn w:val="BodyText"/>
    <w:next w:val="BodyText"/>
    <w:rsid w:val="000B26CF"/>
    <w:pPr>
      <w:spacing w:after="60" w:line="240" w:lineRule="auto"/>
      <w:jc w:val="left"/>
      <w:outlineLvl w:val="7"/>
    </w:pPr>
    <w:rPr>
      <w:rFonts w:ascii="Arial" w:hAnsi="Arial"/>
      <w:i/>
      <w:sz w:val="20"/>
    </w:rPr>
  </w:style>
  <w:style w:type="paragraph" w:styleId="Heading9">
    <w:name w:val="heading 9"/>
    <w:basedOn w:val="BodyText"/>
    <w:next w:val="BodyText"/>
    <w:rsid w:val="000B26C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B26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26CF"/>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0B26CF"/>
    <w:pPr>
      <w:spacing w:before="240" w:line="300" w:lineRule="atLeast"/>
      <w:jc w:val="both"/>
    </w:pPr>
    <w:rPr>
      <w:sz w:val="24"/>
    </w:rPr>
  </w:style>
  <w:style w:type="paragraph" w:customStyle="1" w:styleId="Chapter">
    <w:name w:val="Chapter"/>
    <w:basedOn w:val="Heading1"/>
    <w:next w:val="BodyText"/>
    <w:semiHidden/>
    <w:rsid w:val="000B26CF"/>
    <w:pPr>
      <w:ind w:left="0" w:firstLine="0"/>
      <w:outlineLvl w:val="9"/>
    </w:pPr>
  </w:style>
  <w:style w:type="paragraph" w:customStyle="1" w:styleId="SequenceInfo">
    <w:name w:val="Sequence Info"/>
    <w:basedOn w:val="BodyText"/>
    <w:semiHidden/>
    <w:rsid w:val="000B26CF"/>
    <w:rPr>
      <w:vanish/>
      <w:sz w:val="16"/>
    </w:rPr>
  </w:style>
  <w:style w:type="character" w:styleId="CommentReference">
    <w:name w:val="annotation reference"/>
    <w:basedOn w:val="DefaultParagraphFont"/>
    <w:semiHidden/>
    <w:rsid w:val="000B26CF"/>
    <w:rPr>
      <w:b/>
      <w:vanish/>
      <w:color w:val="FF00FF"/>
      <w:sz w:val="20"/>
    </w:rPr>
  </w:style>
  <w:style w:type="paragraph" w:styleId="CommentText">
    <w:name w:val="annotation text"/>
    <w:basedOn w:val="Normal"/>
    <w:semiHidden/>
    <w:rsid w:val="000B26CF"/>
    <w:pPr>
      <w:spacing w:before="120" w:line="240" w:lineRule="atLeast"/>
      <w:ind w:left="567" w:hanging="567"/>
    </w:pPr>
    <w:rPr>
      <w:sz w:val="20"/>
    </w:rPr>
  </w:style>
  <w:style w:type="paragraph" w:customStyle="1" w:styleId="Abbreviation">
    <w:name w:val="Abbreviation"/>
    <w:basedOn w:val="BodyText"/>
    <w:rsid w:val="000B26CF"/>
    <w:pPr>
      <w:spacing w:before="120"/>
      <w:ind w:left="2381" w:hanging="2381"/>
      <w:jc w:val="left"/>
    </w:pPr>
  </w:style>
  <w:style w:type="paragraph" w:customStyle="1" w:styleId="Box">
    <w:name w:val="Box"/>
    <w:basedOn w:val="BodyText"/>
    <w:link w:val="BoxChar"/>
    <w:qFormat/>
    <w:rsid w:val="000B26CF"/>
    <w:pPr>
      <w:keepNext/>
      <w:spacing w:before="120" w:line="260" w:lineRule="atLeast"/>
    </w:pPr>
    <w:rPr>
      <w:rFonts w:ascii="Arial" w:hAnsi="Arial"/>
      <w:sz w:val="20"/>
    </w:rPr>
  </w:style>
  <w:style w:type="paragraph" w:customStyle="1" w:styleId="QuoteBullet">
    <w:name w:val="Quote Bullet"/>
    <w:basedOn w:val="Quote"/>
    <w:rsid w:val="000B26CF"/>
    <w:pPr>
      <w:numPr>
        <w:numId w:val="11"/>
      </w:numPr>
    </w:pPr>
  </w:style>
  <w:style w:type="paragraph" w:customStyle="1" w:styleId="BoxListBullet">
    <w:name w:val="Box List Bullet"/>
    <w:basedOn w:val="BodyText"/>
    <w:rsid w:val="000B26CF"/>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0B26CF"/>
    <w:pPr>
      <w:numPr>
        <w:numId w:val="3"/>
      </w:numPr>
      <w:ind w:left="568" w:hanging="284"/>
    </w:pPr>
  </w:style>
  <w:style w:type="paragraph" w:customStyle="1" w:styleId="BoxListNumber">
    <w:name w:val="Box List Number"/>
    <w:basedOn w:val="BodyText"/>
    <w:rsid w:val="000B26C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B26CF"/>
    <w:pPr>
      <w:numPr>
        <w:ilvl w:val="1"/>
      </w:numPr>
      <w:ind w:left="681" w:hanging="397"/>
    </w:pPr>
  </w:style>
  <w:style w:type="paragraph" w:customStyle="1" w:styleId="BoxQuote">
    <w:name w:val="Box Quote"/>
    <w:basedOn w:val="BodyText"/>
    <w:next w:val="Box"/>
    <w:qFormat/>
    <w:rsid w:val="000B26CF"/>
    <w:pPr>
      <w:keepNext/>
      <w:spacing w:before="60" w:line="240" w:lineRule="exact"/>
      <w:ind w:left="284"/>
    </w:pPr>
    <w:rPr>
      <w:rFonts w:ascii="Arial" w:hAnsi="Arial"/>
      <w:sz w:val="18"/>
    </w:rPr>
  </w:style>
  <w:style w:type="paragraph" w:customStyle="1" w:styleId="BoxSource">
    <w:name w:val="Box Source"/>
    <w:basedOn w:val="Source"/>
    <w:next w:val="BodyText"/>
    <w:rsid w:val="000B26CF"/>
    <w:pPr>
      <w:spacing w:before="120"/>
    </w:pPr>
  </w:style>
  <w:style w:type="paragraph" w:customStyle="1" w:styleId="BoxSpace">
    <w:name w:val="Box Space"/>
    <w:basedOn w:val="BodyText"/>
    <w:rsid w:val="007D7F87"/>
    <w:pPr>
      <w:keepNext/>
      <w:spacing w:before="360" w:line="80" w:lineRule="exact"/>
      <w:jc w:val="left"/>
    </w:pPr>
  </w:style>
  <w:style w:type="paragraph" w:customStyle="1" w:styleId="BoxSubtitle">
    <w:name w:val="Box Subtitle"/>
    <w:basedOn w:val="BoxTitle"/>
    <w:next w:val="Normal"/>
    <w:rsid w:val="000B26CF"/>
    <w:pPr>
      <w:spacing w:after="80" w:line="200" w:lineRule="exact"/>
      <w:ind w:firstLine="0"/>
    </w:pPr>
    <w:rPr>
      <w:b w:val="0"/>
      <w:sz w:val="20"/>
    </w:rPr>
  </w:style>
  <w:style w:type="paragraph" w:customStyle="1" w:styleId="BoxTitle">
    <w:name w:val="Box Title"/>
    <w:basedOn w:val="Caption"/>
    <w:next w:val="BoxSubtitle"/>
    <w:rsid w:val="000B26CF"/>
    <w:pPr>
      <w:spacing w:before="120" w:after="0"/>
    </w:pPr>
  </w:style>
  <w:style w:type="paragraph" w:styleId="Caption">
    <w:name w:val="caption"/>
    <w:basedOn w:val="Normal"/>
    <w:next w:val="BodyText"/>
    <w:rsid w:val="000B26CF"/>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0B26CF"/>
    <w:pPr>
      <w:spacing w:line="280" w:lineRule="atLeast"/>
      <w:ind w:left="907"/>
    </w:pPr>
    <w:rPr>
      <w:rFonts w:ascii="Arial" w:hAnsi="Arial"/>
      <w:b/>
      <w:sz w:val="20"/>
    </w:rPr>
  </w:style>
  <w:style w:type="character" w:customStyle="1" w:styleId="DocumentInfo">
    <w:name w:val="Document Info"/>
    <w:basedOn w:val="DefaultParagraphFont"/>
    <w:semiHidden/>
    <w:rsid w:val="000B26CF"/>
    <w:rPr>
      <w:rFonts w:ascii="Arial" w:hAnsi="Arial"/>
      <w:sz w:val="14"/>
    </w:rPr>
  </w:style>
  <w:style w:type="paragraph" w:styleId="Footer">
    <w:name w:val="footer"/>
    <w:basedOn w:val="BodyText"/>
    <w:link w:val="FooterChar"/>
    <w:semiHidden/>
    <w:rsid w:val="000B26C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0B26CF"/>
    <w:rPr>
      <w:b/>
      <w:color w:val="FF0000"/>
      <w:sz w:val="24"/>
      <w:u w:val="dotted"/>
    </w:rPr>
  </w:style>
  <w:style w:type="paragraph" w:styleId="BalloonText">
    <w:name w:val="Balloon Text"/>
    <w:basedOn w:val="Normal"/>
    <w:link w:val="BalloonTextChar"/>
    <w:rsid w:val="000B26CF"/>
    <w:rPr>
      <w:rFonts w:ascii="Tahoma" w:hAnsi="Tahoma" w:cs="Tahoma"/>
      <w:sz w:val="16"/>
      <w:szCs w:val="16"/>
    </w:rPr>
  </w:style>
  <w:style w:type="paragraph" w:customStyle="1" w:styleId="Figure">
    <w:name w:val="Figure"/>
    <w:basedOn w:val="BodyText"/>
    <w:rsid w:val="000B26CF"/>
    <w:pPr>
      <w:keepNext/>
      <w:spacing w:before="120" w:after="120" w:line="240" w:lineRule="atLeast"/>
      <w:jc w:val="center"/>
    </w:pPr>
  </w:style>
  <w:style w:type="paragraph" w:customStyle="1" w:styleId="FigureTitle">
    <w:name w:val="Figure Title"/>
    <w:basedOn w:val="Caption"/>
    <w:next w:val="Subtitle"/>
    <w:rsid w:val="000B26CF"/>
    <w:pPr>
      <w:spacing w:before="120"/>
    </w:pPr>
  </w:style>
  <w:style w:type="paragraph" w:styleId="Subtitle">
    <w:name w:val="Subtitle"/>
    <w:basedOn w:val="Caption"/>
    <w:link w:val="SubtitleChar"/>
    <w:qFormat/>
    <w:rsid w:val="000B26CF"/>
    <w:pPr>
      <w:spacing w:before="0" w:line="200" w:lineRule="exact"/>
      <w:ind w:firstLine="0"/>
    </w:pPr>
    <w:rPr>
      <w:b w:val="0"/>
      <w:sz w:val="20"/>
    </w:rPr>
  </w:style>
  <w:style w:type="paragraph" w:customStyle="1" w:styleId="Finding">
    <w:name w:val="Finding"/>
    <w:basedOn w:val="BodyText"/>
    <w:rsid w:val="000B26CF"/>
    <w:pPr>
      <w:keepLines/>
      <w:spacing w:before="120" w:line="280" w:lineRule="atLeast"/>
    </w:pPr>
    <w:rPr>
      <w:rFonts w:ascii="Arial" w:hAnsi="Arial"/>
      <w:sz w:val="22"/>
    </w:rPr>
  </w:style>
  <w:style w:type="paragraph" w:customStyle="1" w:styleId="FindingBullet">
    <w:name w:val="Finding Bullet"/>
    <w:basedOn w:val="Finding"/>
    <w:rsid w:val="000B26CF"/>
    <w:pPr>
      <w:numPr>
        <w:numId w:val="7"/>
      </w:numPr>
      <w:spacing w:before="80"/>
    </w:pPr>
  </w:style>
  <w:style w:type="paragraph" w:customStyle="1" w:styleId="FindingNoTitle">
    <w:name w:val="Finding NoTitle"/>
    <w:basedOn w:val="Finding"/>
    <w:rsid w:val="000B26CF"/>
    <w:pPr>
      <w:spacing w:before="240"/>
    </w:pPr>
  </w:style>
  <w:style w:type="paragraph" w:customStyle="1" w:styleId="FindingTitle">
    <w:name w:val="Finding Title"/>
    <w:basedOn w:val="RecTitle"/>
    <w:next w:val="Finding"/>
    <w:rsid w:val="000B26CF"/>
  </w:style>
  <w:style w:type="paragraph" w:customStyle="1" w:styleId="FooterEnd">
    <w:name w:val="Footer End"/>
    <w:basedOn w:val="Footer"/>
    <w:rsid w:val="000B26CF"/>
    <w:pPr>
      <w:spacing w:before="0" w:line="20" w:lineRule="exact"/>
    </w:pPr>
  </w:style>
  <w:style w:type="character" w:styleId="FootnoteReference">
    <w:name w:val="footnote reference"/>
    <w:basedOn w:val="DefaultParagraphFont"/>
    <w:semiHidden/>
    <w:rsid w:val="000B26CF"/>
    <w:rPr>
      <w:rFonts w:ascii="Times New Roman" w:hAnsi="Times New Roman"/>
      <w:position w:val="6"/>
      <w:sz w:val="20"/>
      <w:vertAlign w:val="baseline"/>
    </w:rPr>
  </w:style>
  <w:style w:type="paragraph" w:styleId="FootnoteText">
    <w:name w:val="footnote text"/>
    <w:basedOn w:val="BodyText"/>
    <w:rsid w:val="000B26CF"/>
    <w:pPr>
      <w:tabs>
        <w:tab w:val="left" w:pos="284"/>
      </w:tabs>
      <w:spacing w:before="80" w:line="240" w:lineRule="exact"/>
      <w:ind w:left="284" w:hanging="284"/>
    </w:pPr>
    <w:rPr>
      <w:sz w:val="20"/>
    </w:rPr>
  </w:style>
  <w:style w:type="paragraph" w:styleId="Header">
    <w:name w:val="header"/>
    <w:basedOn w:val="BodyText"/>
    <w:rsid w:val="000B26C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B26CF"/>
    <w:pPr>
      <w:spacing w:line="20" w:lineRule="exact"/>
    </w:pPr>
    <w:rPr>
      <w:sz w:val="16"/>
    </w:rPr>
  </w:style>
  <w:style w:type="paragraph" w:customStyle="1" w:styleId="HeaderEven">
    <w:name w:val="Header Even"/>
    <w:basedOn w:val="Header"/>
    <w:rsid w:val="000B26CF"/>
  </w:style>
  <w:style w:type="paragraph" w:customStyle="1" w:styleId="HeaderOdd">
    <w:name w:val="Header Odd"/>
    <w:basedOn w:val="Header"/>
    <w:rsid w:val="000B26CF"/>
  </w:style>
  <w:style w:type="paragraph" w:customStyle="1" w:styleId="InformationRequest">
    <w:name w:val="Information Request"/>
    <w:basedOn w:val="Finding"/>
    <w:next w:val="BodyText"/>
    <w:rsid w:val="000B26CF"/>
    <w:rPr>
      <w:i/>
    </w:rPr>
  </w:style>
  <w:style w:type="paragraph" w:styleId="ListBullet">
    <w:name w:val="List Bullet"/>
    <w:aliases w:val="List Bullet Char1,List Bullet Char Char,List Bullet Char1 Char Char"/>
    <w:basedOn w:val="BodyText"/>
    <w:link w:val="ListBulletChar"/>
    <w:rsid w:val="000B26CF"/>
    <w:pPr>
      <w:numPr>
        <w:numId w:val="5"/>
      </w:numPr>
      <w:spacing w:before="120"/>
    </w:pPr>
  </w:style>
  <w:style w:type="paragraph" w:styleId="ListBullet2">
    <w:name w:val="List Bullet 2"/>
    <w:basedOn w:val="BodyText"/>
    <w:rsid w:val="000B26CF"/>
    <w:pPr>
      <w:numPr>
        <w:numId w:val="2"/>
      </w:numPr>
      <w:spacing w:before="120"/>
    </w:pPr>
  </w:style>
  <w:style w:type="paragraph" w:styleId="ListBullet3">
    <w:name w:val="List Bullet 3"/>
    <w:basedOn w:val="BodyText"/>
    <w:rsid w:val="000B26CF"/>
    <w:pPr>
      <w:numPr>
        <w:numId w:val="1"/>
      </w:numPr>
      <w:spacing w:before="120"/>
      <w:ind w:left="1020" w:hanging="340"/>
    </w:pPr>
  </w:style>
  <w:style w:type="paragraph" w:styleId="ListNumber">
    <w:name w:val="List Number"/>
    <w:basedOn w:val="BodyText"/>
    <w:rsid w:val="000B26CF"/>
    <w:pPr>
      <w:numPr>
        <w:numId w:val="13"/>
      </w:numPr>
      <w:spacing w:before="120"/>
    </w:pPr>
  </w:style>
  <w:style w:type="paragraph" w:styleId="ListNumber2">
    <w:name w:val="List Number 2"/>
    <w:basedOn w:val="ListNumber"/>
    <w:rsid w:val="000B26CF"/>
    <w:pPr>
      <w:numPr>
        <w:ilvl w:val="1"/>
      </w:numPr>
    </w:pPr>
  </w:style>
  <w:style w:type="paragraph" w:styleId="ListNumber3">
    <w:name w:val="List Number 3"/>
    <w:basedOn w:val="ListNumber2"/>
    <w:rsid w:val="000B26CF"/>
    <w:pPr>
      <w:numPr>
        <w:ilvl w:val="2"/>
      </w:numPr>
    </w:pPr>
  </w:style>
  <w:style w:type="paragraph" w:customStyle="1" w:styleId="Note">
    <w:name w:val="Note"/>
    <w:basedOn w:val="BodyText"/>
    <w:next w:val="BodyText"/>
    <w:link w:val="NoteChar"/>
    <w:rsid w:val="000B26CF"/>
    <w:pPr>
      <w:keepLines/>
      <w:spacing w:before="80" w:line="220" w:lineRule="exact"/>
    </w:pPr>
    <w:rPr>
      <w:rFonts w:ascii="Arial" w:hAnsi="Arial"/>
      <w:sz w:val="18"/>
    </w:rPr>
  </w:style>
  <w:style w:type="character" w:customStyle="1" w:styleId="NoteLabel">
    <w:name w:val="Note Label"/>
    <w:basedOn w:val="DefaultParagraphFont"/>
    <w:rsid w:val="000B26CF"/>
    <w:rPr>
      <w:rFonts w:ascii="Arial" w:hAnsi="Arial"/>
      <w:b/>
      <w:position w:val="6"/>
      <w:sz w:val="18"/>
    </w:rPr>
  </w:style>
  <w:style w:type="character" w:styleId="PageNumber">
    <w:name w:val="page number"/>
    <w:basedOn w:val="DefaultParagraphFont"/>
    <w:rsid w:val="000B26CF"/>
    <w:rPr>
      <w:rFonts w:ascii="Arial" w:hAnsi="Arial"/>
      <w:b/>
      <w:sz w:val="16"/>
    </w:rPr>
  </w:style>
  <w:style w:type="paragraph" w:customStyle="1" w:styleId="PartDivider">
    <w:name w:val="Part Divider"/>
    <w:basedOn w:val="BodyText"/>
    <w:next w:val="BodyText"/>
    <w:semiHidden/>
    <w:rsid w:val="000B26CF"/>
    <w:pPr>
      <w:spacing w:before="0" w:line="40" w:lineRule="exact"/>
      <w:jc w:val="right"/>
    </w:pPr>
    <w:rPr>
      <w:smallCaps/>
      <w:sz w:val="16"/>
    </w:rPr>
  </w:style>
  <w:style w:type="paragraph" w:customStyle="1" w:styleId="PartNumber">
    <w:name w:val="Part Number"/>
    <w:basedOn w:val="BodyText"/>
    <w:next w:val="BodyText"/>
    <w:semiHidden/>
    <w:rsid w:val="000B26CF"/>
    <w:pPr>
      <w:spacing w:before="4000" w:line="320" w:lineRule="exact"/>
      <w:ind w:left="6634"/>
      <w:jc w:val="right"/>
    </w:pPr>
    <w:rPr>
      <w:smallCaps/>
      <w:spacing w:val="60"/>
      <w:sz w:val="32"/>
    </w:rPr>
  </w:style>
  <w:style w:type="paragraph" w:customStyle="1" w:styleId="PartTitle">
    <w:name w:val="Part Title"/>
    <w:basedOn w:val="BodyText"/>
    <w:semiHidden/>
    <w:rsid w:val="000B26CF"/>
    <w:pPr>
      <w:spacing w:before="160" w:after="1360" w:line="520" w:lineRule="exact"/>
      <w:ind w:right="2381"/>
      <w:jc w:val="right"/>
    </w:pPr>
    <w:rPr>
      <w:smallCaps/>
      <w:sz w:val="52"/>
    </w:rPr>
  </w:style>
  <w:style w:type="paragraph" w:styleId="Quote">
    <w:name w:val="Quote"/>
    <w:basedOn w:val="BodyText"/>
    <w:next w:val="BodyText"/>
    <w:qFormat/>
    <w:rsid w:val="000B26CF"/>
    <w:pPr>
      <w:spacing w:before="120" w:line="280" w:lineRule="exact"/>
      <w:ind w:left="340"/>
    </w:pPr>
    <w:rPr>
      <w:sz w:val="22"/>
    </w:rPr>
  </w:style>
  <w:style w:type="paragraph" w:customStyle="1" w:styleId="Rec">
    <w:name w:val="Rec"/>
    <w:basedOn w:val="BodyText"/>
    <w:qFormat/>
    <w:rsid w:val="000B26CF"/>
    <w:pPr>
      <w:keepLines/>
      <w:spacing w:before="120" w:line="280" w:lineRule="atLeast"/>
    </w:pPr>
    <w:rPr>
      <w:rFonts w:ascii="Arial" w:hAnsi="Arial"/>
      <w:sz w:val="22"/>
    </w:rPr>
  </w:style>
  <w:style w:type="paragraph" w:customStyle="1" w:styleId="RecBullet">
    <w:name w:val="Rec Bullet"/>
    <w:basedOn w:val="Rec"/>
    <w:rsid w:val="000B26CF"/>
    <w:pPr>
      <w:numPr>
        <w:numId w:val="8"/>
      </w:numPr>
      <w:spacing w:before="80"/>
    </w:pPr>
  </w:style>
  <w:style w:type="paragraph" w:customStyle="1" w:styleId="RecTitle">
    <w:name w:val="Rec Title"/>
    <w:basedOn w:val="BodyText"/>
    <w:next w:val="Rec"/>
    <w:qFormat/>
    <w:rsid w:val="000B26CF"/>
    <w:pPr>
      <w:keepNext/>
      <w:keepLines/>
      <w:spacing w:line="280" w:lineRule="atLeast"/>
    </w:pPr>
    <w:rPr>
      <w:rFonts w:ascii="Arial" w:hAnsi="Arial"/>
      <w:caps/>
      <w:sz w:val="18"/>
    </w:rPr>
  </w:style>
  <w:style w:type="paragraph" w:customStyle="1" w:styleId="RecB">
    <w:name w:val="RecB"/>
    <w:basedOn w:val="Normal"/>
    <w:rsid w:val="000B26C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B26CF"/>
    <w:pPr>
      <w:numPr>
        <w:numId w:val="9"/>
      </w:numPr>
      <w:spacing w:before="80"/>
    </w:pPr>
  </w:style>
  <w:style w:type="paragraph" w:customStyle="1" w:styleId="RecBNoTitle">
    <w:name w:val="RecB NoTitle"/>
    <w:basedOn w:val="RecB"/>
    <w:rsid w:val="000B26CF"/>
    <w:pPr>
      <w:spacing w:before="240"/>
    </w:pPr>
  </w:style>
  <w:style w:type="paragraph" w:customStyle="1" w:styleId="Reference">
    <w:name w:val="Reference"/>
    <w:basedOn w:val="BodyText"/>
    <w:rsid w:val="000B26CF"/>
    <w:pPr>
      <w:spacing w:before="120"/>
      <w:ind w:left="340" w:hanging="340"/>
    </w:pPr>
  </w:style>
  <w:style w:type="paragraph" w:customStyle="1" w:styleId="SideNote">
    <w:name w:val="Side Note"/>
    <w:basedOn w:val="BodyText"/>
    <w:next w:val="BodyText"/>
    <w:semiHidden/>
    <w:rsid w:val="000B26C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B26CF"/>
    <w:pPr>
      <w:framePr w:wrap="around"/>
      <w:numPr>
        <w:numId w:val="4"/>
      </w:numPr>
      <w:tabs>
        <w:tab w:val="left" w:pos="227"/>
      </w:tabs>
    </w:pPr>
  </w:style>
  <w:style w:type="paragraph" w:customStyle="1" w:styleId="SideNoteGraphic">
    <w:name w:val="Side Note Graphic"/>
    <w:basedOn w:val="SideNote"/>
    <w:next w:val="BodyText"/>
    <w:semiHidden/>
    <w:rsid w:val="000B26CF"/>
    <w:pPr>
      <w:framePr w:wrap="around"/>
    </w:pPr>
  </w:style>
  <w:style w:type="paragraph" w:customStyle="1" w:styleId="Source">
    <w:name w:val="Source"/>
    <w:basedOn w:val="Normal"/>
    <w:next w:val="BodyText"/>
    <w:link w:val="SourceChar"/>
    <w:rsid w:val="000B26CF"/>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0B26C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0B26CF"/>
    <w:pPr>
      <w:numPr>
        <w:numId w:val="10"/>
      </w:numPr>
      <w:jc w:val="left"/>
    </w:pPr>
  </w:style>
  <w:style w:type="paragraph" w:customStyle="1" w:styleId="TableColumnHeading">
    <w:name w:val="Table Column Heading"/>
    <w:basedOn w:val="TableBodyText"/>
    <w:link w:val="TableColumnHeadingChar"/>
    <w:rsid w:val="000B26CF"/>
    <w:pPr>
      <w:spacing w:before="80" w:after="80"/>
    </w:pPr>
    <w:rPr>
      <w:i/>
    </w:rPr>
  </w:style>
  <w:style w:type="paragraph" w:styleId="TableofFigures">
    <w:name w:val="table of figures"/>
    <w:basedOn w:val="TOC3"/>
    <w:next w:val="BodyText"/>
    <w:semiHidden/>
    <w:rsid w:val="000B26CF"/>
    <w:pPr>
      <w:ind w:left="737" w:hanging="737"/>
    </w:pPr>
  </w:style>
  <w:style w:type="paragraph" w:styleId="TOC3">
    <w:name w:val="toc 3"/>
    <w:basedOn w:val="TOC2"/>
    <w:rsid w:val="000B26CF"/>
    <w:pPr>
      <w:spacing w:before="60"/>
      <w:ind w:left="1190" w:hanging="680"/>
    </w:pPr>
  </w:style>
  <w:style w:type="paragraph" w:customStyle="1" w:styleId="TableTitle">
    <w:name w:val="Table Title"/>
    <w:basedOn w:val="Caption"/>
    <w:next w:val="Subtitle"/>
    <w:qFormat/>
    <w:rsid w:val="000B26CF"/>
    <w:pPr>
      <w:spacing w:before="120"/>
    </w:pPr>
  </w:style>
  <w:style w:type="paragraph" w:customStyle="1" w:styleId="TableUnitsRow">
    <w:name w:val="Table Units Row"/>
    <w:basedOn w:val="TableBodyText"/>
    <w:rsid w:val="000B26CF"/>
    <w:pPr>
      <w:spacing w:before="40"/>
    </w:pPr>
  </w:style>
  <w:style w:type="paragraph" w:styleId="TOC1">
    <w:name w:val="toc 1"/>
    <w:basedOn w:val="Normal"/>
    <w:next w:val="TOC2"/>
    <w:link w:val="TOC1Char"/>
    <w:rsid w:val="000B26CF"/>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0B26CF"/>
    <w:pPr>
      <w:ind w:left="1134" w:hanging="624"/>
    </w:pPr>
    <w:rPr>
      <w:b w:val="0"/>
    </w:rPr>
  </w:style>
  <w:style w:type="paragraph" w:styleId="TOC4">
    <w:name w:val="toc 4"/>
    <w:basedOn w:val="TOC3"/>
    <w:semiHidden/>
    <w:rsid w:val="000B26CF"/>
    <w:pPr>
      <w:ind w:left="1191" w:firstLine="0"/>
    </w:pPr>
  </w:style>
  <w:style w:type="paragraph" w:customStyle="1" w:styleId="BoxContinued">
    <w:name w:val="Box Continued"/>
    <w:basedOn w:val="BodyText"/>
    <w:next w:val="BodyText"/>
    <w:semiHidden/>
    <w:rsid w:val="000B26CF"/>
    <w:pPr>
      <w:spacing w:before="180" w:line="220" w:lineRule="exact"/>
      <w:jc w:val="right"/>
    </w:pPr>
    <w:rPr>
      <w:rFonts w:ascii="Arial" w:hAnsi="Arial"/>
      <w:sz w:val="18"/>
    </w:rPr>
  </w:style>
  <w:style w:type="paragraph" w:customStyle="1" w:styleId="Continued">
    <w:name w:val="Continued"/>
    <w:basedOn w:val="BoxContinued"/>
    <w:next w:val="BodyText"/>
    <w:rsid w:val="000B26CF"/>
  </w:style>
  <w:style w:type="paragraph" w:customStyle="1" w:styleId="BoxHeading1">
    <w:name w:val="Box Heading 1"/>
    <w:basedOn w:val="BodyText"/>
    <w:next w:val="Box"/>
    <w:rsid w:val="000B26CF"/>
    <w:pPr>
      <w:keepNext/>
      <w:spacing w:before="200" w:line="280" w:lineRule="atLeast"/>
    </w:pPr>
    <w:rPr>
      <w:rFonts w:ascii="Arial" w:hAnsi="Arial"/>
      <w:b/>
      <w:sz w:val="22"/>
    </w:rPr>
  </w:style>
  <w:style w:type="paragraph" w:customStyle="1" w:styleId="BoxHeading2">
    <w:name w:val="Box Heading 2"/>
    <w:basedOn w:val="BoxHeading1"/>
    <w:next w:val="Normal"/>
    <w:rsid w:val="000B26CF"/>
    <w:rPr>
      <w:b w:val="0"/>
      <w:i/>
    </w:rPr>
  </w:style>
  <w:style w:type="paragraph" w:customStyle="1" w:styleId="Jurisdictioncommentsbodytext">
    <w:name w:val="Jurisdiction comments body text"/>
    <w:rsid w:val="000B26CF"/>
    <w:pPr>
      <w:spacing w:after="140"/>
      <w:jc w:val="both"/>
    </w:pPr>
    <w:rPr>
      <w:rFonts w:ascii="Arial" w:hAnsi="Arial"/>
      <w:sz w:val="24"/>
      <w:lang w:eastAsia="en-US"/>
    </w:rPr>
  </w:style>
  <w:style w:type="paragraph" w:customStyle="1" w:styleId="Jurisdictioncommentsheading">
    <w:name w:val="Jurisdiction comments heading"/>
    <w:rsid w:val="000B26C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B26CF"/>
    <w:pPr>
      <w:numPr>
        <w:numId w:val="12"/>
      </w:numPr>
      <w:spacing w:after="140"/>
      <w:jc w:val="both"/>
    </w:pPr>
    <w:rPr>
      <w:rFonts w:ascii="Arial" w:hAnsi="Arial"/>
      <w:sz w:val="24"/>
      <w:lang w:eastAsia="en-US"/>
    </w:rPr>
  </w:style>
  <w:style w:type="table" w:styleId="TableGrid">
    <w:name w:val="Table Grid"/>
    <w:basedOn w:val="TableNormal"/>
    <w:rsid w:val="000B26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Info">
    <w:name w:val="Doc Info"/>
    <w:basedOn w:val="Normal"/>
    <w:next w:val="Normal"/>
    <w:rsid w:val="00EC434D"/>
    <w:pPr>
      <w:jc w:val="center"/>
    </w:pPr>
    <w:rPr>
      <w:rFonts w:ascii="Arial" w:hAnsi="Arial"/>
      <w:sz w:val="14"/>
    </w:rPr>
  </w:style>
  <w:style w:type="paragraph" w:customStyle="1" w:styleId="Heading2NotTOC">
    <w:name w:val="Heading 2 Not TOC"/>
    <w:basedOn w:val="Heading2"/>
    <w:next w:val="BodyText"/>
    <w:rsid w:val="00EC434D"/>
    <w:pPr>
      <w:outlineLvl w:val="9"/>
    </w:pPr>
  </w:style>
  <w:style w:type="paragraph" w:customStyle="1" w:styleId="SOC">
    <w:name w:val="SOC"/>
    <w:basedOn w:val="BodyText"/>
    <w:rsid w:val="00EC434D"/>
    <w:pPr>
      <w:spacing w:before="0" w:after="140" w:line="240" w:lineRule="auto"/>
    </w:pPr>
    <w:rPr>
      <w:rFonts w:ascii="Arial" w:hAnsi="Arial"/>
    </w:rPr>
  </w:style>
  <w:style w:type="character" w:customStyle="1" w:styleId="BoxChar">
    <w:name w:val="Box Char"/>
    <w:basedOn w:val="DefaultParagraphFont"/>
    <w:link w:val="Box"/>
    <w:rsid w:val="00726306"/>
    <w:rPr>
      <w:rFonts w:ascii="Arial" w:hAnsi="Arial"/>
    </w:rPr>
  </w:style>
  <w:style w:type="character" w:styleId="Hyperlink">
    <w:name w:val="Hyperlink"/>
    <w:basedOn w:val="DefaultParagraphFont"/>
    <w:uiPriority w:val="99"/>
    <w:rsid w:val="00726306"/>
    <w:rPr>
      <w:color w:val="0000FF"/>
      <w:u w:val="single"/>
    </w:rPr>
  </w:style>
  <w:style w:type="paragraph" w:styleId="CommentSubject">
    <w:name w:val="annotation subject"/>
    <w:basedOn w:val="CommentText"/>
    <w:next w:val="CommentText"/>
    <w:semiHidden/>
    <w:rsid w:val="004D1E71"/>
    <w:pPr>
      <w:spacing w:before="0" w:line="240" w:lineRule="auto"/>
      <w:ind w:left="0" w:firstLine="0"/>
    </w:pPr>
    <w:rPr>
      <w:b/>
      <w:bCs/>
      <w:szCs w:val="20"/>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0B26CF"/>
    <w:rPr>
      <w:sz w:val="24"/>
    </w:rPr>
  </w:style>
  <w:style w:type="character" w:customStyle="1" w:styleId="NoteChar">
    <w:name w:val="Note Char"/>
    <w:basedOn w:val="BodyTextChar"/>
    <w:link w:val="Note"/>
    <w:rsid w:val="00A10868"/>
    <w:rPr>
      <w:rFonts w:ascii="Arial" w:hAnsi="Arial"/>
      <w:sz w:val="18"/>
    </w:rPr>
  </w:style>
  <w:style w:type="character" w:customStyle="1" w:styleId="SourceChar">
    <w:name w:val="Source Char"/>
    <w:basedOn w:val="NoteChar"/>
    <w:link w:val="Source"/>
    <w:rsid w:val="00A10868"/>
    <w:rPr>
      <w:rFonts w:ascii="Arial" w:hAnsi="Arial"/>
      <w:sz w:val="18"/>
    </w:rPr>
  </w:style>
  <w:style w:type="character" w:customStyle="1" w:styleId="Heading3Char">
    <w:name w:val="Heading 3 Char"/>
    <w:basedOn w:val="DefaultParagraphFont"/>
    <w:link w:val="Heading3"/>
    <w:rsid w:val="002158C8"/>
    <w:rPr>
      <w:rFonts w:ascii="Arial" w:hAnsi="Arial"/>
      <w:b/>
      <w:sz w:val="26"/>
    </w:rPr>
  </w:style>
  <w:style w:type="paragraph" w:styleId="BodyText2">
    <w:name w:val="Body Text 2"/>
    <w:basedOn w:val="Normal"/>
    <w:rsid w:val="00B3791D"/>
    <w:pPr>
      <w:spacing w:after="120" w:line="480" w:lineRule="auto"/>
    </w:pPr>
  </w:style>
  <w:style w:type="character" w:customStyle="1" w:styleId="TableBodyTextChar">
    <w:name w:val="Table Body Text Char"/>
    <w:basedOn w:val="DefaultParagraphFont"/>
    <w:link w:val="TableBodyText"/>
    <w:rsid w:val="00ED5E68"/>
    <w:rPr>
      <w:rFonts w:ascii="Arial" w:hAnsi="Arial"/>
      <w:sz w:val="18"/>
    </w:rPr>
  </w:style>
  <w:style w:type="character" w:customStyle="1" w:styleId="TableColumnHeadingChar">
    <w:name w:val="Table Column Heading Char"/>
    <w:basedOn w:val="TableBodyTextChar"/>
    <w:link w:val="TableColumnHeading"/>
    <w:rsid w:val="00ED5E68"/>
    <w:rPr>
      <w:rFonts w:ascii="Arial" w:hAnsi="Arial"/>
      <w:i/>
      <w:sz w:val="18"/>
    </w:rPr>
  </w:style>
  <w:style w:type="character" w:customStyle="1" w:styleId="ListBulletChar">
    <w:name w:val="List Bullet Char"/>
    <w:aliases w:val="List Bullet Char1 Char,List Bullet Char Char Char,List Bullet Char1 Char Char Char"/>
    <w:basedOn w:val="BodyTextChar"/>
    <w:link w:val="ListBullet"/>
    <w:rsid w:val="0028359F"/>
    <w:rPr>
      <w:sz w:val="24"/>
    </w:rPr>
  </w:style>
  <w:style w:type="paragraph" w:styleId="TOC5">
    <w:name w:val="toc 5"/>
    <w:basedOn w:val="Normal"/>
    <w:next w:val="Normal"/>
    <w:autoRedefine/>
    <w:semiHidden/>
    <w:rsid w:val="00086D86"/>
    <w:pPr>
      <w:ind w:left="1040"/>
    </w:pPr>
    <w:rPr>
      <w:sz w:val="20"/>
      <w:szCs w:val="20"/>
    </w:rPr>
  </w:style>
  <w:style w:type="paragraph" w:styleId="TOC6">
    <w:name w:val="toc 6"/>
    <w:basedOn w:val="Normal"/>
    <w:next w:val="Normal"/>
    <w:autoRedefine/>
    <w:semiHidden/>
    <w:rsid w:val="00086D86"/>
    <w:pPr>
      <w:ind w:left="1300"/>
    </w:pPr>
    <w:rPr>
      <w:sz w:val="20"/>
      <w:szCs w:val="20"/>
    </w:rPr>
  </w:style>
  <w:style w:type="paragraph" w:styleId="TOC7">
    <w:name w:val="toc 7"/>
    <w:basedOn w:val="Normal"/>
    <w:next w:val="Normal"/>
    <w:autoRedefine/>
    <w:semiHidden/>
    <w:rsid w:val="00086D86"/>
    <w:pPr>
      <w:ind w:left="1560"/>
    </w:pPr>
    <w:rPr>
      <w:sz w:val="20"/>
      <w:szCs w:val="20"/>
    </w:rPr>
  </w:style>
  <w:style w:type="paragraph" w:styleId="TOC8">
    <w:name w:val="toc 8"/>
    <w:basedOn w:val="Normal"/>
    <w:next w:val="Normal"/>
    <w:autoRedefine/>
    <w:semiHidden/>
    <w:rsid w:val="00086D86"/>
    <w:pPr>
      <w:ind w:left="1820"/>
    </w:pPr>
    <w:rPr>
      <w:sz w:val="20"/>
      <w:szCs w:val="20"/>
    </w:rPr>
  </w:style>
  <w:style w:type="paragraph" w:styleId="TOC9">
    <w:name w:val="toc 9"/>
    <w:basedOn w:val="Normal"/>
    <w:next w:val="Normal"/>
    <w:autoRedefine/>
    <w:semiHidden/>
    <w:rsid w:val="00086D86"/>
    <w:pPr>
      <w:ind w:left="2080"/>
    </w:pPr>
    <w:rPr>
      <w:sz w:val="20"/>
      <w:szCs w:val="20"/>
    </w:rPr>
  </w:style>
  <w:style w:type="character" w:styleId="FollowedHyperlink">
    <w:name w:val="FollowedHyperlink"/>
    <w:basedOn w:val="DefaultParagraphFont"/>
    <w:rsid w:val="00015256"/>
    <w:rPr>
      <w:color w:val="800080"/>
      <w:u w:val="single"/>
    </w:rPr>
  </w:style>
  <w:style w:type="paragraph" w:styleId="Revision">
    <w:name w:val="Revision"/>
    <w:hidden/>
    <w:uiPriority w:val="99"/>
    <w:semiHidden/>
    <w:rsid w:val="00843A6C"/>
    <w:rPr>
      <w:rFonts w:asciiTheme="minorHAnsi" w:eastAsiaTheme="minorHAnsi" w:hAnsiTheme="minorHAnsi" w:cstheme="minorBidi"/>
      <w:sz w:val="22"/>
      <w:szCs w:val="22"/>
      <w:lang w:eastAsia="en-US"/>
    </w:rPr>
  </w:style>
  <w:style w:type="paragraph" w:customStyle="1" w:styleId="BoxSpaceAbove">
    <w:name w:val="Box Space Above"/>
    <w:basedOn w:val="BodyText"/>
    <w:rsid w:val="000B26CF"/>
    <w:pPr>
      <w:keepNext/>
      <w:spacing w:before="360" w:line="80" w:lineRule="exact"/>
      <w:jc w:val="left"/>
    </w:pPr>
  </w:style>
  <w:style w:type="paragraph" w:customStyle="1" w:styleId="RecBBullet2">
    <w:name w:val="RecB Bullet 2"/>
    <w:basedOn w:val="ListBullet2"/>
    <w:semiHidden/>
    <w:rsid w:val="000B26CF"/>
    <w:pPr>
      <w:pBdr>
        <w:left w:val="single" w:sz="24" w:space="29" w:color="C0C0C0"/>
      </w:pBdr>
    </w:pPr>
    <w:rPr>
      <w:b/>
      <w:i/>
    </w:rPr>
  </w:style>
  <w:style w:type="character" w:customStyle="1" w:styleId="BalloonTextChar">
    <w:name w:val="Balloon Text Char"/>
    <w:basedOn w:val="DefaultParagraphFont"/>
    <w:link w:val="BalloonText"/>
    <w:rsid w:val="000B26CF"/>
    <w:rPr>
      <w:rFonts w:ascii="Tahoma" w:hAnsi="Tahoma" w:cs="Tahoma"/>
      <w:sz w:val="16"/>
      <w:szCs w:val="16"/>
    </w:rPr>
  </w:style>
  <w:style w:type="character" w:customStyle="1" w:styleId="SubtitleChar">
    <w:name w:val="Subtitle Char"/>
    <w:basedOn w:val="DefaultParagraphFont"/>
    <w:link w:val="Subtitle"/>
    <w:rsid w:val="000B26CF"/>
    <w:rPr>
      <w:rFonts w:ascii="Arial" w:hAnsi="Arial"/>
      <w:szCs w:val="24"/>
    </w:rPr>
  </w:style>
  <w:style w:type="paragraph" w:customStyle="1" w:styleId="BoxListBullet3">
    <w:name w:val="Box List Bullet 3"/>
    <w:basedOn w:val="ListBullet3"/>
    <w:rsid w:val="000B26CF"/>
    <w:pPr>
      <w:numPr>
        <w:numId w:val="42"/>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B26CF"/>
    <w:rPr>
      <w:i/>
      <w:iCs/>
    </w:rPr>
  </w:style>
  <w:style w:type="paragraph" w:customStyle="1" w:styleId="BoxQuoteBullet">
    <w:name w:val="Box Quote Bullet"/>
    <w:basedOn w:val="BoxQuote"/>
    <w:next w:val="Box"/>
    <w:rsid w:val="000B26CF"/>
    <w:pPr>
      <w:numPr>
        <w:numId w:val="41"/>
      </w:numPr>
      <w:ind w:left="568" w:hanging="284"/>
    </w:pPr>
  </w:style>
  <w:style w:type="paragraph" w:customStyle="1" w:styleId="InformationRequestBullet">
    <w:name w:val="Information Request Bullet"/>
    <w:basedOn w:val="ListBullet"/>
    <w:next w:val="BodyText"/>
    <w:rsid w:val="000B26CF"/>
    <w:pPr>
      <w:numPr>
        <w:numId w:val="43"/>
      </w:numPr>
      <w:spacing w:before="80" w:line="280" w:lineRule="atLeast"/>
      <w:ind w:left="357" w:hanging="357"/>
    </w:pPr>
    <w:rPr>
      <w:rFonts w:ascii="Arial" w:hAnsi="Arial"/>
      <w:i/>
      <w:sz w:val="22"/>
    </w:rPr>
  </w:style>
  <w:style w:type="paragraph" w:customStyle="1" w:styleId="BoxSpaceBelow">
    <w:name w:val="Box Space Below"/>
    <w:basedOn w:val="Box"/>
    <w:rsid w:val="000B26CF"/>
    <w:pPr>
      <w:keepNext w:val="0"/>
      <w:spacing w:before="60" w:after="60" w:line="80" w:lineRule="exact"/>
    </w:pPr>
    <w:rPr>
      <w:sz w:val="14"/>
    </w:rPr>
  </w:style>
  <w:style w:type="paragraph" w:customStyle="1" w:styleId="KeyPointsListBullet">
    <w:name w:val="Key Points List Bullet"/>
    <w:basedOn w:val="Normal"/>
    <w:qFormat/>
    <w:rsid w:val="000B26CF"/>
    <w:pPr>
      <w:keepNext/>
      <w:numPr>
        <w:numId w:val="4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B26CF"/>
    <w:pPr>
      <w:numPr>
        <w:numId w:val="46"/>
      </w:numPr>
      <w:ind w:left="568" w:hanging="284"/>
    </w:pPr>
  </w:style>
  <w:style w:type="paragraph" w:customStyle="1" w:styleId="InformationRequestTitle">
    <w:name w:val="Information Request Title"/>
    <w:basedOn w:val="FindingTitle"/>
    <w:next w:val="InformationRequest"/>
    <w:rsid w:val="000B26CF"/>
    <w:rPr>
      <w:i/>
    </w:rPr>
  </w:style>
  <w:style w:type="paragraph" w:customStyle="1" w:styleId="Space">
    <w:name w:val="Space"/>
    <w:basedOn w:val="Normal"/>
    <w:rsid w:val="000B26CF"/>
    <w:pPr>
      <w:keepNext/>
      <w:spacing w:line="120" w:lineRule="exact"/>
      <w:jc w:val="both"/>
    </w:pPr>
    <w:rPr>
      <w:rFonts w:ascii="Arial" w:hAnsi="Arial"/>
      <w:sz w:val="20"/>
      <w:szCs w:val="20"/>
    </w:rPr>
  </w:style>
  <w:style w:type="paragraph" w:customStyle="1" w:styleId="Heading1nochapterno">
    <w:name w:val="Heading 1 (no chapter no.)"/>
    <w:basedOn w:val="Heading1"/>
    <w:rsid w:val="000B26CF"/>
    <w:pPr>
      <w:spacing w:before="0"/>
      <w:ind w:left="0" w:firstLine="0"/>
    </w:pPr>
  </w:style>
  <w:style w:type="paragraph" w:customStyle="1" w:styleId="Heading2nosectionno">
    <w:name w:val="Heading 2 (no section no.)"/>
    <w:basedOn w:val="Heading2"/>
    <w:rsid w:val="000B26CF"/>
    <w:pPr>
      <w:ind w:left="0" w:firstLine="0"/>
    </w:pPr>
  </w:style>
  <w:style w:type="character" w:customStyle="1" w:styleId="Heading5Char">
    <w:name w:val="Heading 5 Char"/>
    <w:basedOn w:val="DefaultParagraphFont"/>
    <w:link w:val="Heading5"/>
    <w:rsid w:val="000B26CF"/>
    <w:rPr>
      <w:rFonts w:ascii="Arial" w:hAnsi="Arial"/>
      <w:i/>
      <w:sz w:val="22"/>
    </w:rPr>
  </w:style>
  <w:style w:type="paragraph" w:customStyle="1" w:styleId="Figurespace">
    <w:name w:val="Figure space"/>
    <w:basedOn w:val="Box"/>
    <w:rsid w:val="000B26CF"/>
    <w:pPr>
      <w:spacing w:before="0" w:line="120" w:lineRule="exact"/>
    </w:pPr>
  </w:style>
  <w:style w:type="paragraph" w:customStyle="1" w:styleId="FooterDraftReport">
    <w:name w:val="FooterDraftReport"/>
    <w:basedOn w:val="Footer"/>
    <w:link w:val="FooterDraftReportChar"/>
    <w:rsid w:val="000B26C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0B26CF"/>
    <w:rPr>
      <w:rFonts w:ascii="Arial" w:hAnsi="Arial"/>
      <w:caps/>
      <w:spacing w:val="-4"/>
      <w:sz w:val="16"/>
    </w:rPr>
  </w:style>
  <w:style w:type="character" w:customStyle="1" w:styleId="FooterDraftReportChar">
    <w:name w:val="FooterDraftReport Char"/>
    <w:basedOn w:val="FooterChar"/>
    <w:link w:val="FooterDraftReport"/>
    <w:rsid w:val="000B26C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B26CF"/>
    <w:rPr>
      <w:rFonts w:ascii="Arial" w:hAnsi="Arial"/>
      <w:b/>
      <w:sz w:val="26"/>
      <w:szCs w:val="26"/>
      <w:lang w:eastAsia="en-US"/>
    </w:rPr>
  </w:style>
  <w:style w:type="character" w:customStyle="1" w:styleId="Continuedintitle">
    <w:name w:val="Continued (in title)"/>
    <w:basedOn w:val="DefaultParagraphFont"/>
    <w:rsid w:val="005D444D"/>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5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C886B-FB97-44F7-8A32-6FC5C763E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38</TotalTime>
  <Pages>19</Pages>
  <Words>4475</Words>
  <Characters>25340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Sector Overview C Justice - Report on Government Services 2017</vt:lpstr>
    </vt:vector>
  </TitlesOfParts>
  <Company>Productivity Commission</Company>
  <LinksUpToDate>false</LinksUpToDate>
  <CharactersWithSpaces>29756</CharactersWithSpaces>
  <SharedDoc>false</SharedDoc>
  <HLinks>
    <vt:vector size="42" baseType="variant">
      <vt:variant>
        <vt:i4>5636127</vt:i4>
      </vt:variant>
      <vt:variant>
        <vt:i4>39</vt:i4>
      </vt:variant>
      <vt:variant>
        <vt:i4>0</vt:i4>
      </vt:variant>
      <vt:variant>
        <vt:i4>5</vt:i4>
      </vt:variant>
      <vt:variant>
        <vt:lpwstr>http://www.pc.gov.au/gsp</vt:lpwstr>
      </vt:variant>
      <vt:variant>
        <vt:lpwstr/>
      </vt:variant>
      <vt:variant>
        <vt:i4>1835059</vt:i4>
      </vt:variant>
      <vt:variant>
        <vt:i4>32</vt:i4>
      </vt:variant>
      <vt:variant>
        <vt:i4>0</vt:i4>
      </vt:variant>
      <vt:variant>
        <vt:i4>5</vt:i4>
      </vt:variant>
      <vt:variant>
        <vt:lpwstr/>
      </vt:variant>
      <vt:variant>
        <vt:lpwstr>_Toc306118727</vt:lpwstr>
      </vt:variant>
      <vt:variant>
        <vt:i4>1835059</vt:i4>
      </vt:variant>
      <vt:variant>
        <vt:i4>26</vt:i4>
      </vt:variant>
      <vt:variant>
        <vt:i4>0</vt:i4>
      </vt:variant>
      <vt:variant>
        <vt:i4>5</vt:i4>
      </vt:variant>
      <vt:variant>
        <vt:lpwstr/>
      </vt:variant>
      <vt:variant>
        <vt:lpwstr>_Toc306118726</vt:lpwstr>
      </vt:variant>
      <vt:variant>
        <vt:i4>1835059</vt:i4>
      </vt:variant>
      <vt:variant>
        <vt:i4>20</vt:i4>
      </vt:variant>
      <vt:variant>
        <vt:i4>0</vt:i4>
      </vt:variant>
      <vt:variant>
        <vt:i4>5</vt:i4>
      </vt:variant>
      <vt:variant>
        <vt:lpwstr/>
      </vt:variant>
      <vt:variant>
        <vt:lpwstr>_Toc306118725</vt:lpwstr>
      </vt:variant>
      <vt:variant>
        <vt:i4>1835059</vt:i4>
      </vt:variant>
      <vt:variant>
        <vt:i4>14</vt:i4>
      </vt:variant>
      <vt:variant>
        <vt:i4>0</vt:i4>
      </vt:variant>
      <vt:variant>
        <vt:i4>5</vt:i4>
      </vt:variant>
      <vt:variant>
        <vt:lpwstr/>
      </vt:variant>
      <vt:variant>
        <vt:lpwstr>_Toc306118724</vt:lpwstr>
      </vt:variant>
      <vt:variant>
        <vt:i4>1835059</vt:i4>
      </vt:variant>
      <vt:variant>
        <vt:i4>8</vt:i4>
      </vt:variant>
      <vt:variant>
        <vt:i4>0</vt:i4>
      </vt:variant>
      <vt:variant>
        <vt:i4>5</vt:i4>
      </vt:variant>
      <vt:variant>
        <vt:lpwstr/>
      </vt:variant>
      <vt:variant>
        <vt:lpwstr>_Toc306118723</vt:lpwstr>
      </vt:variant>
      <vt:variant>
        <vt:i4>1835059</vt:i4>
      </vt:variant>
      <vt:variant>
        <vt:i4>2</vt:i4>
      </vt:variant>
      <vt:variant>
        <vt:i4>0</vt:i4>
      </vt:variant>
      <vt:variant>
        <vt:i4>5</vt:i4>
      </vt:variant>
      <vt:variant>
        <vt:lpwstr/>
      </vt:variant>
      <vt:variant>
        <vt:lpwstr>_Toc306118722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Sector Overview C Justice - Report on Government Services 2017</dc:title>
  <dc:subject/>
  <dc:creator>Steering Committee for the Review of Government Service Provision</dc:creator>
  <cp:lastModifiedBy>Frech, Tanya</cp:lastModifiedBy>
  <cp:revision>20</cp:revision>
  <cp:lastPrinted>2016-12-15T00:48:00Z</cp:lastPrinted>
  <dcterms:created xsi:type="dcterms:W3CDTF">2016-11-28T02:58:00Z</dcterms:created>
  <dcterms:modified xsi:type="dcterms:W3CDTF">2017-01-05T22:53:00Z</dcterms:modified>
</cp:coreProperties>
</file>