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theme/themeOverride12.xml" ContentType="application/vnd.openxmlformats-officedocument.themeOverride+xml"/>
  <Override PartName="/word/charts/chart13.xml" ContentType="application/vnd.openxmlformats-officedocument.drawingml.chart+xml"/>
  <Override PartName="/word/theme/themeOverride13.xml" ContentType="application/vnd.openxmlformats-officedocument.themeOverride+xml"/>
  <Override PartName="/word/charts/chart14.xml" ContentType="application/vnd.openxmlformats-officedocument.drawingml.chart+xml"/>
  <Override PartName="/word/theme/themeOverride14.xml" ContentType="application/vnd.openxmlformats-officedocument.themeOverride+xml"/>
  <Override PartName="/word/charts/chart15.xml" ContentType="application/vnd.openxmlformats-officedocument.drawingml.chart+xml"/>
  <Override PartName="/word/theme/themeOverride15.xml" ContentType="application/vnd.openxmlformats-officedocument.themeOverride+xml"/>
  <Override PartName="/word/charts/chart16.xml" ContentType="application/vnd.openxmlformats-officedocument.drawingml.chart+xml"/>
  <Override PartName="/word/theme/themeOverride16.xml" ContentType="application/vnd.openxmlformats-officedocument.themeOverride+xml"/>
  <Override PartName="/word/charts/chart17.xml" ContentType="application/vnd.openxmlformats-officedocument.drawingml.chart+xml"/>
  <Override PartName="/word/theme/themeOverride17.xml" ContentType="application/vnd.openxmlformats-officedocument.themeOverride+xml"/>
  <Override PartName="/word/charts/chart18.xml" ContentType="application/vnd.openxmlformats-officedocument.drawingml.chart+xml"/>
  <Override PartName="/word/theme/themeOverride18.xml" ContentType="application/vnd.openxmlformats-officedocument.themeOverride+xml"/>
  <Override PartName="/word/charts/chart19.xml" ContentType="application/vnd.openxmlformats-officedocument.drawingml.chart+xml"/>
  <Override PartName="/word/theme/themeOverride19.xml" ContentType="application/vnd.openxmlformats-officedocument.themeOverride+xml"/>
  <Override PartName="/word/charts/chart20.xml" ContentType="application/vnd.openxmlformats-officedocument.drawingml.chart+xml"/>
  <Override PartName="/word/theme/themeOverride20.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AD9F38" w14:textId="77777777" w:rsidR="000012F8" w:rsidRPr="00265FC2" w:rsidRDefault="00415191" w:rsidP="000012F8">
      <w:pPr>
        <w:pStyle w:val="Heading1"/>
      </w:pPr>
      <w:bookmarkStart w:id="0" w:name="ChapterNumber"/>
      <w:bookmarkStart w:id="1" w:name="_Toc459116562"/>
      <w:bookmarkStart w:id="2" w:name="_Toc459637952"/>
      <w:bookmarkStart w:id="3" w:name="_Toc459735963"/>
      <w:bookmarkStart w:id="4" w:name="_GoBack"/>
      <w:bookmarkEnd w:id="4"/>
      <w:r w:rsidRPr="00265FC2">
        <w:t>E</w:t>
      </w:r>
      <w:bookmarkEnd w:id="0"/>
      <w:r w:rsidRPr="00265FC2">
        <w:tab/>
      </w:r>
      <w:bookmarkStart w:id="5" w:name="_Appendix"/>
      <w:bookmarkStart w:id="6" w:name="ChapterTitle"/>
      <w:bookmarkEnd w:id="5"/>
      <w:r w:rsidRPr="00265FC2">
        <w:t>Health sector overview</w:t>
      </w:r>
      <w:bookmarkEnd w:id="6"/>
      <w:bookmarkEnd w:id="1"/>
      <w:bookmarkEnd w:id="2"/>
      <w:bookmarkEnd w:id="3"/>
    </w:p>
    <w:bookmarkStart w:id="7" w:name="begin" w:displacedByCustomXml="next"/>
    <w:bookmarkEnd w:id="7" w:displacedByCustomXml="next"/>
    <w:sdt>
      <w:sdtPr>
        <w:rPr>
          <w:rFonts w:ascii="Arial" w:hAnsi="Arial"/>
          <w:kern w:val="28"/>
          <w:sz w:val="52"/>
          <w:szCs w:val="26"/>
          <w:lang w:eastAsia="en-US"/>
        </w:rPr>
        <w:id w:val="26771068"/>
        <w:docPartObj>
          <w:docPartGallery w:val="Table of Contents"/>
          <w:docPartUnique/>
        </w:docPartObj>
      </w:sdtPr>
      <w:sdtEndPr>
        <w:rPr>
          <w:noProof/>
          <w:kern w:val="0"/>
          <w:sz w:val="26"/>
        </w:rPr>
      </w:sdtEndPr>
      <w:sdtContent>
        <w:p w14:paraId="71C220BA" w14:textId="77777777" w:rsidR="000C22EE" w:rsidRPr="00265FC2" w:rsidRDefault="000C22EE" w:rsidP="000770DD">
          <w:pPr>
            <w:tabs>
              <w:tab w:val="right" w:pos="8789"/>
            </w:tabs>
            <w:spacing w:before="120" w:line="320" w:lineRule="exact"/>
            <w:ind w:left="510" w:right="851" w:hanging="510"/>
            <w:rPr>
              <w:rStyle w:val="Heading4Char"/>
            </w:rPr>
          </w:pPr>
          <w:r w:rsidRPr="00265FC2">
            <w:rPr>
              <w:rStyle w:val="Heading4Char"/>
            </w:rPr>
            <w:t>CONTENTS</w:t>
          </w:r>
        </w:p>
        <w:p w14:paraId="3F6E634D" w14:textId="1AEE41A8" w:rsidR="00700B0F" w:rsidRPr="00265FC2" w:rsidRDefault="00700B0F">
          <w:pPr>
            <w:pStyle w:val="TOC2"/>
            <w:tabs>
              <w:tab w:val="left" w:pos="1134"/>
            </w:tabs>
            <w:rPr>
              <w:noProof/>
            </w:rPr>
          </w:pPr>
          <w:r w:rsidRPr="00265FC2">
            <w:rPr>
              <w:noProof/>
            </w:rPr>
            <w:t>E.1</w:t>
          </w:r>
          <w:r w:rsidRPr="00265FC2">
            <w:rPr>
              <w:noProof/>
            </w:rPr>
            <w:tab/>
            <w:t>Introduction</w:t>
          </w:r>
          <w:r w:rsidRPr="00265FC2">
            <w:rPr>
              <w:noProof/>
            </w:rPr>
            <w:tab/>
          </w:r>
          <w:r w:rsidR="00415718" w:rsidRPr="00265FC2">
            <w:rPr>
              <w:noProof/>
            </w:rPr>
            <w:t>E.</w:t>
          </w:r>
          <w:r w:rsidR="00FD3B62">
            <w:rPr>
              <w:noProof/>
            </w:rPr>
            <w:t>1</w:t>
          </w:r>
        </w:p>
        <w:p w14:paraId="08E451D3" w14:textId="2B238D25" w:rsidR="00700B0F" w:rsidRPr="00265FC2" w:rsidRDefault="00700B0F">
          <w:pPr>
            <w:pStyle w:val="TOC2"/>
            <w:tabs>
              <w:tab w:val="left" w:pos="1134"/>
            </w:tabs>
            <w:rPr>
              <w:noProof/>
            </w:rPr>
          </w:pPr>
          <w:r w:rsidRPr="00265FC2">
            <w:rPr>
              <w:noProof/>
            </w:rPr>
            <w:t>E.2</w:t>
          </w:r>
          <w:r w:rsidRPr="00265FC2">
            <w:rPr>
              <w:noProof/>
            </w:rPr>
            <w:tab/>
            <w:t>Sector performance indicator framework</w:t>
          </w:r>
          <w:r w:rsidRPr="00265FC2">
            <w:rPr>
              <w:noProof/>
            </w:rPr>
            <w:tab/>
          </w:r>
          <w:r w:rsidR="00415718" w:rsidRPr="00265FC2">
            <w:rPr>
              <w:noProof/>
            </w:rPr>
            <w:t>E.</w:t>
          </w:r>
          <w:r w:rsidR="00FD3B62">
            <w:rPr>
              <w:noProof/>
            </w:rPr>
            <w:t>6</w:t>
          </w:r>
        </w:p>
        <w:p w14:paraId="3A23BEC1" w14:textId="1A6DCFCC" w:rsidR="00700B0F" w:rsidRPr="00265FC2" w:rsidRDefault="00700B0F">
          <w:pPr>
            <w:pStyle w:val="TOC2"/>
            <w:tabs>
              <w:tab w:val="left" w:pos="1134"/>
            </w:tabs>
            <w:rPr>
              <w:noProof/>
            </w:rPr>
          </w:pPr>
          <w:r w:rsidRPr="00265FC2">
            <w:rPr>
              <w:noProof/>
            </w:rPr>
            <w:t>E.3</w:t>
          </w:r>
          <w:r w:rsidRPr="00265FC2">
            <w:rPr>
              <w:noProof/>
            </w:rPr>
            <w:tab/>
            <w:t>Cross cutting and interface issues</w:t>
          </w:r>
          <w:r w:rsidRPr="00265FC2">
            <w:rPr>
              <w:noProof/>
            </w:rPr>
            <w:tab/>
          </w:r>
          <w:r w:rsidR="00415718" w:rsidRPr="00265FC2">
            <w:rPr>
              <w:noProof/>
            </w:rPr>
            <w:t>E.</w:t>
          </w:r>
          <w:r w:rsidR="00FD3B62">
            <w:rPr>
              <w:noProof/>
            </w:rPr>
            <w:t>25</w:t>
          </w:r>
        </w:p>
        <w:p w14:paraId="0859C74F" w14:textId="687E47DF" w:rsidR="00700B0F" w:rsidRPr="00265FC2" w:rsidRDefault="00700B0F">
          <w:pPr>
            <w:pStyle w:val="TOC2"/>
            <w:tabs>
              <w:tab w:val="left" w:pos="1134"/>
            </w:tabs>
            <w:rPr>
              <w:noProof/>
            </w:rPr>
          </w:pPr>
          <w:r w:rsidRPr="00265FC2">
            <w:rPr>
              <w:noProof/>
            </w:rPr>
            <w:t>E.4</w:t>
          </w:r>
          <w:r w:rsidRPr="00265FC2">
            <w:rPr>
              <w:noProof/>
            </w:rPr>
            <w:tab/>
            <w:t>Definitions of key terms</w:t>
          </w:r>
          <w:r w:rsidRPr="00265FC2">
            <w:rPr>
              <w:noProof/>
            </w:rPr>
            <w:tab/>
          </w:r>
          <w:r w:rsidR="00415718" w:rsidRPr="00265FC2">
            <w:rPr>
              <w:noProof/>
            </w:rPr>
            <w:t>E.</w:t>
          </w:r>
          <w:r w:rsidR="00FD3B62">
            <w:rPr>
              <w:noProof/>
            </w:rPr>
            <w:t>25</w:t>
          </w:r>
        </w:p>
        <w:p w14:paraId="773FE954" w14:textId="325C5323" w:rsidR="00E05121" w:rsidRPr="00265FC2" w:rsidRDefault="00700B0F" w:rsidP="000770DD">
          <w:pPr>
            <w:pStyle w:val="TOC2"/>
            <w:tabs>
              <w:tab w:val="left" w:pos="1134"/>
            </w:tabs>
            <w:rPr>
              <w:noProof/>
            </w:rPr>
          </w:pPr>
          <w:r w:rsidRPr="00265FC2">
            <w:rPr>
              <w:noProof/>
            </w:rPr>
            <w:t>E.5</w:t>
          </w:r>
          <w:r w:rsidRPr="00265FC2">
            <w:rPr>
              <w:noProof/>
            </w:rPr>
            <w:tab/>
            <w:t>References</w:t>
          </w:r>
          <w:r w:rsidRPr="00265FC2">
            <w:rPr>
              <w:noProof/>
            </w:rPr>
            <w:tab/>
          </w:r>
          <w:r w:rsidR="00415718" w:rsidRPr="00265FC2">
            <w:rPr>
              <w:noProof/>
            </w:rPr>
            <w:t>E.</w:t>
          </w:r>
          <w:r w:rsidR="00FD3B62">
            <w:rPr>
              <w:noProof/>
            </w:rPr>
            <w:t>26</w:t>
          </w:r>
        </w:p>
      </w:sdtContent>
    </w:sdt>
    <w:p w14:paraId="69E72E3B" w14:textId="6E4C64D8" w:rsidR="00884BCF" w:rsidRPr="00265FC2" w:rsidRDefault="00884BCF" w:rsidP="006147EA">
      <w:pPr>
        <w:pStyle w:val="BodyText"/>
      </w:pPr>
      <w:bookmarkStart w:id="8" w:name="_Toc313526078"/>
      <w:bookmarkStart w:id="9" w:name="_Toc338147185"/>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84BCF" w:rsidRPr="00265FC2" w14:paraId="5041B3E5" w14:textId="77777777" w:rsidTr="00E0149C">
        <w:tc>
          <w:tcPr>
            <w:tcW w:w="8771" w:type="dxa"/>
            <w:tcBorders>
              <w:top w:val="single" w:sz="6" w:space="0" w:color="78A22F"/>
              <w:left w:val="nil"/>
              <w:bottom w:val="nil"/>
              <w:right w:val="nil"/>
            </w:tcBorders>
            <w:shd w:val="clear" w:color="auto" w:fill="F2F2F2"/>
          </w:tcPr>
          <w:p w14:paraId="64E56ADE" w14:textId="79316D30" w:rsidR="00884BCF" w:rsidRPr="00265FC2" w:rsidRDefault="00884BCF" w:rsidP="00E0149C">
            <w:pPr>
              <w:pStyle w:val="BoxTitle"/>
            </w:pPr>
            <w:r w:rsidRPr="00265FC2">
              <w:t>Attachment tables</w:t>
            </w:r>
          </w:p>
        </w:tc>
      </w:tr>
      <w:tr w:rsidR="00884BCF" w:rsidRPr="00265FC2" w14:paraId="0C57F9B4" w14:textId="77777777" w:rsidTr="00E0149C">
        <w:trPr>
          <w:cantSplit/>
        </w:trPr>
        <w:tc>
          <w:tcPr>
            <w:tcW w:w="8771" w:type="dxa"/>
            <w:tcBorders>
              <w:top w:val="nil"/>
              <w:left w:val="nil"/>
              <w:bottom w:val="nil"/>
              <w:right w:val="nil"/>
            </w:tcBorders>
            <w:shd w:val="clear" w:color="auto" w:fill="F2F2F2"/>
          </w:tcPr>
          <w:p w14:paraId="039F2B97" w14:textId="77777777" w:rsidR="00884BCF" w:rsidRPr="00265FC2" w:rsidRDefault="00960E38" w:rsidP="00960E38">
            <w:pPr>
              <w:pStyle w:val="Box"/>
            </w:pPr>
            <w:r w:rsidRPr="00265FC2">
              <w:t>Attachment tables are identified in references throughout this sector overview by a ‘EA’ prefix (for example, table EA.1) and are available from the website www.pc.gov.au/rogs/2017.</w:t>
            </w:r>
          </w:p>
        </w:tc>
      </w:tr>
      <w:tr w:rsidR="00884BCF" w:rsidRPr="00265FC2" w14:paraId="48548451" w14:textId="77777777" w:rsidTr="00E0149C">
        <w:trPr>
          <w:cantSplit/>
        </w:trPr>
        <w:tc>
          <w:tcPr>
            <w:tcW w:w="8771" w:type="dxa"/>
            <w:tcBorders>
              <w:top w:val="nil"/>
              <w:left w:val="nil"/>
              <w:bottom w:val="single" w:sz="6" w:space="0" w:color="78A22F"/>
              <w:right w:val="nil"/>
            </w:tcBorders>
            <w:shd w:val="clear" w:color="auto" w:fill="F2F2F2"/>
          </w:tcPr>
          <w:p w14:paraId="26132A8F" w14:textId="77777777" w:rsidR="00884BCF" w:rsidRPr="00265FC2" w:rsidRDefault="00884BCF" w:rsidP="00E0149C">
            <w:pPr>
              <w:pStyle w:val="Box"/>
              <w:spacing w:before="0" w:line="120" w:lineRule="exact"/>
            </w:pPr>
          </w:p>
        </w:tc>
      </w:tr>
      <w:tr w:rsidR="00884BCF" w:rsidRPr="00265FC2" w14:paraId="5790AC75" w14:textId="77777777" w:rsidTr="00E0149C">
        <w:tc>
          <w:tcPr>
            <w:tcW w:w="8771" w:type="dxa"/>
            <w:tcBorders>
              <w:top w:val="single" w:sz="6" w:space="0" w:color="78A22F"/>
              <w:left w:val="nil"/>
              <w:bottom w:val="nil"/>
              <w:right w:val="nil"/>
            </w:tcBorders>
          </w:tcPr>
          <w:p w14:paraId="6D65057E" w14:textId="03C5A171" w:rsidR="00884BCF" w:rsidRPr="00265FC2" w:rsidRDefault="00884BCF" w:rsidP="00E0149C">
            <w:pPr>
              <w:pStyle w:val="BoxSpaceBelow"/>
            </w:pPr>
          </w:p>
        </w:tc>
      </w:tr>
    </w:tbl>
    <w:p w14:paraId="6434DDBE" w14:textId="77777777" w:rsidR="00252A63" w:rsidRPr="00265FC2" w:rsidRDefault="00252A63" w:rsidP="002F572F">
      <w:pPr>
        <w:pStyle w:val="Heading2"/>
      </w:pPr>
      <w:bookmarkStart w:id="10" w:name="_Toc459735964"/>
      <w:r w:rsidRPr="00265FC2">
        <w:t>E.</w:t>
      </w:r>
      <w:r w:rsidRPr="00265FC2">
        <w:rPr>
          <w:noProof/>
        </w:rPr>
        <w:t>1</w:t>
      </w:r>
      <w:r w:rsidRPr="00265FC2">
        <w:tab/>
        <w:t>Introduction</w:t>
      </w:r>
      <w:bookmarkEnd w:id="8"/>
      <w:bookmarkEnd w:id="9"/>
      <w:bookmarkEnd w:id="10"/>
    </w:p>
    <w:p w14:paraId="5B2BA8AD" w14:textId="77777777" w:rsidR="00252A63" w:rsidRPr="00265FC2" w:rsidRDefault="00252A63" w:rsidP="002F572F">
      <w:pPr>
        <w:pStyle w:val="BodyText"/>
      </w:pPr>
      <w:r w:rsidRPr="00265FC2">
        <w:t>Health services are concerned with promoting, restoring and maintaining a healthy society. They involve illness prevention, health promotion, the detection and treatment of illness and injury, and the rehabilitation and palliative care of individuals who experience illness and injury. The health system also includes a range of activities that raise awareness of health issues, thereby reducing the risk and onset of illness and injury.</w:t>
      </w:r>
    </w:p>
    <w:p w14:paraId="48DCC1D7" w14:textId="00BF30C6" w:rsidR="00252A63" w:rsidRPr="00265FC2" w:rsidRDefault="00252A63" w:rsidP="00F605C7">
      <w:pPr>
        <w:pStyle w:val="BodyText"/>
      </w:pPr>
      <w:r w:rsidRPr="00265FC2">
        <w:t>Health services in Australia are delivered by a variety of government and non</w:t>
      </w:r>
      <w:r w:rsidRPr="00265FC2">
        <w:noBreakHyphen/>
        <w:t>government providers in a range of service settings. This Report primarily concentrates on the performance of primary and com</w:t>
      </w:r>
      <w:r w:rsidR="001A3DF2" w:rsidRPr="00265FC2">
        <w:t>munity health services (chapter </w:t>
      </w:r>
      <w:r w:rsidRPr="00265FC2">
        <w:t xml:space="preserve">10), </w:t>
      </w:r>
      <w:r w:rsidR="00B40370" w:rsidRPr="00265FC2">
        <w:t xml:space="preserve">ambulance </w:t>
      </w:r>
      <w:r w:rsidR="00B40370" w:rsidRPr="00265FC2">
        <w:br/>
        <w:t>(chapter</w:t>
      </w:r>
      <w:r w:rsidR="001A3DF2" w:rsidRPr="00265FC2">
        <w:t> 11), public hospitals (chapter </w:t>
      </w:r>
      <w:r w:rsidR="00B40370" w:rsidRPr="00265FC2">
        <w:t>12</w:t>
      </w:r>
      <w:r w:rsidRPr="00265FC2">
        <w:t>) and mental health management (chapter 1</w:t>
      </w:r>
      <w:r w:rsidR="00B40370" w:rsidRPr="00265FC2">
        <w:t>3</w:t>
      </w:r>
      <w:r w:rsidRPr="00265FC2">
        <w:t>).</w:t>
      </w:r>
      <w:r w:rsidR="00626F72" w:rsidRPr="00265FC2">
        <w:t xml:space="preserve"> Other major </w:t>
      </w:r>
      <w:r w:rsidRPr="00265FC2">
        <w:t>areas of government involvement in health provision not covered in the health chapters, or elsewhere in the Report, include</w:t>
      </w:r>
      <w:r w:rsidR="00626F72" w:rsidRPr="00265FC2">
        <w:t xml:space="preserve"> </w:t>
      </w:r>
      <w:r w:rsidR="00B40370" w:rsidRPr="00265FC2">
        <w:t xml:space="preserve">public health programs, </w:t>
      </w:r>
      <w:r w:rsidRPr="00265FC2">
        <w:t>other than those for mental health</w:t>
      </w:r>
      <w:r w:rsidR="00626F72" w:rsidRPr="00265FC2">
        <w:t xml:space="preserve">, and </w:t>
      </w:r>
      <w:r w:rsidRPr="00265FC2">
        <w:t>funding for specialist medical practitioners other than general practitioners (GPs).</w:t>
      </w:r>
    </w:p>
    <w:p w14:paraId="58053CE1" w14:textId="77777777" w:rsidR="00252A63" w:rsidRPr="00265FC2" w:rsidRDefault="00252A63" w:rsidP="002F572F">
      <w:pPr>
        <w:pStyle w:val="Heading3"/>
      </w:pPr>
      <w:r w:rsidRPr="00265FC2">
        <w:lastRenderedPageBreak/>
        <w:t>Profile of health sector</w:t>
      </w:r>
    </w:p>
    <w:p w14:paraId="5BFD7388" w14:textId="7EC92F07" w:rsidR="00BC687B" w:rsidRPr="000A5DF6" w:rsidRDefault="00626F72" w:rsidP="002F572F">
      <w:pPr>
        <w:pStyle w:val="Heading4"/>
      </w:pPr>
      <w:r w:rsidRPr="000A5DF6">
        <w:t>Expenditure</w:t>
      </w:r>
    </w:p>
    <w:p w14:paraId="09DC7C0B" w14:textId="0E63A5A7" w:rsidR="00252A63" w:rsidRPr="000A5DF6" w:rsidRDefault="00252A63" w:rsidP="002F572F">
      <w:pPr>
        <w:pStyle w:val="BodyText"/>
      </w:pPr>
      <w:r w:rsidRPr="000A5DF6">
        <w:t>Total recurrent and capital expenditure on health care services in Austr</w:t>
      </w:r>
      <w:r w:rsidR="00033653" w:rsidRPr="000A5DF6">
        <w:t>alia was estimated to be $161</w:t>
      </w:r>
      <w:r w:rsidR="001C2A48" w:rsidRPr="000A5DF6">
        <w:t xml:space="preserve">.6 </w:t>
      </w:r>
      <w:r w:rsidR="00033653" w:rsidRPr="000A5DF6">
        <w:t>billion in 2014</w:t>
      </w:r>
      <w:r w:rsidR="00033653" w:rsidRPr="000A5DF6">
        <w:noBreakHyphen/>
        <w:t>15</w:t>
      </w:r>
      <w:r w:rsidRPr="000A5DF6">
        <w:t xml:space="preserve"> (figure E.1)</w:t>
      </w:r>
      <w:r w:rsidR="00626F72" w:rsidRPr="000A5DF6">
        <w:t xml:space="preserve">, equating to around </w:t>
      </w:r>
      <w:r w:rsidR="00760929" w:rsidRPr="000A5DF6">
        <w:t>10.0</w:t>
      </w:r>
      <w:r w:rsidR="001C2A48" w:rsidRPr="000A5DF6">
        <w:t xml:space="preserve"> per </w:t>
      </w:r>
      <w:r w:rsidRPr="000A5DF6">
        <w:t>cent of gross domestic product (GDP)</w:t>
      </w:r>
      <w:r w:rsidR="00760929" w:rsidRPr="000A5DF6">
        <w:t xml:space="preserve"> in 2014</w:t>
      </w:r>
      <w:r w:rsidR="00760929" w:rsidRPr="000A5DF6">
        <w:noBreakHyphen/>
        <w:t>15</w:t>
      </w:r>
      <w:r w:rsidR="008062CB" w:rsidRPr="000A5DF6">
        <w:t xml:space="preserve"> (</w:t>
      </w:r>
      <w:r w:rsidR="001C2A48" w:rsidRPr="000A5DF6">
        <w:t xml:space="preserve">an increase </w:t>
      </w:r>
      <w:r w:rsidR="00760929" w:rsidRPr="000A5DF6">
        <w:t>from the 8.7 per cent of GDP in 2005</w:t>
      </w:r>
      <w:r w:rsidR="00760929" w:rsidRPr="000A5DF6">
        <w:noBreakHyphen/>
        <w:t>06</w:t>
      </w:r>
      <w:r w:rsidR="002F253E">
        <w:t>)</w:t>
      </w:r>
      <w:r w:rsidR="001C2A48" w:rsidRPr="000A5DF6">
        <w:t xml:space="preserve"> (AIHW </w:t>
      </w:r>
      <w:r w:rsidRPr="000A5DF6">
        <w:t>201</w:t>
      </w:r>
      <w:r w:rsidR="009505E0" w:rsidRPr="000A5DF6">
        <w:t>6</w:t>
      </w:r>
      <w:r w:rsidRPr="000A5DF6">
        <w:t xml:space="preserve">a). </w:t>
      </w:r>
      <w:r w:rsidR="009505E0" w:rsidRPr="000A5DF6">
        <w:t>Between 2005</w:t>
      </w:r>
      <w:r w:rsidR="009505E0" w:rsidRPr="000A5DF6">
        <w:noBreakHyphen/>
        <w:t>06 and 2014</w:t>
      </w:r>
      <w:r w:rsidRPr="000A5DF6">
        <w:noBreakHyphen/>
      </w:r>
      <w:r w:rsidR="009505E0" w:rsidRPr="000A5DF6">
        <w:t>15</w:t>
      </w:r>
      <w:r w:rsidRPr="000A5DF6">
        <w:t>, the average annual rate of gro</w:t>
      </w:r>
      <w:r w:rsidR="002E485C" w:rsidRPr="000A5DF6">
        <w:t xml:space="preserve">wth in real expenditure was </w:t>
      </w:r>
      <w:r w:rsidR="000A5DF6" w:rsidRPr="000A5DF6">
        <w:t>4.4</w:t>
      </w:r>
      <w:r w:rsidR="001C2A48" w:rsidRPr="000A5DF6">
        <w:t xml:space="preserve"> </w:t>
      </w:r>
      <w:r w:rsidRPr="000A5DF6">
        <w:t>p</w:t>
      </w:r>
      <w:r w:rsidR="001C2A48" w:rsidRPr="000A5DF6">
        <w:t xml:space="preserve">er </w:t>
      </w:r>
      <w:r w:rsidRPr="000A5DF6">
        <w:t>cent for</w:t>
      </w:r>
      <w:r w:rsidR="002E485C" w:rsidRPr="000A5DF6">
        <w:t xml:space="preserve"> the Australian Government, </w:t>
      </w:r>
      <w:r w:rsidR="000A5DF6" w:rsidRPr="000A5DF6">
        <w:t>4.6</w:t>
      </w:r>
      <w:r w:rsidR="001C2A48" w:rsidRPr="000A5DF6">
        <w:t xml:space="preserve"> per </w:t>
      </w:r>
      <w:r w:rsidRPr="000A5DF6">
        <w:t>cent for State, Territory</w:t>
      </w:r>
      <w:r w:rsidR="002E485C" w:rsidRPr="000A5DF6">
        <w:t xml:space="preserve"> and local governments, and </w:t>
      </w:r>
      <w:r w:rsidR="000A5DF6" w:rsidRPr="000A5DF6">
        <w:t>5.8</w:t>
      </w:r>
      <w:r w:rsidR="001C2A48" w:rsidRPr="000A5DF6">
        <w:t xml:space="preserve"> per </w:t>
      </w:r>
      <w:r w:rsidRPr="000A5DF6">
        <w:t>cent for non</w:t>
      </w:r>
      <w:r w:rsidRPr="000A5DF6">
        <w:noBreakHyphen/>
        <w:t xml:space="preserve">government sources </w:t>
      </w:r>
      <w:r w:rsidR="00F605C7" w:rsidRPr="000A5DF6">
        <w:br/>
      </w:r>
      <w:r w:rsidRPr="000A5DF6">
        <w:t>(table EA.1).</w:t>
      </w:r>
    </w:p>
    <w:p w14:paraId="6A8F7AE6" w14:textId="19E93275" w:rsidR="00252A63" w:rsidRPr="000A5DF6" w:rsidRDefault="00252A63" w:rsidP="002F572F">
      <w:pPr>
        <w:pStyle w:val="BodyText"/>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52A63" w:rsidRPr="000A5DF6" w14:paraId="2346DA9C" w14:textId="77777777" w:rsidTr="00DA3909">
        <w:tc>
          <w:tcPr>
            <w:tcW w:w="8771" w:type="dxa"/>
            <w:tcBorders>
              <w:top w:val="single" w:sz="6" w:space="0" w:color="78A22F"/>
              <w:left w:val="nil"/>
              <w:bottom w:val="nil"/>
              <w:right w:val="nil"/>
            </w:tcBorders>
            <w:shd w:val="clear" w:color="auto" w:fill="auto"/>
          </w:tcPr>
          <w:p w14:paraId="1D6ABFA5" w14:textId="7E360381" w:rsidR="00252A63" w:rsidRPr="000A5DF6" w:rsidRDefault="00252A63" w:rsidP="002F572F">
            <w:pPr>
              <w:pStyle w:val="FigureTitle"/>
            </w:pPr>
            <w:r w:rsidRPr="000A5DF6">
              <w:rPr>
                <w:b w:val="0"/>
              </w:rPr>
              <w:t xml:space="preserve">Figure </w:t>
            </w:r>
            <w:proofErr w:type="spellStart"/>
            <w:r w:rsidR="00DE1E57" w:rsidRPr="000A5DF6">
              <w:rPr>
                <w:b w:val="0"/>
              </w:rPr>
              <w:t>E.</w:t>
            </w:r>
            <w:r w:rsidR="00FD3B62">
              <w:rPr>
                <w:b w:val="0"/>
                <w:noProof/>
              </w:rPr>
              <w:t>1</w:t>
            </w:r>
            <w:proofErr w:type="spellEnd"/>
            <w:r w:rsidRPr="000A5DF6">
              <w:tab/>
              <w:t xml:space="preserve">Total health </w:t>
            </w:r>
            <w:r w:rsidR="00F36057" w:rsidRPr="000A5DF6">
              <w:t xml:space="preserve">expenditure, by source of funds </w:t>
            </w:r>
            <w:r w:rsidR="00033653" w:rsidRPr="000A5DF6">
              <w:t>(2014</w:t>
            </w:r>
            <w:r w:rsidR="00033653" w:rsidRPr="000A5DF6">
              <w:noBreakHyphen/>
              <w:t>15</w:t>
            </w:r>
            <w:r w:rsidRPr="000A5DF6">
              <w:t> dollars)</w:t>
            </w:r>
            <w:r w:rsidRPr="000A5DF6">
              <w:rPr>
                <w:position w:val="6"/>
                <w:sz w:val="18"/>
              </w:rPr>
              <w:t>a</w:t>
            </w:r>
          </w:p>
        </w:tc>
      </w:tr>
      <w:tr w:rsidR="00252A63" w:rsidRPr="000A5DF6" w14:paraId="7C8A7103" w14:textId="77777777" w:rsidTr="003C4854">
        <w:tblPrEx>
          <w:tblCellMar>
            <w:left w:w="108" w:type="dxa"/>
            <w:right w:w="108" w:type="dxa"/>
          </w:tblCellMar>
        </w:tblPrEx>
        <w:trPr>
          <w:trHeight w:val="4364"/>
        </w:trPr>
        <w:tc>
          <w:tcPr>
            <w:tcW w:w="8771" w:type="dxa"/>
            <w:tcBorders>
              <w:top w:val="nil"/>
              <w:left w:val="nil"/>
              <w:bottom w:val="nil"/>
              <w:right w:val="nil"/>
            </w:tcBorders>
            <w:shd w:val="clear" w:color="auto" w:fill="auto"/>
          </w:tcPr>
          <w:p w14:paraId="703D58F4" w14:textId="7835B074" w:rsidR="00252A63" w:rsidRPr="000A5DF6" w:rsidRDefault="003C4854" w:rsidP="00252A63">
            <w:pPr>
              <w:keepNext/>
              <w:spacing w:before="120" w:after="120" w:line="240" w:lineRule="atLeast"/>
              <w:jc w:val="center"/>
              <w:rPr>
                <w:szCs w:val="20"/>
              </w:rPr>
            </w:pPr>
            <w:r>
              <w:rPr>
                <w:noProof/>
              </w:rPr>
              <w:drawing>
                <wp:inline distT="0" distB="0" distL="0" distR="0" wp14:anchorId="3EBF442F" wp14:editId="0099C470">
                  <wp:extent cx="5400000" cy="2700000"/>
                  <wp:effectExtent l="0" t="0" r="0" b="5715"/>
                  <wp:docPr id="1" name="Chart 1" descr="Figure E.1 Total health expenditure, by source of funds (2014-15 dollars)&#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252A63" w:rsidRPr="000A5DF6" w14:paraId="3B54CD2F" w14:textId="77777777" w:rsidTr="00DA3909">
        <w:tc>
          <w:tcPr>
            <w:tcW w:w="8771" w:type="dxa"/>
            <w:tcBorders>
              <w:top w:val="nil"/>
              <w:left w:val="nil"/>
              <w:bottom w:val="nil"/>
              <w:right w:val="nil"/>
            </w:tcBorders>
            <w:shd w:val="clear" w:color="auto" w:fill="auto"/>
          </w:tcPr>
          <w:p w14:paraId="661E8157" w14:textId="77777777" w:rsidR="00252A63" w:rsidRPr="000A5DF6" w:rsidRDefault="00252A63" w:rsidP="002F572F">
            <w:pPr>
              <w:pStyle w:val="Note"/>
            </w:pPr>
            <w:r w:rsidRPr="000A5DF6">
              <w:rPr>
                <w:rStyle w:val="NoteLabel"/>
              </w:rPr>
              <w:t>a</w:t>
            </w:r>
            <w:r w:rsidRPr="000A5DF6">
              <w:sym w:font="Symbol" w:char="F020"/>
            </w:r>
            <w:r w:rsidRPr="000A5DF6">
              <w:t>See table EA.1 for detailed footnotes and caveats.</w:t>
            </w:r>
          </w:p>
        </w:tc>
      </w:tr>
      <w:tr w:rsidR="00252A63" w:rsidRPr="000A5DF6" w14:paraId="074421CC" w14:textId="77777777" w:rsidTr="00DA3909">
        <w:tc>
          <w:tcPr>
            <w:tcW w:w="8771" w:type="dxa"/>
            <w:tcBorders>
              <w:top w:val="nil"/>
              <w:left w:val="nil"/>
              <w:bottom w:val="nil"/>
              <w:right w:val="nil"/>
            </w:tcBorders>
            <w:shd w:val="clear" w:color="auto" w:fill="auto"/>
          </w:tcPr>
          <w:p w14:paraId="3F50511A" w14:textId="77777777" w:rsidR="00252A63" w:rsidRPr="000A5DF6" w:rsidRDefault="00252A63" w:rsidP="003A3739">
            <w:pPr>
              <w:pStyle w:val="Source"/>
            </w:pPr>
            <w:r w:rsidRPr="000A5DF6">
              <w:rPr>
                <w:i/>
              </w:rPr>
              <w:t>Source</w:t>
            </w:r>
            <w:r w:rsidRPr="000A5DF6">
              <w:t>: AIHW (Australian Institute of Health and Welfare) (201</w:t>
            </w:r>
            <w:r w:rsidR="003A3739" w:rsidRPr="000A5DF6">
              <w:t>6</w:t>
            </w:r>
            <w:r w:rsidRPr="000A5DF6">
              <w:t xml:space="preserve">) </w:t>
            </w:r>
            <w:r w:rsidRPr="000A5DF6">
              <w:rPr>
                <w:i/>
              </w:rPr>
              <w:t>Health Expenditure Australia 201</w:t>
            </w:r>
            <w:r w:rsidR="00033653" w:rsidRPr="000A5DF6">
              <w:rPr>
                <w:i/>
              </w:rPr>
              <w:t>4</w:t>
            </w:r>
            <w:r w:rsidR="00033653" w:rsidRPr="000A5DF6">
              <w:rPr>
                <w:i/>
              </w:rPr>
              <w:noBreakHyphen/>
              <w:t>15</w:t>
            </w:r>
            <w:r w:rsidRPr="000A5DF6">
              <w:t>, Health and</w:t>
            </w:r>
            <w:r w:rsidR="00033653" w:rsidRPr="000A5DF6">
              <w:t xml:space="preserve"> Welfare Expenditure Series no. </w:t>
            </w:r>
            <w:r w:rsidRPr="000A5DF6">
              <w:t>5</w:t>
            </w:r>
            <w:r w:rsidR="00033653" w:rsidRPr="000A5DF6">
              <w:t>7</w:t>
            </w:r>
            <w:r w:rsidRPr="000A5DF6">
              <w:t>, Cat. no. HWE 6</w:t>
            </w:r>
            <w:r w:rsidR="00033653" w:rsidRPr="000A5DF6">
              <w:t>7</w:t>
            </w:r>
            <w:r w:rsidRPr="000A5DF6">
              <w:t>; table EA.1.</w:t>
            </w:r>
          </w:p>
        </w:tc>
      </w:tr>
      <w:tr w:rsidR="00252A63" w:rsidRPr="000A5DF6" w14:paraId="08024E80" w14:textId="77777777" w:rsidTr="00DA3909">
        <w:tc>
          <w:tcPr>
            <w:tcW w:w="8771" w:type="dxa"/>
            <w:tcBorders>
              <w:top w:val="nil"/>
              <w:left w:val="nil"/>
              <w:bottom w:val="single" w:sz="6" w:space="0" w:color="78A22F"/>
              <w:right w:val="nil"/>
            </w:tcBorders>
            <w:shd w:val="clear" w:color="auto" w:fill="auto"/>
          </w:tcPr>
          <w:p w14:paraId="5BD1504C" w14:textId="77777777" w:rsidR="00252A63" w:rsidRPr="000A5DF6" w:rsidRDefault="00252A63" w:rsidP="00252A63">
            <w:pPr>
              <w:keepNext/>
              <w:spacing w:line="120" w:lineRule="exact"/>
              <w:jc w:val="both"/>
              <w:rPr>
                <w:rFonts w:ascii="Arial" w:hAnsi="Arial"/>
                <w:sz w:val="20"/>
                <w:szCs w:val="20"/>
              </w:rPr>
            </w:pPr>
          </w:p>
        </w:tc>
      </w:tr>
      <w:tr w:rsidR="00252A63" w:rsidRPr="000A5DF6" w14:paraId="62780DA2" w14:textId="77777777" w:rsidTr="00DA3909">
        <w:tc>
          <w:tcPr>
            <w:tcW w:w="8771" w:type="dxa"/>
            <w:tcBorders>
              <w:top w:val="single" w:sz="6" w:space="0" w:color="78A22F"/>
              <w:left w:val="nil"/>
              <w:bottom w:val="nil"/>
              <w:right w:val="nil"/>
            </w:tcBorders>
          </w:tcPr>
          <w:p w14:paraId="5B8A44A3" w14:textId="22416921" w:rsidR="00252A63" w:rsidRPr="000A5DF6" w:rsidRDefault="00252A63" w:rsidP="00252A63">
            <w:pPr>
              <w:spacing w:before="60" w:after="60" w:line="80" w:lineRule="exact"/>
              <w:jc w:val="both"/>
              <w:rPr>
                <w:rFonts w:ascii="Arial" w:hAnsi="Arial"/>
                <w:sz w:val="14"/>
                <w:szCs w:val="20"/>
              </w:rPr>
            </w:pPr>
          </w:p>
        </w:tc>
      </w:tr>
    </w:tbl>
    <w:p w14:paraId="240A95C1" w14:textId="579F5D99" w:rsidR="00252A63" w:rsidRPr="00B268EA" w:rsidRDefault="00252A63" w:rsidP="002F572F">
      <w:pPr>
        <w:pStyle w:val="BodyText"/>
      </w:pPr>
      <w:r w:rsidRPr="00B268EA">
        <w:t>In 201</w:t>
      </w:r>
      <w:r w:rsidR="002E485C" w:rsidRPr="00B268EA">
        <w:t>4</w:t>
      </w:r>
      <w:r w:rsidR="002E485C" w:rsidRPr="00B268EA">
        <w:noBreakHyphen/>
        <w:t>15</w:t>
      </w:r>
      <w:r w:rsidRPr="00B268EA">
        <w:t>, the combined total health expenditure of the Australian, State and Territory a</w:t>
      </w:r>
      <w:r w:rsidR="0014322C" w:rsidRPr="00B268EA">
        <w:t xml:space="preserve">nd local governments was $108.2 </w:t>
      </w:r>
      <w:r w:rsidR="002E485C" w:rsidRPr="00B268EA">
        <w:t>billion, representing</w:t>
      </w:r>
      <w:r w:rsidR="0014322C" w:rsidRPr="00B268EA">
        <w:t xml:space="preserve"> 66.9</w:t>
      </w:r>
      <w:r w:rsidR="0031430C" w:rsidRPr="00B268EA">
        <w:t xml:space="preserve"> per </w:t>
      </w:r>
      <w:r w:rsidRPr="00B268EA">
        <w:t>cent of total health expenditure within Australia (table EA.1). The Australian Government accounted for the largest proportion of health care expenditure — $</w:t>
      </w:r>
      <w:r w:rsidR="0014322C" w:rsidRPr="00B268EA">
        <w:t xml:space="preserve">66.2 </w:t>
      </w:r>
      <w:r w:rsidR="00377682" w:rsidRPr="00B268EA">
        <w:t>billion or</w:t>
      </w:r>
      <w:r w:rsidR="0014322C" w:rsidRPr="00B268EA">
        <w:t xml:space="preserve"> 41.0</w:t>
      </w:r>
      <w:r w:rsidR="00377682" w:rsidRPr="00B268EA">
        <w:t xml:space="preserve"> per </w:t>
      </w:r>
      <w:r w:rsidRPr="00B268EA">
        <w:t>cent. State and Territory, and loca</w:t>
      </w:r>
      <w:r w:rsidR="00377682" w:rsidRPr="00B268EA">
        <w:t>l governments contributed $</w:t>
      </w:r>
      <w:r w:rsidR="0014322C" w:rsidRPr="00B268EA">
        <w:t>42.0</w:t>
      </w:r>
      <w:r w:rsidR="002E485C" w:rsidRPr="00B268EA">
        <w:t xml:space="preserve"> billion or </w:t>
      </w:r>
      <w:r w:rsidR="0014322C" w:rsidRPr="00B268EA">
        <w:t>26.0</w:t>
      </w:r>
      <w:r w:rsidR="00377682" w:rsidRPr="00B268EA">
        <w:t xml:space="preserve"> per </w:t>
      </w:r>
      <w:r w:rsidRPr="00B268EA">
        <w:t>cent. The remainder was paid by individuals, health insurance funds, workers compensation and compulsory motor vehicle third party insu</w:t>
      </w:r>
      <w:r w:rsidR="00E41CD6" w:rsidRPr="00B268EA">
        <w:t>rance provid</w:t>
      </w:r>
      <w:r w:rsidR="00377682" w:rsidRPr="00B268EA">
        <w:t xml:space="preserve">ers (tables </w:t>
      </w:r>
      <w:r w:rsidR="00E41CD6" w:rsidRPr="00B268EA">
        <w:t>EA.1</w:t>
      </w:r>
      <w:r w:rsidR="00752CC3" w:rsidRPr="00B268EA">
        <w:t>–</w:t>
      </w:r>
      <w:r w:rsidR="00085569" w:rsidRPr="00B268EA">
        <w:t>3</w:t>
      </w:r>
      <w:r w:rsidRPr="00B268EA">
        <w:t>).</w:t>
      </w:r>
    </w:p>
    <w:p w14:paraId="451FC529" w14:textId="77777777" w:rsidR="00252A63" w:rsidRPr="00B268EA" w:rsidRDefault="00252A63" w:rsidP="002F572F">
      <w:pPr>
        <w:pStyle w:val="BodyText"/>
      </w:pPr>
      <w:r w:rsidRPr="00B268EA">
        <w:t>Nationally from 200</w:t>
      </w:r>
      <w:r w:rsidR="002E485C" w:rsidRPr="00B268EA">
        <w:t>5</w:t>
      </w:r>
      <w:r w:rsidR="002E485C" w:rsidRPr="00B268EA">
        <w:noBreakHyphen/>
        <w:t>06 to 2014</w:t>
      </w:r>
      <w:r w:rsidR="002E485C" w:rsidRPr="00B268EA">
        <w:noBreakHyphen/>
        <w:t>15</w:t>
      </w:r>
      <w:r w:rsidRPr="00B268EA">
        <w:t>:</w:t>
      </w:r>
    </w:p>
    <w:p w14:paraId="6EDB8AA3" w14:textId="35A1AC0C" w:rsidR="00252A63" w:rsidRPr="00B268EA" w:rsidRDefault="00252A63" w:rsidP="002F572F">
      <w:pPr>
        <w:pStyle w:val="ListBullet"/>
      </w:pPr>
      <w:r w:rsidRPr="00B268EA">
        <w:lastRenderedPageBreak/>
        <w:t>total real recurrent health expenditure per person increased from $</w:t>
      </w:r>
      <w:r w:rsidR="0014322C" w:rsidRPr="00B268EA">
        <w:t>4916</w:t>
      </w:r>
      <w:r w:rsidR="002E485C" w:rsidRPr="00B268EA">
        <w:t xml:space="preserve"> to $</w:t>
      </w:r>
      <w:r w:rsidR="0014322C" w:rsidRPr="00B268EA">
        <w:t>6440</w:t>
      </w:r>
    </w:p>
    <w:p w14:paraId="776279C3" w14:textId="4DD349BC" w:rsidR="00252A63" w:rsidRPr="00B268EA" w:rsidRDefault="00252A63" w:rsidP="002F572F">
      <w:pPr>
        <w:pStyle w:val="ListBullet"/>
      </w:pPr>
      <w:r w:rsidRPr="00B268EA">
        <w:t>government real recurrent health expenditure per person incr</w:t>
      </w:r>
      <w:r w:rsidR="002E485C" w:rsidRPr="00B268EA">
        <w:t>eased from $</w:t>
      </w:r>
      <w:r w:rsidR="0014322C" w:rsidRPr="00B268EA">
        <w:t>3455</w:t>
      </w:r>
      <w:r w:rsidR="002E485C" w:rsidRPr="00B268EA">
        <w:t xml:space="preserve"> to $</w:t>
      </w:r>
      <w:r w:rsidR="0014322C" w:rsidRPr="00B268EA">
        <w:t>4398</w:t>
      </w:r>
    </w:p>
    <w:p w14:paraId="17E61312" w14:textId="1EC281A6" w:rsidR="00252A63" w:rsidRPr="00B268EA" w:rsidRDefault="00252A63" w:rsidP="002F572F">
      <w:pPr>
        <w:pStyle w:val="ListBullet"/>
      </w:pPr>
      <w:r w:rsidRPr="00B268EA">
        <w:t>non</w:t>
      </w:r>
      <w:r w:rsidRPr="00B268EA">
        <w:noBreakHyphen/>
        <w:t>government real recurrent expenditure</w:t>
      </w:r>
      <w:r w:rsidR="002E485C" w:rsidRPr="00B268EA">
        <w:t xml:space="preserve"> per person increased from $</w:t>
      </w:r>
      <w:r w:rsidR="0014322C" w:rsidRPr="00B268EA">
        <w:t>1466</w:t>
      </w:r>
      <w:r w:rsidR="002E485C" w:rsidRPr="00B268EA">
        <w:t xml:space="preserve"> to $</w:t>
      </w:r>
      <w:r w:rsidR="0014322C" w:rsidRPr="00B268EA">
        <w:t>2043</w:t>
      </w:r>
      <w:r w:rsidR="00377682" w:rsidRPr="00B268EA">
        <w:t xml:space="preserve"> (figure E.2 and tables </w:t>
      </w:r>
      <w:r w:rsidR="00D24728" w:rsidRPr="00B268EA">
        <w:t>EA.</w:t>
      </w:r>
      <w:r w:rsidR="00085569" w:rsidRPr="00B268EA">
        <w:t>3</w:t>
      </w:r>
      <w:r w:rsidRPr="00B268EA">
        <w:t>).</w:t>
      </w:r>
    </w:p>
    <w:p w14:paraId="33EBC9F8" w14:textId="184A4D5C" w:rsidR="00912F12" w:rsidRPr="00B268EA" w:rsidRDefault="00912F12" w:rsidP="00912F12">
      <w:pPr>
        <w:keepNext/>
        <w:spacing w:before="360" w:line="80" w:lineRule="exact"/>
        <w:rPr>
          <w:szCs w:val="2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12F12" w:rsidRPr="00B268EA" w14:paraId="383C6005" w14:textId="77777777" w:rsidTr="00912F12">
        <w:tc>
          <w:tcPr>
            <w:tcW w:w="8771" w:type="dxa"/>
            <w:tcBorders>
              <w:top w:val="single" w:sz="6" w:space="0" w:color="78A22F"/>
              <w:left w:val="nil"/>
              <w:bottom w:val="nil"/>
              <w:right w:val="nil"/>
            </w:tcBorders>
            <w:shd w:val="clear" w:color="auto" w:fill="auto"/>
          </w:tcPr>
          <w:p w14:paraId="77B00F00" w14:textId="143B6657" w:rsidR="00912F12" w:rsidRPr="00B268EA" w:rsidRDefault="00912F12" w:rsidP="00912F12">
            <w:pPr>
              <w:pStyle w:val="FigureTitle"/>
            </w:pPr>
            <w:r w:rsidRPr="00B268EA">
              <w:rPr>
                <w:b w:val="0"/>
              </w:rPr>
              <w:t xml:space="preserve">Figure </w:t>
            </w:r>
            <w:proofErr w:type="spellStart"/>
            <w:r w:rsidR="003B4FBC" w:rsidRPr="00B268EA">
              <w:rPr>
                <w:b w:val="0"/>
              </w:rPr>
              <w:t>E.</w:t>
            </w:r>
            <w:r w:rsidR="00FD3B62">
              <w:rPr>
                <w:b w:val="0"/>
                <w:noProof/>
              </w:rPr>
              <w:t>2</w:t>
            </w:r>
            <w:proofErr w:type="spellEnd"/>
            <w:r w:rsidRPr="00B268EA">
              <w:tab/>
              <w:t>Recurrent health expenditure per person, by source of funds, 2014</w:t>
            </w:r>
            <w:r w:rsidRPr="00B268EA">
              <w:noBreakHyphen/>
              <w:t>15</w:t>
            </w:r>
            <w:r w:rsidRPr="00B268EA">
              <w:rPr>
                <w:position w:val="6"/>
                <w:sz w:val="18"/>
              </w:rPr>
              <w:t>a</w:t>
            </w:r>
          </w:p>
        </w:tc>
      </w:tr>
      <w:tr w:rsidR="00252A63" w:rsidRPr="00B268EA" w14:paraId="1AD29BE3" w14:textId="77777777" w:rsidTr="002B5946">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625"/>
            </w:tblGrid>
            <w:tr w:rsidR="00252A63" w:rsidRPr="00B268EA" w14:paraId="311E3E05" w14:textId="77777777" w:rsidTr="003C4854">
              <w:tc>
                <w:tcPr>
                  <w:tcW w:w="8625" w:type="dxa"/>
                  <w:tcBorders>
                    <w:top w:val="nil"/>
                    <w:bottom w:val="nil"/>
                  </w:tcBorders>
                </w:tcPr>
                <w:p w14:paraId="3FC985C9" w14:textId="6703C6FF" w:rsidR="00252A63" w:rsidRPr="00B268EA" w:rsidRDefault="003C4854" w:rsidP="00252A63">
                  <w:pPr>
                    <w:keepNext/>
                    <w:keepLines/>
                    <w:spacing w:before="60" w:after="60" w:line="240" w:lineRule="atLeast"/>
                    <w:jc w:val="center"/>
                    <w:rPr>
                      <w:szCs w:val="20"/>
                    </w:rPr>
                  </w:pPr>
                  <w:r>
                    <w:rPr>
                      <w:noProof/>
                    </w:rPr>
                    <w:drawing>
                      <wp:inline distT="0" distB="0" distL="0" distR="0" wp14:anchorId="16F6188E" wp14:editId="1A317DC6">
                        <wp:extent cx="5400000" cy="2700000"/>
                        <wp:effectExtent l="0" t="0" r="0" b="5715"/>
                        <wp:docPr id="5" name="Chart 5" descr="Figure E.2 Recurrent health expenditure per person, by source of funds, 2014-15&#10;&#10;More details can be found within the text surrounding this image.&#10;&#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14:paraId="703E2306" w14:textId="77777777" w:rsidR="00252A63" w:rsidRPr="00B268EA" w:rsidRDefault="00252A63" w:rsidP="00252A63">
            <w:pPr>
              <w:keepNext/>
              <w:keepLines/>
              <w:spacing w:before="120" w:after="120" w:line="240" w:lineRule="atLeast"/>
              <w:jc w:val="center"/>
              <w:rPr>
                <w:szCs w:val="20"/>
              </w:rPr>
            </w:pPr>
          </w:p>
        </w:tc>
      </w:tr>
      <w:tr w:rsidR="00252A63" w:rsidRPr="00B268EA" w14:paraId="1C0412E1" w14:textId="77777777" w:rsidTr="00DA3909">
        <w:tc>
          <w:tcPr>
            <w:tcW w:w="8771" w:type="dxa"/>
            <w:tcBorders>
              <w:top w:val="nil"/>
              <w:left w:val="nil"/>
              <w:bottom w:val="nil"/>
              <w:right w:val="nil"/>
            </w:tcBorders>
            <w:shd w:val="clear" w:color="auto" w:fill="auto"/>
          </w:tcPr>
          <w:p w14:paraId="1CB30CF0" w14:textId="7599CFF2" w:rsidR="00252A63" w:rsidRPr="00B268EA" w:rsidRDefault="00252A63" w:rsidP="00085569">
            <w:pPr>
              <w:keepNext/>
              <w:keepLines/>
              <w:spacing w:before="80" w:line="220" w:lineRule="exact"/>
              <w:jc w:val="both"/>
              <w:rPr>
                <w:rFonts w:ascii="Arial" w:hAnsi="Arial"/>
                <w:sz w:val="18"/>
                <w:szCs w:val="20"/>
              </w:rPr>
            </w:pPr>
            <w:r w:rsidRPr="00B268EA">
              <w:rPr>
                <w:rStyle w:val="NoteLabel"/>
              </w:rPr>
              <w:t>a</w:t>
            </w:r>
            <w:r w:rsidRPr="00B268EA">
              <w:rPr>
                <w:rFonts w:ascii="Arial" w:hAnsi="Arial"/>
                <w:sz w:val="18"/>
                <w:szCs w:val="20"/>
              </w:rPr>
              <w:t> </w:t>
            </w:r>
            <w:r w:rsidRPr="00B268EA">
              <w:rPr>
                <w:rStyle w:val="NoteChar"/>
              </w:rPr>
              <w:t>See table EA.</w:t>
            </w:r>
            <w:r w:rsidR="00085569" w:rsidRPr="00B268EA">
              <w:rPr>
                <w:rStyle w:val="NoteChar"/>
              </w:rPr>
              <w:t>3</w:t>
            </w:r>
            <w:r w:rsidRPr="00B268EA">
              <w:rPr>
                <w:rStyle w:val="NoteChar"/>
              </w:rPr>
              <w:t xml:space="preserve"> for detailed footnotes and caveats.</w:t>
            </w:r>
          </w:p>
        </w:tc>
      </w:tr>
      <w:tr w:rsidR="00252A63" w:rsidRPr="00B268EA" w14:paraId="4F94B687" w14:textId="77777777" w:rsidTr="00DA3909">
        <w:tc>
          <w:tcPr>
            <w:tcW w:w="8771" w:type="dxa"/>
            <w:tcBorders>
              <w:top w:val="nil"/>
              <w:left w:val="nil"/>
              <w:bottom w:val="nil"/>
              <w:right w:val="nil"/>
            </w:tcBorders>
            <w:shd w:val="clear" w:color="auto" w:fill="auto"/>
          </w:tcPr>
          <w:p w14:paraId="63550459" w14:textId="0C6365A4" w:rsidR="00252A63" w:rsidRPr="00B268EA" w:rsidRDefault="00252A63" w:rsidP="00085569">
            <w:pPr>
              <w:pStyle w:val="Source"/>
            </w:pPr>
            <w:r w:rsidRPr="00B268EA">
              <w:rPr>
                <w:i/>
              </w:rPr>
              <w:t>Source</w:t>
            </w:r>
            <w:r w:rsidRPr="00B268EA">
              <w:t>: AIHW (201</w:t>
            </w:r>
            <w:r w:rsidR="00C810EA" w:rsidRPr="00B268EA">
              <w:t>6</w:t>
            </w:r>
            <w:r w:rsidRPr="00B268EA">
              <w:t xml:space="preserve">) </w:t>
            </w:r>
            <w:r w:rsidRPr="00B268EA">
              <w:rPr>
                <w:i/>
              </w:rPr>
              <w:t>Health Expenditure Australia 201</w:t>
            </w:r>
            <w:r w:rsidR="003A3739" w:rsidRPr="00B268EA">
              <w:rPr>
                <w:i/>
              </w:rPr>
              <w:t>4</w:t>
            </w:r>
            <w:r w:rsidRPr="00B268EA">
              <w:rPr>
                <w:i/>
              </w:rPr>
              <w:noBreakHyphen/>
              <w:t>1</w:t>
            </w:r>
            <w:r w:rsidR="003A3739" w:rsidRPr="00B268EA">
              <w:rPr>
                <w:i/>
              </w:rPr>
              <w:t>5</w:t>
            </w:r>
            <w:r w:rsidRPr="00B268EA">
              <w:t>, Health</w:t>
            </w:r>
            <w:r w:rsidR="00387B40" w:rsidRPr="00B268EA">
              <w:t xml:space="preserve"> and Welfare Expenditure Series </w:t>
            </w:r>
            <w:r w:rsidRPr="00B268EA">
              <w:t>no. 5</w:t>
            </w:r>
            <w:r w:rsidR="00C810EA" w:rsidRPr="00B268EA">
              <w:t>7</w:t>
            </w:r>
            <w:r w:rsidRPr="00B268EA">
              <w:t>, Cat. no. HWE 6</w:t>
            </w:r>
            <w:r w:rsidR="00C810EA" w:rsidRPr="00B268EA">
              <w:t>7</w:t>
            </w:r>
            <w:r w:rsidRPr="00B268EA">
              <w:t>; table EA.</w:t>
            </w:r>
            <w:r w:rsidR="00085569" w:rsidRPr="00B268EA">
              <w:t>3</w:t>
            </w:r>
            <w:r w:rsidRPr="00B268EA">
              <w:t>.</w:t>
            </w:r>
          </w:p>
        </w:tc>
      </w:tr>
      <w:tr w:rsidR="00252A63" w:rsidRPr="00B268EA" w14:paraId="70F546A1" w14:textId="77777777" w:rsidTr="00DA3909">
        <w:tc>
          <w:tcPr>
            <w:tcW w:w="8771" w:type="dxa"/>
            <w:tcBorders>
              <w:top w:val="nil"/>
              <w:left w:val="nil"/>
              <w:bottom w:val="single" w:sz="6" w:space="0" w:color="78A22F"/>
              <w:right w:val="nil"/>
            </w:tcBorders>
            <w:shd w:val="clear" w:color="auto" w:fill="auto"/>
          </w:tcPr>
          <w:p w14:paraId="172B3DF9" w14:textId="77777777" w:rsidR="00252A63" w:rsidRPr="00B268EA" w:rsidRDefault="00252A63" w:rsidP="00252A63">
            <w:pPr>
              <w:keepNext/>
              <w:keepLines/>
              <w:spacing w:line="120" w:lineRule="exact"/>
              <w:jc w:val="both"/>
              <w:rPr>
                <w:rFonts w:ascii="Arial" w:hAnsi="Arial"/>
                <w:sz w:val="20"/>
                <w:szCs w:val="20"/>
              </w:rPr>
            </w:pPr>
          </w:p>
        </w:tc>
      </w:tr>
      <w:tr w:rsidR="00252A63" w:rsidRPr="00265FC2" w14:paraId="7A2A2818" w14:textId="77777777" w:rsidTr="00DA3909">
        <w:tc>
          <w:tcPr>
            <w:tcW w:w="8771" w:type="dxa"/>
            <w:tcBorders>
              <w:top w:val="single" w:sz="6" w:space="0" w:color="78A22F"/>
              <w:left w:val="nil"/>
              <w:bottom w:val="nil"/>
              <w:right w:val="nil"/>
            </w:tcBorders>
          </w:tcPr>
          <w:p w14:paraId="0CA39224" w14:textId="75867A04" w:rsidR="00252A63" w:rsidRPr="00265FC2" w:rsidRDefault="00252A63" w:rsidP="00252A63">
            <w:pPr>
              <w:keepNext/>
              <w:keepLines/>
              <w:spacing w:before="60" w:after="60" w:line="80" w:lineRule="exact"/>
              <w:jc w:val="both"/>
              <w:rPr>
                <w:rFonts w:ascii="Arial" w:hAnsi="Arial"/>
                <w:sz w:val="14"/>
                <w:szCs w:val="20"/>
              </w:rPr>
            </w:pPr>
          </w:p>
        </w:tc>
      </w:tr>
    </w:tbl>
    <w:p w14:paraId="3E5129B0" w14:textId="77777777" w:rsidR="00BC687B" w:rsidRPr="00265FC2" w:rsidRDefault="00BC687B" w:rsidP="00BC687B">
      <w:pPr>
        <w:pStyle w:val="Heading4"/>
      </w:pPr>
      <w:r w:rsidRPr="00265FC2">
        <w:t>Roles and responsibilities</w:t>
      </w:r>
    </w:p>
    <w:p w14:paraId="4AB92046" w14:textId="77777777" w:rsidR="00BC687B" w:rsidRPr="00265FC2" w:rsidRDefault="00BC687B" w:rsidP="00BC687B">
      <w:pPr>
        <w:pStyle w:val="BodyText"/>
      </w:pPr>
      <w:r w:rsidRPr="00265FC2">
        <w:t>All levels of government in Australia fund, deliver and regulate health services, with most of the activity performed by the Australian, State and Territory governments. The Australian Government’s health services activities include:</w:t>
      </w:r>
    </w:p>
    <w:p w14:paraId="3B180761" w14:textId="77777777" w:rsidR="00BC687B" w:rsidRPr="00265FC2" w:rsidRDefault="00BC687B" w:rsidP="00BC687B">
      <w:pPr>
        <w:pStyle w:val="ListBullet"/>
      </w:pPr>
      <w:r w:rsidRPr="00265FC2">
        <w:t xml:space="preserve">funding </w:t>
      </w:r>
      <w:r w:rsidRPr="00265FC2">
        <w:rPr>
          <w:shd w:val="clear" w:color="auto" w:fill="FFFFFF" w:themeFill="background1"/>
        </w:rPr>
        <w:t>State and Territory governments to assist with the cost</w:t>
      </w:r>
      <w:r w:rsidRPr="00265FC2">
        <w:t xml:space="preserve"> of providing public hospital and public health services in line with the National Health Reform Agreement and the National Healthcare Agreement (NHA)</w:t>
      </w:r>
    </w:p>
    <w:p w14:paraId="23DFE7EF" w14:textId="77777777" w:rsidR="00BC687B" w:rsidRPr="00265FC2" w:rsidRDefault="00BC687B" w:rsidP="00BC687B">
      <w:pPr>
        <w:pStyle w:val="ListBullet"/>
      </w:pPr>
      <w:r w:rsidRPr="00265FC2">
        <w:t>providing rebates to patients and regulating medical services provided by General Practitioners (GPs) and specialists, practice nurses, and some services provided by allied health professionals (such as Medicare), and delivering public health programs</w:t>
      </w:r>
    </w:p>
    <w:p w14:paraId="5FD1918A" w14:textId="77777777" w:rsidR="00BC687B" w:rsidRPr="00265FC2" w:rsidRDefault="00BC687B" w:rsidP="00BC687B">
      <w:pPr>
        <w:pStyle w:val="ListBullet"/>
      </w:pPr>
      <w:r w:rsidRPr="00265FC2">
        <w:t>funding and regulating the Pharmaceutical Benefits Scheme (PBS)</w:t>
      </w:r>
    </w:p>
    <w:p w14:paraId="05C9538C" w14:textId="77777777" w:rsidR="00BC687B" w:rsidRPr="00265FC2" w:rsidRDefault="00BC687B" w:rsidP="00BC687B">
      <w:pPr>
        <w:pStyle w:val="ListBullet"/>
      </w:pPr>
      <w:r w:rsidRPr="00265FC2">
        <w:t>funding and regulating private health insurance rebates</w:t>
      </w:r>
    </w:p>
    <w:p w14:paraId="1796D15E" w14:textId="77777777" w:rsidR="00BC687B" w:rsidRPr="00265FC2" w:rsidRDefault="00BC687B" w:rsidP="00BC687B">
      <w:pPr>
        <w:pStyle w:val="ListBullet"/>
      </w:pPr>
      <w:r w:rsidRPr="00265FC2">
        <w:lastRenderedPageBreak/>
        <w:t>funding improved access to primary health care, including Aboriginal and Torres Strait Islander</w:t>
      </w:r>
      <w:r w:rsidRPr="00265FC2">
        <w:noBreakHyphen/>
        <w:t>specific primary health guided by the National Aboriginal and Torres Strait Islander Health Plan and Implementation Plan 2013–2023, specialist services and infrastructure for rural and remote communities</w:t>
      </w:r>
    </w:p>
    <w:p w14:paraId="0FEABCC6" w14:textId="77777777" w:rsidR="00BC687B" w:rsidRPr="00265FC2" w:rsidRDefault="00BC687B" w:rsidP="00BC687B">
      <w:pPr>
        <w:pStyle w:val="ListBullet"/>
      </w:pPr>
      <w:r w:rsidRPr="00265FC2">
        <w:t>promulgating and coordinating health regulations</w:t>
      </w:r>
    </w:p>
    <w:p w14:paraId="3B589F31" w14:textId="77777777" w:rsidR="00BC687B" w:rsidRPr="00265FC2" w:rsidRDefault="00BC687B" w:rsidP="00BC687B">
      <w:pPr>
        <w:pStyle w:val="ListBullet"/>
      </w:pPr>
      <w:r w:rsidRPr="00265FC2">
        <w:t>undertaking health policy research and policy coordination across the Australian, State and Territory governments</w:t>
      </w:r>
    </w:p>
    <w:p w14:paraId="51DFFB88" w14:textId="77777777" w:rsidR="00BC687B" w:rsidRPr="00265FC2" w:rsidRDefault="00BC687B" w:rsidP="00BC687B">
      <w:pPr>
        <w:pStyle w:val="ListBullet"/>
      </w:pPr>
      <w:r w:rsidRPr="00265FC2">
        <w:t>funding hospital services and the provision of other services through the Department of Veterans’ Affairs (DVA)</w:t>
      </w:r>
    </w:p>
    <w:p w14:paraId="18C17D5B" w14:textId="77777777" w:rsidR="00BC687B" w:rsidRPr="00265FC2" w:rsidRDefault="00BC687B" w:rsidP="00BC687B">
      <w:pPr>
        <w:pStyle w:val="ListBullet"/>
      </w:pPr>
      <w:r w:rsidRPr="00265FC2">
        <w:t>funding hearing services for eligible Australians through the Australian Government Hearing Services Program</w:t>
      </w:r>
    </w:p>
    <w:p w14:paraId="51F2C394" w14:textId="77777777" w:rsidR="00BC687B" w:rsidRPr="00265FC2" w:rsidRDefault="00BC687B" w:rsidP="00BC687B">
      <w:pPr>
        <w:pStyle w:val="ListBullet"/>
      </w:pPr>
      <w:r w:rsidRPr="00265FC2">
        <w:t>funding the Medicare Safety Net.</w:t>
      </w:r>
    </w:p>
    <w:p w14:paraId="6945F575" w14:textId="77777777" w:rsidR="00BC687B" w:rsidRPr="00265FC2" w:rsidRDefault="00BC687B" w:rsidP="00BC687B">
      <w:pPr>
        <w:pStyle w:val="BodyText"/>
      </w:pPr>
      <w:r w:rsidRPr="00265FC2">
        <w:t>State and Territory governments contribute funding for, and deliver, a range of health care services (including services for Aboriginal and Torres Strait Islander Australians), such as:</w:t>
      </w:r>
    </w:p>
    <w:p w14:paraId="3BE66A89" w14:textId="77777777" w:rsidR="00BC687B" w:rsidRPr="00265FC2" w:rsidRDefault="00BC687B" w:rsidP="00BC687B">
      <w:pPr>
        <w:pStyle w:val="ListBullet"/>
      </w:pPr>
      <w:r w:rsidRPr="00265FC2">
        <w:t>community health services</w:t>
      </w:r>
    </w:p>
    <w:p w14:paraId="1191EC3A" w14:textId="77777777" w:rsidR="00BC687B" w:rsidRPr="00265FC2" w:rsidRDefault="00BC687B" w:rsidP="00BC687B">
      <w:pPr>
        <w:pStyle w:val="ListBullet"/>
      </w:pPr>
      <w:r w:rsidRPr="00265FC2">
        <w:t>mental health services</w:t>
      </w:r>
    </w:p>
    <w:p w14:paraId="26203A79" w14:textId="017FB329" w:rsidR="00BC687B" w:rsidRPr="00265FC2" w:rsidRDefault="00275F37" w:rsidP="00BC687B">
      <w:pPr>
        <w:pStyle w:val="ListBullet"/>
      </w:pPr>
      <w:r w:rsidRPr="00265FC2">
        <w:t>specialist palliative care</w:t>
      </w:r>
    </w:p>
    <w:p w14:paraId="3D6FFFC9" w14:textId="77777777" w:rsidR="00BC687B" w:rsidRPr="00265FC2" w:rsidRDefault="00BC687B" w:rsidP="00BC687B">
      <w:pPr>
        <w:pStyle w:val="ListBullet"/>
      </w:pPr>
      <w:r w:rsidRPr="00265FC2">
        <w:t>public hospital services</w:t>
      </w:r>
    </w:p>
    <w:p w14:paraId="0CB494F8" w14:textId="77777777" w:rsidR="00BC687B" w:rsidRPr="00265FC2" w:rsidRDefault="00BC687B" w:rsidP="00BC687B">
      <w:pPr>
        <w:pStyle w:val="ListBullet"/>
      </w:pPr>
      <w:r w:rsidRPr="00265FC2">
        <w:t>public dental services</w:t>
      </w:r>
    </w:p>
    <w:p w14:paraId="06C3A47F" w14:textId="77777777" w:rsidR="00BC687B" w:rsidRPr="00265FC2" w:rsidRDefault="00BC687B" w:rsidP="00BC687B">
      <w:pPr>
        <w:pStyle w:val="ListBullet"/>
      </w:pPr>
      <w:r w:rsidRPr="00265FC2">
        <w:t>patient transport</w:t>
      </w:r>
    </w:p>
    <w:p w14:paraId="1A8A4AAB" w14:textId="77777777" w:rsidR="00BC687B" w:rsidRPr="00265FC2" w:rsidRDefault="00BC687B" w:rsidP="00BC687B">
      <w:pPr>
        <w:pStyle w:val="ListBullet"/>
      </w:pPr>
      <w:r w:rsidRPr="00265FC2">
        <w:t>health policy research and policy development</w:t>
      </w:r>
    </w:p>
    <w:p w14:paraId="465F543E" w14:textId="77777777" w:rsidR="00BC687B" w:rsidRPr="00265FC2" w:rsidRDefault="00BC687B" w:rsidP="00BC687B">
      <w:pPr>
        <w:pStyle w:val="ListBullet"/>
      </w:pPr>
      <w:r w:rsidRPr="00265FC2">
        <w:t>public health (such as health promotion programs and disease prevention)</w:t>
      </w:r>
    </w:p>
    <w:p w14:paraId="522FAB5C" w14:textId="77777777" w:rsidR="00BC687B" w:rsidRPr="00265FC2" w:rsidRDefault="00BC687B" w:rsidP="00BC687B">
      <w:pPr>
        <w:pStyle w:val="ListBullet"/>
      </w:pPr>
      <w:r w:rsidRPr="00265FC2">
        <w:t>regulation, inspection, licensing and monitoring of premises, institutions and personnel.</w:t>
      </w:r>
    </w:p>
    <w:p w14:paraId="09CDC44A" w14:textId="77777777" w:rsidR="00BC687B" w:rsidRPr="00265FC2" w:rsidRDefault="00BC687B" w:rsidP="00BC687B">
      <w:pPr>
        <w:pStyle w:val="BodyText"/>
      </w:pPr>
      <w:r w:rsidRPr="00265FC2">
        <w:t>Local governments are generally involved in environmental control and a range of community</w:t>
      </w:r>
      <w:r w:rsidRPr="00265FC2">
        <w:noBreakHyphen/>
        <w:t>based and home care services, although the exact nature of their involvement varies across jurisdictions. The non</w:t>
      </w:r>
      <w:r w:rsidRPr="00265FC2">
        <w:noBreakHyphen/>
        <w:t>government sector plays a significant role in the health system, delivering general practice and specialist medical and surgical services, dental services, a range of other allied health services (such as optometry and physiotherapy) and private hospitals.</w:t>
      </w:r>
    </w:p>
    <w:p w14:paraId="35EFF285" w14:textId="77777777" w:rsidR="00252A63" w:rsidRPr="00265FC2" w:rsidRDefault="00252A63" w:rsidP="007B7C0D">
      <w:pPr>
        <w:pStyle w:val="Heading3"/>
      </w:pPr>
      <w:r w:rsidRPr="00265FC2">
        <w:t>Factors affecting demand for services</w:t>
      </w:r>
    </w:p>
    <w:p w14:paraId="5137B587" w14:textId="77777777" w:rsidR="00252A63" w:rsidRPr="00265FC2" w:rsidRDefault="00252A63" w:rsidP="007B7C0D">
      <w:pPr>
        <w:pStyle w:val="BodyText"/>
      </w:pPr>
      <w:r w:rsidRPr="00265FC2">
        <w:t>Demand for health services is affected by health status, which is in turn affected by a range of demographic and socioeconomic factors. Financial, educational, geographic and cultural barriers can reduce access to health services and contribute to poorer health outcomes.</w:t>
      </w:r>
    </w:p>
    <w:p w14:paraId="613BD462" w14:textId="56992FC4" w:rsidR="00252A63" w:rsidRPr="00265FC2" w:rsidRDefault="00252A63" w:rsidP="007B7C0D">
      <w:pPr>
        <w:pStyle w:val="BodyText"/>
      </w:pPr>
      <w:r w:rsidRPr="00265FC2">
        <w:lastRenderedPageBreak/>
        <w:t>People who experience social and economic disadvantage have a relatively high risk of negative health outcome</w:t>
      </w:r>
      <w:r w:rsidR="008062CB" w:rsidRPr="00265FC2">
        <w:t xml:space="preserve">s, and </w:t>
      </w:r>
      <w:r w:rsidRPr="00265FC2">
        <w:t xml:space="preserve">are more likely to report their health as fair or poor, to have high rates of health risk factors and to have shorter lives </w:t>
      </w:r>
      <w:r w:rsidR="00C04B92" w:rsidRPr="00265FC2">
        <w:t xml:space="preserve">(AIHW </w:t>
      </w:r>
      <w:r w:rsidR="007B6B10" w:rsidRPr="00265FC2">
        <w:t>2016b</w:t>
      </w:r>
      <w:r w:rsidRPr="00265FC2">
        <w:t>).</w:t>
      </w:r>
    </w:p>
    <w:p w14:paraId="4F4F935C" w14:textId="77777777" w:rsidR="00252A63" w:rsidRPr="00265FC2" w:rsidRDefault="00252A63" w:rsidP="007B7C0D">
      <w:pPr>
        <w:pStyle w:val="BodyText"/>
      </w:pPr>
      <w:r w:rsidRPr="00265FC2">
        <w:t xml:space="preserve">Geographic location can affect health status and access to health services. People living in rural and remote areas tend to have higher levels of disease risk factors and poorer health status than those living in major cities </w:t>
      </w:r>
      <w:r w:rsidR="00C04B92" w:rsidRPr="00265FC2">
        <w:t xml:space="preserve">(AIHW </w:t>
      </w:r>
      <w:r w:rsidRPr="00265FC2">
        <w:t>201</w:t>
      </w:r>
      <w:r w:rsidR="007B6B10" w:rsidRPr="00265FC2">
        <w:t>6b</w:t>
      </w:r>
      <w:r w:rsidRPr="00265FC2">
        <w:t>).</w:t>
      </w:r>
    </w:p>
    <w:p w14:paraId="3AD50F82" w14:textId="1C4D83B4" w:rsidR="00252A63" w:rsidRPr="00265FC2" w:rsidRDefault="00252A63" w:rsidP="007B7C0D">
      <w:pPr>
        <w:pStyle w:val="BodyText"/>
      </w:pPr>
      <w:r w:rsidRPr="00265FC2">
        <w:t>Aboriginal and Torres Strait Islander people are more likely than are other Australians to experience poor health</w:t>
      </w:r>
      <w:r w:rsidR="008062CB" w:rsidRPr="00265FC2">
        <w:t xml:space="preserve"> and</w:t>
      </w:r>
      <w:r w:rsidRPr="00265FC2">
        <w:t xml:space="preserve"> to die at younger ages </w:t>
      </w:r>
      <w:r w:rsidR="00C04B92" w:rsidRPr="00265FC2">
        <w:t xml:space="preserve">(AIHW </w:t>
      </w:r>
      <w:r w:rsidR="00377682" w:rsidRPr="00265FC2">
        <w:t>201</w:t>
      </w:r>
      <w:r w:rsidR="003B0463" w:rsidRPr="00265FC2">
        <w:t>6b</w:t>
      </w:r>
      <w:r w:rsidR="00377682" w:rsidRPr="00265FC2">
        <w:t>,</w:t>
      </w:r>
      <w:r w:rsidRPr="00265FC2">
        <w:t xml:space="preserve"> tables </w:t>
      </w:r>
      <w:r w:rsidR="00822C47" w:rsidRPr="00265FC2">
        <w:t>EA.</w:t>
      </w:r>
      <w:r w:rsidR="00857854" w:rsidRPr="00265FC2">
        <w:t xml:space="preserve">49 </w:t>
      </w:r>
      <w:r w:rsidRPr="00265FC2">
        <w:t xml:space="preserve">and </w:t>
      </w:r>
      <w:r w:rsidR="00822C47" w:rsidRPr="00265FC2">
        <w:t>EA.</w:t>
      </w:r>
      <w:r w:rsidR="00857854" w:rsidRPr="00265FC2">
        <w:t>51</w:t>
      </w:r>
      <w:r w:rsidRPr="00265FC2">
        <w:t xml:space="preserve">). A recent study found socioeconomic disadvantage </w:t>
      </w:r>
      <w:r w:rsidR="008062CB" w:rsidRPr="00265FC2">
        <w:t>was the</w:t>
      </w:r>
      <w:r w:rsidRPr="00265FC2">
        <w:t xml:space="preserve"> leading health risk for Aboriginal and Torres Strait Islander Australians in the NT, accounting for 42 to </w:t>
      </w:r>
      <w:r w:rsidR="00C22B43" w:rsidRPr="00265FC2">
        <w:br/>
      </w:r>
      <w:r w:rsidRPr="00265FC2">
        <w:t>54 per cent of the life expectancy gap between Aboriginal and Torres Strait Islander and other Australians (Zhao et al. 2013).</w:t>
      </w:r>
    </w:p>
    <w:p w14:paraId="1AC0B4F6" w14:textId="4D5F5349" w:rsidR="00252A63" w:rsidRPr="00265FC2" w:rsidRDefault="00252A63" w:rsidP="007B7C0D">
      <w:pPr>
        <w:pStyle w:val="BodyText"/>
      </w:pPr>
      <w:r w:rsidRPr="00265FC2">
        <w:t xml:space="preserve">Aboriginal and Torres Strait Islander people have low employment and income </w:t>
      </w:r>
      <w:r w:rsidRPr="00265FC2">
        <w:br/>
        <w:t>levels when compared to other Aus</w:t>
      </w:r>
      <w:r w:rsidR="00377682" w:rsidRPr="00265FC2">
        <w:t>tralians (see chapter</w:t>
      </w:r>
      <w:r w:rsidR="007822E3">
        <w:t> </w:t>
      </w:r>
      <w:r w:rsidR="00377682" w:rsidRPr="00265FC2">
        <w:t>2, tables</w:t>
      </w:r>
      <w:r w:rsidR="007822E3">
        <w:t> </w:t>
      </w:r>
      <w:r w:rsidRPr="00265FC2">
        <w:t>2A.3</w:t>
      </w:r>
      <w:r w:rsidR="002F253E">
        <w:t>1</w:t>
      </w:r>
      <w:r w:rsidR="001F6A55" w:rsidRPr="00265FC2">
        <w:t>–</w:t>
      </w:r>
      <w:r w:rsidR="00CA34AA" w:rsidRPr="00265FC2">
        <w:t>3</w:t>
      </w:r>
      <w:r w:rsidR="002F253E">
        <w:t>3</w:t>
      </w:r>
      <w:r w:rsidR="00CA34AA" w:rsidRPr="00265FC2">
        <w:t xml:space="preserve"> and </w:t>
      </w:r>
      <w:r w:rsidR="00CA34AA" w:rsidRPr="002B5946">
        <w:t>2A.3</w:t>
      </w:r>
      <w:r w:rsidR="002F253E">
        <w:t>8</w:t>
      </w:r>
      <w:r w:rsidR="001F6A55" w:rsidRPr="002B5946">
        <w:t>–</w:t>
      </w:r>
      <w:r w:rsidRPr="002B5946">
        <w:t>4</w:t>
      </w:r>
      <w:r w:rsidR="00373507" w:rsidRPr="002B5946">
        <w:t>5</w:t>
      </w:r>
      <w:r w:rsidRPr="00265FC2">
        <w:t>). Aboriginal and Torres Strait Islander Australians have relatively high rates for many health risk factors and are more likely to smoke</w:t>
      </w:r>
      <w:r w:rsidR="008062CB" w:rsidRPr="00265FC2">
        <w:t>,</w:t>
      </w:r>
      <w:r w:rsidRPr="00265FC2">
        <w:t xml:space="preserve"> to consume alcohol at risky levels</w:t>
      </w:r>
      <w:r w:rsidR="008062CB" w:rsidRPr="00265FC2">
        <w:t>, more likely to live in</w:t>
      </w:r>
      <w:r w:rsidR="007822E3">
        <w:t xml:space="preserve"> </w:t>
      </w:r>
      <w:r w:rsidRPr="00265FC2">
        <w:t>overcrowded housing and in remote areas with more lim</w:t>
      </w:r>
      <w:r w:rsidR="00C810EA" w:rsidRPr="00265FC2">
        <w:t>ited access to health services</w:t>
      </w:r>
      <w:r w:rsidR="008062CB" w:rsidRPr="00265FC2">
        <w:t xml:space="preserve"> (SCRGSP 2016)</w:t>
      </w:r>
      <w:r w:rsidR="00C810EA" w:rsidRPr="00265FC2">
        <w:t>.</w:t>
      </w:r>
    </w:p>
    <w:p w14:paraId="6DEB06D3" w14:textId="77777777" w:rsidR="00252A63" w:rsidRPr="00265FC2" w:rsidRDefault="00252A63" w:rsidP="007B7C0D">
      <w:pPr>
        <w:pStyle w:val="Heading3"/>
      </w:pPr>
      <w:r w:rsidRPr="00265FC2">
        <w:t>Service</w:t>
      </w:r>
      <w:r w:rsidRPr="00265FC2">
        <w:noBreakHyphen/>
        <w:t>sector objectives</w:t>
      </w:r>
    </w:p>
    <w:p w14:paraId="6C71B51A" w14:textId="008BC0BC" w:rsidR="00252A63" w:rsidRPr="00265FC2" w:rsidRDefault="00C04B92" w:rsidP="007B7C0D">
      <w:pPr>
        <w:pStyle w:val="BodyText"/>
      </w:pPr>
      <w:r w:rsidRPr="00265FC2">
        <w:t xml:space="preserve">Box </w:t>
      </w:r>
      <w:r w:rsidR="00252A63" w:rsidRPr="00265FC2">
        <w:t>E.1 presents nationally agreed objectives of the health system</w:t>
      </w:r>
      <w:r w:rsidR="00532DAE" w:rsidRPr="00265FC2">
        <w:t xml:space="preserve"> as outlined in the NHA</w:t>
      </w:r>
      <w:r w:rsidR="00252A63" w:rsidRPr="00265FC2">
        <w:t>.</w:t>
      </w:r>
    </w:p>
    <w:p w14:paraId="613D8860" w14:textId="4303E31D" w:rsidR="00997238" w:rsidRPr="00265FC2" w:rsidRDefault="00997238" w:rsidP="00997238">
      <w:pPr>
        <w:keepNext/>
        <w:spacing w:before="360" w:line="80" w:lineRule="exact"/>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97238" w:rsidRPr="00265FC2" w14:paraId="4002B741" w14:textId="77777777" w:rsidTr="009C459E">
        <w:tc>
          <w:tcPr>
            <w:tcW w:w="8771" w:type="dxa"/>
            <w:tcBorders>
              <w:top w:val="single" w:sz="6" w:space="0" w:color="78A22F"/>
              <w:left w:val="nil"/>
              <w:bottom w:val="nil"/>
              <w:right w:val="nil"/>
            </w:tcBorders>
            <w:shd w:val="clear" w:color="auto" w:fill="F2F2F2" w:themeFill="background1" w:themeFillShade="F2"/>
          </w:tcPr>
          <w:p w14:paraId="10A5B44D" w14:textId="71EA0EAA" w:rsidR="00997238" w:rsidRPr="00265FC2" w:rsidRDefault="00997238" w:rsidP="009C459E">
            <w:pPr>
              <w:pStyle w:val="BoxTitle"/>
            </w:pPr>
            <w:r w:rsidRPr="00265FC2">
              <w:rPr>
                <w:b w:val="0"/>
              </w:rPr>
              <w:t xml:space="preserve">Box </w:t>
            </w:r>
            <w:proofErr w:type="spellStart"/>
            <w:r w:rsidRPr="00265FC2">
              <w:rPr>
                <w:b w:val="0"/>
              </w:rPr>
              <w:t>E.</w:t>
            </w:r>
            <w:r w:rsidR="00FD3B62">
              <w:rPr>
                <w:b w:val="0"/>
                <w:noProof/>
              </w:rPr>
              <w:t>1</w:t>
            </w:r>
            <w:proofErr w:type="spellEnd"/>
            <w:r w:rsidRPr="00265FC2">
              <w:tab/>
              <w:t>Overall objectives of the health system</w:t>
            </w:r>
          </w:p>
        </w:tc>
      </w:tr>
      <w:tr w:rsidR="00997238" w:rsidRPr="00265FC2" w14:paraId="277F8CFE" w14:textId="77777777" w:rsidTr="009C459E">
        <w:trPr>
          <w:cantSplit/>
        </w:trPr>
        <w:tc>
          <w:tcPr>
            <w:tcW w:w="8771" w:type="dxa"/>
            <w:tcBorders>
              <w:top w:val="nil"/>
              <w:left w:val="nil"/>
              <w:bottom w:val="nil"/>
              <w:right w:val="nil"/>
            </w:tcBorders>
            <w:shd w:val="clear" w:color="auto" w:fill="F2F2F2" w:themeFill="background1" w:themeFillShade="F2"/>
          </w:tcPr>
          <w:p w14:paraId="433D04D1" w14:textId="77777777" w:rsidR="00997238" w:rsidRPr="00265FC2" w:rsidRDefault="00997238" w:rsidP="009C459E">
            <w:pPr>
              <w:pStyle w:val="Box"/>
            </w:pPr>
            <w:r w:rsidRPr="00265FC2">
              <w:t>Government involvement in the health system is aimed at efficiently and effectively improving health outcomes for all Australians and ensuring the sustainability of the Australian health system, achieving the following outcomes:</w:t>
            </w:r>
          </w:p>
          <w:p w14:paraId="16EE955A" w14:textId="77777777" w:rsidR="00997238" w:rsidRPr="00265FC2" w:rsidRDefault="00997238" w:rsidP="00997238">
            <w:pPr>
              <w:pStyle w:val="BoxListBullet"/>
            </w:pPr>
            <w:r w:rsidRPr="00265FC2">
              <w:t>Australians are born and remain healthy</w:t>
            </w:r>
          </w:p>
          <w:p w14:paraId="59E465DA" w14:textId="77777777" w:rsidR="00997238" w:rsidRPr="00265FC2" w:rsidRDefault="00997238" w:rsidP="00997238">
            <w:pPr>
              <w:pStyle w:val="BoxListBullet"/>
            </w:pPr>
            <w:r w:rsidRPr="00265FC2">
              <w:t>Australians receive appropriate high quality and affordable primary and community health services</w:t>
            </w:r>
          </w:p>
          <w:p w14:paraId="2A2432F7" w14:textId="77777777" w:rsidR="00997238" w:rsidRPr="00265FC2" w:rsidRDefault="00997238" w:rsidP="00997238">
            <w:pPr>
              <w:pStyle w:val="BoxListBullet"/>
            </w:pPr>
            <w:r w:rsidRPr="00265FC2">
              <w:t>Australians receive appropriate high quality and affordable hospital and hospital related care</w:t>
            </w:r>
          </w:p>
          <w:p w14:paraId="49C3EE3E" w14:textId="77777777" w:rsidR="00997238" w:rsidRPr="00265FC2" w:rsidRDefault="00997238" w:rsidP="00997238">
            <w:pPr>
              <w:pStyle w:val="BoxListBullet"/>
            </w:pPr>
            <w:r w:rsidRPr="00265FC2">
              <w:t>Australians have positive health care experiences which take account of individual circumstances and care needs</w:t>
            </w:r>
          </w:p>
          <w:p w14:paraId="7C97A96B" w14:textId="77777777" w:rsidR="00997238" w:rsidRPr="00265FC2" w:rsidRDefault="00997238" w:rsidP="00997238">
            <w:pPr>
              <w:pStyle w:val="BoxListBullet"/>
            </w:pPr>
            <w:r w:rsidRPr="00265FC2">
              <w:t>Australians have a health system that promotes social inclusion and reduces disadvantage, especially for Aboriginal and Torres Strait Islander Australians</w:t>
            </w:r>
          </w:p>
          <w:p w14:paraId="614B7976" w14:textId="77777777" w:rsidR="00997238" w:rsidRPr="00265FC2" w:rsidRDefault="00997238" w:rsidP="00997238">
            <w:pPr>
              <w:pStyle w:val="BoxListBullet"/>
            </w:pPr>
            <w:r w:rsidRPr="00265FC2">
              <w:t>Australians have a sustainable health system.</w:t>
            </w:r>
          </w:p>
        </w:tc>
      </w:tr>
      <w:tr w:rsidR="00997238" w:rsidRPr="00265FC2" w14:paraId="2BE442AF" w14:textId="77777777" w:rsidTr="009C459E">
        <w:trPr>
          <w:cantSplit/>
        </w:trPr>
        <w:tc>
          <w:tcPr>
            <w:tcW w:w="8771" w:type="dxa"/>
            <w:tcBorders>
              <w:top w:val="nil"/>
              <w:left w:val="nil"/>
              <w:bottom w:val="single" w:sz="6" w:space="0" w:color="78A22F"/>
              <w:right w:val="nil"/>
            </w:tcBorders>
            <w:shd w:val="clear" w:color="auto" w:fill="F2F2F2" w:themeFill="background1" w:themeFillShade="F2"/>
          </w:tcPr>
          <w:p w14:paraId="6350C00B" w14:textId="77777777" w:rsidR="00997238" w:rsidRPr="00265FC2" w:rsidRDefault="00997238" w:rsidP="009C459E">
            <w:pPr>
              <w:pStyle w:val="Box"/>
              <w:spacing w:before="0" w:line="120" w:lineRule="exact"/>
            </w:pPr>
          </w:p>
        </w:tc>
      </w:tr>
      <w:tr w:rsidR="00997238" w:rsidRPr="00265FC2" w14:paraId="7C4961BD" w14:textId="77777777" w:rsidTr="009C459E">
        <w:tc>
          <w:tcPr>
            <w:tcW w:w="8771" w:type="dxa"/>
            <w:tcBorders>
              <w:top w:val="single" w:sz="6" w:space="0" w:color="78A22F"/>
              <w:left w:val="nil"/>
              <w:bottom w:val="nil"/>
              <w:right w:val="nil"/>
            </w:tcBorders>
          </w:tcPr>
          <w:p w14:paraId="6EDF017F" w14:textId="072CAC86" w:rsidR="00997238" w:rsidRPr="00265FC2" w:rsidRDefault="00997238" w:rsidP="009C459E">
            <w:pPr>
              <w:pStyle w:val="BoxSpaceBelow"/>
            </w:pPr>
          </w:p>
        </w:tc>
      </w:tr>
    </w:tbl>
    <w:p w14:paraId="26379290" w14:textId="77777777" w:rsidR="00252A63" w:rsidRPr="00265FC2" w:rsidRDefault="00252A63" w:rsidP="00B55C2B">
      <w:pPr>
        <w:pStyle w:val="Heading2"/>
      </w:pPr>
      <w:bookmarkStart w:id="11" w:name="_Toc275247499"/>
      <w:bookmarkStart w:id="12" w:name="_Toc313526079"/>
      <w:bookmarkStart w:id="13" w:name="_Toc338147186"/>
      <w:bookmarkStart w:id="14" w:name="_Toc459735965"/>
      <w:bookmarkStart w:id="15" w:name="_Toc297906729"/>
      <w:r w:rsidRPr="00265FC2">
        <w:lastRenderedPageBreak/>
        <w:t>E.</w:t>
      </w:r>
      <w:r w:rsidRPr="00265FC2">
        <w:rPr>
          <w:noProof/>
        </w:rPr>
        <w:t>2</w:t>
      </w:r>
      <w:r w:rsidRPr="00265FC2">
        <w:tab/>
        <w:t>Sector performance indicator framework</w:t>
      </w:r>
      <w:bookmarkEnd w:id="11"/>
      <w:bookmarkEnd w:id="12"/>
      <w:bookmarkEnd w:id="13"/>
      <w:bookmarkEnd w:id="14"/>
    </w:p>
    <w:bookmarkEnd w:id="15"/>
    <w:p w14:paraId="3CFE5E60" w14:textId="6204FE37" w:rsidR="00252A63" w:rsidRPr="00265FC2" w:rsidRDefault="00252A63" w:rsidP="00B55C2B">
      <w:pPr>
        <w:pStyle w:val="BodyText"/>
      </w:pPr>
      <w:r w:rsidRPr="00265FC2">
        <w:t>This sector overview is based on a sector performance indicator framework</w:t>
      </w:r>
      <w:r w:rsidR="00532DAE" w:rsidRPr="00265FC2">
        <w:t xml:space="preserve"> (figure E.3)</w:t>
      </w:r>
      <w:r w:rsidRPr="00265FC2">
        <w:t xml:space="preserve"> made up of</w:t>
      </w:r>
      <w:r w:rsidR="00C04B92" w:rsidRPr="00265FC2">
        <w:t xml:space="preserve"> the following elements</w:t>
      </w:r>
      <w:r w:rsidRPr="00265FC2">
        <w:t>:</w:t>
      </w:r>
    </w:p>
    <w:p w14:paraId="05776E55" w14:textId="3FCB8838" w:rsidR="009C07D3" w:rsidRPr="00265FC2" w:rsidRDefault="009C07D3" w:rsidP="009C07D3">
      <w:pPr>
        <w:pStyle w:val="ListBullet"/>
      </w:pPr>
      <w:r w:rsidRPr="00265FC2">
        <w:t xml:space="preserve">Sector objectives — three sector objectives </w:t>
      </w:r>
      <w:r w:rsidR="00532DAE" w:rsidRPr="00265FC2">
        <w:t>reflect</w:t>
      </w:r>
      <w:r w:rsidRPr="00265FC2">
        <w:t xml:space="preserve"> the key objectives of the health system (box E.1)</w:t>
      </w:r>
    </w:p>
    <w:p w14:paraId="51D0641B" w14:textId="3D92549E" w:rsidR="009C07D3" w:rsidRPr="00265FC2" w:rsidRDefault="009C07D3" w:rsidP="009C07D3">
      <w:pPr>
        <w:pStyle w:val="ListBullet"/>
      </w:pPr>
      <w:r w:rsidRPr="00265FC2">
        <w:t>Sector</w:t>
      </w:r>
      <w:r w:rsidRPr="00265FC2">
        <w:noBreakHyphen/>
      </w:r>
      <w:r w:rsidRPr="002B5946">
        <w:t xml:space="preserve">wide indicators — </w:t>
      </w:r>
      <w:r w:rsidR="00D917ED" w:rsidRPr="002B5946">
        <w:t>eight</w:t>
      </w:r>
      <w:r w:rsidRPr="002B5946">
        <w:t xml:space="preserve"> sector</w:t>
      </w:r>
      <w:r w:rsidRPr="00265FC2">
        <w:noBreakHyphen/>
        <w:t>wide indicators relate to the overarching service sector objectives identified in the NHA</w:t>
      </w:r>
      <w:r w:rsidR="003B4FBC">
        <w:t>.</w:t>
      </w:r>
    </w:p>
    <w:p w14:paraId="26AAB09B" w14:textId="57E3541D" w:rsidR="00252A63" w:rsidRPr="00265FC2" w:rsidRDefault="00252A63" w:rsidP="00E823B4">
      <w:pPr>
        <w:keepNext/>
        <w:spacing w:before="360" w:line="80" w:lineRule="exact"/>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52A63" w:rsidRPr="00265FC2" w14:paraId="7EAD3EEB" w14:textId="77777777" w:rsidTr="00DA3909">
        <w:tc>
          <w:tcPr>
            <w:tcW w:w="8771" w:type="dxa"/>
            <w:tcBorders>
              <w:top w:val="single" w:sz="6" w:space="0" w:color="78A22F"/>
              <w:left w:val="nil"/>
              <w:bottom w:val="nil"/>
              <w:right w:val="nil"/>
            </w:tcBorders>
            <w:shd w:val="clear" w:color="auto" w:fill="auto"/>
          </w:tcPr>
          <w:p w14:paraId="7D45ED4B" w14:textId="07A03FD8" w:rsidR="00252A63" w:rsidRPr="00265FC2" w:rsidRDefault="00252A63" w:rsidP="00B55C2B">
            <w:pPr>
              <w:pStyle w:val="FigureTitle"/>
            </w:pPr>
            <w:r w:rsidRPr="00265FC2">
              <w:rPr>
                <w:b w:val="0"/>
              </w:rPr>
              <w:t xml:space="preserve">Figure </w:t>
            </w:r>
            <w:proofErr w:type="spellStart"/>
            <w:r w:rsidR="00415191" w:rsidRPr="00265FC2">
              <w:rPr>
                <w:b w:val="0"/>
              </w:rPr>
              <w:t>E.</w:t>
            </w:r>
            <w:r w:rsidR="00FD3B62">
              <w:rPr>
                <w:b w:val="0"/>
                <w:noProof/>
              </w:rPr>
              <w:t>3</w:t>
            </w:r>
            <w:proofErr w:type="spellEnd"/>
            <w:r w:rsidRPr="00265FC2">
              <w:tab/>
            </w:r>
            <w:r w:rsidRPr="00265FC2">
              <w:rPr>
                <w:shd w:val="clear" w:color="auto" w:fill="FFFFFF" w:themeFill="background1"/>
              </w:rPr>
              <w:t xml:space="preserve">Health services sector performance indicator framework </w:t>
            </w:r>
          </w:p>
        </w:tc>
      </w:tr>
      <w:tr w:rsidR="00252A63" w:rsidRPr="00265FC2" w14:paraId="69CAB7D0" w14:textId="77777777" w:rsidTr="00DA3909">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252A63" w:rsidRPr="00265FC2" w14:paraId="41325272" w14:textId="77777777" w:rsidTr="00DA3909">
              <w:tc>
                <w:tcPr>
                  <w:tcW w:w="5000" w:type="pct"/>
                  <w:tcBorders>
                    <w:top w:val="nil"/>
                    <w:bottom w:val="nil"/>
                  </w:tcBorders>
                </w:tcPr>
                <w:p w14:paraId="5753B422" w14:textId="4A955C69" w:rsidR="00252A63" w:rsidRPr="00265FC2" w:rsidRDefault="000C2D62" w:rsidP="00252A63">
                  <w:pPr>
                    <w:keepNext/>
                    <w:spacing w:before="60" w:after="60" w:line="240" w:lineRule="atLeast"/>
                    <w:jc w:val="center"/>
                    <w:rPr>
                      <w:szCs w:val="20"/>
                    </w:rPr>
                  </w:pPr>
                  <w:r w:rsidRPr="00265FC2">
                    <w:rPr>
                      <w:noProof/>
                      <w:szCs w:val="20"/>
                    </w:rPr>
                    <w:drawing>
                      <wp:inline distT="0" distB="0" distL="0" distR="0" wp14:anchorId="647935C6" wp14:editId="6608B4F7">
                        <wp:extent cx="5374433" cy="3153747"/>
                        <wp:effectExtent l="0" t="0" r="0" b="8890"/>
                        <wp:docPr id="4" name="Picture 4" descr="Figure E.3 Health services sector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71694" cy="3152140"/>
                                </a:xfrm>
                                <a:prstGeom prst="rect">
                                  <a:avLst/>
                                </a:prstGeom>
                                <a:noFill/>
                              </pic:spPr>
                            </pic:pic>
                          </a:graphicData>
                        </a:graphic>
                      </wp:inline>
                    </w:drawing>
                  </w:r>
                </w:p>
              </w:tc>
            </w:tr>
          </w:tbl>
          <w:p w14:paraId="4291ADF0" w14:textId="77777777" w:rsidR="00252A63" w:rsidRPr="00265FC2" w:rsidRDefault="00252A63" w:rsidP="00252A63">
            <w:pPr>
              <w:keepNext/>
              <w:spacing w:before="120" w:after="120" w:line="240" w:lineRule="atLeast"/>
              <w:jc w:val="center"/>
              <w:rPr>
                <w:szCs w:val="20"/>
              </w:rPr>
            </w:pPr>
          </w:p>
        </w:tc>
      </w:tr>
      <w:tr w:rsidR="00252A63" w:rsidRPr="00265FC2" w14:paraId="46505340" w14:textId="77777777" w:rsidTr="00DA3909">
        <w:trPr>
          <w:trHeight w:val="65"/>
        </w:trPr>
        <w:tc>
          <w:tcPr>
            <w:tcW w:w="8771" w:type="dxa"/>
            <w:tcBorders>
              <w:top w:val="single" w:sz="6" w:space="0" w:color="78A22F"/>
              <w:left w:val="nil"/>
              <w:bottom w:val="nil"/>
              <w:right w:val="nil"/>
            </w:tcBorders>
          </w:tcPr>
          <w:p w14:paraId="20FA886C" w14:textId="471EC8A8" w:rsidR="00252A63" w:rsidRPr="00265FC2" w:rsidRDefault="00252A63" w:rsidP="00252A63">
            <w:pPr>
              <w:spacing w:before="60" w:after="60" w:line="80" w:lineRule="exact"/>
              <w:jc w:val="both"/>
              <w:rPr>
                <w:rFonts w:ascii="Arial" w:hAnsi="Arial"/>
                <w:sz w:val="14"/>
                <w:szCs w:val="20"/>
              </w:rPr>
            </w:pPr>
          </w:p>
        </w:tc>
      </w:tr>
    </w:tbl>
    <w:p w14:paraId="1296AB0D" w14:textId="77777777" w:rsidR="00252A63" w:rsidRPr="00265FC2" w:rsidRDefault="00252A63" w:rsidP="00B55C2B">
      <w:pPr>
        <w:pStyle w:val="Heading4"/>
      </w:pPr>
      <w:r w:rsidRPr="00265FC2">
        <w:t>Babies born of low birth weight</w:t>
      </w:r>
    </w:p>
    <w:p w14:paraId="392CBB4F" w14:textId="77777777" w:rsidR="00E823B4" w:rsidRPr="00265FC2" w:rsidRDefault="00252A63" w:rsidP="00B55C2B">
      <w:pPr>
        <w:pStyle w:val="BodyText"/>
      </w:pPr>
      <w:r w:rsidRPr="00265FC2">
        <w:t>‘Babies born of low birth weight’ is an indicator of governments’ objective that Australians are bor</w:t>
      </w:r>
      <w:r w:rsidR="00106BE5" w:rsidRPr="00265FC2">
        <w:t>n and remain healthy (box E.2).</w:t>
      </w:r>
    </w:p>
    <w:p w14:paraId="041A9846" w14:textId="66538B92" w:rsidR="00E823B4" w:rsidRPr="00265FC2" w:rsidRDefault="00E823B4" w:rsidP="00E823B4">
      <w:pPr>
        <w:keepNext/>
        <w:spacing w:before="360" w:line="80" w:lineRule="exact"/>
        <w:rPr>
          <w:szCs w:val="2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823B4" w:rsidRPr="00265FC2" w14:paraId="27CC92D5" w14:textId="77777777" w:rsidTr="009C459E">
        <w:tc>
          <w:tcPr>
            <w:tcW w:w="8771" w:type="dxa"/>
            <w:tcBorders>
              <w:top w:val="single" w:sz="6" w:space="0" w:color="78A22F"/>
              <w:left w:val="nil"/>
              <w:bottom w:val="nil"/>
              <w:right w:val="nil"/>
            </w:tcBorders>
            <w:shd w:val="clear" w:color="auto" w:fill="F2F2F2" w:themeFill="background1" w:themeFillShade="F2"/>
          </w:tcPr>
          <w:p w14:paraId="0B506F5A" w14:textId="346764F8" w:rsidR="00E823B4" w:rsidRPr="00265FC2" w:rsidRDefault="00E823B4" w:rsidP="00B55C2B">
            <w:pPr>
              <w:pStyle w:val="BoxTitle"/>
            </w:pPr>
            <w:r w:rsidRPr="00265FC2">
              <w:rPr>
                <w:b w:val="0"/>
              </w:rPr>
              <w:t xml:space="preserve">Box </w:t>
            </w:r>
            <w:proofErr w:type="spellStart"/>
            <w:r w:rsidRPr="00265FC2">
              <w:rPr>
                <w:b w:val="0"/>
              </w:rPr>
              <w:t>E.</w:t>
            </w:r>
            <w:r w:rsidR="00FD3B62">
              <w:rPr>
                <w:b w:val="0"/>
                <w:noProof/>
              </w:rPr>
              <w:t>2</w:t>
            </w:r>
            <w:proofErr w:type="spellEnd"/>
            <w:r w:rsidRPr="00265FC2">
              <w:tab/>
              <w:t>Low birth weight of babies</w:t>
            </w:r>
          </w:p>
        </w:tc>
      </w:tr>
      <w:tr w:rsidR="00E823B4" w:rsidRPr="00265FC2" w14:paraId="31423F8E" w14:textId="77777777" w:rsidTr="009C459E">
        <w:trPr>
          <w:cantSplit/>
        </w:trPr>
        <w:tc>
          <w:tcPr>
            <w:tcW w:w="8771" w:type="dxa"/>
            <w:tcBorders>
              <w:top w:val="nil"/>
              <w:left w:val="nil"/>
              <w:bottom w:val="nil"/>
              <w:right w:val="nil"/>
            </w:tcBorders>
            <w:shd w:val="clear" w:color="auto" w:fill="F2F2F2" w:themeFill="background1" w:themeFillShade="F2"/>
          </w:tcPr>
          <w:p w14:paraId="6E29C5A0" w14:textId="77777777" w:rsidR="00E823B4" w:rsidRPr="00265FC2" w:rsidRDefault="00E823B4" w:rsidP="00E823B4">
            <w:pPr>
              <w:pStyle w:val="Box"/>
            </w:pPr>
            <w:r w:rsidRPr="00265FC2">
              <w:t>‘Low birth weight babies’ is defined as the proportion of live singleton babies of low birth weight. Babies’ birth weight is defined as l</w:t>
            </w:r>
            <w:r w:rsidR="00C04B92" w:rsidRPr="00265FC2">
              <w:t xml:space="preserve">ow if they weigh less than 2500 </w:t>
            </w:r>
            <w:r w:rsidRPr="00265FC2">
              <w:t>grams, very l</w:t>
            </w:r>
            <w:r w:rsidR="00C04B92" w:rsidRPr="00265FC2">
              <w:t xml:space="preserve">ow if they weigh less than 1500 </w:t>
            </w:r>
            <w:r w:rsidRPr="00265FC2">
              <w:t>grams and extremely low if they we</w:t>
            </w:r>
            <w:r w:rsidR="00C04B92" w:rsidRPr="00265FC2">
              <w:t xml:space="preserve">igh less than 1000 </w:t>
            </w:r>
            <w:r w:rsidR="00377682" w:rsidRPr="00265FC2">
              <w:t xml:space="preserve">grams (Li et al. </w:t>
            </w:r>
            <w:r w:rsidRPr="00265FC2">
              <w:t>2013).</w:t>
            </w:r>
          </w:p>
          <w:p w14:paraId="538F7992" w14:textId="77777777" w:rsidR="00E823B4" w:rsidRPr="00265FC2" w:rsidRDefault="00E823B4" w:rsidP="00E823B4">
            <w:pPr>
              <w:pStyle w:val="Box"/>
            </w:pPr>
            <w:r w:rsidRPr="00265FC2">
              <w:t>A low or decreasing number of low birth weight babies is desirable.</w:t>
            </w:r>
          </w:p>
          <w:p w14:paraId="4237A5FD" w14:textId="77777777" w:rsidR="00E823B4" w:rsidRPr="00265FC2" w:rsidRDefault="00E823B4" w:rsidP="00E823B4">
            <w:pPr>
              <w:pStyle w:val="Box"/>
            </w:pPr>
            <w:r w:rsidRPr="00265FC2">
              <w:t>Factors external to the health system also have a strong influence on the birth weight of babies. Some factors contributing to low birth weight include socioeconomic status, size of parents, age of mother, number of babies previously born, mother’s nutritional status, smoking and alcohol intake, and illn</w:t>
            </w:r>
            <w:r w:rsidR="00C04B92" w:rsidRPr="00265FC2">
              <w:t xml:space="preserve">ess during pregnancy (Li et al. </w:t>
            </w:r>
            <w:r w:rsidRPr="00265FC2">
              <w:t>2013).</w:t>
            </w:r>
          </w:p>
          <w:p w14:paraId="6BE7AD7B" w14:textId="77777777" w:rsidR="00E823B4" w:rsidRPr="00265FC2" w:rsidRDefault="00E823B4" w:rsidP="00E823B4">
            <w:pPr>
              <w:pStyle w:val="Box"/>
            </w:pPr>
            <w:r w:rsidRPr="00265FC2">
              <w:t>Data reported for this indicator are:</w:t>
            </w:r>
          </w:p>
          <w:p w14:paraId="31F727F8" w14:textId="77777777" w:rsidR="00E823B4" w:rsidRPr="00265FC2" w:rsidRDefault="00E823B4" w:rsidP="00E823B4">
            <w:pPr>
              <w:pStyle w:val="BoxListBullet"/>
            </w:pPr>
            <w:r w:rsidRPr="00265FC2">
              <w:t>comparable (subject to caveats) across jurisdictions and over time</w:t>
            </w:r>
          </w:p>
          <w:p w14:paraId="71C5184D" w14:textId="77777777" w:rsidR="00D34428" w:rsidRPr="00265FC2" w:rsidRDefault="00E823B4" w:rsidP="00DB6F94">
            <w:pPr>
              <w:pStyle w:val="BoxListBullet"/>
            </w:pPr>
            <w:r w:rsidRPr="00265FC2">
              <w:t>complete (subject to caveats) for the current reporting period. All required 201</w:t>
            </w:r>
            <w:r w:rsidR="00DB6F94" w:rsidRPr="00265FC2">
              <w:t>4</w:t>
            </w:r>
            <w:r w:rsidRPr="00265FC2">
              <w:t xml:space="preserve"> data are available for all jurisdictions.</w:t>
            </w:r>
          </w:p>
        </w:tc>
      </w:tr>
      <w:tr w:rsidR="00E823B4" w:rsidRPr="00265FC2" w14:paraId="1AA84109" w14:textId="77777777" w:rsidTr="009C459E">
        <w:trPr>
          <w:cantSplit/>
        </w:trPr>
        <w:tc>
          <w:tcPr>
            <w:tcW w:w="8771" w:type="dxa"/>
            <w:tcBorders>
              <w:top w:val="nil"/>
              <w:left w:val="nil"/>
              <w:bottom w:val="single" w:sz="6" w:space="0" w:color="78A22F"/>
              <w:right w:val="nil"/>
            </w:tcBorders>
            <w:shd w:val="clear" w:color="auto" w:fill="F2F2F2" w:themeFill="background1" w:themeFillShade="F2"/>
          </w:tcPr>
          <w:p w14:paraId="558CEE8B" w14:textId="77777777" w:rsidR="00E823B4" w:rsidRPr="00265FC2" w:rsidRDefault="00E823B4" w:rsidP="00E823B4">
            <w:pPr>
              <w:keepNext/>
              <w:spacing w:line="120" w:lineRule="exact"/>
              <w:jc w:val="both"/>
              <w:rPr>
                <w:rFonts w:ascii="Arial" w:hAnsi="Arial"/>
                <w:sz w:val="20"/>
                <w:szCs w:val="20"/>
              </w:rPr>
            </w:pPr>
          </w:p>
        </w:tc>
      </w:tr>
      <w:tr w:rsidR="00E823B4" w:rsidRPr="00265FC2" w14:paraId="2C2EFE86" w14:textId="77777777" w:rsidTr="009C459E">
        <w:tc>
          <w:tcPr>
            <w:tcW w:w="8771" w:type="dxa"/>
            <w:tcBorders>
              <w:top w:val="single" w:sz="6" w:space="0" w:color="78A22F"/>
              <w:left w:val="nil"/>
              <w:bottom w:val="nil"/>
              <w:right w:val="nil"/>
            </w:tcBorders>
          </w:tcPr>
          <w:p w14:paraId="43D3B762" w14:textId="2E1E3CF4" w:rsidR="00E823B4" w:rsidRPr="00265FC2" w:rsidRDefault="00E823B4" w:rsidP="00E823B4">
            <w:pPr>
              <w:spacing w:before="60" w:after="60" w:line="80" w:lineRule="exact"/>
              <w:jc w:val="both"/>
              <w:rPr>
                <w:rFonts w:ascii="Arial" w:hAnsi="Arial"/>
                <w:sz w:val="14"/>
                <w:szCs w:val="20"/>
              </w:rPr>
            </w:pPr>
          </w:p>
        </w:tc>
      </w:tr>
    </w:tbl>
    <w:p w14:paraId="5F26D9C9" w14:textId="021FF045" w:rsidR="003B4FBC" w:rsidRDefault="00C04B92" w:rsidP="00B55C2B">
      <w:pPr>
        <w:pStyle w:val="BodyText"/>
      </w:pPr>
      <w:r w:rsidRPr="002B5946">
        <w:t>In 201</w:t>
      </w:r>
      <w:r w:rsidR="00ED3E8D" w:rsidRPr="002B5946">
        <w:t>4</w:t>
      </w:r>
      <w:r w:rsidR="00DB6F94" w:rsidRPr="002B5946">
        <w:t xml:space="preserve">, </w:t>
      </w:r>
      <w:r w:rsidR="006105CB" w:rsidRPr="002B5946">
        <w:t>6.4</w:t>
      </w:r>
      <w:r w:rsidRPr="002B5946">
        <w:t xml:space="preserve"> per </w:t>
      </w:r>
      <w:r w:rsidR="00252A63" w:rsidRPr="002B5946">
        <w:t>cent of liveborn singleton babies in Australia were of low birth weight (table EA.</w:t>
      </w:r>
      <w:r w:rsidR="00ED3E8D" w:rsidRPr="002B5946">
        <w:t>7</w:t>
      </w:r>
      <w:r w:rsidRPr="002B5946">
        <w:t>)</w:t>
      </w:r>
      <w:r w:rsidR="00F703C4" w:rsidRPr="002B5946">
        <w:t xml:space="preserve">, with rates increasing </w:t>
      </w:r>
      <w:r w:rsidR="00B15DD3" w:rsidRPr="002B5946">
        <w:t xml:space="preserve">as remoteness increased (table </w:t>
      </w:r>
      <w:r w:rsidR="00F703C4" w:rsidRPr="002B5946">
        <w:t>EA.</w:t>
      </w:r>
      <w:r w:rsidR="00085569" w:rsidRPr="002B5946">
        <w:t>9</w:t>
      </w:r>
      <w:r w:rsidR="00F703C4" w:rsidRPr="002B5946">
        <w:t>)</w:t>
      </w:r>
      <w:r w:rsidRPr="002B5946">
        <w:t xml:space="preserve">. Of all liveborn babies, </w:t>
      </w:r>
      <w:r w:rsidR="00E27FAD" w:rsidRPr="002B5946">
        <w:t xml:space="preserve">1.0 </w:t>
      </w:r>
      <w:r w:rsidR="00D917ED" w:rsidRPr="002B5946">
        <w:t>per cent were of very low birth weight (table EA.7).</w:t>
      </w:r>
      <w:r w:rsidR="008A298B">
        <w:t xml:space="preserve"> </w:t>
      </w:r>
      <w:r w:rsidR="00252A63" w:rsidRPr="00265FC2">
        <w:t xml:space="preserve">Among liveborn singleton babies born to Aboriginal and Torres Strait Islander mothers in </w:t>
      </w:r>
      <w:r w:rsidR="00ED3E8D">
        <w:t>2014</w:t>
      </w:r>
      <w:r w:rsidR="00252A63" w:rsidRPr="00265FC2">
        <w:t xml:space="preserve">, the proportion with low birth weight was </w:t>
      </w:r>
      <w:r w:rsidR="00ED3E8D" w:rsidRPr="002B5946">
        <w:t>almost</w:t>
      </w:r>
      <w:r w:rsidR="00252A63" w:rsidRPr="00265FC2">
        <w:t xml:space="preserve"> twice that for babies born to non</w:t>
      </w:r>
      <w:r w:rsidR="00252A63" w:rsidRPr="00265FC2">
        <w:noBreakHyphen/>
        <w:t>Indigenous mot</w:t>
      </w:r>
      <w:r w:rsidR="008A298B">
        <w:t>hers (figure </w:t>
      </w:r>
      <w:r w:rsidR="00252A63" w:rsidRPr="00265FC2">
        <w:t>E.4).</w:t>
      </w:r>
    </w:p>
    <w:p w14:paraId="77DA8082" w14:textId="5915301C" w:rsidR="003B4FBC" w:rsidRPr="00D65825" w:rsidRDefault="003B4FBC" w:rsidP="003B4FB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B4FBC" w:rsidRPr="00D65825" w14:paraId="32D5E129" w14:textId="77777777" w:rsidTr="00F83400">
        <w:tc>
          <w:tcPr>
            <w:tcW w:w="8771" w:type="dxa"/>
            <w:tcBorders>
              <w:top w:val="single" w:sz="6" w:space="0" w:color="78A22F"/>
              <w:left w:val="nil"/>
              <w:bottom w:val="nil"/>
              <w:right w:val="nil"/>
            </w:tcBorders>
            <w:shd w:val="clear" w:color="auto" w:fill="auto"/>
          </w:tcPr>
          <w:p w14:paraId="1480F8CF" w14:textId="026B4896" w:rsidR="003B4FBC" w:rsidRPr="00D65825" w:rsidRDefault="003B4FBC" w:rsidP="00F83400">
            <w:pPr>
              <w:pStyle w:val="FigureTitle"/>
            </w:pPr>
            <w:r w:rsidRPr="00265FC2">
              <w:rPr>
                <w:b w:val="0"/>
              </w:rPr>
              <w:t xml:space="preserve">Figure </w:t>
            </w:r>
            <w:proofErr w:type="spellStart"/>
            <w:r w:rsidRPr="00265FC2">
              <w:rPr>
                <w:b w:val="0"/>
              </w:rPr>
              <w:t>E.</w:t>
            </w:r>
            <w:r w:rsidR="00FD3B62">
              <w:rPr>
                <w:b w:val="0"/>
                <w:noProof/>
              </w:rPr>
              <w:t>4</w:t>
            </w:r>
            <w:proofErr w:type="spellEnd"/>
            <w:r w:rsidRPr="00265FC2">
              <w:tab/>
            </w:r>
            <w:r w:rsidRPr="00D81CD2">
              <w:t>Low b</w:t>
            </w:r>
            <w:r w:rsidRPr="00D81CD2">
              <w:rPr>
                <w:bCs/>
              </w:rPr>
              <w:t>irthweight</w:t>
            </w:r>
            <w:r w:rsidRPr="001C14CB">
              <w:rPr>
                <w:bCs/>
              </w:rPr>
              <w:t xml:space="preserve"> live births to Aboriginal and Torres Strait Islander and all mothers, </w:t>
            </w:r>
            <w:r w:rsidRPr="009A120E">
              <w:rPr>
                <w:bCs/>
              </w:rPr>
              <w:t>2014</w:t>
            </w:r>
            <w:r w:rsidRPr="009A120E">
              <w:rPr>
                <w:rStyle w:val="NoteLabel"/>
                <w:b/>
              </w:rPr>
              <w:t>a, b</w:t>
            </w:r>
          </w:p>
        </w:tc>
      </w:tr>
      <w:tr w:rsidR="00DE0CCD" w:rsidRPr="00265FC2" w14:paraId="7503C011" w14:textId="77777777" w:rsidTr="002B5946">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625"/>
            </w:tblGrid>
            <w:tr w:rsidR="00DE0CCD" w:rsidRPr="00265FC2" w14:paraId="0740675B" w14:textId="77777777" w:rsidTr="003C4854">
              <w:tc>
                <w:tcPr>
                  <w:tcW w:w="8625" w:type="dxa"/>
                  <w:tcBorders>
                    <w:top w:val="nil"/>
                    <w:bottom w:val="nil"/>
                  </w:tcBorders>
                </w:tcPr>
                <w:p w14:paraId="23D6EC9F" w14:textId="2B859F05" w:rsidR="00DE0CCD" w:rsidRPr="00265FC2" w:rsidRDefault="003C4854" w:rsidP="009C459E">
                  <w:pPr>
                    <w:pStyle w:val="Figure"/>
                    <w:spacing w:before="60" w:after="60"/>
                  </w:pPr>
                  <w:r>
                    <w:rPr>
                      <w:noProof/>
                    </w:rPr>
                    <w:drawing>
                      <wp:inline distT="0" distB="0" distL="0" distR="0" wp14:anchorId="40325397" wp14:editId="45C60014">
                        <wp:extent cx="5400000" cy="2700000"/>
                        <wp:effectExtent l="0" t="0" r="0" b="5715"/>
                        <wp:docPr id="6" name="Chart 6" descr="Figure E.4 Low birthweight live births to Aboriginal and Torres Strait Islander and all mothers, 2014&#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14:paraId="4CC9CE7F" w14:textId="77777777" w:rsidR="00DE0CCD" w:rsidRPr="00265FC2" w:rsidRDefault="00DE0CCD" w:rsidP="009C459E">
            <w:pPr>
              <w:pStyle w:val="Figure"/>
            </w:pPr>
          </w:p>
        </w:tc>
      </w:tr>
      <w:tr w:rsidR="00DE0CCD" w:rsidRPr="00265FC2" w14:paraId="1FCE3E82" w14:textId="77777777" w:rsidTr="009C459E">
        <w:tc>
          <w:tcPr>
            <w:tcW w:w="8771" w:type="dxa"/>
            <w:tcBorders>
              <w:top w:val="nil"/>
              <w:left w:val="nil"/>
              <w:bottom w:val="nil"/>
              <w:right w:val="nil"/>
            </w:tcBorders>
            <w:shd w:val="clear" w:color="auto" w:fill="auto"/>
          </w:tcPr>
          <w:p w14:paraId="2BEC3587" w14:textId="023FAB3E" w:rsidR="00DE0CCD" w:rsidRPr="00265FC2" w:rsidRDefault="00DE0CCD" w:rsidP="00FD15E5">
            <w:pPr>
              <w:pStyle w:val="Note"/>
              <w:rPr>
                <w:b/>
                <w:position w:val="6"/>
              </w:rPr>
            </w:pPr>
            <w:r w:rsidRPr="00265FC2">
              <w:rPr>
                <w:rStyle w:val="NoteLabel"/>
              </w:rPr>
              <w:t>a</w:t>
            </w:r>
            <w:r w:rsidRPr="00265FC2">
              <w:sym w:font="Symbol" w:char="F020"/>
            </w:r>
            <w:r w:rsidRPr="00265FC2">
              <w:t xml:space="preserve">See box E.2 and table </w:t>
            </w:r>
            <w:r w:rsidRPr="002B5946">
              <w:t>EA.</w:t>
            </w:r>
            <w:r w:rsidR="004B580D" w:rsidRPr="002B5946">
              <w:t>7–8</w:t>
            </w:r>
            <w:r w:rsidRPr="00265FC2">
              <w:t xml:space="preserve"> for detailed definitions, footnotes and caveats.</w:t>
            </w:r>
            <w:r w:rsidR="004B580D" w:rsidRPr="009B3C82">
              <w:rPr>
                <w:rStyle w:val="NoteLabel"/>
              </w:rPr>
              <w:t xml:space="preserve"> </w:t>
            </w:r>
            <w:r w:rsidR="004B580D" w:rsidRPr="002B5946">
              <w:rPr>
                <w:rStyle w:val="NoteLabel"/>
              </w:rPr>
              <w:t>b</w:t>
            </w:r>
            <w:r w:rsidR="002B5946">
              <w:rPr>
                <w:rStyle w:val="NoteLabel"/>
              </w:rPr>
              <w:t xml:space="preserve"> </w:t>
            </w:r>
            <w:r w:rsidR="002B5946">
              <w:t>Da</w:t>
            </w:r>
            <w:r w:rsidR="004B580D" w:rsidRPr="002B5946">
              <w:t>ta for low birthweight of live births to Aboriginal and Torres Strait Islander mothers are not published for Tasmania</w:t>
            </w:r>
            <w:r w:rsidR="00D917ED" w:rsidRPr="002B5946">
              <w:t xml:space="preserve"> </w:t>
            </w:r>
            <w:r w:rsidR="00FD15E5" w:rsidRPr="002B5946">
              <w:t>or</w:t>
            </w:r>
            <w:r w:rsidR="004B580D" w:rsidRPr="002B5946">
              <w:t xml:space="preserve"> the ACT.</w:t>
            </w:r>
          </w:p>
        </w:tc>
      </w:tr>
      <w:tr w:rsidR="00DE0CCD" w:rsidRPr="00265FC2" w14:paraId="3C0AC76F" w14:textId="77777777" w:rsidTr="009C459E">
        <w:tc>
          <w:tcPr>
            <w:tcW w:w="8771" w:type="dxa"/>
            <w:tcBorders>
              <w:top w:val="nil"/>
              <w:left w:val="nil"/>
              <w:bottom w:val="nil"/>
              <w:right w:val="nil"/>
            </w:tcBorders>
            <w:shd w:val="clear" w:color="auto" w:fill="auto"/>
          </w:tcPr>
          <w:p w14:paraId="4640B91F" w14:textId="58F5F357" w:rsidR="00DE0CCD" w:rsidRPr="00265FC2" w:rsidRDefault="00DE0CCD" w:rsidP="00B15DD3">
            <w:pPr>
              <w:pStyle w:val="Source"/>
            </w:pPr>
            <w:r w:rsidRPr="00265FC2">
              <w:rPr>
                <w:i/>
              </w:rPr>
              <w:t>Source</w:t>
            </w:r>
            <w:r w:rsidR="006703E9" w:rsidRPr="00265FC2">
              <w:t xml:space="preserve">: AIHW </w:t>
            </w:r>
            <w:r w:rsidRPr="00265FC2">
              <w:t>(unpublished) National Perinatal Data Collection; table</w:t>
            </w:r>
            <w:r w:rsidR="00905619">
              <w:t>s</w:t>
            </w:r>
            <w:r w:rsidRPr="00265FC2">
              <w:t> EA.</w:t>
            </w:r>
            <w:r w:rsidR="00905619">
              <w:t>7–8</w:t>
            </w:r>
            <w:r w:rsidRPr="00265FC2">
              <w:t>.</w:t>
            </w:r>
          </w:p>
        </w:tc>
      </w:tr>
      <w:tr w:rsidR="00DE0CCD" w:rsidRPr="00265FC2" w14:paraId="658FDF14" w14:textId="77777777" w:rsidTr="009C459E">
        <w:tc>
          <w:tcPr>
            <w:tcW w:w="8771" w:type="dxa"/>
            <w:tcBorders>
              <w:top w:val="nil"/>
              <w:left w:val="nil"/>
              <w:bottom w:val="single" w:sz="6" w:space="0" w:color="78A22F"/>
              <w:right w:val="nil"/>
            </w:tcBorders>
            <w:shd w:val="clear" w:color="auto" w:fill="auto"/>
          </w:tcPr>
          <w:p w14:paraId="0491B9C1" w14:textId="77777777" w:rsidR="00DE0CCD" w:rsidRPr="00265FC2" w:rsidRDefault="00DE0CCD" w:rsidP="009C459E">
            <w:pPr>
              <w:pStyle w:val="Figurespace"/>
            </w:pPr>
          </w:p>
        </w:tc>
      </w:tr>
      <w:tr w:rsidR="00DE0CCD" w:rsidRPr="00265FC2" w14:paraId="21E0DB21" w14:textId="77777777" w:rsidTr="009C459E">
        <w:tc>
          <w:tcPr>
            <w:tcW w:w="8771" w:type="dxa"/>
            <w:tcBorders>
              <w:top w:val="single" w:sz="6" w:space="0" w:color="78A22F"/>
              <w:left w:val="nil"/>
              <w:bottom w:val="nil"/>
              <w:right w:val="nil"/>
            </w:tcBorders>
          </w:tcPr>
          <w:p w14:paraId="5B6DE46C" w14:textId="1CE3895A" w:rsidR="00DE0CCD" w:rsidRPr="00265FC2" w:rsidRDefault="00DE0CCD" w:rsidP="009C459E">
            <w:pPr>
              <w:pStyle w:val="BoxSpaceBelow"/>
            </w:pPr>
          </w:p>
        </w:tc>
      </w:tr>
    </w:tbl>
    <w:p w14:paraId="4A4336F0" w14:textId="77777777" w:rsidR="00252A63" w:rsidRPr="00265FC2" w:rsidRDefault="00252A63" w:rsidP="00B55C2B">
      <w:pPr>
        <w:pStyle w:val="Heading4"/>
      </w:pPr>
      <w:r w:rsidRPr="00265FC2">
        <w:lastRenderedPageBreak/>
        <w:t>Prevalence of risk factors to the health of Australians</w:t>
      </w:r>
    </w:p>
    <w:p w14:paraId="0F9F66A3" w14:textId="77777777" w:rsidR="00252A63" w:rsidRPr="00265FC2" w:rsidRDefault="00252A63" w:rsidP="00B55C2B">
      <w:pPr>
        <w:pStyle w:val="BodyText"/>
      </w:pPr>
      <w:r w:rsidRPr="00265FC2">
        <w:t>‘Prevalence of risk factors to the health of Australians’ is an indicator of governments’ objective that Australians a</w:t>
      </w:r>
      <w:r w:rsidR="00C04B92" w:rsidRPr="00265FC2">
        <w:t xml:space="preserve">re born and remain healthy (box </w:t>
      </w:r>
      <w:r w:rsidRPr="00265FC2">
        <w:t>E.3).</w:t>
      </w:r>
    </w:p>
    <w:p w14:paraId="4866874D" w14:textId="3931C2C5" w:rsidR="002A49D2" w:rsidRPr="00265FC2" w:rsidRDefault="002A49D2" w:rsidP="002A49D2">
      <w:pPr>
        <w:keepNext/>
        <w:spacing w:before="360" w:line="80" w:lineRule="exact"/>
        <w:rPr>
          <w:szCs w:val="2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A49D2" w:rsidRPr="00265FC2" w14:paraId="571B39C2" w14:textId="77777777" w:rsidTr="00D24728">
        <w:tc>
          <w:tcPr>
            <w:tcW w:w="8771" w:type="dxa"/>
            <w:tcBorders>
              <w:top w:val="single" w:sz="6" w:space="0" w:color="78A22F"/>
              <w:left w:val="nil"/>
              <w:bottom w:val="nil"/>
              <w:right w:val="nil"/>
            </w:tcBorders>
            <w:shd w:val="clear" w:color="auto" w:fill="F2F2F2" w:themeFill="background1" w:themeFillShade="F2"/>
          </w:tcPr>
          <w:p w14:paraId="20617D93" w14:textId="126BFFB9" w:rsidR="002A49D2" w:rsidRPr="00265FC2" w:rsidRDefault="002A49D2" w:rsidP="00D24728">
            <w:pPr>
              <w:pStyle w:val="BoxTitle"/>
            </w:pPr>
            <w:r w:rsidRPr="00265FC2">
              <w:rPr>
                <w:b w:val="0"/>
              </w:rPr>
              <w:t xml:space="preserve">Box </w:t>
            </w:r>
            <w:proofErr w:type="spellStart"/>
            <w:r w:rsidRPr="00265FC2">
              <w:rPr>
                <w:b w:val="0"/>
              </w:rPr>
              <w:t>E.</w:t>
            </w:r>
            <w:r w:rsidR="00FD3B62">
              <w:rPr>
                <w:b w:val="0"/>
                <w:noProof/>
              </w:rPr>
              <w:t>3</w:t>
            </w:r>
            <w:proofErr w:type="spellEnd"/>
            <w:r w:rsidRPr="00265FC2">
              <w:tab/>
              <w:t>Prevalence of risk factors to the health of Australians</w:t>
            </w:r>
          </w:p>
        </w:tc>
      </w:tr>
      <w:tr w:rsidR="002A49D2" w:rsidRPr="00265FC2" w14:paraId="769DCB68" w14:textId="77777777" w:rsidTr="00D24728">
        <w:trPr>
          <w:cantSplit/>
        </w:trPr>
        <w:tc>
          <w:tcPr>
            <w:tcW w:w="8771" w:type="dxa"/>
            <w:tcBorders>
              <w:top w:val="nil"/>
              <w:left w:val="nil"/>
              <w:bottom w:val="nil"/>
              <w:right w:val="nil"/>
            </w:tcBorders>
            <w:shd w:val="clear" w:color="auto" w:fill="F2F2F2" w:themeFill="background1" w:themeFillShade="F2"/>
          </w:tcPr>
          <w:p w14:paraId="7D17E563" w14:textId="77777777" w:rsidR="002A49D2" w:rsidRPr="00265FC2" w:rsidRDefault="002A49D2" w:rsidP="002A49D2">
            <w:pPr>
              <w:pStyle w:val="Box"/>
            </w:pPr>
            <w:r w:rsidRPr="00265FC2">
              <w:t>‘Prevalence of risk factors to the health of Australians’ is defined by the following measures:</w:t>
            </w:r>
          </w:p>
          <w:p w14:paraId="18C7F3EA" w14:textId="77777777" w:rsidR="002A49D2" w:rsidRPr="00265FC2" w:rsidRDefault="002A49D2" w:rsidP="002A49D2">
            <w:pPr>
              <w:pStyle w:val="BoxListBullet"/>
            </w:pPr>
            <w:r w:rsidRPr="00265FC2">
              <w:t>Prevalence of overweight and obesity — the proportion of the population with a Body Mass Index (BMI) in the categories of overweight or obese. BMI is calculated as weight (kg) divided by the square of height (m). BMI values are grouped according to World Health Organization (WHO) and National Health and Medical Research Council (NHMRC) guidelines.</w:t>
            </w:r>
          </w:p>
          <w:p w14:paraId="49E50F88" w14:textId="680AFD65" w:rsidR="002A49D2" w:rsidRPr="00265FC2" w:rsidRDefault="002A49D2" w:rsidP="002A49D2">
            <w:pPr>
              <w:pStyle w:val="BoxListBullet2"/>
            </w:pPr>
            <w:r w:rsidRPr="00265FC2">
              <w:t>Among adults (defined as people aged 18 years or over), a BMI of 25 to less than 30 is considered overweight and a BMI of 30 or over is considered to be obese (WHO 2000; NHMRC 2013). For children (defined as people aged 5</w:t>
            </w:r>
            <w:r w:rsidR="007822E3">
              <w:noBreakHyphen/>
            </w:r>
            <w:r w:rsidRPr="00265FC2">
              <w:t>17 years), obesity is defined as BMI (appropriate for age and sex) that is likely to be 30 or more at age 18 years.</w:t>
            </w:r>
          </w:p>
          <w:p w14:paraId="73919EBB" w14:textId="77777777" w:rsidR="002A49D2" w:rsidRPr="00265FC2" w:rsidRDefault="002A49D2" w:rsidP="002A49D2">
            <w:pPr>
              <w:pStyle w:val="BoxListBullet"/>
            </w:pPr>
            <w:r w:rsidRPr="00265FC2">
              <w:t>Rates of current daily smokers — the proportion of people aged 18 years or over who smoke tobacco every day.</w:t>
            </w:r>
          </w:p>
          <w:p w14:paraId="34837354" w14:textId="77777777" w:rsidR="002A49D2" w:rsidRPr="00265FC2" w:rsidRDefault="002A49D2" w:rsidP="002A49D2">
            <w:pPr>
              <w:pStyle w:val="BoxListBullet"/>
            </w:pPr>
            <w:r w:rsidRPr="00265FC2">
              <w:t>Risk of alcohol related harm over a lifetime — the proportion of people aged 18 years or over assessed as having an alcohol consumption pattern that puts them at risk of long</w:t>
            </w:r>
            <w:r w:rsidRPr="00265FC2">
              <w:noBreakHyphen/>
              <w:t>term alcohol related harm.</w:t>
            </w:r>
          </w:p>
          <w:p w14:paraId="31EC400C" w14:textId="77777777" w:rsidR="002A49D2" w:rsidRPr="00265FC2" w:rsidRDefault="002A49D2" w:rsidP="002A49D2">
            <w:pPr>
              <w:pStyle w:val="BoxListBullet2"/>
            </w:pPr>
            <w:r w:rsidRPr="00265FC2">
              <w:t>‘Lifetime risk of alcohol related harm’ is defined according to the 2009 NHMRC guidelines: for males and females, no more than two standard drinks on any day. This has been operationalised as: for both males and females, an average of more than 2 standard drinks per day in the last week (NHMRC 2009).</w:t>
            </w:r>
          </w:p>
          <w:p w14:paraId="78F72DA3" w14:textId="3991E4A7" w:rsidR="002A49D2" w:rsidRPr="00265FC2" w:rsidRDefault="002A49D2" w:rsidP="002A49D2">
            <w:pPr>
              <w:pStyle w:val="Box"/>
            </w:pPr>
            <w:r w:rsidRPr="00265FC2">
              <w:t>A low or decreasing rate is desirable for each health risk factor.</w:t>
            </w:r>
            <w:r w:rsidR="00AD4A96" w:rsidRPr="00265FC2">
              <w:t xml:space="preserve"> Rates are age standardised.</w:t>
            </w:r>
          </w:p>
          <w:p w14:paraId="3D9EBFE6" w14:textId="77777777" w:rsidR="002A49D2" w:rsidRPr="00265FC2" w:rsidRDefault="002A49D2" w:rsidP="002A49D2">
            <w:pPr>
              <w:pStyle w:val="Box"/>
            </w:pPr>
            <w:r w:rsidRPr="00265FC2">
              <w:t>Data reported for this indicator are:</w:t>
            </w:r>
          </w:p>
          <w:p w14:paraId="0E34B3CC" w14:textId="77777777" w:rsidR="002A49D2" w:rsidRPr="00265FC2" w:rsidRDefault="002A49D2" w:rsidP="002A49D2">
            <w:pPr>
              <w:pStyle w:val="BoxListBullet"/>
            </w:pPr>
            <w:r w:rsidRPr="00265FC2">
              <w:t>comparable (subject to caveats) across jurisdictions and over time</w:t>
            </w:r>
          </w:p>
          <w:p w14:paraId="16E25967" w14:textId="21871614" w:rsidR="002A49D2" w:rsidRPr="00265FC2" w:rsidRDefault="002A49D2" w:rsidP="002A49D2">
            <w:pPr>
              <w:pStyle w:val="BoxListBullet"/>
            </w:pPr>
            <w:r w:rsidRPr="00265FC2">
              <w:t xml:space="preserve">complete (subject to caveats) for the current reporting period. All required </w:t>
            </w:r>
            <w:r w:rsidRPr="00265FC2">
              <w:br/>
              <w:t>2014</w:t>
            </w:r>
            <w:r w:rsidR="007822E3">
              <w:noBreakHyphen/>
            </w:r>
            <w:r w:rsidRPr="00265FC2">
              <w:t>15 data are available for all jurisdictions.</w:t>
            </w:r>
          </w:p>
          <w:p w14:paraId="0E308653" w14:textId="3CFED9C1" w:rsidR="002A49D2" w:rsidRPr="00265FC2" w:rsidRDefault="00E77A82" w:rsidP="00115651">
            <w:pPr>
              <w:pStyle w:val="Box"/>
            </w:pPr>
            <w:r w:rsidRPr="00265FC2">
              <w:t>D</w:t>
            </w:r>
            <w:r w:rsidR="002A49D2" w:rsidRPr="00265FC2">
              <w:t>ata d</w:t>
            </w:r>
            <w:r w:rsidRPr="00265FC2">
              <w:t xml:space="preserve">o </w:t>
            </w:r>
            <w:r w:rsidR="002A49D2" w:rsidRPr="00265FC2">
              <w:t xml:space="preserve">not include </w:t>
            </w:r>
            <w:r w:rsidRPr="00265FC2">
              <w:t>people living in discrete Aboriginal and Torres Strait Islander communities and very remote areas, which affect</w:t>
            </w:r>
            <w:r w:rsidR="00FD15E5">
              <w:t>s</w:t>
            </w:r>
            <w:r w:rsidR="002A49D2" w:rsidRPr="00265FC2">
              <w:t xml:space="preserve"> the comparability of the NT results.</w:t>
            </w:r>
          </w:p>
        </w:tc>
      </w:tr>
      <w:tr w:rsidR="002A49D2" w:rsidRPr="00265FC2" w14:paraId="46CCAC6F" w14:textId="77777777" w:rsidTr="00D24728">
        <w:trPr>
          <w:cantSplit/>
        </w:trPr>
        <w:tc>
          <w:tcPr>
            <w:tcW w:w="8771" w:type="dxa"/>
            <w:tcBorders>
              <w:top w:val="nil"/>
              <w:left w:val="nil"/>
              <w:bottom w:val="single" w:sz="6" w:space="0" w:color="78A22F"/>
              <w:right w:val="nil"/>
            </w:tcBorders>
            <w:shd w:val="clear" w:color="auto" w:fill="F2F2F2" w:themeFill="background1" w:themeFillShade="F2"/>
          </w:tcPr>
          <w:p w14:paraId="1E9149E6" w14:textId="77777777" w:rsidR="002A49D2" w:rsidRPr="00265FC2" w:rsidRDefault="002A49D2" w:rsidP="00D24728">
            <w:pPr>
              <w:keepNext/>
              <w:spacing w:line="120" w:lineRule="exact"/>
              <w:jc w:val="both"/>
              <w:rPr>
                <w:rFonts w:ascii="Arial" w:hAnsi="Arial"/>
                <w:sz w:val="20"/>
                <w:szCs w:val="20"/>
              </w:rPr>
            </w:pPr>
          </w:p>
        </w:tc>
      </w:tr>
      <w:tr w:rsidR="002A49D2" w:rsidRPr="00265FC2" w14:paraId="5B44D067" w14:textId="77777777" w:rsidTr="00D24728">
        <w:tc>
          <w:tcPr>
            <w:tcW w:w="8771" w:type="dxa"/>
            <w:tcBorders>
              <w:top w:val="single" w:sz="6" w:space="0" w:color="78A22F"/>
              <w:left w:val="nil"/>
              <w:bottom w:val="nil"/>
              <w:right w:val="nil"/>
            </w:tcBorders>
          </w:tcPr>
          <w:p w14:paraId="34FFFAC9" w14:textId="4509C3C0" w:rsidR="002A49D2" w:rsidRPr="00265FC2" w:rsidRDefault="002A49D2" w:rsidP="00D24728">
            <w:pPr>
              <w:spacing w:before="60" w:after="60" w:line="80" w:lineRule="exact"/>
              <w:jc w:val="both"/>
              <w:rPr>
                <w:rFonts w:ascii="Arial" w:hAnsi="Arial"/>
                <w:sz w:val="14"/>
                <w:szCs w:val="20"/>
              </w:rPr>
            </w:pPr>
          </w:p>
        </w:tc>
      </w:tr>
    </w:tbl>
    <w:p w14:paraId="2471A9ED" w14:textId="77777777" w:rsidR="00252A63" w:rsidRPr="00D65825" w:rsidRDefault="00252A63" w:rsidP="00B55C2B">
      <w:pPr>
        <w:pStyle w:val="Heading5"/>
      </w:pPr>
      <w:r w:rsidRPr="00D65825">
        <w:t>Preva</w:t>
      </w:r>
      <w:r w:rsidR="00817610" w:rsidRPr="00D65825">
        <w:t>lence of overweight and obesity</w:t>
      </w:r>
    </w:p>
    <w:p w14:paraId="3790C03D" w14:textId="5F263A9C" w:rsidR="00252A63" w:rsidRPr="00D65825" w:rsidRDefault="00252A63" w:rsidP="00B55C2B">
      <w:pPr>
        <w:pStyle w:val="BodyText"/>
      </w:pPr>
      <w:r w:rsidRPr="00D65825">
        <w:t>In 201</w:t>
      </w:r>
      <w:r w:rsidR="003A78E9" w:rsidRPr="00D65825">
        <w:t>4</w:t>
      </w:r>
      <w:r w:rsidR="003A78E9" w:rsidRPr="00D65825">
        <w:noBreakHyphen/>
        <w:t>15</w:t>
      </w:r>
      <w:r w:rsidRPr="00D65825">
        <w:t>, over a third o</w:t>
      </w:r>
      <w:r w:rsidR="00E026DD" w:rsidRPr="00D65825">
        <w:t>f adults’</w:t>
      </w:r>
      <w:r w:rsidRPr="00D65825">
        <w:t xml:space="preserve"> measured BMI was in the overweight</w:t>
      </w:r>
      <w:r w:rsidRPr="00D65825">
        <w:rPr>
          <w:shd w:val="clear" w:color="auto" w:fill="FFFFFF" w:themeFill="background1"/>
        </w:rPr>
        <w:t xml:space="preserve"> range and over a quarter were obese </w:t>
      </w:r>
      <w:r w:rsidR="00C04B92" w:rsidRPr="00D65825">
        <w:rPr>
          <w:shd w:val="clear" w:color="auto" w:fill="FFFFFF" w:themeFill="background1"/>
        </w:rPr>
        <w:t>(figure E.5</w:t>
      </w:r>
      <w:r w:rsidR="00377682" w:rsidRPr="00D65825">
        <w:rPr>
          <w:shd w:val="clear" w:color="auto" w:fill="FFFFFF" w:themeFill="background1"/>
        </w:rPr>
        <w:t>,</w:t>
      </w:r>
      <w:r w:rsidR="00C04B92" w:rsidRPr="00D65825">
        <w:rPr>
          <w:shd w:val="clear" w:color="auto" w:fill="FFFFFF" w:themeFill="background1"/>
        </w:rPr>
        <w:t xml:space="preserve"> table </w:t>
      </w:r>
      <w:r w:rsidRPr="00D65825">
        <w:rPr>
          <w:shd w:val="clear" w:color="auto" w:fill="FFFFFF" w:themeFill="background1"/>
        </w:rPr>
        <w:t>EA.1</w:t>
      </w:r>
      <w:r w:rsidR="00085569" w:rsidRPr="00D65825">
        <w:rPr>
          <w:shd w:val="clear" w:color="auto" w:fill="FFFFFF" w:themeFill="background1"/>
        </w:rPr>
        <w:t>0</w:t>
      </w:r>
      <w:r w:rsidRPr="00D65825">
        <w:rPr>
          <w:shd w:val="clear" w:color="auto" w:fill="FFFFFF" w:themeFill="background1"/>
        </w:rPr>
        <w:t>)</w:t>
      </w:r>
      <w:r w:rsidR="00E026DD" w:rsidRPr="00D65825">
        <w:rPr>
          <w:shd w:val="clear" w:color="auto" w:fill="FFFFFF" w:themeFill="background1"/>
        </w:rPr>
        <w:t xml:space="preserve">, with proportions generally </w:t>
      </w:r>
      <w:r w:rsidRPr="00D65825">
        <w:t xml:space="preserve">higher in </w:t>
      </w:r>
      <w:r w:rsidR="00C04B92" w:rsidRPr="00D65825">
        <w:rPr>
          <w:shd w:val="clear" w:color="auto" w:fill="FFFFFF" w:themeFill="background1"/>
        </w:rPr>
        <w:t xml:space="preserve">remote </w:t>
      </w:r>
      <w:r w:rsidRPr="00D65825">
        <w:t xml:space="preserve">and outer regional </w:t>
      </w:r>
      <w:r w:rsidR="00C04B92" w:rsidRPr="00D65825">
        <w:rPr>
          <w:shd w:val="clear" w:color="auto" w:fill="FFFFFF" w:themeFill="background1"/>
        </w:rPr>
        <w:t>areas</w:t>
      </w:r>
      <w:r w:rsidR="00817610" w:rsidRPr="00D65825">
        <w:rPr>
          <w:shd w:val="clear" w:color="auto" w:fill="FFFFFF" w:themeFill="background1"/>
        </w:rPr>
        <w:t xml:space="preserve"> </w:t>
      </w:r>
      <w:r w:rsidRPr="00D65825">
        <w:t xml:space="preserve">than in major cities </w:t>
      </w:r>
      <w:r w:rsidRPr="00D65825">
        <w:rPr>
          <w:shd w:val="clear" w:color="auto" w:fill="FFFFFF" w:themeFill="background1"/>
        </w:rPr>
        <w:t xml:space="preserve">in </w:t>
      </w:r>
      <w:r w:rsidR="009F0D4F" w:rsidRPr="00D65825">
        <w:t>2014</w:t>
      </w:r>
      <w:r w:rsidR="009F0D4F" w:rsidRPr="00D65825">
        <w:noBreakHyphen/>
        <w:t>15</w:t>
      </w:r>
      <w:r w:rsidR="00377682" w:rsidRPr="00D65825">
        <w:t xml:space="preserve"> (table </w:t>
      </w:r>
      <w:r w:rsidR="00817610" w:rsidRPr="00D65825">
        <w:t>EA.1</w:t>
      </w:r>
      <w:r w:rsidR="00085569" w:rsidRPr="00D65825">
        <w:t>1</w:t>
      </w:r>
      <w:r w:rsidR="00817610" w:rsidRPr="00D65825">
        <w:t>).</w:t>
      </w:r>
      <w:r w:rsidR="00E026DD" w:rsidRPr="00D65825">
        <w:t xml:space="preserve"> For children, these </w:t>
      </w:r>
      <w:r w:rsidR="00AD4A96" w:rsidRPr="00D65825">
        <w:t xml:space="preserve">age standardised </w:t>
      </w:r>
      <w:r w:rsidR="00E026DD" w:rsidRPr="00D65825">
        <w:t>proportions were 20.</w:t>
      </w:r>
      <w:r w:rsidR="00AD4A96" w:rsidRPr="00D65825">
        <w:t>3</w:t>
      </w:r>
      <w:r w:rsidR="00E026DD" w:rsidRPr="00D65825">
        <w:t xml:space="preserve"> per cen</w:t>
      </w:r>
      <w:r w:rsidR="00D65825" w:rsidRPr="00D65825">
        <w:t xml:space="preserve">t and 7.4 per cent respectively </w:t>
      </w:r>
      <w:r w:rsidR="00D65825" w:rsidRPr="00D65825">
        <w:br/>
      </w:r>
      <w:r w:rsidR="00E026DD" w:rsidRPr="00D65825">
        <w:t>(table EA.1</w:t>
      </w:r>
      <w:r w:rsidR="00085569" w:rsidRPr="00D65825">
        <w:t>0</w:t>
      </w:r>
      <w:r w:rsidR="00E026DD" w:rsidRPr="00D65825">
        <w:t>).</w:t>
      </w:r>
    </w:p>
    <w:p w14:paraId="472BC784" w14:textId="0F2C7D22" w:rsidR="00DE0CCD" w:rsidRPr="00D65825" w:rsidRDefault="00DE0CCD" w:rsidP="00DE0CC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E0CCD" w:rsidRPr="00D65825" w14:paraId="796142FC" w14:textId="77777777" w:rsidTr="009C459E">
        <w:tc>
          <w:tcPr>
            <w:tcW w:w="8771" w:type="dxa"/>
            <w:tcBorders>
              <w:top w:val="single" w:sz="6" w:space="0" w:color="78A22F"/>
              <w:left w:val="nil"/>
              <w:bottom w:val="nil"/>
              <w:right w:val="nil"/>
            </w:tcBorders>
            <w:shd w:val="clear" w:color="auto" w:fill="auto"/>
          </w:tcPr>
          <w:p w14:paraId="7591E73F" w14:textId="66885EDE" w:rsidR="00DE0CCD" w:rsidRPr="00D65825" w:rsidRDefault="00DE0CCD" w:rsidP="00357F46">
            <w:pPr>
              <w:pStyle w:val="FigureTitle"/>
            </w:pPr>
            <w:r w:rsidRPr="00D65825">
              <w:rPr>
                <w:b w:val="0"/>
              </w:rPr>
              <w:t xml:space="preserve">Figure </w:t>
            </w:r>
            <w:proofErr w:type="spellStart"/>
            <w:r w:rsidR="00FB3CFE" w:rsidRPr="00D65825">
              <w:rPr>
                <w:b w:val="0"/>
              </w:rPr>
              <w:t>E.</w:t>
            </w:r>
            <w:r w:rsidR="00FD3B62">
              <w:rPr>
                <w:b w:val="0"/>
                <w:noProof/>
              </w:rPr>
              <w:t>5</w:t>
            </w:r>
            <w:proofErr w:type="spellEnd"/>
            <w:r w:rsidRPr="00D65825">
              <w:tab/>
            </w:r>
            <w:r w:rsidRPr="00D65825">
              <w:rPr>
                <w:bCs/>
              </w:rPr>
              <w:t>Proportion of adults in BMI categories</w:t>
            </w:r>
            <w:r w:rsidR="00357F46" w:rsidRPr="00D65825">
              <w:rPr>
                <w:bCs/>
              </w:rPr>
              <w:t xml:space="preserve"> (age standardised)</w:t>
            </w:r>
            <w:r w:rsidRPr="00D65825">
              <w:rPr>
                <w:bCs/>
              </w:rPr>
              <w:t xml:space="preserve"> 201</w:t>
            </w:r>
            <w:r w:rsidR="003A78E9" w:rsidRPr="00D65825">
              <w:rPr>
                <w:bCs/>
              </w:rPr>
              <w:t>4</w:t>
            </w:r>
            <w:r w:rsidR="003A78E9" w:rsidRPr="00D65825">
              <w:rPr>
                <w:bCs/>
              </w:rPr>
              <w:noBreakHyphen/>
              <w:t>15</w:t>
            </w:r>
            <w:r w:rsidRPr="00D65825">
              <w:rPr>
                <w:rStyle w:val="NoteLabel"/>
                <w:b/>
              </w:rPr>
              <w:t>a</w:t>
            </w:r>
          </w:p>
        </w:tc>
      </w:tr>
      <w:tr w:rsidR="00DE0CCD" w:rsidRPr="00D65825" w14:paraId="5D0A53C0" w14:textId="77777777" w:rsidTr="009C459E">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625"/>
            </w:tblGrid>
            <w:tr w:rsidR="00DE0CCD" w:rsidRPr="00D65825" w14:paraId="5E4744A2" w14:textId="77777777" w:rsidTr="003C4854">
              <w:tc>
                <w:tcPr>
                  <w:tcW w:w="8625" w:type="dxa"/>
                  <w:tcBorders>
                    <w:top w:val="nil"/>
                    <w:bottom w:val="nil"/>
                  </w:tcBorders>
                </w:tcPr>
                <w:p w14:paraId="2353BB5B" w14:textId="7CF5A0C7" w:rsidR="00DE0CCD" w:rsidRPr="00D65825" w:rsidRDefault="003C4854" w:rsidP="009C459E">
                  <w:pPr>
                    <w:pStyle w:val="Figure"/>
                    <w:spacing w:before="60" w:after="60"/>
                  </w:pPr>
                  <w:r>
                    <w:rPr>
                      <w:noProof/>
                    </w:rPr>
                    <w:drawing>
                      <wp:inline distT="0" distB="0" distL="0" distR="0" wp14:anchorId="7625DD36" wp14:editId="4F7C9F4F">
                        <wp:extent cx="5400000" cy="2700000"/>
                        <wp:effectExtent l="0" t="0" r="0" b="5715"/>
                        <wp:docPr id="12" name="Chart 12" descr="Figure E.5 Proportion of adults in BMI categories (age standardised) 2014-15&#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p w14:paraId="6F20EBFE" w14:textId="77777777" w:rsidR="00DE0CCD" w:rsidRPr="00D65825" w:rsidRDefault="00DE0CCD" w:rsidP="009C459E">
            <w:pPr>
              <w:pStyle w:val="Figure"/>
            </w:pPr>
          </w:p>
        </w:tc>
      </w:tr>
      <w:tr w:rsidR="00DE0CCD" w:rsidRPr="00D65825" w14:paraId="4396F9FD" w14:textId="77777777" w:rsidTr="009C459E">
        <w:tc>
          <w:tcPr>
            <w:tcW w:w="8771" w:type="dxa"/>
            <w:tcBorders>
              <w:top w:val="nil"/>
              <w:left w:val="nil"/>
              <w:bottom w:val="nil"/>
              <w:right w:val="nil"/>
            </w:tcBorders>
            <w:shd w:val="clear" w:color="auto" w:fill="auto"/>
          </w:tcPr>
          <w:p w14:paraId="703BDCEA" w14:textId="185DC5BA" w:rsidR="00DE0CCD" w:rsidRPr="00D65825" w:rsidRDefault="00DE0CCD" w:rsidP="00085569">
            <w:pPr>
              <w:pStyle w:val="Note"/>
              <w:keepNext/>
            </w:pPr>
            <w:r w:rsidRPr="00D65825">
              <w:rPr>
                <w:rStyle w:val="NoteLabel"/>
              </w:rPr>
              <w:t>a</w:t>
            </w:r>
            <w:r w:rsidRPr="00D65825">
              <w:sym w:font="Symbol" w:char="F020"/>
            </w:r>
            <w:r w:rsidRPr="00D65825">
              <w:t>See box E.3 and table EA.1</w:t>
            </w:r>
            <w:r w:rsidR="00085569" w:rsidRPr="00D65825">
              <w:t>0</w:t>
            </w:r>
            <w:r w:rsidRPr="00D65825">
              <w:t xml:space="preserve"> for detailed definitions, footnotes and caveats.</w:t>
            </w:r>
          </w:p>
        </w:tc>
      </w:tr>
      <w:tr w:rsidR="00DE0CCD" w:rsidRPr="00D65825" w14:paraId="53C870F9" w14:textId="77777777" w:rsidTr="009C459E">
        <w:tc>
          <w:tcPr>
            <w:tcW w:w="8771" w:type="dxa"/>
            <w:tcBorders>
              <w:top w:val="nil"/>
              <w:left w:val="nil"/>
              <w:bottom w:val="nil"/>
              <w:right w:val="nil"/>
            </w:tcBorders>
            <w:shd w:val="clear" w:color="auto" w:fill="auto"/>
          </w:tcPr>
          <w:p w14:paraId="120137DA" w14:textId="13DBCE4C" w:rsidR="00DE0CCD" w:rsidRPr="00D65825" w:rsidRDefault="00DE0CCD" w:rsidP="00085569">
            <w:pPr>
              <w:pStyle w:val="Source"/>
            </w:pPr>
            <w:r w:rsidRPr="00D65825">
              <w:rPr>
                <w:i/>
              </w:rPr>
              <w:t>Source</w:t>
            </w:r>
            <w:r w:rsidR="006703E9" w:rsidRPr="00D65825">
              <w:t xml:space="preserve">: </w:t>
            </w:r>
            <w:r w:rsidR="0069308F" w:rsidRPr="00D65825">
              <w:t xml:space="preserve">ABS (unpublished) </w:t>
            </w:r>
            <w:r w:rsidR="0069308F" w:rsidRPr="00D65825">
              <w:rPr>
                <w:i/>
              </w:rPr>
              <w:t>National Health Survey 2014</w:t>
            </w:r>
            <w:r w:rsidR="0069308F" w:rsidRPr="00D65825">
              <w:rPr>
                <w:i/>
              </w:rPr>
              <w:noBreakHyphen/>
              <w:t>15</w:t>
            </w:r>
            <w:r w:rsidR="0069308F" w:rsidRPr="00D65825">
              <w:t>, Cat. no. 4364.0</w:t>
            </w:r>
            <w:r w:rsidRPr="00D65825">
              <w:t>; table EA.1</w:t>
            </w:r>
            <w:r w:rsidR="00085569" w:rsidRPr="00D65825">
              <w:t>0</w:t>
            </w:r>
            <w:r w:rsidRPr="00D65825">
              <w:t>.</w:t>
            </w:r>
          </w:p>
        </w:tc>
      </w:tr>
      <w:tr w:rsidR="00DE0CCD" w:rsidRPr="00D65825" w14:paraId="433594EB" w14:textId="77777777" w:rsidTr="009C459E">
        <w:tc>
          <w:tcPr>
            <w:tcW w:w="8771" w:type="dxa"/>
            <w:tcBorders>
              <w:top w:val="nil"/>
              <w:left w:val="nil"/>
              <w:bottom w:val="single" w:sz="6" w:space="0" w:color="78A22F"/>
              <w:right w:val="nil"/>
            </w:tcBorders>
            <w:shd w:val="clear" w:color="auto" w:fill="auto"/>
          </w:tcPr>
          <w:p w14:paraId="4BA2E4EF" w14:textId="77777777" w:rsidR="00DE0CCD" w:rsidRPr="00D65825" w:rsidRDefault="00DE0CCD" w:rsidP="009C459E">
            <w:pPr>
              <w:pStyle w:val="Figurespace"/>
            </w:pPr>
          </w:p>
        </w:tc>
      </w:tr>
      <w:tr w:rsidR="00DE0CCD" w:rsidRPr="00D65825" w14:paraId="5BDF5BE0" w14:textId="77777777" w:rsidTr="00265FC2">
        <w:trPr>
          <w:trHeight w:val="278"/>
        </w:trPr>
        <w:tc>
          <w:tcPr>
            <w:tcW w:w="8771" w:type="dxa"/>
            <w:tcBorders>
              <w:top w:val="single" w:sz="6" w:space="0" w:color="78A22F"/>
              <w:left w:val="nil"/>
              <w:bottom w:val="nil"/>
              <w:right w:val="nil"/>
            </w:tcBorders>
          </w:tcPr>
          <w:p w14:paraId="799ECB04" w14:textId="38C93008" w:rsidR="00DE0CCD" w:rsidRPr="00D65825" w:rsidRDefault="00DE0CCD" w:rsidP="009C459E">
            <w:pPr>
              <w:pStyle w:val="BoxSpaceBelow"/>
            </w:pPr>
          </w:p>
        </w:tc>
      </w:tr>
    </w:tbl>
    <w:p w14:paraId="08F30147" w14:textId="5535F776" w:rsidR="00E026DD" w:rsidRPr="00265FC2" w:rsidRDefault="00252A63" w:rsidP="00B55C2B">
      <w:pPr>
        <w:pStyle w:val="BodyText"/>
        <w:rPr>
          <w:shd w:val="clear" w:color="auto" w:fill="FFFFFF" w:themeFill="background1"/>
        </w:rPr>
      </w:pPr>
      <w:r w:rsidRPr="00D65825">
        <w:t xml:space="preserve">The percentage of people who were overweight or obese tended to be higher in older age groups, peaking at age </w:t>
      </w:r>
      <w:r w:rsidR="001B4E38" w:rsidRPr="00D65825">
        <w:t>55–</w:t>
      </w:r>
      <w:r w:rsidR="00F61350" w:rsidRPr="00D65825">
        <w:t>6</w:t>
      </w:r>
      <w:r w:rsidR="00C04B92" w:rsidRPr="00D65825">
        <w:t>4 for males</w:t>
      </w:r>
      <w:r w:rsidR="006F732C" w:rsidRPr="00265FC2">
        <w:t xml:space="preserve"> </w:t>
      </w:r>
      <w:r w:rsidR="00C04B92" w:rsidRPr="00265FC2">
        <w:t xml:space="preserve">and </w:t>
      </w:r>
      <w:r w:rsidR="001B4E38" w:rsidRPr="00265FC2">
        <w:t xml:space="preserve">65–69 for </w:t>
      </w:r>
      <w:r w:rsidR="003C3287" w:rsidRPr="00265FC2">
        <w:t>females</w:t>
      </w:r>
      <w:r w:rsidR="001B4E38" w:rsidRPr="00265FC2">
        <w:t xml:space="preserve"> </w:t>
      </w:r>
      <w:r w:rsidR="006B2DD4" w:rsidRPr="00265FC2">
        <w:t>in 201</w:t>
      </w:r>
      <w:r w:rsidR="001B4E38" w:rsidRPr="00265FC2">
        <w:t>4</w:t>
      </w:r>
      <w:r w:rsidR="001B4E38" w:rsidRPr="00265FC2">
        <w:noBreakHyphen/>
        <w:t>15</w:t>
      </w:r>
      <w:r w:rsidR="006F732C" w:rsidRPr="00265FC2">
        <w:rPr>
          <w:shd w:val="clear" w:color="auto" w:fill="FFFFFF" w:themeFill="background1"/>
        </w:rPr>
        <w:t xml:space="preserve"> </w:t>
      </w:r>
      <w:r w:rsidR="00C04B92" w:rsidRPr="00265FC2">
        <w:rPr>
          <w:shd w:val="clear" w:color="auto" w:fill="FFFFFF" w:themeFill="background1"/>
        </w:rPr>
        <w:t xml:space="preserve">(table </w:t>
      </w:r>
      <w:r w:rsidR="006F732C" w:rsidRPr="00265FC2">
        <w:rPr>
          <w:shd w:val="clear" w:color="auto" w:fill="FFFFFF" w:themeFill="background1"/>
        </w:rPr>
        <w:t>EA.1</w:t>
      </w:r>
      <w:r w:rsidR="00085569" w:rsidRPr="00265FC2">
        <w:rPr>
          <w:shd w:val="clear" w:color="auto" w:fill="FFFFFF" w:themeFill="background1"/>
        </w:rPr>
        <w:t>3</w:t>
      </w:r>
      <w:r w:rsidR="00D24728" w:rsidRPr="00265FC2">
        <w:rPr>
          <w:shd w:val="clear" w:color="auto" w:fill="FFFFFF" w:themeFill="background1"/>
        </w:rPr>
        <w:t>).</w:t>
      </w:r>
    </w:p>
    <w:p w14:paraId="22D4914B" w14:textId="517A8E44" w:rsidR="00252A63" w:rsidRPr="00265FC2" w:rsidRDefault="00252A63" w:rsidP="00B55C2B">
      <w:pPr>
        <w:pStyle w:val="BodyText"/>
        <w:rPr>
          <w:shd w:val="clear" w:color="auto" w:fill="FFFFFF" w:themeFill="background1"/>
        </w:rPr>
      </w:pPr>
      <w:r w:rsidRPr="00265FC2">
        <w:t>Nationally</w:t>
      </w:r>
      <w:r w:rsidR="00E026DD" w:rsidRPr="00265FC2">
        <w:t xml:space="preserve"> in 2011–13</w:t>
      </w:r>
      <w:r w:rsidRPr="00265FC2">
        <w:t>, the rate of overweight and obesity was higher for Aboriginal and Torr</w:t>
      </w:r>
      <w:r w:rsidR="00C04B92" w:rsidRPr="00265FC2">
        <w:t xml:space="preserve">es Strait Islander adults </w:t>
      </w:r>
      <w:r w:rsidRPr="00265FC2">
        <w:t xml:space="preserve">than </w:t>
      </w:r>
      <w:r w:rsidR="00C04B92" w:rsidRPr="00265FC2">
        <w:t>for other adu</w:t>
      </w:r>
      <w:r w:rsidR="006F732C" w:rsidRPr="00265FC2">
        <w:t>lts</w:t>
      </w:r>
      <w:r w:rsidR="00E026DD" w:rsidRPr="00265FC2">
        <w:t xml:space="preserve"> </w:t>
      </w:r>
      <w:r w:rsidR="00C04B92" w:rsidRPr="00265FC2">
        <w:t xml:space="preserve">(table </w:t>
      </w:r>
      <w:r w:rsidRPr="00265FC2">
        <w:t>EA.</w:t>
      </w:r>
      <w:r w:rsidR="00105F78" w:rsidRPr="00265FC2">
        <w:t>14</w:t>
      </w:r>
      <w:r w:rsidRPr="00265FC2">
        <w:t>). Data for the rate of overweight and obesity fo</w:t>
      </w:r>
      <w:r w:rsidR="006F732C" w:rsidRPr="00265FC2">
        <w:t xml:space="preserve">r children by Indigenous status </w:t>
      </w:r>
      <w:r w:rsidRPr="00265FC2">
        <w:t xml:space="preserve">are reported in table </w:t>
      </w:r>
      <w:r w:rsidR="00822C47" w:rsidRPr="00265FC2">
        <w:t>EA.</w:t>
      </w:r>
      <w:r w:rsidR="00D24728" w:rsidRPr="00265FC2">
        <w:t>1</w:t>
      </w:r>
      <w:r w:rsidR="00AD4A96" w:rsidRPr="00265FC2">
        <w:t>6</w:t>
      </w:r>
      <w:r w:rsidRPr="00265FC2">
        <w:t>.</w:t>
      </w:r>
    </w:p>
    <w:p w14:paraId="4FD6B9D2" w14:textId="77777777" w:rsidR="00252A63" w:rsidRPr="00265FC2" w:rsidRDefault="00252A63" w:rsidP="00B55C2B">
      <w:pPr>
        <w:pStyle w:val="Heading5"/>
      </w:pPr>
      <w:r w:rsidRPr="00265FC2">
        <w:t>Rates of current daily smokers</w:t>
      </w:r>
    </w:p>
    <w:p w14:paraId="5479C399" w14:textId="2E568A79" w:rsidR="006E0729" w:rsidRPr="002B5946" w:rsidRDefault="00E026DD" w:rsidP="00B55C2B">
      <w:pPr>
        <w:pStyle w:val="BodyText"/>
      </w:pPr>
      <w:r w:rsidRPr="00265FC2">
        <w:t>Nation</w:t>
      </w:r>
      <w:r w:rsidR="00FF25CF" w:rsidRPr="00265FC2">
        <w:t>ally in 2014</w:t>
      </w:r>
      <w:r w:rsidR="007822E3">
        <w:noBreakHyphen/>
      </w:r>
      <w:r w:rsidR="00FF25CF" w:rsidRPr="002B5946">
        <w:t>15, 14.</w:t>
      </w:r>
      <w:r w:rsidR="00AD4A96" w:rsidRPr="002B5946">
        <w:t>8</w:t>
      </w:r>
      <w:r w:rsidR="00FF25CF" w:rsidRPr="002B5946">
        <w:t xml:space="preserve"> per cent </w:t>
      </w:r>
      <w:r w:rsidRPr="002B5946">
        <w:t>of adults w</w:t>
      </w:r>
      <w:r w:rsidR="00FF25CF" w:rsidRPr="002B5946">
        <w:t xml:space="preserve">ere </w:t>
      </w:r>
      <w:r w:rsidR="006703E9" w:rsidRPr="002B5946">
        <w:t>daily smokers (</w:t>
      </w:r>
      <w:r w:rsidR="009F19E6" w:rsidRPr="002B5946">
        <w:t>age standardised rate)</w:t>
      </w:r>
      <w:r w:rsidR="00FF25CF" w:rsidRPr="002B5946">
        <w:t xml:space="preserve">, with rates higher in areas outside of major cities and for people who were living in </w:t>
      </w:r>
      <w:r w:rsidR="00252A63" w:rsidRPr="002B5946">
        <w:t xml:space="preserve">more disadvantaged </w:t>
      </w:r>
      <w:r w:rsidR="00FF25CF" w:rsidRPr="002B5946">
        <w:t>areas</w:t>
      </w:r>
      <w:r w:rsidR="00252A63" w:rsidRPr="002B5946">
        <w:t xml:space="preserve"> </w:t>
      </w:r>
      <w:r w:rsidR="006703E9" w:rsidRPr="002B5946">
        <w:t>(table</w:t>
      </w:r>
      <w:r w:rsidR="009F19E6" w:rsidRPr="002B5946">
        <w:t>s</w:t>
      </w:r>
      <w:r w:rsidR="006703E9" w:rsidRPr="002B5946">
        <w:t xml:space="preserve"> </w:t>
      </w:r>
      <w:r w:rsidR="00822C47" w:rsidRPr="002B5946">
        <w:t>EA.</w:t>
      </w:r>
      <w:r w:rsidR="009F19E6" w:rsidRPr="002B5946">
        <w:t>17–18</w:t>
      </w:r>
      <w:r w:rsidR="00252A63" w:rsidRPr="002B5946">
        <w:t>).</w:t>
      </w:r>
      <w:r w:rsidR="00AD4A96" w:rsidRPr="002B5946">
        <w:t xml:space="preserve"> T</w:t>
      </w:r>
      <w:r w:rsidR="006E0729" w:rsidRPr="002B5946">
        <w:t>he proportion of Aboriginal and Torres Strait Islander adults that were daily smokers was almost three times the proportion for non</w:t>
      </w:r>
      <w:r w:rsidR="007822E3">
        <w:noBreakHyphen/>
      </w:r>
      <w:r w:rsidR="006E0729" w:rsidRPr="002B5946">
        <w:t>Indigenous adults in 2014</w:t>
      </w:r>
      <w:r w:rsidR="007822E3">
        <w:noBreakHyphen/>
      </w:r>
      <w:r w:rsidR="006E0729" w:rsidRPr="002B5946">
        <w:t>15 (table EA.</w:t>
      </w:r>
      <w:r w:rsidR="00AD4A96" w:rsidRPr="002B5946">
        <w:t>19</w:t>
      </w:r>
      <w:r w:rsidR="003B15BB" w:rsidRPr="002B5946">
        <w:t>)</w:t>
      </w:r>
      <w:r w:rsidR="006E0729" w:rsidRPr="002B5946">
        <w:t>.</w:t>
      </w:r>
    </w:p>
    <w:p w14:paraId="4B0073A5" w14:textId="77777777" w:rsidR="00B2609B" w:rsidRPr="002B5946" w:rsidRDefault="00B2609B" w:rsidP="00B2609B">
      <w:pPr>
        <w:pStyle w:val="Heading5"/>
      </w:pPr>
      <w:r w:rsidRPr="002B5946">
        <w:t>Levels of risky alcohol consumption</w:t>
      </w:r>
    </w:p>
    <w:p w14:paraId="64CE2EDE" w14:textId="48E4FF67" w:rsidR="00D917ED" w:rsidRPr="004F5393" w:rsidRDefault="00D917ED" w:rsidP="00D917ED">
      <w:pPr>
        <w:pStyle w:val="BodyText"/>
        <w:rPr>
          <w:u w:val="single"/>
        </w:rPr>
      </w:pPr>
      <w:r w:rsidRPr="002B5946">
        <w:rPr>
          <w:shd w:val="clear" w:color="auto" w:fill="FFFFFF" w:themeFill="background1"/>
        </w:rPr>
        <w:t>Across Australia in 2014</w:t>
      </w:r>
      <w:r w:rsidRPr="002B5946">
        <w:rPr>
          <w:shd w:val="clear" w:color="auto" w:fill="FFFFFF" w:themeFill="background1"/>
        </w:rPr>
        <w:noBreakHyphen/>
        <w:t>15</w:t>
      </w:r>
      <w:r w:rsidRPr="002B5946">
        <w:t xml:space="preserve">, 17.4 per cent of adults were at </w:t>
      </w:r>
      <w:r w:rsidRPr="002B5946">
        <w:rPr>
          <w:lang w:val="en-US"/>
        </w:rPr>
        <w:t>risk of long</w:t>
      </w:r>
      <w:r w:rsidRPr="002B5946">
        <w:rPr>
          <w:lang w:val="en-US"/>
        </w:rPr>
        <w:noBreakHyphen/>
        <w:t>term alcohol</w:t>
      </w:r>
      <w:r w:rsidRPr="002B5946">
        <w:rPr>
          <w:lang w:val="en-US"/>
        </w:rPr>
        <w:noBreakHyphen/>
        <w:t>related harm</w:t>
      </w:r>
      <w:r w:rsidRPr="002B5946">
        <w:t xml:space="preserve"> (age standardised rate, table EA.20), with rates increasing as remoteness increased (figure E.6). Proportions were higher for people living </w:t>
      </w:r>
      <w:r w:rsidR="0059223E">
        <w:t>with less disadvantage</w:t>
      </w:r>
      <w:r w:rsidRPr="002B5946">
        <w:t xml:space="preserve"> (table EA.21). Rates for Aboriginal and Torres Strait Islander Australians are </w:t>
      </w:r>
      <w:r w:rsidRPr="002B5946">
        <w:lastRenderedPageBreak/>
        <w:t>presented</w:t>
      </w:r>
      <w:r w:rsidRPr="00FB3CFE">
        <w:t xml:space="preserve"> in </w:t>
      </w:r>
      <w:r w:rsidRPr="009B3C82">
        <w:t>table EA.22 (comparable data for non</w:t>
      </w:r>
      <w:r w:rsidR="007822E3">
        <w:noBreakHyphen/>
      </w:r>
      <w:r w:rsidRPr="009B3C82">
        <w:t>Indigenous Australians are not available for 2014</w:t>
      </w:r>
      <w:r w:rsidRPr="009B3C82">
        <w:noBreakHyphen/>
        <w:t>15).</w:t>
      </w:r>
    </w:p>
    <w:p w14:paraId="33A9469C" w14:textId="194482F8" w:rsidR="002B5946" w:rsidRPr="00D65825" w:rsidRDefault="002B5946" w:rsidP="002B594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B5946" w:rsidRPr="004F5393" w14:paraId="16680A36" w14:textId="77777777" w:rsidTr="004F5393">
        <w:tc>
          <w:tcPr>
            <w:tcW w:w="8771" w:type="dxa"/>
            <w:tcBorders>
              <w:top w:val="single" w:sz="6" w:space="0" w:color="78A22F"/>
              <w:left w:val="nil"/>
              <w:bottom w:val="nil"/>
              <w:right w:val="nil"/>
            </w:tcBorders>
            <w:shd w:val="clear" w:color="auto" w:fill="auto"/>
          </w:tcPr>
          <w:p w14:paraId="00068D51" w14:textId="0B819483" w:rsidR="002B5946" w:rsidRPr="004F5393" w:rsidRDefault="002B5946" w:rsidP="004F5393">
            <w:pPr>
              <w:pStyle w:val="FigureTitle"/>
            </w:pPr>
            <w:r w:rsidRPr="004F5393">
              <w:rPr>
                <w:b w:val="0"/>
              </w:rPr>
              <w:t xml:space="preserve">Figure </w:t>
            </w:r>
            <w:proofErr w:type="spellStart"/>
            <w:r w:rsidRPr="004F5393">
              <w:rPr>
                <w:b w:val="0"/>
              </w:rPr>
              <w:t>E.</w:t>
            </w:r>
            <w:r w:rsidR="00FD3B62">
              <w:rPr>
                <w:b w:val="0"/>
                <w:noProof/>
              </w:rPr>
              <w:t>6</w:t>
            </w:r>
            <w:proofErr w:type="spellEnd"/>
            <w:r w:rsidRPr="004F5393">
              <w:tab/>
              <w:t xml:space="preserve">Adults at </w:t>
            </w:r>
            <w:r w:rsidRPr="004F5393">
              <w:rPr>
                <w:lang w:val="en-US"/>
              </w:rPr>
              <w:t>risk of alcohol</w:t>
            </w:r>
            <w:r w:rsidRPr="004F5393">
              <w:rPr>
                <w:lang w:val="en-US"/>
              </w:rPr>
              <w:noBreakHyphen/>
              <w:t>related harm over a lifetime</w:t>
            </w:r>
            <w:r w:rsidRPr="004F5393">
              <w:t xml:space="preserve">, by remoteness </w:t>
            </w:r>
            <w:r w:rsidRPr="004F5393">
              <w:rPr>
                <w:bCs/>
              </w:rPr>
              <w:t xml:space="preserve">(age standardised) </w:t>
            </w:r>
            <w:r w:rsidRPr="004F5393">
              <w:t>2014</w:t>
            </w:r>
            <w:r w:rsidRPr="004F5393">
              <w:noBreakHyphen/>
              <w:t>15</w:t>
            </w:r>
            <w:r w:rsidRPr="004F5393">
              <w:rPr>
                <w:rStyle w:val="NoteLabel"/>
                <w:b/>
              </w:rPr>
              <w:t>a, b</w:t>
            </w:r>
          </w:p>
        </w:tc>
      </w:tr>
      <w:tr w:rsidR="002B5946" w:rsidRPr="004F5393" w14:paraId="6BF0E5D2" w14:textId="77777777" w:rsidTr="003C4854">
        <w:tblPrEx>
          <w:tblCellMar>
            <w:left w:w="108" w:type="dxa"/>
            <w:right w:w="108" w:type="dxa"/>
          </w:tblCellMar>
        </w:tblPrEx>
        <w:tc>
          <w:tcPr>
            <w:tcW w:w="8771" w:type="dxa"/>
            <w:tcBorders>
              <w:top w:val="nil"/>
              <w:left w:val="nil"/>
              <w:bottom w:val="nil"/>
              <w:right w:val="nil"/>
            </w:tcBorders>
            <w:shd w:val="clear" w:color="auto" w:fill="auto"/>
          </w:tcPr>
          <w:p w14:paraId="096B1428" w14:textId="6E1043B1" w:rsidR="002B5946" w:rsidRPr="004F5393" w:rsidRDefault="003C4854" w:rsidP="004F5393">
            <w:pPr>
              <w:pStyle w:val="Figure"/>
              <w:rPr>
                <w:b/>
              </w:rPr>
            </w:pPr>
            <w:r>
              <w:rPr>
                <w:noProof/>
              </w:rPr>
              <w:drawing>
                <wp:inline distT="0" distB="0" distL="0" distR="0" wp14:anchorId="0101DBB5" wp14:editId="5C5E1E9E">
                  <wp:extent cx="5400000" cy="2700000"/>
                  <wp:effectExtent l="0" t="0" r="0" b="5715"/>
                  <wp:docPr id="20" name="Chart 20" descr="Figure E.6 Adults at risk of alcohol-related harm over a lifetime, by remoteness (age standardised) 2014-15&#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r w:rsidR="002B5946" w:rsidRPr="004F5393" w14:paraId="05B9D611" w14:textId="77777777" w:rsidTr="004F5393">
        <w:tc>
          <w:tcPr>
            <w:tcW w:w="8771" w:type="dxa"/>
            <w:tcBorders>
              <w:top w:val="nil"/>
              <w:left w:val="nil"/>
              <w:bottom w:val="nil"/>
              <w:right w:val="nil"/>
            </w:tcBorders>
            <w:shd w:val="clear" w:color="auto" w:fill="auto"/>
          </w:tcPr>
          <w:p w14:paraId="13AD9856" w14:textId="4175D12C" w:rsidR="002B5946" w:rsidRPr="004F5393" w:rsidRDefault="002B5946" w:rsidP="00995CBF">
            <w:pPr>
              <w:pStyle w:val="Note"/>
              <w:keepNext/>
              <w:rPr>
                <w:b/>
              </w:rPr>
            </w:pPr>
            <w:r w:rsidRPr="004F5393">
              <w:rPr>
                <w:rStyle w:val="NoteLabel"/>
              </w:rPr>
              <w:t>a</w:t>
            </w:r>
            <w:r w:rsidRPr="004F5393">
              <w:rPr>
                <w:b/>
              </w:rPr>
              <w:sym w:font="Symbol" w:char="F020"/>
            </w:r>
            <w:r w:rsidRPr="003F3534">
              <w:t>See box E.3 and table EA.20 for detailed definitions, footnotes and caveats.</w:t>
            </w:r>
            <w:r w:rsidRPr="004F5393">
              <w:rPr>
                <w:rStyle w:val="NoteLabel"/>
              </w:rPr>
              <w:t xml:space="preserve"> </w:t>
            </w:r>
            <w:r w:rsidR="00995CBF">
              <w:rPr>
                <w:rStyle w:val="NoteLabel"/>
              </w:rPr>
              <w:t>b</w:t>
            </w:r>
            <w:r w:rsidR="00995CBF" w:rsidRPr="004F5393">
              <w:rPr>
                <w:b/>
              </w:rPr>
              <w:sym w:font="Symbol" w:char="F020"/>
            </w:r>
            <w:r w:rsidRPr="003F3534">
              <w:t>There are no major cities in Tasmania, no outer regional or remote areas in the ACT and no major cities or inner regional areas in the NT.</w:t>
            </w:r>
          </w:p>
        </w:tc>
      </w:tr>
      <w:tr w:rsidR="002B5946" w:rsidRPr="004F5393" w14:paraId="0C923CA2" w14:textId="77777777" w:rsidTr="004F5393">
        <w:tc>
          <w:tcPr>
            <w:tcW w:w="8771" w:type="dxa"/>
            <w:tcBorders>
              <w:top w:val="nil"/>
              <w:left w:val="nil"/>
              <w:bottom w:val="nil"/>
              <w:right w:val="nil"/>
            </w:tcBorders>
            <w:shd w:val="clear" w:color="auto" w:fill="auto"/>
          </w:tcPr>
          <w:p w14:paraId="4555EDD7" w14:textId="2994ED78" w:rsidR="002B5946" w:rsidRPr="004F5393" w:rsidRDefault="002B5946" w:rsidP="004F5393">
            <w:pPr>
              <w:pStyle w:val="Source"/>
              <w:rPr>
                <w:b/>
              </w:rPr>
            </w:pPr>
            <w:r w:rsidRPr="003F3534">
              <w:rPr>
                <w:i/>
              </w:rPr>
              <w:t>Source</w:t>
            </w:r>
            <w:r w:rsidRPr="004F5393">
              <w:rPr>
                <w:b/>
              </w:rPr>
              <w:t xml:space="preserve">: </w:t>
            </w:r>
            <w:r w:rsidRPr="003F3534">
              <w:t xml:space="preserve">ABS (unpublished) </w:t>
            </w:r>
            <w:r w:rsidRPr="003F3534">
              <w:rPr>
                <w:i/>
              </w:rPr>
              <w:t>National Health Survey 2014</w:t>
            </w:r>
            <w:r w:rsidR="007822E3">
              <w:rPr>
                <w:i/>
              </w:rPr>
              <w:noBreakHyphen/>
            </w:r>
            <w:r w:rsidRPr="003F3534">
              <w:rPr>
                <w:i/>
              </w:rPr>
              <w:t>15</w:t>
            </w:r>
            <w:r w:rsidRPr="003F3534">
              <w:t>, Cat. no. 4364.0; table EA.20.</w:t>
            </w:r>
          </w:p>
        </w:tc>
      </w:tr>
      <w:tr w:rsidR="002B5946" w:rsidRPr="004F5393" w14:paraId="0BC48D15" w14:textId="77777777" w:rsidTr="004F5393">
        <w:tc>
          <w:tcPr>
            <w:tcW w:w="8771" w:type="dxa"/>
            <w:tcBorders>
              <w:top w:val="nil"/>
              <w:left w:val="nil"/>
              <w:bottom w:val="single" w:sz="6" w:space="0" w:color="78A22F"/>
              <w:right w:val="nil"/>
            </w:tcBorders>
            <w:shd w:val="clear" w:color="auto" w:fill="auto"/>
          </w:tcPr>
          <w:p w14:paraId="612CB910" w14:textId="77777777" w:rsidR="002B5946" w:rsidRPr="004F5393" w:rsidRDefault="002B5946" w:rsidP="004F5393">
            <w:pPr>
              <w:pStyle w:val="Figurespace"/>
              <w:rPr>
                <w:b/>
              </w:rPr>
            </w:pPr>
          </w:p>
        </w:tc>
      </w:tr>
      <w:tr w:rsidR="002B5946" w:rsidRPr="004F5393" w14:paraId="5677475A" w14:textId="77777777" w:rsidTr="004F5393">
        <w:trPr>
          <w:trHeight w:val="278"/>
        </w:trPr>
        <w:tc>
          <w:tcPr>
            <w:tcW w:w="8771" w:type="dxa"/>
            <w:tcBorders>
              <w:top w:val="single" w:sz="6" w:space="0" w:color="78A22F"/>
              <w:left w:val="nil"/>
              <w:bottom w:val="nil"/>
              <w:right w:val="nil"/>
            </w:tcBorders>
          </w:tcPr>
          <w:p w14:paraId="0E65122F" w14:textId="74611252" w:rsidR="002B5946" w:rsidRPr="004F5393" w:rsidRDefault="002B5946" w:rsidP="004F5393">
            <w:pPr>
              <w:pStyle w:val="BoxSpaceBelow"/>
              <w:rPr>
                <w:b/>
              </w:rPr>
            </w:pPr>
          </w:p>
        </w:tc>
      </w:tr>
    </w:tbl>
    <w:p w14:paraId="2A4722EB" w14:textId="77777777" w:rsidR="00252A63" w:rsidRPr="004F5393" w:rsidRDefault="00252A63" w:rsidP="00B55C2B">
      <w:pPr>
        <w:pStyle w:val="Heading4"/>
        <w:rPr>
          <w:b/>
        </w:rPr>
      </w:pPr>
      <w:r w:rsidRPr="004F5393">
        <w:rPr>
          <w:b/>
        </w:rPr>
        <w:t>Selected p</w:t>
      </w:r>
      <w:r w:rsidR="00DE0CCD" w:rsidRPr="004F5393">
        <w:rPr>
          <w:b/>
        </w:rPr>
        <w:t>otentially preventable diseases</w:t>
      </w:r>
    </w:p>
    <w:p w14:paraId="06135C61" w14:textId="77777777" w:rsidR="00252A63" w:rsidRPr="00EB5D55" w:rsidRDefault="00252A63" w:rsidP="00B55C2B">
      <w:pPr>
        <w:pStyle w:val="BodyText"/>
      </w:pPr>
      <w:r w:rsidRPr="00FB3CFE">
        <w:t>‘Selected potentially preventable diseases’ is an indicator of governments’ objective that Australians a</w:t>
      </w:r>
      <w:r w:rsidR="006703E9" w:rsidRPr="00EB5D55">
        <w:t xml:space="preserve">re born and remain healthy (box </w:t>
      </w:r>
      <w:r w:rsidRPr="00EB5D55">
        <w:t>E.4).</w:t>
      </w:r>
    </w:p>
    <w:p w14:paraId="2FCBA1E6" w14:textId="4B08D6C3" w:rsidR="00DE0CCD" w:rsidRPr="00EB5D55" w:rsidRDefault="00DE0CCD" w:rsidP="00DE0CC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E0CCD" w:rsidRPr="00B04790" w14:paraId="78CC7B81" w14:textId="77777777" w:rsidTr="009C459E">
        <w:tc>
          <w:tcPr>
            <w:tcW w:w="8771" w:type="dxa"/>
            <w:tcBorders>
              <w:top w:val="single" w:sz="6" w:space="0" w:color="78A22F"/>
              <w:left w:val="nil"/>
              <w:bottom w:val="nil"/>
              <w:right w:val="nil"/>
            </w:tcBorders>
            <w:shd w:val="clear" w:color="auto" w:fill="F2F2F2" w:themeFill="background1" w:themeFillShade="F2"/>
          </w:tcPr>
          <w:p w14:paraId="320EB1EC" w14:textId="7028F96B" w:rsidR="00DE0CCD" w:rsidRPr="00B04790" w:rsidRDefault="00DE0CCD" w:rsidP="009C459E">
            <w:pPr>
              <w:pStyle w:val="BoxTitle"/>
            </w:pPr>
            <w:r w:rsidRPr="00B5443B">
              <w:rPr>
                <w:b w:val="0"/>
              </w:rPr>
              <w:t xml:space="preserve">Box </w:t>
            </w:r>
            <w:proofErr w:type="spellStart"/>
            <w:r w:rsidRPr="00B04790">
              <w:rPr>
                <w:b w:val="0"/>
              </w:rPr>
              <w:t>E.</w:t>
            </w:r>
            <w:r w:rsidR="00FD3B62">
              <w:rPr>
                <w:b w:val="0"/>
                <w:noProof/>
              </w:rPr>
              <w:t>4</w:t>
            </w:r>
            <w:proofErr w:type="spellEnd"/>
            <w:r w:rsidRPr="00B04790">
              <w:tab/>
              <w:t>Selected potentially preventable diseases</w:t>
            </w:r>
          </w:p>
        </w:tc>
      </w:tr>
      <w:tr w:rsidR="00DE0CCD" w:rsidRPr="00B04790" w14:paraId="6F7C31AD" w14:textId="77777777" w:rsidTr="009C459E">
        <w:trPr>
          <w:cantSplit/>
        </w:trPr>
        <w:tc>
          <w:tcPr>
            <w:tcW w:w="8771" w:type="dxa"/>
            <w:tcBorders>
              <w:top w:val="nil"/>
              <w:left w:val="nil"/>
              <w:bottom w:val="nil"/>
              <w:right w:val="nil"/>
            </w:tcBorders>
            <w:shd w:val="clear" w:color="auto" w:fill="F2F2F2" w:themeFill="background1" w:themeFillShade="F2"/>
          </w:tcPr>
          <w:p w14:paraId="57AAFCB9" w14:textId="77777777" w:rsidR="00DE0CCD" w:rsidRPr="00B04790" w:rsidRDefault="00DE0CCD" w:rsidP="009C459E">
            <w:pPr>
              <w:pStyle w:val="Box"/>
            </w:pPr>
            <w:r w:rsidRPr="00B04790">
              <w:t>‘Selected potentially preventable diseases’ is defined by the following three measures:</w:t>
            </w:r>
          </w:p>
          <w:p w14:paraId="55AE1E98" w14:textId="77777777" w:rsidR="00DE0CCD" w:rsidRPr="00B04790" w:rsidRDefault="00DE0CCD" w:rsidP="00DE0CCD">
            <w:pPr>
              <w:pStyle w:val="BoxListBullet"/>
            </w:pPr>
            <w:r w:rsidRPr="00B04790">
              <w:t>Incidence of selected cancers — incidence of selected cancers of public health importance, expressed as an age standardised rate.</w:t>
            </w:r>
          </w:p>
          <w:p w14:paraId="13D8A1CF" w14:textId="77777777" w:rsidR="00DE0CCD" w:rsidRPr="00B04790" w:rsidRDefault="00DE0CCD" w:rsidP="002B5946">
            <w:pPr>
              <w:pStyle w:val="BoxListBullet2"/>
            </w:pPr>
            <w:r w:rsidRPr="00B04790">
              <w:t>For melanoma, lung and bowel cancer, the measure is defined as the number of new cases in the reported year. For breast and cervical cancer in females, the measure is defined as the number of new cases in women in the reported year</w:t>
            </w:r>
          </w:p>
          <w:p w14:paraId="78C44DF3" w14:textId="77777777" w:rsidR="00DE0CCD" w:rsidRPr="00B04790" w:rsidRDefault="00DE0CCD" w:rsidP="002B5946">
            <w:pPr>
              <w:pStyle w:val="BoxListBullet2"/>
            </w:pPr>
            <w:r w:rsidRPr="00B04790">
              <w:t>Data reported for this measure are:</w:t>
            </w:r>
          </w:p>
          <w:p w14:paraId="1DEF559F" w14:textId="2C70680C" w:rsidR="008F6B67" w:rsidRPr="00B04790" w:rsidRDefault="00DE0CCD" w:rsidP="002B5946">
            <w:pPr>
              <w:pStyle w:val="BoxListBullet3"/>
            </w:pPr>
            <w:r w:rsidRPr="00B04790">
              <w:t>comparable (subject to caveats) across jurisdictions and over time</w:t>
            </w:r>
          </w:p>
          <w:p w14:paraId="01B46F6F" w14:textId="6563C9CE" w:rsidR="00DE0CCD" w:rsidRPr="00B04790" w:rsidRDefault="00DE0CCD" w:rsidP="002B5946">
            <w:pPr>
              <w:pStyle w:val="BoxListBullet3"/>
            </w:pPr>
            <w:r w:rsidRPr="00B04790">
              <w:t>incomplete for the current reporting period. Data for 201</w:t>
            </w:r>
            <w:r w:rsidR="002D28D7">
              <w:t>3</w:t>
            </w:r>
            <w:r w:rsidRPr="00B04790">
              <w:t xml:space="preserve"> are not available for NSW.</w:t>
            </w:r>
          </w:p>
          <w:p w14:paraId="0223B16C" w14:textId="77777777" w:rsidR="00DE0CCD" w:rsidRPr="00B04790" w:rsidRDefault="00DE0CCD" w:rsidP="002B5946">
            <w:pPr>
              <w:pStyle w:val="BoxListBullet"/>
            </w:pPr>
            <w:r w:rsidRPr="00B04790">
              <w:t>Incidence of heart attacks (acute coronary events) — the number of deaths recorded as acute coronary heart disease deaths plus the number of non</w:t>
            </w:r>
            <w:r w:rsidRPr="00B04790">
              <w:noBreakHyphen/>
              <w:t>fatal hospitalisations for acute myocardial infarction or unstable angina not ending in a transfer to another acute hospital, expressed as an age standardised rate.</w:t>
            </w:r>
          </w:p>
          <w:p w14:paraId="2E5A2347" w14:textId="77777777" w:rsidR="00DE0CCD" w:rsidRPr="00B04790" w:rsidRDefault="00DE0CCD" w:rsidP="002B5946">
            <w:pPr>
              <w:pStyle w:val="BoxListBullet2"/>
            </w:pPr>
            <w:r w:rsidRPr="00B04790">
              <w:t>Data reported for this measure are:</w:t>
            </w:r>
          </w:p>
          <w:p w14:paraId="53081741" w14:textId="77777777" w:rsidR="00DE0CCD" w:rsidRPr="002B5946" w:rsidRDefault="00DE0CCD" w:rsidP="002B5946">
            <w:pPr>
              <w:pStyle w:val="BoxListBullet3"/>
            </w:pPr>
            <w:r w:rsidRPr="00B04790">
              <w:t xml:space="preserve">comparable (subject to caveats) over time at the national level but are not </w:t>
            </w:r>
            <w:r w:rsidRPr="002B5946">
              <w:t>comparable across jurisdictions</w:t>
            </w:r>
          </w:p>
          <w:p w14:paraId="78710136" w14:textId="2BBE570F" w:rsidR="00DE0CCD" w:rsidRPr="002B5946" w:rsidRDefault="00D917ED" w:rsidP="002B5946">
            <w:pPr>
              <w:pStyle w:val="BoxListBullet3"/>
            </w:pPr>
            <w:r w:rsidRPr="002B5946">
              <w:t>complete for the current reporting period. All required 2014 data are available for all jurisdictions.</w:t>
            </w:r>
          </w:p>
          <w:p w14:paraId="22486456" w14:textId="77777777" w:rsidR="00DE0CCD" w:rsidRPr="00B04790" w:rsidRDefault="00DE0CCD" w:rsidP="002B5946">
            <w:pPr>
              <w:pStyle w:val="BoxListBullet"/>
            </w:pPr>
            <w:r w:rsidRPr="002B5946">
              <w:t>Prevalence of type 2 diabetes</w:t>
            </w:r>
            <w:r w:rsidRPr="00B04790">
              <w:t xml:space="preserve"> — the proportion of people aged 18 years or over recorded as having Type 2 diabetes, expressed as an age standardised rate.</w:t>
            </w:r>
          </w:p>
          <w:p w14:paraId="4E3E0A7D" w14:textId="77777777" w:rsidR="00DE0CCD" w:rsidRPr="00B04790" w:rsidRDefault="00DE0CCD" w:rsidP="002B5946">
            <w:pPr>
              <w:pStyle w:val="BoxListBullet2"/>
            </w:pPr>
            <w:r w:rsidRPr="00B04790">
              <w:t>Data reported for this measure are:</w:t>
            </w:r>
          </w:p>
          <w:p w14:paraId="3D252FAF" w14:textId="77777777" w:rsidR="00DE0CCD" w:rsidRPr="00B04790" w:rsidRDefault="00DE0CCD" w:rsidP="008F6B67">
            <w:pPr>
              <w:pStyle w:val="BoxListBullet3"/>
            </w:pPr>
            <w:r w:rsidRPr="00B04790">
              <w:t>comparable across jurisdictions (subject to caveats) but are not comparable over time</w:t>
            </w:r>
          </w:p>
          <w:p w14:paraId="56A310FC" w14:textId="6571439F" w:rsidR="00DE0CCD" w:rsidRPr="00B04790" w:rsidRDefault="00DE0CCD" w:rsidP="008F6B67">
            <w:pPr>
              <w:pStyle w:val="BoxListBullet3"/>
            </w:pPr>
            <w:r w:rsidRPr="00B04790">
              <w:t>complete for the current reporting period (subject to caveats). All required 2011–13 data are reported for all jurisdictions.</w:t>
            </w:r>
          </w:p>
          <w:p w14:paraId="48CF672B" w14:textId="77777777" w:rsidR="00DE0CCD" w:rsidRPr="00B04790" w:rsidRDefault="00DE0CCD" w:rsidP="009C459E">
            <w:pPr>
              <w:pStyle w:val="Box"/>
            </w:pPr>
            <w:r w:rsidRPr="00B04790">
              <w:t>A low or decreasing rate is desirable for each of the three measures.</w:t>
            </w:r>
          </w:p>
          <w:p w14:paraId="57B5AB5F" w14:textId="77777777" w:rsidR="00F10A67" w:rsidRPr="00B04790" w:rsidRDefault="00DE0CCD" w:rsidP="00F10A67">
            <w:pPr>
              <w:pStyle w:val="Box"/>
            </w:pPr>
            <w:r w:rsidRPr="00B04790">
              <w:t>Measures of both incidence and prevalence are reported for this indicator. Incidence is defined as the number of new cases in the reported year and is expressed as a rate of the relevant population. Prevalence is defined as the proportion of the population suffering from a disorder.</w:t>
            </w:r>
          </w:p>
        </w:tc>
      </w:tr>
      <w:tr w:rsidR="00DE0CCD" w:rsidRPr="00B04790" w14:paraId="06699DF9" w14:textId="77777777" w:rsidTr="009C459E">
        <w:trPr>
          <w:cantSplit/>
        </w:trPr>
        <w:tc>
          <w:tcPr>
            <w:tcW w:w="8771" w:type="dxa"/>
            <w:tcBorders>
              <w:top w:val="nil"/>
              <w:left w:val="nil"/>
              <w:bottom w:val="single" w:sz="6" w:space="0" w:color="78A22F"/>
              <w:right w:val="nil"/>
            </w:tcBorders>
            <w:shd w:val="clear" w:color="auto" w:fill="F2F2F2" w:themeFill="background1" w:themeFillShade="F2"/>
          </w:tcPr>
          <w:p w14:paraId="0A8AB5B5" w14:textId="77777777" w:rsidR="00DE0CCD" w:rsidRPr="00B04790" w:rsidRDefault="00DE0CCD" w:rsidP="009C459E">
            <w:pPr>
              <w:pStyle w:val="Box"/>
              <w:spacing w:before="0" w:line="120" w:lineRule="exact"/>
            </w:pPr>
          </w:p>
        </w:tc>
      </w:tr>
      <w:tr w:rsidR="00DE0CCD" w:rsidRPr="00B04790" w14:paraId="0FF043FD" w14:textId="77777777" w:rsidTr="009C459E">
        <w:tc>
          <w:tcPr>
            <w:tcW w:w="8771" w:type="dxa"/>
            <w:tcBorders>
              <w:top w:val="single" w:sz="6" w:space="0" w:color="78A22F"/>
              <w:left w:val="nil"/>
              <w:bottom w:val="nil"/>
              <w:right w:val="nil"/>
            </w:tcBorders>
          </w:tcPr>
          <w:p w14:paraId="1CDE1C4C" w14:textId="2D23E429" w:rsidR="00DE0CCD" w:rsidRPr="00B04790" w:rsidRDefault="00DE0CCD" w:rsidP="009C459E">
            <w:pPr>
              <w:pStyle w:val="BoxSpaceBelow"/>
            </w:pPr>
          </w:p>
        </w:tc>
      </w:tr>
    </w:tbl>
    <w:p w14:paraId="0F6CF31E" w14:textId="77777777" w:rsidR="00252A63" w:rsidRPr="00B04790" w:rsidRDefault="00F61350" w:rsidP="00D14718">
      <w:pPr>
        <w:pStyle w:val="Heading5"/>
      </w:pPr>
      <w:r w:rsidRPr="00B04790">
        <w:t>Incidence of selected cancers</w:t>
      </w:r>
    </w:p>
    <w:p w14:paraId="6081D7E3" w14:textId="644584B9" w:rsidR="003B4FBC" w:rsidRDefault="00252A63" w:rsidP="00BC160F">
      <w:pPr>
        <w:pStyle w:val="BodyText"/>
      </w:pPr>
      <w:r w:rsidRPr="00B04790">
        <w:t xml:space="preserve">Nationally, the age standardised </w:t>
      </w:r>
      <w:r w:rsidRPr="002B5946">
        <w:t>rate of lung ca</w:t>
      </w:r>
      <w:r w:rsidR="006703E9" w:rsidRPr="002B5946">
        <w:t xml:space="preserve">ncer was </w:t>
      </w:r>
      <w:r w:rsidR="002D28D7" w:rsidRPr="002B5946">
        <w:t xml:space="preserve">41.8 </w:t>
      </w:r>
      <w:r w:rsidR="006703E9" w:rsidRPr="002B5946">
        <w:t xml:space="preserve">new cases per 100 </w:t>
      </w:r>
      <w:r w:rsidRPr="002B5946">
        <w:t>000 people in 201</w:t>
      </w:r>
      <w:r w:rsidR="000142AC" w:rsidRPr="002B5946">
        <w:t>3</w:t>
      </w:r>
      <w:r w:rsidRPr="002B5946">
        <w:t>. Bowel cancer</w:t>
      </w:r>
      <w:r w:rsidR="00ED2BF6" w:rsidRPr="002B5946">
        <w:t xml:space="preserve"> </w:t>
      </w:r>
      <w:r w:rsidRPr="002B5946">
        <w:t>occurred at a</w:t>
      </w:r>
      <w:r w:rsidR="006703E9" w:rsidRPr="002B5946">
        <w:t xml:space="preserve"> rate of </w:t>
      </w:r>
      <w:r w:rsidR="002D28D7" w:rsidRPr="002B5946">
        <w:t>56.3</w:t>
      </w:r>
      <w:r w:rsidR="006703E9" w:rsidRPr="002B5946">
        <w:t xml:space="preserve"> new cases per 100 </w:t>
      </w:r>
      <w:r w:rsidRPr="002B5946">
        <w:t>000 people in 201</w:t>
      </w:r>
      <w:r w:rsidR="000142AC" w:rsidRPr="002B5946">
        <w:t>3</w:t>
      </w:r>
      <w:r w:rsidRPr="002B5946">
        <w:t xml:space="preserve"> (table </w:t>
      </w:r>
      <w:r w:rsidR="00822C47" w:rsidRPr="002B5946">
        <w:t>EA.</w:t>
      </w:r>
      <w:r w:rsidR="00105F78" w:rsidRPr="002B5946">
        <w:t>24</w:t>
      </w:r>
      <w:r w:rsidRPr="002B5946">
        <w:t>). Other cancers such as melanoma</w:t>
      </w:r>
      <w:r w:rsidRPr="00FB3CFE">
        <w:t xml:space="preserve"> are also largely preventable. The incidence of these cancers for 201</w:t>
      </w:r>
      <w:r w:rsidR="000142AC" w:rsidRPr="00EB5D55">
        <w:t>3</w:t>
      </w:r>
      <w:r w:rsidRPr="00EB5D55">
        <w:t>, along with breast and cervical cancer, is presented</w:t>
      </w:r>
      <w:r w:rsidR="00380669" w:rsidRPr="00EB5D55">
        <w:t xml:space="preserve"> in figure E.</w:t>
      </w:r>
      <w:r w:rsidR="00FB3CFE">
        <w:t>7</w:t>
      </w:r>
      <w:r w:rsidR="00380669" w:rsidRPr="00FB3CFE">
        <w:t>. Tables EA.</w:t>
      </w:r>
      <w:r w:rsidR="00857854" w:rsidRPr="00FB3CFE">
        <w:t>25</w:t>
      </w:r>
      <w:r w:rsidR="009827B5" w:rsidRPr="00FB3CFE">
        <w:t>–</w:t>
      </w:r>
      <w:r w:rsidR="00085569" w:rsidRPr="00FB3CFE">
        <w:t>2</w:t>
      </w:r>
      <w:r w:rsidR="00857854" w:rsidRPr="00FB3CFE">
        <w:t>7</w:t>
      </w:r>
      <w:r w:rsidRPr="00FB3CFE">
        <w:t xml:space="preserve"> report the incidence of the selected cancers by remoteness, SEIFA IRSD quintiles and Indigenous status.</w:t>
      </w:r>
      <w:r w:rsidR="004F5393" w:rsidRPr="004F5393">
        <w:t xml:space="preserve"> </w:t>
      </w:r>
    </w:p>
    <w:p w14:paraId="0435E93F" w14:textId="77777777" w:rsidR="00A57564" w:rsidRDefault="00A57564" w:rsidP="00BC160F">
      <w:pPr>
        <w:pStyle w:val="BodyText"/>
      </w:pPr>
    </w:p>
    <w:p w14:paraId="2341BD73" w14:textId="77777777" w:rsidR="00A57564" w:rsidRDefault="00A57564" w:rsidP="00BC160F">
      <w:pPr>
        <w:pStyle w:val="BodyText"/>
      </w:pPr>
    </w:p>
    <w:p w14:paraId="2C0DBB05" w14:textId="77777777" w:rsidR="00A57564" w:rsidRPr="00A57564" w:rsidRDefault="00A57564" w:rsidP="00A57564">
      <w:pPr>
        <w:pStyle w:val="BodyText"/>
        <w:spacing w:before="360" w:line="80" w:lineRule="exact"/>
        <w:rPr>
          <w:sz w:val="14"/>
          <w:szCs w:val="14"/>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B4FBC" w:rsidRPr="009B3C82" w14:paraId="38B21A20" w14:textId="77777777" w:rsidTr="00F83400">
        <w:tc>
          <w:tcPr>
            <w:tcW w:w="8771" w:type="dxa"/>
            <w:tcBorders>
              <w:top w:val="single" w:sz="6" w:space="0" w:color="78A22F"/>
              <w:left w:val="nil"/>
              <w:bottom w:val="nil"/>
              <w:right w:val="nil"/>
            </w:tcBorders>
            <w:shd w:val="clear" w:color="auto" w:fill="auto"/>
          </w:tcPr>
          <w:p w14:paraId="7E8E6B2A" w14:textId="0C9C2BCE" w:rsidR="003B4FBC" w:rsidRPr="009B3C82" w:rsidRDefault="003B4FBC" w:rsidP="00F83400">
            <w:pPr>
              <w:pStyle w:val="FigureTitle"/>
            </w:pPr>
            <w:r w:rsidRPr="00FB3CFE">
              <w:rPr>
                <w:b w:val="0"/>
              </w:rPr>
              <w:t xml:space="preserve">Figure </w:t>
            </w:r>
            <w:proofErr w:type="spellStart"/>
            <w:r w:rsidRPr="00265FC2">
              <w:rPr>
                <w:b w:val="0"/>
              </w:rPr>
              <w:t>E.</w:t>
            </w:r>
            <w:r w:rsidR="00FD3B62">
              <w:rPr>
                <w:b w:val="0"/>
                <w:noProof/>
              </w:rPr>
              <w:t>7</w:t>
            </w:r>
            <w:proofErr w:type="spellEnd"/>
            <w:r w:rsidRPr="00FB3CFE">
              <w:tab/>
              <w:t>Incidence of selected cancers, per 100 000 people, 2013</w:t>
            </w:r>
            <w:r w:rsidRPr="00FB3CFE">
              <w:rPr>
                <w:rStyle w:val="NoteLabel"/>
                <w:b/>
              </w:rPr>
              <w:t>a, b</w:t>
            </w:r>
          </w:p>
        </w:tc>
      </w:tr>
      <w:tr w:rsidR="00380669" w:rsidRPr="00FB3CFE" w14:paraId="5B54DCEF" w14:textId="77777777" w:rsidTr="00110076">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625"/>
            </w:tblGrid>
            <w:tr w:rsidR="00380669" w:rsidRPr="00FB3CFE" w14:paraId="4DC04AD5" w14:textId="77777777" w:rsidTr="006C70FE">
              <w:tc>
                <w:tcPr>
                  <w:tcW w:w="8625" w:type="dxa"/>
                  <w:tcBorders>
                    <w:top w:val="nil"/>
                    <w:bottom w:val="nil"/>
                  </w:tcBorders>
                </w:tcPr>
                <w:p w14:paraId="63159349" w14:textId="173743F5" w:rsidR="00380669" w:rsidRPr="00FB3CFE" w:rsidRDefault="006C70FE" w:rsidP="009C459E">
                  <w:pPr>
                    <w:pStyle w:val="Figure"/>
                    <w:spacing w:before="60" w:after="60"/>
                  </w:pPr>
                  <w:r>
                    <w:rPr>
                      <w:noProof/>
                    </w:rPr>
                    <w:drawing>
                      <wp:inline distT="0" distB="0" distL="0" distR="0" wp14:anchorId="3E36BE1C" wp14:editId="614E4DCC">
                        <wp:extent cx="5400000" cy="2700000"/>
                        <wp:effectExtent l="0" t="0" r="0" b="5715"/>
                        <wp:docPr id="21" name="Chart 21" descr="Figure E.7 Incidence of selected cancers, per 100 000 people, 2013&#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bl>
          <w:p w14:paraId="6503BC1F" w14:textId="77777777" w:rsidR="00380669" w:rsidRPr="00FB3CFE" w:rsidRDefault="00380669" w:rsidP="009C459E">
            <w:pPr>
              <w:pStyle w:val="Figure"/>
            </w:pPr>
          </w:p>
        </w:tc>
      </w:tr>
      <w:tr w:rsidR="00380669" w:rsidRPr="00FB3CFE" w14:paraId="3536A844" w14:textId="77777777" w:rsidTr="009C459E">
        <w:tc>
          <w:tcPr>
            <w:tcW w:w="8771" w:type="dxa"/>
            <w:tcBorders>
              <w:top w:val="nil"/>
              <w:left w:val="nil"/>
              <w:bottom w:val="nil"/>
              <w:right w:val="nil"/>
            </w:tcBorders>
            <w:shd w:val="clear" w:color="auto" w:fill="auto"/>
          </w:tcPr>
          <w:p w14:paraId="61AC9756" w14:textId="4797FA76" w:rsidR="00380669" w:rsidRPr="00FB3CFE" w:rsidRDefault="00380669" w:rsidP="002D28D7">
            <w:pPr>
              <w:pStyle w:val="Note"/>
              <w:rPr>
                <w:b/>
                <w:position w:val="6"/>
              </w:rPr>
            </w:pPr>
            <w:r w:rsidRPr="00FB3CFE">
              <w:rPr>
                <w:rStyle w:val="NoteLabel"/>
              </w:rPr>
              <w:t>a</w:t>
            </w:r>
            <w:r w:rsidRPr="00FB3CFE">
              <w:sym w:font="Symbol" w:char="F020"/>
            </w:r>
            <w:r w:rsidRPr="00FB3CFE">
              <w:t xml:space="preserve">See box E.4 and table </w:t>
            </w:r>
            <w:r w:rsidR="00822C47" w:rsidRPr="00FB3CFE">
              <w:t>EA.</w:t>
            </w:r>
            <w:r w:rsidR="00105F78" w:rsidRPr="00FB3CFE">
              <w:t xml:space="preserve">24 </w:t>
            </w:r>
            <w:r w:rsidRPr="00FB3CFE">
              <w:t xml:space="preserve">for detailed definitions, footnotes and caveats. </w:t>
            </w:r>
            <w:r w:rsidRPr="00FB3CFE">
              <w:rPr>
                <w:rStyle w:val="NoteLabel"/>
              </w:rPr>
              <w:t>b</w:t>
            </w:r>
            <w:r w:rsidRPr="00FB3CFE">
              <w:sym w:font="Symbol" w:char="F020"/>
            </w:r>
            <w:r w:rsidRPr="00FB3CFE">
              <w:t>Data are not available for NSW.</w:t>
            </w:r>
            <w:r w:rsidR="000142AC" w:rsidRPr="00FB3CFE">
              <w:t xml:space="preserve"> </w:t>
            </w:r>
          </w:p>
        </w:tc>
      </w:tr>
      <w:tr w:rsidR="00380669" w:rsidRPr="00FB3CFE" w14:paraId="580DCEBF" w14:textId="77777777" w:rsidTr="009C459E">
        <w:tc>
          <w:tcPr>
            <w:tcW w:w="8771" w:type="dxa"/>
            <w:tcBorders>
              <w:top w:val="nil"/>
              <w:left w:val="nil"/>
              <w:bottom w:val="nil"/>
              <w:right w:val="nil"/>
            </w:tcBorders>
            <w:shd w:val="clear" w:color="auto" w:fill="auto"/>
          </w:tcPr>
          <w:p w14:paraId="0CE2135F" w14:textId="07218848" w:rsidR="00380669" w:rsidRPr="00FB3CFE" w:rsidRDefault="00380669" w:rsidP="00105F78">
            <w:pPr>
              <w:pStyle w:val="Source"/>
            </w:pPr>
            <w:r w:rsidRPr="00FB3CFE">
              <w:rPr>
                <w:i/>
              </w:rPr>
              <w:t>Source</w:t>
            </w:r>
            <w:r w:rsidRPr="00FB3CFE">
              <w:t>: AIHW (unpublished) Australian Cancer Database 201</w:t>
            </w:r>
            <w:r w:rsidR="000142AC" w:rsidRPr="00FB3CFE">
              <w:t>3</w:t>
            </w:r>
            <w:r w:rsidRPr="00FB3CFE">
              <w:t>; ABS (201</w:t>
            </w:r>
            <w:r w:rsidR="000142AC" w:rsidRPr="00FB3CFE">
              <w:t>6</w:t>
            </w:r>
            <w:r w:rsidRPr="00FB3CFE">
              <w:t xml:space="preserve">) </w:t>
            </w:r>
            <w:r w:rsidRPr="00FB3CFE">
              <w:rPr>
                <w:i/>
              </w:rPr>
              <w:t>Australian Demographic Statistics</w:t>
            </w:r>
            <w:r w:rsidRPr="00FB3CFE">
              <w:t xml:space="preserve">, Cat. no. 3101.0; table </w:t>
            </w:r>
            <w:r w:rsidR="00822C47" w:rsidRPr="00FB3CFE">
              <w:t>EA.</w:t>
            </w:r>
            <w:r w:rsidR="00105F78" w:rsidRPr="00FB3CFE">
              <w:t>24</w:t>
            </w:r>
            <w:r w:rsidRPr="00FB3CFE">
              <w:t>.</w:t>
            </w:r>
          </w:p>
        </w:tc>
      </w:tr>
      <w:tr w:rsidR="00380669" w:rsidRPr="00FB3CFE" w14:paraId="25ECA28C" w14:textId="77777777" w:rsidTr="009C459E">
        <w:tc>
          <w:tcPr>
            <w:tcW w:w="8771" w:type="dxa"/>
            <w:tcBorders>
              <w:top w:val="nil"/>
              <w:left w:val="nil"/>
              <w:bottom w:val="single" w:sz="6" w:space="0" w:color="78A22F"/>
              <w:right w:val="nil"/>
            </w:tcBorders>
            <w:shd w:val="clear" w:color="auto" w:fill="auto"/>
          </w:tcPr>
          <w:p w14:paraId="24C147CF" w14:textId="77777777" w:rsidR="00380669" w:rsidRPr="00FB3CFE" w:rsidRDefault="00380669" w:rsidP="009C459E">
            <w:pPr>
              <w:pStyle w:val="Figurespace"/>
            </w:pPr>
          </w:p>
        </w:tc>
      </w:tr>
      <w:tr w:rsidR="00380669" w:rsidRPr="00FB3CFE" w14:paraId="522413A9" w14:textId="77777777" w:rsidTr="009C459E">
        <w:tc>
          <w:tcPr>
            <w:tcW w:w="8771" w:type="dxa"/>
            <w:tcBorders>
              <w:top w:val="single" w:sz="6" w:space="0" w:color="78A22F"/>
              <w:left w:val="nil"/>
              <w:bottom w:val="nil"/>
              <w:right w:val="nil"/>
            </w:tcBorders>
          </w:tcPr>
          <w:p w14:paraId="0224A03E" w14:textId="4F596710" w:rsidR="00380669" w:rsidRPr="00FB3CFE" w:rsidRDefault="00380669" w:rsidP="009C459E">
            <w:pPr>
              <w:pStyle w:val="BoxSpaceBelow"/>
            </w:pPr>
          </w:p>
        </w:tc>
      </w:tr>
    </w:tbl>
    <w:p w14:paraId="4D130985" w14:textId="31BFBBBB" w:rsidR="00252A63" w:rsidRPr="00FB3CFE" w:rsidRDefault="00252A63" w:rsidP="00D14718">
      <w:pPr>
        <w:pStyle w:val="BodyText"/>
      </w:pPr>
      <w:r w:rsidRPr="00FB3CFE">
        <w:t>Data for five</w:t>
      </w:r>
      <w:r w:rsidRPr="00FB3CFE">
        <w:noBreakHyphen/>
        <w:t>year relative survival proportions for people diagnosed with cancer at the national level a</w:t>
      </w:r>
      <w:r w:rsidR="00380669" w:rsidRPr="00FB3CFE">
        <w:t>re presented in tables EA.</w:t>
      </w:r>
      <w:r w:rsidR="00857854" w:rsidRPr="00FB3CFE">
        <w:t>43</w:t>
      </w:r>
      <w:r w:rsidR="00380669" w:rsidRPr="00FB3CFE">
        <w:t>–</w:t>
      </w:r>
      <w:r w:rsidR="00F11551" w:rsidRPr="00FB3CFE">
        <w:t>4</w:t>
      </w:r>
      <w:r w:rsidR="00857854" w:rsidRPr="00FB3CFE">
        <w:t>5</w:t>
      </w:r>
      <w:r w:rsidRPr="00FB3CFE">
        <w:t>.</w:t>
      </w:r>
    </w:p>
    <w:p w14:paraId="6E611CF6" w14:textId="77777777" w:rsidR="00252A63" w:rsidRPr="00FB3CFE" w:rsidRDefault="00252A63" w:rsidP="00D14718">
      <w:pPr>
        <w:pStyle w:val="Heading5"/>
      </w:pPr>
      <w:r w:rsidRPr="00FB3CFE">
        <w:t>Incidence of heart attacks (acute coronary events)</w:t>
      </w:r>
    </w:p>
    <w:p w14:paraId="4EEE715C" w14:textId="5E5390F4" w:rsidR="00ED2BF6" w:rsidRPr="00FB3CFE" w:rsidRDefault="00252A63" w:rsidP="00ED2BF6">
      <w:pPr>
        <w:pStyle w:val="BodyText"/>
        <w:rPr>
          <w:lang w:val="en"/>
        </w:rPr>
      </w:pPr>
      <w:r w:rsidRPr="00FB3CFE">
        <w:rPr>
          <w:lang w:val="en"/>
        </w:rPr>
        <w:t xml:space="preserve">Nationally, the rate of heart attacks (acute coronary </w:t>
      </w:r>
      <w:r w:rsidR="006703E9" w:rsidRPr="00FB3CFE">
        <w:rPr>
          <w:lang w:val="en"/>
        </w:rPr>
        <w:t>events) was</w:t>
      </w:r>
      <w:r w:rsidR="00906054" w:rsidRPr="00FB3CFE">
        <w:rPr>
          <w:lang w:val="en"/>
        </w:rPr>
        <w:t xml:space="preserve"> 359.5</w:t>
      </w:r>
      <w:r w:rsidR="006703E9" w:rsidRPr="00FB3CFE">
        <w:rPr>
          <w:lang w:val="en"/>
        </w:rPr>
        <w:t xml:space="preserve"> new cases </w:t>
      </w:r>
      <w:r w:rsidR="006703E9" w:rsidRPr="00FB3CFE">
        <w:rPr>
          <w:lang w:val="en"/>
        </w:rPr>
        <w:br/>
        <w:t>per 100 000 people in 201</w:t>
      </w:r>
      <w:r w:rsidR="00F83E26" w:rsidRPr="00FB3CFE">
        <w:rPr>
          <w:lang w:val="en"/>
        </w:rPr>
        <w:t>4</w:t>
      </w:r>
      <w:r w:rsidR="006703E9" w:rsidRPr="00FB3CFE">
        <w:rPr>
          <w:lang w:val="en"/>
        </w:rPr>
        <w:t xml:space="preserve"> (table </w:t>
      </w:r>
      <w:r w:rsidR="00822C47" w:rsidRPr="00FB3CFE">
        <w:rPr>
          <w:lang w:val="en"/>
        </w:rPr>
        <w:t>EA.</w:t>
      </w:r>
      <w:r w:rsidR="00857854" w:rsidRPr="00FB3CFE">
        <w:rPr>
          <w:lang w:val="en"/>
        </w:rPr>
        <w:t>28</w:t>
      </w:r>
      <w:r w:rsidRPr="00FB3CFE">
        <w:rPr>
          <w:lang w:val="en"/>
        </w:rPr>
        <w:t>)</w:t>
      </w:r>
      <w:r w:rsidR="00ED2BF6" w:rsidRPr="00FB3CFE">
        <w:rPr>
          <w:lang w:val="en"/>
        </w:rPr>
        <w:t>, with the incidence for Aboriginal and Torres Strait Islander people more than twice that for o</w:t>
      </w:r>
      <w:r w:rsidR="00C22B43" w:rsidRPr="00FB3CFE">
        <w:rPr>
          <w:lang w:val="en"/>
        </w:rPr>
        <w:t>ther Australians (table EA.</w:t>
      </w:r>
      <w:r w:rsidR="00857854" w:rsidRPr="00FB3CFE">
        <w:rPr>
          <w:lang w:val="en"/>
        </w:rPr>
        <w:t>29</w:t>
      </w:r>
      <w:r w:rsidR="00C22B43" w:rsidRPr="00FB3CFE">
        <w:rPr>
          <w:lang w:val="en"/>
        </w:rPr>
        <w:t>)</w:t>
      </w:r>
      <w:r w:rsidRPr="00FB3CFE">
        <w:rPr>
          <w:lang w:val="en"/>
        </w:rPr>
        <w:t xml:space="preserve">. </w:t>
      </w:r>
      <w:r w:rsidR="00ED2BF6" w:rsidRPr="00FB3CFE">
        <w:rPr>
          <w:lang w:val="en"/>
        </w:rPr>
        <w:t>Data for states and territories are reported in tables EA.3</w:t>
      </w:r>
      <w:r w:rsidR="00857854" w:rsidRPr="00FB3CFE">
        <w:rPr>
          <w:lang w:val="en"/>
        </w:rPr>
        <w:t>0</w:t>
      </w:r>
      <w:r w:rsidR="00ED2BF6" w:rsidRPr="00FB3CFE">
        <w:rPr>
          <w:lang w:val="en"/>
        </w:rPr>
        <w:t>–</w:t>
      </w:r>
      <w:r w:rsidR="00085569" w:rsidRPr="00FB3CFE">
        <w:rPr>
          <w:lang w:val="en"/>
        </w:rPr>
        <w:t>3</w:t>
      </w:r>
      <w:r w:rsidR="00857854" w:rsidRPr="00FB3CFE">
        <w:rPr>
          <w:lang w:val="en"/>
        </w:rPr>
        <w:t>7</w:t>
      </w:r>
      <w:r w:rsidR="00ED2BF6" w:rsidRPr="00FB3CFE">
        <w:rPr>
          <w:lang w:val="en"/>
        </w:rPr>
        <w:t>.</w:t>
      </w:r>
    </w:p>
    <w:p w14:paraId="403AB809" w14:textId="77777777" w:rsidR="00252A63" w:rsidRPr="00FB3CFE" w:rsidRDefault="00252A63" w:rsidP="00D14718">
      <w:pPr>
        <w:pStyle w:val="Heading5"/>
      </w:pPr>
      <w:r w:rsidRPr="00FB3CFE">
        <w:t>Prevalence of type 2 diabetes</w:t>
      </w:r>
    </w:p>
    <w:p w14:paraId="27B3111B" w14:textId="6D622AAA" w:rsidR="00252A63" w:rsidRPr="00FB3CFE" w:rsidRDefault="006703E9" w:rsidP="00D14718">
      <w:pPr>
        <w:pStyle w:val="BodyText"/>
      </w:pPr>
      <w:r w:rsidRPr="00FB3CFE">
        <w:t xml:space="preserve">Nationally, an estimated 4.3 </w:t>
      </w:r>
      <w:r w:rsidR="00252A63" w:rsidRPr="00FB3CFE">
        <w:t>per c</w:t>
      </w:r>
      <w:r w:rsidR="008D6A25" w:rsidRPr="00FB3CFE">
        <w:t>ent of adults</w:t>
      </w:r>
      <w:r w:rsidR="00252A63" w:rsidRPr="00FB3CFE">
        <w:t xml:space="preserve"> had ty</w:t>
      </w:r>
      <w:r w:rsidRPr="00FB3CFE">
        <w:t>pe 2 diabetes in 2011</w:t>
      </w:r>
      <w:r w:rsidRPr="00FB3CFE">
        <w:noBreakHyphen/>
        <w:t xml:space="preserve">12 </w:t>
      </w:r>
      <w:r w:rsidR="00EA26B7" w:rsidRPr="00FB3CFE">
        <w:br/>
      </w:r>
      <w:r w:rsidRPr="00FB3CFE">
        <w:t xml:space="preserve">(table </w:t>
      </w:r>
      <w:r w:rsidR="00822C47" w:rsidRPr="00FB3CFE">
        <w:t>EA.</w:t>
      </w:r>
      <w:r w:rsidR="00857854" w:rsidRPr="00FB3CFE">
        <w:t>38</w:t>
      </w:r>
      <w:r w:rsidR="00252A63" w:rsidRPr="00FB3CFE">
        <w:t>). The prevalence among Aboriginal and Torres Strait Islander adults was around three times higher than for other Australian</w:t>
      </w:r>
      <w:r w:rsidR="008D6A25" w:rsidRPr="00FB3CFE">
        <w:t xml:space="preserve"> adults</w:t>
      </w:r>
      <w:r w:rsidR="00252A63" w:rsidRPr="00FB3CFE">
        <w:t xml:space="preserve"> in </w:t>
      </w:r>
      <w:r w:rsidRPr="00FB3CFE">
        <w:t xml:space="preserve">2011–13 (tables </w:t>
      </w:r>
      <w:r w:rsidR="00380669" w:rsidRPr="00FB3CFE">
        <w:t>EA.</w:t>
      </w:r>
      <w:r w:rsidR="00857854" w:rsidRPr="00FB3CFE">
        <w:t>39</w:t>
      </w:r>
      <w:r w:rsidR="00D57CDC" w:rsidRPr="00FB3CFE">
        <w:t>–</w:t>
      </w:r>
      <w:r w:rsidR="00857854" w:rsidRPr="00FB3CFE">
        <w:t>40</w:t>
      </w:r>
      <w:r w:rsidR="00252A63" w:rsidRPr="00FB3CFE">
        <w:t>).</w:t>
      </w:r>
    </w:p>
    <w:p w14:paraId="1BA3F880" w14:textId="77777777" w:rsidR="00252A63" w:rsidRPr="00FB3CFE" w:rsidRDefault="00252A63" w:rsidP="00D14718">
      <w:pPr>
        <w:pStyle w:val="Heading4"/>
      </w:pPr>
      <w:r w:rsidRPr="00FB3CFE">
        <w:t>Potentially avoidable deaths</w:t>
      </w:r>
    </w:p>
    <w:p w14:paraId="7C81091C" w14:textId="77777777" w:rsidR="00252A63" w:rsidRPr="00FB3CFE" w:rsidRDefault="00252A63" w:rsidP="00D14718">
      <w:pPr>
        <w:pStyle w:val="BodyText"/>
      </w:pPr>
      <w:r w:rsidRPr="00FB3CFE">
        <w:t>‘Potentially avoidable deaths’ is an indicator of governments’ objective that Australians are born and remain healthy (box E.5).</w:t>
      </w:r>
    </w:p>
    <w:p w14:paraId="7D47635D" w14:textId="33D3B3B8" w:rsidR="00380669" w:rsidRPr="00FB3CFE" w:rsidRDefault="00380669" w:rsidP="00380669">
      <w:pPr>
        <w:keepNext/>
        <w:spacing w:before="360" w:line="80" w:lineRule="exact"/>
        <w:rPr>
          <w:szCs w:val="2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80669" w:rsidRPr="00FB3CFE" w14:paraId="6342B684" w14:textId="77777777" w:rsidTr="009C459E">
        <w:tc>
          <w:tcPr>
            <w:tcW w:w="8771" w:type="dxa"/>
            <w:tcBorders>
              <w:top w:val="single" w:sz="6" w:space="0" w:color="78A22F"/>
              <w:left w:val="nil"/>
              <w:bottom w:val="nil"/>
              <w:right w:val="nil"/>
            </w:tcBorders>
            <w:shd w:val="clear" w:color="auto" w:fill="F2F2F2" w:themeFill="background1" w:themeFillShade="F2"/>
          </w:tcPr>
          <w:p w14:paraId="36BBF214" w14:textId="27D1066C" w:rsidR="00380669" w:rsidRPr="00FB3CFE" w:rsidRDefault="00380669" w:rsidP="00D14718">
            <w:pPr>
              <w:pStyle w:val="BoxTitle"/>
            </w:pPr>
            <w:r w:rsidRPr="00FB3CFE">
              <w:rPr>
                <w:b w:val="0"/>
              </w:rPr>
              <w:t xml:space="preserve">Box </w:t>
            </w:r>
            <w:proofErr w:type="spellStart"/>
            <w:r w:rsidRPr="00FB3CFE">
              <w:rPr>
                <w:b w:val="0"/>
              </w:rPr>
              <w:t>E.</w:t>
            </w:r>
            <w:r w:rsidR="00FD3B62">
              <w:rPr>
                <w:b w:val="0"/>
                <w:noProof/>
              </w:rPr>
              <w:t>5</w:t>
            </w:r>
            <w:proofErr w:type="spellEnd"/>
            <w:r w:rsidRPr="00FB3CFE">
              <w:tab/>
              <w:t>Potentially avoidable deaths</w:t>
            </w:r>
          </w:p>
        </w:tc>
      </w:tr>
      <w:tr w:rsidR="00380669" w:rsidRPr="00FB3CFE" w14:paraId="36D6088A" w14:textId="77777777" w:rsidTr="009C459E">
        <w:trPr>
          <w:cantSplit/>
        </w:trPr>
        <w:tc>
          <w:tcPr>
            <w:tcW w:w="8771" w:type="dxa"/>
            <w:tcBorders>
              <w:top w:val="nil"/>
              <w:left w:val="nil"/>
              <w:bottom w:val="nil"/>
              <w:right w:val="nil"/>
            </w:tcBorders>
            <w:shd w:val="clear" w:color="auto" w:fill="F2F2F2" w:themeFill="background1" w:themeFillShade="F2"/>
          </w:tcPr>
          <w:p w14:paraId="1160CA36" w14:textId="77777777" w:rsidR="00380669" w:rsidRPr="00FB3CFE" w:rsidRDefault="00380669" w:rsidP="00380669">
            <w:pPr>
              <w:pStyle w:val="Box"/>
            </w:pPr>
            <w:r w:rsidRPr="00FB3CFE">
              <w:t>‘Potentially avoidable deaths’ is defined as deaths that are potentially avoidable in the context of the present health system. These include deaths from conditions that are potentially preventable through individualised care and/or treatable through existing primary or hospital care.</w:t>
            </w:r>
          </w:p>
          <w:p w14:paraId="493A2E71" w14:textId="77777777" w:rsidR="00380669" w:rsidRPr="00FB3CFE" w:rsidRDefault="00380669" w:rsidP="00380669">
            <w:pPr>
              <w:pStyle w:val="Box"/>
            </w:pPr>
            <w:r w:rsidRPr="00FB3CFE">
              <w:t>A low or decreasing potentially avoidable death rate is desirable.</w:t>
            </w:r>
          </w:p>
          <w:p w14:paraId="58148110" w14:textId="77777777" w:rsidR="00380669" w:rsidRPr="00FB3CFE" w:rsidRDefault="00380669" w:rsidP="00380669">
            <w:pPr>
              <w:pStyle w:val="Box"/>
            </w:pPr>
            <w:r w:rsidRPr="00FB3CFE">
              <w:t>Most components of the health system can influence potentially avoidable death rates, although there can be decades between the action and the effect. Factors external to the health system also affect potentially avoidable death rates — the health system is in some cases not a factor. For example, while the response of the health system may prevent death following a traffic accident, it is not a factor when a traffic accident causes immediate death.</w:t>
            </w:r>
          </w:p>
          <w:p w14:paraId="25A81EC0" w14:textId="77777777" w:rsidR="00380669" w:rsidRPr="00FB3CFE" w:rsidRDefault="00380669" w:rsidP="00380669">
            <w:pPr>
              <w:pStyle w:val="Box"/>
            </w:pPr>
            <w:r w:rsidRPr="00FB3CFE">
              <w:t>Data reported for this indicator are:</w:t>
            </w:r>
          </w:p>
          <w:p w14:paraId="3DB080B8" w14:textId="77777777" w:rsidR="00380669" w:rsidRPr="00FB3CFE" w:rsidRDefault="00380669" w:rsidP="00380669">
            <w:pPr>
              <w:pStyle w:val="BoxListBullet"/>
            </w:pPr>
            <w:r w:rsidRPr="00FB3CFE">
              <w:t>comparable (subject to caveats) across jurisdictions and over time</w:t>
            </w:r>
          </w:p>
          <w:p w14:paraId="3746EBEF" w14:textId="77777777" w:rsidR="00F10A67" w:rsidRPr="00FB3CFE" w:rsidRDefault="00380669" w:rsidP="00ED3A43">
            <w:pPr>
              <w:pStyle w:val="BoxListBullet"/>
            </w:pPr>
            <w:r w:rsidRPr="00FB3CFE">
              <w:t xml:space="preserve">complete (subject to caveats) for the current </w:t>
            </w:r>
            <w:r w:rsidR="00ED3A43" w:rsidRPr="00FB3CFE">
              <w:t>reporting period. All required</w:t>
            </w:r>
            <w:r w:rsidRPr="00FB3CFE">
              <w:t xml:space="preserve"> </w:t>
            </w:r>
            <w:r w:rsidR="00F83E26" w:rsidRPr="00FB3CFE">
              <w:t xml:space="preserve">2015 </w:t>
            </w:r>
            <w:r w:rsidRPr="00FB3CFE">
              <w:t>data are a</w:t>
            </w:r>
            <w:r w:rsidR="00ED3A43" w:rsidRPr="00FB3CFE">
              <w:t>vailable for all jurisdictions.</w:t>
            </w:r>
          </w:p>
        </w:tc>
      </w:tr>
      <w:tr w:rsidR="00380669" w:rsidRPr="00FB3CFE" w14:paraId="7ABA70FD" w14:textId="77777777" w:rsidTr="009C459E">
        <w:trPr>
          <w:cantSplit/>
        </w:trPr>
        <w:tc>
          <w:tcPr>
            <w:tcW w:w="8771" w:type="dxa"/>
            <w:tcBorders>
              <w:top w:val="nil"/>
              <w:left w:val="nil"/>
              <w:bottom w:val="single" w:sz="6" w:space="0" w:color="78A22F"/>
              <w:right w:val="nil"/>
            </w:tcBorders>
            <w:shd w:val="clear" w:color="auto" w:fill="F2F2F2" w:themeFill="background1" w:themeFillShade="F2"/>
          </w:tcPr>
          <w:p w14:paraId="4C12725E" w14:textId="77777777" w:rsidR="00380669" w:rsidRPr="00FB3CFE" w:rsidRDefault="00380669" w:rsidP="00380669">
            <w:pPr>
              <w:keepNext/>
              <w:spacing w:line="120" w:lineRule="exact"/>
              <w:jc w:val="both"/>
              <w:rPr>
                <w:rFonts w:ascii="Arial" w:hAnsi="Arial"/>
                <w:sz w:val="20"/>
                <w:szCs w:val="20"/>
              </w:rPr>
            </w:pPr>
          </w:p>
        </w:tc>
      </w:tr>
      <w:tr w:rsidR="00380669" w:rsidRPr="00FB3CFE" w14:paraId="19C8FA08" w14:textId="77777777" w:rsidTr="009C459E">
        <w:tc>
          <w:tcPr>
            <w:tcW w:w="8771" w:type="dxa"/>
            <w:tcBorders>
              <w:top w:val="single" w:sz="6" w:space="0" w:color="78A22F"/>
              <w:left w:val="nil"/>
              <w:bottom w:val="nil"/>
              <w:right w:val="nil"/>
            </w:tcBorders>
          </w:tcPr>
          <w:p w14:paraId="5D8D88E1" w14:textId="5BA26AB1" w:rsidR="00380669" w:rsidRPr="00FB3CFE" w:rsidRDefault="00380669" w:rsidP="00380669">
            <w:pPr>
              <w:spacing w:before="60" w:after="60" w:line="80" w:lineRule="exact"/>
              <w:jc w:val="both"/>
              <w:rPr>
                <w:rFonts w:ascii="Arial" w:hAnsi="Arial"/>
                <w:sz w:val="14"/>
                <w:szCs w:val="20"/>
              </w:rPr>
            </w:pPr>
          </w:p>
        </w:tc>
      </w:tr>
    </w:tbl>
    <w:p w14:paraId="214104CB" w14:textId="3464577F" w:rsidR="00687334" w:rsidRPr="00FB3CFE" w:rsidRDefault="00E91DA9" w:rsidP="00687334">
      <w:pPr>
        <w:pStyle w:val="BodyText"/>
      </w:pPr>
      <w:r w:rsidRPr="00FB3CFE">
        <w:t xml:space="preserve">Nationally, there </w:t>
      </w:r>
      <w:r w:rsidRPr="00110076">
        <w:t xml:space="preserve">were </w:t>
      </w:r>
      <w:r w:rsidR="00657494" w:rsidRPr="00110076">
        <w:t>10</w:t>
      </w:r>
      <w:r w:rsidR="00477D09" w:rsidRPr="00110076">
        <w:t>7.7</w:t>
      </w:r>
      <w:r w:rsidR="00252A63" w:rsidRPr="00110076">
        <w:t xml:space="preserve"> avoidable</w:t>
      </w:r>
      <w:r w:rsidR="00252A63" w:rsidRPr="00FB3CFE">
        <w:t xml:space="preserve"> deaths per 100 000 people in 201</w:t>
      </w:r>
      <w:r w:rsidR="0050466F" w:rsidRPr="00FB3CFE">
        <w:t>5</w:t>
      </w:r>
      <w:r w:rsidR="00252A63" w:rsidRPr="00FB3CFE">
        <w:t xml:space="preserve"> (table </w:t>
      </w:r>
      <w:r w:rsidR="00822C47" w:rsidRPr="00FB3CFE">
        <w:t>EA.</w:t>
      </w:r>
      <w:r w:rsidR="00857854" w:rsidRPr="00FB3CFE">
        <w:t>41</w:t>
      </w:r>
      <w:r w:rsidR="00252A63" w:rsidRPr="00FB3CFE">
        <w:t xml:space="preserve">). The rate of avoidable deaths for Aboriginal and Torres Strait Islander people was more than three times the rate for other Australians </w:t>
      </w:r>
      <w:r w:rsidR="006703E9" w:rsidRPr="00FB3CFE">
        <w:t>(figure E.</w:t>
      </w:r>
      <w:r w:rsidR="00FB3CFE" w:rsidRPr="00FB3CFE">
        <w:t>8</w:t>
      </w:r>
      <w:r w:rsidR="006703E9" w:rsidRPr="00FB3CFE">
        <w:t xml:space="preserve"> and table </w:t>
      </w:r>
      <w:r w:rsidR="00822C47" w:rsidRPr="00FB3CFE">
        <w:t>EA.</w:t>
      </w:r>
      <w:r w:rsidR="00857854" w:rsidRPr="00FB3CFE">
        <w:t>42</w:t>
      </w:r>
      <w:r w:rsidR="00687334" w:rsidRPr="00FB3CFE">
        <w:t>).</w:t>
      </w:r>
    </w:p>
    <w:p w14:paraId="23F5416C" w14:textId="00E3E1C5" w:rsidR="00380669" w:rsidRPr="00FB3CFE" w:rsidRDefault="00380669" w:rsidP="0038066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80669" w:rsidRPr="00FB3CFE" w14:paraId="0E17A8BE" w14:textId="77777777" w:rsidTr="009C459E">
        <w:tc>
          <w:tcPr>
            <w:tcW w:w="8771" w:type="dxa"/>
            <w:tcBorders>
              <w:top w:val="single" w:sz="6" w:space="0" w:color="78A22F"/>
              <w:left w:val="nil"/>
              <w:bottom w:val="nil"/>
              <w:right w:val="nil"/>
            </w:tcBorders>
            <w:shd w:val="clear" w:color="auto" w:fill="auto"/>
          </w:tcPr>
          <w:p w14:paraId="12DB9CB6" w14:textId="1D778894" w:rsidR="00380669" w:rsidRPr="00FB3CFE" w:rsidRDefault="00380669" w:rsidP="00FB3CFE">
            <w:pPr>
              <w:pStyle w:val="FigureTitle"/>
            </w:pPr>
            <w:r w:rsidRPr="00FB3CFE">
              <w:rPr>
                <w:b w:val="0"/>
              </w:rPr>
              <w:t xml:space="preserve">Figure </w:t>
            </w:r>
            <w:proofErr w:type="spellStart"/>
            <w:r w:rsidR="00FB3CFE" w:rsidRPr="00265FC2">
              <w:rPr>
                <w:b w:val="0"/>
              </w:rPr>
              <w:t>E.</w:t>
            </w:r>
            <w:r w:rsidR="00FD3B62">
              <w:rPr>
                <w:b w:val="0"/>
                <w:noProof/>
              </w:rPr>
              <w:t>8</w:t>
            </w:r>
            <w:proofErr w:type="spellEnd"/>
            <w:r w:rsidRPr="00FB3CFE">
              <w:tab/>
              <w:t>Age standardised mortality rates for potentially avoida</w:t>
            </w:r>
            <w:r w:rsidR="0050466F" w:rsidRPr="00FB3CFE">
              <w:t>ble deaths, under 75 years, 2011–2015</w:t>
            </w:r>
            <w:r w:rsidRPr="00FB3CFE">
              <w:rPr>
                <w:rStyle w:val="NoteLabel"/>
                <w:b/>
              </w:rPr>
              <w:t>a, b</w:t>
            </w:r>
          </w:p>
        </w:tc>
      </w:tr>
      <w:tr w:rsidR="00380669" w:rsidRPr="00FB3CFE" w14:paraId="7AA5FD70" w14:textId="77777777" w:rsidTr="009C459E">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625"/>
            </w:tblGrid>
            <w:tr w:rsidR="00380669" w:rsidRPr="00FB3CFE" w14:paraId="779C289F" w14:textId="77777777" w:rsidTr="00EA0A74">
              <w:tc>
                <w:tcPr>
                  <w:tcW w:w="8625" w:type="dxa"/>
                  <w:tcBorders>
                    <w:top w:val="nil"/>
                    <w:bottom w:val="nil"/>
                  </w:tcBorders>
                </w:tcPr>
                <w:p w14:paraId="3CB14476" w14:textId="079465AD" w:rsidR="00380669" w:rsidRPr="00FB3CFE" w:rsidRDefault="00EA0A74" w:rsidP="009C459E">
                  <w:pPr>
                    <w:pStyle w:val="Figure"/>
                    <w:spacing w:before="60" w:after="60"/>
                  </w:pPr>
                  <w:r>
                    <w:rPr>
                      <w:noProof/>
                    </w:rPr>
                    <w:drawing>
                      <wp:inline distT="0" distB="0" distL="0" distR="0" wp14:anchorId="630D61F5" wp14:editId="267F5236">
                        <wp:extent cx="5325035" cy="2485017"/>
                        <wp:effectExtent l="0" t="0" r="0" b="0"/>
                        <wp:docPr id="22" name="Chart 22" descr="Figure E.8 Age standardised mortality rates for potentially avoidable deaths, under 75 years, 2011–2015&#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bl>
          <w:p w14:paraId="3CCF6016" w14:textId="77777777" w:rsidR="00380669" w:rsidRPr="00FB3CFE" w:rsidRDefault="00380669" w:rsidP="009C459E">
            <w:pPr>
              <w:pStyle w:val="Figure"/>
            </w:pPr>
          </w:p>
        </w:tc>
      </w:tr>
      <w:tr w:rsidR="00380669" w:rsidRPr="00FB3CFE" w14:paraId="789A0E81" w14:textId="77777777" w:rsidTr="009C459E">
        <w:tc>
          <w:tcPr>
            <w:tcW w:w="8771" w:type="dxa"/>
            <w:tcBorders>
              <w:top w:val="nil"/>
              <w:left w:val="nil"/>
              <w:bottom w:val="nil"/>
              <w:right w:val="nil"/>
            </w:tcBorders>
            <w:shd w:val="clear" w:color="auto" w:fill="auto"/>
          </w:tcPr>
          <w:p w14:paraId="4CF89C89" w14:textId="5C6E197E" w:rsidR="00380669" w:rsidRPr="00FB3CFE" w:rsidRDefault="00380669" w:rsidP="00857854">
            <w:pPr>
              <w:pStyle w:val="Note"/>
            </w:pPr>
            <w:r w:rsidRPr="00FB3CFE">
              <w:rPr>
                <w:rStyle w:val="NoteLabel"/>
              </w:rPr>
              <w:t>a</w:t>
            </w:r>
            <w:r w:rsidRPr="00FB3CFE">
              <w:sym w:font="Symbol" w:char="F020"/>
            </w:r>
            <w:r w:rsidRPr="00FB3CFE">
              <w:t xml:space="preserve">See box E.5 and table </w:t>
            </w:r>
            <w:r w:rsidR="00822C47" w:rsidRPr="00FB3CFE">
              <w:t>EA.</w:t>
            </w:r>
            <w:r w:rsidR="00857854" w:rsidRPr="00FB3CFE">
              <w:t>42</w:t>
            </w:r>
            <w:r w:rsidR="00FB3CFE" w:rsidRPr="00FB3CFE">
              <w:t xml:space="preserve"> </w:t>
            </w:r>
            <w:r w:rsidRPr="00FB3CFE">
              <w:t>for detailed definitions, footnotes and caveats.</w:t>
            </w:r>
            <w:r w:rsidRPr="00FB3CFE">
              <w:rPr>
                <w:rStyle w:val="NoteLabel"/>
              </w:rPr>
              <w:t xml:space="preserve"> b</w:t>
            </w:r>
            <w:r w:rsidRPr="00FB3CFE">
              <w:sym w:font="Symbol" w:char="F020"/>
            </w:r>
            <w:r w:rsidRPr="00FB3CFE">
              <w:t>Data are not available for Victoria, Tasmania or the ACT due to the small number of Aboriginal and Torres Strait Islander deaths.</w:t>
            </w:r>
          </w:p>
        </w:tc>
      </w:tr>
      <w:tr w:rsidR="00380669" w:rsidRPr="00FB3CFE" w14:paraId="21865F33" w14:textId="77777777" w:rsidTr="009C459E">
        <w:tc>
          <w:tcPr>
            <w:tcW w:w="8771" w:type="dxa"/>
            <w:tcBorders>
              <w:top w:val="nil"/>
              <w:left w:val="nil"/>
              <w:bottom w:val="nil"/>
              <w:right w:val="nil"/>
            </w:tcBorders>
            <w:shd w:val="clear" w:color="auto" w:fill="auto"/>
          </w:tcPr>
          <w:p w14:paraId="492B69CB" w14:textId="2D7F06C5" w:rsidR="00463895" w:rsidRPr="00FB3CFE" w:rsidRDefault="00380669" w:rsidP="00857854">
            <w:pPr>
              <w:pStyle w:val="Source"/>
              <w:spacing w:line="200" w:lineRule="exact"/>
            </w:pPr>
            <w:r w:rsidRPr="00FB3CFE">
              <w:rPr>
                <w:i/>
              </w:rPr>
              <w:t>Source</w:t>
            </w:r>
            <w:r w:rsidR="006703E9" w:rsidRPr="00FB3CFE">
              <w:t xml:space="preserve">: ABS </w:t>
            </w:r>
            <w:r w:rsidRPr="00FB3CFE">
              <w:t xml:space="preserve">(unpublished) </w:t>
            </w:r>
            <w:r w:rsidR="00C1045E" w:rsidRPr="00FB3CFE">
              <w:rPr>
                <w:i/>
              </w:rPr>
              <w:t>Causes of Deaths, Australia</w:t>
            </w:r>
            <w:r w:rsidR="00C1045E" w:rsidRPr="00FB3CFE">
              <w:t>, Cat. no. 3303.0</w:t>
            </w:r>
            <w:r w:rsidRPr="00FB3CFE">
              <w:t xml:space="preserve">; ABS (unpublished) </w:t>
            </w:r>
            <w:r w:rsidR="00E91DA9" w:rsidRPr="00FB3CFE">
              <w:rPr>
                <w:i/>
              </w:rPr>
              <w:t xml:space="preserve">Australian Demographic </w:t>
            </w:r>
            <w:r w:rsidR="00E91DA9" w:rsidRPr="00FB3CFE">
              <w:t>Statistics</w:t>
            </w:r>
            <w:r w:rsidR="00C1045E" w:rsidRPr="00FB3CFE">
              <w:t>,</w:t>
            </w:r>
            <w:r w:rsidR="00E91DA9" w:rsidRPr="00FB3CFE">
              <w:t xml:space="preserve"> Cat. no. 3101.0; </w:t>
            </w:r>
            <w:r w:rsidRPr="00FB3CFE">
              <w:t xml:space="preserve">ABS (2014) </w:t>
            </w:r>
            <w:r w:rsidRPr="00FB3CFE">
              <w:rPr>
                <w:i/>
              </w:rPr>
              <w:t>Estimates and Projections, Aboriginal and Torres Strait Islander Australians, 2001 to 2026</w:t>
            </w:r>
            <w:r w:rsidRPr="00FB3CFE">
              <w:t xml:space="preserve">, </w:t>
            </w:r>
            <w:r w:rsidR="00657494" w:rsidRPr="00FB3CFE">
              <w:t>Series B</w:t>
            </w:r>
            <w:r w:rsidR="00E91DA9" w:rsidRPr="00FB3CFE">
              <w:t xml:space="preserve">; </w:t>
            </w:r>
            <w:r w:rsidRPr="00FB3CFE">
              <w:t>Cat. no. 3238.0; table </w:t>
            </w:r>
            <w:r w:rsidR="00822C47" w:rsidRPr="00FB3CFE">
              <w:t>EA.</w:t>
            </w:r>
            <w:r w:rsidR="00857854" w:rsidRPr="00FB3CFE">
              <w:t>42</w:t>
            </w:r>
            <w:r w:rsidRPr="00FB3CFE">
              <w:t>.</w:t>
            </w:r>
          </w:p>
        </w:tc>
      </w:tr>
      <w:tr w:rsidR="00380669" w:rsidRPr="00FB3CFE" w14:paraId="5F2A1B44" w14:textId="77777777" w:rsidTr="009C459E">
        <w:tc>
          <w:tcPr>
            <w:tcW w:w="8771" w:type="dxa"/>
            <w:tcBorders>
              <w:top w:val="nil"/>
              <w:left w:val="nil"/>
              <w:bottom w:val="single" w:sz="6" w:space="0" w:color="78A22F"/>
              <w:right w:val="nil"/>
            </w:tcBorders>
            <w:shd w:val="clear" w:color="auto" w:fill="auto"/>
          </w:tcPr>
          <w:p w14:paraId="3AFEE1D2" w14:textId="77777777" w:rsidR="00380669" w:rsidRPr="00FB3CFE" w:rsidRDefault="00380669" w:rsidP="009C459E">
            <w:pPr>
              <w:pStyle w:val="Figurespace"/>
            </w:pPr>
          </w:p>
        </w:tc>
      </w:tr>
      <w:tr w:rsidR="00380669" w:rsidRPr="00FB3CFE" w14:paraId="5233CD12" w14:textId="77777777" w:rsidTr="009C459E">
        <w:tc>
          <w:tcPr>
            <w:tcW w:w="8771" w:type="dxa"/>
            <w:tcBorders>
              <w:top w:val="single" w:sz="6" w:space="0" w:color="78A22F"/>
              <w:left w:val="nil"/>
              <w:bottom w:val="nil"/>
              <w:right w:val="nil"/>
            </w:tcBorders>
          </w:tcPr>
          <w:p w14:paraId="6D64E1B5" w14:textId="4158F166" w:rsidR="00380669" w:rsidRPr="00FB3CFE" w:rsidRDefault="00380669" w:rsidP="009C459E">
            <w:pPr>
              <w:pStyle w:val="BoxSpaceBelow"/>
            </w:pPr>
          </w:p>
        </w:tc>
      </w:tr>
    </w:tbl>
    <w:p w14:paraId="284F102B" w14:textId="77777777" w:rsidR="00252A63" w:rsidRPr="00FB3CFE" w:rsidRDefault="00252A63" w:rsidP="00D14718">
      <w:pPr>
        <w:pStyle w:val="Heading4"/>
      </w:pPr>
      <w:r w:rsidRPr="00FB3CFE">
        <w:lastRenderedPageBreak/>
        <w:t>The mortality and life expectancy of Australians</w:t>
      </w:r>
    </w:p>
    <w:p w14:paraId="4E25C53D" w14:textId="1052E908" w:rsidR="00F11551" w:rsidRPr="00FB3CFE" w:rsidRDefault="00F11551" w:rsidP="00D14718">
      <w:pPr>
        <w:pStyle w:val="BodyText"/>
      </w:pPr>
      <w:r w:rsidRPr="00FB3CFE">
        <w:t>‘The mortality and life expectancy of Australians’ is an indicator of governments’ objective that Australians are born and remain healthy (box E.6).</w:t>
      </w:r>
    </w:p>
    <w:p w14:paraId="42D2F34A" w14:textId="667B40C0" w:rsidR="00380669" w:rsidRPr="00FB3CFE" w:rsidRDefault="00380669" w:rsidP="0038066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80669" w:rsidRPr="00FB3CFE" w14:paraId="031DBEE6" w14:textId="77777777" w:rsidTr="009C459E">
        <w:tc>
          <w:tcPr>
            <w:tcW w:w="8771" w:type="dxa"/>
            <w:tcBorders>
              <w:top w:val="single" w:sz="6" w:space="0" w:color="78A22F"/>
              <w:left w:val="nil"/>
              <w:bottom w:val="nil"/>
              <w:right w:val="nil"/>
            </w:tcBorders>
            <w:shd w:val="clear" w:color="auto" w:fill="F2F2F2" w:themeFill="background1" w:themeFillShade="F2"/>
          </w:tcPr>
          <w:p w14:paraId="31CC3BC5" w14:textId="617A91F0" w:rsidR="00380669" w:rsidRPr="00FB3CFE" w:rsidRDefault="00380669" w:rsidP="009C459E">
            <w:pPr>
              <w:pStyle w:val="BoxTitle"/>
            </w:pPr>
            <w:r w:rsidRPr="00FB3CFE">
              <w:rPr>
                <w:b w:val="0"/>
              </w:rPr>
              <w:t xml:space="preserve">Box </w:t>
            </w:r>
            <w:proofErr w:type="spellStart"/>
            <w:r w:rsidRPr="00FB3CFE">
              <w:rPr>
                <w:b w:val="0"/>
              </w:rPr>
              <w:t>E.</w:t>
            </w:r>
            <w:r w:rsidR="00FD3B62">
              <w:rPr>
                <w:b w:val="0"/>
                <w:noProof/>
              </w:rPr>
              <w:t>6</w:t>
            </w:r>
            <w:proofErr w:type="spellEnd"/>
            <w:r w:rsidRPr="00FB3CFE">
              <w:tab/>
              <w:t>The mortality and life expectancy of Australians</w:t>
            </w:r>
          </w:p>
        </w:tc>
      </w:tr>
      <w:tr w:rsidR="00380669" w:rsidRPr="00FB3CFE" w14:paraId="7DFE9352" w14:textId="77777777" w:rsidTr="009C459E">
        <w:trPr>
          <w:cantSplit/>
        </w:trPr>
        <w:tc>
          <w:tcPr>
            <w:tcW w:w="8771" w:type="dxa"/>
            <w:tcBorders>
              <w:top w:val="nil"/>
              <w:left w:val="nil"/>
              <w:bottom w:val="nil"/>
              <w:right w:val="nil"/>
            </w:tcBorders>
            <w:shd w:val="clear" w:color="auto" w:fill="F2F2F2" w:themeFill="background1" w:themeFillShade="F2"/>
          </w:tcPr>
          <w:p w14:paraId="2731383A" w14:textId="77777777" w:rsidR="00380669" w:rsidRPr="00FB3CFE" w:rsidRDefault="00380669" w:rsidP="009C459E">
            <w:pPr>
              <w:pStyle w:val="Box"/>
            </w:pPr>
            <w:r w:rsidRPr="00FB3CFE">
              <w:t>‘The mortality and life expectancy of Australians’ is defined by the following three measures:</w:t>
            </w:r>
          </w:p>
          <w:p w14:paraId="2646C52B" w14:textId="77777777" w:rsidR="00380669" w:rsidRPr="00FB3CFE" w:rsidRDefault="00380669" w:rsidP="00380669">
            <w:pPr>
              <w:pStyle w:val="BoxListBullet"/>
            </w:pPr>
            <w:r w:rsidRPr="00FB3CFE">
              <w:t>Life expectancy — the average number of additional years a person of a given age and sex might expect to live if the age</w:t>
            </w:r>
            <w:r w:rsidRPr="00FB3CFE">
              <w:noBreakHyphen/>
              <w:t>specific death rates of the given period continued throughout his/her lifetime.</w:t>
            </w:r>
          </w:p>
          <w:p w14:paraId="0406C0AA" w14:textId="77777777" w:rsidR="00380669" w:rsidRPr="00FB3CFE" w:rsidRDefault="00380669" w:rsidP="00380669">
            <w:pPr>
              <w:pStyle w:val="BoxListBullet"/>
            </w:pPr>
            <w:r w:rsidRPr="00FB3CFE">
              <w:t>Median age at death — the age at which exactly half the deaths registered (or occurring) in a given time period were deaths of people above and below that age.</w:t>
            </w:r>
          </w:p>
          <w:p w14:paraId="1219FC86" w14:textId="77777777" w:rsidR="00380669" w:rsidRPr="00FB3CFE" w:rsidRDefault="00380669" w:rsidP="00380669">
            <w:pPr>
              <w:pStyle w:val="BoxListBullet"/>
            </w:pPr>
            <w:r w:rsidRPr="00FB3CFE">
              <w:t xml:space="preserve">Mortality rates — the </w:t>
            </w:r>
            <w:r w:rsidRPr="00FB3CFE">
              <w:rPr>
                <w:lang w:val="en"/>
              </w:rPr>
              <w:t>number of registered deaths compared to the total population</w:t>
            </w:r>
            <w:r w:rsidRPr="00FB3CFE">
              <w:t>. Rates are provided for:</w:t>
            </w:r>
          </w:p>
          <w:p w14:paraId="09F94E17" w14:textId="77777777" w:rsidR="00380669" w:rsidRPr="00FB3CFE" w:rsidRDefault="00380669" w:rsidP="009C459E">
            <w:pPr>
              <w:pStyle w:val="BoxListBullet2"/>
            </w:pPr>
            <w:r w:rsidRPr="00FB3CFE">
              <w:t>Australian mortality rate — age standardised mortality per 1000 people</w:t>
            </w:r>
          </w:p>
          <w:p w14:paraId="3C357EAE" w14:textId="5C59D143" w:rsidR="00380669" w:rsidRPr="00FB3CFE" w:rsidRDefault="00380669" w:rsidP="009C459E">
            <w:pPr>
              <w:pStyle w:val="BoxListBullet2"/>
              <w:tabs>
                <w:tab w:val="left" w:pos="8026"/>
              </w:tabs>
            </w:pPr>
            <w:r w:rsidRPr="00FB3CFE">
              <w:t>infant and child mortality rates — the number of deaths of children under one</w:t>
            </w:r>
            <w:r w:rsidR="006703E9" w:rsidRPr="00FB3CFE">
              <w:t xml:space="preserve"> year of </w:t>
            </w:r>
            <w:r w:rsidRPr="00FB3CFE">
              <w:t xml:space="preserve">age registered </w:t>
            </w:r>
            <w:r w:rsidR="006703E9" w:rsidRPr="00FB3CFE">
              <w:t xml:space="preserve">in a calendar year per </w:t>
            </w:r>
            <w:r w:rsidRPr="00FB3CFE">
              <w:t>10</w:t>
            </w:r>
            <w:r w:rsidR="006703E9" w:rsidRPr="00FB3CFE">
              <w:t xml:space="preserve">00 live </w:t>
            </w:r>
            <w:r w:rsidRPr="00FB3CFE">
              <w:t xml:space="preserve">births registered in the same year (infant mortality rate) and the number of deaths of children under five years </w:t>
            </w:r>
            <w:r w:rsidR="006703E9" w:rsidRPr="00FB3CFE">
              <w:t xml:space="preserve">in a calendar year per </w:t>
            </w:r>
            <w:r w:rsidRPr="00FB3CFE">
              <w:t>100</w:t>
            </w:r>
            <w:r w:rsidR="007822E3">
              <w:t> </w:t>
            </w:r>
            <w:r w:rsidRPr="00FB3CFE">
              <w:t>000 children (child mortality rate)</w:t>
            </w:r>
          </w:p>
          <w:p w14:paraId="6B49A722" w14:textId="77777777" w:rsidR="00380669" w:rsidRPr="00FB3CFE" w:rsidRDefault="00380669" w:rsidP="009C459E">
            <w:pPr>
              <w:pStyle w:val="BoxListBullet2"/>
            </w:pPr>
            <w:r w:rsidRPr="00FB3CFE">
              <w:t>mortality rates by major cause of death — age standardised mortality per 1000 people, by cause of death.</w:t>
            </w:r>
          </w:p>
          <w:p w14:paraId="039DBFF6" w14:textId="77777777" w:rsidR="00380669" w:rsidRPr="00FB3CFE" w:rsidRDefault="00380669" w:rsidP="009C459E">
            <w:pPr>
              <w:pStyle w:val="Box"/>
            </w:pPr>
            <w:r w:rsidRPr="00FB3CFE">
              <w:t>A high or increasing life expectancy and median age at death are desirable. A low or decreasing mortality rate is desirable.</w:t>
            </w:r>
          </w:p>
          <w:p w14:paraId="55D9F68A" w14:textId="77777777" w:rsidR="00380669" w:rsidRPr="00FB3CFE" w:rsidRDefault="00380669" w:rsidP="009C459E">
            <w:pPr>
              <w:pStyle w:val="Box"/>
            </w:pPr>
            <w:r w:rsidRPr="00FB3CFE">
              <w:t>Most components of the health system can influence the mortality and life expectancy of Australians, although there can be decades between the action and the effect. Factors external to the health system also have a strong influence.</w:t>
            </w:r>
          </w:p>
          <w:p w14:paraId="25D3F27D" w14:textId="77777777" w:rsidR="00380669" w:rsidRPr="00FB3CFE" w:rsidRDefault="00380669" w:rsidP="009C459E">
            <w:pPr>
              <w:pStyle w:val="Box"/>
            </w:pPr>
            <w:r w:rsidRPr="00FB3CFE">
              <w:t>Data reported for this indicator are:</w:t>
            </w:r>
          </w:p>
          <w:p w14:paraId="4F0A5D88" w14:textId="77777777" w:rsidR="00380669" w:rsidRPr="00FB3CFE" w:rsidRDefault="00380669" w:rsidP="00380669">
            <w:pPr>
              <w:pStyle w:val="BoxListBullet"/>
              <w:spacing w:line="240" w:lineRule="atLeast"/>
            </w:pPr>
            <w:r w:rsidRPr="00FB3CFE">
              <w:t>comparable (subject to caveats) across jurisdictions and over time, except for median age at death</w:t>
            </w:r>
          </w:p>
          <w:p w14:paraId="5BB3061E" w14:textId="77777777" w:rsidR="00F4155A" w:rsidRPr="00FB3CFE" w:rsidRDefault="00380669" w:rsidP="00FF44E9">
            <w:pPr>
              <w:pStyle w:val="BoxListBullet"/>
            </w:pPr>
            <w:r w:rsidRPr="00FB3CFE">
              <w:t>complete (subject to caveats) for the current reporting period. All required 201</w:t>
            </w:r>
            <w:r w:rsidR="00FF44E9" w:rsidRPr="00FB3CFE">
              <w:t>3</w:t>
            </w:r>
            <w:r w:rsidRPr="00FB3CFE">
              <w:rPr>
                <w:rFonts w:cs="Arial"/>
              </w:rPr>
              <w:t>–</w:t>
            </w:r>
            <w:r w:rsidRPr="00FB3CFE">
              <w:t>201</w:t>
            </w:r>
            <w:r w:rsidR="00FF44E9" w:rsidRPr="00FB3CFE">
              <w:t>5</w:t>
            </w:r>
            <w:r w:rsidRPr="00FB3CFE">
              <w:t xml:space="preserve"> data for life expectancy, 201</w:t>
            </w:r>
            <w:r w:rsidR="00FF44E9" w:rsidRPr="00FB3CFE">
              <w:t>5</w:t>
            </w:r>
            <w:r w:rsidRPr="00FB3CFE">
              <w:t xml:space="preserve"> data for median age at death,</w:t>
            </w:r>
            <w:r w:rsidR="006703E9" w:rsidRPr="00FB3CFE">
              <w:t xml:space="preserve"> </w:t>
            </w:r>
            <w:r w:rsidRPr="00FB3CFE">
              <w:t>201</w:t>
            </w:r>
            <w:r w:rsidR="00FF44E9" w:rsidRPr="00FB3CFE">
              <w:t>5</w:t>
            </w:r>
            <w:r w:rsidRPr="00FB3CFE">
              <w:t xml:space="preserve"> data for mortality rates and 201</w:t>
            </w:r>
            <w:r w:rsidR="00FF44E9" w:rsidRPr="00FB3CFE">
              <w:t>5</w:t>
            </w:r>
            <w:r w:rsidRPr="00FB3CFE">
              <w:t xml:space="preserve"> data for cause of death are available for all jurisdictions</w:t>
            </w:r>
            <w:r w:rsidR="00FF44E9" w:rsidRPr="00FB3CFE">
              <w:t>.</w:t>
            </w:r>
          </w:p>
        </w:tc>
      </w:tr>
      <w:tr w:rsidR="00380669" w:rsidRPr="00FB3CFE" w14:paraId="425E5E0D" w14:textId="77777777" w:rsidTr="009C459E">
        <w:trPr>
          <w:cantSplit/>
        </w:trPr>
        <w:tc>
          <w:tcPr>
            <w:tcW w:w="8771" w:type="dxa"/>
            <w:tcBorders>
              <w:top w:val="nil"/>
              <w:left w:val="nil"/>
              <w:bottom w:val="single" w:sz="6" w:space="0" w:color="78A22F"/>
              <w:right w:val="nil"/>
            </w:tcBorders>
            <w:shd w:val="clear" w:color="auto" w:fill="F2F2F2" w:themeFill="background1" w:themeFillShade="F2"/>
          </w:tcPr>
          <w:p w14:paraId="2A66BC9B" w14:textId="77777777" w:rsidR="00380669" w:rsidRPr="00FB3CFE" w:rsidRDefault="00380669" w:rsidP="009C459E">
            <w:pPr>
              <w:pStyle w:val="Box"/>
              <w:spacing w:before="0" w:line="120" w:lineRule="exact"/>
            </w:pPr>
          </w:p>
        </w:tc>
      </w:tr>
      <w:tr w:rsidR="00380669" w:rsidRPr="00FB3CFE" w14:paraId="099083C6" w14:textId="77777777" w:rsidTr="009C459E">
        <w:tc>
          <w:tcPr>
            <w:tcW w:w="8771" w:type="dxa"/>
            <w:tcBorders>
              <w:top w:val="single" w:sz="6" w:space="0" w:color="78A22F"/>
              <w:left w:val="nil"/>
              <w:bottom w:val="nil"/>
              <w:right w:val="nil"/>
            </w:tcBorders>
          </w:tcPr>
          <w:p w14:paraId="394AE719" w14:textId="21700175" w:rsidR="00380669" w:rsidRPr="00FB3CFE" w:rsidRDefault="00380669" w:rsidP="009C459E">
            <w:pPr>
              <w:pStyle w:val="BoxSpaceBelow"/>
            </w:pPr>
          </w:p>
        </w:tc>
      </w:tr>
    </w:tbl>
    <w:p w14:paraId="081C06AB" w14:textId="77777777" w:rsidR="00252A63" w:rsidRDefault="00252A63" w:rsidP="00D14718">
      <w:pPr>
        <w:pStyle w:val="Heading5"/>
      </w:pPr>
      <w:r w:rsidRPr="00FB3CFE">
        <w:t>Life expectancy</w:t>
      </w:r>
    </w:p>
    <w:p w14:paraId="2D4BDDF5" w14:textId="77777777" w:rsidR="00721390" w:rsidRDefault="00721390" w:rsidP="00721390">
      <w:pPr>
        <w:pStyle w:val="BodyText"/>
        <w:rPr>
          <w:shd w:val="clear" w:color="auto" w:fill="FFFFFF" w:themeFill="background1"/>
        </w:rPr>
      </w:pPr>
      <w:r w:rsidRPr="00721390">
        <w:t>The average life expectancy at birth in the period 1901–1910 was 55.2 years for males and 58.8 years for females (ABS 2013). It has risen steadily in each decade since, reaching 80.4 years for males and 84.5 years</w:t>
      </w:r>
      <w:r w:rsidRPr="00FB3CFE">
        <w:t xml:space="preserve"> for females in 2013–2015 (f</w:t>
      </w:r>
      <w:r w:rsidRPr="00FB3CFE">
        <w:rPr>
          <w:shd w:val="clear" w:color="auto" w:fill="FFFFFF" w:themeFill="background1"/>
        </w:rPr>
        <w:t>igure E.9).</w:t>
      </w:r>
    </w:p>
    <w:p w14:paraId="5A33A1E3" w14:textId="27B98C04" w:rsidR="0005311B" w:rsidRPr="00FB3CFE" w:rsidRDefault="0005311B" w:rsidP="0005311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5311B" w:rsidRPr="00FB3CFE" w14:paraId="7F1215A9" w14:textId="77777777" w:rsidTr="006C4643">
        <w:tc>
          <w:tcPr>
            <w:tcW w:w="8771" w:type="dxa"/>
            <w:tcBorders>
              <w:top w:val="single" w:sz="6" w:space="0" w:color="78A22F"/>
              <w:left w:val="nil"/>
              <w:bottom w:val="nil"/>
              <w:right w:val="nil"/>
            </w:tcBorders>
            <w:shd w:val="clear" w:color="auto" w:fill="auto"/>
          </w:tcPr>
          <w:p w14:paraId="09D6589C" w14:textId="6B22DDA4" w:rsidR="0005311B" w:rsidRPr="00FB3CFE" w:rsidRDefault="0005311B" w:rsidP="006C4643">
            <w:pPr>
              <w:pStyle w:val="FigureTitle"/>
            </w:pPr>
            <w:r w:rsidRPr="00FB3CFE">
              <w:rPr>
                <w:b w:val="0"/>
              </w:rPr>
              <w:t xml:space="preserve">Figure </w:t>
            </w:r>
            <w:proofErr w:type="spellStart"/>
            <w:r w:rsidRPr="00265FC2">
              <w:rPr>
                <w:b w:val="0"/>
              </w:rPr>
              <w:t>E.</w:t>
            </w:r>
            <w:r w:rsidR="00FD3B62">
              <w:rPr>
                <w:b w:val="0"/>
                <w:noProof/>
              </w:rPr>
              <w:t>9</w:t>
            </w:r>
            <w:proofErr w:type="spellEnd"/>
            <w:r w:rsidRPr="00FB3CFE">
              <w:tab/>
              <w:t>All Australians average life expectancy at birth, 2013</w:t>
            </w:r>
            <w:r w:rsidRPr="00FB3CFE">
              <w:rPr>
                <w:rFonts w:cs="Arial"/>
              </w:rPr>
              <w:t>–</w:t>
            </w:r>
            <w:r w:rsidRPr="00FB3CFE">
              <w:t>2015</w:t>
            </w:r>
            <w:r w:rsidRPr="00FB3CFE">
              <w:rPr>
                <w:rStyle w:val="NoteLabel"/>
                <w:b/>
              </w:rPr>
              <w:t>a</w:t>
            </w:r>
          </w:p>
        </w:tc>
      </w:tr>
      <w:tr w:rsidR="0005311B" w:rsidRPr="00FB3CFE" w14:paraId="00C7A56D" w14:textId="77777777" w:rsidTr="006C4643">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625"/>
            </w:tblGrid>
            <w:tr w:rsidR="0005311B" w:rsidRPr="00FB3CFE" w14:paraId="7140ACE5" w14:textId="77777777" w:rsidTr="00EA0A74">
              <w:tc>
                <w:tcPr>
                  <w:tcW w:w="8625" w:type="dxa"/>
                  <w:tcBorders>
                    <w:top w:val="nil"/>
                    <w:bottom w:val="nil"/>
                  </w:tcBorders>
                </w:tcPr>
                <w:p w14:paraId="73D5EF0D" w14:textId="10F1AA94" w:rsidR="0005311B" w:rsidRPr="00FB3CFE" w:rsidRDefault="00EA0A74" w:rsidP="006C4643">
                  <w:pPr>
                    <w:pStyle w:val="Figure"/>
                    <w:spacing w:before="60" w:after="60"/>
                  </w:pPr>
                  <w:r>
                    <w:rPr>
                      <w:noProof/>
                    </w:rPr>
                    <w:drawing>
                      <wp:inline distT="0" distB="0" distL="0" distR="0" wp14:anchorId="2229AF28" wp14:editId="0C0C4E9B">
                        <wp:extent cx="5400000" cy="2446635"/>
                        <wp:effectExtent l="0" t="0" r="0" b="0"/>
                        <wp:docPr id="25" name="Chart 25" descr="Figure E.9 All Australians average life expectancy at birth, 2013–2015&#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bl>
          <w:p w14:paraId="5935D20A" w14:textId="77777777" w:rsidR="0005311B" w:rsidRPr="00FB3CFE" w:rsidRDefault="0005311B" w:rsidP="006C4643">
            <w:pPr>
              <w:pStyle w:val="Figure"/>
            </w:pPr>
          </w:p>
        </w:tc>
      </w:tr>
      <w:tr w:rsidR="0005311B" w:rsidRPr="00FB3CFE" w14:paraId="5DB1FD09" w14:textId="77777777" w:rsidTr="006C4643">
        <w:tc>
          <w:tcPr>
            <w:tcW w:w="8771" w:type="dxa"/>
            <w:tcBorders>
              <w:top w:val="nil"/>
              <w:left w:val="nil"/>
              <w:bottom w:val="nil"/>
              <w:right w:val="nil"/>
            </w:tcBorders>
            <w:shd w:val="clear" w:color="auto" w:fill="auto"/>
          </w:tcPr>
          <w:p w14:paraId="0621E745" w14:textId="061D53EC" w:rsidR="0005311B" w:rsidRPr="00FB3CFE" w:rsidRDefault="0005311B" w:rsidP="006C4643">
            <w:pPr>
              <w:pStyle w:val="Note"/>
            </w:pPr>
            <w:r w:rsidRPr="00FB3CFE">
              <w:rPr>
                <w:rStyle w:val="NoteLabel"/>
              </w:rPr>
              <w:t>a</w:t>
            </w:r>
            <w:r w:rsidRPr="00FB3CFE">
              <w:sym w:font="Symbol" w:char="F020"/>
            </w:r>
            <w:r w:rsidRPr="00FB3CFE">
              <w:t>See box E.6 and table EA.46 for detailed definitions, footnotes and caveats.</w:t>
            </w:r>
          </w:p>
        </w:tc>
      </w:tr>
      <w:tr w:rsidR="0005311B" w:rsidRPr="00FB3CFE" w14:paraId="47C58F43" w14:textId="77777777" w:rsidTr="006C4643">
        <w:tc>
          <w:tcPr>
            <w:tcW w:w="8771" w:type="dxa"/>
            <w:tcBorders>
              <w:top w:val="nil"/>
              <w:left w:val="nil"/>
              <w:bottom w:val="nil"/>
              <w:right w:val="nil"/>
            </w:tcBorders>
            <w:shd w:val="clear" w:color="auto" w:fill="auto"/>
          </w:tcPr>
          <w:p w14:paraId="104525BD" w14:textId="1995BD4F" w:rsidR="0005311B" w:rsidRPr="00FB3CFE" w:rsidRDefault="0005311B" w:rsidP="006C4643">
            <w:pPr>
              <w:pStyle w:val="Source"/>
              <w:spacing w:line="200" w:lineRule="exact"/>
            </w:pPr>
            <w:r w:rsidRPr="00FB3CFE">
              <w:rPr>
                <w:i/>
              </w:rPr>
              <w:t>Source</w:t>
            </w:r>
            <w:r w:rsidRPr="00FB3CFE">
              <w:t xml:space="preserve">: ABS (2016) </w:t>
            </w:r>
            <w:r w:rsidRPr="00FB3CFE">
              <w:rPr>
                <w:i/>
              </w:rPr>
              <w:t xml:space="preserve">Life </w:t>
            </w:r>
            <w:r w:rsidR="007822E3">
              <w:rPr>
                <w:i/>
              </w:rPr>
              <w:t>t</w:t>
            </w:r>
            <w:r w:rsidRPr="00FB3CFE">
              <w:rPr>
                <w:i/>
              </w:rPr>
              <w:t>ables, Australia, States and Territories, 2013­2015</w:t>
            </w:r>
            <w:r w:rsidRPr="00FB3CFE">
              <w:t>,</w:t>
            </w:r>
            <w:r w:rsidRPr="00FB3CFE">
              <w:rPr>
                <w:i/>
              </w:rPr>
              <w:t xml:space="preserve"> </w:t>
            </w:r>
            <w:r w:rsidRPr="00FB3CFE">
              <w:t>Cat. no. 3302.0.55.001; table EA.46.</w:t>
            </w:r>
          </w:p>
        </w:tc>
      </w:tr>
      <w:tr w:rsidR="0005311B" w:rsidRPr="00FB3CFE" w14:paraId="3F821F26" w14:textId="77777777" w:rsidTr="006C4643">
        <w:tc>
          <w:tcPr>
            <w:tcW w:w="8771" w:type="dxa"/>
            <w:tcBorders>
              <w:top w:val="nil"/>
              <w:left w:val="nil"/>
              <w:bottom w:val="single" w:sz="6" w:space="0" w:color="78A22F"/>
              <w:right w:val="nil"/>
            </w:tcBorders>
            <w:shd w:val="clear" w:color="auto" w:fill="auto"/>
          </w:tcPr>
          <w:p w14:paraId="0115E1BF" w14:textId="77777777" w:rsidR="0005311B" w:rsidRPr="00FB3CFE" w:rsidRDefault="0005311B" w:rsidP="006C4643">
            <w:pPr>
              <w:pStyle w:val="Figurespace"/>
            </w:pPr>
          </w:p>
        </w:tc>
      </w:tr>
      <w:tr w:rsidR="0005311B" w:rsidRPr="00FB3CFE" w14:paraId="3FA8978E" w14:textId="77777777" w:rsidTr="006C4643">
        <w:tc>
          <w:tcPr>
            <w:tcW w:w="8771" w:type="dxa"/>
            <w:tcBorders>
              <w:top w:val="single" w:sz="6" w:space="0" w:color="78A22F"/>
              <w:left w:val="nil"/>
              <w:bottom w:val="nil"/>
              <w:right w:val="nil"/>
            </w:tcBorders>
          </w:tcPr>
          <w:p w14:paraId="7DF1C892" w14:textId="143D2D34" w:rsidR="0005311B" w:rsidRPr="00FB3CFE" w:rsidRDefault="0005311B" w:rsidP="006C4643">
            <w:pPr>
              <w:pStyle w:val="BoxSpaceBelow"/>
            </w:pPr>
          </w:p>
        </w:tc>
      </w:tr>
    </w:tbl>
    <w:p w14:paraId="77BF6BAB" w14:textId="3A6E6E69" w:rsidR="00252A63" w:rsidRPr="00FB3CFE" w:rsidRDefault="00252A63" w:rsidP="00D14718">
      <w:pPr>
        <w:pStyle w:val="BodyText"/>
      </w:pPr>
      <w:r w:rsidRPr="00FB3CFE">
        <w:t>The life expectancies of Aboriginal and Torres Strait Islander Australians are considerably lower than those of other Australians. ABS estimates are available every 5 years. These indicate a life expectancy at</w:t>
      </w:r>
      <w:r w:rsidR="006703E9" w:rsidRPr="00FB3CFE">
        <w:t xml:space="preserve"> birth of 69.1 </w:t>
      </w:r>
      <w:r w:rsidRPr="00FB3CFE">
        <w:t>years for Aboriginal and Torres</w:t>
      </w:r>
      <w:r w:rsidR="006703E9" w:rsidRPr="00FB3CFE">
        <w:t xml:space="preserve"> Strait Islander males and 73.7 </w:t>
      </w:r>
      <w:r w:rsidRPr="00FB3CFE">
        <w:t>years for Aboriginal and Torres Strait Islander females born from 2010 to 2012. In the same time period, life expectancy at birth fo</w:t>
      </w:r>
      <w:r w:rsidR="006703E9" w:rsidRPr="00FB3CFE">
        <w:t>r non</w:t>
      </w:r>
      <w:r w:rsidR="006703E9" w:rsidRPr="00FB3CFE">
        <w:noBreakHyphen/>
        <w:t xml:space="preserve">Indigenous males was </w:t>
      </w:r>
      <w:r w:rsidR="006703E9" w:rsidRPr="00FB3CFE">
        <w:br/>
        <w:t xml:space="preserve">79.7 </w:t>
      </w:r>
      <w:r w:rsidRPr="00FB3CFE">
        <w:t>years and for non</w:t>
      </w:r>
      <w:r w:rsidRPr="00FB3CFE">
        <w:noBreakHyphen/>
        <w:t>Indigenou</w:t>
      </w:r>
      <w:r w:rsidR="006703E9" w:rsidRPr="00FB3CFE">
        <w:t xml:space="preserve">s females was 83.1 years (table </w:t>
      </w:r>
      <w:r w:rsidR="00822C47" w:rsidRPr="00FB3CFE">
        <w:t>EA.</w:t>
      </w:r>
      <w:r w:rsidR="00857854" w:rsidRPr="00FB3CFE">
        <w:t>47</w:t>
      </w:r>
      <w:r w:rsidRPr="00FB3CFE">
        <w:t>).</w:t>
      </w:r>
    </w:p>
    <w:p w14:paraId="0592664D" w14:textId="77777777" w:rsidR="00252A63" w:rsidRPr="00FB3CFE" w:rsidRDefault="00252A63" w:rsidP="00D14718">
      <w:pPr>
        <w:pStyle w:val="Heading5"/>
      </w:pPr>
      <w:r w:rsidRPr="00FB3CFE">
        <w:t>Median age at death</w:t>
      </w:r>
    </w:p>
    <w:p w14:paraId="1BEC846F" w14:textId="2938FB47" w:rsidR="00252A63" w:rsidRPr="00FB3CFE" w:rsidRDefault="00252A63" w:rsidP="00D14718">
      <w:pPr>
        <w:pStyle w:val="BodyText"/>
      </w:pPr>
      <w:r w:rsidRPr="00FB3CFE">
        <w:t>The median age at death in 201</w:t>
      </w:r>
      <w:r w:rsidR="00F05F1B" w:rsidRPr="00FB3CFE">
        <w:t>5 was 78.8</w:t>
      </w:r>
      <w:r w:rsidRPr="00FB3CFE">
        <w:t xml:space="preserve"> y</w:t>
      </w:r>
      <w:r w:rsidR="00F05F1B" w:rsidRPr="00FB3CFE">
        <w:t>ears for Australian males and 85.1</w:t>
      </w:r>
      <w:r w:rsidRPr="00FB3CFE">
        <w:t xml:space="preserve"> year</w:t>
      </w:r>
      <w:r w:rsidR="006703E9" w:rsidRPr="00FB3CFE">
        <w:t xml:space="preserve">s for Australian females (table </w:t>
      </w:r>
      <w:r w:rsidR="00822C47" w:rsidRPr="00FB3CFE">
        <w:t>EA.</w:t>
      </w:r>
      <w:r w:rsidR="00857854" w:rsidRPr="00FB3CFE">
        <w:t>48</w:t>
      </w:r>
      <w:r w:rsidRPr="00FB3CFE">
        <w:t>).</w:t>
      </w:r>
    </w:p>
    <w:p w14:paraId="7E9B0767" w14:textId="7AC85893" w:rsidR="00110076" w:rsidRDefault="00252A63" w:rsidP="00CC33E1">
      <w:pPr>
        <w:pStyle w:val="BodyText"/>
      </w:pPr>
      <w:r w:rsidRPr="00FB3CFE">
        <w:t>Nationally</w:t>
      </w:r>
      <w:r w:rsidRPr="00110076">
        <w:t>, counting only the jurisdictions for which data were available for Aboriginal and Torres Strait Islander Australians, the median age at death for Aboriginal and Torres Strait Islander Australians in 201</w:t>
      </w:r>
      <w:r w:rsidR="00A82B4E" w:rsidRPr="00110076">
        <w:t>5</w:t>
      </w:r>
      <w:r w:rsidRPr="00110076">
        <w:t xml:space="preserve"> was </w:t>
      </w:r>
      <w:r w:rsidR="00955272" w:rsidRPr="00110076">
        <w:t>54.9</w:t>
      </w:r>
      <w:r w:rsidRPr="00110076">
        <w:t xml:space="preserve"> years for males and </w:t>
      </w:r>
      <w:r w:rsidR="00955272" w:rsidRPr="00110076">
        <w:t>61.5</w:t>
      </w:r>
      <w:r w:rsidRPr="00110076">
        <w:t xml:space="preserve"> years for females</w:t>
      </w:r>
      <w:r w:rsidR="006703E9" w:rsidRPr="00110076">
        <w:t xml:space="preserve"> (figure </w:t>
      </w:r>
      <w:proofErr w:type="spellStart"/>
      <w:r w:rsidR="006703E9" w:rsidRPr="00110076">
        <w:t>E.1</w:t>
      </w:r>
      <w:r w:rsidR="00EB5D55" w:rsidRPr="00110076">
        <w:t>0</w:t>
      </w:r>
      <w:proofErr w:type="spellEnd"/>
      <w:r w:rsidR="006703E9" w:rsidRPr="00110076">
        <w:t xml:space="preserve"> and table </w:t>
      </w:r>
      <w:proofErr w:type="spellStart"/>
      <w:r w:rsidR="00822C47" w:rsidRPr="00110076">
        <w:t>EA.</w:t>
      </w:r>
      <w:r w:rsidR="00857854" w:rsidRPr="00110076">
        <w:t>49</w:t>
      </w:r>
      <w:proofErr w:type="spellEnd"/>
      <w:r w:rsidRPr="00110076">
        <w:t>).</w:t>
      </w:r>
    </w:p>
    <w:p w14:paraId="5848E9C5" w14:textId="77777777" w:rsidR="00A57564" w:rsidRDefault="00A57564" w:rsidP="00CC33E1">
      <w:pPr>
        <w:pStyle w:val="BodyText"/>
      </w:pPr>
    </w:p>
    <w:p w14:paraId="003CFE44" w14:textId="77777777" w:rsidR="00A57564" w:rsidRDefault="00A57564" w:rsidP="00CC33E1">
      <w:pPr>
        <w:pStyle w:val="BodyText"/>
      </w:pPr>
    </w:p>
    <w:p w14:paraId="3EF3260F" w14:textId="77777777" w:rsidR="00A57564" w:rsidRDefault="00A57564" w:rsidP="00CC33E1">
      <w:pPr>
        <w:pStyle w:val="BodyText"/>
      </w:pPr>
    </w:p>
    <w:p w14:paraId="1107DF80" w14:textId="77777777" w:rsidR="00A57564" w:rsidRDefault="00A57564" w:rsidP="00CC33E1">
      <w:pPr>
        <w:pStyle w:val="BodyText"/>
      </w:pPr>
    </w:p>
    <w:p w14:paraId="7615EF63" w14:textId="77777777" w:rsidR="00A57564" w:rsidRDefault="00A57564" w:rsidP="00A57564">
      <w:pPr>
        <w:pStyle w:val="BodyText"/>
        <w:spacing w:before="360" w:line="80" w:lineRule="exact"/>
        <w:rPr>
          <w:sz w:val="14"/>
          <w:szCs w:val="14"/>
        </w:rPr>
      </w:pPr>
    </w:p>
    <w:p w14:paraId="32872CB9" w14:textId="77777777" w:rsidR="00A57564" w:rsidRPr="00A57564" w:rsidRDefault="00A57564" w:rsidP="00A57564">
      <w:pPr>
        <w:pStyle w:val="BodyText"/>
        <w:spacing w:before="360" w:line="80" w:lineRule="exact"/>
        <w:rPr>
          <w:sz w:val="14"/>
          <w:szCs w:val="14"/>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34B7B" w:rsidRPr="009B3C82" w14:paraId="417B7784" w14:textId="77777777" w:rsidTr="002A1CC8">
        <w:tc>
          <w:tcPr>
            <w:tcW w:w="8771" w:type="dxa"/>
            <w:tcBorders>
              <w:top w:val="single" w:sz="6" w:space="0" w:color="78A22F"/>
              <w:left w:val="nil"/>
              <w:bottom w:val="nil"/>
              <w:right w:val="nil"/>
            </w:tcBorders>
            <w:shd w:val="clear" w:color="auto" w:fill="auto"/>
          </w:tcPr>
          <w:p w14:paraId="66D2D67D" w14:textId="518FCD26" w:rsidR="00934B7B" w:rsidRPr="009B3C82" w:rsidRDefault="00934B7B" w:rsidP="004F5393">
            <w:pPr>
              <w:pStyle w:val="FigureTitle"/>
            </w:pPr>
            <w:r w:rsidRPr="00EB5D55">
              <w:rPr>
                <w:b w:val="0"/>
              </w:rPr>
              <w:t xml:space="preserve">Figure </w:t>
            </w:r>
            <w:proofErr w:type="spellStart"/>
            <w:r w:rsidRPr="00EB5D55">
              <w:rPr>
                <w:b w:val="0"/>
              </w:rPr>
              <w:t>E.</w:t>
            </w:r>
            <w:r w:rsidR="00FD3B62">
              <w:rPr>
                <w:b w:val="0"/>
                <w:noProof/>
              </w:rPr>
              <w:t>10</w:t>
            </w:r>
            <w:proofErr w:type="spellEnd"/>
            <w:r w:rsidRPr="00EB5D55">
              <w:tab/>
              <w:t>Median age at death, by sex and Indigenous status, 2015</w:t>
            </w:r>
            <w:r w:rsidRPr="00EB5D55">
              <w:rPr>
                <w:rStyle w:val="NoteLabel"/>
                <w:b/>
              </w:rPr>
              <w:t>a, b</w:t>
            </w:r>
          </w:p>
        </w:tc>
      </w:tr>
      <w:tr w:rsidR="00964CD5" w:rsidRPr="00EB5D55" w14:paraId="21BAF94E" w14:textId="77777777" w:rsidTr="00110076">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625"/>
            </w:tblGrid>
            <w:tr w:rsidR="00964CD5" w:rsidRPr="00EB5D55" w14:paraId="5D51BC12" w14:textId="77777777" w:rsidTr="009E2C76">
              <w:tc>
                <w:tcPr>
                  <w:tcW w:w="8625" w:type="dxa"/>
                  <w:tcBorders>
                    <w:top w:val="nil"/>
                    <w:bottom w:val="nil"/>
                  </w:tcBorders>
                </w:tcPr>
                <w:p w14:paraId="0560600E" w14:textId="75E96D62" w:rsidR="00964CD5" w:rsidRPr="00EB5D55" w:rsidRDefault="009E2C76" w:rsidP="0038013E">
                  <w:pPr>
                    <w:pStyle w:val="Figure"/>
                    <w:spacing w:before="60" w:after="60"/>
                    <w:rPr>
                      <w:noProof/>
                    </w:rPr>
                  </w:pPr>
                  <w:r>
                    <w:rPr>
                      <w:noProof/>
                    </w:rPr>
                    <w:drawing>
                      <wp:inline distT="0" distB="0" distL="0" distR="0" wp14:anchorId="171630FB" wp14:editId="63D8D96F">
                        <wp:extent cx="5400000" cy="2446635"/>
                        <wp:effectExtent l="0" t="0" r="0" b="0"/>
                        <wp:docPr id="27" name="Chart 27" descr="Figure E.10 Median age at death, by sex and Indigenous status, 2015&#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bl>
          <w:p w14:paraId="23A8E737" w14:textId="77777777" w:rsidR="00964CD5" w:rsidRPr="00EB5D55" w:rsidRDefault="00964CD5" w:rsidP="009C459E">
            <w:pPr>
              <w:pStyle w:val="Figure"/>
            </w:pPr>
          </w:p>
        </w:tc>
      </w:tr>
      <w:tr w:rsidR="00964CD5" w:rsidRPr="00EB5D55" w14:paraId="627E45A4" w14:textId="77777777" w:rsidTr="009C459E">
        <w:tc>
          <w:tcPr>
            <w:tcW w:w="8771" w:type="dxa"/>
            <w:tcBorders>
              <w:top w:val="nil"/>
              <w:left w:val="nil"/>
              <w:bottom w:val="nil"/>
              <w:right w:val="nil"/>
            </w:tcBorders>
            <w:shd w:val="clear" w:color="auto" w:fill="auto"/>
          </w:tcPr>
          <w:p w14:paraId="1CFAF463" w14:textId="185D6E9C" w:rsidR="00964CD5" w:rsidRPr="00EB5D55" w:rsidRDefault="00964CD5" w:rsidP="00857854">
            <w:pPr>
              <w:pStyle w:val="Note"/>
            </w:pPr>
            <w:r w:rsidRPr="00EB5D55">
              <w:rPr>
                <w:rStyle w:val="NoteLabel"/>
              </w:rPr>
              <w:t>a</w:t>
            </w:r>
            <w:r w:rsidRPr="00EB5D55">
              <w:sym w:font="Symbol" w:char="F020"/>
            </w:r>
            <w:r w:rsidRPr="00EB5D55">
              <w:t xml:space="preserve">See box E.6 and table </w:t>
            </w:r>
            <w:r w:rsidR="00822C47" w:rsidRPr="00EB5D55">
              <w:t>EA.</w:t>
            </w:r>
            <w:r w:rsidR="00857854" w:rsidRPr="00EB5D55">
              <w:t xml:space="preserve">49 </w:t>
            </w:r>
            <w:r w:rsidRPr="00EB5D55">
              <w:t>for detailed definitions, footnotes and caveats.</w:t>
            </w:r>
            <w:r w:rsidRPr="00EB5D55">
              <w:rPr>
                <w:rStyle w:val="NoteLabel"/>
              </w:rPr>
              <w:t xml:space="preserve"> b</w:t>
            </w:r>
            <w:r w:rsidRPr="00EB5D55">
              <w:sym w:font="Symbol" w:char="F020"/>
            </w:r>
            <w:r w:rsidRPr="00EB5D55">
              <w:t>Data are not available for Victoria, Tasmania or the ACT due to the small number of Aboriginal and Torres Strait Islander deaths.</w:t>
            </w:r>
          </w:p>
        </w:tc>
      </w:tr>
      <w:tr w:rsidR="00964CD5" w:rsidRPr="00EB5D55" w14:paraId="11994249" w14:textId="77777777" w:rsidTr="009C459E">
        <w:tc>
          <w:tcPr>
            <w:tcW w:w="8771" w:type="dxa"/>
            <w:tcBorders>
              <w:top w:val="nil"/>
              <w:left w:val="nil"/>
              <w:bottom w:val="nil"/>
              <w:right w:val="nil"/>
            </w:tcBorders>
            <w:shd w:val="clear" w:color="auto" w:fill="auto"/>
          </w:tcPr>
          <w:p w14:paraId="21428FF4" w14:textId="70A2A3EB" w:rsidR="00D14718" w:rsidRPr="00EB5D55" w:rsidRDefault="00D14718" w:rsidP="00857854">
            <w:pPr>
              <w:pStyle w:val="Source"/>
            </w:pPr>
            <w:r w:rsidRPr="00EB5D55">
              <w:rPr>
                <w:i/>
              </w:rPr>
              <w:t>Source</w:t>
            </w:r>
            <w:r w:rsidRPr="00EB5D55">
              <w:t>: ABS (201</w:t>
            </w:r>
            <w:r w:rsidR="004F3642" w:rsidRPr="00EB5D55">
              <w:t>6</w:t>
            </w:r>
            <w:r w:rsidRPr="00EB5D55">
              <w:t xml:space="preserve">) </w:t>
            </w:r>
            <w:r w:rsidRPr="00EB5D55">
              <w:rPr>
                <w:i/>
              </w:rPr>
              <w:t>Deaths, Australia, 201</w:t>
            </w:r>
            <w:r w:rsidR="004F3642" w:rsidRPr="00EB5D55">
              <w:rPr>
                <w:i/>
              </w:rPr>
              <w:t>5</w:t>
            </w:r>
            <w:r w:rsidRPr="00EB5D55">
              <w:t xml:space="preserve">, Cat. no. 3302.0; table </w:t>
            </w:r>
            <w:r w:rsidR="00822C47" w:rsidRPr="00EB5D55">
              <w:t>EA.</w:t>
            </w:r>
            <w:r w:rsidR="00857854" w:rsidRPr="00EB5D55">
              <w:t>49</w:t>
            </w:r>
            <w:r w:rsidRPr="00EB5D55">
              <w:t>.</w:t>
            </w:r>
          </w:p>
        </w:tc>
      </w:tr>
      <w:tr w:rsidR="00964CD5" w:rsidRPr="00EB5D55" w14:paraId="292F9B24" w14:textId="77777777" w:rsidTr="009C459E">
        <w:tc>
          <w:tcPr>
            <w:tcW w:w="8771" w:type="dxa"/>
            <w:tcBorders>
              <w:top w:val="nil"/>
              <w:left w:val="nil"/>
              <w:bottom w:val="single" w:sz="6" w:space="0" w:color="78A22F"/>
              <w:right w:val="nil"/>
            </w:tcBorders>
            <w:shd w:val="clear" w:color="auto" w:fill="auto"/>
          </w:tcPr>
          <w:p w14:paraId="3F90984D" w14:textId="77777777" w:rsidR="00964CD5" w:rsidRPr="00EB5D55" w:rsidRDefault="00964CD5" w:rsidP="009C459E">
            <w:pPr>
              <w:pStyle w:val="Figurespace"/>
            </w:pPr>
          </w:p>
        </w:tc>
      </w:tr>
      <w:tr w:rsidR="00964CD5" w:rsidRPr="00EB5D55" w14:paraId="41F4BA2C" w14:textId="77777777" w:rsidTr="009C459E">
        <w:tc>
          <w:tcPr>
            <w:tcW w:w="8771" w:type="dxa"/>
            <w:tcBorders>
              <w:top w:val="single" w:sz="6" w:space="0" w:color="78A22F"/>
              <w:left w:val="nil"/>
              <w:bottom w:val="nil"/>
              <w:right w:val="nil"/>
            </w:tcBorders>
          </w:tcPr>
          <w:p w14:paraId="225F6D67" w14:textId="1E50F983" w:rsidR="00964CD5" w:rsidRPr="00EB5D55" w:rsidRDefault="00964CD5" w:rsidP="009C459E">
            <w:pPr>
              <w:pStyle w:val="BoxSpaceBelow"/>
            </w:pPr>
          </w:p>
        </w:tc>
      </w:tr>
    </w:tbl>
    <w:p w14:paraId="6496F4D6" w14:textId="77777777" w:rsidR="00252A63" w:rsidRPr="00EB5D55" w:rsidRDefault="00252A63" w:rsidP="00D14718">
      <w:pPr>
        <w:pStyle w:val="Heading5"/>
      </w:pPr>
      <w:r w:rsidRPr="00EB5D55">
        <w:t>Mortality</w:t>
      </w:r>
      <w:r w:rsidRPr="00EB5D55">
        <w:rPr>
          <w:b/>
        </w:rPr>
        <w:t xml:space="preserve"> </w:t>
      </w:r>
      <w:r w:rsidRPr="00EB5D55">
        <w:t>rates</w:t>
      </w:r>
    </w:p>
    <w:p w14:paraId="5331D2C2" w14:textId="6D6EFA3B" w:rsidR="00110076" w:rsidRDefault="00252A63" w:rsidP="004139EE">
      <w:pPr>
        <w:pStyle w:val="BodyText"/>
      </w:pPr>
      <w:r w:rsidRPr="00110076">
        <w:t xml:space="preserve">The national age standardised mortality rate, measured in deaths per 100 000 people, was </w:t>
      </w:r>
      <w:r w:rsidR="00AC2AB5" w:rsidRPr="00110076">
        <w:t>549.3</w:t>
      </w:r>
      <w:r w:rsidRPr="00110076">
        <w:t xml:space="preserve"> in 201</w:t>
      </w:r>
      <w:r w:rsidR="00ED4670" w:rsidRPr="00110076">
        <w:t>5</w:t>
      </w:r>
      <w:r w:rsidRPr="00110076">
        <w:t xml:space="preserve"> — an</w:t>
      </w:r>
      <w:r w:rsidR="00AC2AB5" w:rsidRPr="00110076">
        <w:t xml:space="preserve"> </w:t>
      </w:r>
      <w:r w:rsidRPr="00110076">
        <w:t>increase from 54</w:t>
      </w:r>
      <w:r w:rsidR="004F3642" w:rsidRPr="00110076">
        <w:t>5</w:t>
      </w:r>
      <w:r w:rsidRPr="00110076">
        <w:t>.0 in 201</w:t>
      </w:r>
      <w:r w:rsidR="004F3642" w:rsidRPr="00110076">
        <w:t>4</w:t>
      </w:r>
      <w:r w:rsidRPr="00110076">
        <w:t xml:space="preserve"> but a decr</w:t>
      </w:r>
      <w:r w:rsidR="006703E9" w:rsidRPr="00110076">
        <w:t>ease</w:t>
      </w:r>
      <w:r w:rsidR="00ED4670" w:rsidRPr="00110076">
        <w:t xml:space="preserve"> from 570.0</w:t>
      </w:r>
      <w:r w:rsidR="006703E9" w:rsidRPr="00110076">
        <w:t xml:space="preserve"> in 201</w:t>
      </w:r>
      <w:r w:rsidR="004F3642" w:rsidRPr="00110076">
        <w:t>1</w:t>
      </w:r>
      <w:r w:rsidR="006703E9" w:rsidRPr="00110076">
        <w:t xml:space="preserve"> </w:t>
      </w:r>
      <w:r w:rsidR="006703E9" w:rsidRPr="00110076">
        <w:br/>
        <w:t xml:space="preserve">(figure </w:t>
      </w:r>
      <w:r w:rsidRPr="00110076">
        <w:t>E.1</w:t>
      </w:r>
      <w:r w:rsidR="00EB5D55" w:rsidRPr="00110076">
        <w:t>1</w:t>
      </w:r>
      <w:r w:rsidRPr="00110076">
        <w:t>).</w:t>
      </w:r>
    </w:p>
    <w:p w14:paraId="22970A33" w14:textId="77777777" w:rsidR="00CC33E1" w:rsidRPr="007B33DD" w:rsidRDefault="00CC33E1">
      <w:pPr>
        <w:rPr>
          <w:szCs w:val="20"/>
        </w:rPr>
      </w:pPr>
      <w:r w:rsidRPr="007B33DD">
        <w:rPr>
          <w:szCs w:val="20"/>
        </w:rPr>
        <w:br w:type="page"/>
      </w:r>
    </w:p>
    <w:p w14:paraId="7B79759E" w14:textId="3304F5CC" w:rsidR="00FD1161" w:rsidRPr="00A57564" w:rsidRDefault="00FD1161" w:rsidP="00A57564">
      <w:pPr>
        <w:pStyle w:val="BodyText"/>
        <w:spacing w:before="360" w:line="80" w:lineRule="exact"/>
        <w:rPr>
          <w:sz w:val="14"/>
          <w:szCs w:val="14"/>
        </w:rPr>
      </w:pPr>
    </w:p>
    <w:tbl>
      <w:tblPr>
        <w:tblW w:w="0" w:type="auto"/>
        <w:tblInd w:w="164" w:type="dxa"/>
        <w:tblLayout w:type="fixed"/>
        <w:tblCellMar>
          <w:left w:w="142" w:type="dxa"/>
          <w:right w:w="142" w:type="dxa"/>
        </w:tblCellMar>
        <w:tblLook w:val="0000" w:firstRow="0" w:lastRow="0" w:firstColumn="0" w:lastColumn="0" w:noHBand="0" w:noVBand="0"/>
      </w:tblPr>
      <w:tblGrid>
        <w:gridCol w:w="8771"/>
      </w:tblGrid>
      <w:tr w:rsidR="00FD1161" w:rsidRPr="009B3C82" w14:paraId="50530D98" w14:textId="77777777" w:rsidTr="002A1CC8">
        <w:tc>
          <w:tcPr>
            <w:tcW w:w="8771" w:type="dxa"/>
            <w:tcBorders>
              <w:top w:val="single" w:sz="6" w:space="0" w:color="78A22F"/>
            </w:tcBorders>
            <w:shd w:val="clear" w:color="auto" w:fill="auto"/>
          </w:tcPr>
          <w:p w14:paraId="7DA2242F" w14:textId="09FB5E0B" w:rsidR="00FD1161" w:rsidRPr="009B3C82" w:rsidRDefault="00FD1161" w:rsidP="004F5393">
            <w:pPr>
              <w:pStyle w:val="FigureTitle"/>
            </w:pPr>
            <w:r w:rsidRPr="00EB5D55">
              <w:rPr>
                <w:b w:val="0"/>
              </w:rPr>
              <w:t xml:space="preserve">Figure </w:t>
            </w:r>
            <w:proofErr w:type="spellStart"/>
            <w:r w:rsidRPr="00EB5D55">
              <w:rPr>
                <w:b w:val="0"/>
              </w:rPr>
              <w:t>E.</w:t>
            </w:r>
            <w:r w:rsidR="00FD3B62">
              <w:rPr>
                <w:b w:val="0"/>
                <w:noProof/>
              </w:rPr>
              <w:t>11</w:t>
            </w:r>
            <w:proofErr w:type="spellEnd"/>
            <w:r w:rsidRPr="00EB5D55">
              <w:tab/>
              <w:t>Mortality rates, age standardised</w:t>
            </w:r>
            <w:r w:rsidRPr="00EB5D55">
              <w:rPr>
                <w:rFonts w:ascii="Helvetica" w:hAnsi="Helvetica"/>
                <w:position w:val="6"/>
                <w:sz w:val="18"/>
                <w:szCs w:val="18"/>
              </w:rPr>
              <w:t>a</w:t>
            </w:r>
          </w:p>
        </w:tc>
      </w:tr>
      <w:tr w:rsidR="00964CD5" w:rsidRPr="00EB5D55" w14:paraId="179500EF" w14:textId="77777777" w:rsidTr="00110076">
        <w:tc>
          <w:tcPr>
            <w:tcW w:w="8771" w:type="dxa"/>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625"/>
            </w:tblGrid>
            <w:tr w:rsidR="00964CD5" w:rsidRPr="00EB5D55" w14:paraId="44C29078" w14:textId="77777777" w:rsidTr="00CC41D7">
              <w:tc>
                <w:tcPr>
                  <w:tcW w:w="8625" w:type="dxa"/>
                  <w:tcBorders>
                    <w:top w:val="nil"/>
                    <w:bottom w:val="nil"/>
                  </w:tcBorders>
                </w:tcPr>
                <w:p w14:paraId="2A16B8F6" w14:textId="6D07D567" w:rsidR="00964CD5" w:rsidRPr="00EB5D55" w:rsidRDefault="00CC41D7" w:rsidP="009C459E">
                  <w:pPr>
                    <w:pStyle w:val="Figure"/>
                    <w:spacing w:before="60" w:after="60"/>
                  </w:pPr>
                  <w:r>
                    <w:rPr>
                      <w:noProof/>
                    </w:rPr>
                    <w:drawing>
                      <wp:inline distT="0" distB="0" distL="0" distR="0" wp14:anchorId="6092B2F2" wp14:editId="0542ACAE">
                        <wp:extent cx="5407620" cy="2700000"/>
                        <wp:effectExtent l="0" t="0" r="3175" b="5715"/>
                        <wp:docPr id="28" name="Chart 28" descr="Figure E.11 Mortality rates, age standardised&#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bl>
          <w:p w14:paraId="772D153F" w14:textId="77777777" w:rsidR="00964CD5" w:rsidRPr="00EB5D55" w:rsidRDefault="00964CD5" w:rsidP="009C459E">
            <w:pPr>
              <w:pStyle w:val="Figure"/>
            </w:pPr>
          </w:p>
        </w:tc>
      </w:tr>
      <w:tr w:rsidR="00964CD5" w:rsidRPr="00EB5D55" w14:paraId="356CC2B6" w14:textId="77777777" w:rsidTr="00110076">
        <w:tc>
          <w:tcPr>
            <w:tcW w:w="8771" w:type="dxa"/>
            <w:shd w:val="clear" w:color="auto" w:fill="auto"/>
          </w:tcPr>
          <w:p w14:paraId="4A518BCB" w14:textId="243EA1B6" w:rsidR="00964CD5" w:rsidRPr="00EB5D55" w:rsidRDefault="00964CD5" w:rsidP="00857854">
            <w:pPr>
              <w:pStyle w:val="Note"/>
            </w:pPr>
            <w:r w:rsidRPr="00EB5D55">
              <w:rPr>
                <w:rStyle w:val="NoteLabel"/>
              </w:rPr>
              <w:t>a</w:t>
            </w:r>
            <w:r w:rsidRPr="00EB5D55">
              <w:sym w:font="Symbol" w:char="F020"/>
            </w:r>
            <w:r w:rsidRPr="00EB5D55">
              <w:t xml:space="preserve">See box E.6 and table </w:t>
            </w:r>
            <w:r w:rsidR="00822C47" w:rsidRPr="00EB5D55">
              <w:t>EA.</w:t>
            </w:r>
            <w:r w:rsidR="00857854" w:rsidRPr="00EB5D55">
              <w:t xml:space="preserve">50 </w:t>
            </w:r>
            <w:r w:rsidRPr="00EB5D55">
              <w:t>for detailed definitions, footnotes and caveats.</w:t>
            </w:r>
          </w:p>
        </w:tc>
      </w:tr>
      <w:tr w:rsidR="00964CD5" w:rsidRPr="00EB5D55" w14:paraId="6A674D61" w14:textId="77777777" w:rsidTr="002A1CC8">
        <w:tc>
          <w:tcPr>
            <w:tcW w:w="8771" w:type="dxa"/>
            <w:tcBorders>
              <w:bottom w:val="single" w:sz="6" w:space="0" w:color="78A22F"/>
            </w:tcBorders>
            <w:shd w:val="clear" w:color="auto" w:fill="auto"/>
          </w:tcPr>
          <w:p w14:paraId="2876A366" w14:textId="1274F542" w:rsidR="00964CD5" w:rsidRPr="00EB5D55" w:rsidRDefault="00964CD5" w:rsidP="00EB5D55">
            <w:pPr>
              <w:pStyle w:val="Source"/>
            </w:pPr>
            <w:r w:rsidRPr="00EB5D55">
              <w:rPr>
                <w:i/>
              </w:rPr>
              <w:t>Source</w:t>
            </w:r>
            <w:r w:rsidR="006703E9" w:rsidRPr="00EB5D55">
              <w:t xml:space="preserve">: ABS </w:t>
            </w:r>
            <w:r w:rsidRPr="00EB5D55">
              <w:t>(201</w:t>
            </w:r>
            <w:r w:rsidR="00ED4670" w:rsidRPr="00EB5D55">
              <w:t>6</w:t>
            </w:r>
            <w:r w:rsidRPr="00EB5D55">
              <w:t xml:space="preserve">) </w:t>
            </w:r>
            <w:r w:rsidR="006703E9" w:rsidRPr="00EB5D55">
              <w:rPr>
                <w:i/>
              </w:rPr>
              <w:t xml:space="preserve">Deaths, Australia, </w:t>
            </w:r>
            <w:r w:rsidRPr="00EB5D55">
              <w:rPr>
                <w:i/>
              </w:rPr>
              <w:t>201</w:t>
            </w:r>
            <w:r w:rsidR="00ED4670" w:rsidRPr="00EB5D55">
              <w:rPr>
                <w:i/>
              </w:rPr>
              <w:t>5</w:t>
            </w:r>
            <w:r w:rsidR="006703E9" w:rsidRPr="00EB5D55">
              <w:t xml:space="preserve">, Cat. no. 3302.0; table </w:t>
            </w:r>
            <w:r w:rsidR="00822C47" w:rsidRPr="00EB5D55">
              <w:t>EA.5</w:t>
            </w:r>
            <w:r w:rsidR="00857854" w:rsidRPr="00EB5D55">
              <w:t>0</w:t>
            </w:r>
            <w:r w:rsidRPr="00EB5D55">
              <w:t>.</w:t>
            </w:r>
          </w:p>
        </w:tc>
      </w:tr>
      <w:tr w:rsidR="00964CD5" w:rsidRPr="00EB5D55" w14:paraId="49441EEF" w14:textId="77777777" w:rsidTr="002A1CC8">
        <w:tc>
          <w:tcPr>
            <w:tcW w:w="8771" w:type="dxa"/>
            <w:tcBorders>
              <w:top w:val="single" w:sz="6" w:space="0" w:color="78A22F"/>
            </w:tcBorders>
            <w:shd w:val="clear" w:color="auto" w:fill="auto"/>
          </w:tcPr>
          <w:p w14:paraId="18106D77" w14:textId="77777777" w:rsidR="00964CD5" w:rsidRPr="00EB5D55" w:rsidRDefault="00964CD5" w:rsidP="009C459E">
            <w:pPr>
              <w:pStyle w:val="Figurespace"/>
            </w:pPr>
          </w:p>
        </w:tc>
      </w:tr>
      <w:tr w:rsidR="00964CD5" w:rsidRPr="00EB5D55" w14:paraId="68135708" w14:textId="77777777" w:rsidTr="00110076">
        <w:tc>
          <w:tcPr>
            <w:tcW w:w="8771" w:type="dxa"/>
          </w:tcPr>
          <w:p w14:paraId="55639336" w14:textId="204A6F0A" w:rsidR="00964CD5" w:rsidRPr="00EB5D55" w:rsidRDefault="00964CD5" w:rsidP="009C459E">
            <w:pPr>
              <w:pStyle w:val="BoxSpaceBelow"/>
            </w:pPr>
          </w:p>
        </w:tc>
      </w:tr>
    </w:tbl>
    <w:p w14:paraId="48FEB4A2" w14:textId="77777777" w:rsidR="00252A63" w:rsidRPr="00EB5D55" w:rsidRDefault="00252A63" w:rsidP="00D14718">
      <w:pPr>
        <w:pStyle w:val="Heading6"/>
      </w:pPr>
      <w:r w:rsidRPr="00EB5D55">
        <w:t>Mortality rates — Infant and child</w:t>
      </w:r>
    </w:p>
    <w:p w14:paraId="216E6A09" w14:textId="1AA4AB54" w:rsidR="00252A63" w:rsidRPr="00110076" w:rsidRDefault="00252A63" w:rsidP="00D14718">
      <w:pPr>
        <w:pStyle w:val="BodyText"/>
      </w:pPr>
      <w:r w:rsidRPr="00110076">
        <w:t xml:space="preserve">The annual infant mortality rate in Australia </w:t>
      </w:r>
      <w:r w:rsidR="006703E9" w:rsidRPr="00912F12">
        <w:t>declined</w:t>
      </w:r>
      <w:r w:rsidR="006703E9" w:rsidRPr="00110076">
        <w:t xml:space="preserve"> from an average of </w:t>
      </w:r>
      <w:r w:rsidR="0028244A" w:rsidRPr="00912F12">
        <w:t>4.7</w:t>
      </w:r>
      <w:r w:rsidR="006703E9" w:rsidRPr="00110076">
        <w:t xml:space="preserve"> deaths </w:t>
      </w:r>
      <w:r w:rsidR="006703E9" w:rsidRPr="00110076">
        <w:br/>
        <w:t xml:space="preserve">per </w:t>
      </w:r>
      <w:r w:rsidRPr="00110076">
        <w:t>1000 live births in 200</w:t>
      </w:r>
      <w:r w:rsidR="00ED4670" w:rsidRPr="00110076">
        <w:t>6</w:t>
      </w:r>
      <w:r w:rsidRPr="00110076">
        <w:t xml:space="preserve"> to </w:t>
      </w:r>
      <w:r w:rsidR="0028244A" w:rsidRPr="00912F12">
        <w:t>3.</w:t>
      </w:r>
      <w:r w:rsidR="002F253E">
        <w:t>2</w:t>
      </w:r>
      <w:r w:rsidRPr="00110076">
        <w:t xml:space="preserve"> deaths per 1000 live births in 201</w:t>
      </w:r>
      <w:r w:rsidR="00ED4670" w:rsidRPr="00110076">
        <w:t>5</w:t>
      </w:r>
      <w:r w:rsidRPr="00110076">
        <w:t xml:space="preserve"> (table</w:t>
      </w:r>
      <w:r w:rsidR="006703E9" w:rsidRPr="00110076">
        <w:t xml:space="preserve"> </w:t>
      </w:r>
      <w:r w:rsidR="00822C47" w:rsidRPr="00110076">
        <w:t>EA.</w:t>
      </w:r>
      <w:r w:rsidR="00857854" w:rsidRPr="00110076">
        <w:t>53</w:t>
      </w:r>
      <w:r w:rsidRPr="00110076">
        <w:t>).</w:t>
      </w:r>
    </w:p>
    <w:p w14:paraId="23E69D49" w14:textId="1F6D5F0A" w:rsidR="00252A63" w:rsidRPr="00110076" w:rsidRDefault="00252A63" w:rsidP="00D14718">
      <w:pPr>
        <w:pStyle w:val="BodyText"/>
      </w:pPr>
      <w:r w:rsidRPr="00110076">
        <w:t xml:space="preserve">The Australian infant and child combined mortality rate was </w:t>
      </w:r>
      <w:r w:rsidR="0028244A" w:rsidRPr="00912F12">
        <w:t>80.7</w:t>
      </w:r>
      <w:r w:rsidRPr="00110076">
        <w:t xml:space="preserve"> </w:t>
      </w:r>
      <w:r w:rsidR="006703E9" w:rsidRPr="00110076">
        <w:t xml:space="preserve">deaths per </w:t>
      </w:r>
      <w:r w:rsidR="00D917ED" w:rsidRPr="00110076">
        <w:t>100 000</w:t>
      </w:r>
      <w:r w:rsidR="002F253E">
        <w:t> </w:t>
      </w:r>
      <w:r w:rsidR="00ED4670" w:rsidRPr="00110076">
        <w:t>population in 2013–2015</w:t>
      </w:r>
      <w:r w:rsidRPr="00110076">
        <w:t xml:space="preserve"> (children aged 0–4</w:t>
      </w:r>
      <w:r w:rsidR="00377682" w:rsidRPr="00110076">
        <w:t xml:space="preserve"> </w:t>
      </w:r>
      <w:r w:rsidRPr="00110076">
        <w:t xml:space="preserve">years). </w:t>
      </w:r>
      <w:r w:rsidR="002F253E">
        <w:t xml:space="preserve">There were </w:t>
      </w:r>
      <w:r w:rsidR="0028244A" w:rsidRPr="00912F12">
        <w:t>3.4</w:t>
      </w:r>
      <w:r w:rsidRPr="00110076">
        <w:t xml:space="preserve"> </w:t>
      </w:r>
      <w:r w:rsidR="006703E9" w:rsidRPr="00110076">
        <w:t xml:space="preserve">infant deaths </w:t>
      </w:r>
      <w:r w:rsidR="002F253E">
        <w:t xml:space="preserve">per 1000 live births </w:t>
      </w:r>
      <w:r w:rsidR="006703E9" w:rsidRPr="00110076">
        <w:t xml:space="preserve">(table </w:t>
      </w:r>
      <w:r w:rsidR="00822C47" w:rsidRPr="00110076">
        <w:t>EA.</w:t>
      </w:r>
      <w:r w:rsidR="00857854" w:rsidRPr="00110076">
        <w:t>55</w:t>
      </w:r>
      <w:r w:rsidRPr="00110076">
        <w:t>).</w:t>
      </w:r>
    </w:p>
    <w:p w14:paraId="612CADF8" w14:textId="77777777" w:rsidR="00252A63" w:rsidRPr="00110076" w:rsidRDefault="00252A63" w:rsidP="00D14718">
      <w:pPr>
        <w:pStyle w:val="Heading6"/>
      </w:pPr>
      <w:r w:rsidRPr="00110076">
        <w:t>Mortality rates — Aboriginal and Torres Strait Islander Australians</w:t>
      </w:r>
    </w:p>
    <w:p w14:paraId="447504AB" w14:textId="07364FD5" w:rsidR="00252A63" w:rsidRPr="00110076" w:rsidRDefault="00252A63" w:rsidP="00D14718">
      <w:pPr>
        <w:pStyle w:val="BodyText"/>
      </w:pPr>
      <w:r w:rsidRPr="00110076">
        <w:rPr>
          <w:shd w:val="clear" w:color="auto" w:fill="FFFFFF" w:themeFill="background1"/>
        </w:rPr>
        <w:t xml:space="preserve">For the </w:t>
      </w:r>
      <w:r w:rsidRPr="00110076">
        <w:t>period 201</w:t>
      </w:r>
      <w:r w:rsidR="00ED4670" w:rsidRPr="00110076">
        <w:t>1–2015</w:t>
      </w:r>
      <w:r w:rsidRPr="00110076">
        <w:t>, NSW, Queensland, WA, SA and the NT have been assessed as having adequate identification and number of Aboriginal and Torres Strait Islander deaths for mortality analysis. For these five jurisdictions combined, the overall age standardised mortality rate for Aboriginal and Torres S</w:t>
      </w:r>
      <w:r w:rsidR="006703E9" w:rsidRPr="00110076">
        <w:t xml:space="preserve">trait Islander people was </w:t>
      </w:r>
      <w:r w:rsidR="00AA27DF" w:rsidRPr="00912F12">
        <w:t>991.7</w:t>
      </w:r>
      <w:r w:rsidR="00AA27DF" w:rsidRPr="00110076">
        <w:t xml:space="preserve"> </w:t>
      </w:r>
      <w:r w:rsidR="006703E9" w:rsidRPr="00110076">
        <w:t xml:space="preserve">per 100 </w:t>
      </w:r>
      <w:r w:rsidRPr="00110076">
        <w:t>000 people, significantly higher th</w:t>
      </w:r>
      <w:r w:rsidR="006703E9" w:rsidRPr="00110076">
        <w:t>an for other Australians (</w:t>
      </w:r>
      <w:r w:rsidR="00AA27DF" w:rsidRPr="00912F12">
        <w:t>580.0</w:t>
      </w:r>
      <w:r w:rsidR="00AA27DF" w:rsidRPr="00110076">
        <w:t xml:space="preserve"> </w:t>
      </w:r>
      <w:r w:rsidR="006703E9" w:rsidRPr="00110076">
        <w:t xml:space="preserve">per </w:t>
      </w:r>
      <w:r w:rsidRPr="00110076">
        <w:t>100</w:t>
      </w:r>
      <w:r w:rsidR="00ED4670" w:rsidRPr="00110076">
        <w:t xml:space="preserve"> 000 people) </w:t>
      </w:r>
      <w:r w:rsidR="0019292B" w:rsidRPr="00110076">
        <w:br/>
      </w:r>
      <w:r w:rsidR="006703E9" w:rsidRPr="00110076">
        <w:t xml:space="preserve">(table </w:t>
      </w:r>
      <w:r w:rsidR="00822C47" w:rsidRPr="00110076">
        <w:t>EA.</w:t>
      </w:r>
      <w:r w:rsidR="00857854" w:rsidRPr="00110076">
        <w:t>51</w:t>
      </w:r>
      <w:r w:rsidRPr="00110076">
        <w:t xml:space="preserve">). Due to identification completeness issues, mortality rates presented here are likely to be underestimates of the true mortality of Aboriginal and Torres Strait Islander Australians </w:t>
      </w:r>
      <w:r w:rsidR="006703E9" w:rsidRPr="00110076">
        <w:t xml:space="preserve">(ABS and AIHW </w:t>
      </w:r>
      <w:r w:rsidRPr="00110076">
        <w:t>2008).</w:t>
      </w:r>
    </w:p>
    <w:p w14:paraId="5840E737" w14:textId="5F549E43" w:rsidR="00252A63" w:rsidRPr="00EB5D55" w:rsidRDefault="00252A63" w:rsidP="00D14718">
      <w:pPr>
        <w:pStyle w:val="BodyText"/>
      </w:pPr>
      <w:r w:rsidRPr="00110076">
        <w:t>For the period 201</w:t>
      </w:r>
      <w:r w:rsidR="003A3B6B" w:rsidRPr="00110076">
        <w:t>1</w:t>
      </w:r>
      <w:r w:rsidR="00B625EC" w:rsidRPr="00110076">
        <w:t>–</w:t>
      </w:r>
      <w:r w:rsidR="003A3B6B" w:rsidRPr="00110076">
        <w:t>2015</w:t>
      </w:r>
      <w:r w:rsidRPr="00110076">
        <w:t>, the average mortality rate for Aboriginal and Torres Strait Islander infants (less than one year) was higher than for other infants in the jurisdictions for which there were data available</w:t>
      </w:r>
      <w:r w:rsidRPr="00110076" w:rsidDel="002128E0">
        <w:t xml:space="preserve"> </w:t>
      </w:r>
      <w:r w:rsidRPr="00110076">
        <w:t>(NSW, Queens</w:t>
      </w:r>
      <w:r w:rsidR="0064315A" w:rsidRPr="00110076">
        <w:t>land, WA,</w:t>
      </w:r>
      <w:r w:rsidR="0064315A" w:rsidRPr="00EB5D55">
        <w:t xml:space="preserve"> SA and the NT) </w:t>
      </w:r>
      <w:r w:rsidR="0064315A" w:rsidRPr="00EB5D55">
        <w:br/>
        <w:t xml:space="preserve">(table </w:t>
      </w:r>
      <w:r w:rsidR="00822C47" w:rsidRPr="00EB5D55">
        <w:t>EA.</w:t>
      </w:r>
      <w:r w:rsidR="00857854" w:rsidRPr="00EB5D55">
        <w:t>56</w:t>
      </w:r>
      <w:r w:rsidRPr="00EB5D55">
        <w:t>). For the same period and the same jurisdictions, the average mortality rate for infants and children combine</w:t>
      </w:r>
      <w:r w:rsidR="0064315A" w:rsidRPr="00EB5D55">
        <w:t xml:space="preserve">d per 100 000 children aged 0–4 </w:t>
      </w:r>
      <w:r w:rsidRPr="00EB5D55">
        <w:t xml:space="preserve">years was </w:t>
      </w:r>
      <w:r w:rsidR="00495DFA" w:rsidRPr="00912F12">
        <w:t>164.9</w:t>
      </w:r>
      <w:r w:rsidRPr="00EB5D55">
        <w:t xml:space="preserve"> for </w:t>
      </w:r>
      <w:r w:rsidRPr="00EB5D55">
        <w:lastRenderedPageBreak/>
        <w:t xml:space="preserve">Aboriginal and Torres Strait Islander children and </w:t>
      </w:r>
      <w:r w:rsidR="00495DFA" w:rsidRPr="00912F12">
        <w:t>80.1</w:t>
      </w:r>
      <w:r w:rsidRPr="00EB5D55">
        <w:t xml:space="preserve"> for o</w:t>
      </w:r>
      <w:r w:rsidR="0064315A" w:rsidRPr="00EB5D55">
        <w:t xml:space="preserve">ther Australian children </w:t>
      </w:r>
      <w:r w:rsidR="0064315A" w:rsidRPr="00EB5D55">
        <w:br/>
        <w:t xml:space="preserve">(table </w:t>
      </w:r>
      <w:r w:rsidR="00822C47" w:rsidRPr="00EB5D55">
        <w:t>EA.</w:t>
      </w:r>
      <w:r w:rsidR="00857854" w:rsidRPr="00EB5D55">
        <w:t>56</w:t>
      </w:r>
      <w:r w:rsidRPr="00EB5D55">
        <w:t>).</w:t>
      </w:r>
    </w:p>
    <w:p w14:paraId="4CF313AE" w14:textId="77777777" w:rsidR="00252A63" w:rsidRPr="00EB5D55" w:rsidRDefault="00252A63" w:rsidP="00D14718">
      <w:pPr>
        <w:pStyle w:val="Heading6"/>
      </w:pPr>
      <w:r w:rsidRPr="00EB5D55">
        <w:t>Mortality rates — by major cause of death</w:t>
      </w:r>
    </w:p>
    <w:p w14:paraId="2446C6DD" w14:textId="4C7D93DA" w:rsidR="00252A63" w:rsidRPr="00EB5D55" w:rsidRDefault="00252A63" w:rsidP="00D14718">
      <w:pPr>
        <w:pStyle w:val="BodyText"/>
      </w:pPr>
      <w:r w:rsidRPr="00EB5D55">
        <w:t>The most common causes of death among Australians in 201</w:t>
      </w:r>
      <w:r w:rsidR="003A45B4" w:rsidRPr="00EB5D55">
        <w:t>5</w:t>
      </w:r>
      <w:r w:rsidRPr="00EB5D55">
        <w:t xml:space="preserve"> were cancers, diseases of the circulatory system (including heart disease, heart attack and stroke), and diseases of the respiratory system (including influenza, pneumonia and chronic lower respiratory diseases) </w:t>
      </w:r>
      <w:r w:rsidR="0064315A" w:rsidRPr="00EB5D55">
        <w:t xml:space="preserve">(tables </w:t>
      </w:r>
      <w:r w:rsidRPr="00EB5D55">
        <w:t xml:space="preserve">E.1 and </w:t>
      </w:r>
      <w:r w:rsidR="00822C47" w:rsidRPr="00912F12">
        <w:t>EA.</w:t>
      </w:r>
      <w:r w:rsidR="00857854" w:rsidRPr="00912F12">
        <w:t>5</w:t>
      </w:r>
      <w:r w:rsidR="0019292B" w:rsidRPr="00912F12">
        <w:t>7</w:t>
      </w:r>
      <w:r w:rsidRPr="00EB5D55">
        <w:t>).</w:t>
      </w:r>
    </w:p>
    <w:p w14:paraId="08A7E3C7" w14:textId="4DE7B5D6" w:rsidR="00BE00EE" w:rsidRPr="00EB5D55" w:rsidRDefault="00BE00EE" w:rsidP="00D14718">
      <w:pPr>
        <w:pStyle w:val="BodyText"/>
      </w:pPr>
      <w:r w:rsidRPr="00EB5D55">
        <w:t>In the jurisdictions for which age standardised death rates are available by Indigenous status (NSW, Queensland, WA, SA and the NT), the leading age</w:t>
      </w:r>
      <w:r w:rsidRPr="00EB5D55">
        <w:noBreakHyphen/>
        <w:t>standardised causes of death for Aboriginal and Torres Strait Islander people in the period 2011–2015 were diseases of the circulatory system, cancers, endocrine and other disorders, and diseases of the respiratory system (table EA.</w:t>
      </w:r>
      <w:r w:rsidR="00857854" w:rsidRPr="00EB5D55">
        <w:t>58</w:t>
      </w:r>
      <w:r w:rsidRPr="00EB5D55">
        <w:t>).</w:t>
      </w:r>
    </w:p>
    <w:p w14:paraId="4A47DF28" w14:textId="2A52304B" w:rsidR="00964CD5" w:rsidRPr="00EB5D55" w:rsidRDefault="00964CD5" w:rsidP="00964CD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964CD5" w:rsidRPr="00EB5D55" w14:paraId="7F79642A" w14:textId="77777777" w:rsidTr="009C459E">
        <w:tc>
          <w:tcPr>
            <w:tcW w:w="8771" w:type="dxa"/>
            <w:tcBorders>
              <w:top w:val="single" w:sz="6" w:space="0" w:color="78A22F" w:themeColor="accent1"/>
              <w:left w:val="nil"/>
              <w:bottom w:val="nil"/>
              <w:right w:val="nil"/>
            </w:tcBorders>
            <w:shd w:val="clear" w:color="auto" w:fill="auto"/>
          </w:tcPr>
          <w:p w14:paraId="4248D753" w14:textId="6C7D9007" w:rsidR="00964CD5" w:rsidRPr="00EB5D55" w:rsidRDefault="00964CD5" w:rsidP="00EB5D55">
            <w:pPr>
              <w:pStyle w:val="TableTitle"/>
            </w:pPr>
            <w:r w:rsidRPr="00EB5D55">
              <w:rPr>
                <w:b w:val="0"/>
              </w:rPr>
              <w:t xml:space="preserve">Table </w:t>
            </w:r>
            <w:proofErr w:type="spellStart"/>
            <w:r w:rsidRPr="00EB5D55">
              <w:rPr>
                <w:b w:val="0"/>
              </w:rPr>
              <w:t>E</w:t>
            </w:r>
            <w:r w:rsidR="00EB5D55">
              <w:rPr>
                <w:b w:val="0"/>
              </w:rPr>
              <w:t>.1</w:t>
            </w:r>
            <w:proofErr w:type="spellEnd"/>
            <w:r w:rsidRPr="00EB5D55">
              <w:tab/>
              <w:t>Age standardised mortality rates by selected major causes of death (deaths per 100 000 people), 201</w:t>
            </w:r>
            <w:r w:rsidR="003A45B4" w:rsidRPr="00EB5D55">
              <w:t>5</w:t>
            </w:r>
            <w:r w:rsidRPr="00EB5D55">
              <w:rPr>
                <w:rStyle w:val="NoteLabel"/>
                <w:b/>
              </w:rPr>
              <w:t>a</w:t>
            </w:r>
          </w:p>
        </w:tc>
      </w:tr>
      <w:tr w:rsidR="00964CD5" w:rsidRPr="00EB5D55" w14:paraId="1FE5082D" w14:textId="77777777" w:rsidTr="009C459E">
        <w:trPr>
          <w:cantSplit/>
        </w:trPr>
        <w:tc>
          <w:tcPr>
            <w:tcW w:w="8771" w:type="dxa"/>
            <w:tcBorders>
              <w:top w:val="nil"/>
              <w:left w:val="nil"/>
              <w:bottom w:val="nil"/>
              <w:right w:val="nil"/>
            </w:tcBorders>
            <w:shd w:val="clear" w:color="auto" w:fill="auto"/>
          </w:tcPr>
          <w:tbl>
            <w:tblPr>
              <w:tblW w:w="8483" w:type="dxa"/>
              <w:tblLook w:val="0000" w:firstRow="0" w:lastRow="0" w:firstColumn="0" w:lastColumn="0" w:noHBand="0" w:noVBand="0"/>
            </w:tblPr>
            <w:tblGrid>
              <w:gridCol w:w="2102"/>
              <w:gridCol w:w="709"/>
              <w:gridCol w:w="709"/>
              <w:gridCol w:w="709"/>
              <w:gridCol w:w="708"/>
              <w:gridCol w:w="709"/>
              <w:gridCol w:w="709"/>
              <w:gridCol w:w="709"/>
              <w:gridCol w:w="710"/>
              <w:gridCol w:w="709"/>
            </w:tblGrid>
            <w:tr w:rsidR="00964CD5" w:rsidRPr="00EB5D55" w14:paraId="0384D9D9" w14:textId="77777777" w:rsidTr="009C459E">
              <w:tc>
                <w:tcPr>
                  <w:tcW w:w="2102" w:type="dxa"/>
                  <w:tcBorders>
                    <w:top w:val="single" w:sz="4" w:space="0" w:color="BFBFBF"/>
                    <w:bottom w:val="single" w:sz="4" w:space="0" w:color="BFBFBF"/>
                  </w:tcBorders>
                  <w:tcMar>
                    <w:left w:w="0" w:type="dxa"/>
                    <w:right w:w="0" w:type="dxa"/>
                  </w:tcMar>
                  <w:vAlign w:val="bottom"/>
                </w:tcPr>
                <w:p w14:paraId="6F04975E" w14:textId="77777777" w:rsidR="00964CD5" w:rsidRPr="00EB5D55" w:rsidRDefault="00964CD5" w:rsidP="009C459E">
                  <w:pPr>
                    <w:pStyle w:val="TableColumnHeading"/>
                    <w:ind w:left="0" w:right="28"/>
                    <w:jc w:val="left"/>
                    <w:rPr>
                      <w:snapToGrid w:val="0"/>
                      <w:lang w:val="en-US"/>
                    </w:rPr>
                  </w:pPr>
                </w:p>
              </w:tc>
              <w:tc>
                <w:tcPr>
                  <w:tcW w:w="709" w:type="dxa"/>
                  <w:tcBorders>
                    <w:top w:val="single" w:sz="4" w:space="0" w:color="BFBFBF"/>
                    <w:bottom w:val="single" w:sz="4" w:space="0" w:color="BFBFBF"/>
                  </w:tcBorders>
                  <w:tcMar>
                    <w:left w:w="0" w:type="dxa"/>
                    <w:right w:w="0" w:type="dxa"/>
                  </w:tcMar>
                  <w:vAlign w:val="bottom"/>
                </w:tcPr>
                <w:p w14:paraId="1E2FD195" w14:textId="77777777" w:rsidR="00964CD5" w:rsidRPr="00EB5D55" w:rsidRDefault="00964CD5" w:rsidP="009C459E">
                  <w:pPr>
                    <w:spacing w:before="80" w:after="80" w:line="200" w:lineRule="atLeast"/>
                    <w:ind w:right="28"/>
                    <w:jc w:val="right"/>
                    <w:rPr>
                      <w:rFonts w:ascii="Arial" w:hAnsi="Arial" w:cs="Arial"/>
                      <w:i/>
                      <w:sz w:val="18"/>
                      <w:szCs w:val="18"/>
                    </w:rPr>
                  </w:pPr>
                  <w:r w:rsidRPr="00EB5D55">
                    <w:rPr>
                      <w:rFonts w:ascii="Arial" w:hAnsi="Arial" w:cs="Arial"/>
                      <w:i/>
                      <w:sz w:val="18"/>
                      <w:szCs w:val="18"/>
                    </w:rPr>
                    <w:t>NSW</w:t>
                  </w:r>
                </w:p>
              </w:tc>
              <w:tc>
                <w:tcPr>
                  <w:tcW w:w="709" w:type="dxa"/>
                  <w:tcBorders>
                    <w:top w:val="single" w:sz="4" w:space="0" w:color="BFBFBF"/>
                    <w:bottom w:val="single" w:sz="4" w:space="0" w:color="BFBFBF"/>
                  </w:tcBorders>
                  <w:tcMar>
                    <w:left w:w="0" w:type="dxa"/>
                    <w:right w:w="0" w:type="dxa"/>
                  </w:tcMar>
                  <w:vAlign w:val="bottom"/>
                </w:tcPr>
                <w:p w14:paraId="2B881247" w14:textId="77777777" w:rsidR="00964CD5" w:rsidRPr="00EB5D55" w:rsidRDefault="00964CD5" w:rsidP="009C459E">
                  <w:pPr>
                    <w:spacing w:before="80" w:after="80" w:line="200" w:lineRule="atLeast"/>
                    <w:ind w:right="28"/>
                    <w:jc w:val="right"/>
                    <w:rPr>
                      <w:rFonts w:ascii="Arial" w:hAnsi="Arial" w:cs="Arial"/>
                      <w:i/>
                      <w:sz w:val="18"/>
                      <w:szCs w:val="18"/>
                    </w:rPr>
                  </w:pPr>
                  <w:r w:rsidRPr="00EB5D55">
                    <w:rPr>
                      <w:rFonts w:ascii="Arial" w:hAnsi="Arial" w:cs="Arial"/>
                      <w:i/>
                      <w:sz w:val="18"/>
                      <w:szCs w:val="18"/>
                    </w:rPr>
                    <w:t>Vic</w:t>
                  </w:r>
                </w:p>
              </w:tc>
              <w:tc>
                <w:tcPr>
                  <w:tcW w:w="709" w:type="dxa"/>
                  <w:tcBorders>
                    <w:top w:val="single" w:sz="4" w:space="0" w:color="BFBFBF"/>
                    <w:bottom w:val="single" w:sz="4" w:space="0" w:color="BFBFBF"/>
                  </w:tcBorders>
                  <w:tcMar>
                    <w:left w:w="0" w:type="dxa"/>
                    <w:right w:w="0" w:type="dxa"/>
                  </w:tcMar>
                  <w:vAlign w:val="bottom"/>
                </w:tcPr>
                <w:p w14:paraId="1E31FCC5" w14:textId="77777777" w:rsidR="00964CD5" w:rsidRPr="00EB5D55" w:rsidRDefault="00964CD5" w:rsidP="009C459E">
                  <w:pPr>
                    <w:spacing w:before="80" w:after="80" w:line="200" w:lineRule="atLeast"/>
                    <w:ind w:right="28"/>
                    <w:jc w:val="right"/>
                    <w:rPr>
                      <w:rFonts w:ascii="Arial" w:hAnsi="Arial" w:cs="Arial"/>
                      <w:i/>
                      <w:sz w:val="18"/>
                      <w:szCs w:val="18"/>
                    </w:rPr>
                  </w:pPr>
                  <w:r w:rsidRPr="00EB5D55">
                    <w:rPr>
                      <w:rFonts w:ascii="Arial" w:hAnsi="Arial" w:cs="Arial"/>
                      <w:i/>
                      <w:sz w:val="18"/>
                      <w:szCs w:val="18"/>
                    </w:rPr>
                    <w:t>Qld</w:t>
                  </w:r>
                </w:p>
              </w:tc>
              <w:tc>
                <w:tcPr>
                  <w:tcW w:w="708" w:type="dxa"/>
                  <w:tcBorders>
                    <w:top w:val="single" w:sz="4" w:space="0" w:color="BFBFBF"/>
                    <w:bottom w:val="single" w:sz="4" w:space="0" w:color="BFBFBF"/>
                  </w:tcBorders>
                  <w:tcMar>
                    <w:left w:w="0" w:type="dxa"/>
                    <w:right w:w="0" w:type="dxa"/>
                  </w:tcMar>
                  <w:vAlign w:val="bottom"/>
                </w:tcPr>
                <w:p w14:paraId="7EBAD646" w14:textId="77777777" w:rsidR="00964CD5" w:rsidRPr="00EB5D55" w:rsidRDefault="00964CD5" w:rsidP="009C459E">
                  <w:pPr>
                    <w:spacing w:before="80" w:after="80" w:line="200" w:lineRule="atLeast"/>
                    <w:ind w:right="28"/>
                    <w:jc w:val="right"/>
                    <w:rPr>
                      <w:rFonts w:ascii="Arial" w:hAnsi="Arial" w:cs="Arial"/>
                      <w:i/>
                      <w:sz w:val="18"/>
                      <w:szCs w:val="18"/>
                    </w:rPr>
                  </w:pPr>
                  <w:r w:rsidRPr="00EB5D55">
                    <w:rPr>
                      <w:rFonts w:ascii="Arial" w:hAnsi="Arial" w:cs="Arial"/>
                      <w:i/>
                      <w:sz w:val="18"/>
                      <w:szCs w:val="18"/>
                    </w:rPr>
                    <w:t>WA</w:t>
                  </w:r>
                </w:p>
              </w:tc>
              <w:tc>
                <w:tcPr>
                  <w:tcW w:w="709" w:type="dxa"/>
                  <w:tcBorders>
                    <w:top w:val="single" w:sz="4" w:space="0" w:color="BFBFBF"/>
                    <w:bottom w:val="single" w:sz="4" w:space="0" w:color="BFBFBF"/>
                  </w:tcBorders>
                  <w:tcMar>
                    <w:left w:w="0" w:type="dxa"/>
                    <w:right w:w="0" w:type="dxa"/>
                  </w:tcMar>
                  <w:vAlign w:val="bottom"/>
                </w:tcPr>
                <w:p w14:paraId="60BB2AEC" w14:textId="77777777" w:rsidR="00964CD5" w:rsidRPr="00EB5D55" w:rsidRDefault="00964CD5" w:rsidP="009C459E">
                  <w:pPr>
                    <w:spacing w:before="80" w:after="80" w:line="200" w:lineRule="atLeast"/>
                    <w:ind w:right="28"/>
                    <w:jc w:val="right"/>
                    <w:rPr>
                      <w:rFonts w:ascii="Arial" w:hAnsi="Arial" w:cs="Arial"/>
                      <w:i/>
                      <w:sz w:val="18"/>
                      <w:szCs w:val="18"/>
                    </w:rPr>
                  </w:pPr>
                  <w:r w:rsidRPr="00EB5D55">
                    <w:rPr>
                      <w:rFonts w:ascii="Arial" w:hAnsi="Arial" w:cs="Arial"/>
                      <w:i/>
                      <w:sz w:val="18"/>
                      <w:szCs w:val="18"/>
                    </w:rPr>
                    <w:t>SA</w:t>
                  </w:r>
                </w:p>
              </w:tc>
              <w:tc>
                <w:tcPr>
                  <w:tcW w:w="709" w:type="dxa"/>
                  <w:tcBorders>
                    <w:top w:val="single" w:sz="4" w:space="0" w:color="BFBFBF"/>
                    <w:bottom w:val="single" w:sz="4" w:space="0" w:color="BFBFBF"/>
                  </w:tcBorders>
                  <w:tcMar>
                    <w:left w:w="0" w:type="dxa"/>
                    <w:right w:w="0" w:type="dxa"/>
                  </w:tcMar>
                  <w:vAlign w:val="bottom"/>
                </w:tcPr>
                <w:p w14:paraId="076A845E" w14:textId="77777777" w:rsidR="00964CD5" w:rsidRPr="00EB5D55" w:rsidRDefault="00964CD5" w:rsidP="009C459E">
                  <w:pPr>
                    <w:spacing w:before="80" w:after="80" w:line="200" w:lineRule="atLeast"/>
                    <w:ind w:right="28"/>
                    <w:jc w:val="right"/>
                    <w:rPr>
                      <w:rFonts w:ascii="Arial" w:hAnsi="Arial" w:cs="Arial"/>
                      <w:i/>
                      <w:sz w:val="18"/>
                      <w:szCs w:val="18"/>
                    </w:rPr>
                  </w:pPr>
                  <w:r w:rsidRPr="00EB5D55">
                    <w:rPr>
                      <w:rFonts w:ascii="Arial" w:hAnsi="Arial" w:cs="Arial"/>
                      <w:i/>
                      <w:sz w:val="18"/>
                      <w:szCs w:val="18"/>
                    </w:rPr>
                    <w:t>Tas</w:t>
                  </w:r>
                </w:p>
              </w:tc>
              <w:tc>
                <w:tcPr>
                  <w:tcW w:w="709" w:type="dxa"/>
                  <w:tcBorders>
                    <w:top w:val="single" w:sz="4" w:space="0" w:color="BFBFBF"/>
                    <w:bottom w:val="single" w:sz="4" w:space="0" w:color="BFBFBF"/>
                  </w:tcBorders>
                  <w:tcMar>
                    <w:left w:w="0" w:type="dxa"/>
                    <w:right w:w="0" w:type="dxa"/>
                  </w:tcMar>
                  <w:vAlign w:val="bottom"/>
                </w:tcPr>
                <w:p w14:paraId="1C64BB74" w14:textId="77777777" w:rsidR="00964CD5" w:rsidRPr="00EB5D55" w:rsidRDefault="00964CD5" w:rsidP="009C459E">
                  <w:pPr>
                    <w:spacing w:before="80" w:after="80" w:line="200" w:lineRule="atLeast"/>
                    <w:ind w:right="28"/>
                    <w:jc w:val="right"/>
                    <w:rPr>
                      <w:rFonts w:ascii="Arial" w:hAnsi="Arial" w:cs="Arial"/>
                      <w:i/>
                      <w:sz w:val="18"/>
                      <w:szCs w:val="18"/>
                    </w:rPr>
                  </w:pPr>
                  <w:r w:rsidRPr="00EB5D55">
                    <w:rPr>
                      <w:rFonts w:ascii="Arial" w:hAnsi="Arial" w:cs="Arial"/>
                      <w:i/>
                      <w:sz w:val="18"/>
                      <w:szCs w:val="18"/>
                    </w:rPr>
                    <w:t>ACT</w:t>
                  </w:r>
                </w:p>
              </w:tc>
              <w:tc>
                <w:tcPr>
                  <w:tcW w:w="710" w:type="dxa"/>
                  <w:tcBorders>
                    <w:top w:val="single" w:sz="4" w:space="0" w:color="BFBFBF"/>
                    <w:bottom w:val="single" w:sz="4" w:space="0" w:color="BFBFBF"/>
                  </w:tcBorders>
                  <w:tcMar>
                    <w:left w:w="0" w:type="dxa"/>
                    <w:right w:w="0" w:type="dxa"/>
                  </w:tcMar>
                  <w:vAlign w:val="bottom"/>
                </w:tcPr>
                <w:p w14:paraId="5F78188C" w14:textId="77777777" w:rsidR="00964CD5" w:rsidRPr="00EB5D55" w:rsidRDefault="00964CD5" w:rsidP="009C459E">
                  <w:pPr>
                    <w:spacing w:before="80" w:after="80" w:line="200" w:lineRule="atLeast"/>
                    <w:ind w:right="28"/>
                    <w:jc w:val="right"/>
                    <w:rPr>
                      <w:rFonts w:ascii="Arial" w:hAnsi="Arial" w:cs="Arial"/>
                      <w:i/>
                      <w:sz w:val="18"/>
                      <w:szCs w:val="18"/>
                    </w:rPr>
                  </w:pPr>
                  <w:r w:rsidRPr="00EB5D55">
                    <w:rPr>
                      <w:rFonts w:ascii="Arial" w:hAnsi="Arial" w:cs="Arial"/>
                      <w:i/>
                      <w:sz w:val="18"/>
                      <w:szCs w:val="18"/>
                    </w:rPr>
                    <w:t>NT</w:t>
                  </w:r>
                </w:p>
              </w:tc>
              <w:tc>
                <w:tcPr>
                  <w:tcW w:w="709" w:type="dxa"/>
                  <w:tcBorders>
                    <w:top w:val="single" w:sz="4" w:space="0" w:color="BFBFBF"/>
                    <w:bottom w:val="single" w:sz="4" w:space="0" w:color="BFBFBF"/>
                  </w:tcBorders>
                  <w:tcMar>
                    <w:left w:w="0" w:type="dxa"/>
                    <w:right w:w="0" w:type="dxa"/>
                  </w:tcMar>
                  <w:vAlign w:val="bottom"/>
                </w:tcPr>
                <w:p w14:paraId="1D5290AC" w14:textId="77777777" w:rsidR="00964CD5" w:rsidRPr="00EB5D55" w:rsidRDefault="00964CD5" w:rsidP="009C459E">
                  <w:pPr>
                    <w:spacing w:before="80" w:after="80" w:line="200" w:lineRule="atLeast"/>
                    <w:ind w:right="28"/>
                    <w:jc w:val="right"/>
                    <w:rPr>
                      <w:rFonts w:ascii="Arial" w:hAnsi="Arial" w:cs="Arial"/>
                      <w:i/>
                      <w:sz w:val="18"/>
                      <w:szCs w:val="18"/>
                    </w:rPr>
                  </w:pPr>
                  <w:r w:rsidRPr="00EB5D55">
                    <w:rPr>
                      <w:rFonts w:ascii="Arial" w:hAnsi="Arial" w:cs="Arial"/>
                      <w:i/>
                      <w:sz w:val="18"/>
                      <w:szCs w:val="18"/>
                    </w:rPr>
                    <w:t>Aust</w:t>
                  </w:r>
                </w:p>
              </w:tc>
            </w:tr>
            <w:tr w:rsidR="00592E56" w:rsidRPr="00EB5D55" w14:paraId="68923D2A" w14:textId="77777777" w:rsidTr="00592E56">
              <w:trPr>
                <w:trHeight w:hRule="exact" w:val="340"/>
              </w:trPr>
              <w:tc>
                <w:tcPr>
                  <w:tcW w:w="2102" w:type="dxa"/>
                  <w:tcBorders>
                    <w:top w:val="single" w:sz="4" w:space="0" w:color="BFBFBF"/>
                  </w:tcBorders>
                  <w:tcMar>
                    <w:left w:w="0" w:type="dxa"/>
                    <w:right w:w="0" w:type="dxa"/>
                  </w:tcMar>
                  <w:vAlign w:val="bottom"/>
                </w:tcPr>
                <w:p w14:paraId="1AA618A0" w14:textId="77777777" w:rsidR="00592E56" w:rsidRPr="00EB5D55" w:rsidRDefault="00592E56" w:rsidP="009C459E">
                  <w:pPr>
                    <w:pStyle w:val="TableBodyText"/>
                    <w:ind w:left="0" w:right="28"/>
                    <w:jc w:val="left"/>
                    <w:rPr>
                      <w:snapToGrid w:val="0"/>
                      <w:lang w:val="en-US"/>
                    </w:rPr>
                  </w:pPr>
                  <w:r w:rsidRPr="00EB5D55">
                    <w:rPr>
                      <w:snapToGrid w:val="0"/>
                      <w:lang w:val="en-US"/>
                    </w:rPr>
                    <w:t>Neoplasms</w:t>
                  </w:r>
                </w:p>
              </w:tc>
              <w:tc>
                <w:tcPr>
                  <w:tcW w:w="709" w:type="dxa"/>
                  <w:tcBorders>
                    <w:top w:val="single" w:sz="4" w:space="0" w:color="BFBFBF"/>
                  </w:tcBorders>
                  <w:shd w:val="clear" w:color="auto" w:fill="auto"/>
                  <w:tcMar>
                    <w:left w:w="0" w:type="dxa"/>
                    <w:right w:w="0" w:type="dxa"/>
                  </w:tcMar>
                  <w:vAlign w:val="bottom"/>
                </w:tcPr>
                <w:p w14:paraId="710B6DD7" w14:textId="77777777" w:rsidR="00592E56" w:rsidRPr="00EB5D55" w:rsidRDefault="003A45B4" w:rsidP="00592E56">
                  <w:pPr>
                    <w:jc w:val="right"/>
                    <w:rPr>
                      <w:rFonts w:ascii="Arial" w:hAnsi="Arial" w:cs="Arial"/>
                      <w:sz w:val="18"/>
                      <w:szCs w:val="18"/>
                    </w:rPr>
                  </w:pPr>
                  <w:r w:rsidRPr="00EB5D55">
                    <w:rPr>
                      <w:rFonts w:ascii="Arial" w:hAnsi="Arial" w:cs="Arial"/>
                      <w:sz w:val="18"/>
                      <w:szCs w:val="18"/>
                    </w:rPr>
                    <w:t>167.5</w:t>
                  </w:r>
                </w:p>
              </w:tc>
              <w:tc>
                <w:tcPr>
                  <w:tcW w:w="709" w:type="dxa"/>
                  <w:tcBorders>
                    <w:top w:val="single" w:sz="4" w:space="0" w:color="BFBFBF"/>
                  </w:tcBorders>
                  <w:shd w:val="clear" w:color="auto" w:fill="auto"/>
                  <w:tcMar>
                    <w:left w:w="0" w:type="dxa"/>
                    <w:right w:w="0" w:type="dxa"/>
                  </w:tcMar>
                  <w:vAlign w:val="bottom"/>
                </w:tcPr>
                <w:p w14:paraId="5E81C864" w14:textId="77777777" w:rsidR="00592E56" w:rsidRPr="00EB5D55" w:rsidRDefault="003A45B4" w:rsidP="00592E56">
                  <w:pPr>
                    <w:jc w:val="right"/>
                    <w:rPr>
                      <w:rFonts w:ascii="Arial" w:hAnsi="Arial" w:cs="Arial"/>
                      <w:sz w:val="18"/>
                      <w:szCs w:val="18"/>
                    </w:rPr>
                  </w:pPr>
                  <w:r w:rsidRPr="00EB5D55">
                    <w:rPr>
                      <w:rFonts w:ascii="Arial" w:hAnsi="Arial" w:cs="Arial"/>
                      <w:sz w:val="18"/>
                      <w:szCs w:val="18"/>
                    </w:rPr>
                    <w:t>161.2</w:t>
                  </w:r>
                </w:p>
              </w:tc>
              <w:tc>
                <w:tcPr>
                  <w:tcW w:w="709" w:type="dxa"/>
                  <w:tcBorders>
                    <w:top w:val="single" w:sz="4" w:space="0" w:color="BFBFBF"/>
                  </w:tcBorders>
                  <w:shd w:val="clear" w:color="auto" w:fill="auto"/>
                  <w:tcMar>
                    <w:left w:w="0" w:type="dxa"/>
                    <w:right w:w="0" w:type="dxa"/>
                  </w:tcMar>
                  <w:vAlign w:val="bottom"/>
                </w:tcPr>
                <w:p w14:paraId="33F184C3" w14:textId="77777777" w:rsidR="00592E56" w:rsidRPr="00EB5D55" w:rsidRDefault="003A45B4" w:rsidP="00592E56">
                  <w:pPr>
                    <w:jc w:val="right"/>
                    <w:rPr>
                      <w:rFonts w:ascii="Arial" w:hAnsi="Arial" w:cs="Arial"/>
                      <w:sz w:val="18"/>
                      <w:szCs w:val="18"/>
                    </w:rPr>
                  </w:pPr>
                  <w:r w:rsidRPr="00EB5D55">
                    <w:rPr>
                      <w:rFonts w:ascii="Arial" w:hAnsi="Arial" w:cs="Arial"/>
                      <w:sz w:val="18"/>
                      <w:szCs w:val="18"/>
                    </w:rPr>
                    <w:t>169.8</w:t>
                  </w:r>
                </w:p>
              </w:tc>
              <w:tc>
                <w:tcPr>
                  <w:tcW w:w="708" w:type="dxa"/>
                  <w:tcBorders>
                    <w:top w:val="single" w:sz="4" w:space="0" w:color="BFBFBF"/>
                  </w:tcBorders>
                  <w:shd w:val="clear" w:color="auto" w:fill="auto"/>
                  <w:tcMar>
                    <w:left w:w="0" w:type="dxa"/>
                    <w:right w:w="0" w:type="dxa"/>
                  </w:tcMar>
                  <w:vAlign w:val="bottom"/>
                </w:tcPr>
                <w:p w14:paraId="537EFDE9" w14:textId="77777777" w:rsidR="00592E56" w:rsidRPr="00EB5D55" w:rsidRDefault="003A45B4" w:rsidP="00592E56">
                  <w:pPr>
                    <w:jc w:val="right"/>
                    <w:rPr>
                      <w:rFonts w:ascii="Arial" w:hAnsi="Arial" w:cs="Arial"/>
                      <w:sz w:val="18"/>
                      <w:szCs w:val="18"/>
                    </w:rPr>
                  </w:pPr>
                  <w:r w:rsidRPr="00EB5D55">
                    <w:rPr>
                      <w:rFonts w:ascii="Arial" w:hAnsi="Arial" w:cs="Arial"/>
                      <w:sz w:val="18"/>
                      <w:szCs w:val="18"/>
                    </w:rPr>
                    <w:t>154.9</w:t>
                  </w:r>
                </w:p>
              </w:tc>
              <w:tc>
                <w:tcPr>
                  <w:tcW w:w="709" w:type="dxa"/>
                  <w:tcBorders>
                    <w:top w:val="single" w:sz="4" w:space="0" w:color="BFBFBF"/>
                  </w:tcBorders>
                  <w:shd w:val="clear" w:color="auto" w:fill="auto"/>
                  <w:tcMar>
                    <w:left w:w="0" w:type="dxa"/>
                    <w:right w:w="0" w:type="dxa"/>
                  </w:tcMar>
                  <w:vAlign w:val="bottom"/>
                </w:tcPr>
                <w:p w14:paraId="49DFC203" w14:textId="77777777" w:rsidR="00592E56" w:rsidRPr="00EB5D55" w:rsidRDefault="003A45B4" w:rsidP="00592E56">
                  <w:pPr>
                    <w:jc w:val="right"/>
                    <w:rPr>
                      <w:rFonts w:ascii="Arial" w:hAnsi="Arial" w:cs="Arial"/>
                      <w:sz w:val="18"/>
                      <w:szCs w:val="18"/>
                    </w:rPr>
                  </w:pPr>
                  <w:r w:rsidRPr="00EB5D55">
                    <w:rPr>
                      <w:rFonts w:ascii="Arial" w:hAnsi="Arial" w:cs="Arial"/>
                      <w:sz w:val="18"/>
                      <w:szCs w:val="18"/>
                    </w:rPr>
                    <w:t>170.1</w:t>
                  </w:r>
                </w:p>
              </w:tc>
              <w:tc>
                <w:tcPr>
                  <w:tcW w:w="709" w:type="dxa"/>
                  <w:tcBorders>
                    <w:top w:val="single" w:sz="4" w:space="0" w:color="BFBFBF"/>
                  </w:tcBorders>
                  <w:shd w:val="clear" w:color="auto" w:fill="auto"/>
                  <w:tcMar>
                    <w:left w:w="0" w:type="dxa"/>
                    <w:right w:w="0" w:type="dxa"/>
                  </w:tcMar>
                  <w:vAlign w:val="bottom"/>
                </w:tcPr>
                <w:p w14:paraId="2822DC49" w14:textId="77777777" w:rsidR="00592E56" w:rsidRPr="00EB5D55" w:rsidRDefault="003A45B4" w:rsidP="00592E56">
                  <w:pPr>
                    <w:jc w:val="right"/>
                    <w:rPr>
                      <w:rFonts w:ascii="Arial" w:hAnsi="Arial" w:cs="Arial"/>
                      <w:sz w:val="18"/>
                      <w:szCs w:val="18"/>
                    </w:rPr>
                  </w:pPr>
                  <w:r w:rsidRPr="00EB5D55">
                    <w:rPr>
                      <w:rFonts w:ascii="Arial" w:hAnsi="Arial" w:cs="Arial"/>
                      <w:sz w:val="18"/>
                      <w:szCs w:val="18"/>
                    </w:rPr>
                    <w:t>195.3</w:t>
                  </w:r>
                </w:p>
              </w:tc>
              <w:tc>
                <w:tcPr>
                  <w:tcW w:w="709" w:type="dxa"/>
                  <w:tcBorders>
                    <w:top w:val="single" w:sz="4" w:space="0" w:color="BFBFBF"/>
                  </w:tcBorders>
                  <w:shd w:val="clear" w:color="auto" w:fill="auto"/>
                  <w:tcMar>
                    <w:left w:w="0" w:type="dxa"/>
                    <w:right w:w="0" w:type="dxa"/>
                  </w:tcMar>
                  <w:vAlign w:val="bottom"/>
                </w:tcPr>
                <w:p w14:paraId="5C69A546" w14:textId="77777777" w:rsidR="00592E56" w:rsidRPr="00EB5D55" w:rsidRDefault="003A45B4" w:rsidP="00592E56">
                  <w:pPr>
                    <w:jc w:val="right"/>
                    <w:rPr>
                      <w:rFonts w:ascii="Arial" w:hAnsi="Arial" w:cs="Arial"/>
                      <w:sz w:val="18"/>
                      <w:szCs w:val="18"/>
                    </w:rPr>
                  </w:pPr>
                  <w:r w:rsidRPr="00EB5D55">
                    <w:rPr>
                      <w:rFonts w:ascii="Arial" w:hAnsi="Arial" w:cs="Arial"/>
                      <w:sz w:val="18"/>
                      <w:szCs w:val="18"/>
                    </w:rPr>
                    <w:t>151.2</w:t>
                  </w:r>
                </w:p>
              </w:tc>
              <w:tc>
                <w:tcPr>
                  <w:tcW w:w="710" w:type="dxa"/>
                  <w:tcBorders>
                    <w:top w:val="single" w:sz="4" w:space="0" w:color="BFBFBF"/>
                  </w:tcBorders>
                  <w:shd w:val="clear" w:color="auto" w:fill="auto"/>
                  <w:tcMar>
                    <w:left w:w="0" w:type="dxa"/>
                    <w:right w:w="0" w:type="dxa"/>
                  </w:tcMar>
                  <w:vAlign w:val="bottom"/>
                </w:tcPr>
                <w:p w14:paraId="5BF65694" w14:textId="77777777" w:rsidR="00592E56" w:rsidRPr="00EB5D55" w:rsidRDefault="003A45B4" w:rsidP="00592E56">
                  <w:pPr>
                    <w:jc w:val="right"/>
                    <w:rPr>
                      <w:rFonts w:ascii="Arial" w:hAnsi="Arial" w:cs="Arial"/>
                      <w:sz w:val="18"/>
                      <w:szCs w:val="18"/>
                    </w:rPr>
                  </w:pPr>
                  <w:r w:rsidRPr="00EB5D55">
                    <w:rPr>
                      <w:rFonts w:ascii="Arial" w:hAnsi="Arial" w:cs="Arial"/>
                      <w:sz w:val="18"/>
                      <w:szCs w:val="18"/>
                    </w:rPr>
                    <w:t>204.2</w:t>
                  </w:r>
                </w:p>
              </w:tc>
              <w:tc>
                <w:tcPr>
                  <w:tcW w:w="709" w:type="dxa"/>
                  <w:tcBorders>
                    <w:top w:val="single" w:sz="4" w:space="0" w:color="BFBFBF"/>
                  </w:tcBorders>
                  <w:shd w:val="clear" w:color="auto" w:fill="auto"/>
                  <w:tcMar>
                    <w:left w:w="0" w:type="dxa"/>
                    <w:right w:w="0" w:type="dxa"/>
                  </w:tcMar>
                  <w:vAlign w:val="bottom"/>
                </w:tcPr>
                <w:p w14:paraId="1464580A" w14:textId="77777777" w:rsidR="00592E56" w:rsidRPr="00EB5D55" w:rsidRDefault="003A45B4" w:rsidP="00592E56">
                  <w:pPr>
                    <w:jc w:val="right"/>
                    <w:rPr>
                      <w:rFonts w:ascii="Arial" w:hAnsi="Arial" w:cs="Arial"/>
                      <w:sz w:val="18"/>
                      <w:szCs w:val="18"/>
                    </w:rPr>
                  </w:pPr>
                  <w:r w:rsidRPr="00EB5D55">
                    <w:rPr>
                      <w:rFonts w:ascii="Arial" w:hAnsi="Arial" w:cs="Arial"/>
                      <w:sz w:val="18"/>
                      <w:szCs w:val="18"/>
                    </w:rPr>
                    <w:t>166.1</w:t>
                  </w:r>
                </w:p>
              </w:tc>
            </w:tr>
            <w:tr w:rsidR="00592E56" w:rsidRPr="00EB5D55" w14:paraId="612A2FDC" w14:textId="77777777" w:rsidTr="00592E56">
              <w:trPr>
                <w:trHeight w:val="340"/>
              </w:trPr>
              <w:tc>
                <w:tcPr>
                  <w:tcW w:w="2102" w:type="dxa"/>
                  <w:tcMar>
                    <w:left w:w="0" w:type="dxa"/>
                    <w:right w:w="0" w:type="dxa"/>
                  </w:tcMar>
                  <w:vAlign w:val="bottom"/>
                </w:tcPr>
                <w:p w14:paraId="4D4163AD" w14:textId="77777777" w:rsidR="00592E56" w:rsidRPr="00EB5D55" w:rsidRDefault="00592E56" w:rsidP="009C459E">
                  <w:pPr>
                    <w:pStyle w:val="TableBullet"/>
                    <w:numPr>
                      <w:ilvl w:val="0"/>
                      <w:numId w:val="0"/>
                    </w:numPr>
                    <w:ind w:right="28"/>
                    <w:rPr>
                      <w:rFonts w:asciiTheme="majorHAnsi" w:hAnsiTheme="majorHAnsi" w:cstheme="majorHAnsi"/>
                      <w:snapToGrid w:val="0"/>
                      <w:szCs w:val="18"/>
                      <w:lang w:val="en-US"/>
                    </w:rPr>
                  </w:pPr>
                  <w:r w:rsidRPr="00EB5D55">
                    <w:rPr>
                      <w:rFonts w:asciiTheme="majorHAnsi" w:hAnsiTheme="majorHAnsi" w:cstheme="majorHAnsi"/>
                      <w:snapToGrid w:val="0"/>
                      <w:szCs w:val="18"/>
                      <w:lang w:val="en-US"/>
                    </w:rPr>
                    <w:t>Diseases of the circulatory system</w:t>
                  </w:r>
                </w:p>
              </w:tc>
              <w:tc>
                <w:tcPr>
                  <w:tcW w:w="709" w:type="dxa"/>
                  <w:shd w:val="clear" w:color="auto" w:fill="auto"/>
                  <w:tcMar>
                    <w:left w:w="0" w:type="dxa"/>
                    <w:right w:w="0" w:type="dxa"/>
                  </w:tcMar>
                  <w:vAlign w:val="bottom"/>
                </w:tcPr>
                <w:p w14:paraId="6099C182" w14:textId="77777777" w:rsidR="00592E56" w:rsidRPr="00EB5D55" w:rsidRDefault="003A45B4" w:rsidP="00592E56">
                  <w:pPr>
                    <w:jc w:val="right"/>
                    <w:rPr>
                      <w:rFonts w:ascii="Arial" w:hAnsi="Arial" w:cs="Arial"/>
                      <w:sz w:val="18"/>
                      <w:szCs w:val="18"/>
                    </w:rPr>
                  </w:pPr>
                  <w:r w:rsidRPr="00EB5D55">
                    <w:rPr>
                      <w:rFonts w:ascii="Arial" w:hAnsi="Arial" w:cs="Arial"/>
                      <w:sz w:val="18"/>
                      <w:szCs w:val="18"/>
                    </w:rPr>
                    <w:t>154.0</w:t>
                  </w:r>
                </w:p>
              </w:tc>
              <w:tc>
                <w:tcPr>
                  <w:tcW w:w="709" w:type="dxa"/>
                  <w:shd w:val="clear" w:color="auto" w:fill="auto"/>
                  <w:tcMar>
                    <w:left w:w="0" w:type="dxa"/>
                    <w:right w:w="0" w:type="dxa"/>
                  </w:tcMar>
                  <w:vAlign w:val="bottom"/>
                </w:tcPr>
                <w:p w14:paraId="05A17405" w14:textId="77777777" w:rsidR="00592E56" w:rsidRPr="00EB5D55" w:rsidRDefault="003A45B4" w:rsidP="00592E56">
                  <w:pPr>
                    <w:jc w:val="right"/>
                    <w:rPr>
                      <w:rFonts w:ascii="Arial" w:hAnsi="Arial" w:cs="Arial"/>
                      <w:sz w:val="18"/>
                      <w:szCs w:val="18"/>
                    </w:rPr>
                  </w:pPr>
                  <w:r w:rsidRPr="00EB5D55">
                    <w:rPr>
                      <w:rFonts w:ascii="Arial" w:hAnsi="Arial" w:cs="Arial"/>
                      <w:sz w:val="18"/>
                      <w:szCs w:val="18"/>
                    </w:rPr>
                    <w:t>147.0</w:t>
                  </w:r>
                </w:p>
              </w:tc>
              <w:tc>
                <w:tcPr>
                  <w:tcW w:w="709" w:type="dxa"/>
                  <w:shd w:val="clear" w:color="auto" w:fill="auto"/>
                  <w:tcMar>
                    <w:left w:w="0" w:type="dxa"/>
                    <w:right w:w="0" w:type="dxa"/>
                  </w:tcMar>
                  <w:vAlign w:val="bottom"/>
                </w:tcPr>
                <w:p w14:paraId="1DEC847D" w14:textId="77777777" w:rsidR="00592E56" w:rsidRPr="00EB5D55" w:rsidRDefault="003A45B4" w:rsidP="00592E56">
                  <w:pPr>
                    <w:jc w:val="right"/>
                    <w:rPr>
                      <w:rFonts w:ascii="Arial" w:hAnsi="Arial" w:cs="Arial"/>
                      <w:sz w:val="18"/>
                      <w:szCs w:val="18"/>
                    </w:rPr>
                  </w:pPr>
                  <w:r w:rsidRPr="00EB5D55">
                    <w:rPr>
                      <w:rFonts w:ascii="Arial" w:hAnsi="Arial" w:cs="Arial"/>
                      <w:sz w:val="18"/>
                      <w:szCs w:val="18"/>
                    </w:rPr>
                    <w:t>153.2</w:t>
                  </w:r>
                </w:p>
              </w:tc>
              <w:tc>
                <w:tcPr>
                  <w:tcW w:w="708" w:type="dxa"/>
                  <w:shd w:val="clear" w:color="auto" w:fill="auto"/>
                  <w:tcMar>
                    <w:left w:w="0" w:type="dxa"/>
                    <w:right w:w="0" w:type="dxa"/>
                  </w:tcMar>
                  <w:vAlign w:val="bottom"/>
                </w:tcPr>
                <w:p w14:paraId="15A36A62" w14:textId="77777777" w:rsidR="00592E56" w:rsidRPr="00EB5D55" w:rsidRDefault="003A45B4" w:rsidP="00592E56">
                  <w:pPr>
                    <w:jc w:val="right"/>
                    <w:rPr>
                      <w:rFonts w:ascii="Arial" w:hAnsi="Arial" w:cs="Arial"/>
                      <w:sz w:val="18"/>
                      <w:szCs w:val="18"/>
                    </w:rPr>
                  </w:pPr>
                  <w:r w:rsidRPr="00EB5D55">
                    <w:rPr>
                      <w:rFonts w:ascii="Arial" w:hAnsi="Arial" w:cs="Arial"/>
                      <w:sz w:val="18"/>
                      <w:szCs w:val="18"/>
                    </w:rPr>
                    <w:t>1</w:t>
                  </w:r>
                  <w:r w:rsidR="00592E56" w:rsidRPr="00EB5D55">
                    <w:rPr>
                      <w:rFonts w:ascii="Arial" w:hAnsi="Arial" w:cs="Arial"/>
                      <w:sz w:val="18"/>
                      <w:szCs w:val="18"/>
                    </w:rPr>
                    <w:t>3</w:t>
                  </w:r>
                  <w:r w:rsidRPr="00EB5D55">
                    <w:rPr>
                      <w:rFonts w:ascii="Arial" w:hAnsi="Arial" w:cs="Arial"/>
                      <w:sz w:val="18"/>
                      <w:szCs w:val="18"/>
                    </w:rPr>
                    <w:t>5</w:t>
                  </w:r>
                  <w:r w:rsidR="00592E56" w:rsidRPr="00EB5D55">
                    <w:rPr>
                      <w:rFonts w:ascii="Arial" w:hAnsi="Arial" w:cs="Arial"/>
                      <w:sz w:val="18"/>
                      <w:szCs w:val="18"/>
                    </w:rPr>
                    <w:t>.5</w:t>
                  </w:r>
                </w:p>
              </w:tc>
              <w:tc>
                <w:tcPr>
                  <w:tcW w:w="709" w:type="dxa"/>
                  <w:shd w:val="clear" w:color="auto" w:fill="auto"/>
                  <w:tcMar>
                    <w:left w:w="0" w:type="dxa"/>
                    <w:right w:w="0" w:type="dxa"/>
                  </w:tcMar>
                  <w:vAlign w:val="bottom"/>
                </w:tcPr>
                <w:p w14:paraId="3934E334" w14:textId="77777777" w:rsidR="00592E56" w:rsidRPr="00EB5D55" w:rsidRDefault="003A45B4" w:rsidP="00592E56">
                  <w:pPr>
                    <w:jc w:val="right"/>
                    <w:rPr>
                      <w:rFonts w:ascii="Arial" w:hAnsi="Arial" w:cs="Arial"/>
                      <w:sz w:val="18"/>
                      <w:szCs w:val="18"/>
                    </w:rPr>
                  </w:pPr>
                  <w:r w:rsidRPr="00EB5D55">
                    <w:rPr>
                      <w:rFonts w:ascii="Arial" w:hAnsi="Arial" w:cs="Arial"/>
                      <w:sz w:val="18"/>
                      <w:szCs w:val="18"/>
                    </w:rPr>
                    <w:t>147</w:t>
                  </w:r>
                  <w:r w:rsidR="00592E56" w:rsidRPr="00EB5D55">
                    <w:rPr>
                      <w:rFonts w:ascii="Arial" w:hAnsi="Arial" w:cs="Arial"/>
                      <w:sz w:val="18"/>
                      <w:szCs w:val="18"/>
                    </w:rPr>
                    <w:t>.3</w:t>
                  </w:r>
                </w:p>
              </w:tc>
              <w:tc>
                <w:tcPr>
                  <w:tcW w:w="709" w:type="dxa"/>
                  <w:shd w:val="clear" w:color="auto" w:fill="auto"/>
                  <w:tcMar>
                    <w:left w:w="0" w:type="dxa"/>
                    <w:right w:w="0" w:type="dxa"/>
                  </w:tcMar>
                  <w:vAlign w:val="bottom"/>
                </w:tcPr>
                <w:p w14:paraId="3CFD252C" w14:textId="77777777" w:rsidR="00592E56" w:rsidRPr="00EB5D55" w:rsidRDefault="003A45B4" w:rsidP="00592E56">
                  <w:pPr>
                    <w:jc w:val="right"/>
                    <w:rPr>
                      <w:rFonts w:ascii="Arial" w:hAnsi="Arial" w:cs="Arial"/>
                      <w:sz w:val="18"/>
                      <w:szCs w:val="18"/>
                    </w:rPr>
                  </w:pPr>
                  <w:r w:rsidRPr="00EB5D55">
                    <w:rPr>
                      <w:rFonts w:ascii="Arial" w:hAnsi="Arial" w:cs="Arial"/>
                      <w:sz w:val="18"/>
                      <w:szCs w:val="18"/>
                    </w:rPr>
                    <w:t>180.9</w:t>
                  </w:r>
                </w:p>
              </w:tc>
              <w:tc>
                <w:tcPr>
                  <w:tcW w:w="709" w:type="dxa"/>
                  <w:shd w:val="clear" w:color="auto" w:fill="auto"/>
                  <w:tcMar>
                    <w:left w:w="0" w:type="dxa"/>
                    <w:right w:w="0" w:type="dxa"/>
                  </w:tcMar>
                  <w:vAlign w:val="bottom"/>
                </w:tcPr>
                <w:p w14:paraId="5687D64F" w14:textId="77777777" w:rsidR="00592E56" w:rsidRPr="00EB5D55" w:rsidRDefault="003A45B4" w:rsidP="00592E56">
                  <w:pPr>
                    <w:jc w:val="right"/>
                    <w:rPr>
                      <w:rFonts w:ascii="Arial" w:hAnsi="Arial" w:cs="Arial"/>
                      <w:sz w:val="18"/>
                      <w:szCs w:val="18"/>
                    </w:rPr>
                  </w:pPr>
                  <w:r w:rsidRPr="00EB5D55">
                    <w:rPr>
                      <w:rFonts w:ascii="Arial" w:hAnsi="Arial" w:cs="Arial"/>
                      <w:sz w:val="18"/>
                      <w:szCs w:val="18"/>
                    </w:rPr>
                    <w:t>135.1</w:t>
                  </w:r>
                </w:p>
              </w:tc>
              <w:tc>
                <w:tcPr>
                  <w:tcW w:w="710" w:type="dxa"/>
                  <w:shd w:val="clear" w:color="auto" w:fill="auto"/>
                  <w:tcMar>
                    <w:left w:w="0" w:type="dxa"/>
                    <w:right w:w="0" w:type="dxa"/>
                  </w:tcMar>
                  <w:vAlign w:val="bottom"/>
                </w:tcPr>
                <w:p w14:paraId="34357FEC" w14:textId="77777777" w:rsidR="00592E56" w:rsidRPr="00EB5D55" w:rsidRDefault="003A45B4" w:rsidP="00592E56">
                  <w:pPr>
                    <w:jc w:val="right"/>
                    <w:rPr>
                      <w:rFonts w:ascii="Arial" w:hAnsi="Arial" w:cs="Arial"/>
                      <w:sz w:val="18"/>
                      <w:szCs w:val="18"/>
                    </w:rPr>
                  </w:pPr>
                  <w:r w:rsidRPr="00EB5D55">
                    <w:rPr>
                      <w:rFonts w:ascii="Arial" w:hAnsi="Arial" w:cs="Arial"/>
                      <w:sz w:val="18"/>
                      <w:szCs w:val="18"/>
                    </w:rPr>
                    <w:t>210.5</w:t>
                  </w:r>
                </w:p>
              </w:tc>
              <w:tc>
                <w:tcPr>
                  <w:tcW w:w="709" w:type="dxa"/>
                  <w:shd w:val="clear" w:color="auto" w:fill="auto"/>
                  <w:tcMar>
                    <w:left w:w="0" w:type="dxa"/>
                    <w:right w:w="0" w:type="dxa"/>
                  </w:tcMar>
                  <w:vAlign w:val="bottom"/>
                </w:tcPr>
                <w:p w14:paraId="037957CE" w14:textId="77777777" w:rsidR="00592E56" w:rsidRPr="00EB5D55" w:rsidRDefault="003A45B4" w:rsidP="00592E56">
                  <w:pPr>
                    <w:jc w:val="right"/>
                    <w:rPr>
                      <w:rFonts w:ascii="Arial" w:hAnsi="Arial" w:cs="Arial"/>
                      <w:sz w:val="18"/>
                      <w:szCs w:val="18"/>
                    </w:rPr>
                  </w:pPr>
                  <w:r w:rsidRPr="00EB5D55">
                    <w:rPr>
                      <w:rFonts w:ascii="Arial" w:hAnsi="Arial" w:cs="Arial"/>
                      <w:sz w:val="18"/>
                      <w:szCs w:val="18"/>
                    </w:rPr>
                    <w:t>150.6</w:t>
                  </w:r>
                </w:p>
              </w:tc>
            </w:tr>
            <w:tr w:rsidR="00592E56" w:rsidRPr="00EB5D55" w14:paraId="40289CB3" w14:textId="77777777" w:rsidTr="00592E56">
              <w:trPr>
                <w:trHeight w:val="340"/>
              </w:trPr>
              <w:tc>
                <w:tcPr>
                  <w:tcW w:w="2102" w:type="dxa"/>
                  <w:tcMar>
                    <w:left w:w="0" w:type="dxa"/>
                    <w:right w:w="0" w:type="dxa"/>
                  </w:tcMar>
                  <w:vAlign w:val="bottom"/>
                </w:tcPr>
                <w:p w14:paraId="2A7AE357" w14:textId="77777777" w:rsidR="00592E56" w:rsidRPr="00EB5D55" w:rsidRDefault="00592E56" w:rsidP="009C459E">
                  <w:pPr>
                    <w:pStyle w:val="TableBullet"/>
                    <w:numPr>
                      <w:ilvl w:val="0"/>
                      <w:numId w:val="0"/>
                    </w:numPr>
                    <w:ind w:right="28"/>
                    <w:rPr>
                      <w:rFonts w:asciiTheme="majorHAnsi" w:hAnsiTheme="majorHAnsi" w:cstheme="majorHAnsi"/>
                      <w:snapToGrid w:val="0"/>
                      <w:szCs w:val="18"/>
                      <w:lang w:val="en-US"/>
                    </w:rPr>
                  </w:pPr>
                  <w:r w:rsidRPr="00EB5D55">
                    <w:rPr>
                      <w:rFonts w:asciiTheme="majorHAnsi" w:hAnsiTheme="majorHAnsi" w:cstheme="majorHAnsi"/>
                      <w:snapToGrid w:val="0"/>
                      <w:szCs w:val="18"/>
                      <w:lang w:val="en-US"/>
                    </w:rPr>
                    <w:t>Diseases of the respiratory system</w:t>
                  </w:r>
                </w:p>
              </w:tc>
              <w:tc>
                <w:tcPr>
                  <w:tcW w:w="709" w:type="dxa"/>
                  <w:shd w:val="clear" w:color="auto" w:fill="auto"/>
                  <w:tcMar>
                    <w:left w:w="0" w:type="dxa"/>
                    <w:right w:w="0" w:type="dxa"/>
                  </w:tcMar>
                  <w:vAlign w:val="bottom"/>
                </w:tcPr>
                <w:p w14:paraId="477040F8" w14:textId="77777777" w:rsidR="00592E56" w:rsidRPr="00EB5D55" w:rsidRDefault="003A45B4" w:rsidP="00592E56">
                  <w:pPr>
                    <w:jc w:val="right"/>
                    <w:rPr>
                      <w:rFonts w:ascii="Arial" w:hAnsi="Arial" w:cs="Arial"/>
                      <w:sz w:val="18"/>
                      <w:szCs w:val="18"/>
                    </w:rPr>
                  </w:pPr>
                  <w:r w:rsidRPr="00EB5D55">
                    <w:rPr>
                      <w:rFonts w:ascii="Arial" w:hAnsi="Arial" w:cs="Arial"/>
                      <w:sz w:val="18"/>
                      <w:szCs w:val="18"/>
                    </w:rPr>
                    <w:t>47.4</w:t>
                  </w:r>
                </w:p>
              </w:tc>
              <w:tc>
                <w:tcPr>
                  <w:tcW w:w="709" w:type="dxa"/>
                  <w:shd w:val="clear" w:color="auto" w:fill="auto"/>
                  <w:tcMar>
                    <w:left w:w="0" w:type="dxa"/>
                    <w:right w:w="0" w:type="dxa"/>
                  </w:tcMar>
                  <w:vAlign w:val="bottom"/>
                </w:tcPr>
                <w:p w14:paraId="3879450F" w14:textId="77777777" w:rsidR="00592E56" w:rsidRPr="00EB5D55" w:rsidRDefault="00592E56" w:rsidP="003A45B4">
                  <w:pPr>
                    <w:jc w:val="right"/>
                    <w:rPr>
                      <w:rFonts w:ascii="Arial" w:hAnsi="Arial" w:cs="Arial"/>
                      <w:sz w:val="18"/>
                      <w:szCs w:val="18"/>
                    </w:rPr>
                  </w:pPr>
                  <w:r w:rsidRPr="00EB5D55">
                    <w:rPr>
                      <w:rFonts w:ascii="Arial" w:hAnsi="Arial" w:cs="Arial"/>
                      <w:sz w:val="18"/>
                      <w:szCs w:val="18"/>
                    </w:rPr>
                    <w:t>4</w:t>
                  </w:r>
                  <w:r w:rsidR="003A45B4" w:rsidRPr="00EB5D55">
                    <w:rPr>
                      <w:rFonts w:ascii="Arial" w:hAnsi="Arial" w:cs="Arial"/>
                      <w:sz w:val="18"/>
                      <w:szCs w:val="18"/>
                    </w:rPr>
                    <w:t>9.5</w:t>
                  </w:r>
                </w:p>
              </w:tc>
              <w:tc>
                <w:tcPr>
                  <w:tcW w:w="709" w:type="dxa"/>
                  <w:shd w:val="clear" w:color="auto" w:fill="auto"/>
                  <w:tcMar>
                    <w:left w:w="0" w:type="dxa"/>
                    <w:right w:w="0" w:type="dxa"/>
                  </w:tcMar>
                  <w:vAlign w:val="bottom"/>
                </w:tcPr>
                <w:p w14:paraId="1F5B178F" w14:textId="77777777" w:rsidR="00592E56" w:rsidRPr="00EB5D55" w:rsidRDefault="003A45B4" w:rsidP="00592E56">
                  <w:pPr>
                    <w:jc w:val="right"/>
                    <w:rPr>
                      <w:rFonts w:ascii="Arial" w:hAnsi="Arial" w:cs="Arial"/>
                      <w:sz w:val="18"/>
                      <w:szCs w:val="18"/>
                    </w:rPr>
                  </w:pPr>
                  <w:r w:rsidRPr="00EB5D55">
                    <w:rPr>
                      <w:rFonts w:ascii="Arial" w:hAnsi="Arial" w:cs="Arial"/>
                      <w:sz w:val="18"/>
                      <w:szCs w:val="18"/>
                    </w:rPr>
                    <w:t>46.8</w:t>
                  </w:r>
                </w:p>
              </w:tc>
              <w:tc>
                <w:tcPr>
                  <w:tcW w:w="708" w:type="dxa"/>
                  <w:shd w:val="clear" w:color="auto" w:fill="auto"/>
                  <w:tcMar>
                    <w:left w:w="0" w:type="dxa"/>
                    <w:right w:w="0" w:type="dxa"/>
                  </w:tcMar>
                  <w:vAlign w:val="bottom"/>
                </w:tcPr>
                <w:p w14:paraId="04A38AE4" w14:textId="77777777" w:rsidR="00592E56" w:rsidRPr="00EB5D55" w:rsidRDefault="003A45B4" w:rsidP="00592E56">
                  <w:pPr>
                    <w:jc w:val="right"/>
                    <w:rPr>
                      <w:rFonts w:ascii="Arial" w:hAnsi="Arial" w:cs="Arial"/>
                      <w:sz w:val="18"/>
                      <w:szCs w:val="18"/>
                    </w:rPr>
                  </w:pPr>
                  <w:r w:rsidRPr="00EB5D55">
                    <w:rPr>
                      <w:rFonts w:ascii="Arial" w:hAnsi="Arial" w:cs="Arial"/>
                      <w:sz w:val="18"/>
                      <w:szCs w:val="18"/>
                    </w:rPr>
                    <w:t>48.2</w:t>
                  </w:r>
                </w:p>
              </w:tc>
              <w:tc>
                <w:tcPr>
                  <w:tcW w:w="709" w:type="dxa"/>
                  <w:shd w:val="clear" w:color="auto" w:fill="auto"/>
                  <w:tcMar>
                    <w:left w:w="0" w:type="dxa"/>
                    <w:right w:w="0" w:type="dxa"/>
                  </w:tcMar>
                  <w:vAlign w:val="bottom"/>
                </w:tcPr>
                <w:p w14:paraId="1113FA50" w14:textId="77777777" w:rsidR="00592E56" w:rsidRPr="00EB5D55" w:rsidRDefault="003A45B4" w:rsidP="00592E56">
                  <w:pPr>
                    <w:jc w:val="right"/>
                    <w:rPr>
                      <w:rFonts w:ascii="Arial" w:hAnsi="Arial" w:cs="Arial"/>
                      <w:sz w:val="18"/>
                      <w:szCs w:val="18"/>
                    </w:rPr>
                  </w:pPr>
                  <w:r w:rsidRPr="00EB5D55">
                    <w:rPr>
                      <w:rFonts w:ascii="Arial" w:hAnsi="Arial" w:cs="Arial"/>
                      <w:sz w:val="18"/>
                      <w:szCs w:val="18"/>
                    </w:rPr>
                    <w:t>48.9</w:t>
                  </w:r>
                </w:p>
              </w:tc>
              <w:tc>
                <w:tcPr>
                  <w:tcW w:w="709" w:type="dxa"/>
                  <w:shd w:val="clear" w:color="auto" w:fill="auto"/>
                  <w:tcMar>
                    <w:left w:w="0" w:type="dxa"/>
                    <w:right w:w="0" w:type="dxa"/>
                  </w:tcMar>
                  <w:vAlign w:val="bottom"/>
                </w:tcPr>
                <w:p w14:paraId="46768C5B" w14:textId="77777777" w:rsidR="00592E56" w:rsidRPr="00EB5D55" w:rsidRDefault="003A45B4" w:rsidP="00592E56">
                  <w:pPr>
                    <w:jc w:val="right"/>
                    <w:rPr>
                      <w:rFonts w:ascii="Arial" w:hAnsi="Arial" w:cs="Arial"/>
                      <w:sz w:val="18"/>
                      <w:szCs w:val="18"/>
                    </w:rPr>
                  </w:pPr>
                  <w:r w:rsidRPr="00EB5D55">
                    <w:rPr>
                      <w:rFonts w:ascii="Arial" w:hAnsi="Arial" w:cs="Arial"/>
                      <w:sz w:val="18"/>
                      <w:szCs w:val="18"/>
                    </w:rPr>
                    <w:t>55.9</w:t>
                  </w:r>
                </w:p>
              </w:tc>
              <w:tc>
                <w:tcPr>
                  <w:tcW w:w="709" w:type="dxa"/>
                  <w:shd w:val="clear" w:color="auto" w:fill="auto"/>
                  <w:tcMar>
                    <w:left w:w="0" w:type="dxa"/>
                    <w:right w:w="0" w:type="dxa"/>
                  </w:tcMar>
                  <w:vAlign w:val="bottom"/>
                </w:tcPr>
                <w:p w14:paraId="4CF348DD" w14:textId="77777777" w:rsidR="00592E56" w:rsidRPr="00EB5D55" w:rsidRDefault="003A45B4" w:rsidP="00592E56">
                  <w:pPr>
                    <w:jc w:val="right"/>
                    <w:rPr>
                      <w:rFonts w:ascii="Arial" w:hAnsi="Arial" w:cs="Arial"/>
                      <w:sz w:val="18"/>
                      <w:szCs w:val="18"/>
                    </w:rPr>
                  </w:pPr>
                  <w:r w:rsidRPr="00EB5D55">
                    <w:rPr>
                      <w:rFonts w:ascii="Arial" w:hAnsi="Arial" w:cs="Arial"/>
                      <w:sz w:val="18"/>
                      <w:szCs w:val="18"/>
                    </w:rPr>
                    <w:t>42.1</w:t>
                  </w:r>
                </w:p>
              </w:tc>
              <w:tc>
                <w:tcPr>
                  <w:tcW w:w="710" w:type="dxa"/>
                  <w:shd w:val="clear" w:color="auto" w:fill="auto"/>
                  <w:tcMar>
                    <w:left w:w="0" w:type="dxa"/>
                    <w:right w:w="0" w:type="dxa"/>
                  </w:tcMar>
                  <w:vAlign w:val="bottom"/>
                </w:tcPr>
                <w:p w14:paraId="2C3F1CE7" w14:textId="77777777" w:rsidR="00592E56" w:rsidRPr="00EB5D55" w:rsidRDefault="003A45B4" w:rsidP="00592E56">
                  <w:pPr>
                    <w:jc w:val="right"/>
                    <w:rPr>
                      <w:rFonts w:ascii="Arial" w:hAnsi="Arial" w:cs="Arial"/>
                      <w:sz w:val="18"/>
                      <w:szCs w:val="18"/>
                    </w:rPr>
                  </w:pPr>
                  <w:r w:rsidRPr="00EB5D55">
                    <w:rPr>
                      <w:rFonts w:ascii="Arial" w:hAnsi="Arial" w:cs="Arial"/>
                      <w:sz w:val="18"/>
                      <w:szCs w:val="18"/>
                    </w:rPr>
                    <w:t>74.9</w:t>
                  </w:r>
                </w:p>
              </w:tc>
              <w:tc>
                <w:tcPr>
                  <w:tcW w:w="709" w:type="dxa"/>
                  <w:shd w:val="clear" w:color="auto" w:fill="auto"/>
                  <w:tcMar>
                    <w:left w:w="0" w:type="dxa"/>
                    <w:right w:w="0" w:type="dxa"/>
                  </w:tcMar>
                  <w:vAlign w:val="bottom"/>
                </w:tcPr>
                <w:p w14:paraId="0C44A2DD" w14:textId="77777777" w:rsidR="00592E56" w:rsidRPr="00EB5D55" w:rsidRDefault="003A45B4" w:rsidP="00592E56">
                  <w:pPr>
                    <w:jc w:val="right"/>
                    <w:rPr>
                      <w:rFonts w:ascii="Arial" w:hAnsi="Arial" w:cs="Arial"/>
                      <w:sz w:val="18"/>
                      <w:szCs w:val="18"/>
                    </w:rPr>
                  </w:pPr>
                  <w:r w:rsidRPr="00EB5D55">
                    <w:rPr>
                      <w:rFonts w:ascii="Arial" w:hAnsi="Arial" w:cs="Arial"/>
                      <w:sz w:val="18"/>
                      <w:szCs w:val="18"/>
                    </w:rPr>
                    <w:t>48.4</w:t>
                  </w:r>
                </w:p>
              </w:tc>
            </w:tr>
            <w:tr w:rsidR="00964CD5" w:rsidRPr="00EB5D55" w14:paraId="6E73A746" w14:textId="77777777" w:rsidTr="009C459E">
              <w:tc>
                <w:tcPr>
                  <w:tcW w:w="2102" w:type="dxa"/>
                  <w:tcBorders>
                    <w:bottom w:val="single" w:sz="4" w:space="0" w:color="BFBFBF"/>
                  </w:tcBorders>
                  <w:tcMar>
                    <w:left w:w="0" w:type="dxa"/>
                    <w:right w:w="0" w:type="dxa"/>
                  </w:tcMar>
                  <w:vAlign w:val="bottom"/>
                </w:tcPr>
                <w:p w14:paraId="71106381" w14:textId="77777777" w:rsidR="00964CD5" w:rsidRPr="00EB5D55" w:rsidRDefault="00964CD5" w:rsidP="009C459E">
                  <w:pPr>
                    <w:pStyle w:val="TableBodyText"/>
                    <w:spacing w:before="40"/>
                    <w:ind w:left="0" w:right="28"/>
                    <w:jc w:val="left"/>
                    <w:rPr>
                      <w:rFonts w:asciiTheme="majorHAnsi" w:hAnsiTheme="majorHAnsi" w:cstheme="majorHAnsi"/>
                      <w:b/>
                      <w:snapToGrid w:val="0"/>
                      <w:szCs w:val="18"/>
                      <w:lang w:val="en-US"/>
                    </w:rPr>
                  </w:pPr>
                  <w:r w:rsidRPr="00EB5D55">
                    <w:rPr>
                      <w:rFonts w:asciiTheme="majorHAnsi" w:hAnsiTheme="majorHAnsi" w:cstheme="majorHAnsi"/>
                      <w:b/>
                      <w:snapToGrid w:val="0"/>
                      <w:szCs w:val="18"/>
                      <w:lang w:val="en-US"/>
                    </w:rPr>
                    <w:t>All causes</w:t>
                  </w:r>
                </w:p>
              </w:tc>
              <w:tc>
                <w:tcPr>
                  <w:tcW w:w="709" w:type="dxa"/>
                  <w:tcBorders>
                    <w:bottom w:val="single" w:sz="4" w:space="0" w:color="BFBFBF"/>
                  </w:tcBorders>
                  <w:shd w:val="clear" w:color="auto" w:fill="auto"/>
                  <w:tcMar>
                    <w:left w:w="0" w:type="dxa"/>
                    <w:right w:w="0" w:type="dxa"/>
                  </w:tcMar>
                  <w:vAlign w:val="bottom"/>
                </w:tcPr>
                <w:p w14:paraId="1CC63BF5" w14:textId="77777777" w:rsidR="00964CD5" w:rsidRPr="00EB5D55" w:rsidRDefault="00592E56" w:rsidP="003A45B4">
                  <w:pPr>
                    <w:jc w:val="right"/>
                    <w:rPr>
                      <w:rFonts w:ascii="Arial" w:hAnsi="Arial" w:cs="Arial"/>
                      <w:b/>
                      <w:bCs/>
                      <w:sz w:val="18"/>
                      <w:szCs w:val="18"/>
                    </w:rPr>
                  </w:pPr>
                  <w:r w:rsidRPr="00EB5D55">
                    <w:rPr>
                      <w:rFonts w:ascii="Arial" w:hAnsi="Arial" w:cs="Arial"/>
                      <w:b/>
                      <w:bCs/>
                      <w:sz w:val="18"/>
                      <w:szCs w:val="18"/>
                    </w:rPr>
                    <w:t>547.</w:t>
                  </w:r>
                  <w:r w:rsidR="003A45B4" w:rsidRPr="00EB5D55">
                    <w:rPr>
                      <w:rFonts w:ascii="Arial" w:hAnsi="Arial" w:cs="Arial"/>
                      <w:b/>
                      <w:bCs/>
                      <w:sz w:val="18"/>
                      <w:szCs w:val="18"/>
                    </w:rPr>
                    <w:t>5</w:t>
                  </w:r>
                </w:p>
              </w:tc>
              <w:tc>
                <w:tcPr>
                  <w:tcW w:w="709" w:type="dxa"/>
                  <w:tcBorders>
                    <w:bottom w:val="single" w:sz="4" w:space="0" w:color="BFBFBF"/>
                  </w:tcBorders>
                  <w:shd w:val="clear" w:color="auto" w:fill="auto"/>
                  <w:tcMar>
                    <w:left w:w="0" w:type="dxa"/>
                    <w:right w:w="0" w:type="dxa"/>
                  </w:tcMar>
                  <w:vAlign w:val="bottom"/>
                </w:tcPr>
                <w:p w14:paraId="7BF6F5A6" w14:textId="77777777" w:rsidR="00964CD5" w:rsidRPr="00EB5D55" w:rsidRDefault="00592E56" w:rsidP="009C459E">
                  <w:pPr>
                    <w:jc w:val="right"/>
                    <w:rPr>
                      <w:rFonts w:ascii="Arial" w:hAnsi="Arial" w:cs="Arial"/>
                      <w:b/>
                      <w:bCs/>
                      <w:sz w:val="18"/>
                      <w:szCs w:val="18"/>
                    </w:rPr>
                  </w:pPr>
                  <w:r w:rsidRPr="00EB5D55">
                    <w:rPr>
                      <w:rFonts w:ascii="Arial" w:hAnsi="Arial" w:cs="Arial"/>
                      <w:b/>
                      <w:bCs/>
                      <w:sz w:val="18"/>
                      <w:szCs w:val="18"/>
                    </w:rPr>
                    <w:t>5</w:t>
                  </w:r>
                  <w:r w:rsidR="003A45B4" w:rsidRPr="00EB5D55">
                    <w:rPr>
                      <w:rFonts w:ascii="Arial" w:hAnsi="Arial" w:cs="Arial"/>
                      <w:b/>
                      <w:bCs/>
                      <w:sz w:val="18"/>
                      <w:szCs w:val="18"/>
                    </w:rPr>
                    <w:t>38.0</w:t>
                  </w:r>
                </w:p>
              </w:tc>
              <w:tc>
                <w:tcPr>
                  <w:tcW w:w="709" w:type="dxa"/>
                  <w:tcBorders>
                    <w:bottom w:val="single" w:sz="4" w:space="0" w:color="BFBFBF"/>
                  </w:tcBorders>
                  <w:shd w:val="clear" w:color="auto" w:fill="auto"/>
                  <w:tcMar>
                    <w:left w:w="0" w:type="dxa"/>
                    <w:right w:w="0" w:type="dxa"/>
                  </w:tcMar>
                  <w:vAlign w:val="bottom"/>
                </w:tcPr>
                <w:p w14:paraId="4C3AE4BA" w14:textId="77777777" w:rsidR="00964CD5" w:rsidRPr="00EB5D55" w:rsidRDefault="003A45B4" w:rsidP="009C459E">
                  <w:pPr>
                    <w:jc w:val="right"/>
                    <w:rPr>
                      <w:rFonts w:ascii="Arial" w:hAnsi="Arial" w:cs="Arial"/>
                      <w:b/>
                      <w:bCs/>
                      <w:sz w:val="18"/>
                      <w:szCs w:val="18"/>
                    </w:rPr>
                  </w:pPr>
                  <w:r w:rsidRPr="00EB5D55">
                    <w:rPr>
                      <w:rFonts w:ascii="Arial" w:hAnsi="Arial" w:cs="Arial"/>
                      <w:b/>
                      <w:bCs/>
                      <w:sz w:val="18"/>
                      <w:szCs w:val="18"/>
                    </w:rPr>
                    <w:t>556.0</w:t>
                  </w:r>
                </w:p>
              </w:tc>
              <w:tc>
                <w:tcPr>
                  <w:tcW w:w="708" w:type="dxa"/>
                  <w:tcBorders>
                    <w:bottom w:val="single" w:sz="4" w:space="0" w:color="BFBFBF"/>
                  </w:tcBorders>
                  <w:shd w:val="clear" w:color="auto" w:fill="auto"/>
                  <w:tcMar>
                    <w:left w:w="0" w:type="dxa"/>
                    <w:right w:w="0" w:type="dxa"/>
                  </w:tcMar>
                  <w:vAlign w:val="bottom"/>
                </w:tcPr>
                <w:p w14:paraId="0A65A47E" w14:textId="77777777" w:rsidR="00964CD5" w:rsidRPr="00EB5D55" w:rsidRDefault="003A45B4" w:rsidP="009C459E">
                  <w:pPr>
                    <w:jc w:val="right"/>
                    <w:rPr>
                      <w:rFonts w:ascii="Arial" w:hAnsi="Arial" w:cs="Arial"/>
                      <w:b/>
                      <w:bCs/>
                      <w:sz w:val="18"/>
                      <w:szCs w:val="18"/>
                    </w:rPr>
                  </w:pPr>
                  <w:r w:rsidRPr="00EB5D55">
                    <w:rPr>
                      <w:rFonts w:ascii="Arial" w:hAnsi="Arial" w:cs="Arial"/>
                      <w:b/>
                      <w:bCs/>
                      <w:sz w:val="18"/>
                      <w:szCs w:val="18"/>
                    </w:rPr>
                    <w:t>525.8</w:t>
                  </w:r>
                </w:p>
              </w:tc>
              <w:tc>
                <w:tcPr>
                  <w:tcW w:w="709" w:type="dxa"/>
                  <w:tcBorders>
                    <w:bottom w:val="single" w:sz="4" w:space="0" w:color="BFBFBF"/>
                  </w:tcBorders>
                  <w:shd w:val="clear" w:color="auto" w:fill="auto"/>
                  <w:tcMar>
                    <w:left w:w="0" w:type="dxa"/>
                    <w:right w:w="0" w:type="dxa"/>
                  </w:tcMar>
                  <w:vAlign w:val="bottom"/>
                </w:tcPr>
                <w:p w14:paraId="78641EFB" w14:textId="77777777" w:rsidR="00964CD5" w:rsidRPr="00EB5D55" w:rsidRDefault="003A45B4" w:rsidP="009C459E">
                  <w:pPr>
                    <w:jc w:val="right"/>
                    <w:rPr>
                      <w:rFonts w:ascii="Arial" w:hAnsi="Arial" w:cs="Arial"/>
                      <w:b/>
                      <w:bCs/>
                      <w:sz w:val="18"/>
                      <w:szCs w:val="18"/>
                    </w:rPr>
                  </w:pPr>
                  <w:r w:rsidRPr="00EB5D55">
                    <w:rPr>
                      <w:rFonts w:ascii="Arial" w:hAnsi="Arial" w:cs="Arial"/>
                      <w:b/>
                      <w:bCs/>
                      <w:sz w:val="18"/>
                      <w:szCs w:val="18"/>
                    </w:rPr>
                    <w:t>559</w:t>
                  </w:r>
                  <w:r w:rsidR="00592E56" w:rsidRPr="00EB5D55">
                    <w:rPr>
                      <w:rFonts w:ascii="Arial" w:hAnsi="Arial" w:cs="Arial"/>
                      <w:b/>
                      <w:bCs/>
                      <w:sz w:val="18"/>
                      <w:szCs w:val="18"/>
                    </w:rPr>
                    <w:t>.2</w:t>
                  </w:r>
                </w:p>
              </w:tc>
              <w:tc>
                <w:tcPr>
                  <w:tcW w:w="709" w:type="dxa"/>
                  <w:tcBorders>
                    <w:bottom w:val="single" w:sz="4" w:space="0" w:color="BFBFBF"/>
                  </w:tcBorders>
                  <w:shd w:val="clear" w:color="auto" w:fill="auto"/>
                  <w:tcMar>
                    <w:left w:w="0" w:type="dxa"/>
                    <w:right w:w="0" w:type="dxa"/>
                  </w:tcMar>
                  <w:vAlign w:val="bottom"/>
                </w:tcPr>
                <w:p w14:paraId="34057FA4" w14:textId="77777777" w:rsidR="00964CD5" w:rsidRPr="00EB5D55" w:rsidRDefault="003A45B4" w:rsidP="009C459E">
                  <w:pPr>
                    <w:jc w:val="right"/>
                    <w:rPr>
                      <w:rFonts w:ascii="Arial" w:hAnsi="Arial" w:cs="Arial"/>
                      <w:b/>
                      <w:bCs/>
                      <w:sz w:val="18"/>
                      <w:szCs w:val="18"/>
                    </w:rPr>
                  </w:pPr>
                  <w:r w:rsidRPr="00EB5D55">
                    <w:rPr>
                      <w:rFonts w:ascii="Arial" w:hAnsi="Arial" w:cs="Arial"/>
                      <w:b/>
                      <w:bCs/>
                      <w:sz w:val="18"/>
                      <w:szCs w:val="18"/>
                    </w:rPr>
                    <w:t>642.2</w:t>
                  </w:r>
                </w:p>
              </w:tc>
              <w:tc>
                <w:tcPr>
                  <w:tcW w:w="709" w:type="dxa"/>
                  <w:tcBorders>
                    <w:bottom w:val="single" w:sz="4" w:space="0" w:color="BFBFBF"/>
                  </w:tcBorders>
                  <w:shd w:val="clear" w:color="auto" w:fill="auto"/>
                  <w:tcMar>
                    <w:left w:w="0" w:type="dxa"/>
                    <w:right w:w="0" w:type="dxa"/>
                  </w:tcMar>
                  <w:vAlign w:val="bottom"/>
                </w:tcPr>
                <w:p w14:paraId="51FE852D" w14:textId="77777777" w:rsidR="00964CD5" w:rsidRPr="00EB5D55" w:rsidRDefault="00964CD5" w:rsidP="009C459E">
                  <w:pPr>
                    <w:jc w:val="right"/>
                    <w:rPr>
                      <w:rFonts w:ascii="Arial" w:hAnsi="Arial" w:cs="Arial"/>
                      <w:b/>
                      <w:bCs/>
                      <w:sz w:val="18"/>
                      <w:szCs w:val="18"/>
                    </w:rPr>
                  </w:pPr>
                  <w:r w:rsidRPr="00EB5D55">
                    <w:rPr>
                      <w:rFonts w:ascii="Arial" w:hAnsi="Arial" w:cs="Arial"/>
                      <w:b/>
                      <w:bCs/>
                      <w:sz w:val="18"/>
                      <w:szCs w:val="18"/>
                    </w:rPr>
                    <w:t>4</w:t>
                  </w:r>
                  <w:r w:rsidR="003A45B4" w:rsidRPr="00EB5D55">
                    <w:rPr>
                      <w:rFonts w:ascii="Arial" w:hAnsi="Arial" w:cs="Arial"/>
                      <w:b/>
                      <w:bCs/>
                      <w:sz w:val="18"/>
                      <w:szCs w:val="18"/>
                    </w:rPr>
                    <w:t>81.9</w:t>
                  </w:r>
                </w:p>
              </w:tc>
              <w:tc>
                <w:tcPr>
                  <w:tcW w:w="710" w:type="dxa"/>
                  <w:tcBorders>
                    <w:bottom w:val="single" w:sz="4" w:space="0" w:color="BFBFBF"/>
                  </w:tcBorders>
                  <w:shd w:val="clear" w:color="auto" w:fill="auto"/>
                  <w:tcMar>
                    <w:left w:w="0" w:type="dxa"/>
                    <w:right w:w="0" w:type="dxa"/>
                  </w:tcMar>
                  <w:vAlign w:val="bottom"/>
                </w:tcPr>
                <w:p w14:paraId="2C47FDF1" w14:textId="77777777" w:rsidR="00964CD5" w:rsidRPr="00EB5D55" w:rsidRDefault="003A45B4" w:rsidP="009C459E">
                  <w:pPr>
                    <w:jc w:val="right"/>
                    <w:rPr>
                      <w:rFonts w:ascii="Arial" w:hAnsi="Arial" w:cs="Arial"/>
                      <w:b/>
                      <w:bCs/>
                      <w:sz w:val="18"/>
                      <w:szCs w:val="18"/>
                    </w:rPr>
                  </w:pPr>
                  <w:r w:rsidRPr="00EB5D55">
                    <w:rPr>
                      <w:rFonts w:ascii="Arial" w:hAnsi="Arial" w:cs="Arial"/>
                      <w:b/>
                      <w:bCs/>
                      <w:sz w:val="18"/>
                      <w:szCs w:val="18"/>
                    </w:rPr>
                    <w:t>797.7</w:t>
                  </w:r>
                </w:p>
              </w:tc>
              <w:tc>
                <w:tcPr>
                  <w:tcW w:w="709" w:type="dxa"/>
                  <w:tcBorders>
                    <w:bottom w:val="single" w:sz="4" w:space="0" w:color="BFBFBF"/>
                  </w:tcBorders>
                  <w:shd w:val="clear" w:color="auto" w:fill="auto"/>
                  <w:tcMar>
                    <w:left w:w="0" w:type="dxa"/>
                    <w:right w:w="0" w:type="dxa"/>
                  </w:tcMar>
                  <w:vAlign w:val="bottom"/>
                </w:tcPr>
                <w:p w14:paraId="60E5E449" w14:textId="77777777" w:rsidR="00964CD5" w:rsidRPr="00EB5D55" w:rsidRDefault="003A45B4" w:rsidP="003A45B4">
                  <w:pPr>
                    <w:jc w:val="right"/>
                    <w:rPr>
                      <w:rFonts w:ascii="Arial" w:hAnsi="Arial" w:cs="Arial"/>
                      <w:b/>
                      <w:bCs/>
                      <w:sz w:val="18"/>
                      <w:szCs w:val="18"/>
                    </w:rPr>
                  </w:pPr>
                  <w:r w:rsidRPr="00EB5D55">
                    <w:rPr>
                      <w:rFonts w:ascii="Arial" w:hAnsi="Arial" w:cs="Arial"/>
                      <w:b/>
                      <w:bCs/>
                      <w:sz w:val="18"/>
                      <w:szCs w:val="18"/>
                    </w:rPr>
                    <w:t>549</w:t>
                  </w:r>
                  <w:r w:rsidR="00964CD5" w:rsidRPr="00EB5D55">
                    <w:rPr>
                      <w:rFonts w:ascii="Arial" w:hAnsi="Arial" w:cs="Arial"/>
                      <w:b/>
                      <w:bCs/>
                      <w:sz w:val="18"/>
                      <w:szCs w:val="18"/>
                    </w:rPr>
                    <w:t>.</w:t>
                  </w:r>
                  <w:r w:rsidRPr="00EB5D55">
                    <w:rPr>
                      <w:rFonts w:ascii="Arial" w:hAnsi="Arial" w:cs="Arial"/>
                      <w:b/>
                      <w:bCs/>
                      <w:sz w:val="18"/>
                      <w:szCs w:val="18"/>
                    </w:rPr>
                    <w:t>3</w:t>
                  </w:r>
                </w:p>
              </w:tc>
            </w:tr>
          </w:tbl>
          <w:p w14:paraId="65E511B4" w14:textId="77777777" w:rsidR="00964CD5" w:rsidRPr="00EB5D55" w:rsidRDefault="00964CD5" w:rsidP="009C459E">
            <w:pPr>
              <w:pStyle w:val="Box"/>
            </w:pPr>
          </w:p>
        </w:tc>
      </w:tr>
      <w:tr w:rsidR="00964CD5" w:rsidRPr="00EB5D55" w14:paraId="6DFA229B" w14:textId="77777777" w:rsidTr="009C459E">
        <w:trPr>
          <w:cantSplit/>
        </w:trPr>
        <w:tc>
          <w:tcPr>
            <w:tcW w:w="8771" w:type="dxa"/>
            <w:tcBorders>
              <w:top w:val="nil"/>
              <w:left w:val="nil"/>
              <w:bottom w:val="nil"/>
              <w:right w:val="nil"/>
            </w:tcBorders>
            <w:shd w:val="clear" w:color="auto" w:fill="auto"/>
          </w:tcPr>
          <w:p w14:paraId="30775B66" w14:textId="2989E4D1" w:rsidR="00964CD5" w:rsidRPr="00EB5D55" w:rsidRDefault="00964CD5" w:rsidP="0019292B">
            <w:pPr>
              <w:pStyle w:val="Note"/>
            </w:pPr>
            <w:r w:rsidRPr="00EB5D55">
              <w:rPr>
                <w:rStyle w:val="NoteLabel"/>
              </w:rPr>
              <w:t>a</w:t>
            </w:r>
            <w:r w:rsidRPr="00EB5D55">
              <w:sym w:font="Symbol" w:char="F020"/>
            </w:r>
            <w:r w:rsidRPr="00EB5D55">
              <w:t xml:space="preserve">See box E.6 and table </w:t>
            </w:r>
            <w:r w:rsidR="00822C47" w:rsidRPr="00912F12">
              <w:t>EA.</w:t>
            </w:r>
            <w:r w:rsidR="0019292B" w:rsidRPr="00912F12">
              <w:t>57</w:t>
            </w:r>
            <w:r w:rsidRPr="00EB5D55">
              <w:t xml:space="preserve"> for detailed definitions, footnotes and caveats</w:t>
            </w:r>
            <w:r w:rsidRPr="00EB5D55">
              <w:rPr>
                <w:szCs w:val="18"/>
              </w:rPr>
              <w:t>.</w:t>
            </w:r>
          </w:p>
        </w:tc>
      </w:tr>
      <w:tr w:rsidR="00964CD5" w:rsidRPr="00EB5D55" w14:paraId="38DA6921" w14:textId="77777777" w:rsidTr="009C459E">
        <w:trPr>
          <w:cantSplit/>
        </w:trPr>
        <w:tc>
          <w:tcPr>
            <w:tcW w:w="8771" w:type="dxa"/>
            <w:tcBorders>
              <w:top w:val="nil"/>
              <w:left w:val="nil"/>
              <w:bottom w:val="nil"/>
              <w:right w:val="nil"/>
            </w:tcBorders>
            <w:shd w:val="clear" w:color="auto" w:fill="auto"/>
          </w:tcPr>
          <w:p w14:paraId="300E8A3F" w14:textId="579667EF" w:rsidR="00964CD5" w:rsidRPr="00EB5D55" w:rsidRDefault="00964CD5" w:rsidP="003225E5">
            <w:pPr>
              <w:pStyle w:val="Source"/>
            </w:pPr>
            <w:r w:rsidRPr="00EB5D55">
              <w:rPr>
                <w:i/>
              </w:rPr>
              <w:t>Source</w:t>
            </w:r>
            <w:r w:rsidR="0064315A" w:rsidRPr="00EB5D55">
              <w:t xml:space="preserve">: ABS </w:t>
            </w:r>
            <w:r w:rsidRPr="00EB5D55">
              <w:t>(unpublis</w:t>
            </w:r>
            <w:r w:rsidR="0064315A" w:rsidRPr="00EB5D55">
              <w:t xml:space="preserve">hed) </w:t>
            </w:r>
            <w:r w:rsidR="0064315A" w:rsidRPr="00EB5D55">
              <w:rPr>
                <w:i/>
              </w:rPr>
              <w:t xml:space="preserve">Causes of Death Australia, </w:t>
            </w:r>
            <w:r w:rsidRPr="00EB5D55">
              <w:rPr>
                <w:i/>
              </w:rPr>
              <w:t>201</w:t>
            </w:r>
            <w:r w:rsidR="003A45B4" w:rsidRPr="00EB5D55">
              <w:rPr>
                <w:i/>
              </w:rPr>
              <w:t>5</w:t>
            </w:r>
            <w:r w:rsidRPr="00EB5D55">
              <w:t>; table </w:t>
            </w:r>
            <w:r w:rsidR="0019292B" w:rsidRPr="00912F12">
              <w:t>EA.57</w:t>
            </w:r>
            <w:r w:rsidRPr="00EB5D55">
              <w:t>.</w:t>
            </w:r>
          </w:p>
        </w:tc>
      </w:tr>
      <w:tr w:rsidR="00964CD5" w:rsidRPr="00EB5D55" w14:paraId="4F2B6229" w14:textId="77777777" w:rsidTr="009C459E">
        <w:trPr>
          <w:cantSplit/>
        </w:trPr>
        <w:tc>
          <w:tcPr>
            <w:tcW w:w="8771" w:type="dxa"/>
            <w:tcBorders>
              <w:top w:val="nil"/>
              <w:left w:val="nil"/>
              <w:bottom w:val="single" w:sz="6" w:space="0" w:color="78A22F" w:themeColor="accent1"/>
              <w:right w:val="nil"/>
            </w:tcBorders>
            <w:shd w:val="clear" w:color="auto" w:fill="auto"/>
          </w:tcPr>
          <w:p w14:paraId="2DFFF374" w14:textId="77777777" w:rsidR="00964CD5" w:rsidRPr="00EB5D55" w:rsidRDefault="00964CD5" w:rsidP="009C459E">
            <w:pPr>
              <w:pStyle w:val="Box"/>
              <w:spacing w:before="0" w:line="120" w:lineRule="exact"/>
            </w:pPr>
          </w:p>
        </w:tc>
      </w:tr>
      <w:tr w:rsidR="00964CD5" w:rsidRPr="00EB5D55" w14:paraId="127D86D7" w14:textId="77777777" w:rsidTr="009C459E">
        <w:tc>
          <w:tcPr>
            <w:tcW w:w="8771" w:type="dxa"/>
            <w:tcBorders>
              <w:top w:val="single" w:sz="6" w:space="0" w:color="78A22F" w:themeColor="accent1"/>
              <w:left w:val="nil"/>
              <w:bottom w:val="nil"/>
              <w:right w:val="nil"/>
            </w:tcBorders>
          </w:tcPr>
          <w:p w14:paraId="4E61A180" w14:textId="2E137B8C" w:rsidR="00964CD5" w:rsidRPr="00EB5D55" w:rsidRDefault="00964CD5" w:rsidP="009C459E">
            <w:pPr>
              <w:pStyle w:val="BoxSpaceBelow"/>
            </w:pPr>
          </w:p>
        </w:tc>
      </w:tr>
    </w:tbl>
    <w:p w14:paraId="523CBEFF" w14:textId="77777777" w:rsidR="00624394" w:rsidRPr="00EB5D55" w:rsidRDefault="00624394" w:rsidP="00624394">
      <w:pPr>
        <w:pStyle w:val="Heading4"/>
      </w:pPr>
      <w:r w:rsidRPr="00EB5D55">
        <w:t>Perinatal death rate</w:t>
      </w:r>
    </w:p>
    <w:p w14:paraId="7F78126D" w14:textId="77777777" w:rsidR="00624394" w:rsidRPr="00EB5D55" w:rsidRDefault="00624394" w:rsidP="00624394">
      <w:pPr>
        <w:pStyle w:val="BodyText"/>
      </w:pPr>
      <w:r w:rsidRPr="00EB5D55">
        <w:t xml:space="preserve">‘Perinatal death rate’ is an indicator of governments’ objective </w:t>
      </w:r>
      <w:r w:rsidR="00F7214B" w:rsidRPr="00EB5D55">
        <w:t>that Australians are born and remain healthy</w:t>
      </w:r>
      <w:r w:rsidRPr="00EB5D55">
        <w:t xml:space="preserve"> (box E.</w:t>
      </w:r>
      <w:r w:rsidR="00EC7F7D" w:rsidRPr="00EB5D55">
        <w:t>7</w:t>
      </w:r>
      <w:r w:rsidRPr="00EB5D55">
        <w:t>).</w:t>
      </w:r>
    </w:p>
    <w:p w14:paraId="3C67DEFA" w14:textId="3C777C95" w:rsidR="00624394" w:rsidRPr="00EB5D55" w:rsidRDefault="00624394" w:rsidP="0062439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24394" w:rsidRPr="00EB5D55" w14:paraId="318A1109" w14:textId="77777777" w:rsidTr="00EC7F7D">
        <w:tc>
          <w:tcPr>
            <w:tcW w:w="8771" w:type="dxa"/>
            <w:tcBorders>
              <w:top w:val="single" w:sz="6" w:space="0" w:color="78A22F"/>
              <w:left w:val="nil"/>
              <w:bottom w:val="nil"/>
              <w:right w:val="nil"/>
            </w:tcBorders>
            <w:shd w:val="clear" w:color="auto" w:fill="F2F2F2"/>
          </w:tcPr>
          <w:p w14:paraId="77E1EE90" w14:textId="324CFF00" w:rsidR="00624394" w:rsidRPr="00EB5D55" w:rsidRDefault="00624394" w:rsidP="00624394">
            <w:pPr>
              <w:pStyle w:val="BoxTitle"/>
            </w:pPr>
            <w:r w:rsidRPr="00EB5D55">
              <w:rPr>
                <w:b w:val="0"/>
              </w:rPr>
              <w:t xml:space="preserve">Box </w:t>
            </w:r>
            <w:proofErr w:type="spellStart"/>
            <w:r w:rsidR="00F8191B" w:rsidRPr="00EB5D55">
              <w:rPr>
                <w:b w:val="0"/>
              </w:rPr>
              <w:t>E.</w:t>
            </w:r>
            <w:r w:rsidR="00FD3B62">
              <w:rPr>
                <w:b w:val="0"/>
                <w:noProof/>
              </w:rPr>
              <w:t>7</w:t>
            </w:r>
            <w:proofErr w:type="spellEnd"/>
            <w:r w:rsidRPr="00EB5D55">
              <w:tab/>
              <w:t>Perinatal death rate</w:t>
            </w:r>
          </w:p>
        </w:tc>
      </w:tr>
      <w:tr w:rsidR="00624394" w:rsidRPr="00EB5D55" w14:paraId="194AA7C9" w14:textId="77777777" w:rsidTr="00EC7F7D">
        <w:trPr>
          <w:cantSplit/>
        </w:trPr>
        <w:tc>
          <w:tcPr>
            <w:tcW w:w="8771" w:type="dxa"/>
            <w:tcBorders>
              <w:top w:val="nil"/>
              <w:left w:val="nil"/>
              <w:bottom w:val="nil"/>
              <w:right w:val="nil"/>
            </w:tcBorders>
            <w:shd w:val="clear" w:color="auto" w:fill="F2F2F2"/>
          </w:tcPr>
          <w:p w14:paraId="18BC5087" w14:textId="77777777" w:rsidR="00624394" w:rsidRPr="00EB5D55" w:rsidRDefault="00624394" w:rsidP="00EC7F7D">
            <w:pPr>
              <w:pStyle w:val="Box"/>
            </w:pPr>
            <w:r w:rsidRPr="00EB5D55">
              <w:t>‘Perinatal death rate’ is defined by the following three measures:</w:t>
            </w:r>
          </w:p>
          <w:p w14:paraId="0B69FEBF" w14:textId="77777777" w:rsidR="00624394" w:rsidRPr="00EB5D55" w:rsidRDefault="00624394" w:rsidP="00EC7F7D">
            <w:pPr>
              <w:pStyle w:val="BoxListBullet"/>
            </w:pPr>
            <w:r w:rsidRPr="00EB5D55">
              <w:t>Fetal death (stillbirth) is the birth of a child who did not at any time after delivery breathe or show any other evidence of life, such as a heartbeat. Fetal deaths by definition include only infants weighing at least 400 grams or of a gestational age of at least 20 weeks. The fetal death rate is calculated as the number of fetal deaths divided by the total number of births (live births and fetal deaths combined). The rate of fetal deaths is expressed per 1000 total births, by State or Territory of usual residence of the mother.</w:t>
            </w:r>
          </w:p>
          <w:p w14:paraId="7C5EA599" w14:textId="1ED68A94" w:rsidR="00624394" w:rsidRPr="00EB5D55" w:rsidRDefault="00624394" w:rsidP="00EC7F7D">
            <w:pPr>
              <w:pStyle w:val="BoxListBullet"/>
            </w:pPr>
            <w:r w:rsidRPr="00EB5D55">
              <w:t xml:space="preserve">Neonatal death is the death of a live born infant within 28 days of birth (see section </w:t>
            </w:r>
            <w:r w:rsidR="00142792" w:rsidRPr="00EB5D55">
              <w:t>E.5</w:t>
            </w:r>
            <w:r w:rsidRPr="00EB5D55">
              <w:t xml:space="preserve"> for a definition of a live birth). The neonatal death rate is calculated as the number of neonatal deaths divided by the number of live births registered. The rate of neonatal deaths is expressed per 1000 live births, by State or Territory of</w:t>
            </w:r>
            <w:r w:rsidR="00C76B7E" w:rsidRPr="00EB5D55">
              <w:t xml:space="preserve"> usual residence of the mother.</w:t>
            </w:r>
          </w:p>
          <w:p w14:paraId="5603D1F8" w14:textId="39252907" w:rsidR="00624394" w:rsidRPr="00EB5D55" w:rsidRDefault="00624394" w:rsidP="00EC7F7D">
            <w:pPr>
              <w:pStyle w:val="BoxListBullet"/>
            </w:pPr>
            <w:r w:rsidRPr="00EB5D55">
              <w:t>A perinatal death is a fetal or neonatal death. The perinatal death rate is calculated as the number of perinatal deaths divided by the total number of births (live births and fetal deaths combined). It is expressed per 1000 total births, by State or Territory of u</w:t>
            </w:r>
            <w:r w:rsidR="00C76B7E" w:rsidRPr="00EB5D55">
              <w:t>sual residence of the mother.</w:t>
            </w:r>
          </w:p>
          <w:p w14:paraId="6B9B0CCE" w14:textId="36E31363" w:rsidR="00624394" w:rsidRPr="00EB5D55" w:rsidRDefault="00624394" w:rsidP="00EC7F7D">
            <w:pPr>
              <w:pStyle w:val="Box"/>
            </w:pPr>
            <w:r w:rsidRPr="00EB5D55">
              <w:t>Low or decreasing death rates are desirable and can indicate high quality maternity services. The neonatal death rate tends to be higher among premature babies, so a lower neonatal death rate can also indicate a lower percentage of pre</w:t>
            </w:r>
            <w:r w:rsidR="007822E3">
              <w:noBreakHyphen/>
            </w:r>
            <w:r w:rsidRPr="00EB5D55">
              <w:t>term births.</w:t>
            </w:r>
          </w:p>
          <w:p w14:paraId="36472263" w14:textId="62893E36" w:rsidR="00624394" w:rsidRPr="00EB5D55" w:rsidRDefault="00624394" w:rsidP="00EC7F7D">
            <w:pPr>
              <w:pStyle w:val="Box"/>
            </w:pPr>
            <w:r w:rsidRPr="00EB5D55">
              <w:t>Differences in the fetal death rate across jurisdictions are likely to be due to factors outside the control of admitted patient maternity services (such as the health of mothers and the progress of pregnancy before hospital admission). To the extent that the health system influences fetal death rates, the health services that can have an influence include outpatient services, general practice services and maternity services. In jurisdictions where the number of fetal deaths is low, small annual fluctuations in the number affect t</w:t>
            </w:r>
            <w:r w:rsidR="00C76B7E" w:rsidRPr="00EB5D55">
              <w:t>he annual rate of fetal deaths.</w:t>
            </w:r>
          </w:p>
          <w:p w14:paraId="61FF0B00" w14:textId="77777777" w:rsidR="00624394" w:rsidRPr="00EB5D55" w:rsidRDefault="00624394" w:rsidP="00EC7F7D">
            <w:pPr>
              <w:pStyle w:val="Box"/>
            </w:pPr>
            <w:r w:rsidRPr="00EB5D55">
              <w:t>As for fetal deaths, a range of factors contribute to neonatal deaths. However, the influence of maternity services for admitted patients is greater for neonatal deaths than for fetal deaths, through the management of labour and the care of sick and premature babies.</w:t>
            </w:r>
          </w:p>
          <w:p w14:paraId="1055F371" w14:textId="77777777" w:rsidR="00624394" w:rsidRPr="00EB5D55" w:rsidRDefault="00624394" w:rsidP="00EC7F7D">
            <w:pPr>
              <w:pStyle w:val="Box"/>
            </w:pPr>
            <w:r w:rsidRPr="00EB5D55">
              <w:t>Data reported for this indicator are:</w:t>
            </w:r>
          </w:p>
          <w:p w14:paraId="4C68F3DE" w14:textId="77777777" w:rsidR="00624394" w:rsidRPr="00EB5D55" w:rsidRDefault="00624394" w:rsidP="00EC7F7D">
            <w:pPr>
              <w:pStyle w:val="BoxListBullet"/>
            </w:pPr>
            <w:r w:rsidRPr="00EB5D55">
              <w:t xml:space="preserve">comparable (subject to caveats) across jurisdictions and over time </w:t>
            </w:r>
          </w:p>
          <w:p w14:paraId="71605FDD" w14:textId="7F29FD41" w:rsidR="00D95A68" w:rsidRPr="00EB5D55" w:rsidRDefault="00624394" w:rsidP="00D917ED">
            <w:pPr>
              <w:pStyle w:val="BoxListBullet"/>
            </w:pPr>
            <w:r w:rsidRPr="00EB5D55">
              <w:t xml:space="preserve">complete (subject to caveats) for the current reporting period. All required </w:t>
            </w:r>
            <w:r w:rsidRPr="00BB2192">
              <w:t>201</w:t>
            </w:r>
            <w:r w:rsidR="00D917ED" w:rsidRPr="00BB2192">
              <w:t>5</w:t>
            </w:r>
            <w:r w:rsidRPr="00EB5D55">
              <w:t xml:space="preserve"> data are a</w:t>
            </w:r>
            <w:r w:rsidR="00F56402" w:rsidRPr="00EB5D55">
              <w:t>vailable for all jurisdictions.</w:t>
            </w:r>
          </w:p>
        </w:tc>
      </w:tr>
      <w:tr w:rsidR="00624394" w:rsidRPr="00EB5D55" w14:paraId="67073FB4" w14:textId="77777777" w:rsidTr="00EC7F7D">
        <w:trPr>
          <w:cantSplit/>
        </w:trPr>
        <w:tc>
          <w:tcPr>
            <w:tcW w:w="8771" w:type="dxa"/>
            <w:tcBorders>
              <w:top w:val="nil"/>
              <w:left w:val="nil"/>
              <w:bottom w:val="single" w:sz="6" w:space="0" w:color="78A22F"/>
              <w:right w:val="nil"/>
            </w:tcBorders>
            <w:shd w:val="clear" w:color="auto" w:fill="F2F2F2"/>
          </w:tcPr>
          <w:p w14:paraId="60137F4B" w14:textId="77777777" w:rsidR="00624394" w:rsidRPr="00EB5D55" w:rsidRDefault="00624394" w:rsidP="00EC7F7D">
            <w:pPr>
              <w:pStyle w:val="Box"/>
              <w:spacing w:before="0" w:line="120" w:lineRule="exact"/>
            </w:pPr>
          </w:p>
        </w:tc>
      </w:tr>
      <w:tr w:rsidR="00624394" w:rsidRPr="00EB5D55" w14:paraId="236E6BF3" w14:textId="77777777" w:rsidTr="00EC7F7D">
        <w:tc>
          <w:tcPr>
            <w:tcW w:w="8771" w:type="dxa"/>
            <w:tcBorders>
              <w:top w:val="single" w:sz="6" w:space="0" w:color="78A22F"/>
              <w:left w:val="nil"/>
              <w:bottom w:val="nil"/>
              <w:right w:val="nil"/>
            </w:tcBorders>
          </w:tcPr>
          <w:p w14:paraId="1C23C5F8" w14:textId="4EF327FC" w:rsidR="00624394" w:rsidRPr="00EB5D55" w:rsidRDefault="00624394" w:rsidP="00EC7F7D">
            <w:pPr>
              <w:pStyle w:val="BoxSpaceBelow"/>
            </w:pPr>
          </w:p>
        </w:tc>
      </w:tr>
    </w:tbl>
    <w:p w14:paraId="7478AD55" w14:textId="26456AF2" w:rsidR="00004745" w:rsidRDefault="00624394" w:rsidP="00004745">
      <w:pPr>
        <w:pStyle w:val="BodyText"/>
      </w:pPr>
      <w:r w:rsidRPr="0071087D">
        <w:t>Fetal</w:t>
      </w:r>
      <w:r w:rsidR="00004745" w:rsidRPr="0071087D">
        <w:t>, neonatal and perinatal</w:t>
      </w:r>
      <w:r w:rsidRPr="0071087D">
        <w:t xml:space="preserve"> death rates</w:t>
      </w:r>
      <w:r w:rsidR="0020787D">
        <w:t xml:space="preserve"> </w:t>
      </w:r>
      <w:r w:rsidR="0020787D" w:rsidRPr="00BB2192">
        <w:t>for 2015</w:t>
      </w:r>
      <w:r w:rsidRPr="0071087D">
        <w:t xml:space="preserve"> are reported in figure </w:t>
      </w:r>
      <w:r w:rsidR="00004745" w:rsidRPr="0071087D">
        <w:t>E</w:t>
      </w:r>
      <w:r w:rsidRPr="0071087D">
        <w:t>.</w:t>
      </w:r>
      <w:r w:rsidR="00EC7F7D" w:rsidRPr="0071087D">
        <w:t>1</w:t>
      </w:r>
      <w:r w:rsidR="0071087D" w:rsidRPr="0071087D">
        <w:t>2</w:t>
      </w:r>
      <w:r w:rsidRPr="0071087D">
        <w:t>. Fetal</w:t>
      </w:r>
      <w:r w:rsidR="00004745" w:rsidRPr="0071087D">
        <w:t>, neonatal and perinatal</w:t>
      </w:r>
      <w:r w:rsidRPr="0071087D">
        <w:t xml:space="preserve"> deaths data by the Indigenous status of the mother</w:t>
      </w:r>
      <w:r w:rsidR="0020787D">
        <w:t xml:space="preserve"> </w:t>
      </w:r>
      <w:r w:rsidR="0020787D" w:rsidRPr="00BB2192">
        <w:t>for 2010–2014</w:t>
      </w:r>
      <w:r w:rsidRPr="0071087D">
        <w:t xml:space="preserve"> are available in table </w:t>
      </w:r>
      <w:r w:rsidR="00822C47" w:rsidRPr="0071087D">
        <w:t>EA.</w:t>
      </w:r>
      <w:r w:rsidR="00857854" w:rsidRPr="0071087D">
        <w:t xml:space="preserve">62 </w:t>
      </w:r>
      <w:r w:rsidRPr="0071087D">
        <w:t>for NSW, Queensland, WA, SA and the NT only. These five states and territories are considered to have adequate levels of identification of Aboriginal and Torres Strait Islander people in mortality data.</w:t>
      </w:r>
    </w:p>
    <w:p w14:paraId="0DBD3B02" w14:textId="77777777" w:rsidR="00A57564" w:rsidRDefault="00A57564" w:rsidP="00004745">
      <w:pPr>
        <w:pStyle w:val="BodyText"/>
      </w:pPr>
    </w:p>
    <w:p w14:paraId="2F8D7473" w14:textId="77777777" w:rsidR="00A57564" w:rsidRDefault="00A57564" w:rsidP="00004745">
      <w:pPr>
        <w:pStyle w:val="BodyText"/>
      </w:pPr>
    </w:p>
    <w:p w14:paraId="60B92682" w14:textId="77777777" w:rsidR="00A57564" w:rsidRDefault="00A57564" w:rsidP="00004745">
      <w:pPr>
        <w:pStyle w:val="BodyText"/>
      </w:pPr>
    </w:p>
    <w:p w14:paraId="3A07350D" w14:textId="77777777" w:rsidR="00A57564" w:rsidRPr="00A57564" w:rsidRDefault="00A57564" w:rsidP="00A57564">
      <w:pPr>
        <w:pStyle w:val="BodyText"/>
        <w:spacing w:before="360" w:line="80" w:lineRule="exact"/>
        <w:rPr>
          <w:sz w:val="14"/>
          <w:szCs w:val="14"/>
        </w:rPr>
      </w:pPr>
    </w:p>
    <w:tbl>
      <w:tblPr>
        <w:tblW w:w="0" w:type="auto"/>
        <w:tblInd w:w="164" w:type="dxa"/>
        <w:tblLayout w:type="fixed"/>
        <w:tblCellMar>
          <w:left w:w="142" w:type="dxa"/>
          <w:right w:w="142" w:type="dxa"/>
        </w:tblCellMar>
        <w:tblLook w:val="0000" w:firstRow="0" w:lastRow="0" w:firstColumn="0" w:lastColumn="0" w:noHBand="0" w:noVBand="0"/>
      </w:tblPr>
      <w:tblGrid>
        <w:gridCol w:w="8771"/>
      </w:tblGrid>
      <w:tr w:rsidR="00A54C21" w:rsidRPr="009B3C82" w14:paraId="10E196EA" w14:textId="77777777" w:rsidTr="00A54C21">
        <w:tc>
          <w:tcPr>
            <w:tcW w:w="8771" w:type="dxa"/>
            <w:tcBorders>
              <w:top w:val="single" w:sz="6" w:space="0" w:color="78A22F"/>
            </w:tcBorders>
            <w:shd w:val="clear" w:color="auto" w:fill="auto"/>
          </w:tcPr>
          <w:p w14:paraId="1FB8D574" w14:textId="5F51DCFF" w:rsidR="00A54C21" w:rsidRPr="009B3C82" w:rsidRDefault="00A54C21" w:rsidP="00DD3ABF">
            <w:pPr>
              <w:pStyle w:val="FigureTitle"/>
            </w:pPr>
            <w:r w:rsidRPr="0071087D">
              <w:rPr>
                <w:b w:val="0"/>
              </w:rPr>
              <w:t xml:space="preserve">Figure </w:t>
            </w:r>
            <w:proofErr w:type="spellStart"/>
            <w:r w:rsidRPr="0071087D">
              <w:rPr>
                <w:b w:val="0"/>
              </w:rPr>
              <w:t>E.</w:t>
            </w:r>
            <w:r w:rsidR="00FD3B62">
              <w:rPr>
                <w:b w:val="0"/>
                <w:noProof/>
              </w:rPr>
              <w:t>12</w:t>
            </w:r>
            <w:proofErr w:type="spellEnd"/>
            <w:r w:rsidRPr="0071087D">
              <w:tab/>
            </w:r>
            <w:proofErr w:type="spellStart"/>
            <w:r>
              <w:t>Fe</w:t>
            </w:r>
            <w:r w:rsidRPr="0071087D">
              <w:t>tal</w:t>
            </w:r>
            <w:proofErr w:type="spellEnd"/>
            <w:r w:rsidRPr="0071087D">
              <w:t>, neonatal and perinatal death rates</w:t>
            </w:r>
            <w:r w:rsidRPr="0071087D">
              <w:rPr>
                <w:rStyle w:val="NoteLabel"/>
                <w:b/>
                <w:szCs w:val="20"/>
              </w:rPr>
              <w:t>a</w:t>
            </w:r>
          </w:p>
        </w:tc>
      </w:tr>
      <w:tr w:rsidR="00004745" w:rsidRPr="0071087D" w14:paraId="4145F947" w14:textId="77777777" w:rsidTr="00A54C21">
        <w:tblPrEx>
          <w:tblBorders>
            <w:top w:val="single" w:sz="6" w:space="0" w:color="78A22F"/>
            <w:left w:val="single" w:sz="6" w:space="0" w:color="78A22F"/>
            <w:bottom w:val="single" w:sz="6" w:space="0" w:color="78A22F"/>
            <w:right w:val="single" w:sz="6" w:space="0" w:color="78A22F"/>
          </w:tblBorders>
          <w:tblCellMar>
            <w:left w:w="108" w:type="dxa"/>
            <w:right w:w="108" w:type="dxa"/>
          </w:tblCellMar>
        </w:tblPrEx>
        <w:tc>
          <w:tcPr>
            <w:tcW w:w="8771" w:type="dxa"/>
            <w:tcBorders>
              <w:top w:val="nil"/>
              <w:left w:val="nil"/>
              <w:bottom w:val="nil"/>
              <w:right w:val="nil"/>
            </w:tcBorders>
            <w:shd w:val="clear" w:color="auto" w:fill="auto"/>
          </w:tcPr>
          <w:p w14:paraId="3FBC98FD" w14:textId="12F8757A" w:rsidR="00DA1909" w:rsidRPr="0071087D" w:rsidRDefault="0020787D" w:rsidP="008227A0">
            <w:pPr>
              <w:pStyle w:val="Figure"/>
              <w:keepLines/>
            </w:pPr>
            <w:r>
              <w:rPr>
                <w:noProof/>
              </w:rPr>
              <w:drawing>
                <wp:inline distT="0" distB="0" distL="0" distR="0" wp14:anchorId="60BF75AD" wp14:editId="2FA73090">
                  <wp:extent cx="5400000" cy="2190090"/>
                  <wp:effectExtent l="0" t="0" r="0" b="1270"/>
                  <wp:docPr id="10" name="Chart 10" descr="Figure E.12 Fetal, neonatal and perinatal death rates&#10;&#10;Fetal death rate&#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r w:rsidR="00D36E37" w:rsidRPr="0071087D" w14:paraId="5BA2CFA8" w14:textId="77777777" w:rsidTr="00A54C21">
        <w:tblPrEx>
          <w:tblBorders>
            <w:top w:val="single" w:sz="6" w:space="0" w:color="78A22F"/>
            <w:left w:val="single" w:sz="6" w:space="0" w:color="78A22F"/>
            <w:bottom w:val="single" w:sz="6" w:space="0" w:color="78A22F"/>
            <w:right w:val="single" w:sz="6" w:space="0" w:color="78A22F"/>
          </w:tblBorders>
          <w:tblCellMar>
            <w:left w:w="108" w:type="dxa"/>
            <w:right w:w="108" w:type="dxa"/>
          </w:tblCellMar>
        </w:tblPrEx>
        <w:tc>
          <w:tcPr>
            <w:tcW w:w="8771" w:type="dxa"/>
            <w:tcBorders>
              <w:top w:val="nil"/>
              <w:left w:val="nil"/>
              <w:bottom w:val="nil"/>
              <w:right w:val="nil"/>
            </w:tcBorders>
            <w:shd w:val="clear" w:color="auto" w:fill="auto"/>
          </w:tcPr>
          <w:p w14:paraId="3478EAB1" w14:textId="5ADAA0ED" w:rsidR="00D36E37" w:rsidRPr="0071087D" w:rsidRDefault="0020787D" w:rsidP="0097436C">
            <w:pPr>
              <w:pStyle w:val="Figure"/>
              <w:keepLines/>
              <w:rPr>
                <w:noProof/>
              </w:rPr>
            </w:pPr>
            <w:r>
              <w:rPr>
                <w:noProof/>
              </w:rPr>
              <w:drawing>
                <wp:inline distT="0" distB="0" distL="0" distR="0" wp14:anchorId="5698B576" wp14:editId="25578AC7">
                  <wp:extent cx="5400000" cy="2193900"/>
                  <wp:effectExtent l="0" t="0" r="0" b="0"/>
                  <wp:docPr id="14" name="Chart 14" descr="Figure E.12 Fetal, neonatal and perinatal death rates&#10;&#10;Neonatal death rate&#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r>
              <w:rPr>
                <w:noProof/>
              </w:rPr>
              <w:drawing>
                <wp:inline distT="0" distB="0" distL="0" distR="0" wp14:anchorId="105C97A4" wp14:editId="25E1AFF6">
                  <wp:extent cx="5400000" cy="2193900"/>
                  <wp:effectExtent l="0" t="0" r="0" b="0"/>
                  <wp:docPr id="15" name="Chart 15" descr="Figure E.12 Fetal, neonatal and perinatal death rates&#10;&#10;Perinatal death rate&#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1DD0503C" w14:textId="578F8A0C" w:rsidR="00CD1998" w:rsidRPr="0071087D" w:rsidRDefault="00CD2A46" w:rsidP="0097436C">
            <w:pPr>
              <w:pStyle w:val="Figure"/>
              <w:keepLines/>
              <w:rPr>
                <w:noProof/>
              </w:rPr>
            </w:pPr>
            <w:r>
              <w:rPr>
                <w:noProof/>
              </w:rPr>
              <w:drawing>
                <wp:inline distT="0" distB="0" distL="0" distR="0" wp14:anchorId="38AFC6DA" wp14:editId="3270A614">
                  <wp:extent cx="5548590" cy="329565"/>
                  <wp:effectExtent l="0" t="0" r="0" b="0"/>
                  <wp:docPr id="16" name="Chart 16" descr="Legend to Figure E.12 Fetal, neonatal and perinatal death rates&#10;&#10;Green: 2011 to 2014&#10;Blue: 2015&#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r w:rsidR="00004745" w:rsidRPr="0071087D" w14:paraId="375865D8" w14:textId="77777777" w:rsidTr="00A54C21">
        <w:tblPrEx>
          <w:tblBorders>
            <w:top w:val="single" w:sz="6" w:space="0" w:color="78A22F"/>
            <w:left w:val="single" w:sz="6" w:space="0" w:color="78A22F"/>
            <w:bottom w:val="single" w:sz="6" w:space="0" w:color="78A22F"/>
            <w:right w:val="single" w:sz="6" w:space="0" w:color="78A22F"/>
          </w:tblBorders>
        </w:tblPrEx>
        <w:tc>
          <w:tcPr>
            <w:tcW w:w="8771" w:type="dxa"/>
            <w:tcBorders>
              <w:top w:val="nil"/>
              <w:left w:val="nil"/>
              <w:bottom w:val="nil"/>
              <w:right w:val="nil"/>
            </w:tcBorders>
            <w:shd w:val="clear" w:color="auto" w:fill="auto"/>
          </w:tcPr>
          <w:p w14:paraId="10055346" w14:textId="72542BEE" w:rsidR="00004745" w:rsidRPr="0071087D" w:rsidRDefault="00822C47" w:rsidP="00857854">
            <w:pPr>
              <w:pStyle w:val="Note"/>
              <w:keepNext/>
            </w:pPr>
            <w:r w:rsidRPr="0071087D">
              <w:t xml:space="preserve"> See box E.7 and table EA.</w:t>
            </w:r>
            <w:r w:rsidR="00857854" w:rsidRPr="0071087D">
              <w:t>59</w:t>
            </w:r>
            <w:r w:rsidR="006F0EAE" w:rsidRPr="0071087D">
              <w:t>–6</w:t>
            </w:r>
            <w:r w:rsidR="00857854" w:rsidRPr="0071087D">
              <w:t>1</w:t>
            </w:r>
            <w:r w:rsidR="00004745" w:rsidRPr="0071087D">
              <w:t xml:space="preserve"> for detailed definitions, footnotes and caveats.</w:t>
            </w:r>
          </w:p>
        </w:tc>
      </w:tr>
      <w:tr w:rsidR="00004745" w:rsidRPr="0071087D" w14:paraId="4058C9B2" w14:textId="77777777" w:rsidTr="00A54C21">
        <w:tblPrEx>
          <w:tblBorders>
            <w:top w:val="single" w:sz="6" w:space="0" w:color="78A22F"/>
            <w:left w:val="single" w:sz="6" w:space="0" w:color="78A22F"/>
            <w:bottom w:val="single" w:sz="6" w:space="0" w:color="78A22F"/>
            <w:right w:val="single" w:sz="6" w:space="0" w:color="78A22F"/>
          </w:tblBorders>
        </w:tblPrEx>
        <w:tc>
          <w:tcPr>
            <w:tcW w:w="8771" w:type="dxa"/>
            <w:tcBorders>
              <w:top w:val="nil"/>
              <w:left w:val="nil"/>
              <w:bottom w:val="nil"/>
              <w:right w:val="nil"/>
            </w:tcBorders>
            <w:shd w:val="clear" w:color="auto" w:fill="auto"/>
          </w:tcPr>
          <w:p w14:paraId="5547D8E6" w14:textId="61A7AAE2" w:rsidR="00004745" w:rsidRPr="0071087D" w:rsidRDefault="00004745" w:rsidP="0020787D">
            <w:pPr>
              <w:pStyle w:val="Source"/>
              <w:keepNext/>
            </w:pPr>
            <w:r w:rsidRPr="0071087D">
              <w:rPr>
                <w:i/>
              </w:rPr>
              <w:t>Source</w:t>
            </w:r>
            <w:r w:rsidRPr="0071087D">
              <w:t xml:space="preserve">: </w:t>
            </w:r>
            <w:r w:rsidR="0020787D" w:rsidRPr="00EB5D55">
              <w:t xml:space="preserve">ABS (2016) </w:t>
            </w:r>
            <w:r w:rsidR="0020787D">
              <w:rPr>
                <w:i/>
              </w:rPr>
              <w:t>Causes of d</w:t>
            </w:r>
            <w:r w:rsidR="0020787D" w:rsidRPr="00EB5D55">
              <w:rPr>
                <w:i/>
              </w:rPr>
              <w:t>eaths, Australia, 2015</w:t>
            </w:r>
            <w:r w:rsidR="0020787D" w:rsidRPr="00EB5D55">
              <w:t>, Cat. no. 3302.0</w:t>
            </w:r>
            <w:r w:rsidRPr="0071087D">
              <w:t>; table EA.</w:t>
            </w:r>
            <w:r w:rsidR="00857854" w:rsidRPr="0071087D">
              <w:t>59</w:t>
            </w:r>
            <w:r w:rsidR="006F0EAE" w:rsidRPr="0071087D">
              <w:t>–6</w:t>
            </w:r>
            <w:r w:rsidR="00857854" w:rsidRPr="0071087D">
              <w:t>1</w:t>
            </w:r>
            <w:r w:rsidRPr="0071087D">
              <w:t>.</w:t>
            </w:r>
          </w:p>
        </w:tc>
      </w:tr>
      <w:tr w:rsidR="00004745" w:rsidRPr="0071087D" w14:paraId="5CAEE5BC" w14:textId="77777777" w:rsidTr="00A54C21">
        <w:tblPrEx>
          <w:tblBorders>
            <w:top w:val="single" w:sz="6" w:space="0" w:color="78A22F"/>
            <w:left w:val="single" w:sz="6" w:space="0" w:color="78A22F"/>
            <w:bottom w:val="single" w:sz="6" w:space="0" w:color="78A22F"/>
            <w:right w:val="single" w:sz="6" w:space="0" w:color="78A22F"/>
          </w:tblBorders>
        </w:tblPrEx>
        <w:tc>
          <w:tcPr>
            <w:tcW w:w="8771" w:type="dxa"/>
            <w:tcBorders>
              <w:top w:val="nil"/>
              <w:left w:val="nil"/>
              <w:bottom w:val="single" w:sz="6" w:space="0" w:color="78A22F"/>
              <w:right w:val="nil"/>
            </w:tcBorders>
            <w:shd w:val="clear" w:color="auto" w:fill="auto"/>
          </w:tcPr>
          <w:p w14:paraId="293E78D9" w14:textId="77777777" w:rsidR="00004745" w:rsidRPr="0071087D" w:rsidRDefault="00004745" w:rsidP="00EE35B1">
            <w:pPr>
              <w:pStyle w:val="Figurespace"/>
              <w:keepLines/>
            </w:pPr>
          </w:p>
        </w:tc>
      </w:tr>
      <w:tr w:rsidR="00004745" w:rsidRPr="0071087D" w14:paraId="537BBAA1" w14:textId="77777777" w:rsidTr="00A54C21">
        <w:tblPrEx>
          <w:tblBorders>
            <w:top w:val="single" w:sz="6" w:space="0" w:color="78A22F"/>
            <w:left w:val="single" w:sz="6" w:space="0" w:color="78A22F"/>
            <w:bottom w:val="single" w:sz="6" w:space="0" w:color="78A22F"/>
            <w:right w:val="single" w:sz="6" w:space="0" w:color="78A22F"/>
          </w:tblBorders>
        </w:tblPrEx>
        <w:tc>
          <w:tcPr>
            <w:tcW w:w="8771" w:type="dxa"/>
            <w:tcBorders>
              <w:top w:val="single" w:sz="6" w:space="0" w:color="78A22F"/>
              <w:left w:val="nil"/>
              <w:bottom w:val="nil"/>
              <w:right w:val="nil"/>
            </w:tcBorders>
          </w:tcPr>
          <w:p w14:paraId="3CB05362" w14:textId="1A9DE2D6" w:rsidR="00004745" w:rsidRPr="0071087D" w:rsidRDefault="00004745" w:rsidP="00EE35B1">
            <w:pPr>
              <w:pStyle w:val="BoxSpaceBelow"/>
            </w:pPr>
          </w:p>
        </w:tc>
      </w:tr>
    </w:tbl>
    <w:p w14:paraId="4CB39F22" w14:textId="77777777" w:rsidR="00252A63" w:rsidRPr="0071087D" w:rsidRDefault="00252A63" w:rsidP="001379CF">
      <w:pPr>
        <w:pStyle w:val="Heading4"/>
      </w:pPr>
      <w:r w:rsidRPr="0071087D">
        <w:lastRenderedPageBreak/>
        <w:t>Employed health practitioners</w:t>
      </w:r>
    </w:p>
    <w:p w14:paraId="21ECC3BB" w14:textId="77777777" w:rsidR="00252A63" w:rsidRPr="0071087D" w:rsidRDefault="00252A63" w:rsidP="001379CF">
      <w:pPr>
        <w:pStyle w:val="BodyText"/>
      </w:pPr>
      <w:r w:rsidRPr="0071087D">
        <w:t>‘Employed health practitioners’ is an indicator of governments’ objective that Australians have a sustainable health system (box E.</w:t>
      </w:r>
      <w:r w:rsidR="00E77900" w:rsidRPr="0071087D">
        <w:t>8</w:t>
      </w:r>
      <w:r w:rsidRPr="0071087D">
        <w:t>).</w:t>
      </w:r>
    </w:p>
    <w:p w14:paraId="131D9163" w14:textId="356F819C" w:rsidR="00792D8E" w:rsidRPr="0071087D" w:rsidRDefault="00792D8E" w:rsidP="00792D8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92D8E" w:rsidRPr="0071087D" w14:paraId="1092D4E6" w14:textId="77777777" w:rsidTr="009C459E">
        <w:tc>
          <w:tcPr>
            <w:tcW w:w="8771" w:type="dxa"/>
            <w:tcBorders>
              <w:top w:val="single" w:sz="6" w:space="0" w:color="78A22F"/>
              <w:left w:val="nil"/>
              <w:bottom w:val="nil"/>
              <w:right w:val="nil"/>
            </w:tcBorders>
            <w:shd w:val="clear" w:color="auto" w:fill="F2F2F2" w:themeFill="background1" w:themeFillShade="F2"/>
          </w:tcPr>
          <w:p w14:paraId="705F3C22" w14:textId="0A7336B9" w:rsidR="00792D8E" w:rsidRPr="0071087D" w:rsidRDefault="00792D8E" w:rsidP="00E77900">
            <w:pPr>
              <w:pStyle w:val="BoxTitle"/>
            </w:pPr>
            <w:r w:rsidRPr="0071087D">
              <w:rPr>
                <w:b w:val="0"/>
              </w:rPr>
              <w:t xml:space="preserve">Box </w:t>
            </w:r>
            <w:proofErr w:type="spellStart"/>
            <w:r w:rsidR="00F8191B" w:rsidRPr="0071087D">
              <w:rPr>
                <w:b w:val="0"/>
              </w:rPr>
              <w:t>E.</w:t>
            </w:r>
            <w:r w:rsidR="00FD3B62">
              <w:rPr>
                <w:b w:val="0"/>
                <w:noProof/>
              </w:rPr>
              <w:t>8</w:t>
            </w:r>
            <w:proofErr w:type="spellEnd"/>
            <w:r w:rsidRPr="0071087D">
              <w:tab/>
              <w:t>Employed health practitioners</w:t>
            </w:r>
          </w:p>
        </w:tc>
      </w:tr>
      <w:tr w:rsidR="00792D8E" w:rsidRPr="0071087D" w14:paraId="2B111B98" w14:textId="77777777" w:rsidTr="009C459E">
        <w:trPr>
          <w:cantSplit/>
        </w:trPr>
        <w:tc>
          <w:tcPr>
            <w:tcW w:w="8771" w:type="dxa"/>
            <w:tcBorders>
              <w:top w:val="nil"/>
              <w:left w:val="nil"/>
              <w:bottom w:val="nil"/>
              <w:right w:val="nil"/>
            </w:tcBorders>
            <w:shd w:val="clear" w:color="auto" w:fill="F2F2F2" w:themeFill="background1" w:themeFillShade="F2"/>
          </w:tcPr>
          <w:p w14:paraId="6BFE286F" w14:textId="77777777" w:rsidR="00792D8E" w:rsidRPr="0071087D" w:rsidRDefault="00792D8E" w:rsidP="009C459E">
            <w:pPr>
              <w:pStyle w:val="Box"/>
            </w:pPr>
            <w:r w:rsidRPr="0071087D">
              <w:t>‘Employed health practitioners’ is defined by three measures:</w:t>
            </w:r>
          </w:p>
          <w:p w14:paraId="106222F6" w14:textId="77777777" w:rsidR="00792D8E" w:rsidRPr="0071087D" w:rsidRDefault="00792D8E" w:rsidP="00792D8E">
            <w:pPr>
              <w:pStyle w:val="BoxListBullet"/>
            </w:pPr>
            <w:r w:rsidRPr="0071087D">
              <w:t>full time equivalent employed health practitioners divided by the population</w:t>
            </w:r>
          </w:p>
          <w:p w14:paraId="1FE3FBEE" w14:textId="77777777" w:rsidR="00792D8E" w:rsidRPr="0071087D" w:rsidRDefault="00792D8E" w:rsidP="00792D8E">
            <w:pPr>
              <w:pStyle w:val="BoxListBullet"/>
            </w:pPr>
            <w:r w:rsidRPr="0071087D">
              <w:t>the proportion of full time equivalent employed health pr</w:t>
            </w:r>
            <w:r w:rsidR="0064315A" w:rsidRPr="0071087D">
              <w:t xml:space="preserve">actitioners under the age of 45 </w:t>
            </w:r>
            <w:r w:rsidRPr="0071087D">
              <w:t>years</w:t>
            </w:r>
          </w:p>
          <w:p w14:paraId="084494A8" w14:textId="77777777" w:rsidR="00792D8E" w:rsidRPr="0071087D" w:rsidRDefault="00792D8E" w:rsidP="00792D8E">
            <w:pPr>
              <w:pStyle w:val="BoxListBullet"/>
            </w:pPr>
            <w:r w:rsidRPr="0071087D">
              <w:t>the average annual growth in full time equivalent employed health practitioners.</w:t>
            </w:r>
          </w:p>
          <w:p w14:paraId="4A07B78A" w14:textId="37150B42" w:rsidR="00792D8E" w:rsidRPr="0071087D" w:rsidRDefault="00792D8E" w:rsidP="009C459E">
            <w:pPr>
              <w:pStyle w:val="Box"/>
            </w:pPr>
            <w:r w:rsidRPr="0071087D">
              <w:t>Health practitioner data in this Report are for employed medical practitioners and nurses/midwives, with some limited data available for employed allied health professionals.</w:t>
            </w:r>
          </w:p>
          <w:p w14:paraId="2519000D" w14:textId="77777777" w:rsidR="00792D8E" w:rsidRPr="0071087D" w:rsidRDefault="00792D8E" w:rsidP="009C459E">
            <w:pPr>
              <w:pStyle w:val="Box"/>
            </w:pPr>
            <w:r w:rsidRPr="0071087D">
              <w:t>High or increasing rates for measures of employed health practitioners can give an indication of the sustainability of the health system and its ability to respond and adapt to future needs.</w:t>
            </w:r>
          </w:p>
          <w:p w14:paraId="4B23C12C" w14:textId="77777777" w:rsidR="00792D8E" w:rsidRPr="0071087D" w:rsidRDefault="00792D8E" w:rsidP="009C459E">
            <w:pPr>
              <w:pStyle w:val="Box"/>
            </w:pPr>
            <w:r w:rsidRPr="0071087D">
              <w:t>Data reported for this indicator are:</w:t>
            </w:r>
          </w:p>
          <w:p w14:paraId="35B695A5" w14:textId="77777777" w:rsidR="00792D8E" w:rsidRPr="0071087D" w:rsidRDefault="00792D8E" w:rsidP="00792D8E">
            <w:pPr>
              <w:pStyle w:val="BoxListBullet"/>
            </w:pPr>
            <w:r w:rsidRPr="0071087D">
              <w:t>comparable (subject to caveats) across jurisdictions and over time</w:t>
            </w:r>
          </w:p>
          <w:p w14:paraId="38979A8E" w14:textId="77777777" w:rsidR="00792D8E" w:rsidRPr="0071087D" w:rsidRDefault="00792D8E" w:rsidP="00792D8E">
            <w:pPr>
              <w:pStyle w:val="BoxListBullet"/>
            </w:pPr>
            <w:r w:rsidRPr="0071087D">
              <w:t>complete (subject to caveats) for the current reporting period. All required 201</w:t>
            </w:r>
            <w:r w:rsidR="00A007D9" w:rsidRPr="0071087D">
              <w:t>5</w:t>
            </w:r>
            <w:r w:rsidRPr="0071087D">
              <w:t xml:space="preserve"> data are a</w:t>
            </w:r>
            <w:r w:rsidR="00A007D9" w:rsidRPr="0071087D">
              <w:t>vailable for all jurisdictions.</w:t>
            </w:r>
          </w:p>
        </w:tc>
      </w:tr>
      <w:tr w:rsidR="00792D8E" w:rsidRPr="0071087D" w14:paraId="54E25C8A" w14:textId="77777777" w:rsidTr="009C459E">
        <w:trPr>
          <w:cantSplit/>
        </w:trPr>
        <w:tc>
          <w:tcPr>
            <w:tcW w:w="8771" w:type="dxa"/>
            <w:tcBorders>
              <w:top w:val="nil"/>
              <w:left w:val="nil"/>
              <w:bottom w:val="single" w:sz="6" w:space="0" w:color="78A22F"/>
              <w:right w:val="nil"/>
            </w:tcBorders>
            <w:shd w:val="clear" w:color="auto" w:fill="F2F2F2" w:themeFill="background1" w:themeFillShade="F2"/>
          </w:tcPr>
          <w:p w14:paraId="4A5C602C" w14:textId="77777777" w:rsidR="00792D8E" w:rsidRPr="0071087D" w:rsidRDefault="00792D8E" w:rsidP="009C459E">
            <w:pPr>
              <w:pStyle w:val="Box"/>
              <w:spacing w:before="0" w:line="120" w:lineRule="exact"/>
            </w:pPr>
          </w:p>
        </w:tc>
      </w:tr>
      <w:tr w:rsidR="00792D8E" w:rsidRPr="0071087D" w14:paraId="56B1B8E8" w14:textId="77777777" w:rsidTr="009C459E">
        <w:tc>
          <w:tcPr>
            <w:tcW w:w="8771" w:type="dxa"/>
            <w:tcBorders>
              <w:top w:val="single" w:sz="6" w:space="0" w:color="78A22F"/>
              <w:left w:val="nil"/>
              <w:bottom w:val="nil"/>
              <w:right w:val="nil"/>
            </w:tcBorders>
          </w:tcPr>
          <w:p w14:paraId="0B04EAD6" w14:textId="11CC060E" w:rsidR="00792D8E" w:rsidRPr="0071087D" w:rsidRDefault="00792D8E" w:rsidP="009C459E">
            <w:pPr>
              <w:pStyle w:val="BoxSpaceBelow"/>
            </w:pPr>
          </w:p>
        </w:tc>
      </w:tr>
    </w:tbl>
    <w:p w14:paraId="1BBD4EBA" w14:textId="588C222D" w:rsidR="00252A63" w:rsidRPr="0071087D" w:rsidRDefault="00252A63" w:rsidP="001379CF">
      <w:pPr>
        <w:pStyle w:val="BodyText"/>
      </w:pPr>
      <w:r w:rsidRPr="0071087D">
        <w:t>In 201</w:t>
      </w:r>
      <w:r w:rsidR="00A007D9" w:rsidRPr="0071087D">
        <w:t>5</w:t>
      </w:r>
      <w:r w:rsidRPr="0071087D">
        <w:t xml:space="preserve">, there were </w:t>
      </w:r>
      <w:r w:rsidR="009A5D4C" w:rsidRPr="006C4643">
        <w:t>392.3</w:t>
      </w:r>
      <w:r w:rsidR="009A5D4C">
        <w:t xml:space="preserve"> </w:t>
      </w:r>
      <w:r w:rsidR="00792D8E" w:rsidRPr="0071087D">
        <w:t>full time equivalent (FTE</w:t>
      </w:r>
      <w:r w:rsidRPr="0071087D">
        <w:t xml:space="preserve">) employed medical practitioners </w:t>
      </w:r>
      <w:r w:rsidR="0064315A" w:rsidRPr="0071087D">
        <w:br/>
        <w:t xml:space="preserve">per 100 000 people (figure </w:t>
      </w:r>
      <w:r w:rsidRPr="0071087D">
        <w:t>E.1</w:t>
      </w:r>
      <w:r w:rsidR="0071087D">
        <w:t>3</w:t>
      </w:r>
      <w:r w:rsidRPr="0071087D">
        <w:t>). The majority of employed medical practitioners (commonly referred to as doctors) that were employed in</w:t>
      </w:r>
      <w:r w:rsidR="0064315A" w:rsidRPr="0071087D">
        <w:t xml:space="preserve"> medicine were clinicians </w:t>
      </w:r>
      <w:r w:rsidR="0064315A" w:rsidRPr="0071087D">
        <w:br/>
        <w:t>(</w:t>
      </w:r>
      <w:r w:rsidR="00E70DAE" w:rsidRPr="006C4643">
        <w:t>95.6</w:t>
      </w:r>
      <w:r w:rsidR="0064315A" w:rsidRPr="0071087D">
        <w:t xml:space="preserve"> per </w:t>
      </w:r>
      <w:r w:rsidRPr="0071087D">
        <w:t>cent) and the majority of clinicians were either GPs (</w:t>
      </w:r>
      <w:r w:rsidR="00E70DAE" w:rsidRPr="006C4643">
        <w:t>28.5</w:t>
      </w:r>
      <w:r w:rsidR="00E70DAE" w:rsidRPr="0071087D">
        <w:t xml:space="preserve"> </w:t>
      </w:r>
      <w:r w:rsidRPr="0071087D">
        <w:t>per cent) or specialists (</w:t>
      </w:r>
      <w:r w:rsidR="00E70DAE" w:rsidRPr="006C4643">
        <w:t>34.2</w:t>
      </w:r>
      <w:r w:rsidR="00E70DAE" w:rsidRPr="0071087D">
        <w:t xml:space="preserve"> </w:t>
      </w:r>
      <w:r w:rsidR="009A5D4C">
        <w:t>per cent) (</w:t>
      </w:r>
      <w:r w:rsidR="009A5D4C" w:rsidRPr="006C4643">
        <w:t>AIHW 2016d</w:t>
      </w:r>
      <w:r w:rsidRPr="0071087D">
        <w:t>).</w:t>
      </w:r>
    </w:p>
    <w:p w14:paraId="4882091D" w14:textId="16285E59" w:rsidR="00252A63" w:rsidRPr="0071087D" w:rsidRDefault="00252A63" w:rsidP="001379CF">
      <w:pPr>
        <w:pStyle w:val="BodyText"/>
      </w:pPr>
      <w:r w:rsidRPr="0071087D">
        <w:t>In 201</w:t>
      </w:r>
      <w:r w:rsidR="00A007D9" w:rsidRPr="0071087D">
        <w:t>5</w:t>
      </w:r>
      <w:r w:rsidRPr="0071087D">
        <w:t xml:space="preserve">, the number of nurses and midwives </w:t>
      </w:r>
      <w:r w:rsidR="0064315A" w:rsidRPr="0071087D">
        <w:t xml:space="preserve">registered in Australia was </w:t>
      </w:r>
      <w:r w:rsidR="00E70DAE" w:rsidRPr="006C4643">
        <w:t>360 008</w:t>
      </w:r>
      <w:r w:rsidR="0064315A" w:rsidRPr="0071087D">
        <w:t xml:space="preserve">, of whom </w:t>
      </w:r>
      <w:r w:rsidR="00E70DAE" w:rsidRPr="006C4643">
        <w:t>307 104</w:t>
      </w:r>
      <w:r w:rsidR="001601D1" w:rsidRPr="0071087D">
        <w:t xml:space="preserve"> </w:t>
      </w:r>
      <w:r w:rsidRPr="0071087D">
        <w:t xml:space="preserve">were employed (equating to </w:t>
      </w:r>
      <w:r w:rsidR="00F72D43" w:rsidRPr="006C4643">
        <w:t>1291</w:t>
      </w:r>
      <w:r w:rsidRPr="0071087D">
        <w:t xml:space="preserve"> per 100 000 population). The majority of employed nurses and midwives were clinicians (</w:t>
      </w:r>
      <w:r w:rsidR="00F72D43" w:rsidRPr="006C4643">
        <w:t>90.4</w:t>
      </w:r>
      <w:r w:rsidR="00F72D43" w:rsidRPr="0071087D">
        <w:t xml:space="preserve"> </w:t>
      </w:r>
      <w:r w:rsidRPr="0071087D">
        <w:t>per cent) (</w:t>
      </w:r>
      <w:r w:rsidRPr="006C4643">
        <w:t>AIHW 201</w:t>
      </w:r>
      <w:r w:rsidR="001601D1" w:rsidRPr="006C4643">
        <w:t>6</w:t>
      </w:r>
      <w:r w:rsidRPr="006C4643">
        <w:t>c</w:t>
      </w:r>
      <w:r w:rsidRPr="0071087D">
        <w:t>). The number of FTE emplo</w:t>
      </w:r>
      <w:r w:rsidR="0064315A" w:rsidRPr="0071087D">
        <w:t xml:space="preserve">yed nurses and midwives per 100 </w:t>
      </w:r>
      <w:r w:rsidRPr="0071087D">
        <w:t>000 people by jurisdiction is illustrated for 2011 to 201</w:t>
      </w:r>
      <w:r w:rsidR="001601D1" w:rsidRPr="0071087D">
        <w:t>5</w:t>
      </w:r>
      <w:r w:rsidRPr="0071087D">
        <w:t xml:space="preserve"> in figure E.1</w:t>
      </w:r>
      <w:r w:rsidR="0071087D" w:rsidRPr="0071087D">
        <w:t>4</w:t>
      </w:r>
      <w:r w:rsidR="0019292B" w:rsidRPr="00D9299A">
        <w:t xml:space="preserve"> </w:t>
      </w:r>
      <w:r w:rsidR="0019292B" w:rsidRPr="006C4643">
        <w:t>and table EA.64</w:t>
      </w:r>
      <w:r w:rsidR="001601D1" w:rsidRPr="0071087D">
        <w:t>.</w:t>
      </w:r>
    </w:p>
    <w:p w14:paraId="39559670" w14:textId="5624F745" w:rsidR="00536958" w:rsidRDefault="00536958" w:rsidP="00536958">
      <w:pPr>
        <w:pStyle w:val="BodyText"/>
      </w:pPr>
      <w:r>
        <w:t xml:space="preserve">Nationally there </w:t>
      </w:r>
      <w:r w:rsidRPr="00103653">
        <w:t>were 435.9 FTE employed</w:t>
      </w:r>
      <w:r>
        <w:t xml:space="preserve"> allied health practitioners per 100 000 people in 2014 (table EA.65). No data were available for 2015.</w:t>
      </w:r>
    </w:p>
    <w:p w14:paraId="7CAE8CD3" w14:textId="38155935" w:rsidR="006C4643" w:rsidRPr="0071087D" w:rsidRDefault="006C4643" w:rsidP="006C464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C4643" w:rsidRPr="0071087D" w14:paraId="4ED4C59A" w14:textId="77777777" w:rsidTr="006C4643">
        <w:tc>
          <w:tcPr>
            <w:tcW w:w="8771" w:type="dxa"/>
            <w:tcBorders>
              <w:top w:val="single" w:sz="6" w:space="0" w:color="78A22F"/>
              <w:left w:val="nil"/>
              <w:bottom w:val="nil"/>
              <w:right w:val="nil"/>
            </w:tcBorders>
            <w:shd w:val="clear" w:color="auto" w:fill="auto"/>
          </w:tcPr>
          <w:p w14:paraId="4F5D716A" w14:textId="26856EBE" w:rsidR="006C4643" w:rsidRPr="0071087D" w:rsidRDefault="006C4643" w:rsidP="006C4643">
            <w:pPr>
              <w:pStyle w:val="FigureTitle"/>
            </w:pPr>
            <w:r w:rsidRPr="0071087D">
              <w:rPr>
                <w:b w:val="0"/>
              </w:rPr>
              <w:t xml:space="preserve">Figure </w:t>
            </w:r>
            <w:proofErr w:type="spellStart"/>
            <w:r w:rsidRPr="0071087D">
              <w:rPr>
                <w:b w:val="0"/>
              </w:rPr>
              <w:t>E.</w:t>
            </w:r>
            <w:r w:rsidR="00FD3B62">
              <w:rPr>
                <w:b w:val="0"/>
                <w:noProof/>
              </w:rPr>
              <w:t>13</w:t>
            </w:r>
            <w:proofErr w:type="spellEnd"/>
            <w:r w:rsidRPr="0071087D">
              <w:tab/>
              <w:t>Full time equivalent employed medical practitioners</w:t>
            </w:r>
            <w:r w:rsidRPr="0071087D">
              <w:rPr>
                <w:rStyle w:val="NoteLabel"/>
                <w:b/>
              </w:rPr>
              <w:t>a</w:t>
            </w:r>
          </w:p>
        </w:tc>
      </w:tr>
      <w:tr w:rsidR="00792D8E" w:rsidRPr="0071087D" w14:paraId="35697A39" w14:textId="77777777" w:rsidTr="009C459E">
        <w:tc>
          <w:tcPr>
            <w:tcW w:w="8771" w:type="dxa"/>
            <w:tcBorders>
              <w:top w:val="nil"/>
              <w:left w:val="nil"/>
              <w:bottom w:val="nil"/>
              <w:right w:val="nil"/>
            </w:tcBorders>
            <w:shd w:val="clear" w:color="auto" w:fill="auto"/>
            <w:tcMar>
              <w:top w:w="28" w:type="dxa"/>
              <w:bottom w:w="28" w:type="dxa"/>
            </w:tcMar>
          </w:tcPr>
          <w:tbl>
            <w:tblPr>
              <w:tblW w:w="8625" w:type="dxa"/>
              <w:tblBorders>
                <w:left w:val="single" w:sz="4" w:space="0" w:color="auto"/>
              </w:tblBorders>
              <w:tblLayout w:type="fixed"/>
              <w:tblCellMar>
                <w:top w:w="28" w:type="dxa"/>
              </w:tblCellMar>
              <w:tblLook w:val="0000" w:firstRow="0" w:lastRow="0" w:firstColumn="0" w:lastColumn="0" w:noHBand="0" w:noVBand="0"/>
            </w:tblPr>
            <w:tblGrid>
              <w:gridCol w:w="8625"/>
            </w:tblGrid>
            <w:tr w:rsidR="00792D8E" w:rsidRPr="0071087D" w14:paraId="37C9CCAD" w14:textId="77777777" w:rsidTr="00357AE7">
              <w:tc>
                <w:tcPr>
                  <w:tcW w:w="8625" w:type="dxa"/>
                  <w:tcBorders>
                    <w:left w:val="nil"/>
                  </w:tcBorders>
                </w:tcPr>
                <w:p w14:paraId="61E56112" w14:textId="6DC8F1A7" w:rsidR="00792D8E" w:rsidRPr="0071087D" w:rsidRDefault="00357AE7" w:rsidP="009C459E">
                  <w:pPr>
                    <w:pStyle w:val="Figure"/>
                    <w:spacing w:before="60" w:after="60"/>
                  </w:pPr>
                  <w:r>
                    <w:rPr>
                      <w:noProof/>
                    </w:rPr>
                    <w:drawing>
                      <wp:inline distT="0" distB="0" distL="0" distR="0" wp14:anchorId="50EB82B6" wp14:editId="1D43A5A1">
                        <wp:extent cx="5400000" cy="2700000"/>
                        <wp:effectExtent l="0" t="0" r="0" b="5715"/>
                        <wp:docPr id="2" name="Chart 2" descr="Figure E.13 Full time equivalent employed medical practitioners&#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r>
          </w:tbl>
          <w:p w14:paraId="53BDDA38" w14:textId="77777777" w:rsidR="00792D8E" w:rsidRPr="0071087D" w:rsidRDefault="00792D8E" w:rsidP="009C459E">
            <w:pPr>
              <w:pStyle w:val="Figure"/>
            </w:pPr>
          </w:p>
        </w:tc>
      </w:tr>
      <w:tr w:rsidR="00792D8E" w:rsidRPr="0071087D" w14:paraId="745CC21F" w14:textId="77777777" w:rsidTr="009C459E">
        <w:tc>
          <w:tcPr>
            <w:tcW w:w="8771" w:type="dxa"/>
            <w:tcBorders>
              <w:top w:val="nil"/>
              <w:left w:val="nil"/>
              <w:bottom w:val="nil"/>
              <w:right w:val="nil"/>
            </w:tcBorders>
            <w:shd w:val="clear" w:color="auto" w:fill="auto"/>
          </w:tcPr>
          <w:p w14:paraId="2A82BB6B" w14:textId="7A68A72D" w:rsidR="00792D8E" w:rsidRPr="0071087D" w:rsidRDefault="00792D8E" w:rsidP="00857854">
            <w:pPr>
              <w:pStyle w:val="Note"/>
              <w:rPr>
                <w:szCs w:val="18"/>
              </w:rPr>
            </w:pPr>
            <w:r w:rsidRPr="0071087D">
              <w:rPr>
                <w:rStyle w:val="NoteLabel"/>
              </w:rPr>
              <w:t>a</w:t>
            </w:r>
            <w:r w:rsidRPr="0071087D">
              <w:sym w:font="Symbol" w:char="F020"/>
            </w:r>
            <w:r w:rsidRPr="0071087D">
              <w:t>See box E.</w:t>
            </w:r>
            <w:r w:rsidR="001601D1" w:rsidRPr="0071087D">
              <w:t>8</w:t>
            </w:r>
            <w:r w:rsidRPr="0071087D">
              <w:t xml:space="preserve"> and table </w:t>
            </w:r>
            <w:r w:rsidR="00822C47" w:rsidRPr="0071087D">
              <w:t>EA.</w:t>
            </w:r>
            <w:r w:rsidR="00857854" w:rsidRPr="0071087D">
              <w:t xml:space="preserve">63 </w:t>
            </w:r>
            <w:r w:rsidRPr="0071087D">
              <w:t>for detailed definitions, footnotes and caveats</w:t>
            </w:r>
            <w:r w:rsidRPr="0071087D">
              <w:rPr>
                <w:rFonts w:cs="Calibri"/>
              </w:rPr>
              <w:t>.</w:t>
            </w:r>
          </w:p>
        </w:tc>
      </w:tr>
      <w:tr w:rsidR="00792D8E" w:rsidRPr="0071087D" w14:paraId="251C89AB" w14:textId="77777777" w:rsidTr="009C459E">
        <w:tc>
          <w:tcPr>
            <w:tcW w:w="8771" w:type="dxa"/>
            <w:tcBorders>
              <w:top w:val="nil"/>
              <w:left w:val="nil"/>
              <w:bottom w:val="nil"/>
              <w:right w:val="nil"/>
            </w:tcBorders>
            <w:shd w:val="clear" w:color="auto" w:fill="auto"/>
          </w:tcPr>
          <w:p w14:paraId="25901FB1" w14:textId="54CD7C70" w:rsidR="00792D8E" w:rsidRPr="0071087D" w:rsidRDefault="00792D8E" w:rsidP="00857854">
            <w:pPr>
              <w:pStyle w:val="Source"/>
            </w:pPr>
            <w:r w:rsidRPr="0071087D">
              <w:rPr>
                <w:i/>
              </w:rPr>
              <w:t>Source</w:t>
            </w:r>
            <w:r w:rsidRPr="0071087D">
              <w:t xml:space="preserve">: </w:t>
            </w:r>
            <w:r w:rsidRPr="0071087D">
              <w:rPr>
                <w:lang w:val="en"/>
              </w:rPr>
              <w:t xml:space="preserve">AIHW (unpublished); table </w:t>
            </w:r>
            <w:r w:rsidR="00822C47" w:rsidRPr="0071087D">
              <w:rPr>
                <w:lang w:val="en"/>
              </w:rPr>
              <w:t>EA.</w:t>
            </w:r>
            <w:r w:rsidR="00857854" w:rsidRPr="0071087D">
              <w:rPr>
                <w:lang w:val="en"/>
              </w:rPr>
              <w:t>63</w:t>
            </w:r>
            <w:r w:rsidRPr="0071087D">
              <w:rPr>
                <w:lang w:val="en"/>
              </w:rPr>
              <w:t>.</w:t>
            </w:r>
          </w:p>
        </w:tc>
      </w:tr>
      <w:tr w:rsidR="00792D8E" w:rsidRPr="0071087D" w14:paraId="14199551" w14:textId="77777777" w:rsidTr="009C459E">
        <w:tc>
          <w:tcPr>
            <w:tcW w:w="8771" w:type="dxa"/>
            <w:tcBorders>
              <w:top w:val="nil"/>
              <w:left w:val="nil"/>
              <w:bottom w:val="single" w:sz="6" w:space="0" w:color="78A22F"/>
              <w:right w:val="nil"/>
            </w:tcBorders>
            <w:shd w:val="clear" w:color="auto" w:fill="auto"/>
          </w:tcPr>
          <w:p w14:paraId="52DA19B8" w14:textId="77777777" w:rsidR="00792D8E" w:rsidRPr="0071087D" w:rsidRDefault="00792D8E" w:rsidP="009C459E">
            <w:pPr>
              <w:pStyle w:val="Figurespace"/>
            </w:pPr>
          </w:p>
        </w:tc>
      </w:tr>
      <w:tr w:rsidR="00792D8E" w:rsidRPr="0071087D" w14:paraId="7B3AF1A0" w14:textId="77777777" w:rsidTr="009C459E">
        <w:tc>
          <w:tcPr>
            <w:tcW w:w="8771" w:type="dxa"/>
            <w:tcBorders>
              <w:top w:val="single" w:sz="6" w:space="0" w:color="78A22F"/>
              <w:left w:val="nil"/>
              <w:bottom w:val="nil"/>
              <w:right w:val="nil"/>
            </w:tcBorders>
          </w:tcPr>
          <w:p w14:paraId="3482065D" w14:textId="260C09EB" w:rsidR="00792D8E" w:rsidRPr="0071087D" w:rsidRDefault="00792D8E" w:rsidP="009C459E">
            <w:pPr>
              <w:pStyle w:val="BoxSpaceBelow"/>
            </w:pPr>
          </w:p>
        </w:tc>
      </w:tr>
    </w:tbl>
    <w:p w14:paraId="7652AE9D" w14:textId="36E530AC" w:rsidR="000E6243" w:rsidRPr="0071087D" w:rsidRDefault="000E6243" w:rsidP="000E624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E6243" w:rsidRPr="0071087D" w14:paraId="277AB6B0" w14:textId="77777777" w:rsidTr="004F5393">
        <w:tc>
          <w:tcPr>
            <w:tcW w:w="8771" w:type="dxa"/>
            <w:tcBorders>
              <w:top w:val="single" w:sz="6" w:space="0" w:color="78A22F"/>
              <w:left w:val="nil"/>
              <w:bottom w:val="nil"/>
              <w:right w:val="nil"/>
            </w:tcBorders>
            <w:shd w:val="clear" w:color="auto" w:fill="auto"/>
          </w:tcPr>
          <w:p w14:paraId="5D01C1F5" w14:textId="0D527933" w:rsidR="000E6243" w:rsidRPr="0071087D" w:rsidRDefault="000E6243" w:rsidP="004F5393">
            <w:pPr>
              <w:pStyle w:val="FigureTitle"/>
            </w:pPr>
            <w:r w:rsidRPr="0071087D">
              <w:rPr>
                <w:b w:val="0"/>
              </w:rPr>
              <w:t xml:space="preserve">Figure </w:t>
            </w:r>
            <w:proofErr w:type="spellStart"/>
            <w:r>
              <w:rPr>
                <w:b w:val="0"/>
              </w:rPr>
              <w:t>E.</w:t>
            </w:r>
            <w:r w:rsidR="00FD3B62">
              <w:rPr>
                <w:b w:val="0"/>
                <w:noProof/>
              </w:rPr>
              <w:t>14</w:t>
            </w:r>
            <w:proofErr w:type="spellEnd"/>
            <w:r w:rsidRPr="0071087D">
              <w:tab/>
              <w:t>Full time equivalent employed nurses and midwives</w:t>
            </w:r>
            <w:r w:rsidRPr="0071087D">
              <w:rPr>
                <w:rStyle w:val="NoteLabel"/>
                <w:b/>
              </w:rPr>
              <w:t>a</w:t>
            </w:r>
          </w:p>
        </w:tc>
      </w:tr>
      <w:tr w:rsidR="00792D8E" w:rsidRPr="0071087D" w14:paraId="3417597F" w14:textId="77777777" w:rsidTr="00D33837">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625"/>
            </w:tblGrid>
            <w:tr w:rsidR="00792D8E" w:rsidRPr="0071087D" w14:paraId="16306C06" w14:textId="77777777" w:rsidTr="00357AE7">
              <w:tc>
                <w:tcPr>
                  <w:tcW w:w="8625" w:type="dxa"/>
                  <w:tcBorders>
                    <w:top w:val="nil"/>
                    <w:bottom w:val="nil"/>
                  </w:tcBorders>
                </w:tcPr>
                <w:p w14:paraId="03635E97" w14:textId="58FFAAE2" w:rsidR="00792D8E" w:rsidRPr="0071087D" w:rsidRDefault="00357AE7" w:rsidP="009C459E">
                  <w:pPr>
                    <w:pStyle w:val="Figure"/>
                    <w:keepLines/>
                    <w:spacing w:before="60" w:after="60"/>
                  </w:pPr>
                  <w:r>
                    <w:rPr>
                      <w:noProof/>
                    </w:rPr>
                    <w:drawing>
                      <wp:inline distT="0" distB="0" distL="0" distR="0" wp14:anchorId="634B9703" wp14:editId="5B0863F5">
                        <wp:extent cx="5400000" cy="2700000"/>
                        <wp:effectExtent l="0" t="0" r="0" b="5715"/>
                        <wp:docPr id="11" name="Chart 11" descr="Figure E.14 Full time equivalent employed nurses and midwives&#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r>
          </w:tbl>
          <w:p w14:paraId="5AACD940" w14:textId="77777777" w:rsidR="00792D8E" w:rsidRPr="0071087D" w:rsidRDefault="00792D8E" w:rsidP="009C459E">
            <w:pPr>
              <w:pStyle w:val="Figure"/>
              <w:keepLines/>
            </w:pPr>
          </w:p>
        </w:tc>
      </w:tr>
      <w:tr w:rsidR="00792D8E" w:rsidRPr="0071087D" w14:paraId="3A3FB19D" w14:textId="77777777" w:rsidTr="009C459E">
        <w:tc>
          <w:tcPr>
            <w:tcW w:w="8771" w:type="dxa"/>
            <w:tcBorders>
              <w:top w:val="nil"/>
              <w:left w:val="nil"/>
              <w:bottom w:val="nil"/>
              <w:right w:val="nil"/>
            </w:tcBorders>
            <w:shd w:val="clear" w:color="auto" w:fill="auto"/>
          </w:tcPr>
          <w:p w14:paraId="7ED13087" w14:textId="62E347F5" w:rsidR="00792D8E" w:rsidRPr="0071087D" w:rsidRDefault="00792D8E" w:rsidP="00857854">
            <w:pPr>
              <w:pStyle w:val="Note"/>
              <w:keepNext/>
            </w:pPr>
            <w:r w:rsidRPr="0071087D">
              <w:rPr>
                <w:rStyle w:val="NoteLabel"/>
              </w:rPr>
              <w:t>a</w:t>
            </w:r>
            <w:r w:rsidRPr="0071087D">
              <w:sym w:font="Symbol" w:char="F020"/>
            </w:r>
            <w:r w:rsidRPr="0071087D">
              <w:t>See box E.</w:t>
            </w:r>
            <w:r w:rsidR="001601D1" w:rsidRPr="0071087D">
              <w:t>8</w:t>
            </w:r>
            <w:r w:rsidRPr="0071087D">
              <w:t xml:space="preserve"> and table </w:t>
            </w:r>
            <w:r w:rsidR="00822C47" w:rsidRPr="0071087D">
              <w:t>EA.</w:t>
            </w:r>
            <w:r w:rsidR="00857854" w:rsidRPr="0071087D">
              <w:t xml:space="preserve">64 </w:t>
            </w:r>
            <w:r w:rsidRPr="0071087D">
              <w:t>for detailed definitions, footnotes and caveats.</w:t>
            </w:r>
          </w:p>
        </w:tc>
      </w:tr>
      <w:tr w:rsidR="00792D8E" w:rsidRPr="0071087D" w14:paraId="2FA1AD0C" w14:textId="77777777" w:rsidTr="009C459E">
        <w:tc>
          <w:tcPr>
            <w:tcW w:w="8771" w:type="dxa"/>
            <w:tcBorders>
              <w:top w:val="nil"/>
              <w:left w:val="nil"/>
              <w:bottom w:val="nil"/>
              <w:right w:val="nil"/>
            </w:tcBorders>
            <w:shd w:val="clear" w:color="auto" w:fill="auto"/>
          </w:tcPr>
          <w:p w14:paraId="388DB691" w14:textId="407D7E5D" w:rsidR="00792D8E" w:rsidRPr="0071087D" w:rsidRDefault="00792D8E" w:rsidP="00857854">
            <w:pPr>
              <w:pStyle w:val="Source"/>
              <w:keepNext/>
            </w:pPr>
            <w:r w:rsidRPr="0071087D">
              <w:rPr>
                <w:i/>
              </w:rPr>
              <w:t>Source</w:t>
            </w:r>
            <w:r w:rsidRPr="0071087D">
              <w:t xml:space="preserve">: </w:t>
            </w:r>
            <w:r w:rsidRPr="0071087D">
              <w:rPr>
                <w:lang w:val="en"/>
              </w:rPr>
              <w:t>AIHW (unpublished)</w:t>
            </w:r>
            <w:r w:rsidRPr="0071087D">
              <w:t>; table </w:t>
            </w:r>
            <w:r w:rsidR="00822C47" w:rsidRPr="0071087D">
              <w:rPr>
                <w:lang w:val="en"/>
              </w:rPr>
              <w:t>EA.</w:t>
            </w:r>
            <w:r w:rsidR="00857854" w:rsidRPr="0071087D">
              <w:rPr>
                <w:lang w:val="en"/>
              </w:rPr>
              <w:t>64</w:t>
            </w:r>
            <w:r w:rsidRPr="0071087D">
              <w:rPr>
                <w:lang w:val="en"/>
              </w:rPr>
              <w:t>.</w:t>
            </w:r>
          </w:p>
        </w:tc>
      </w:tr>
      <w:tr w:rsidR="00792D8E" w:rsidRPr="0071087D" w14:paraId="6EFCF87E" w14:textId="77777777" w:rsidTr="009C459E">
        <w:tc>
          <w:tcPr>
            <w:tcW w:w="8771" w:type="dxa"/>
            <w:tcBorders>
              <w:top w:val="nil"/>
              <w:left w:val="nil"/>
              <w:bottom w:val="single" w:sz="6" w:space="0" w:color="78A22F"/>
              <w:right w:val="nil"/>
            </w:tcBorders>
            <w:shd w:val="clear" w:color="auto" w:fill="auto"/>
          </w:tcPr>
          <w:p w14:paraId="68786D10" w14:textId="77777777" w:rsidR="00792D8E" w:rsidRPr="0071087D" w:rsidRDefault="00792D8E" w:rsidP="009C459E">
            <w:pPr>
              <w:pStyle w:val="Figurespace"/>
              <w:keepLines/>
            </w:pPr>
          </w:p>
        </w:tc>
      </w:tr>
      <w:tr w:rsidR="00792D8E" w:rsidRPr="0071087D" w14:paraId="20CCBE9B" w14:textId="77777777" w:rsidTr="009C459E">
        <w:tc>
          <w:tcPr>
            <w:tcW w:w="8771" w:type="dxa"/>
            <w:tcBorders>
              <w:top w:val="single" w:sz="6" w:space="0" w:color="78A22F"/>
              <w:left w:val="nil"/>
              <w:bottom w:val="nil"/>
              <w:right w:val="nil"/>
            </w:tcBorders>
          </w:tcPr>
          <w:p w14:paraId="79D5F960" w14:textId="11890816" w:rsidR="00792D8E" w:rsidRPr="0071087D" w:rsidRDefault="00792D8E" w:rsidP="009C459E">
            <w:pPr>
              <w:pStyle w:val="BoxSpaceBelow"/>
            </w:pPr>
          </w:p>
        </w:tc>
      </w:tr>
    </w:tbl>
    <w:p w14:paraId="69B8F4FB" w14:textId="44EBD1B7" w:rsidR="00252A63" w:rsidRPr="0071087D" w:rsidRDefault="00252A63" w:rsidP="001379CF">
      <w:pPr>
        <w:pStyle w:val="BodyText"/>
      </w:pPr>
      <w:r w:rsidRPr="0071087D">
        <w:t xml:space="preserve">At the national level, </w:t>
      </w:r>
      <w:r w:rsidR="00100CCE" w:rsidRPr="00D33837">
        <w:t>52.2</w:t>
      </w:r>
      <w:r w:rsidR="001601D1" w:rsidRPr="0071087D">
        <w:t xml:space="preserve"> </w:t>
      </w:r>
      <w:r w:rsidRPr="0071087D">
        <w:t xml:space="preserve">per cent of FTE employed medical practitioners were </w:t>
      </w:r>
      <w:r w:rsidRPr="00D33837">
        <w:t xml:space="preserve">under </w:t>
      </w:r>
      <w:r w:rsidR="00BE00EE" w:rsidRPr="00D33837">
        <w:t>45</w:t>
      </w:r>
      <w:r w:rsidRPr="00D33837">
        <w:t xml:space="preserve"> </w:t>
      </w:r>
      <w:r w:rsidR="00D917ED" w:rsidRPr="00D33837">
        <w:t>years of age</w:t>
      </w:r>
      <w:r w:rsidR="00D917ED" w:rsidRPr="00D917ED">
        <w:t xml:space="preserve"> </w:t>
      </w:r>
      <w:r w:rsidRPr="00D917ED">
        <w:t>in 201</w:t>
      </w:r>
      <w:r w:rsidR="001601D1" w:rsidRPr="00D917ED">
        <w:t>5</w:t>
      </w:r>
      <w:r w:rsidRPr="00D917ED">
        <w:t xml:space="preserve"> </w:t>
      </w:r>
      <w:r w:rsidRPr="0071087D">
        <w:t xml:space="preserve">(table </w:t>
      </w:r>
      <w:r w:rsidR="00822C47" w:rsidRPr="0071087D">
        <w:t>EA.</w:t>
      </w:r>
      <w:r w:rsidR="00857854" w:rsidRPr="0071087D">
        <w:t>63</w:t>
      </w:r>
      <w:r w:rsidRPr="0071087D">
        <w:t xml:space="preserve">). The employed medical practitioner workforce grew at an average annual rate of </w:t>
      </w:r>
      <w:r w:rsidR="00BE7ADF" w:rsidRPr="00D33837">
        <w:t>0.8</w:t>
      </w:r>
      <w:r w:rsidR="001601D1" w:rsidRPr="0071087D">
        <w:t xml:space="preserve"> </w:t>
      </w:r>
      <w:r w:rsidR="0064315A" w:rsidRPr="0071087D">
        <w:t xml:space="preserve">per </w:t>
      </w:r>
      <w:r w:rsidRPr="0071087D">
        <w:t>cent from 20</w:t>
      </w:r>
      <w:r w:rsidR="001601D1" w:rsidRPr="0071087D">
        <w:t>10</w:t>
      </w:r>
      <w:r w:rsidRPr="0071087D">
        <w:t xml:space="preserve"> to 201</w:t>
      </w:r>
      <w:r w:rsidR="001601D1" w:rsidRPr="0071087D">
        <w:t>5</w:t>
      </w:r>
      <w:r w:rsidRPr="0071087D">
        <w:t xml:space="preserve"> (table </w:t>
      </w:r>
      <w:r w:rsidR="00822C47" w:rsidRPr="0071087D">
        <w:t>EA.</w:t>
      </w:r>
      <w:r w:rsidR="00857854" w:rsidRPr="0071087D">
        <w:t>66</w:t>
      </w:r>
      <w:r w:rsidRPr="0071087D">
        <w:t xml:space="preserve">). The employed </w:t>
      </w:r>
      <w:r w:rsidRPr="0071087D">
        <w:lastRenderedPageBreak/>
        <w:t xml:space="preserve">nursing and midwifery workforce grew at an average annual rate of </w:t>
      </w:r>
      <w:r w:rsidR="000E6243" w:rsidRPr="00D33837">
        <w:t>5</w:t>
      </w:r>
      <w:r w:rsidR="00100CCE" w:rsidRPr="00D33837">
        <w:t>.</w:t>
      </w:r>
      <w:r w:rsidR="000E6243" w:rsidRPr="00D33837">
        <w:t>6</w:t>
      </w:r>
      <w:r w:rsidR="001601D1" w:rsidRPr="0071087D">
        <w:t xml:space="preserve"> </w:t>
      </w:r>
      <w:r w:rsidRPr="0071087D">
        <w:t>pe</w:t>
      </w:r>
      <w:r w:rsidR="0064315A" w:rsidRPr="0071087D">
        <w:t>r cent from 20</w:t>
      </w:r>
      <w:r w:rsidR="001601D1" w:rsidRPr="0071087D">
        <w:t>10</w:t>
      </w:r>
      <w:r w:rsidR="0064315A" w:rsidRPr="0071087D">
        <w:t xml:space="preserve"> to 201</w:t>
      </w:r>
      <w:r w:rsidR="001601D1" w:rsidRPr="0071087D">
        <w:t>5</w:t>
      </w:r>
      <w:r w:rsidR="0064315A" w:rsidRPr="0071087D">
        <w:t xml:space="preserve"> (table </w:t>
      </w:r>
      <w:r w:rsidR="00822C47" w:rsidRPr="0071087D">
        <w:t>EA.</w:t>
      </w:r>
      <w:r w:rsidR="00857854" w:rsidRPr="0071087D">
        <w:t>66</w:t>
      </w:r>
      <w:r w:rsidRPr="0071087D">
        <w:t xml:space="preserve">), and </w:t>
      </w:r>
      <w:r w:rsidR="00100CCE" w:rsidRPr="00D33837">
        <w:t>48.7</w:t>
      </w:r>
      <w:r w:rsidR="001601D1" w:rsidRPr="0071087D">
        <w:t xml:space="preserve"> </w:t>
      </w:r>
      <w:r w:rsidRPr="0071087D">
        <w:t xml:space="preserve">per cent of FTE employed nurses were </w:t>
      </w:r>
      <w:r w:rsidR="00D917ED" w:rsidRPr="00D33837">
        <w:t>under 45 years of age</w:t>
      </w:r>
      <w:r w:rsidR="00D917ED" w:rsidRPr="00D917ED">
        <w:t xml:space="preserve"> </w:t>
      </w:r>
      <w:r w:rsidRPr="0071087D">
        <w:t>in 201</w:t>
      </w:r>
      <w:r w:rsidR="001601D1" w:rsidRPr="0071087D">
        <w:t>5</w:t>
      </w:r>
      <w:r w:rsidRPr="0071087D">
        <w:t xml:space="preserve"> (table </w:t>
      </w:r>
      <w:r w:rsidR="00822C47" w:rsidRPr="0071087D">
        <w:t>EA.</w:t>
      </w:r>
      <w:r w:rsidR="00857854" w:rsidRPr="0071087D">
        <w:t>64</w:t>
      </w:r>
      <w:r w:rsidRPr="0071087D">
        <w:t>).</w:t>
      </w:r>
    </w:p>
    <w:p w14:paraId="779B359E" w14:textId="5E384055" w:rsidR="00252A63" w:rsidRPr="0071087D" w:rsidRDefault="00252A63" w:rsidP="001379CF">
      <w:pPr>
        <w:pStyle w:val="BodyText"/>
      </w:pPr>
      <w:r w:rsidRPr="0071087D">
        <w:t xml:space="preserve">Nationally, </w:t>
      </w:r>
      <w:r w:rsidR="00100CCE" w:rsidRPr="00D33837">
        <w:t>1.1</w:t>
      </w:r>
      <w:r w:rsidRPr="0071087D">
        <w:t xml:space="preserve"> per cent of the employed nursing and midwifery workforce and </w:t>
      </w:r>
      <w:r w:rsidR="00100CCE">
        <w:br/>
      </w:r>
      <w:r w:rsidR="001B1FE6" w:rsidRPr="00D33837">
        <w:t>0.5</w:t>
      </w:r>
      <w:r w:rsidR="001601D1" w:rsidRPr="0071087D">
        <w:t xml:space="preserve"> per cent </w:t>
      </w:r>
      <w:r w:rsidRPr="0071087D">
        <w:t>of the employed medical workforce were Aboriginal and Torres Strait Islander in 201</w:t>
      </w:r>
      <w:r w:rsidR="001601D1" w:rsidRPr="0071087D">
        <w:t>5</w:t>
      </w:r>
      <w:r w:rsidRPr="0071087D">
        <w:t xml:space="preserve"> (table </w:t>
      </w:r>
      <w:r w:rsidR="00822C47" w:rsidRPr="0071087D">
        <w:t>EA.</w:t>
      </w:r>
      <w:r w:rsidR="00857854" w:rsidRPr="0071087D">
        <w:t>67</w:t>
      </w:r>
      <w:r w:rsidRPr="0071087D">
        <w:t>). Of people employed in health</w:t>
      </w:r>
      <w:r w:rsidRPr="0071087D">
        <w:noBreakHyphen/>
        <w:t>r</w:t>
      </w:r>
      <w:r w:rsidR="0064315A" w:rsidRPr="0071087D">
        <w:t xml:space="preserve">elated occupations in 2011, </w:t>
      </w:r>
      <w:r w:rsidR="001B1FE6">
        <w:br/>
      </w:r>
      <w:r w:rsidR="0064315A" w:rsidRPr="0071087D">
        <w:t xml:space="preserve">1.6 </w:t>
      </w:r>
      <w:r w:rsidRPr="0071087D">
        <w:t>per cent were Aboriginal and Torres Strait Islander</w:t>
      </w:r>
      <w:r w:rsidR="00BE00EE" w:rsidRPr="0071087D">
        <w:t xml:space="preserve"> </w:t>
      </w:r>
      <w:r w:rsidRPr="0071087D">
        <w:t>(tables EA.</w:t>
      </w:r>
      <w:r w:rsidR="00857854" w:rsidRPr="0071087D">
        <w:t>68</w:t>
      </w:r>
      <w:r w:rsidR="006F0EAE" w:rsidRPr="0071087D">
        <w:t>–7</w:t>
      </w:r>
      <w:r w:rsidR="00857854" w:rsidRPr="0071087D">
        <w:t>0</w:t>
      </w:r>
      <w:r w:rsidRPr="0071087D">
        <w:t>).</w:t>
      </w:r>
    </w:p>
    <w:p w14:paraId="1864F8F2" w14:textId="77777777" w:rsidR="00252A63" w:rsidRPr="0071087D" w:rsidRDefault="00252A63" w:rsidP="001379CF">
      <w:pPr>
        <w:pStyle w:val="Heading4"/>
      </w:pPr>
      <w:bookmarkStart w:id="16" w:name="_Toc23908903"/>
      <w:r w:rsidRPr="0071087D">
        <w:t>Access to services compared to need by type of service</w:t>
      </w:r>
    </w:p>
    <w:p w14:paraId="74AF09D8" w14:textId="77777777" w:rsidR="00252A63" w:rsidRPr="0071087D" w:rsidRDefault="00252A63" w:rsidP="001379CF">
      <w:pPr>
        <w:pStyle w:val="BodyText"/>
      </w:pPr>
      <w:r w:rsidRPr="0071087D">
        <w:t xml:space="preserve">‘Access to services compared to need by type of service’ is an indicator of governments’ objective that </w:t>
      </w:r>
      <w:r w:rsidR="00F8191B" w:rsidRPr="0071087D">
        <w:t>Australians have a health system that reduces disadvantage, especially for Aboriginal and Torres Strait Islander Australians</w:t>
      </w:r>
      <w:r w:rsidRPr="0071087D">
        <w:t xml:space="preserve"> (box E.</w:t>
      </w:r>
      <w:r w:rsidR="00F8191B" w:rsidRPr="0071087D">
        <w:t>9</w:t>
      </w:r>
      <w:r w:rsidRPr="0071087D">
        <w:t>).</w:t>
      </w:r>
    </w:p>
    <w:p w14:paraId="7A198A91" w14:textId="362B2512" w:rsidR="009F4AA3" w:rsidRPr="0071087D" w:rsidRDefault="009F4AA3" w:rsidP="009F4AA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F4AA3" w:rsidRPr="0071087D" w14:paraId="4CFB799F" w14:textId="77777777" w:rsidTr="009C459E">
        <w:tc>
          <w:tcPr>
            <w:tcW w:w="8771" w:type="dxa"/>
            <w:tcBorders>
              <w:top w:val="single" w:sz="6" w:space="0" w:color="78A22F"/>
              <w:left w:val="nil"/>
              <w:bottom w:val="nil"/>
              <w:right w:val="nil"/>
            </w:tcBorders>
            <w:shd w:val="clear" w:color="auto" w:fill="F2F2F2" w:themeFill="background1" w:themeFillShade="F2"/>
          </w:tcPr>
          <w:p w14:paraId="40E5DA7B" w14:textId="64E4540B" w:rsidR="009F4AA3" w:rsidRPr="0071087D" w:rsidRDefault="009F4AA3" w:rsidP="009C459E">
            <w:pPr>
              <w:pStyle w:val="BoxTitle"/>
            </w:pPr>
            <w:r w:rsidRPr="0071087D">
              <w:rPr>
                <w:b w:val="0"/>
              </w:rPr>
              <w:t xml:space="preserve">Box </w:t>
            </w:r>
            <w:proofErr w:type="spellStart"/>
            <w:r w:rsidRPr="0071087D">
              <w:rPr>
                <w:b w:val="0"/>
              </w:rPr>
              <w:t>E.</w:t>
            </w:r>
            <w:r w:rsidR="00FD3B62">
              <w:rPr>
                <w:b w:val="0"/>
                <w:noProof/>
              </w:rPr>
              <w:t>9</w:t>
            </w:r>
            <w:proofErr w:type="spellEnd"/>
            <w:r w:rsidRPr="0071087D">
              <w:tab/>
              <w:t>Access to services compared to need by type of service</w:t>
            </w:r>
          </w:p>
        </w:tc>
      </w:tr>
      <w:tr w:rsidR="009F4AA3" w:rsidRPr="00B5443B" w14:paraId="6F8A49F8" w14:textId="77777777" w:rsidTr="009C459E">
        <w:trPr>
          <w:cantSplit/>
        </w:trPr>
        <w:tc>
          <w:tcPr>
            <w:tcW w:w="8771" w:type="dxa"/>
            <w:tcBorders>
              <w:top w:val="nil"/>
              <w:left w:val="nil"/>
              <w:bottom w:val="nil"/>
              <w:right w:val="nil"/>
            </w:tcBorders>
            <w:shd w:val="clear" w:color="auto" w:fill="F2F2F2" w:themeFill="background1" w:themeFillShade="F2"/>
          </w:tcPr>
          <w:p w14:paraId="6675B9E7" w14:textId="77777777" w:rsidR="009F4AA3" w:rsidRPr="00B5443B" w:rsidRDefault="009F4AA3" w:rsidP="009C459E">
            <w:pPr>
              <w:pStyle w:val="Box"/>
            </w:pPr>
            <w:r w:rsidRPr="00B5443B">
              <w:t>‘Access to services compared to need by type of service’ is defined as the proportion of the population aged 15 years or over who accessed a particula</w:t>
            </w:r>
            <w:r w:rsidR="0064315A" w:rsidRPr="00B5443B">
              <w:t xml:space="preserve">r health service in the past </w:t>
            </w:r>
            <w:r w:rsidR="0064315A" w:rsidRPr="00B5443B">
              <w:br/>
              <w:t xml:space="preserve">12 </w:t>
            </w:r>
            <w:r w:rsidRPr="00B5443B">
              <w:t xml:space="preserve">months (for hospital admissions), 3 months (for dental services) or 2 weeks (for other health services). </w:t>
            </w:r>
            <w:r w:rsidRPr="00B5443B">
              <w:rPr>
                <w:color w:val="000000"/>
              </w:rPr>
              <w:t xml:space="preserve">Rates are age </w:t>
            </w:r>
            <w:r w:rsidRPr="00B5443B">
              <w:t>standardised and calculated separately for each type of service and by categories of self</w:t>
            </w:r>
            <w:r w:rsidRPr="00B5443B">
              <w:noBreakHyphen/>
              <w:t>assessed health status.</w:t>
            </w:r>
          </w:p>
          <w:p w14:paraId="4D69B765" w14:textId="77777777" w:rsidR="009F4AA3" w:rsidRPr="00B5443B" w:rsidRDefault="009F4AA3" w:rsidP="009C459E">
            <w:pPr>
              <w:pStyle w:val="Box"/>
            </w:pPr>
            <w:r w:rsidRPr="00B5443B">
              <w:rPr>
                <w:rFonts w:cs="Arial"/>
              </w:rPr>
              <w:t xml:space="preserve">Service types are: admitted hospitalisations, casualty/outpatients, GP and/or specialist doctor consultations, consultations with other health professional and dental consultation. </w:t>
            </w:r>
            <w:r w:rsidRPr="00B5443B">
              <w:t>Self</w:t>
            </w:r>
            <w:r w:rsidRPr="00B5443B">
              <w:noBreakHyphen/>
              <w:t>assessed health status i</w:t>
            </w:r>
            <w:r w:rsidRPr="00B5443B">
              <w:rPr>
                <w:rFonts w:cs="Arial"/>
              </w:rPr>
              <w:t xml:space="preserve">s categorised as excellent/very good/good and fair/poor. Data are reported for all Australians by remoteness and by </w:t>
            </w:r>
            <w:r w:rsidRPr="00B5443B">
              <w:t xml:space="preserve">SEIFA and for </w:t>
            </w:r>
            <w:r w:rsidRPr="00B5443B">
              <w:rPr>
                <w:rFonts w:cs="Arial"/>
              </w:rPr>
              <w:t>Aboriginal and Torres Strait Islander Australians.</w:t>
            </w:r>
          </w:p>
          <w:p w14:paraId="6BAD8DC8" w14:textId="77777777" w:rsidR="009F4AA3" w:rsidRPr="00B5443B" w:rsidRDefault="009F4AA3" w:rsidP="009C459E">
            <w:pPr>
              <w:pStyle w:val="Box"/>
            </w:pPr>
            <w:r w:rsidRPr="00B5443B">
              <w:t>High or increasing rates of ‘access to services compared to need by type of service’ are desirable, as are rates for those in disadvantaged groups being close to the rates for those who are not disadvantaged.</w:t>
            </w:r>
          </w:p>
          <w:p w14:paraId="7C2527AA" w14:textId="77777777" w:rsidR="009F4AA3" w:rsidRPr="00B5443B" w:rsidRDefault="009F4AA3" w:rsidP="009C459E">
            <w:pPr>
              <w:pStyle w:val="Box"/>
            </w:pPr>
            <w:r w:rsidRPr="00B5443B">
              <w:t>Data for this measure include 95 per cent confidence intervals (in the form of error bars in figures and percentages in tables).</w:t>
            </w:r>
          </w:p>
          <w:p w14:paraId="386FA842" w14:textId="2935D66D" w:rsidR="009F4AA3" w:rsidRPr="00B5443B" w:rsidRDefault="009F4AA3" w:rsidP="009C459E">
            <w:pPr>
              <w:pStyle w:val="Box"/>
            </w:pPr>
            <w:r w:rsidRPr="00B5443B">
              <w:t>Data reported for this indicator are</w:t>
            </w:r>
            <w:r w:rsidR="007822E3">
              <w:t>:</w:t>
            </w:r>
          </w:p>
          <w:p w14:paraId="2E96BD6D" w14:textId="77777777" w:rsidR="009F4AA3" w:rsidRPr="00B5443B" w:rsidRDefault="009F4AA3" w:rsidP="009F4AA3">
            <w:pPr>
              <w:pStyle w:val="BoxListBullet"/>
            </w:pPr>
            <w:r w:rsidRPr="00B5443B">
              <w:t>comparable (subject to caveats) across jurisdictions but not over time</w:t>
            </w:r>
          </w:p>
          <w:p w14:paraId="67EDC314" w14:textId="77777777" w:rsidR="009F4AA3" w:rsidRPr="00B5443B" w:rsidRDefault="009F4AA3" w:rsidP="009F4AA3">
            <w:pPr>
              <w:pStyle w:val="BoxListBullet"/>
            </w:pPr>
            <w:r w:rsidRPr="00B5443B">
              <w:t>complete (subject to caveats) for the current reporting period. All required data are available for all jurisdictions</w:t>
            </w:r>
            <w:r w:rsidR="00F8191B" w:rsidRPr="00B5443B">
              <w:t xml:space="preserve"> for all Australians (2014</w:t>
            </w:r>
            <w:r w:rsidR="00F8191B" w:rsidRPr="00B5443B">
              <w:noBreakHyphen/>
              <w:t>15</w:t>
            </w:r>
            <w:r w:rsidRPr="00B5443B">
              <w:t>) and Aboriginal</w:t>
            </w:r>
            <w:r w:rsidRPr="00B5443B">
              <w:rPr>
                <w:rFonts w:cs="Arial"/>
              </w:rPr>
              <w:t xml:space="preserve"> and Torres Strait Islander Australians (</w:t>
            </w:r>
            <w:r w:rsidRPr="00B5443B">
              <w:t>2012</w:t>
            </w:r>
            <w:r w:rsidRPr="00B5443B">
              <w:noBreakHyphen/>
              <w:t>13).</w:t>
            </w:r>
          </w:p>
          <w:p w14:paraId="2761D738" w14:textId="77777777" w:rsidR="009F4AA3" w:rsidRPr="00B5443B" w:rsidRDefault="009F4AA3" w:rsidP="009C459E">
            <w:pPr>
              <w:pStyle w:val="Box"/>
            </w:pPr>
            <w:r w:rsidRPr="00B5443B">
              <w:t>The total and non</w:t>
            </w:r>
            <w:r w:rsidRPr="00B5443B">
              <w:noBreakHyphen/>
              <w:t>Indigenous components of the AHS 2011–2013 did not include people living in discrete Aboriginal and Torres Strait Islander communities or very remote areas, which affects the c</w:t>
            </w:r>
            <w:r w:rsidR="00342934" w:rsidRPr="00B5443B">
              <w:t>omparability of the NT results.</w:t>
            </w:r>
          </w:p>
        </w:tc>
      </w:tr>
      <w:tr w:rsidR="009F4AA3" w:rsidRPr="00B5443B" w14:paraId="10874E0D" w14:textId="77777777" w:rsidTr="009C459E">
        <w:trPr>
          <w:cantSplit/>
        </w:trPr>
        <w:tc>
          <w:tcPr>
            <w:tcW w:w="8771" w:type="dxa"/>
            <w:tcBorders>
              <w:top w:val="nil"/>
              <w:left w:val="nil"/>
              <w:bottom w:val="single" w:sz="6" w:space="0" w:color="78A22F"/>
              <w:right w:val="nil"/>
            </w:tcBorders>
            <w:shd w:val="clear" w:color="auto" w:fill="F2F2F2" w:themeFill="background1" w:themeFillShade="F2"/>
          </w:tcPr>
          <w:p w14:paraId="2744AC00" w14:textId="77777777" w:rsidR="009F4AA3" w:rsidRPr="00B5443B" w:rsidRDefault="009F4AA3" w:rsidP="009C459E">
            <w:pPr>
              <w:pStyle w:val="Box"/>
              <w:spacing w:before="0" w:line="120" w:lineRule="exact"/>
            </w:pPr>
          </w:p>
        </w:tc>
      </w:tr>
      <w:tr w:rsidR="009F4AA3" w:rsidRPr="00B5443B" w14:paraId="2C44A90E" w14:textId="77777777" w:rsidTr="009C459E">
        <w:tc>
          <w:tcPr>
            <w:tcW w:w="8771" w:type="dxa"/>
            <w:tcBorders>
              <w:top w:val="single" w:sz="6" w:space="0" w:color="78A22F"/>
              <w:left w:val="nil"/>
              <w:bottom w:val="nil"/>
              <w:right w:val="nil"/>
            </w:tcBorders>
          </w:tcPr>
          <w:p w14:paraId="31C9F83A" w14:textId="3039EEEB" w:rsidR="009F4AA3" w:rsidRPr="00B5443B" w:rsidRDefault="009F4AA3" w:rsidP="009C459E">
            <w:pPr>
              <w:pStyle w:val="BoxSpaceBelow"/>
            </w:pPr>
          </w:p>
        </w:tc>
      </w:tr>
    </w:tbl>
    <w:p w14:paraId="61164BB6" w14:textId="55F1355A" w:rsidR="000A766B" w:rsidRPr="00B5443B" w:rsidRDefault="00252A63" w:rsidP="001379CF">
      <w:pPr>
        <w:pStyle w:val="BodyText"/>
      </w:pPr>
      <w:r w:rsidRPr="00B5443B">
        <w:t>Nationally in 201</w:t>
      </w:r>
      <w:r w:rsidR="009C733B" w:rsidRPr="00B5443B">
        <w:t>4</w:t>
      </w:r>
      <w:r w:rsidRPr="00B5443B">
        <w:noBreakHyphen/>
        <w:t>1</w:t>
      </w:r>
      <w:r w:rsidR="009C733B" w:rsidRPr="00B5443B">
        <w:t>5</w:t>
      </w:r>
      <w:r w:rsidRPr="00B5443B">
        <w:t>,</w:t>
      </w:r>
      <w:r w:rsidR="003C3287" w:rsidRPr="00B5443B">
        <w:t xml:space="preserve"> the majority of Australians (87</w:t>
      </w:r>
      <w:r w:rsidRPr="00B5443B">
        <w:t>.</w:t>
      </w:r>
      <w:r w:rsidR="003C3287" w:rsidRPr="00B5443B">
        <w:t>6</w:t>
      </w:r>
      <w:r w:rsidRPr="00B5443B">
        <w:t xml:space="preserve"> per cent) aged 15 years or over reported their health as either good, very good or excellent (</w:t>
      </w:r>
      <w:r w:rsidR="00B5443B" w:rsidRPr="00B5443B">
        <w:t xml:space="preserve">figure E.15 and </w:t>
      </w:r>
      <w:r w:rsidR="003C3287" w:rsidRPr="00B5443B">
        <w:t>table EA.</w:t>
      </w:r>
      <w:r w:rsidR="007F2265" w:rsidRPr="00B5443B">
        <w:t>72</w:t>
      </w:r>
      <w:r w:rsidRPr="00B5443B">
        <w:t xml:space="preserve">). </w:t>
      </w:r>
      <w:r w:rsidRPr="00B5443B">
        <w:lastRenderedPageBreak/>
        <w:t xml:space="preserve">Aboriginal and Torres Strait Islander people were less likely to report good, very good or excellent health </w:t>
      </w:r>
      <w:r w:rsidR="0064315A" w:rsidRPr="00B5443B">
        <w:t>in 2012</w:t>
      </w:r>
      <w:r w:rsidR="0064315A" w:rsidRPr="00B5443B">
        <w:noBreakHyphen/>
        <w:t>13 (</w:t>
      </w:r>
      <w:r w:rsidR="003C3287" w:rsidRPr="00B5443B">
        <w:t>35.8</w:t>
      </w:r>
      <w:r w:rsidR="0064315A" w:rsidRPr="00B5443B">
        <w:t xml:space="preserve"> per cent) (</w:t>
      </w:r>
      <w:r w:rsidR="003C3287" w:rsidRPr="00B5443B">
        <w:t>table EA.</w:t>
      </w:r>
      <w:r w:rsidR="007F2265" w:rsidRPr="00B5443B">
        <w:t>73</w:t>
      </w:r>
      <w:r w:rsidRPr="00B5443B">
        <w:t>).</w:t>
      </w:r>
    </w:p>
    <w:p w14:paraId="2F6365DA" w14:textId="4722080E" w:rsidR="003C3287" w:rsidRPr="00B5443B" w:rsidRDefault="003C3287" w:rsidP="003C3287">
      <w:pPr>
        <w:pStyle w:val="BodyText"/>
      </w:pPr>
      <w:r w:rsidRPr="00B5443B">
        <w:t>Data for 2011</w:t>
      </w:r>
      <w:r w:rsidRPr="00B5443B">
        <w:noBreakHyphen/>
        <w:t>12 including by remoteness</w:t>
      </w:r>
      <w:r w:rsidR="00BE00EE" w:rsidRPr="00B5443B">
        <w:t xml:space="preserve"> and</w:t>
      </w:r>
      <w:r w:rsidRPr="00B5443B">
        <w:t xml:space="preserve"> SEIFA are in tables EA.</w:t>
      </w:r>
      <w:r w:rsidR="00857854" w:rsidRPr="00B5443B">
        <w:t xml:space="preserve">71 </w:t>
      </w:r>
      <w:r w:rsidRPr="00B5443B">
        <w:t>and EA.</w:t>
      </w:r>
      <w:r w:rsidR="006F0EAE" w:rsidRPr="00B5443B">
        <w:t>7</w:t>
      </w:r>
      <w:r w:rsidR="007F2265" w:rsidRPr="00B5443B">
        <w:t>4</w:t>
      </w:r>
      <w:r w:rsidR="006F0EAE" w:rsidRPr="00B5443B">
        <w:t>–</w:t>
      </w:r>
      <w:r w:rsidR="007F2265" w:rsidRPr="00B5443B">
        <w:t>75</w:t>
      </w:r>
      <w:r w:rsidRPr="00B5443B">
        <w:t>.</w:t>
      </w:r>
    </w:p>
    <w:p w14:paraId="134722C8" w14:textId="398F7CDF" w:rsidR="00316426" w:rsidRPr="00B5443B" w:rsidRDefault="00316426" w:rsidP="0031642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16426" w:rsidRPr="00B5443B" w14:paraId="54A9510A" w14:textId="77777777" w:rsidTr="009C459E">
        <w:tc>
          <w:tcPr>
            <w:tcW w:w="8771" w:type="dxa"/>
            <w:tcBorders>
              <w:top w:val="single" w:sz="6" w:space="0" w:color="78A22F"/>
              <w:left w:val="nil"/>
              <w:bottom w:val="nil"/>
              <w:right w:val="nil"/>
            </w:tcBorders>
            <w:shd w:val="clear" w:color="auto" w:fill="auto"/>
          </w:tcPr>
          <w:p w14:paraId="2B0E0A2E" w14:textId="0E617161" w:rsidR="00316426" w:rsidRPr="00B5443B" w:rsidRDefault="00316426" w:rsidP="00E8433F">
            <w:pPr>
              <w:pStyle w:val="FigureTitle"/>
            </w:pPr>
            <w:r w:rsidRPr="00B5443B">
              <w:rPr>
                <w:b w:val="0"/>
              </w:rPr>
              <w:t xml:space="preserve">Figure </w:t>
            </w:r>
            <w:proofErr w:type="spellStart"/>
            <w:r w:rsidR="00B5443B" w:rsidRPr="00B5443B">
              <w:rPr>
                <w:b w:val="0"/>
              </w:rPr>
              <w:t>E.</w:t>
            </w:r>
            <w:r w:rsidR="00FD3B62">
              <w:rPr>
                <w:b w:val="0"/>
                <w:noProof/>
              </w:rPr>
              <w:t>15</w:t>
            </w:r>
            <w:proofErr w:type="spellEnd"/>
            <w:r w:rsidRPr="00B5443B">
              <w:tab/>
              <w:t>Proportion of people who accessed health services by health status, 201</w:t>
            </w:r>
            <w:r w:rsidR="00E8433F" w:rsidRPr="00B5443B">
              <w:t>4</w:t>
            </w:r>
            <w:r w:rsidR="00E8433F" w:rsidRPr="00B5443B">
              <w:noBreakHyphen/>
              <w:t>15</w:t>
            </w:r>
            <w:r w:rsidRPr="00B5443B">
              <w:rPr>
                <w:rStyle w:val="NoteLabel"/>
                <w:b/>
              </w:rPr>
              <w:t>a</w:t>
            </w:r>
          </w:p>
        </w:tc>
      </w:tr>
      <w:tr w:rsidR="00316426" w:rsidRPr="00B5443B" w14:paraId="0328B058" w14:textId="77777777" w:rsidTr="00F053CE">
        <w:tblPrEx>
          <w:tblCellMar>
            <w:left w:w="108" w:type="dxa"/>
            <w:right w:w="108" w:type="dxa"/>
          </w:tblCellMar>
        </w:tblPrEx>
        <w:tc>
          <w:tcPr>
            <w:tcW w:w="8771" w:type="dxa"/>
            <w:tcBorders>
              <w:top w:val="nil"/>
              <w:left w:val="nil"/>
              <w:bottom w:val="nil"/>
              <w:right w:val="nil"/>
            </w:tcBorders>
            <w:shd w:val="clear" w:color="auto" w:fill="auto"/>
          </w:tcPr>
          <w:p w14:paraId="7E96CDA9" w14:textId="1923FBE1" w:rsidR="00316426" w:rsidRPr="00B5443B" w:rsidRDefault="00F053CE" w:rsidP="009C459E">
            <w:pPr>
              <w:keepNext/>
              <w:keepLines/>
              <w:jc w:val="center"/>
            </w:pPr>
            <w:r w:rsidRPr="00B5443B">
              <w:rPr>
                <w:noProof/>
              </w:rPr>
              <w:drawing>
                <wp:inline distT="0" distB="0" distL="0" distR="0" wp14:anchorId="0578B97C" wp14:editId="4C2B8EBC">
                  <wp:extent cx="5581649" cy="333375"/>
                  <wp:effectExtent l="0" t="0" r="635" b="0"/>
                  <wp:docPr id="61" name="Chart 61" descr="Legend to Figure E.15 Proportion of people who accessed health services by health status, 2014-15&#10;&#10;Blue: Excellent/very good/good&#10;Green: Fair/poor&#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bl>
            <w:tblPr>
              <w:tblW w:w="8625" w:type="dxa"/>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625"/>
            </w:tblGrid>
            <w:tr w:rsidR="00316426" w:rsidRPr="00B5443B" w14:paraId="188C773F" w14:textId="77777777" w:rsidTr="00E8433F">
              <w:tc>
                <w:tcPr>
                  <w:tcW w:w="8625" w:type="dxa"/>
                  <w:tcBorders>
                    <w:top w:val="nil"/>
                    <w:bottom w:val="nil"/>
                  </w:tcBorders>
                </w:tcPr>
                <w:p w14:paraId="7A5CD536" w14:textId="77777777" w:rsidR="00316426" w:rsidRPr="00B5443B" w:rsidRDefault="00E8433F" w:rsidP="009C459E">
                  <w:pPr>
                    <w:pStyle w:val="Figure"/>
                    <w:keepLines/>
                    <w:spacing w:before="60" w:after="60"/>
                    <w:rPr>
                      <w:b/>
                    </w:rPr>
                  </w:pPr>
                  <w:r w:rsidRPr="00B5443B">
                    <w:rPr>
                      <w:noProof/>
                    </w:rPr>
                    <w:drawing>
                      <wp:inline distT="0" distB="0" distL="0" distR="0" wp14:anchorId="0E5E25EA" wp14:editId="5C9FBD22">
                        <wp:extent cx="5399405" cy="1875692"/>
                        <wp:effectExtent l="0" t="0" r="0" b="0"/>
                        <wp:docPr id="43" name="Chart 43" descr="Figure E.15 Proportion of people who accessed health services by health status, 2014-15&#10;&#10;Admitted to hospital&#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566C6C88" w14:textId="77777777" w:rsidR="00316426" w:rsidRPr="00B5443B" w:rsidRDefault="00E8433F" w:rsidP="00671EB2">
                  <w:pPr>
                    <w:pStyle w:val="Figure"/>
                    <w:keepLines/>
                    <w:spacing w:before="60" w:after="60"/>
                    <w:rPr>
                      <w:b/>
                    </w:rPr>
                  </w:pPr>
                  <w:r w:rsidRPr="00B5443B">
                    <w:rPr>
                      <w:noProof/>
                    </w:rPr>
                    <w:drawing>
                      <wp:inline distT="0" distB="0" distL="0" distR="0" wp14:anchorId="77A53E04" wp14:editId="5A6FC218">
                        <wp:extent cx="5400000" cy="1980000"/>
                        <wp:effectExtent l="0" t="0" r="0" b="1270"/>
                        <wp:docPr id="41" name="Chart 41" descr="Figure E.15 Proportion of people who accessed health services by health status, 2014-15&#10;&#10;Consulted a doctor&#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r w:rsidR="00AA5E4B" w:rsidRPr="00B5443B">
                    <w:rPr>
                      <w:noProof/>
                    </w:rPr>
                    <w:t xml:space="preserve"> </w:t>
                  </w:r>
                  <w:r w:rsidRPr="00B5443B">
                    <w:rPr>
                      <w:noProof/>
                    </w:rPr>
                    <w:drawing>
                      <wp:inline distT="0" distB="0" distL="0" distR="0" wp14:anchorId="24EBA63B" wp14:editId="4F382CFD">
                        <wp:extent cx="5399405" cy="1805354"/>
                        <wp:effectExtent l="0" t="0" r="0" b="4445"/>
                        <wp:docPr id="42" name="Chart 42" descr="Figure E.15 Proportion of people who accessed health services by health status, 2014-15&#10;&#10;Consulted other health professionals&#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r>
          </w:tbl>
          <w:p w14:paraId="5FC77D8F" w14:textId="77777777" w:rsidR="00316426" w:rsidRPr="00B5443B" w:rsidRDefault="00316426" w:rsidP="009C459E">
            <w:pPr>
              <w:pStyle w:val="Figure"/>
              <w:keepLines/>
            </w:pPr>
          </w:p>
        </w:tc>
      </w:tr>
      <w:tr w:rsidR="00316426" w:rsidRPr="00B5443B" w14:paraId="1E5C0223" w14:textId="77777777" w:rsidTr="009C459E">
        <w:tc>
          <w:tcPr>
            <w:tcW w:w="8771" w:type="dxa"/>
            <w:tcBorders>
              <w:top w:val="nil"/>
              <w:left w:val="nil"/>
              <w:bottom w:val="nil"/>
              <w:right w:val="nil"/>
            </w:tcBorders>
            <w:shd w:val="clear" w:color="auto" w:fill="auto"/>
          </w:tcPr>
          <w:p w14:paraId="4B01C7D5" w14:textId="6F2F7B89" w:rsidR="00316426" w:rsidRPr="00B5443B" w:rsidRDefault="00316426" w:rsidP="007F2265">
            <w:pPr>
              <w:pStyle w:val="Note"/>
              <w:keepNext/>
            </w:pPr>
            <w:r w:rsidRPr="00B5443B">
              <w:rPr>
                <w:rStyle w:val="NoteLabel"/>
              </w:rPr>
              <w:t>a</w:t>
            </w:r>
            <w:r w:rsidRPr="00B5443B">
              <w:sym w:font="Symbol" w:char="F020"/>
            </w:r>
            <w:r w:rsidRPr="00B5443B">
              <w:t>See box E.</w:t>
            </w:r>
            <w:r w:rsidR="00673425" w:rsidRPr="00B5443B">
              <w:t>9</w:t>
            </w:r>
            <w:r w:rsidRPr="00B5443B">
              <w:t xml:space="preserve"> and table EA.</w:t>
            </w:r>
            <w:r w:rsidR="007F2265" w:rsidRPr="00B5443B">
              <w:t xml:space="preserve">72 </w:t>
            </w:r>
            <w:r w:rsidRPr="00B5443B">
              <w:t>for detailed definitions, footnotes and caveats.</w:t>
            </w:r>
          </w:p>
        </w:tc>
      </w:tr>
      <w:tr w:rsidR="00316426" w:rsidRPr="00B5443B" w14:paraId="5D9B55B2" w14:textId="77777777" w:rsidTr="009C459E">
        <w:tc>
          <w:tcPr>
            <w:tcW w:w="8771" w:type="dxa"/>
            <w:tcBorders>
              <w:top w:val="nil"/>
              <w:left w:val="nil"/>
              <w:bottom w:val="nil"/>
              <w:right w:val="nil"/>
            </w:tcBorders>
            <w:shd w:val="clear" w:color="auto" w:fill="auto"/>
          </w:tcPr>
          <w:p w14:paraId="4ACAB555" w14:textId="0EA64A09" w:rsidR="00316426" w:rsidRPr="00B5443B" w:rsidRDefault="00316426" w:rsidP="007F2265">
            <w:pPr>
              <w:pStyle w:val="Source"/>
              <w:keepNext/>
            </w:pPr>
            <w:r w:rsidRPr="00B5443B">
              <w:rPr>
                <w:i/>
              </w:rPr>
              <w:t>Source</w:t>
            </w:r>
            <w:r w:rsidR="0064315A" w:rsidRPr="00B5443B">
              <w:t xml:space="preserve">: ABS </w:t>
            </w:r>
            <w:r w:rsidRPr="00B5443B">
              <w:t>(unpublished) Australian Aboriginal and Torres Strait Islander Health Survey, 201</w:t>
            </w:r>
            <w:r w:rsidR="005F1513" w:rsidRPr="00B5443B">
              <w:t>4</w:t>
            </w:r>
            <w:r w:rsidRPr="00B5443B">
              <w:noBreakHyphen/>
              <w:t>1</w:t>
            </w:r>
            <w:r w:rsidR="005F1513" w:rsidRPr="00B5443B">
              <w:t>5</w:t>
            </w:r>
            <w:r w:rsidRPr="00B5443B">
              <w:t xml:space="preserve"> (National Aboriginal and Torres Strait Islander Health Survey</w:t>
            </w:r>
            <w:r w:rsidRPr="00B5443B">
              <w:rPr>
                <w:i/>
              </w:rPr>
              <w:t xml:space="preserve"> </w:t>
            </w:r>
            <w:r w:rsidRPr="00B5443B">
              <w:t xml:space="preserve">component), Cat. no. 4727.0; </w:t>
            </w:r>
            <w:r w:rsidR="0064315A" w:rsidRPr="00B5443B">
              <w:t xml:space="preserve">table </w:t>
            </w:r>
            <w:r w:rsidRPr="00B5443B">
              <w:t>EA.</w:t>
            </w:r>
            <w:r w:rsidR="007F2265" w:rsidRPr="00B5443B">
              <w:t>72</w:t>
            </w:r>
            <w:r w:rsidRPr="00B5443B">
              <w:t>.</w:t>
            </w:r>
          </w:p>
        </w:tc>
      </w:tr>
      <w:tr w:rsidR="00316426" w:rsidRPr="00B5443B" w14:paraId="6D6A194B" w14:textId="77777777" w:rsidTr="009C459E">
        <w:tc>
          <w:tcPr>
            <w:tcW w:w="8771" w:type="dxa"/>
            <w:tcBorders>
              <w:top w:val="nil"/>
              <w:left w:val="nil"/>
              <w:bottom w:val="single" w:sz="6" w:space="0" w:color="78A22F"/>
              <w:right w:val="nil"/>
            </w:tcBorders>
            <w:shd w:val="clear" w:color="auto" w:fill="auto"/>
          </w:tcPr>
          <w:p w14:paraId="2B336302" w14:textId="77777777" w:rsidR="00316426" w:rsidRPr="00B5443B" w:rsidRDefault="00316426" w:rsidP="009C459E">
            <w:pPr>
              <w:pStyle w:val="Figurespace"/>
              <w:keepLines/>
            </w:pPr>
          </w:p>
        </w:tc>
      </w:tr>
      <w:tr w:rsidR="00316426" w:rsidRPr="00B5443B" w14:paraId="6C7B3D07" w14:textId="77777777" w:rsidTr="009C459E">
        <w:tc>
          <w:tcPr>
            <w:tcW w:w="8771" w:type="dxa"/>
            <w:tcBorders>
              <w:top w:val="single" w:sz="6" w:space="0" w:color="78A22F"/>
              <w:left w:val="nil"/>
              <w:bottom w:val="nil"/>
              <w:right w:val="nil"/>
            </w:tcBorders>
          </w:tcPr>
          <w:p w14:paraId="1A593CB9" w14:textId="50B64623" w:rsidR="00316426" w:rsidRPr="00B5443B" w:rsidRDefault="00316426" w:rsidP="009C459E">
            <w:pPr>
              <w:pStyle w:val="BoxSpaceBelow"/>
            </w:pPr>
          </w:p>
        </w:tc>
      </w:tr>
    </w:tbl>
    <w:p w14:paraId="4EE11BBF" w14:textId="77777777" w:rsidR="00252A63" w:rsidRPr="00B5443B" w:rsidRDefault="00252A63" w:rsidP="001379CF">
      <w:pPr>
        <w:pStyle w:val="Heading2"/>
        <w:rPr>
          <w:sz w:val="26"/>
        </w:rPr>
      </w:pPr>
      <w:bookmarkStart w:id="17" w:name="_Toc313526080"/>
      <w:bookmarkStart w:id="18" w:name="_Toc338147187"/>
      <w:bookmarkStart w:id="19" w:name="_Toc459735966"/>
      <w:bookmarkEnd w:id="16"/>
      <w:r w:rsidRPr="00B5443B">
        <w:lastRenderedPageBreak/>
        <w:t>E.3</w:t>
      </w:r>
      <w:r w:rsidRPr="00B5443B">
        <w:tab/>
        <w:t>Cross cutting and interface issues</w:t>
      </w:r>
      <w:bookmarkEnd w:id="17"/>
      <w:bookmarkEnd w:id="18"/>
      <w:bookmarkEnd w:id="19"/>
    </w:p>
    <w:p w14:paraId="2CF23EF0" w14:textId="77777777" w:rsidR="00252A63" w:rsidRPr="00B5443B" w:rsidRDefault="00252A63" w:rsidP="001379CF">
      <w:pPr>
        <w:pStyle w:val="BodyText"/>
      </w:pPr>
      <w:r w:rsidRPr="00B5443B">
        <w:t>The range of determinants affecting Australia’s health means that major improvements in health and other life outcomes depend not only on strong partnerships between components of the health system but also on strong relationships between the health sector and other government service sectors. For example:</w:t>
      </w:r>
    </w:p>
    <w:p w14:paraId="64653AC7" w14:textId="77777777" w:rsidR="00252A63" w:rsidRPr="00B5443B" w:rsidRDefault="00252A63" w:rsidP="001379CF">
      <w:pPr>
        <w:pStyle w:val="ListBullet"/>
      </w:pPr>
      <w:r w:rsidRPr="00B5443B">
        <w:t>Child care, education and training impacts on developmental outcomes and has consequences for overall health and wellbeing throughout life, while poor health has adverse effects on a child’s educational development (AIHW 2011)</w:t>
      </w:r>
    </w:p>
    <w:p w14:paraId="1A8CC9F9" w14:textId="77777777" w:rsidR="00252A63" w:rsidRPr="00B5443B" w:rsidRDefault="00252A63" w:rsidP="001379CF">
      <w:pPr>
        <w:pStyle w:val="ListBullet"/>
      </w:pPr>
      <w:r w:rsidRPr="00B5443B">
        <w:t xml:space="preserve">Justice services role in providing a safe and secure society and enforcing legislation reduces the risk of injury, while individuals with poor health, including mental illness and illicit drug use, are overrepresented in the justice system </w:t>
      </w:r>
      <w:r w:rsidR="00907AF3" w:rsidRPr="00B5443B">
        <w:t xml:space="preserve">(AIHW </w:t>
      </w:r>
      <w:r w:rsidRPr="00B5443B">
        <w:t>2012)</w:t>
      </w:r>
    </w:p>
    <w:p w14:paraId="262D1B98" w14:textId="77777777" w:rsidR="00252A63" w:rsidRPr="00B5443B" w:rsidRDefault="00252A63" w:rsidP="001379CF">
      <w:pPr>
        <w:pStyle w:val="ListBullet"/>
      </w:pPr>
      <w:r w:rsidRPr="00B5443B">
        <w:t>Housing and homelessness services impact on environmental risk factors for poor health, while individuals with poor health, including mental illness and illicit drug use, are overrepresented in the homeless populatio</w:t>
      </w:r>
      <w:r w:rsidR="00907AF3" w:rsidRPr="00B5443B">
        <w:t xml:space="preserve">n (Garner </w:t>
      </w:r>
      <w:r w:rsidRPr="00B5443B">
        <w:t>2006)</w:t>
      </w:r>
    </w:p>
    <w:p w14:paraId="7D9AD5FF" w14:textId="76FAA6F2" w:rsidR="00E07407" w:rsidRPr="00B5443B" w:rsidRDefault="00252A63">
      <w:pPr>
        <w:pStyle w:val="ListBullet"/>
      </w:pPr>
      <w:bookmarkStart w:id="20" w:name="_Toc313526081"/>
      <w:bookmarkStart w:id="21" w:name="_Toc338147188"/>
      <w:r w:rsidRPr="00B5443B">
        <w:t>Community services,</w:t>
      </w:r>
      <w:r w:rsidRPr="00B5443B">
        <w:rPr>
          <w:i/>
        </w:rPr>
        <w:t xml:space="preserve"> </w:t>
      </w:r>
      <w:r w:rsidRPr="00B5443B">
        <w:t>such as disability, aged care and child protection services, impact on environmental and social risk factors for poor health, while referrals to such services are often made by health professionals.</w:t>
      </w:r>
    </w:p>
    <w:p w14:paraId="2697024E" w14:textId="77777777" w:rsidR="00142792" w:rsidRPr="00B5443B" w:rsidRDefault="00252A63" w:rsidP="008A298B">
      <w:pPr>
        <w:pStyle w:val="Heading2"/>
        <w:keepNext w:val="0"/>
      </w:pPr>
      <w:bookmarkStart w:id="22" w:name="_Toc459735967"/>
      <w:r w:rsidRPr="00B5443B">
        <w:t>E.4</w:t>
      </w:r>
      <w:r w:rsidRPr="00B5443B">
        <w:tab/>
      </w:r>
      <w:bookmarkStart w:id="23" w:name="_Toc397611346"/>
      <w:bookmarkEnd w:id="20"/>
      <w:bookmarkEnd w:id="21"/>
      <w:r w:rsidR="00142792" w:rsidRPr="00B5443B">
        <w:t>Definitions of key terms</w:t>
      </w:r>
      <w:bookmarkEnd w:id="23"/>
      <w:bookmarkEnd w:id="22"/>
    </w:p>
    <w:p w14:paraId="0A4022C3" w14:textId="77777777" w:rsidR="00142792" w:rsidRPr="00B5443B" w:rsidRDefault="00142792" w:rsidP="008A298B">
      <w:pPr>
        <w:pStyle w:val="Figurespace"/>
        <w:keepNext w:val="0"/>
      </w:pPr>
    </w:p>
    <w:tbl>
      <w:tblPr>
        <w:tblW w:w="0" w:type="auto"/>
        <w:tblInd w:w="108" w:type="dxa"/>
        <w:tblLook w:val="01E0" w:firstRow="1" w:lastRow="1" w:firstColumn="1" w:lastColumn="1" w:noHBand="0" w:noVBand="0"/>
      </w:tblPr>
      <w:tblGrid>
        <w:gridCol w:w="2302"/>
        <w:gridCol w:w="6487"/>
      </w:tblGrid>
      <w:tr w:rsidR="00142792" w:rsidRPr="00B5443B" w14:paraId="4CD4FE0B" w14:textId="77777777" w:rsidTr="00EC7F7D">
        <w:tc>
          <w:tcPr>
            <w:tcW w:w="2302" w:type="dxa"/>
            <w:shd w:val="clear" w:color="auto" w:fill="auto"/>
          </w:tcPr>
          <w:p w14:paraId="59823DB3" w14:textId="77777777" w:rsidR="00142792" w:rsidRPr="00B5443B" w:rsidRDefault="00142792" w:rsidP="008A298B">
            <w:pPr>
              <w:pStyle w:val="TableBodyText"/>
              <w:keepNext w:val="0"/>
              <w:keepLines w:val="0"/>
              <w:spacing w:before="60" w:after="60"/>
              <w:jc w:val="left"/>
              <w:rPr>
                <w:b/>
              </w:rPr>
            </w:pPr>
            <w:r w:rsidRPr="00B5443B">
              <w:rPr>
                <w:b/>
              </w:rPr>
              <w:t>Admitted patient</w:t>
            </w:r>
          </w:p>
        </w:tc>
        <w:tc>
          <w:tcPr>
            <w:tcW w:w="6487" w:type="dxa"/>
            <w:shd w:val="clear" w:color="auto" w:fill="auto"/>
          </w:tcPr>
          <w:p w14:paraId="7485D1F8" w14:textId="77777777" w:rsidR="00142792" w:rsidRPr="00B5443B" w:rsidRDefault="00142792" w:rsidP="008A298B">
            <w:pPr>
              <w:pStyle w:val="TableBodyText"/>
              <w:keepNext w:val="0"/>
              <w:keepLines w:val="0"/>
              <w:spacing w:before="60" w:after="60"/>
              <w:jc w:val="left"/>
            </w:pPr>
            <w:r w:rsidRPr="00B5443B">
              <w:t>A patient who has undergone a formal admission process in a public hospital to begin an episode of care. Admitted patients can receive acute, subacute or non</w:t>
            </w:r>
            <w:r w:rsidRPr="00B5443B">
              <w:noBreakHyphen/>
              <w:t>acute care services.</w:t>
            </w:r>
          </w:p>
        </w:tc>
      </w:tr>
      <w:tr w:rsidR="00142792" w:rsidRPr="00B5443B" w14:paraId="19454F89" w14:textId="77777777" w:rsidTr="00EC7F7D">
        <w:tc>
          <w:tcPr>
            <w:tcW w:w="2302" w:type="dxa"/>
            <w:shd w:val="clear" w:color="auto" w:fill="auto"/>
          </w:tcPr>
          <w:p w14:paraId="2222DC04" w14:textId="77777777" w:rsidR="00142792" w:rsidRPr="00B5443B" w:rsidRDefault="00142792" w:rsidP="008A298B">
            <w:pPr>
              <w:pStyle w:val="TableBodyText"/>
              <w:keepNext w:val="0"/>
              <w:keepLines w:val="0"/>
              <w:spacing w:before="60" w:after="60"/>
              <w:jc w:val="left"/>
              <w:rPr>
                <w:b/>
              </w:rPr>
            </w:pPr>
            <w:r w:rsidRPr="00B5443B">
              <w:rPr>
                <w:b/>
              </w:rPr>
              <w:t>Allied health (non</w:t>
            </w:r>
            <w:r w:rsidRPr="00B5443B">
              <w:rPr>
                <w:b/>
              </w:rPr>
              <w:noBreakHyphen/>
              <w:t>admitted)</w:t>
            </w:r>
          </w:p>
        </w:tc>
        <w:tc>
          <w:tcPr>
            <w:tcW w:w="6487" w:type="dxa"/>
            <w:shd w:val="clear" w:color="auto" w:fill="auto"/>
          </w:tcPr>
          <w:p w14:paraId="2E5F4E23" w14:textId="79AAB855" w:rsidR="00142792" w:rsidRPr="00B5443B" w:rsidRDefault="00142792" w:rsidP="008A298B">
            <w:pPr>
              <w:pStyle w:val="TableBodyText"/>
              <w:keepNext w:val="0"/>
              <w:keepLines w:val="0"/>
              <w:spacing w:before="60" w:after="60"/>
              <w:jc w:val="left"/>
            </w:pPr>
            <w:r w:rsidRPr="00B5443B">
              <w:t>Occasions of service to non</w:t>
            </w:r>
            <w:r w:rsidR="007822E3">
              <w:noBreakHyphen/>
            </w:r>
            <w:r w:rsidRPr="00B5443B">
              <w:t>admitted patients at units/clinics providing treatment/counselling to patients. These include units providing physiotherapy, speech therapy, family planning, dietary advice, optometry and occupational therapy.</w:t>
            </w:r>
          </w:p>
        </w:tc>
      </w:tr>
      <w:tr w:rsidR="00142792" w:rsidRPr="00B5443B" w14:paraId="0487A06F" w14:textId="77777777" w:rsidTr="00EC7F7D">
        <w:tc>
          <w:tcPr>
            <w:tcW w:w="2302" w:type="dxa"/>
            <w:shd w:val="clear" w:color="auto" w:fill="auto"/>
          </w:tcPr>
          <w:p w14:paraId="130904CD" w14:textId="77777777" w:rsidR="00142792" w:rsidRPr="00B5443B" w:rsidRDefault="00142792" w:rsidP="008A298B">
            <w:pPr>
              <w:pStyle w:val="TableBodyText"/>
              <w:keepNext w:val="0"/>
              <w:keepLines w:val="0"/>
              <w:spacing w:before="60" w:after="60"/>
              <w:jc w:val="left"/>
              <w:rPr>
                <w:b/>
              </w:rPr>
            </w:pPr>
            <w:r w:rsidRPr="00B5443B">
              <w:rPr>
                <w:b/>
              </w:rPr>
              <w:t>Community health services</w:t>
            </w:r>
          </w:p>
        </w:tc>
        <w:tc>
          <w:tcPr>
            <w:tcW w:w="6487" w:type="dxa"/>
            <w:shd w:val="clear" w:color="auto" w:fill="auto"/>
          </w:tcPr>
          <w:p w14:paraId="5C09F1A1" w14:textId="77777777" w:rsidR="00142792" w:rsidRPr="00B5443B" w:rsidRDefault="00142792" w:rsidP="008A298B">
            <w:pPr>
              <w:pStyle w:val="TableBodyText"/>
              <w:keepNext w:val="0"/>
              <w:keepLines w:val="0"/>
              <w:spacing w:before="60" w:after="60"/>
              <w:jc w:val="left"/>
            </w:pPr>
            <w:r w:rsidRPr="00B5443B">
              <w:t>Health services for individuals and groups delivered in a community setting, rather than via hospitals or private facilities.</w:t>
            </w:r>
          </w:p>
        </w:tc>
      </w:tr>
      <w:tr w:rsidR="00142792" w:rsidRPr="00B5443B" w14:paraId="19A5742C" w14:textId="77777777" w:rsidTr="00EC7F7D">
        <w:tc>
          <w:tcPr>
            <w:tcW w:w="2302" w:type="dxa"/>
            <w:shd w:val="clear" w:color="auto" w:fill="auto"/>
          </w:tcPr>
          <w:p w14:paraId="622267DD" w14:textId="77777777" w:rsidR="00142792" w:rsidRPr="00B5443B" w:rsidRDefault="00142792" w:rsidP="008A298B">
            <w:pPr>
              <w:pStyle w:val="TableBodyText"/>
              <w:keepNext w:val="0"/>
              <w:keepLines w:val="0"/>
              <w:spacing w:before="60" w:after="60"/>
              <w:jc w:val="left"/>
              <w:rPr>
                <w:b/>
              </w:rPr>
            </w:pPr>
            <w:r w:rsidRPr="00B5443B">
              <w:rPr>
                <w:b/>
              </w:rPr>
              <w:t>Comparability</w:t>
            </w:r>
          </w:p>
        </w:tc>
        <w:tc>
          <w:tcPr>
            <w:tcW w:w="6487" w:type="dxa"/>
            <w:shd w:val="clear" w:color="auto" w:fill="auto"/>
          </w:tcPr>
          <w:p w14:paraId="5CF76333" w14:textId="22496685" w:rsidR="00142792" w:rsidRPr="00B5443B" w:rsidRDefault="00142792" w:rsidP="008A298B">
            <w:pPr>
              <w:pStyle w:val="TableBodyText"/>
              <w:keepNext w:val="0"/>
              <w:keepLines w:val="0"/>
              <w:spacing w:before="60" w:after="60"/>
              <w:jc w:val="left"/>
            </w:pPr>
            <w:r w:rsidRPr="00B5443B">
              <w:t>Data are considered comparable if (subject to caveats) they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w:t>
            </w:r>
          </w:p>
        </w:tc>
      </w:tr>
      <w:tr w:rsidR="00142792" w:rsidRPr="00B5443B" w14:paraId="09CEF345" w14:textId="77777777" w:rsidTr="00EC7F7D">
        <w:tc>
          <w:tcPr>
            <w:tcW w:w="2302" w:type="dxa"/>
            <w:shd w:val="clear" w:color="auto" w:fill="auto"/>
          </w:tcPr>
          <w:p w14:paraId="7B666AE3" w14:textId="77777777" w:rsidR="00142792" w:rsidRPr="00B5443B" w:rsidRDefault="00142792" w:rsidP="008A298B">
            <w:pPr>
              <w:pStyle w:val="TableBodyText"/>
              <w:keepNext w:val="0"/>
              <w:keepLines w:val="0"/>
              <w:spacing w:before="60" w:after="60"/>
              <w:jc w:val="left"/>
              <w:rPr>
                <w:b/>
              </w:rPr>
            </w:pPr>
            <w:r w:rsidRPr="00B5443B">
              <w:rPr>
                <w:b/>
              </w:rPr>
              <w:t>Completeness</w:t>
            </w:r>
          </w:p>
        </w:tc>
        <w:tc>
          <w:tcPr>
            <w:tcW w:w="6487" w:type="dxa"/>
            <w:shd w:val="clear" w:color="auto" w:fill="auto"/>
          </w:tcPr>
          <w:p w14:paraId="231F7B6E" w14:textId="77777777" w:rsidR="00142792" w:rsidRPr="00B5443B" w:rsidRDefault="00142792" w:rsidP="008A298B">
            <w:pPr>
              <w:pStyle w:val="TableBodyText"/>
              <w:keepNext w:val="0"/>
              <w:keepLines w:val="0"/>
              <w:spacing w:before="60" w:after="60"/>
              <w:jc w:val="left"/>
            </w:pPr>
            <w:r w:rsidRPr="00B5443B">
              <w:t>Data are considered complete if all required data are available for all jurisdictions that provide the service.</w:t>
            </w:r>
          </w:p>
        </w:tc>
      </w:tr>
      <w:tr w:rsidR="00142792" w:rsidRPr="00B5443B" w14:paraId="502E2C28" w14:textId="77777777" w:rsidTr="00EC7F7D">
        <w:tc>
          <w:tcPr>
            <w:tcW w:w="2302" w:type="dxa"/>
            <w:shd w:val="clear" w:color="auto" w:fill="auto"/>
          </w:tcPr>
          <w:p w14:paraId="63575C68" w14:textId="77777777" w:rsidR="00142792" w:rsidRPr="00B5443B" w:rsidRDefault="00142792" w:rsidP="008A298B">
            <w:pPr>
              <w:pStyle w:val="TableBodyText"/>
              <w:keepNext w:val="0"/>
              <w:keepLines w:val="0"/>
              <w:spacing w:before="60" w:after="60"/>
              <w:jc w:val="left"/>
              <w:rPr>
                <w:b/>
              </w:rPr>
            </w:pPr>
            <w:r w:rsidRPr="00B5443B">
              <w:rPr>
                <w:b/>
              </w:rPr>
              <w:t>Fetal death</w:t>
            </w:r>
          </w:p>
        </w:tc>
        <w:tc>
          <w:tcPr>
            <w:tcW w:w="6487" w:type="dxa"/>
            <w:shd w:val="clear" w:color="auto" w:fill="auto"/>
          </w:tcPr>
          <w:p w14:paraId="2980E06B" w14:textId="77777777" w:rsidR="00142792" w:rsidRPr="00B5443B" w:rsidRDefault="00142792" w:rsidP="008A298B">
            <w:pPr>
              <w:pStyle w:val="TableBodyText"/>
              <w:keepNext w:val="0"/>
              <w:keepLines w:val="0"/>
              <w:spacing w:before="60" w:after="60"/>
              <w:jc w:val="left"/>
            </w:pPr>
            <w:r w:rsidRPr="00B5443B">
              <w:t>Delivery of a child who did not at any time after delivery breathe or show any other evidence of life, such as a heartbeat. Excludes infants that weigh less than 400 grams or that are of a gestational age of less than 20 weeks.</w:t>
            </w:r>
          </w:p>
        </w:tc>
      </w:tr>
      <w:tr w:rsidR="00142792" w:rsidRPr="00B5443B" w14:paraId="2E7A6C20" w14:textId="77777777" w:rsidTr="00EC7F7D">
        <w:tc>
          <w:tcPr>
            <w:tcW w:w="2302" w:type="dxa"/>
            <w:shd w:val="clear" w:color="auto" w:fill="auto"/>
          </w:tcPr>
          <w:p w14:paraId="1660D8B8" w14:textId="77777777" w:rsidR="00142792" w:rsidRPr="00B5443B" w:rsidRDefault="00142792" w:rsidP="008A298B">
            <w:pPr>
              <w:pStyle w:val="TableBodyText"/>
              <w:keepNext w:val="0"/>
              <w:keepLines w:val="0"/>
              <w:spacing w:before="60" w:after="60"/>
              <w:jc w:val="left"/>
              <w:rPr>
                <w:b/>
              </w:rPr>
            </w:pPr>
            <w:r w:rsidRPr="00B5443B">
              <w:rPr>
                <w:b/>
              </w:rPr>
              <w:t>Fetal death rate</w:t>
            </w:r>
          </w:p>
        </w:tc>
        <w:tc>
          <w:tcPr>
            <w:tcW w:w="6487" w:type="dxa"/>
            <w:shd w:val="clear" w:color="auto" w:fill="auto"/>
          </w:tcPr>
          <w:p w14:paraId="1C66CAAF" w14:textId="77777777" w:rsidR="00142792" w:rsidRPr="00B5443B" w:rsidRDefault="00142792" w:rsidP="008A298B">
            <w:pPr>
              <w:pStyle w:val="TableBodyText"/>
              <w:keepNext w:val="0"/>
              <w:keepLines w:val="0"/>
              <w:spacing w:before="60" w:after="60"/>
              <w:jc w:val="left"/>
            </w:pPr>
            <w:r w:rsidRPr="00B5443B">
              <w:t>The number of fetal deaths divided by the total number of births (that is, by live births registered and fetal deaths combined).</w:t>
            </w:r>
          </w:p>
        </w:tc>
      </w:tr>
      <w:tr w:rsidR="00142792" w:rsidRPr="00B5443B" w14:paraId="0FB37D88" w14:textId="77777777" w:rsidTr="00EC7F7D">
        <w:tc>
          <w:tcPr>
            <w:tcW w:w="2302" w:type="dxa"/>
            <w:shd w:val="clear" w:color="auto" w:fill="auto"/>
          </w:tcPr>
          <w:p w14:paraId="2992C538" w14:textId="77777777" w:rsidR="00142792" w:rsidRPr="00B5443B" w:rsidRDefault="00142792" w:rsidP="008A298B">
            <w:pPr>
              <w:pStyle w:val="TableBodyText"/>
              <w:keepNext w:val="0"/>
              <w:keepLines w:val="0"/>
              <w:spacing w:before="60" w:after="60"/>
              <w:jc w:val="left"/>
              <w:rPr>
                <w:b/>
              </w:rPr>
            </w:pPr>
            <w:r w:rsidRPr="00B5443B">
              <w:rPr>
                <w:b/>
              </w:rPr>
              <w:t xml:space="preserve">General practice </w:t>
            </w:r>
          </w:p>
        </w:tc>
        <w:tc>
          <w:tcPr>
            <w:tcW w:w="6487" w:type="dxa"/>
            <w:shd w:val="clear" w:color="auto" w:fill="auto"/>
          </w:tcPr>
          <w:p w14:paraId="7EA4B4A8" w14:textId="3D3DDAE6" w:rsidR="00142792" w:rsidRPr="00B5443B" w:rsidRDefault="00142792" w:rsidP="008A298B">
            <w:pPr>
              <w:pStyle w:val="TableBodyText"/>
              <w:keepNext w:val="0"/>
              <w:keepLines w:val="0"/>
              <w:spacing w:before="60" w:after="60"/>
              <w:jc w:val="left"/>
            </w:pPr>
            <w:r w:rsidRPr="00B5443B">
              <w:t>The organisational structure with one or more GPs and other staff. A general practice provides and supervises healthcare for a ‘population</w:t>
            </w:r>
            <w:r w:rsidR="007822E3">
              <w:t>’</w:t>
            </w:r>
            <w:r w:rsidRPr="00B5443B">
              <w:t xml:space="preserve"> of patients and can include services for specific populations, such as women’s health or </w:t>
            </w:r>
            <w:r w:rsidRPr="00B5443B">
              <w:lastRenderedPageBreak/>
              <w:t>Aboriginal and Torres Strait Islander people’s health.</w:t>
            </w:r>
          </w:p>
        </w:tc>
      </w:tr>
      <w:tr w:rsidR="00142792" w:rsidRPr="00B5443B" w14:paraId="0F338C99" w14:textId="77777777" w:rsidTr="00EC7F7D">
        <w:tc>
          <w:tcPr>
            <w:tcW w:w="2302" w:type="dxa"/>
            <w:shd w:val="clear" w:color="auto" w:fill="auto"/>
          </w:tcPr>
          <w:p w14:paraId="73E37E7B" w14:textId="77777777" w:rsidR="00142792" w:rsidRPr="00B5443B" w:rsidRDefault="00142792" w:rsidP="008A298B">
            <w:pPr>
              <w:pStyle w:val="TableBodyText"/>
              <w:keepNext w:val="0"/>
              <w:keepLines w:val="0"/>
              <w:spacing w:before="60" w:after="60"/>
              <w:jc w:val="left"/>
              <w:rPr>
                <w:b/>
              </w:rPr>
            </w:pPr>
            <w:r w:rsidRPr="00B5443B">
              <w:rPr>
                <w:b/>
              </w:rPr>
              <w:lastRenderedPageBreak/>
              <w:t>Live birth</w:t>
            </w:r>
          </w:p>
        </w:tc>
        <w:tc>
          <w:tcPr>
            <w:tcW w:w="6487" w:type="dxa"/>
            <w:shd w:val="clear" w:color="auto" w:fill="auto"/>
          </w:tcPr>
          <w:p w14:paraId="797817BC" w14:textId="77777777" w:rsidR="00142792" w:rsidRPr="00B5443B" w:rsidRDefault="00142792" w:rsidP="008A298B">
            <w:pPr>
              <w:pStyle w:val="TableBodyText"/>
              <w:keepNext w:val="0"/>
              <w:keepLines w:val="0"/>
              <w:spacing w:before="60" w:after="60"/>
              <w:jc w:val="left"/>
            </w:pPr>
            <w:r w:rsidRPr="00B5443B">
              <w:t>Birth of a child who, after delivery, breathes or shows any other evidence of life, such as a heartbeat. Includes all registered live births regardless of birthweight.</w:t>
            </w:r>
          </w:p>
        </w:tc>
      </w:tr>
      <w:tr w:rsidR="00142792" w:rsidRPr="00B5443B" w14:paraId="611698C7" w14:textId="77777777" w:rsidTr="00EC7F7D">
        <w:tc>
          <w:tcPr>
            <w:tcW w:w="2302" w:type="dxa"/>
            <w:shd w:val="clear" w:color="auto" w:fill="auto"/>
          </w:tcPr>
          <w:p w14:paraId="47A58274" w14:textId="77777777" w:rsidR="00142792" w:rsidRPr="00B5443B" w:rsidRDefault="00142792" w:rsidP="008A298B">
            <w:pPr>
              <w:pStyle w:val="TableBodyText"/>
              <w:keepNext w:val="0"/>
              <w:keepLines w:val="0"/>
              <w:spacing w:before="60" w:after="60"/>
              <w:jc w:val="left"/>
              <w:rPr>
                <w:b/>
              </w:rPr>
            </w:pPr>
            <w:r w:rsidRPr="00B5443B">
              <w:rPr>
                <w:b/>
              </w:rPr>
              <w:t>Medicare</w:t>
            </w:r>
          </w:p>
        </w:tc>
        <w:tc>
          <w:tcPr>
            <w:tcW w:w="6487" w:type="dxa"/>
            <w:shd w:val="clear" w:color="auto" w:fill="auto"/>
          </w:tcPr>
          <w:p w14:paraId="338A70D0" w14:textId="77777777" w:rsidR="00142792" w:rsidRPr="00B5443B" w:rsidRDefault="00142792" w:rsidP="008A298B">
            <w:pPr>
              <w:pStyle w:val="TableBodyText"/>
              <w:keepNext w:val="0"/>
              <w:keepLines w:val="0"/>
              <w:spacing w:before="60" w:after="60"/>
              <w:jc w:val="left"/>
            </w:pPr>
            <w:r w:rsidRPr="00B5443B">
              <w:t>Australian Government funding of private medical and optometrical services (under the Medicare Benefits Schedule). Sometimes defined to include other forms of Australian Government funding such as subsidisation of selected pharmaceuticals (under the Pharmaceutical Benefits Scheme) and public hospital funding (under the Australian Health Care Agreements), which provides public hospital services free of charge to public patients.</w:t>
            </w:r>
          </w:p>
        </w:tc>
      </w:tr>
      <w:tr w:rsidR="00142792" w:rsidRPr="00B5443B" w14:paraId="655C9127" w14:textId="77777777" w:rsidTr="00EC7F7D">
        <w:tc>
          <w:tcPr>
            <w:tcW w:w="2302" w:type="dxa"/>
            <w:shd w:val="clear" w:color="auto" w:fill="auto"/>
          </w:tcPr>
          <w:p w14:paraId="3AEFF37E" w14:textId="77777777" w:rsidR="00142792" w:rsidRPr="00B5443B" w:rsidRDefault="00142792" w:rsidP="008A298B">
            <w:pPr>
              <w:pStyle w:val="TableBodyText"/>
              <w:keepNext w:val="0"/>
              <w:keepLines w:val="0"/>
              <w:spacing w:before="60" w:after="60"/>
              <w:jc w:val="left"/>
              <w:rPr>
                <w:b/>
              </w:rPr>
            </w:pPr>
            <w:r w:rsidRPr="00B5443B">
              <w:rPr>
                <w:b/>
              </w:rPr>
              <w:t>Mortality rate</w:t>
            </w:r>
          </w:p>
        </w:tc>
        <w:tc>
          <w:tcPr>
            <w:tcW w:w="6487" w:type="dxa"/>
            <w:shd w:val="clear" w:color="auto" w:fill="auto"/>
          </w:tcPr>
          <w:p w14:paraId="225D0384" w14:textId="77777777" w:rsidR="00142792" w:rsidRPr="00B5443B" w:rsidRDefault="00142792" w:rsidP="008A298B">
            <w:pPr>
              <w:pStyle w:val="TableBodyText"/>
              <w:keepNext w:val="0"/>
              <w:keepLines w:val="0"/>
              <w:spacing w:before="60" w:after="60"/>
              <w:jc w:val="left"/>
            </w:pPr>
            <w:r w:rsidRPr="00B5443B">
              <w:t>The number of deaths per 100 000 people.</w:t>
            </w:r>
          </w:p>
        </w:tc>
      </w:tr>
      <w:tr w:rsidR="00142792" w:rsidRPr="00B5443B" w14:paraId="43FAB44D" w14:textId="77777777" w:rsidTr="00EC7F7D">
        <w:tc>
          <w:tcPr>
            <w:tcW w:w="2302" w:type="dxa"/>
            <w:shd w:val="clear" w:color="auto" w:fill="auto"/>
          </w:tcPr>
          <w:p w14:paraId="2B3979D5" w14:textId="77777777" w:rsidR="00142792" w:rsidRPr="00B5443B" w:rsidRDefault="00142792" w:rsidP="008A298B">
            <w:pPr>
              <w:pStyle w:val="TableBodyText"/>
              <w:keepNext w:val="0"/>
              <w:keepLines w:val="0"/>
              <w:spacing w:before="60" w:after="60"/>
              <w:jc w:val="left"/>
              <w:rPr>
                <w:b/>
              </w:rPr>
            </w:pPr>
            <w:r w:rsidRPr="00B5443B">
              <w:rPr>
                <w:b/>
              </w:rPr>
              <w:t>Neonatal death</w:t>
            </w:r>
          </w:p>
        </w:tc>
        <w:tc>
          <w:tcPr>
            <w:tcW w:w="6487" w:type="dxa"/>
            <w:shd w:val="clear" w:color="auto" w:fill="auto"/>
          </w:tcPr>
          <w:p w14:paraId="5703B319" w14:textId="77777777" w:rsidR="00142792" w:rsidRPr="00B5443B" w:rsidRDefault="00142792" w:rsidP="008A298B">
            <w:pPr>
              <w:pStyle w:val="TableBodyText"/>
              <w:keepNext w:val="0"/>
              <w:keepLines w:val="0"/>
              <w:spacing w:before="60" w:after="60"/>
              <w:jc w:val="left"/>
            </w:pPr>
            <w:r w:rsidRPr="00B5443B">
              <w:t>Death of a live born infant within 28 days of birth. Defined in Australia as the death of an infant that weighs at least 400 grams or that is of a gestational age of at least 20 weeks.</w:t>
            </w:r>
          </w:p>
        </w:tc>
      </w:tr>
      <w:tr w:rsidR="00142792" w:rsidRPr="00B5443B" w14:paraId="579BF25C" w14:textId="77777777" w:rsidTr="00EC7F7D">
        <w:tc>
          <w:tcPr>
            <w:tcW w:w="2302" w:type="dxa"/>
            <w:shd w:val="clear" w:color="auto" w:fill="auto"/>
          </w:tcPr>
          <w:p w14:paraId="03E3CF3C" w14:textId="77777777" w:rsidR="00142792" w:rsidRPr="00B5443B" w:rsidRDefault="00142792" w:rsidP="008A298B">
            <w:pPr>
              <w:pStyle w:val="TableBodyText"/>
              <w:keepNext w:val="0"/>
              <w:keepLines w:val="0"/>
              <w:spacing w:before="60" w:after="60"/>
              <w:jc w:val="left"/>
              <w:rPr>
                <w:b/>
              </w:rPr>
            </w:pPr>
            <w:r w:rsidRPr="00B5443B">
              <w:rPr>
                <w:b/>
              </w:rPr>
              <w:t>Neonatal death rate</w:t>
            </w:r>
          </w:p>
        </w:tc>
        <w:tc>
          <w:tcPr>
            <w:tcW w:w="6487" w:type="dxa"/>
            <w:shd w:val="clear" w:color="auto" w:fill="auto"/>
          </w:tcPr>
          <w:p w14:paraId="5591DB6E" w14:textId="77777777" w:rsidR="00142792" w:rsidRPr="00B5443B" w:rsidRDefault="00142792" w:rsidP="008A298B">
            <w:pPr>
              <w:pStyle w:val="TableBodyText"/>
              <w:keepNext w:val="0"/>
              <w:keepLines w:val="0"/>
              <w:spacing w:before="60" w:after="60"/>
              <w:jc w:val="left"/>
            </w:pPr>
            <w:r w:rsidRPr="00B5443B">
              <w:t>Neonatal deaths divided by the number of live births registered.</w:t>
            </w:r>
          </w:p>
        </w:tc>
      </w:tr>
      <w:tr w:rsidR="00142792" w:rsidRPr="00B5443B" w14:paraId="5CE4904E" w14:textId="77777777" w:rsidTr="00EC7F7D">
        <w:tc>
          <w:tcPr>
            <w:tcW w:w="2302" w:type="dxa"/>
            <w:shd w:val="clear" w:color="auto" w:fill="auto"/>
          </w:tcPr>
          <w:p w14:paraId="14ADA6BD" w14:textId="77777777" w:rsidR="00142792" w:rsidRPr="00B5443B" w:rsidRDefault="00142792" w:rsidP="008A298B">
            <w:pPr>
              <w:pStyle w:val="TableBodyText"/>
              <w:keepNext w:val="0"/>
              <w:keepLines w:val="0"/>
              <w:spacing w:before="60" w:after="60"/>
              <w:jc w:val="left"/>
              <w:rPr>
                <w:b/>
              </w:rPr>
            </w:pPr>
            <w:r w:rsidRPr="00B5443B">
              <w:rPr>
                <w:b/>
              </w:rPr>
              <w:t>Nursing workforce</w:t>
            </w:r>
          </w:p>
        </w:tc>
        <w:tc>
          <w:tcPr>
            <w:tcW w:w="6487" w:type="dxa"/>
            <w:shd w:val="clear" w:color="auto" w:fill="auto"/>
          </w:tcPr>
          <w:p w14:paraId="64E2690A" w14:textId="77777777" w:rsidR="00142792" w:rsidRPr="00B5443B" w:rsidRDefault="00142792" w:rsidP="008A298B">
            <w:pPr>
              <w:pStyle w:val="TableBodyText"/>
              <w:keepNext w:val="0"/>
              <w:keepLines w:val="0"/>
              <w:spacing w:before="60" w:after="60"/>
              <w:jc w:val="left"/>
            </w:pPr>
            <w:r w:rsidRPr="00B5443B">
              <w:t>Registered and enrolled nurses who are employed in nursing, on extended leave or looking for work in nursing.</w:t>
            </w:r>
          </w:p>
        </w:tc>
      </w:tr>
      <w:tr w:rsidR="00142792" w:rsidRPr="00B5443B" w14:paraId="241FCC39" w14:textId="77777777" w:rsidTr="00EC7F7D">
        <w:tc>
          <w:tcPr>
            <w:tcW w:w="2302" w:type="dxa"/>
            <w:shd w:val="clear" w:color="auto" w:fill="auto"/>
          </w:tcPr>
          <w:p w14:paraId="4780DAD9" w14:textId="77777777" w:rsidR="00142792" w:rsidRPr="00B5443B" w:rsidRDefault="00142792" w:rsidP="008A298B">
            <w:pPr>
              <w:pStyle w:val="TableBodyText"/>
              <w:keepNext w:val="0"/>
              <w:keepLines w:val="0"/>
              <w:spacing w:before="60" w:after="60"/>
              <w:jc w:val="left"/>
              <w:rPr>
                <w:b/>
              </w:rPr>
            </w:pPr>
            <w:r w:rsidRPr="00B5443B">
              <w:rPr>
                <w:b/>
              </w:rPr>
              <w:t>Medical practitioner workforce</w:t>
            </w:r>
          </w:p>
        </w:tc>
        <w:tc>
          <w:tcPr>
            <w:tcW w:w="6487" w:type="dxa"/>
            <w:shd w:val="clear" w:color="auto" w:fill="auto"/>
          </w:tcPr>
          <w:p w14:paraId="3558A0DB" w14:textId="77777777" w:rsidR="00142792" w:rsidRPr="00B5443B" w:rsidRDefault="00142792" w:rsidP="008A298B">
            <w:pPr>
              <w:pStyle w:val="TableBodyText"/>
              <w:keepNext w:val="0"/>
              <w:keepLines w:val="0"/>
              <w:spacing w:before="60" w:after="60"/>
              <w:jc w:val="left"/>
            </w:pPr>
            <w:r w:rsidRPr="00B5443B">
              <w:t>Registered medical practitioners who are employed as medical practitioners, on extended leave or looking for work as a medical practitioner.</w:t>
            </w:r>
          </w:p>
        </w:tc>
      </w:tr>
      <w:tr w:rsidR="00142792" w:rsidRPr="00B5443B" w14:paraId="730D56D2" w14:textId="77777777" w:rsidTr="00EC7F7D">
        <w:tc>
          <w:tcPr>
            <w:tcW w:w="2302" w:type="dxa"/>
            <w:shd w:val="clear" w:color="auto" w:fill="auto"/>
          </w:tcPr>
          <w:p w14:paraId="72EA784D" w14:textId="77777777" w:rsidR="00142792" w:rsidRPr="00B5443B" w:rsidRDefault="00142792" w:rsidP="008A298B">
            <w:pPr>
              <w:pStyle w:val="TableBodyText"/>
              <w:keepNext w:val="0"/>
              <w:keepLines w:val="0"/>
              <w:spacing w:before="60" w:after="60"/>
              <w:jc w:val="left"/>
              <w:rPr>
                <w:b/>
              </w:rPr>
            </w:pPr>
            <w:r w:rsidRPr="00B5443B">
              <w:rPr>
                <w:b/>
              </w:rPr>
              <w:t>Perinatal death</w:t>
            </w:r>
          </w:p>
        </w:tc>
        <w:tc>
          <w:tcPr>
            <w:tcW w:w="6487" w:type="dxa"/>
            <w:shd w:val="clear" w:color="auto" w:fill="auto"/>
          </w:tcPr>
          <w:p w14:paraId="28161AC2" w14:textId="77777777" w:rsidR="00142792" w:rsidRPr="00B5443B" w:rsidRDefault="00142792" w:rsidP="008A298B">
            <w:pPr>
              <w:pStyle w:val="TableBodyText"/>
              <w:keepNext w:val="0"/>
              <w:keepLines w:val="0"/>
              <w:spacing w:before="60" w:after="60"/>
              <w:jc w:val="left"/>
            </w:pPr>
            <w:r w:rsidRPr="00B5443B">
              <w:t>Fetal death or neonatal death of an infant that weighs at least 400 grams or that is of a gestational age of at least 20 weeks.</w:t>
            </w:r>
          </w:p>
        </w:tc>
      </w:tr>
      <w:tr w:rsidR="00142792" w:rsidRPr="00B5443B" w14:paraId="4618C6A6" w14:textId="77777777" w:rsidTr="00EC7F7D">
        <w:tc>
          <w:tcPr>
            <w:tcW w:w="2302" w:type="dxa"/>
            <w:shd w:val="clear" w:color="auto" w:fill="auto"/>
          </w:tcPr>
          <w:p w14:paraId="61C8A807" w14:textId="77777777" w:rsidR="00142792" w:rsidRPr="00B5443B" w:rsidRDefault="00142792" w:rsidP="008A298B">
            <w:pPr>
              <w:pStyle w:val="TableBodyText"/>
              <w:keepNext w:val="0"/>
              <w:keepLines w:val="0"/>
              <w:spacing w:before="60" w:after="60"/>
              <w:jc w:val="left"/>
              <w:rPr>
                <w:b/>
              </w:rPr>
            </w:pPr>
            <w:r w:rsidRPr="00B5443B">
              <w:rPr>
                <w:b/>
              </w:rPr>
              <w:t>Perinatal death rate</w:t>
            </w:r>
          </w:p>
        </w:tc>
        <w:tc>
          <w:tcPr>
            <w:tcW w:w="6487" w:type="dxa"/>
            <w:shd w:val="clear" w:color="auto" w:fill="auto"/>
          </w:tcPr>
          <w:p w14:paraId="69E30A8E" w14:textId="77777777" w:rsidR="00142792" w:rsidRPr="00B5443B" w:rsidRDefault="00142792" w:rsidP="008A298B">
            <w:pPr>
              <w:pStyle w:val="TableBodyText"/>
              <w:keepNext w:val="0"/>
              <w:keepLines w:val="0"/>
              <w:spacing w:before="60" w:after="60"/>
              <w:jc w:val="left"/>
            </w:pPr>
            <w:r w:rsidRPr="00B5443B">
              <w:t>Perinatal deaths divided by the total number of births (that is, live births registered and fetal deaths combined).</w:t>
            </w:r>
          </w:p>
        </w:tc>
      </w:tr>
      <w:tr w:rsidR="00142792" w:rsidRPr="00B5443B" w14:paraId="49FEAD73" w14:textId="77777777" w:rsidTr="00EC7F7D">
        <w:tc>
          <w:tcPr>
            <w:tcW w:w="2302" w:type="dxa"/>
            <w:shd w:val="clear" w:color="auto" w:fill="auto"/>
          </w:tcPr>
          <w:p w14:paraId="3F8998B5" w14:textId="77777777" w:rsidR="00142792" w:rsidRPr="00B5443B" w:rsidRDefault="00142792" w:rsidP="008A298B">
            <w:pPr>
              <w:pStyle w:val="TableBodyText"/>
              <w:keepNext w:val="0"/>
              <w:keepLines w:val="0"/>
              <w:spacing w:before="60" w:after="60"/>
              <w:jc w:val="left"/>
              <w:rPr>
                <w:b/>
              </w:rPr>
            </w:pPr>
            <w:r w:rsidRPr="00B5443B">
              <w:rPr>
                <w:b/>
              </w:rPr>
              <w:t>Public hospital</w:t>
            </w:r>
          </w:p>
        </w:tc>
        <w:tc>
          <w:tcPr>
            <w:tcW w:w="6487" w:type="dxa"/>
            <w:shd w:val="clear" w:color="auto" w:fill="auto"/>
          </w:tcPr>
          <w:p w14:paraId="1CB43FC2" w14:textId="41A466B8" w:rsidR="00142792" w:rsidRPr="00B5443B" w:rsidRDefault="00142792" w:rsidP="008A298B">
            <w:pPr>
              <w:pStyle w:val="TableBodyText"/>
              <w:keepNext w:val="0"/>
              <w:keepLines w:val="0"/>
              <w:spacing w:before="60" w:after="60"/>
              <w:jc w:val="left"/>
            </w:pPr>
            <w:r w:rsidRPr="00B5443B">
              <w:t>A hospital that provides free treatment and accommodation to eligible admitted persons who elect to be treated as public patients. It also provides free services to eligible non</w:t>
            </w:r>
            <w:r w:rsidR="007822E3">
              <w:noBreakHyphen/>
            </w:r>
            <w:r w:rsidRPr="00B5443B">
              <w:t>admitted patients and can provide (and charge for) treatment and accommodation services to private patients. Charges to non</w:t>
            </w:r>
            <w:r w:rsidR="007822E3">
              <w:noBreakHyphen/>
            </w:r>
            <w:r w:rsidRPr="00B5443B">
              <w:t>admitted patients and admitted patients on discharge can be levied in accordance with the Australian Health Care Agreements.</w:t>
            </w:r>
          </w:p>
        </w:tc>
      </w:tr>
      <w:tr w:rsidR="00142792" w:rsidRPr="00B5443B" w14:paraId="3323F488" w14:textId="77777777" w:rsidTr="00EC7F7D">
        <w:tc>
          <w:tcPr>
            <w:tcW w:w="2302" w:type="dxa"/>
            <w:shd w:val="clear" w:color="auto" w:fill="auto"/>
          </w:tcPr>
          <w:p w14:paraId="4A50E28D" w14:textId="77777777" w:rsidR="00142792" w:rsidRPr="00B5443B" w:rsidRDefault="00142792" w:rsidP="008A298B">
            <w:pPr>
              <w:pStyle w:val="TableBodyText"/>
              <w:keepNext w:val="0"/>
              <w:keepLines w:val="0"/>
              <w:spacing w:before="60" w:after="60"/>
              <w:jc w:val="left"/>
              <w:rPr>
                <w:b/>
              </w:rPr>
            </w:pPr>
            <w:r w:rsidRPr="00B5443B">
              <w:rPr>
                <w:b/>
              </w:rPr>
              <w:t>Real expenditure</w:t>
            </w:r>
          </w:p>
        </w:tc>
        <w:tc>
          <w:tcPr>
            <w:tcW w:w="6487" w:type="dxa"/>
            <w:shd w:val="clear" w:color="auto" w:fill="auto"/>
          </w:tcPr>
          <w:p w14:paraId="1C1029E5" w14:textId="77777777" w:rsidR="00142792" w:rsidRPr="00B5443B" w:rsidRDefault="00142792" w:rsidP="008A298B">
            <w:pPr>
              <w:pStyle w:val="TableBodyText"/>
              <w:keepNext w:val="0"/>
              <w:keepLines w:val="0"/>
              <w:spacing w:before="60" w:after="60"/>
              <w:jc w:val="left"/>
            </w:pPr>
            <w:r w:rsidRPr="00B5443B">
              <w:t>Actual expenditure adjusted for changes in prices.</w:t>
            </w:r>
          </w:p>
        </w:tc>
      </w:tr>
    </w:tbl>
    <w:p w14:paraId="0568E40B" w14:textId="77777777" w:rsidR="00252A63" w:rsidRPr="00B5443B" w:rsidRDefault="00252A63" w:rsidP="001379CF">
      <w:pPr>
        <w:pStyle w:val="Heading2"/>
      </w:pPr>
      <w:bookmarkStart w:id="24" w:name="_Toc313526083"/>
      <w:bookmarkStart w:id="25" w:name="_Toc338147190"/>
      <w:bookmarkStart w:id="26" w:name="_Toc459735968"/>
      <w:r w:rsidRPr="00B5443B">
        <w:t>E.</w:t>
      </w:r>
      <w:r w:rsidRPr="00B5443B">
        <w:rPr>
          <w:noProof/>
        </w:rPr>
        <w:t>5</w:t>
      </w:r>
      <w:r w:rsidRPr="00B5443B">
        <w:tab/>
      </w:r>
      <w:bookmarkStart w:id="27" w:name="_Toc313526084"/>
      <w:bookmarkStart w:id="28" w:name="_Toc338147191"/>
      <w:bookmarkEnd w:id="24"/>
      <w:bookmarkEnd w:id="25"/>
      <w:r w:rsidRPr="00B5443B">
        <w:t>References</w:t>
      </w:r>
      <w:bookmarkEnd w:id="27"/>
      <w:bookmarkEnd w:id="28"/>
      <w:bookmarkEnd w:id="26"/>
    </w:p>
    <w:p w14:paraId="27A3DCCF" w14:textId="7798780E" w:rsidR="00252A63" w:rsidRPr="00B5443B" w:rsidRDefault="00252A63" w:rsidP="001379CF">
      <w:pPr>
        <w:pStyle w:val="Reference"/>
      </w:pPr>
      <w:r w:rsidRPr="00B5443B">
        <w:t xml:space="preserve">ABS (Australian Bureau of Statistics) 2013, </w:t>
      </w:r>
      <w:r w:rsidRPr="00B5443B">
        <w:rPr>
          <w:i/>
        </w:rPr>
        <w:t>Deaths Australia 2012</w:t>
      </w:r>
      <w:r w:rsidR="0064315A" w:rsidRPr="00B5443B">
        <w:t xml:space="preserve">, Cat. no. </w:t>
      </w:r>
      <w:r w:rsidRPr="00B5443B">
        <w:t>3302.0, Canberra.</w:t>
      </w:r>
    </w:p>
    <w:p w14:paraId="545AC1BF" w14:textId="079DCAD0" w:rsidR="00252A63" w:rsidRPr="00B5443B" w:rsidRDefault="00252A63" w:rsidP="001379CF">
      <w:pPr>
        <w:pStyle w:val="Reference"/>
      </w:pPr>
      <w:r w:rsidRPr="00B5443B">
        <w:t xml:space="preserve">—— 2014, </w:t>
      </w:r>
      <w:r w:rsidRPr="00B5443B">
        <w:rPr>
          <w:i/>
        </w:rPr>
        <w:t>Australian Aboriginal and Torres Strait Islander Health Survey: Updated Results, 2012</w:t>
      </w:r>
      <w:r w:rsidRPr="00B5443B">
        <w:rPr>
          <w:i/>
        </w:rPr>
        <w:noBreakHyphen/>
        <w:t>13, Self</w:t>
      </w:r>
      <w:r w:rsidRPr="00B5443B">
        <w:rPr>
          <w:i/>
        </w:rPr>
        <w:noBreakHyphen/>
        <w:t>assessed health status</w:t>
      </w:r>
      <w:r w:rsidR="0064315A" w:rsidRPr="00B5443B">
        <w:t xml:space="preserve">, Cat. no. </w:t>
      </w:r>
      <w:r w:rsidRPr="00B5443B">
        <w:t>4727.0.55.006, Canberra, www.abs.gov.au/ausstats/abs@.nsf/Lookup/by%20Subject/4727.0.55.006~2012</w:t>
      </w:r>
      <w:r w:rsidR="007822E3">
        <w:noBreakHyphen/>
      </w:r>
      <w:r w:rsidRPr="00B5443B">
        <w:t>13~</w:t>
      </w:r>
      <w:r w:rsidRPr="00B5443B">
        <w:br/>
        <w:t>Main%20Features~Self</w:t>
      </w:r>
      <w:r w:rsidRPr="00B5443B">
        <w:noBreakHyphen/>
        <w:t>assessed</w:t>
      </w:r>
      <w:r w:rsidR="0064315A" w:rsidRPr="00B5443B">
        <w:t>%20health%20status~6 (accessed 29</w:t>
      </w:r>
      <w:r w:rsidR="007822E3">
        <w:t> </w:t>
      </w:r>
      <w:r w:rsidRPr="00B5443B">
        <w:t>October 2015).</w:t>
      </w:r>
    </w:p>
    <w:p w14:paraId="38C7A058" w14:textId="77777777" w:rsidR="00252A63" w:rsidRPr="00B5443B" w:rsidRDefault="00252A63" w:rsidP="001379CF">
      <w:pPr>
        <w:pStyle w:val="Reference"/>
        <w:rPr>
          <w:b/>
        </w:rPr>
      </w:pPr>
      <w:r w:rsidRPr="00B5443B">
        <w:t xml:space="preserve">—— and AIHW (Australian Institute of Health and Welfare) 2008, </w:t>
      </w:r>
      <w:r w:rsidRPr="00B5443B">
        <w:rPr>
          <w:i/>
        </w:rPr>
        <w:t>The Health and Welfare of Australia’s Aboriginal and Torres Strait Islander Peoples, 2008</w:t>
      </w:r>
      <w:r w:rsidRPr="00B5443B">
        <w:t>, ABS Cat. no. 4704.0, Canberra.</w:t>
      </w:r>
    </w:p>
    <w:p w14:paraId="5D5F0F48" w14:textId="77777777" w:rsidR="00252A63" w:rsidRPr="00B5443B" w:rsidRDefault="00252A63" w:rsidP="001379CF">
      <w:pPr>
        <w:pStyle w:val="Reference"/>
      </w:pPr>
      <w:r w:rsidRPr="00B5443B">
        <w:t>AIHW (Australian Institute of Health and Welfare)</w:t>
      </w:r>
      <w:r w:rsidR="0064315A" w:rsidRPr="00B5443B">
        <w:t> </w:t>
      </w:r>
      <w:r w:rsidRPr="00B5443B">
        <w:t xml:space="preserve">2011, </w:t>
      </w:r>
      <w:r w:rsidRPr="00B5443B">
        <w:rPr>
          <w:i/>
        </w:rPr>
        <w:t>National outcome measures for early childhood development — development of an indicator based reporting framework</w:t>
      </w:r>
      <w:r w:rsidRPr="00B5443B">
        <w:t xml:space="preserve">, </w:t>
      </w:r>
      <w:r w:rsidR="0064315A" w:rsidRPr="00B5443B">
        <w:t xml:space="preserve">Cat. no. PHE </w:t>
      </w:r>
      <w:r w:rsidRPr="00B5443B">
        <w:t>134, Canberra.</w:t>
      </w:r>
    </w:p>
    <w:p w14:paraId="22DA29A8" w14:textId="77777777" w:rsidR="00252A63" w:rsidRPr="00B5443B" w:rsidRDefault="00252A63" w:rsidP="001379CF">
      <w:pPr>
        <w:pStyle w:val="Reference"/>
      </w:pPr>
      <w:r w:rsidRPr="00B5443B">
        <w:t xml:space="preserve">—— 2012, </w:t>
      </w:r>
      <w:r w:rsidRPr="00B5443B">
        <w:rPr>
          <w:i/>
        </w:rPr>
        <w:t>Australia’s Health 2012</w:t>
      </w:r>
      <w:r w:rsidR="0064315A" w:rsidRPr="00B5443B">
        <w:t xml:space="preserve">, Australia’s health series no. 13, Cat. no. </w:t>
      </w:r>
      <w:r w:rsidRPr="00B5443B">
        <w:t>AUS 156, Canberra.</w:t>
      </w:r>
    </w:p>
    <w:p w14:paraId="03CDE913" w14:textId="77777777" w:rsidR="00252A63" w:rsidRPr="00D33837" w:rsidRDefault="00252A63" w:rsidP="00D33837">
      <w:pPr>
        <w:pStyle w:val="Reference"/>
      </w:pPr>
      <w:r w:rsidRPr="00D33837">
        <w:lastRenderedPageBreak/>
        <w:t>—— 201</w:t>
      </w:r>
      <w:r w:rsidR="00760929" w:rsidRPr="00D33837">
        <w:t>6</w:t>
      </w:r>
      <w:r w:rsidRPr="00D33837">
        <w:t xml:space="preserve">a, </w:t>
      </w:r>
      <w:r w:rsidRPr="00D33837">
        <w:rPr>
          <w:i/>
        </w:rPr>
        <w:t>Health Expenditure Australia 201</w:t>
      </w:r>
      <w:r w:rsidR="00760929" w:rsidRPr="00D33837">
        <w:rPr>
          <w:i/>
        </w:rPr>
        <w:t>4</w:t>
      </w:r>
      <w:r w:rsidR="00760929" w:rsidRPr="00D33837">
        <w:rPr>
          <w:i/>
        </w:rPr>
        <w:noBreakHyphen/>
        <w:t>15</w:t>
      </w:r>
      <w:r w:rsidRPr="00D33837">
        <w:t>, Health and Welfare Expenditure Series no. 5</w:t>
      </w:r>
      <w:r w:rsidR="00760929" w:rsidRPr="00D33837">
        <w:t>7, Cat. no. HWE 67</w:t>
      </w:r>
      <w:r w:rsidRPr="00D33837">
        <w:t>, Canberra.</w:t>
      </w:r>
    </w:p>
    <w:p w14:paraId="0D7328C4" w14:textId="77777777" w:rsidR="007624EA" w:rsidRPr="00D33837" w:rsidRDefault="007624EA" w:rsidP="00D33837">
      <w:pPr>
        <w:pStyle w:val="Reference"/>
      </w:pPr>
      <w:r w:rsidRPr="00D33837">
        <w:t xml:space="preserve">—— 2016b, </w:t>
      </w:r>
      <w:r w:rsidRPr="00D33837">
        <w:rPr>
          <w:i/>
        </w:rPr>
        <w:t>Australia’s health 2016</w:t>
      </w:r>
      <w:r w:rsidRPr="00D33837">
        <w:t>, Australia’s health series no. 15, Cat. no. AUS 199, Canberra.</w:t>
      </w:r>
    </w:p>
    <w:p w14:paraId="6CA4E4DE" w14:textId="2D853E24" w:rsidR="00B46E92" w:rsidRPr="00D33837" w:rsidRDefault="00B46E92" w:rsidP="00D33837">
      <w:pPr>
        <w:pStyle w:val="Reference"/>
      </w:pPr>
      <w:r w:rsidRPr="00D33837">
        <w:t xml:space="preserve">—— 2016c, </w:t>
      </w:r>
      <w:r w:rsidRPr="00D33837">
        <w:rPr>
          <w:i/>
        </w:rPr>
        <w:t>Nursing and Midwifery Workforce 2015, Supplementary tables</w:t>
      </w:r>
      <w:r w:rsidRPr="00D33837">
        <w:t>, www.aihw.gov.au/workforce/nursing</w:t>
      </w:r>
      <w:r w:rsidRPr="00D33837">
        <w:noBreakHyphen/>
        <w:t>and</w:t>
      </w:r>
      <w:r w:rsidRPr="00D33837">
        <w:noBreakHyphen/>
        <w:t xml:space="preserve">midwifery/additional/ (accessed </w:t>
      </w:r>
      <w:r w:rsidRPr="00D33837">
        <w:br/>
      </w:r>
      <w:r w:rsidR="00F72D43" w:rsidRPr="00D33837">
        <w:t>2</w:t>
      </w:r>
      <w:r w:rsidR="007822E3">
        <w:t> </w:t>
      </w:r>
      <w:r w:rsidRPr="00D33837">
        <w:t>November 2016).</w:t>
      </w:r>
    </w:p>
    <w:p w14:paraId="067720A9" w14:textId="01E17A25" w:rsidR="009A5D4C" w:rsidRPr="00D33837" w:rsidRDefault="009A5D4C" w:rsidP="00D33837">
      <w:pPr>
        <w:pStyle w:val="Reference"/>
      </w:pPr>
      <w:r w:rsidRPr="00D33837">
        <w:t xml:space="preserve">—— 2016d, </w:t>
      </w:r>
      <w:r w:rsidRPr="00D33837">
        <w:rPr>
          <w:i/>
        </w:rPr>
        <w:t>Medical Workforce 201</w:t>
      </w:r>
      <w:r w:rsidR="00BD65A7" w:rsidRPr="00D33837">
        <w:rPr>
          <w:i/>
        </w:rPr>
        <w:t>5</w:t>
      </w:r>
      <w:r w:rsidRPr="00D33837">
        <w:rPr>
          <w:i/>
        </w:rPr>
        <w:t>, Supplementary tables</w:t>
      </w:r>
      <w:r w:rsidRPr="00D33837">
        <w:t>, www.aihw.gov.au/</w:t>
      </w:r>
      <w:r w:rsidRPr="00D33837">
        <w:br/>
        <w:t>workforce</w:t>
      </w:r>
      <w:r w:rsidR="004530E7" w:rsidRPr="00D33837">
        <w:t>/medical/additional (accessed 2</w:t>
      </w:r>
      <w:r w:rsidR="007822E3">
        <w:t> </w:t>
      </w:r>
      <w:r w:rsidR="004530E7" w:rsidRPr="00D33837">
        <w:t>November 2016</w:t>
      </w:r>
      <w:r w:rsidRPr="00D33837">
        <w:t>).</w:t>
      </w:r>
    </w:p>
    <w:p w14:paraId="15EF96C9" w14:textId="1E0B0E71" w:rsidR="00252A63" w:rsidRPr="00B5443B" w:rsidRDefault="00252A63" w:rsidP="00D33837">
      <w:pPr>
        <w:pStyle w:val="Reference"/>
      </w:pPr>
      <w:r w:rsidRPr="00D33837">
        <w:t xml:space="preserve">Garner, G. 2006, </w:t>
      </w:r>
      <w:r w:rsidRPr="00D33837">
        <w:rPr>
          <w:i/>
        </w:rPr>
        <w:t>The ecology and inter</w:t>
      </w:r>
      <w:r w:rsidRPr="00D33837">
        <w:rPr>
          <w:i/>
        </w:rPr>
        <w:noBreakHyphen/>
        <w:t>relationship between housing and health outcomes</w:t>
      </w:r>
      <w:r w:rsidRPr="00D33837">
        <w:t>, paper</w:t>
      </w:r>
      <w:r w:rsidRPr="00B5443B">
        <w:t xml:space="preserve"> delivered to the International Conference on Infrastructure Development and the Environment, eprin</w:t>
      </w:r>
      <w:r w:rsidR="0064315A" w:rsidRPr="00B5443B">
        <w:t>ts.qut.edu.au/7216/ (accessed 1</w:t>
      </w:r>
      <w:r w:rsidR="007822E3">
        <w:t> </w:t>
      </w:r>
      <w:r w:rsidRPr="00B5443B">
        <w:t>October 2011).</w:t>
      </w:r>
    </w:p>
    <w:p w14:paraId="23785D9C" w14:textId="77777777" w:rsidR="00252A63" w:rsidRPr="00B5443B" w:rsidRDefault="00252A63" w:rsidP="001379CF">
      <w:pPr>
        <w:pStyle w:val="Reference"/>
      </w:pPr>
      <w:r w:rsidRPr="00B5443B">
        <w:t xml:space="preserve">Li Z., Zeki R., Hilder L. and Sullivan E.A. 2013, </w:t>
      </w:r>
      <w:r w:rsidRPr="00B5443B">
        <w:rPr>
          <w:i/>
        </w:rPr>
        <w:t>Australia’s mothers and babies 2011</w:t>
      </w:r>
      <w:r w:rsidRPr="00B5443B">
        <w:t xml:space="preserve">, </w:t>
      </w:r>
      <w:r w:rsidR="0064315A" w:rsidRPr="00B5443B">
        <w:t xml:space="preserve">Perinatal statistics series no. 28, Cat. no. PER </w:t>
      </w:r>
      <w:r w:rsidRPr="00B5443B">
        <w:t>59, Canberra: AIHW National Perinatal Epidemiology and Statistics Unit.</w:t>
      </w:r>
    </w:p>
    <w:p w14:paraId="5BABF32D" w14:textId="77777777" w:rsidR="00252A63" w:rsidRPr="00B5443B" w:rsidRDefault="0064315A" w:rsidP="001379CF">
      <w:pPr>
        <w:pStyle w:val="Reference"/>
      </w:pPr>
      <w:r w:rsidRPr="00B5443B">
        <w:t xml:space="preserve">NHMRC </w:t>
      </w:r>
      <w:r w:rsidR="00252A63" w:rsidRPr="00B5443B">
        <w:t xml:space="preserve">(National Health and Medical Research Council) 2009, </w:t>
      </w:r>
      <w:r w:rsidR="00252A63" w:rsidRPr="00B5443B">
        <w:rPr>
          <w:i/>
        </w:rPr>
        <w:t>Australian Guidelines to Reduce Health Risks from Drinking Alcohol</w:t>
      </w:r>
      <w:r w:rsidR="00252A63" w:rsidRPr="00B5443B">
        <w:t>, Commonwealth of Australia, Canberra.</w:t>
      </w:r>
    </w:p>
    <w:p w14:paraId="6E9CE674" w14:textId="77777777" w:rsidR="00252A63" w:rsidRPr="00B5443B" w:rsidRDefault="00252A63" w:rsidP="001379CF">
      <w:pPr>
        <w:pStyle w:val="Reference"/>
      </w:pPr>
      <w:r w:rsidRPr="00B5443B">
        <w:t xml:space="preserve">—— 2013, </w:t>
      </w:r>
      <w:r w:rsidRPr="00B5443B">
        <w:rPr>
          <w:i/>
        </w:rPr>
        <w:t>Clinical Practice Guidelines for the Management of Overweight and Obesity in Adults, Adolescents and Children in Australia (2013)</w:t>
      </w:r>
      <w:r w:rsidRPr="00B5443B">
        <w:t>, Canberra.</w:t>
      </w:r>
    </w:p>
    <w:p w14:paraId="1441D991" w14:textId="515F4521" w:rsidR="00252A63" w:rsidRPr="00B5443B" w:rsidRDefault="00252A63" w:rsidP="001379CF">
      <w:pPr>
        <w:pStyle w:val="Reference"/>
      </w:pPr>
      <w:r w:rsidRPr="00B5443B">
        <w:t>SCRGSP (Steering Committee for the Review of Government Service Provision)</w:t>
      </w:r>
      <w:r w:rsidR="0064315A" w:rsidRPr="00B5443B">
        <w:t> </w:t>
      </w:r>
      <w:r w:rsidRPr="00B5443B">
        <w:t>201</w:t>
      </w:r>
      <w:r w:rsidR="008E3EAD" w:rsidRPr="00B5443B">
        <w:t>6</w:t>
      </w:r>
      <w:r w:rsidRPr="00B5443B">
        <w:t xml:space="preserve">, </w:t>
      </w:r>
      <w:r w:rsidRPr="00B5443B">
        <w:rPr>
          <w:i/>
        </w:rPr>
        <w:t>Overcoming Indigenous Disadvantage: Key Indicators 201</w:t>
      </w:r>
      <w:r w:rsidR="008E3EAD" w:rsidRPr="00B5443B">
        <w:rPr>
          <w:i/>
        </w:rPr>
        <w:t>6</w:t>
      </w:r>
      <w:r w:rsidRPr="00B5443B">
        <w:t>, Productivity Commission, Canberra.</w:t>
      </w:r>
    </w:p>
    <w:p w14:paraId="3D445908" w14:textId="77777777" w:rsidR="00252A63" w:rsidRPr="00B5443B" w:rsidRDefault="0064315A" w:rsidP="001379CF">
      <w:pPr>
        <w:pStyle w:val="Reference"/>
      </w:pPr>
      <w:r w:rsidRPr="00B5443B">
        <w:t xml:space="preserve">WHO </w:t>
      </w:r>
      <w:r w:rsidR="00252A63" w:rsidRPr="00B5443B">
        <w:t xml:space="preserve">(World Health Organization) 2000, </w:t>
      </w:r>
      <w:r w:rsidR="00252A63" w:rsidRPr="00B5443B">
        <w:rPr>
          <w:i/>
        </w:rPr>
        <w:t>Obesity: Preventing and Managing the Global Epidemic</w:t>
      </w:r>
      <w:r w:rsidR="00252A63" w:rsidRPr="00B5443B">
        <w:t>, WHO Technical Report Series No. 894, Geneva.</w:t>
      </w:r>
    </w:p>
    <w:p w14:paraId="02185B15" w14:textId="77777777" w:rsidR="00907AF3" w:rsidRPr="00907AF3" w:rsidRDefault="00252A63" w:rsidP="006A4772">
      <w:pPr>
        <w:pStyle w:val="Reference"/>
      </w:pPr>
      <w:r w:rsidRPr="00B5443B">
        <w:t xml:space="preserve">Zhao, Y. Wright, J. Begg, S. and Guthridge, S. 2013, </w:t>
      </w:r>
      <w:r w:rsidRPr="00B5443B">
        <w:rPr>
          <w:i/>
        </w:rPr>
        <w:t>Decomposing Indigenous life expectancy gap by risk factors: a life table analysis. Population Health Metrics</w:t>
      </w:r>
      <w:r w:rsidR="0064315A" w:rsidRPr="00B5443B">
        <w:rPr>
          <w:i/>
        </w:rPr>
        <w:t xml:space="preserve"> 2013</w:t>
      </w:r>
      <w:r w:rsidR="0064315A" w:rsidRPr="00B5443B">
        <w:t xml:space="preserve">, vol. 11, no. </w:t>
      </w:r>
      <w:r w:rsidRPr="00B5443B">
        <w:t>1 (www.pophealthmetrics.com/content/11/1/1, accessed 22 November 2013).</w:t>
      </w:r>
    </w:p>
    <w:sectPr w:rsidR="00907AF3" w:rsidRPr="00907AF3" w:rsidSect="00FB4374">
      <w:headerReference w:type="even" r:id="rId30"/>
      <w:headerReference w:type="default" r:id="rId31"/>
      <w:footerReference w:type="even" r:id="rId32"/>
      <w:footerReference w:type="default" r:id="rId33"/>
      <w:pgSz w:w="11907" w:h="16840" w:code="9"/>
      <w:pgMar w:top="1985" w:right="1304" w:bottom="1247" w:left="1814" w:header="1701" w:footer="397" w:gutter="0"/>
      <w:pgNumType w:start="1" w:chapStyle="1" w:chapSep="period"/>
      <w:cols w:space="720"/>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C9DDBB0" w15:done="0"/>
  <w15:commentEx w15:paraId="3595E5F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2A3D99" w14:textId="77777777" w:rsidR="00DD3ABF" w:rsidRDefault="00DD3ABF">
      <w:r>
        <w:separator/>
      </w:r>
    </w:p>
  </w:endnote>
  <w:endnote w:type="continuationSeparator" w:id="0">
    <w:p w14:paraId="47B7607F" w14:textId="77777777" w:rsidR="00DD3ABF" w:rsidRDefault="00DD3ABF">
      <w:r>
        <w:continuationSeparator/>
      </w:r>
    </w:p>
  </w:endnote>
  <w:endnote w:type="continuationNotice" w:id="1">
    <w:p w14:paraId="05040318" w14:textId="77777777" w:rsidR="00DD3ABF" w:rsidRDefault="00DD3A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1"/>
    </w:tblGrid>
    <w:tr w:rsidR="00DD3ABF" w14:paraId="1C20E23A" w14:textId="77777777" w:rsidTr="00825EF8">
      <w:trPr>
        <w:trHeight w:hRule="exact" w:val="567"/>
      </w:trPr>
      <w:tc>
        <w:tcPr>
          <w:tcW w:w="510" w:type="dxa"/>
        </w:tcPr>
        <w:p w14:paraId="245A86E4" w14:textId="7D289060" w:rsidR="00DD3ABF" w:rsidRPr="00A24443" w:rsidRDefault="00072987" w:rsidP="007C671A">
          <w:pPr>
            <w:pStyle w:val="Footer"/>
            <w:tabs>
              <w:tab w:val="left" w:pos="0"/>
            </w:tabs>
            <w:ind w:right="0"/>
            <w:rPr>
              <w:rStyle w:val="PageNumber"/>
              <w:caps w:val="0"/>
            </w:rPr>
          </w:pPr>
          <w:proofErr w:type="spellStart"/>
          <w:r>
            <w:rPr>
              <w:rStyle w:val="PageNumber"/>
              <w:caps w:val="0"/>
            </w:rPr>
            <w:t>E.</w:t>
          </w:r>
          <w:r w:rsidR="00DD3ABF">
            <w:rPr>
              <w:rStyle w:val="PageNumber"/>
              <w:caps w:val="0"/>
            </w:rPr>
            <w:fldChar w:fldCharType="begin"/>
          </w:r>
          <w:r w:rsidR="00DD3ABF">
            <w:rPr>
              <w:rStyle w:val="PageNumber"/>
              <w:caps w:val="0"/>
            </w:rPr>
            <w:instrText xml:space="preserve"> COMMENTS  \* MERGEFORMAT </w:instrText>
          </w:r>
          <w:r w:rsidR="00DD3ABF">
            <w:rPr>
              <w:rStyle w:val="PageNumber"/>
              <w:caps w:val="0"/>
            </w:rPr>
            <w:fldChar w:fldCharType="end"/>
          </w:r>
          <w:proofErr w:type="spellEnd"/>
          <w:r w:rsidR="00DD3ABF" w:rsidRPr="00A24443">
            <w:rPr>
              <w:rStyle w:val="PageNumber"/>
              <w:caps w:val="0"/>
            </w:rPr>
            <w:fldChar w:fldCharType="begin"/>
          </w:r>
          <w:r w:rsidR="00DD3ABF" w:rsidRPr="00A24443">
            <w:rPr>
              <w:rStyle w:val="PageNumber"/>
              <w:caps w:val="0"/>
            </w:rPr>
            <w:instrText xml:space="preserve">PAGE  </w:instrText>
          </w:r>
          <w:r w:rsidR="00DD3ABF" w:rsidRPr="00A24443">
            <w:rPr>
              <w:rStyle w:val="PageNumber"/>
              <w:caps w:val="0"/>
            </w:rPr>
            <w:fldChar w:fldCharType="separate"/>
          </w:r>
          <w:r w:rsidR="007E1CEC">
            <w:rPr>
              <w:rStyle w:val="PageNumber"/>
              <w:caps w:val="0"/>
              <w:noProof/>
            </w:rPr>
            <w:t>26</w:t>
          </w:r>
          <w:r w:rsidR="00DD3ABF" w:rsidRPr="00A24443">
            <w:rPr>
              <w:rStyle w:val="PageNumber"/>
              <w:caps w:val="0"/>
            </w:rPr>
            <w:fldChar w:fldCharType="end"/>
          </w:r>
        </w:p>
      </w:tc>
      <w:tc>
        <w:tcPr>
          <w:tcW w:w="7767" w:type="dxa"/>
        </w:tcPr>
        <w:p w14:paraId="3FF58C3B" w14:textId="1917AB2B" w:rsidR="00DD3ABF" w:rsidRPr="0013739A" w:rsidRDefault="00DD3ABF" w:rsidP="00E33A19">
          <w:pPr>
            <w:pStyle w:val="Footer"/>
            <w:rPr>
              <w:rFonts w:cs="Arial"/>
            </w:rPr>
          </w:pPr>
          <w:r>
            <w:rPr>
              <w:rFonts w:cs="Arial"/>
            </w:rPr>
            <w:t>REPORT ON GOVERNMENT SERVICES 2017</w:t>
          </w:r>
          <w:bookmarkStart w:id="29" w:name="DraftReportEven"/>
          <w:bookmarkEnd w:id="29"/>
        </w:p>
      </w:tc>
      <w:tc>
        <w:tcPr>
          <w:tcW w:w="511" w:type="dxa"/>
        </w:tcPr>
        <w:p w14:paraId="4A117E23" w14:textId="77777777" w:rsidR="00DD3ABF" w:rsidRDefault="00DD3ABF" w:rsidP="00E33A19">
          <w:pPr>
            <w:pStyle w:val="Footer"/>
          </w:pPr>
        </w:p>
      </w:tc>
    </w:tr>
  </w:tbl>
  <w:p w14:paraId="349398EC" w14:textId="77777777" w:rsidR="00DD3ABF" w:rsidRPr="00E9688D" w:rsidRDefault="00DD3ABF">
    <w:pPr>
      <w:pStyle w:val="FooterEnd"/>
      <w:rPr>
        <w:color w:val="0000FF"/>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8"/>
      <w:gridCol w:w="511"/>
    </w:tblGrid>
    <w:tr w:rsidR="00DD3ABF" w14:paraId="769AEBC1" w14:textId="77777777" w:rsidTr="00825EF8">
      <w:trPr>
        <w:trHeight w:hRule="exact" w:val="567"/>
      </w:trPr>
      <w:tc>
        <w:tcPr>
          <w:tcW w:w="510" w:type="dxa"/>
        </w:tcPr>
        <w:p w14:paraId="4955DE4F" w14:textId="77777777" w:rsidR="00DD3ABF" w:rsidRDefault="00DD3ABF" w:rsidP="00E33A19">
          <w:pPr>
            <w:pStyle w:val="Footer"/>
            <w:ind w:right="360" w:firstLine="360"/>
          </w:pPr>
        </w:p>
      </w:tc>
      <w:tc>
        <w:tcPr>
          <w:tcW w:w="7768" w:type="dxa"/>
        </w:tcPr>
        <w:p w14:paraId="7E3E5BB4" w14:textId="09AACC84" w:rsidR="00DD3ABF" w:rsidRPr="00BA5B14" w:rsidRDefault="00DD3ABF" w:rsidP="005D1F91">
          <w:pPr>
            <w:pStyle w:val="Footer"/>
            <w:jc w:val="right"/>
            <w:rPr>
              <w:rFonts w:cs="Arial"/>
            </w:rPr>
          </w:pPr>
          <w:r>
            <w:rPr>
              <w:rFonts w:cs="Arial"/>
            </w:rPr>
            <w:t>HEALTH SECTOR OVERVIEW</w:t>
          </w:r>
        </w:p>
      </w:tc>
      <w:tc>
        <w:tcPr>
          <w:tcW w:w="511" w:type="dxa"/>
        </w:tcPr>
        <w:p w14:paraId="395114E2" w14:textId="652CA7A7" w:rsidR="00DD3ABF" w:rsidRPr="00A24443" w:rsidRDefault="00072987" w:rsidP="007C671A">
          <w:pPr>
            <w:pStyle w:val="Footer"/>
            <w:jc w:val="right"/>
            <w:rPr>
              <w:caps w:val="0"/>
            </w:rPr>
          </w:pPr>
          <w:proofErr w:type="spellStart"/>
          <w:r>
            <w:rPr>
              <w:rStyle w:val="PageNumber"/>
              <w:caps w:val="0"/>
            </w:rPr>
            <w:t>E.</w:t>
          </w:r>
          <w:r w:rsidR="00DD3ABF">
            <w:rPr>
              <w:rStyle w:val="PageNumber"/>
              <w:caps w:val="0"/>
            </w:rPr>
            <w:fldChar w:fldCharType="begin"/>
          </w:r>
          <w:r w:rsidR="00DD3ABF">
            <w:rPr>
              <w:rStyle w:val="PageNumber"/>
              <w:caps w:val="0"/>
            </w:rPr>
            <w:instrText xml:space="preserve"> COMMENTS  \* MERGEFORMAT </w:instrText>
          </w:r>
          <w:r w:rsidR="00DD3ABF">
            <w:rPr>
              <w:rStyle w:val="PageNumber"/>
              <w:caps w:val="0"/>
            </w:rPr>
            <w:fldChar w:fldCharType="end"/>
          </w:r>
          <w:proofErr w:type="spellEnd"/>
          <w:r w:rsidR="00DD3ABF" w:rsidRPr="00A24443">
            <w:rPr>
              <w:rStyle w:val="PageNumber"/>
              <w:caps w:val="0"/>
            </w:rPr>
            <w:fldChar w:fldCharType="begin"/>
          </w:r>
          <w:r w:rsidR="00DD3ABF" w:rsidRPr="00A24443">
            <w:rPr>
              <w:rStyle w:val="PageNumber"/>
              <w:caps w:val="0"/>
            </w:rPr>
            <w:instrText xml:space="preserve">PAGE  </w:instrText>
          </w:r>
          <w:r w:rsidR="00DD3ABF" w:rsidRPr="00A24443">
            <w:rPr>
              <w:rStyle w:val="PageNumber"/>
              <w:caps w:val="0"/>
            </w:rPr>
            <w:fldChar w:fldCharType="separate"/>
          </w:r>
          <w:r w:rsidR="007E1CEC">
            <w:rPr>
              <w:rStyle w:val="PageNumber"/>
              <w:caps w:val="0"/>
              <w:noProof/>
            </w:rPr>
            <w:t>27</w:t>
          </w:r>
          <w:r w:rsidR="00DD3ABF" w:rsidRPr="00A24443">
            <w:rPr>
              <w:rStyle w:val="PageNumber"/>
              <w:caps w:val="0"/>
            </w:rPr>
            <w:fldChar w:fldCharType="end"/>
          </w:r>
        </w:p>
      </w:tc>
    </w:tr>
  </w:tbl>
  <w:p w14:paraId="30533A29" w14:textId="77777777" w:rsidR="00DD3ABF" w:rsidRPr="00E9688D" w:rsidRDefault="00DD3ABF">
    <w:pPr>
      <w:pStyle w:val="FooterEnd"/>
      <w:rPr>
        <w:color w:val="0000FF"/>
      </w:rPr>
    </w:pPr>
    <w:bookmarkStart w:id="30" w:name="_AppendixByChapter"/>
    <w:bookmarkStart w:id="31" w:name="OLE_LINK18"/>
    <w:bookmarkEnd w:id="30"/>
    <w:bookmarkEnd w:id="31"/>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6FD52F" w14:textId="77777777" w:rsidR="00DD3ABF" w:rsidRDefault="00DD3ABF">
      <w:r>
        <w:separator/>
      </w:r>
    </w:p>
  </w:footnote>
  <w:footnote w:type="continuationSeparator" w:id="0">
    <w:p w14:paraId="2D5ED081" w14:textId="77777777" w:rsidR="00DD3ABF" w:rsidRDefault="00DD3ABF">
      <w:r>
        <w:continuationSeparator/>
      </w:r>
    </w:p>
  </w:footnote>
  <w:footnote w:type="continuationNotice" w:id="1">
    <w:p w14:paraId="0A606011" w14:textId="77777777" w:rsidR="00DD3ABF" w:rsidRDefault="00DD3AB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843"/>
      <w:gridCol w:w="6946"/>
    </w:tblGrid>
    <w:tr w:rsidR="00DD3ABF" w:rsidRPr="00E9688D" w14:paraId="0EE9A691" w14:textId="77777777" w:rsidTr="00223670">
      <w:tc>
        <w:tcPr>
          <w:tcW w:w="1843" w:type="dxa"/>
          <w:tcBorders>
            <w:top w:val="single" w:sz="24" w:space="0" w:color="auto"/>
          </w:tcBorders>
        </w:tcPr>
        <w:p w14:paraId="0106AB6C" w14:textId="77777777" w:rsidR="00DD3ABF" w:rsidRDefault="00DD3ABF">
          <w:pPr>
            <w:pStyle w:val="HeaderEven"/>
          </w:pPr>
        </w:p>
      </w:tc>
      <w:tc>
        <w:tcPr>
          <w:tcW w:w="6946" w:type="dxa"/>
          <w:tcBorders>
            <w:top w:val="single" w:sz="6" w:space="0" w:color="auto"/>
          </w:tcBorders>
        </w:tcPr>
        <w:p w14:paraId="77EB09F3" w14:textId="1FF2ABAA" w:rsidR="00DD3ABF" w:rsidRPr="00830675" w:rsidRDefault="00DD3ABF" w:rsidP="00825EF8">
          <w:pPr>
            <w:pStyle w:val="HeaderEven"/>
            <w:jc w:val="right"/>
            <w:rPr>
              <w:szCs w:val="24"/>
            </w:rPr>
          </w:pPr>
        </w:p>
      </w:tc>
    </w:tr>
  </w:tbl>
  <w:p w14:paraId="34A7CE49" w14:textId="77777777" w:rsidR="00DD3ABF" w:rsidRPr="00E9688D" w:rsidRDefault="00DD3ABF">
    <w:pPr>
      <w:pStyle w:val="HeaderEnd"/>
      <w:rPr>
        <w:color w:val="0000FF"/>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D3ABF" w14:paraId="1E6432D6" w14:textId="77777777" w:rsidTr="00E33A19">
      <w:tc>
        <w:tcPr>
          <w:tcW w:w="6634" w:type="dxa"/>
          <w:tcBorders>
            <w:top w:val="single" w:sz="6" w:space="0" w:color="auto"/>
          </w:tcBorders>
        </w:tcPr>
        <w:p w14:paraId="66192C09" w14:textId="0335D446" w:rsidR="00DD3ABF" w:rsidRDefault="00DD3ABF" w:rsidP="00825EF8">
          <w:pPr>
            <w:pStyle w:val="HeaderOdd"/>
          </w:pPr>
        </w:p>
      </w:tc>
      <w:tc>
        <w:tcPr>
          <w:tcW w:w="2155" w:type="dxa"/>
          <w:tcBorders>
            <w:top w:val="single" w:sz="24" w:space="0" w:color="auto"/>
          </w:tcBorders>
        </w:tcPr>
        <w:p w14:paraId="6EBB316E" w14:textId="77777777" w:rsidR="00DD3ABF" w:rsidRDefault="00DD3ABF" w:rsidP="00E33A19">
          <w:pPr>
            <w:pStyle w:val="HeaderOdd"/>
          </w:pPr>
        </w:p>
      </w:tc>
    </w:tr>
  </w:tbl>
  <w:p w14:paraId="04FF088C" w14:textId="77777777" w:rsidR="00DD3ABF" w:rsidRPr="00E9688D" w:rsidRDefault="00DD3ABF">
    <w:pPr>
      <w:pStyle w:val="HeaderEnd"/>
      <w:rPr>
        <w:color w:val="0000F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A560DF9E"/>
    <w:lvl w:ilvl="0">
      <w:start w:val="1"/>
      <w:numFmt w:val="decimal"/>
      <w:lvlText w:val="%1."/>
      <w:lvlJc w:val="left"/>
      <w:pPr>
        <w:tabs>
          <w:tab w:val="num" w:pos="926"/>
        </w:tabs>
        <w:ind w:left="926" w:hanging="360"/>
      </w:pPr>
    </w:lvl>
  </w:abstractNum>
  <w:abstractNum w:abstractNumId="1">
    <w:nsid w:val="FFFFFF7F"/>
    <w:multiLevelType w:val="singleLevel"/>
    <w:tmpl w:val="375E75F0"/>
    <w:lvl w:ilvl="0">
      <w:start w:val="1"/>
      <w:numFmt w:val="decimal"/>
      <w:lvlText w:val="%1."/>
      <w:lvlJc w:val="left"/>
      <w:pPr>
        <w:tabs>
          <w:tab w:val="num" w:pos="643"/>
        </w:tabs>
        <w:ind w:left="643" w:hanging="360"/>
      </w:pPr>
    </w:lvl>
  </w:abstractNum>
  <w:abstractNum w:abstractNumId="2">
    <w:nsid w:val="FFFFFF82"/>
    <w:multiLevelType w:val="singleLevel"/>
    <w:tmpl w:val="6726AC9E"/>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77D24748"/>
    <w:lvl w:ilvl="0">
      <w:start w:val="1"/>
      <w:numFmt w:val="decimal"/>
      <w:lvlText w:val="%1."/>
      <w:lvlJc w:val="left"/>
      <w:pPr>
        <w:tabs>
          <w:tab w:val="num" w:pos="360"/>
        </w:tabs>
        <w:ind w:left="360" w:hanging="360"/>
      </w:pPr>
    </w:lvl>
  </w:abstractNum>
  <w:abstractNum w:abstractNumId="5">
    <w:nsid w:val="FFFFFF89"/>
    <w:multiLevelType w:val="singleLevel"/>
    <w:tmpl w:val="1E0E54F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9">
    <w:nsid w:val="05762C39"/>
    <w:multiLevelType w:val="hybridMultilevel"/>
    <w:tmpl w:val="043CC62C"/>
    <w:lvl w:ilvl="0" w:tplc="9AE6F2AA">
      <w:start w:val="59"/>
      <w:numFmt w:val="bullet"/>
      <w:lvlText w:val="—"/>
      <w:lvlJc w:val="left"/>
      <w:pPr>
        <w:ind w:left="840" w:hanging="48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73770A9"/>
    <w:multiLevelType w:val="hybridMultilevel"/>
    <w:tmpl w:val="B4F8166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0CCD54E4"/>
    <w:multiLevelType w:val="hybridMultilevel"/>
    <w:tmpl w:val="F2E4BC32"/>
    <w:lvl w:ilvl="0" w:tplc="C4E2BBB8">
      <w:start w:val="1"/>
      <w:numFmt w:val="bullet"/>
      <w:pStyle w:val="BoxListBullet4"/>
      <w:lvlText w:val=""/>
      <w:lvlJc w:val="left"/>
      <w:pPr>
        <w:ind w:left="1741" w:hanging="360"/>
      </w:pPr>
      <w:rPr>
        <w:rFonts w:ascii="MT Extra" w:hAnsi="MT Extra" w:hint="default"/>
        <w:b w:val="0"/>
        <w:i w:val="0"/>
        <w:sz w:val="16"/>
      </w:rPr>
    </w:lvl>
    <w:lvl w:ilvl="1" w:tplc="0C090003" w:tentative="1">
      <w:start w:val="1"/>
      <w:numFmt w:val="bullet"/>
      <w:lvlText w:val="o"/>
      <w:lvlJc w:val="left"/>
      <w:pPr>
        <w:ind w:left="2461" w:hanging="360"/>
      </w:pPr>
      <w:rPr>
        <w:rFonts w:ascii="Courier New" w:hAnsi="Courier New" w:cs="Courier New" w:hint="default"/>
      </w:rPr>
    </w:lvl>
    <w:lvl w:ilvl="2" w:tplc="0C090005" w:tentative="1">
      <w:start w:val="1"/>
      <w:numFmt w:val="bullet"/>
      <w:lvlText w:val=""/>
      <w:lvlJc w:val="left"/>
      <w:pPr>
        <w:ind w:left="3181" w:hanging="360"/>
      </w:pPr>
      <w:rPr>
        <w:rFonts w:ascii="Wingdings" w:hAnsi="Wingdings" w:hint="default"/>
      </w:rPr>
    </w:lvl>
    <w:lvl w:ilvl="3" w:tplc="0C090001" w:tentative="1">
      <w:start w:val="1"/>
      <w:numFmt w:val="bullet"/>
      <w:lvlText w:val=""/>
      <w:lvlJc w:val="left"/>
      <w:pPr>
        <w:ind w:left="3901" w:hanging="360"/>
      </w:pPr>
      <w:rPr>
        <w:rFonts w:ascii="Symbol" w:hAnsi="Symbol" w:hint="default"/>
      </w:rPr>
    </w:lvl>
    <w:lvl w:ilvl="4" w:tplc="0C090003" w:tentative="1">
      <w:start w:val="1"/>
      <w:numFmt w:val="bullet"/>
      <w:lvlText w:val="o"/>
      <w:lvlJc w:val="left"/>
      <w:pPr>
        <w:ind w:left="4621" w:hanging="360"/>
      </w:pPr>
      <w:rPr>
        <w:rFonts w:ascii="Courier New" w:hAnsi="Courier New" w:cs="Courier New" w:hint="default"/>
      </w:rPr>
    </w:lvl>
    <w:lvl w:ilvl="5" w:tplc="0C090005" w:tentative="1">
      <w:start w:val="1"/>
      <w:numFmt w:val="bullet"/>
      <w:lvlText w:val=""/>
      <w:lvlJc w:val="left"/>
      <w:pPr>
        <w:ind w:left="5341" w:hanging="360"/>
      </w:pPr>
      <w:rPr>
        <w:rFonts w:ascii="Wingdings" w:hAnsi="Wingdings" w:hint="default"/>
      </w:rPr>
    </w:lvl>
    <w:lvl w:ilvl="6" w:tplc="0C090001" w:tentative="1">
      <w:start w:val="1"/>
      <w:numFmt w:val="bullet"/>
      <w:lvlText w:val=""/>
      <w:lvlJc w:val="left"/>
      <w:pPr>
        <w:ind w:left="6061" w:hanging="360"/>
      </w:pPr>
      <w:rPr>
        <w:rFonts w:ascii="Symbol" w:hAnsi="Symbol" w:hint="default"/>
      </w:rPr>
    </w:lvl>
    <w:lvl w:ilvl="7" w:tplc="0C090003" w:tentative="1">
      <w:start w:val="1"/>
      <w:numFmt w:val="bullet"/>
      <w:lvlText w:val="o"/>
      <w:lvlJc w:val="left"/>
      <w:pPr>
        <w:ind w:left="6781" w:hanging="360"/>
      </w:pPr>
      <w:rPr>
        <w:rFonts w:ascii="Courier New" w:hAnsi="Courier New" w:cs="Courier New" w:hint="default"/>
      </w:rPr>
    </w:lvl>
    <w:lvl w:ilvl="8" w:tplc="0C090005" w:tentative="1">
      <w:start w:val="1"/>
      <w:numFmt w:val="bullet"/>
      <w:lvlText w:val=""/>
      <w:lvlJc w:val="left"/>
      <w:pPr>
        <w:ind w:left="7501" w:hanging="360"/>
      </w:pPr>
      <w:rPr>
        <w:rFonts w:ascii="Wingdings" w:hAnsi="Wingdings" w:hint="default"/>
      </w:rPr>
    </w:lvl>
  </w:abstractNum>
  <w:abstractNum w:abstractNumId="1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6">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nsid w:val="195B7C14"/>
    <w:multiLevelType w:val="hybridMultilevel"/>
    <w:tmpl w:val="7F8EDFC2"/>
    <w:lvl w:ilvl="0" w:tplc="B374175E">
      <w:start w:val="1"/>
      <w:numFmt w:val="bullet"/>
      <w:pStyle w:val="DQITable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9">
    <w:nsid w:val="25585D74"/>
    <w:multiLevelType w:val="hybridMultilevel"/>
    <w:tmpl w:val="82C8DB30"/>
    <w:lvl w:ilvl="0" w:tplc="47BA1114">
      <w:start w:val="5"/>
      <w:numFmt w:val="bullet"/>
      <w:lvlText w:val="-"/>
      <w:lvlJc w:val="left"/>
      <w:pPr>
        <w:ind w:left="420" w:hanging="360"/>
      </w:pPr>
      <w:rPr>
        <w:rFonts w:ascii="Times New Roman" w:eastAsia="Times New Roman" w:hAnsi="Times New Roman" w:cs="Times New Roman"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2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2">
    <w:nsid w:val="46281D02"/>
    <w:multiLevelType w:val="multilevel"/>
    <w:tmpl w:val="6EAE8648"/>
    <w:styleLink w:val="StyleStyleBulletedOutlinenumberedLatinCourierNewComp1"/>
    <w:lvl w:ilvl="0">
      <w:start w:val="1"/>
      <w:numFmt w:val="bullet"/>
      <w:lvlText w:val=""/>
      <w:lvlJc w:val="left"/>
      <w:pPr>
        <w:tabs>
          <w:tab w:val="num" w:pos="360"/>
        </w:tabs>
        <w:ind w:left="360" w:hanging="360"/>
      </w:pPr>
      <w:rPr>
        <w:rFonts w:ascii="Symbol" w:hAnsi="Symbol" w:cs="Times New Roman" w:hint="default"/>
        <w:color w:val="000080"/>
        <w:sz w:val="20"/>
        <w:szCs w:val="20"/>
      </w:rPr>
    </w:lvl>
    <w:lvl w:ilvl="1">
      <w:start w:val="1"/>
      <w:numFmt w:val="bullet"/>
      <w:lvlText w:val="−"/>
      <w:lvlJc w:val="left"/>
      <w:pPr>
        <w:tabs>
          <w:tab w:val="num" w:pos="1080"/>
        </w:tabs>
        <w:ind w:left="1080" w:hanging="360"/>
      </w:pPr>
      <w:rPr>
        <w:rFonts w:ascii="Times New Roman" w:hAnsi="Times New Roman" w:cs="Times New Roman" w:hint="default"/>
        <w:color w:val="000080"/>
        <w:sz w:val="22"/>
        <w:szCs w:val="22"/>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8">
    <w:nsid w:val="5D892A65"/>
    <w:multiLevelType w:val="hybridMultilevel"/>
    <w:tmpl w:val="B7D01BD8"/>
    <w:lvl w:ilvl="0" w:tplc="A08CA6A6">
      <w:start w:val="1"/>
      <w:numFmt w:val="bullet"/>
      <w:pStyle w:val="DQITableBullet2"/>
      <w:lvlText w:val="–"/>
      <w:lvlJc w:val="left"/>
      <w:pPr>
        <w:ind w:left="890" w:hanging="360"/>
      </w:pPr>
      <w:rPr>
        <w:rFonts w:ascii="Lucida Sans" w:hAnsi="Lucida Sans" w:hint="default"/>
        <w:b w:val="0"/>
        <w:i w:val="0"/>
        <w:sz w:val="18"/>
      </w:rPr>
    </w:lvl>
    <w:lvl w:ilvl="1" w:tplc="0C090003" w:tentative="1">
      <w:start w:val="1"/>
      <w:numFmt w:val="bullet"/>
      <w:lvlText w:val="o"/>
      <w:lvlJc w:val="left"/>
      <w:pPr>
        <w:ind w:left="1610" w:hanging="360"/>
      </w:pPr>
      <w:rPr>
        <w:rFonts w:ascii="Courier New" w:hAnsi="Courier New" w:cs="Courier New" w:hint="default"/>
      </w:rPr>
    </w:lvl>
    <w:lvl w:ilvl="2" w:tplc="0C090005" w:tentative="1">
      <w:start w:val="1"/>
      <w:numFmt w:val="bullet"/>
      <w:lvlText w:val=""/>
      <w:lvlJc w:val="left"/>
      <w:pPr>
        <w:ind w:left="2330" w:hanging="360"/>
      </w:pPr>
      <w:rPr>
        <w:rFonts w:ascii="Wingdings" w:hAnsi="Wingdings" w:hint="default"/>
      </w:rPr>
    </w:lvl>
    <w:lvl w:ilvl="3" w:tplc="0C090001" w:tentative="1">
      <w:start w:val="1"/>
      <w:numFmt w:val="bullet"/>
      <w:lvlText w:val=""/>
      <w:lvlJc w:val="left"/>
      <w:pPr>
        <w:ind w:left="3050" w:hanging="360"/>
      </w:pPr>
      <w:rPr>
        <w:rFonts w:ascii="Symbol" w:hAnsi="Symbol" w:hint="default"/>
      </w:rPr>
    </w:lvl>
    <w:lvl w:ilvl="4" w:tplc="0C090003" w:tentative="1">
      <w:start w:val="1"/>
      <w:numFmt w:val="bullet"/>
      <w:lvlText w:val="o"/>
      <w:lvlJc w:val="left"/>
      <w:pPr>
        <w:ind w:left="3770" w:hanging="360"/>
      </w:pPr>
      <w:rPr>
        <w:rFonts w:ascii="Courier New" w:hAnsi="Courier New" w:cs="Courier New" w:hint="default"/>
      </w:rPr>
    </w:lvl>
    <w:lvl w:ilvl="5" w:tplc="0C090005" w:tentative="1">
      <w:start w:val="1"/>
      <w:numFmt w:val="bullet"/>
      <w:lvlText w:val=""/>
      <w:lvlJc w:val="left"/>
      <w:pPr>
        <w:ind w:left="4490" w:hanging="360"/>
      </w:pPr>
      <w:rPr>
        <w:rFonts w:ascii="Wingdings" w:hAnsi="Wingdings" w:hint="default"/>
      </w:rPr>
    </w:lvl>
    <w:lvl w:ilvl="6" w:tplc="0C090001" w:tentative="1">
      <w:start w:val="1"/>
      <w:numFmt w:val="bullet"/>
      <w:lvlText w:val=""/>
      <w:lvlJc w:val="left"/>
      <w:pPr>
        <w:ind w:left="5210" w:hanging="360"/>
      </w:pPr>
      <w:rPr>
        <w:rFonts w:ascii="Symbol" w:hAnsi="Symbol" w:hint="default"/>
      </w:rPr>
    </w:lvl>
    <w:lvl w:ilvl="7" w:tplc="0C090003" w:tentative="1">
      <w:start w:val="1"/>
      <w:numFmt w:val="bullet"/>
      <w:lvlText w:val="o"/>
      <w:lvlJc w:val="left"/>
      <w:pPr>
        <w:ind w:left="5930" w:hanging="360"/>
      </w:pPr>
      <w:rPr>
        <w:rFonts w:ascii="Courier New" w:hAnsi="Courier New" w:cs="Courier New" w:hint="default"/>
      </w:rPr>
    </w:lvl>
    <w:lvl w:ilvl="8" w:tplc="0C090005" w:tentative="1">
      <w:start w:val="1"/>
      <w:numFmt w:val="bullet"/>
      <w:lvlText w:val=""/>
      <w:lvlJc w:val="left"/>
      <w:pPr>
        <w:ind w:left="6650" w:hanging="360"/>
      </w:pPr>
      <w:rPr>
        <w:rFonts w:ascii="Wingdings" w:hAnsi="Wingdings" w:hint="default"/>
      </w:rPr>
    </w:lvl>
  </w:abstractNum>
  <w:abstractNum w:abstractNumId="29">
    <w:nsid w:val="5E1B03C0"/>
    <w:multiLevelType w:val="multilevel"/>
    <w:tmpl w:val="0E02D150"/>
    <w:lvl w:ilvl="0">
      <w:start w:val="1"/>
      <w:numFmt w:val="none"/>
      <w:suff w:val="space"/>
      <w:lvlText w:val="E"/>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0">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63074D16"/>
    <w:multiLevelType w:val="multilevel"/>
    <w:tmpl w:val="144E413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nsid w:val="63A033F5"/>
    <w:multiLevelType w:val="hybridMultilevel"/>
    <w:tmpl w:val="298AF648"/>
    <w:lvl w:ilvl="0" w:tplc="C48CDFEE">
      <w:start w:val="5"/>
      <w:numFmt w:val="bullet"/>
      <w:lvlText w:val="-"/>
      <w:lvlJc w:val="left"/>
      <w:pPr>
        <w:ind w:left="420" w:hanging="360"/>
      </w:pPr>
      <w:rPr>
        <w:rFonts w:ascii="Times New Roman" w:eastAsia="Times New Roman" w:hAnsi="Times New Roman" w:cs="Times New Roman"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33">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4">
    <w:nsid w:val="6B8936F5"/>
    <w:multiLevelType w:val="hybridMultilevel"/>
    <w:tmpl w:val="7D6633DE"/>
    <w:lvl w:ilvl="0" w:tplc="1BB8DD9A">
      <w:start w:val="1"/>
      <w:numFmt w:val="bullet"/>
      <w:lvlText w:val=""/>
      <w:lvlJc w:val="left"/>
      <w:pPr>
        <w:ind w:left="720" w:hanging="402"/>
      </w:pPr>
      <w:rPr>
        <w:rFonts w:ascii="Symbol" w:hAnsi="Symbol" w:hint="default"/>
        <w:sz w:val="20"/>
        <w:szCs w:val="20"/>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74B21B33"/>
    <w:multiLevelType w:val="hybridMultilevel"/>
    <w:tmpl w:val="CE460AB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784D7C3D"/>
    <w:multiLevelType w:val="singleLevel"/>
    <w:tmpl w:val="D3A85F8C"/>
    <w:lvl w:ilvl="0">
      <w:start w:val="1"/>
      <w:numFmt w:val="bullet"/>
      <w:pStyle w:val="formattedparas"/>
      <w:lvlText w:val=""/>
      <w:lvlJc w:val="left"/>
      <w:pPr>
        <w:tabs>
          <w:tab w:val="num" w:pos="360"/>
        </w:tabs>
        <w:ind w:left="360" w:hanging="360"/>
      </w:pPr>
      <w:rPr>
        <w:rFonts w:ascii="Symbol" w:hAnsi="Symbol" w:hint="default"/>
      </w:rPr>
    </w:lvl>
  </w:abstractNum>
  <w:abstractNum w:abstractNumId="37">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8">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33"/>
  </w:num>
  <w:num w:numId="2">
    <w:abstractNumId w:val="8"/>
  </w:num>
  <w:num w:numId="3">
    <w:abstractNumId w:val="10"/>
  </w:num>
  <w:num w:numId="4">
    <w:abstractNumId w:val="15"/>
  </w:num>
  <w:num w:numId="5">
    <w:abstractNumId w:val="24"/>
  </w:num>
  <w:num w:numId="6">
    <w:abstractNumId w:val="21"/>
  </w:num>
  <w:num w:numId="7">
    <w:abstractNumId w:val="37"/>
  </w:num>
  <w:num w:numId="8">
    <w:abstractNumId w:val="38"/>
  </w:num>
  <w:num w:numId="9">
    <w:abstractNumId w:val="18"/>
  </w:num>
  <w:num w:numId="10">
    <w:abstractNumId w:val="25"/>
  </w:num>
  <w:num w:numId="11">
    <w:abstractNumId w:val="26"/>
  </w:num>
  <w:num w:numId="12">
    <w:abstractNumId w:val="7"/>
  </w:num>
  <w:num w:numId="13">
    <w:abstractNumId w:val="14"/>
  </w:num>
  <w:num w:numId="14">
    <w:abstractNumId w:val="13"/>
  </w:num>
  <w:num w:numId="15">
    <w:abstractNumId w:val="36"/>
  </w:num>
  <w:num w:numId="16">
    <w:abstractNumId w:val="20"/>
  </w:num>
  <w:num w:numId="17">
    <w:abstractNumId w:val="23"/>
  </w:num>
  <w:num w:numId="18">
    <w:abstractNumId w:val="27"/>
  </w:num>
  <w:num w:numId="19">
    <w:abstractNumId w:val="30"/>
  </w:num>
  <w:num w:numId="20">
    <w:abstractNumId w:val="16"/>
  </w:num>
  <w:num w:numId="21">
    <w:abstractNumId w:val="3"/>
  </w:num>
  <w:num w:numId="22">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3">
    <w:abstractNumId w:val="17"/>
  </w:num>
  <w:num w:numId="24">
    <w:abstractNumId w:val="28"/>
  </w:num>
  <w:num w:numId="25">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6">
    <w:abstractNumId w:val="22"/>
  </w:num>
  <w:num w:numId="27">
    <w:abstractNumId w:val="12"/>
  </w:num>
  <w:num w:numId="28">
    <w:abstractNumId w:val="31"/>
  </w:num>
  <w:num w:numId="29">
    <w:abstractNumId w:val="29"/>
  </w:num>
  <w:num w:numId="30">
    <w:abstractNumId w:val="9"/>
  </w:num>
  <w:num w:numId="31">
    <w:abstractNumId w:val="2"/>
  </w:num>
  <w:num w:numId="32">
    <w:abstractNumId w:val="5"/>
  </w:num>
  <w:num w:numId="33">
    <w:abstractNumId w:val="4"/>
  </w:num>
  <w:num w:numId="34">
    <w:abstractNumId w:val="1"/>
  </w:num>
  <w:num w:numId="35">
    <w:abstractNumId w:val="0"/>
  </w:num>
  <w:num w:numId="36">
    <w:abstractNumId w:val="32"/>
  </w:num>
  <w:num w:numId="37">
    <w:abstractNumId w:val="19"/>
  </w:num>
  <w:num w:numId="38">
    <w:abstractNumId w:val="34"/>
  </w:num>
  <w:num w:numId="39">
    <w:abstractNumId w:val="35"/>
  </w:num>
  <w:num w:numId="40">
    <w:abstractNumId w:val="11"/>
  </w:num>
  <w:numIdMacAtCleanup w:val="2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ersson, Catherine">
    <w15:presenceInfo w15:providerId="AD" w15:userId="S-1-5-21-4285900246-1529922971-1310196836-24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mirrorMargins/>
  <w:activeWritingStyle w:appName="MSWord" w:lang="en-AU" w:vendorID="64" w:dllVersion="131078" w:nlCheck="1" w:checkStyle="1"/>
  <w:activeWritingStyle w:appName="MSWord" w:lang="en-US" w:vendorID="64" w:dllVersion="131078" w:nlCheck="1" w:checkStyle="1"/>
  <w:activeWritingStyle w:appName="MSWord" w:lang="en-AU" w:vendorID="8" w:dllVersion="513" w:checkStyle="1"/>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40"/>
  <w:evenAndOddHeaders/>
  <w:displayHorizontalDrawingGridEvery w:val="0"/>
  <w:displayVerticalDrawingGridEvery w:val="0"/>
  <w:doNotUseMarginsForDrawingGridOrigin/>
  <w:noPunctuationKerning/>
  <w:characterSpacingControl w:val="doNotCompress"/>
  <w:hdrShapeDefaults>
    <o:shapedefaults v:ext="edit" spidmax="48640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E"/>
    <w:docVar w:name="DocType" w:val="0"/>
    <w:docVar w:name="FindingOptions" w:val="1"/>
    <w:docVar w:name="LongChapterTitle" w:val="Chapter"/>
    <w:docVar w:name="LongReportTitle" w:val="Report title"/>
    <w:docVar w:name="RecOptions" w:val="111"/>
    <w:docVar w:name="ShortChapterTitle" w:val="HEALTH SECTOR OVERVIEW "/>
    <w:docVar w:name="ShortReportTitle" w:val="REPORT ON GOVERNMENT SERVICES 2017"/>
    <w:docVar w:name="SideNote" w:val="1"/>
    <w:docVar w:name="UseShortChapter" w:val="0"/>
    <w:docVar w:name="UseShortReport" w:val="0"/>
  </w:docVars>
  <w:rsids>
    <w:rsidRoot w:val="00193FB7"/>
    <w:rsid w:val="00000B4B"/>
    <w:rsid w:val="00000F7B"/>
    <w:rsid w:val="000012F8"/>
    <w:rsid w:val="00001761"/>
    <w:rsid w:val="00001DE8"/>
    <w:rsid w:val="0000225C"/>
    <w:rsid w:val="000026EF"/>
    <w:rsid w:val="00002716"/>
    <w:rsid w:val="000028BC"/>
    <w:rsid w:val="000028F8"/>
    <w:rsid w:val="00002E45"/>
    <w:rsid w:val="00002EE5"/>
    <w:rsid w:val="00002F98"/>
    <w:rsid w:val="0000357F"/>
    <w:rsid w:val="000035B8"/>
    <w:rsid w:val="00004206"/>
    <w:rsid w:val="000043BD"/>
    <w:rsid w:val="00004745"/>
    <w:rsid w:val="000048AF"/>
    <w:rsid w:val="00004B04"/>
    <w:rsid w:val="00004EDD"/>
    <w:rsid w:val="000054FF"/>
    <w:rsid w:val="0000577A"/>
    <w:rsid w:val="000057A1"/>
    <w:rsid w:val="00005A0A"/>
    <w:rsid w:val="00005DC2"/>
    <w:rsid w:val="00006544"/>
    <w:rsid w:val="0000665C"/>
    <w:rsid w:val="0000686F"/>
    <w:rsid w:val="00006D38"/>
    <w:rsid w:val="00006D4C"/>
    <w:rsid w:val="00006F55"/>
    <w:rsid w:val="0000731E"/>
    <w:rsid w:val="000076A1"/>
    <w:rsid w:val="00007AB6"/>
    <w:rsid w:val="00010284"/>
    <w:rsid w:val="000103EB"/>
    <w:rsid w:val="0001078E"/>
    <w:rsid w:val="000108B7"/>
    <w:rsid w:val="00010D3C"/>
    <w:rsid w:val="00011377"/>
    <w:rsid w:val="000117A0"/>
    <w:rsid w:val="00012D1B"/>
    <w:rsid w:val="00012F52"/>
    <w:rsid w:val="00012FC0"/>
    <w:rsid w:val="000138EF"/>
    <w:rsid w:val="00013A86"/>
    <w:rsid w:val="00013E92"/>
    <w:rsid w:val="000142AC"/>
    <w:rsid w:val="000145AD"/>
    <w:rsid w:val="00015082"/>
    <w:rsid w:val="000158D4"/>
    <w:rsid w:val="00015CB2"/>
    <w:rsid w:val="000162C5"/>
    <w:rsid w:val="000164C7"/>
    <w:rsid w:val="000165C0"/>
    <w:rsid w:val="00016AF8"/>
    <w:rsid w:val="00016DE9"/>
    <w:rsid w:val="00016EAA"/>
    <w:rsid w:val="00017381"/>
    <w:rsid w:val="0001749F"/>
    <w:rsid w:val="00017A7F"/>
    <w:rsid w:val="0002037B"/>
    <w:rsid w:val="0002095F"/>
    <w:rsid w:val="00020AAB"/>
    <w:rsid w:val="000214D6"/>
    <w:rsid w:val="000217CD"/>
    <w:rsid w:val="000218B9"/>
    <w:rsid w:val="00021BC1"/>
    <w:rsid w:val="00021EDF"/>
    <w:rsid w:val="000221F0"/>
    <w:rsid w:val="0002373F"/>
    <w:rsid w:val="00023B64"/>
    <w:rsid w:val="00023F4E"/>
    <w:rsid w:val="0002432F"/>
    <w:rsid w:val="000243A9"/>
    <w:rsid w:val="000253DB"/>
    <w:rsid w:val="00025649"/>
    <w:rsid w:val="00025E80"/>
    <w:rsid w:val="000264E9"/>
    <w:rsid w:val="00026547"/>
    <w:rsid w:val="00026BB0"/>
    <w:rsid w:val="00026C58"/>
    <w:rsid w:val="00026EC3"/>
    <w:rsid w:val="000272A3"/>
    <w:rsid w:val="00030228"/>
    <w:rsid w:val="00031287"/>
    <w:rsid w:val="000314D3"/>
    <w:rsid w:val="000324BD"/>
    <w:rsid w:val="0003267A"/>
    <w:rsid w:val="00032B0F"/>
    <w:rsid w:val="00032BEA"/>
    <w:rsid w:val="00032D11"/>
    <w:rsid w:val="00032E89"/>
    <w:rsid w:val="00033048"/>
    <w:rsid w:val="00033653"/>
    <w:rsid w:val="000336BA"/>
    <w:rsid w:val="000337DB"/>
    <w:rsid w:val="000339BF"/>
    <w:rsid w:val="00034878"/>
    <w:rsid w:val="00034C41"/>
    <w:rsid w:val="00034E7F"/>
    <w:rsid w:val="00035A88"/>
    <w:rsid w:val="00036085"/>
    <w:rsid w:val="000363A4"/>
    <w:rsid w:val="00036450"/>
    <w:rsid w:val="0003671D"/>
    <w:rsid w:val="00036BE1"/>
    <w:rsid w:val="00036E39"/>
    <w:rsid w:val="000371E4"/>
    <w:rsid w:val="00037AEF"/>
    <w:rsid w:val="00037C98"/>
    <w:rsid w:val="000402A1"/>
    <w:rsid w:val="000406B7"/>
    <w:rsid w:val="00040FFC"/>
    <w:rsid w:val="00041A9A"/>
    <w:rsid w:val="0004274D"/>
    <w:rsid w:val="00042A80"/>
    <w:rsid w:val="00042FE2"/>
    <w:rsid w:val="000434B0"/>
    <w:rsid w:val="000436C5"/>
    <w:rsid w:val="000437D9"/>
    <w:rsid w:val="00043DE7"/>
    <w:rsid w:val="00043FF3"/>
    <w:rsid w:val="00044505"/>
    <w:rsid w:val="0004577C"/>
    <w:rsid w:val="000460BC"/>
    <w:rsid w:val="000460FE"/>
    <w:rsid w:val="000464AC"/>
    <w:rsid w:val="000465E6"/>
    <w:rsid w:val="00046A9D"/>
    <w:rsid w:val="00046E3F"/>
    <w:rsid w:val="000475E2"/>
    <w:rsid w:val="0004770D"/>
    <w:rsid w:val="00047944"/>
    <w:rsid w:val="0004797A"/>
    <w:rsid w:val="00047A8B"/>
    <w:rsid w:val="00047BF0"/>
    <w:rsid w:val="000530E2"/>
    <w:rsid w:val="0005311B"/>
    <w:rsid w:val="00053157"/>
    <w:rsid w:val="0005320F"/>
    <w:rsid w:val="00053CAE"/>
    <w:rsid w:val="00053EFA"/>
    <w:rsid w:val="00053F2B"/>
    <w:rsid w:val="0005489F"/>
    <w:rsid w:val="00054B2A"/>
    <w:rsid w:val="00054DC3"/>
    <w:rsid w:val="00054EA2"/>
    <w:rsid w:val="00054F00"/>
    <w:rsid w:val="00055193"/>
    <w:rsid w:val="00055319"/>
    <w:rsid w:val="00055B74"/>
    <w:rsid w:val="00055D19"/>
    <w:rsid w:val="0005642F"/>
    <w:rsid w:val="0005665A"/>
    <w:rsid w:val="00056B8C"/>
    <w:rsid w:val="00056D6B"/>
    <w:rsid w:val="00057018"/>
    <w:rsid w:val="000573EB"/>
    <w:rsid w:val="00057607"/>
    <w:rsid w:val="0005779E"/>
    <w:rsid w:val="00057CAA"/>
    <w:rsid w:val="00061124"/>
    <w:rsid w:val="000612DA"/>
    <w:rsid w:val="00061391"/>
    <w:rsid w:val="00061554"/>
    <w:rsid w:val="00061BEC"/>
    <w:rsid w:val="00061BFB"/>
    <w:rsid w:val="00061ECD"/>
    <w:rsid w:val="0006275C"/>
    <w:rsid w:val="000634FC"/>
    <w:rsid w:val="00063587"/>
    <w:rsid w:val="0006381F"/>
    <w:rsid w:val="00063D4E"/>
    <w:rsid w:val="00063DF0"/>
    <w:rsid w:val="000648D0"/>
    <w:rsid w:val="0006503F"/>
    <w:rsid w:val="00065A55"/>
    <w:rsid w:val="00065A95"/>
    <w:rsid w:val="00065D8C"/>
    <w:rsid w:val="00066353"/>
    <w:rsid w:val="00066835"/>
    <w:rsid w:val="000669EE"/>
    <w:rsid w:val="00066ED7"/>
    <w:rsid w:val="000677E0"/>
    <w:rsid w:val="00067B4B"/>
    <w:rsid w:val="00067C42"/>
    <w:rsid w:val="000700CF"/>
    <w:rsid w:val="000700D5"/>
    <w:rsid w:val="00070727"/>
    <w:rsid w:val="00070A9D"/>
    <w:rsid w:val="00071358"/>
    <w:rsid w:val="000719E2"/>
    <w:rsid w:val="000720DB"/>
    <w:rsid w:val="00072352"/>
    <w:rsid w:val="0007254D"/>
    <w:rsid w:val="00072987"/>
    <w:rsid w:val="00072A62"/>
    <w:rsid w:val="00072E87"/>
    <w:rsid w:val="00073451"/>
    <w:rsid w:val="00073E38"/>
    <w:rsid w:val="00074300"/>
    <w:rsid w:val="0007485F"/>
    <w:rsid w:val="00074B4E"/>
    <w:rsid w:val="00075141"/>
    <w:rsid w:val="00075299"/>
    <w:rsid w:val="000756FE"/>
    <w:rsid w:val="0007591F"/>
    <w:rsid w:val="0007595B"/>
    <w:rsid w:val="00075A4E"/>
    <w:rsid w:val="000760EC"/>
    <w:rsid w:val="000761BC"/>
    <w:rsid w:val="000761D2"/>
    <w:rsid w:val="0007669C"/>
    <w:rsid w:val="00076862"/>
    <w:rsid w:val="00076FA0"/>
    <w:rsid w:val="000770DD"/>
    <w:rsid w:val="00077174"/>
    <w:rsid w:val="0007720D"/>
    <w:rsid w:val="00077346"/>
    <w:rsid w:val="0008005A"/>
    <w:rsid w:val="00080710"/>
    <w:rsid w:val="00080AA9"/>
    <w:rsid w:val="00080B11"/>
    <w:rsid w:val="00080DF0"/>
    <w:rsid w:val="000811F6"/>
    <w:rsid w:val="00081244"/>
    <w:rsid w:val="0008191B"/>
    <w:rsid w:val="00082006"/>
    <w:rsid w:val="000823DA"/>
    <w:rsid w:val="000825E9"/>
    <w:rsid w:val="00082FDE"/>
    <w:rsid w:val="0008306B"/>
    <w:rsid w:val="00083A05"/>
    <w:rsid w:val="00083ED9"/>
    <w:rsid w:val="00083F64"/>
    <w:rsid w:val="000845A8"/>
    <w:rsid w:val="000847DE"/>
    <w:rsid w:val="000848B0"/>
    <w:rsid w:val="00085569"/>
    <w:rsid w:val="0008567C"/>
    <w:rsid w:val="00085912"/>
    <w:rsid w:val="00085C68"/>
    <w:rsid w:val="00085F97"/>
    <w:rsid w:val="00086036"/>
    <w:rsid w:val="00086064"/>
    <w:rsid w:val="00086380"/>
    <w:rsid w:val="000866DE"/>
    <w:rsid w:val="00087175"/>
    <w:rsid w:val="000871D0"/>
    <w:rsid w:val="00087577"/>
    <w:rsid w:val="000877C4"/>
    <w:rsid w:val="00087F44"/>
    <w:rsid w:val="00090009"/>
    <w:rsid w:val="0009006F"/>
    <w:rsid w:val="000907E5"/>
    <w:rsid w:val="000908AE"/>
    <w:rsid w:val="00091B08"/>
    <w:rsid w:val="00091C52"/>
    <w:rsid w:val="00091F37"/>
    <w:rsid w:val="000921A1"/>
    <w:rsid w:val="00092B91"/>
    <w:rsid w:val="00092E74"/>
    <w:rsid w:val="00093E01"/>
    <w:rsid w:val="0009450C"/>
    <w:rsid w:val="0009450E"/>
    <w:rsid w:val="0009490F"/>
    <w:rsid w:val="00094973"/>
    <w:rsid w:val="0009512C"/>
    <w:rsid w:val="000954F8"/>
    <w:rsid w:val="000959B3"/>
    <w:rsid w:val="00095F44"/>
    <w:rsid w:val="0009649C"/>
    <w:rsid w:val="000969D6"/>
    <w:rsid w:val="00096CC1"/>
    <w:rsid w:val="00096D15"/>
    <w:rsid w:val="00097182"/>
    <w:rsid w:val="000974F3"/>
    <w:rsid w:val="00097712"/>
    <w:rsid w:val="000978CF"/>
    <w:rsid w:val="00097B1B"/>
    <w:rsid w:val="00097D9C"/>
    <w:rsid w:val="000A09A5"/>
    <w:rsid w:val="000A0AC1"/>
    <w:rsid w:val="000A1592"/>
    <w:rsid w:val="000A15BA"/>
    <w:rsid w:val="000A1F1C"/>
    <w:rsid w:val="000A27DD"/>
    <w:rsid w:val="000A2D14"/>
    <w:rsid w:val="000A2EE9"/>
    <w:rsid w:val="000A314F"/>
    <w:rsid w:val="000A31F9"/>
    <w:rsid w:val="000A3379"/>
    <w:rsid w:val="000A358B"/>
    <w:rsid w:val="000A3B1D"/>
    <w:rsid w:val="000A3C6C"/>
    <w:rsid w:val="000A4092"/>
    <w:rsid w:val="000A420E"/>
    <w:rsid w:val="000A4AAC"/>
    <w:rsid w:val="000A5275"/>
    <w:rsid w:val="000A58AB"/>
    <w:rsid w:val="000A58BE"/>
    <w:rsid w:val="000A593E"/>
    <w:rsid w:val="000A5DF6"/>
    <w:rsid w:val="000A6F01"/>
    <w:rsid w:val="000A6F48"/>
    <w:rsid w:val="000A6FF4"/>
    <w:rsid w:val="000A7065"/>
    <w:rsid w:val="000A7208"/>
    <w:rsid w:val="000A764B"/>
    <w:rsid w:val="000A766B"/>
    <w:rsid w:val="000A784F"/>
    <w:rsid w:val="000A7A88"/>
    <w:rsid w:val="000A7F32"/>
    <w:rsid w:val="000B043E"/>
    <w:rsid w:val="000B04C8"/>
    <w:rsid w:val="000B0786"/>
    <w:rsid w:val="000B0B7D"/>
    <w:rsid w:val="000B0CC9"/>
    <w:rsid w:val="000B1460"/>
    <w:rsid w:val="000B1BF6"/>
    <w:rsid w:val="000B1D08"/>
    <w:rsid w:val="000B213B"/>
    <w:rsid w:val="000B22D4"/>
    <w:rsid w:val="000B23CF"/>
    <w:rsid w:val="000B24FD"/>
    <w:rsid w:val="000B2D03"/>
    <w:rsid w:val="000B2D0D"/>
    <w:rsid w:val="000B2F91"/>
    <w:rsid w:val="000B2FE8"/>
    <w:rsid w:val="000B3300"/>
    <w:rsid w:val="000B33D2"/>
    <w:rsid w:val="000B39FD"/>
    <w:rsid w:val="000B3C20"/>
    <w:rsid w:val="000B45C2"/>
    <w:rsid w:val="000B4C34"/>
    <w:rsid w:val="000B52B9"/>
    <w:rsid w:val="000B5395"/>
    <w:rsid w:val="000B5D0A"/>
    <w:rsid w:val="000B6051"/>
    <w:rsid w:val="000B62E4"/>
    <w:rsid w:val="000B63D7"/>
    <w:rsid w:val="000B6E18"/>
    <w:rsid w:val="000B6FB6"/>
    <w:rsid w:val="000B7975"/>
    <w:rsid w:val="000B7E6E"/>
    <w:rsid w:val="000C000B"/>
    <w:rsid w:val="000C050A"/>
    <w:rsid w:val="000C053D"/>
    <w:rsid w:val="000C05AB"/>
    <w:rsid w:val="000C05EA"/>
    <w:rsid w:val="000C11EA"/>
    <w:rsid w:val="000C1858"/>
    <w:rsid w:val="000C1A27"/>
    <w:rsid w:val="000C22EE"/>
    <w:rsid w:val="000C232E"/>
    <w:rsid w:val="000C2D62"/>
    <w:rsid w:val="000C300D"/>
    <w:rsid w:val="000C34E8"/>
    <w:rsid w:val="000C350F"/>
    <w:rsid w:val="000C3759"/>
    <w:rsid w:val="000C3A04"/>
    <w:rsid w:val="000C3A95"/>
    <w:rsid w:val="000C3EC5"/>
    <w:rsid w:val="000C401E"/>
    <w:rsid w:val="000C4390"/>
    <w:rsid w:val="000C4463"/>
    <w:rsid w:val="000C4DB1"/>
    <w:rsid w:val="000C56F6"/>
    <w:rsid w:val="000C5EB7"/>
    <w:rsid w:val="000C5EEE"/>
    <w:rsid w:val="000C64ED"/>
    <w:rsid w:val="000C651E"/>
    <w:rsid w:val="000C6757"/>
    <w:rsid w:val="000C6949"/>
    <w:rsid w:val="000C6CF7"/>
    <w:rsid w:val="000C6DCB"/>
    <w:rsid w:val="000C6E0B"/>
    <w:rsid w:val="000C6EB6"/>
    <w:rsid w:val="000C7A3D"/>
    <w:rsid w:val="000C7BFC"/>
    <w:rsid w:val="000C7F89"/>
    <w:rsid w:val="000C7FE9"/>
    <w:rsid w:val="000D04A9"/>
    <w:rsid w:val="000D0A28"/>
    <w:rsid w:val="000D1D10"/>
    <w:rsid w:val="000D213C"/>
    <w:rsid w:val="000D2326"/>
    <w:rsid w:val="000D2B0C"/>
    <w:rsid w:val="000D2B66"/>
    <w:rsid w:val="000D2B91"/>
    <w:rsid w:val="000D2C2F"/>
    <w:rsid w:val="000D3385"/>
    <w:rsid w:val="000D36BA"/>
    <w:rsid w:val="000D3D20"/>
    <w:rsid w:val="000D47E3"/>
    <w:rsid w:val="000D4BD5"/>
    <w:rsid w:val="000D4BFA"/>
    <w:rsid w:val="000D5208"/>
    <w:rsid w:val="000D5304"/>
    <w:rsid w:val="000D5D55"/>
    <w:rsid w:val="000D5DDF"/>
    <w:rsid w:val="000D6F2E"/>
    <w:rsid w:val="000D7555"/>
    <w:rsid w:val="000D759B"/>
    <w:rsid w:val="000D7E71"/>
    <w:rsid w:val="000D7FCC"/>
    <w:rsid w:val="000E0757"/>
    <w:rsid w:val="000E0C6A"/>
    <w:rsid w:val="000E1BAD"/>
    <w:rsid w:val="000E20A9"/>
    <w:rsid w:val="000E20FF"/>
    <w:rsid w:val="000E2520"/>
    <w:rsid w:val="000E2A48"/>
    <w:rsid w:val="000E2A69"/>
    <w:rsid w:val="000E2B0E"/>
    <w:rsid w:val="000E2BDD"/>
    <w:rsid w:val="000E318D"/>
    <w:rsid w:val="000E34FA"/>
    <w:rsid w:val="000E3539"/>
    <w:rsid w:val="000E3728"/>
    <w:rsid w:val="000E3A48"/>
    <w:rsid w:val="000E494A"/>
    <w:rsid w:val="000E5000"/>
    <w:rsid w:val="000E5533"/>
    <w:rsid w:val="000E5CBC"/>
    <w:rsid w:val="000E5F6D"/>
    <w:rsid w:val="000E6243"/>
    <w:rsid w:val="000E6306"/>
    <w:rsid w:val="000E6D56"/>
    <w:rsid w:val="000E73C8"/>
    <w:rsid w:val="000F1E41"/>
    <w:rsid w:val="000F1FD9"/>
    <w:rsid w:val="000F2227"/>
    <w:rsid w:val="000F23DB"/>
    <w:rsid w:val="000F2F53"/>
    <w:rsid w:val="000F3145"/>
    <w:rsid w:val="000F4A5B"/>
    <w:rsid w:val="000F4D0F"/>
    <w:rsid w:val="000F53C5"/>
    <w:rsid w:val="000F5A26"/>
    <w:rsid w:val="000F5A5E"/>
    <w:rsid w:val="000F5AB5"/>
    <w:rsid w:val="000F668B"/>
    <w:rsid w:val="000F6D0C"/>
    <w:rsid w:val="000F7334"/>
    <w:rsid w:val="000F7D43"/>
    <w:rsid w:val="000F7E22"/>
    <w:rsid w:val="00100522"/>
    <w:rsid w:val="00100BA4"/>
    <w:rsid w:val="00100C65"/>
    <w:rsid w:val="00100CCE"/>
    <w:rsid w:val="00100CDF"/>
    <w:rsid w:val="0010135E"/>
    <w:rsid w:val="00101E3D"/>
    <w:rsid w:val="00101F23"/>
    <w:rsid w:val="00102031"/>
    <w:rsid w:val="00102B35"/>
    <w:rsid w:val="00102C30"/>
    <w:rsid w:val="00102E93"/>
    <w:rsid w:val="0010307E"/>
    <w:rsid w:val="00103233"/>
    <w:rsid w:val="00103290"/>
    <w:rsid w:val="0010383A"/>
    <w:rsid w:val="00103989"/>
    <w:rsid w:val="00103E0A"/>
    <w:rsid w:val="00104044"/>
    <w:rsid w:val="0010493F"/>
    <w:rsid w:val="00105924"/>
    <w:rsid w:val="00105BF2"/>
    <w:rsid w:val="00105D32"/>
    <w:rsid w:val="00105F78"/>
    <w:rsid w:val="00106327"/>
    <w:rsid w:val="001064CD"/>
    <w:rsid w:val="001064E2"/>
    <w:rsid w:val="00106650"/>
    <w:rsid w:val="00106780"/>
    <w:rsid w:val="001069B8"/>
    <w:rsid w:val="001069DE"/>
    <w:rsid w:val="00106BE5"/>
    <w:rsid w:val="00106C04"/>
    <w:rsid w:val="00106DC5"/>
    <w:rsid w:val="00107670"/>
    <w:rsid w:val="00107AC8"/>
    <w:rsid w:val="00107D4F"/>
    <w:rsid w:val="00110076"/>
    <w:rsid w:val="00110327"/>
    <w:rsid w:val="0011040D"/>
    <w:rsid w:val="001107EE"/>
    <w:rsid w:val="00111261"/>
    <w:rsid w:val="0011144A"/>
    <w:rsid w:val="00111558"/>
    <w:rsid w:val="001117D4"/>
    <w:rsid w:val="00111E40"/>
    <w:rsid w:val="00111FB1"/>
    <w:rsid w:val="00112217"/>
    <w:rsid w:val="0011263D"/>
    <w:rsid w:val="001129C9"/>
    <w:rsid w:val="00112D9E"/>
    <w:rsid w:val="00112EDC"/>
    <w:rsid w:val="00112F76"/>
    <w:rsid w:val="00113078"/>
    <w:rsid w:val="001130FF"/>
    <w:rsid w:val="00113AB2"/>
    <w:rsid w:val="00114052"/>
    <w:rsid w:val="00114337"/>
    <w:rsid w:val="0011449E"/>
    <w:rsid w:val="00114836"/>
    <w:rsid w:val="00114E9F"/>
    <w:rsid w:val="00115651"/>
    <w:rsid w:val="001156EA"/>
    <w:rsid w:val="00115AD5"/>
    <w:rsid w:val="00115AE8"/>
    <w:rsid w:val="00115C74"/>
    <w:rsid w:val="00115F17"/>
    <w:rsid w:val="00116404"/>
    <w:rsid w:val="001168BE"/>
    <w:rsid w:val="00116996"/>
    <w:rsid w:val="00116A7F"/>
    <w:rsid w:val="00116D2D"/>
    <w:rsid w:val="0011752E"/>
    <w:rsid w:val="0011762B"/>
    <w:rsid w:val="00117773"/>
    <w:rsid w:val="001205F1"/>
    <w:rsid w:val="00120F49"/>
    <w:rsid w:val="00121181"/>
    <w:rsid w:val="00121D0C"/>
    <w:rsid w:val="0012214C"/>
    <w:rsid w:val="00122238"/>
    <w:rsid w:val="00122450"/>
    <w:rsid w:val="00122D26"/>
    <w:rsid w:val="00122D6F"/>
    <w:rsid w:val="001237E5"/>
    <w:rsid w:val="001238A3"/>
    <w:rsid w:val="00123B2E"/>
    <w:rsid w:val="00123D6B"/>
    <w:rsid w:val="00123E05"/>
    <w:rsid w:val="00123E6E"/>
    <w:rsid w:val="00124178"/>
    <w:rsid w:val="00124898"/>
    <w:rsid w:val="00124FC0"/>
    <w:rsid w:val="0012529D"/>
    <w:rsid w:val="001254E4"/>
    <w:rsid w:val="0012599D"/>
    <w:rsid w:val="00125CE0"/>
    <w:rsid w:val="00125CEA"/>
    <w:rsid w:val="00125EA9"/>
    <w:rsid w:val="00125ECB"/>
    <w:rsid w:val="00126089"/>
    <w:rsid w:val="001263C5"/>
    <w:rsid w:val="00126FF4"/>
    <w:rsid w:val="001271C5"/>
    <w:rsid w:val="001273D6"/>
    <w:rsid w:val="0012765F"/>
    <w:rsid w:val="00127923"/>
    <w:rsid w:val="0012794F"/>
    <w:rsid w:val="001279A1"/>
    <w:rsid w:val="00127D62"/>
    <w:rsid w:val="00130113"/>
    <w:rsid w:val="001303E7"/>
    <w:rsid w:val="00130761"/>
    <w:rsid w:val="001308A6"/>
    <w:rsid w:val="001308E5"/>
    <w:rsid w:val="00131073"/>
    <w:rsid w:val="00131CB1"/>
    <w:rsid w:val="001323EC"/>
    <w:rsid w:val="001324A5"/>
    <w:rsid w:val="00132CF8"/>
    <w:rsid w:val="00132E9F"/>
    <w:rsid w:val="001332B0"/>
    <w:rsid w:val="00133751"/>
    <w:rsid w:val="00133B0A"/>
    <w:rsid w:val="00133DE3"/>
    <w:rsid w:val="00134A2B"/>
    <w:rsid w:val="00134BBE"/>
    <w:rsid w:val="00134BFA"/>
    <w:rsid w:val="001354A4"/>
    <w:rsid w:val="00135A8D"/>
    <w:rsid w:val="00136042"/>
    <w:rsid w:val="00136346"/>
    <w:rsid w:val="001365A1"/>
    <w:rsid w:val="001367E4"/>
    <w:rsid w:val="00136ECB"/>
    <w:rsid w:val="00137171"/>
    <w:rsid w:val="0013718B"/>
    <w:rsid w:val="0013743C"/>
    <w:rsid w:val="001379CF"/>
    <w:rsid w:val="001400C4"/>
    <w:rsid w:val="00140883"/>
    <w:rsid w:val="00141509"/>
    <w:rsid w:val="00141C3F"/>
    <w:rsid w:val="00141EEC"/>
    <w:rsid w:val="0014215E"/>
    <w:rsid w:val="00142792"/>
    <w:rsid w:val="001428EC"/>
    <w:rsid w:val="00142947"/>
    <w:rsid w:val="00142AFA"/>
    <w:rsid w:val="00142C83"/>
    <w:rsid w:val="001430B0"/>
    <w:rsid w:val="0014322C"/>
    <w:rsid w:val="00143255"/>
    <w:rsid w:val="0014350B"/>
    <w:rsid w:val="00143659"/>
    <w:rsid w:val="0014392C"/>
    <w:rsid w:val="001439BF"/>
    <w:rsid w:val="001439E0"/>
    <w:rsid w:val="00143D8C"/>
    <w:rsid w:val="00143F3D"/>
    <w:rsid w:val="00143FB7"/>
    <w:rsid w:val="00144065"/>
    <w:rsid w:val="001442EA"/>
    <w:rsid w:val="001446B5"/>
    <w:rsid w:val="00144866"/>
    <w:rsid w:val="00144A3E"/>
    <w:rsid w:val="00144C7E"/>
    <w:rsid w:val="001453BC"/>
    <w:rsid w:val="00146323"/>
    <w:rsid w:val="00146551"/>
    <w:rsid w:val="0014691B"/>
    <w:rsid w:val="00146BD2"/>
    <w:rsid w:val="0014731E"/>
    <w:rsid w:val="00147D18"/>
    <w:rsid w:val="00150FEA"/>
    <w:rsid w:val="001513F5"/>
    <w:rsid w:val="0015151B"/>
    <w:rsid w:val="00151628"/>
    <w:rsid w:val="00151789"/>
    <w:rsid w:val="00151A61"/>
    <w:rsid w:val="00152081"/>
    <w:rsid w:val="00152788"/>
    <w:rsid w:val="00152B82"/>
    <w:rsid w:val="0015319B"/>
    <w:rsid w:val="001532AE"/>
    <w:rsid w:val="0015344E"/>
    <w:rsid w:val="00153558"/>
    <w:rsid w:val="00153710"/>
    <w:rsid w:val="001538B4"/>
    <w:rsid w:val="001538C9"/>
    <w:rsid w:val="001539B7"/>
    <w:rsid w:val="00153ABE"/>
    <w:rsid w:val="00153C46"/>
    <w:rsid w:val="0015496E"/>
    <w:rsid w:val="00154F26"/>
    <w:rsid w:val="001556DB"/>
    <w:rsid w:val="00155742"/>
    <w:rsid w:val="00155BB3"/>
    <w:rsid w:val="00155D09"/>
    <w:rsid w:val="00156121"/>
    <w:rsid w:val="00156222"/>
    <w:rsid w:val="00156503"/>
    <w:rsid w:val="00156D01"/>
    <w:rsid w:val="00156D63"/>
    <w:rsid w:val="001601D1"/>
    <w:rsid w:val="001607DB"/>
    <w:rsid w:val="00160B02"/>
    <w:rsid w:val="00161104"/>
    <w:rsid w:val="00161368"/>
    <w:rsid w:val="00161540"/>
    <w:rsid w:val="001615D1"/>
    <w:rsid w:val="0016191F"/>
    <w:rsid w:val="00161A92"/>
    <w:rsid w:val="001622A5"/>
    <w:rsid w:val="001622B6"/>
    <w:rsid w:val="001625B8"/>
    <w:rsid w:val="00162986"/>
    <w:rsid w:val="001631EC"/>
    <w:rsid w:val="0016400A"/>
    <w:rsid w:val="001640A3"/>
    <w:rsid w:val="001640FB"/>
    <w:rsid w:val="001645DA"/>
    <w:rsid w:val="00164831"/>
    <w:rsid w:val="00164DC5"/>
    <w:rsid w:val="0016539C"/>
    <w:rsid w:val="001658B4"/>
    <w:rsid w:val="00165FFC"/>
    <w:rsid w:val="001666EA"/>
    <w:rsid w:val="001668A6"/>
    <w:rsid w:val="00167314"/>
    <w:rsid w:val="00167950"/>
    <w:rsid w:val="001702AC"/>
    <w:rsid w:val="00170458"/>
    <w:rsid w:val="001707DD"/>
    <w:rsid w:val="001708F0"/>
    <w:rsid w:val="001714D5"/>
    <w:rsid w:val="001715B5"/>
    <w:rsid w:val="00171A36"/>
    <w:rsid w:val="00171E4C"/>
    <w:rsid w:val="0017206F"/>
    <w:rsid w:val="00172B32"/>
    <w:rsid w:val="00172DCD"/>
    <w:rsid w:val="00173B6F"/>
    <w:rsid w:val="001740A0"/>
    <w:rsid w:val="0017498B"/>
    <w:rsid w:val="00175D20"/>
    <w:rsid w:val="001764C7"/>
    <w:rsid w:val="001766D1"/>
    <w:rsid w:val="0017682E"/>
    <w:rsid w:val="00176902"/>
    <w:rsid w:val="001771BD"/>
    <w:rsid w:val="00177239"/>
    <w:rsid w:val="0017729C"/>
    <w:rsid w:val="00177D00"/>
    <w:rsid w:val="001802C6"/>
    <w:rsid w:val="00180CF4"/>
    <w:rsid w:val="00180CFD"/>
    <w:rsid w:val="00180EFF"/>
    <w:rsid w:val="001811CA"/>
    <w:rsid w:val="0018146A"/>
    <w:rsid w:val="0018189A"/>
    <w:rsid w:val="00181B2A"/>
    <w:rsid w:val="00181B8E"/>
    <w:rsid w:val="0018259F"/>
    <w:rsid w:val="00182938"/>
    <w:rsid w:val="00182B04"/>
    <w:rsid w:val="00182B4C"/>
    <w:rsid w:val="00182BF5"/>
    <w:rsid w:val="00182E38"/>
    <w:rsid w:val="001833EF"/>
    <w:rsid w:val="001838A5"/>
    <w:rsid w:val="001842A6"/>
    <w:rsid w:val="00184300"/>
    <w:rsid w:val="00184346"/>
    <w:rsid w:val="0018438A"/>
    <w:rsid w:val="001847DB"/>
    <w:rsid w:val="00185038"/>
    <w:rsid w:val="001853B0"/>
    <w:rsid w:val="00185AB2"/>
    <w:rsid w:val="00185D84"/>
    <w:rsid w:val="0018639B"/>
    <w:rsid w:val="001863AF"/>
    <w:rsid w:val="00186BE8"/>
    <w:rsid w:val="00186CD8"/>
    <w:rsid w:val="0018716F"/>
    <w:rsid w:val="0018768F"/>
    <w:rsid w:val="00187ACC"/>
    <w:rsid w:val="00187EE9"/>
    <w:rsid w:val="0019005D"/>
    <w:rsid w:val="00190382"/>
    <w:rsid w:val="00190B58"/>
    <w:rsid w:val="00190D60"/>
    <w:rsid w:val="00190E80"/>
    <w:rsid w:val="0019115E"/>
    <w:rsid w:val="00192163"/>
    <w:rsid w:val="00192482"/>
    <w:rsid w:val="001927A4"/>
    <w:rsid w:val="0019292B"/>
    <w:rsid w:val="00192EED"/>
    <w:rsid w:val="00193392"/>
    <w:rsid w:val="00193669"/>
    <w:rsid w:val="00193870"/>
    <w:rsid w:val="00193CFB"/>
    <w:rsid w:val="00193FB7"/>
    <w:rsid w:val="00194983"/>
    <w:rsid w:val="001949EF"/>
    <w:rsid w:val="00195390"/>
    <w:rsid w:val="00195F94"/>
    <w:rsid w:val="0019632A"/>
    <w:rsid w:val="0019635E"/>
    <w:rsid w:val="001968E8"/>
    <w:rsid w:val="00196BF0"/>
    <w:rsid w:val="001A01CB"/>
    <w:rsid w:val="001A05DE"/>
    <w:rsid w:val="001A0610"/>
    <w:rsid w:val="001A07A9"/>
    <w:rsid w:val="001A0913"/>
    <w:rsid w:val="001A13A1"/>
    <w:rsid w:val="001A19CE"/>
    <w:rsid w:val="001A1D7D"/>
    <w:rsid w:val="001A22F2"/>
    <w:rsid w:val="001A231A"/>
    <w:rsid w:val="001A2622"/>
    <w:rsid w:val="001A263A"/>
    <w:rsid w:val="001A27C6"/>
    <w:rsid w:val="001A28CC"/>
    <w:rsid w:val="001A2A8D"/>
    <w:rsid w:val="001A2D3F"/>
    <w:rsid w:val="001A2FEE"/>
    <w:rsid w:val="001A33A1"/>
    <w:rsid w:val="001A3643"/>
    <w:rsid w:val="001A3A7C"/>
    <w:rsid w:val="001A3C91"/>
    <w:rsid w:val="001A3D9C"/>
    <w:rsid w:val="001A3DF2"/>
    <w:rsid w:val="001A3E61"/>
    <w:rsid w:val="001A3F48"/>
    <w:rsid w:val="001A42F3"/>
    <w:rsid w:val="001A4470"/>
    <w:rsid w:val="001A460E"/>
    <w:rsid w:val="001A5359"/>
    <w:rsid w:val="001A58A8"/>
    <w:rsid w:val="001A5F10"/>
    <w:rsid w:val="001A6051"/>
    <w:rsid w:val="001A6115"/>
    <w:rsid w:val="001A64B3"/>
    <w:rsid w:val="001A66AD"/>
    <w:rsid w:val="001A6855"/>
    <w:rsid w:val="001A6E62"/>
    <w:rsid w:val="001A7090"/>
    <w:rsid w:val="001A70EE"/>
    <w:rsid w:val="001A7120"/>
    <w:rsid w:val="001A76BE"/>
    <w:rsid w:val="001B0119"/>
    <w:rsid w:val="001B0579"/>
    <w:rsid w:val="001B08BE"/>
    <w:rsid w:val="001B12A1"/>
    <w:rsid w:val="001B12D7"/>
    <w:rsid w:val="001B17A5"/>
    <w:rsid w:val="001B1C54"/>
    <w:rsid w:val="001B1CD7"/>
    <w:rsid w:val="001B1E5D"/>
    <w:rsid w:val="001B1FE6"/>
    <w:rsid w:val="001B29AF"/>
    <w:rsid w:val="001B2B44"/>
    <w:rsid w:val="001B2BAC"/>
    <w:rsid w:val="001B31B2"/>
    <w:rsid w:val="001B3C24"/>
    <w:rsid w:val="001B3D37"/>
    <w:rsid w:val="001B3DAD"/>
    <w:rsid w:val="001B4413"/>
    <w:rsid w:val="001B49A2"/>
    <w:rsid w:val="001B4E38"/>
    <w:rsid w:val="001B4F5A"/>
    <w:rsid w:val="001B56AD"/>
    <w:rsid w:val="001B5883"/>
    <w:rsid w:val="001B6132"/>
    <w:rsid w:val="001B711C"/>
    <w:rsid w:val="001B7320"/>
    <w:rsid w:val="001B73B7"/>
    <w:rsid w:val="001B7BFD"/>
    <w:rsid w:val="001C00EF"/>
    <w:rsid w:val="001C0475"/>
    <w:rsid w:val="001C04D5"/>
    <w:rsid w:val="001C055E"/>
    <w:rsid w:val="001C0C5A"/>
    <w:rsid w:val="001C0D21"/>
    <w:rsid w:val="001C101D"/>
    <w:rsid w:val="001C1248"/>
    <w:rsid w:val="001C13D8"/>
    <w:rsid w:val="001C14A8"/>
    <w:rsid w:val="001C14CB"/>
    <w:rsid w:val="001C1549"/>
    <w:rsid w:val="001C1589"/>
    <w:rsid w:val="001C178A"/>
    <w:rsid w:val="001C260D"/>
    <w:rsid w:val="001C2694"/>
    <w:rsid w:val="001C2A48"/>
    <w:rsid w:val="001C2D54"/>
    <w:rsid w:val="001C2D75"/>
    <w:rsid w:val="001C3176"/>
    <w:rsid w:val="001C37E8"/>
    <w:rsid w:val="001C3A07"/>
    <w:rsid w:val="001C3B2B"/>
    <w:rsid w:val="001C42C3"/>
    <w:rsid w:val="001C45DD"/>
    <w:rsid w:val="001C526C"/>
    <w:rsid w:val="001C539C"/>
    <w:rsid w:val="001C5932"/>
    <w:rsid w:val="001C5B16"/>
    <w:rsid w:val="001C5E6D"/>
    <w:rsid w:val="001C6588"/>
    <w:rsid w:val="001C6900"/>
    <w:rsid w:val="001C7133"/>
    <w:rsid w:val="001C7A40"/>
    <w:rsid w:val="001C7DC6"/>
    <w:rsid w:val="001D01D2"/>
    <w:rsid w:val="001D02C0"/>
    <w:rsid w:val="001D0B50"/>
    <w:rsid w:val="001D0F2E"/>
    <w:rsid w:val="001D211F"/>
    <w:rsid w:val="001D2486"/>
    <w:rsid w:val="001D2730"/>
    <w:rsid w:val="001D281F"/>
    <w:rsid w:val="001D2BDE"/>
    <w:rsid w:val="001D2ECF"/>
    <w:rsid w:val="001D4399"/>
    <w:rsid w:val="001D4607"/>
    <w:rsid w:val="001D491B"/>
    <w:rsid w:val="001D52DB"/>
    <w:rsid w:val="001D5485"/>
    <w:rsid w:val="001D5A46"/>
    <w:rsid w:val="001D608D"/>
    <w:rsid w:val="001D61EC"/>
    <w:rsid w:val="001D63BE"/>
    <w:rsid w:val="001D68C8"/>
    <w:rsid w:val="001D6B9D"/>
    <w:rsid w:val="001D6C7A"/>
    <w:rsid w:val="001D6C89"/>
    <w:rsid w:val="001D6C96"/>
    <w:rsid w:val="001D6EA8"/>
    <w:rsid w:val="001D7012"/>
    <w:rsid w:val="001D7F24"/>
    <w:rsid w:val="001E0096"/>
    <w:rsid w:val="001E0211"/>
    <w:rsid w:val="001E02DA"/>
    <w:rsid w:val="001E04A8"/>
    <w:rsid w:val="001E04E2"/>
    <w:rsid w:val="001E0A7A"/>
    <w:rsid w:val="001E0AB7"/>
    <w:rsid w:val="001E0FA7"/>
    <w:rsid w:val="001E117A"/>
    <w:rsid w:val="001E123A"/>
    <w:rsid w:val="001E1722"/>
    <w:rsid w:val="001E178C"/>
    <w:rsid w:val="001E19C8"/>
    <w:rsid w:val="001E1BE6"/>
    <w:rsid w:val="001E1C3C"/>
    <w:rsid w:val="001E1DCF"/>
    <w:rsid w:val="001E1F1D"/>
    <w:rsid w:val="001E2152"/>
    <w:rsid w:val="001E2E20"/>
    <w:rsid w:val="001E304E"/>
    <w:rsid w:val="001E35AA"/>
    <w:rsid w:val="001E381D"/>
    <w:rsid w:val="001E3AFA"/>
    <w:rsid w:val="001E3C31"/>
    <w:rsid w:val="001E4473"/>
    <w:rsid w:val="001E49EF"/>
    <w:rsid w:val="001E4FD1"/>
    <w:rsid w:val="001E54DF"/>
    <w:rsid w:val="001E5715"/>
    <w:rsid w:val="001E5768"/>
    <w:rsid w:val="001E6021"/>
    <w:rsid w:val="001E6038"/>
    <w:rsid w:val="001E6375"/>
    <w:rsid w:val="001E64CE"/>
    <w:rsid w:val="001E6920"/>
    <w:rsid w:val="001E6FF7"/>
    <w:rsid w:val="001E728F"/>
    <w:rsid w:val="001E7344"/>
    <w:rsid w:val="001E7356"/>
    <w:rsid w:val="001E74B2"/>
    <w:rsid w:val="001E7B8D"/>
    <w:rsid w:val="001F02B2"/>
    <w:rsid w:val="001F0406"/>
    <w:rsid w:val="001F0484"/>
    <w:rsid w:val="001F04A4"/>
    <w:rsid w:val="001F0910"/>
    <w:rsid w:val="001F15E8"/>
    <w:rsid w:val="001F1D75"/>
    <w:rsid w:val="001F204D"/>
    <w:rsid w:val="001F21CF"/>
    <w:rsid w:val="001F2D7B"/>
    <w:rsid w:val="001F2DAE"/>
    <w:rsid w:val="001F36ED"/>
    <w:rsid w:val="001F37D9"/>
    <w:rsid w:val="001F415D"/>
    <w:rsid w:val="001F4CDA"/>
    <w:rsid w:val="001F5419"/>
    <w:rsid w:val="001F5480"/>
    <w:rsid w:val="001F572D"/>
    <w:rsid w:val="001F5C91"/>
    <w:rsid w:val="001F5F06"/>
    <w:rsid w:val="001F60E5"/>
    <w:rsid w:val="001F622E"/>
    <w:rsid w:val="001F6693"/>
    <w:rsid w:val="001F6A55"/>
    <w:rsid w:val="001F733F"/>
    <w:rsid w:val="001F7E72"/>
    <w:rsid w:val="002001C6"/>
    <w:rsid w:val="00200A18"/>
    <w:rsid w:val="002011A9"/>
    <w:rsid w:val="0020144A"/>
    <w:rsid w:val="00201C93"/>
    <w:rsid w:val="00202092"/>
    <w:rsid w:val="00202687"/>
    <w:rsid w:val="00202C5D"/>
    <w:rsid w:val="00202D41"/>
    <w:rsid w:val="00203087"/>
    <w:rsid w:val="00204881"/>
    <w:rsid w:val="00204B03"/>
    <w:rsid w:val="00204DD6"/>
    <w:rsid w:val="0020511C"/>
    <w:rsid w:val="002054C5"/>
    <w:rsid w:val="00205558"/>
    <w:rsid w:val="0020619D"/>
    <w:rsid w:val="00206AA1"/>
    <w:rsid w:val="00207704"/>
    <w:rsid w:val="0020787D"/>
    <w:rsid w:val="00207ABE"/>
    <w:rsid w:val="00207EF2"/>
    <w:rsid w:val="00210533"/>
    <w:rsid w:val="00210918"/>
    <w:rsid w:val="00210AAB"/>
    <w:rsid w:val="00210C83"/>
    <w:rsid w:val="002110C2"/>
    <w:rsid w:val="002114B2"/>
    <w:rsid w:val="00211551"/>
    <w:rsid w:val="00211716"/>
    <w:rsid w:val="00211D26"/>
    <w:rsid w:val="002124F7"/>
    <w:rsid w:val="0021374A"/>
    <w:rsid w:val="00213912"/>
    <w:rsid w:val="002142EE"/>
    <w:rsid w:val="00214894"/>
    <w:rsid w:val="0021512F"/>
    <w:rsid w:val="00215A88"/>
    <w:rsid w:val="002164DC"/>
    <w:rsid w:val="002169AE"/>
    <w:rsid w:val="00216F2A"/>
    <w:rsid w:val="00217047"/>
    <w:rsid w:val="00217164"/>
    <w:rsid w:val="00217BF2"/>
    <w:rsid w:val="002203A8"/>
    <w:rsid w:val="0022070C"/>
    <w:rsid w:val="00220869"/>
    <w:rsid w:val="00220874"/>
    <w:rsid w:val="00220A4C"/>
    <w:rsid w:val="00220D76"/>
    <w:rsid w:val="002210E2"/>
    <w:rsid w:val="0022130F"/>
    <w:rsid w:val="00221521"/>
    <w:rsid w:val="00221523"/>
    <w:rsid w:val="00221905"/>
    <w:rsid w:val="00221A78"/>
    <w:rsid w:val="00221B2A"/>
    <w:rsid w:val="00221BA3"/>
    <w:rsid w:val="00221EA0"/>
    <w:rsid w:val="00222B34"/>
    <w:rsid w:val="00222BE9"/>
    <w:rsid w:val="00223019"/>
    <w:rsid w:val="0022343C"/>
    <w:rsid w:val="002235C8"/>
    <w:rsid w:val="00223670"/>
    <w:rsid w:val="002238A1"/>
    <w:rsid w:val="00223B08"/>
    <w:rsid w:val="00223D02"/>
    <w:rsid w:val="00223ED7"/>
    <w:rsid w:val="00224096"/>
    <w:rsid w:val="00224388"/>
    <w:rsid w:val="002245D9"/>
    <w:rsid w:val="002245E2"/>
    <w:rsid w:val="00224B2E"/>
    <w:rsid w:val="00224EAB"/>
    <w:rsid w:val="002250A1"/>
    <w:rsid w:val="00225481"/>
    <w:rsid w:val="00225487"/>
    <w:rsid w:val="002257F4"/>
    <w:rsid w:val="00225A1C"/>
    <w:rsid w:val="00225A2B"/>
    <w:rsid w:val="00225EEE"/>
    <w:rsid w:val="0022613F"/>
    <w:rsid w:val="00226CF7"/>
    <w:rsid w:val="00227059"/>
    <w:rsid w:val="00227074"/>
    <w:rsid w:val="00227880"/>
    <w:rsid w:val="00227E82"/>
    <w:rsid w:val="00227FD4"/>
    <w:rsid w:val="00230158"/>
    <w:rsid w:val="002309B6"/>
    <w:rsid w:val="0023102C"/>
    <w:rsid w:val="00231B1C"/>
    <w:rsid w:val="00232012"/>
    <w:rsid w:val="00232485"/>
    <w:rsid w:val="002325C5"/>
    <w:rsid w:val="002327D6"/>
    <w:rsid w:val="0023286A"/>
    <w:rsid w:val="00232C3F"/>
    <w:rsid w:val="00232C73"/>
    <w:rsid w:val="00232CE2"/>
    <w:rsid w:val="00232DE5"/>
    <w:rsid w:val="002333D4"/>
    <w:rsid w:val="0023340C"/>
    <w:rsid w:val="00233780"/>
    <w:rsid w:val="00234225"/>
    <w:rsid w:val="00234556"/>
    <w:rsid w:val="00234893"/>
    <w:rsid w:val="00234E0F"/>
    <w:rsid w:val="00234F85"/>
    <w:rsid w:val="00235116"/>
    <w:rsid w:val="0023581A"/>
    <w:rsid w:val="00235C01"/>
    <w:rsid w:val="00235EA0"/>
    <w:rsid w:val="002361E3"/>
    <w:rsid w:val="00236205"/>
    <w:rsid w:val="00236C9F"/>
    <w:rsid w:val="00236D24"/>
    <w:rsid w:val="00236E72"/>
    <w:rsid w:val="0023705A"/>
    <w:rsid w:val="002370D0"/>
    <w:rsid w:val="00237323"/>
    <w:rsid w:val="0023732E"/>
    <w:rsid w:val="002375A1"/>
    <w:rsid w:val="002378BC"/>
    <w:rsid w:val="00237E60"/>
    <w:rsid w:val="00237F2E"/>
    <w:rsid w:val="00237FDC"/>
    <w:rsid w:val="002400D0"/>
    <w:rsid w:val="0024064C"/>
    <w:rsid w:val="00240873"/>
    <w:rsid w:val="00240C35"/>
    <w:rsid w:val="00240FF6"/>
    <w:rsid w:val="00241111"/>
    <w:rsid w:val="00241205"/>
    <w:rsid w:val="00241EBB"/>
    <w:rsid w:val="00242497"/>
    <w:rsid w:val="0024268B"/>
    <w:rsid w:val="00243C6D"/>
    <w:rsid w:val="002440C5"/>
    <w:rsid w:val="00244238"/>
    <w:rsid w:val="0024437B"/>
    <w:rsid w:val="0024525B"/>
    <w:rsid w:val="00245906"/>
    <w:rsid w:val="002459A4"/>
    <w:rsid w:val="00245A09"/>
    <w:rsid w:val="00245A69"/>
    <w:rsid w:val="0024618C"/>
    <w:rsid w:val="00246F8C"/>
    <w:rsid w:val="0024712E"/>
    <w:rsid w:val="0024721F"/>
    <w:rsid w:val="002473E7"/>
    <w:rsid w:val="002474B4"/>
    <w:rsid w:val="00247757"/>
    <w:rsid w:val="00247E3B"/>
    <w:rsid w:val="0025022E"/>
    <w:rsid w:val="0025030D"/>
    <w:rsid w:val="00250452"/>
    <w:rsid w:val="002512AF"/>
    <w:rsid w:val="00251343"/>
    <w:rsid w:val="002516C1"/>
    <w:rsid w:val="002516E8"/>
    <w:rsid w:val="00251A87"/>
    <w:rsid w:val="00251E8A"/>
    <w:rsid w:val="002520C0"/>
    <w:rsid w:val="002520F4"/>
    <w:rsid w:val="00252A63"/>
    <w:rsid w:val="00252F93"/>
    <w:rsid w:val="002533BD"/>
    <w:rsid w:val="0025342B"/>
    <w:rsid w:val="0025369F"/>
    <w:rsid w:val="00253A47"/>
    <w:rsid w:val="00253AB9"/>
    <w:rsid w:val="00253B66"/>
    <w:rsid w:val="00253DEB"/>
    <w:rsid w:val="00253FF1"/>
    <w:rsid w:val="002549BE"/>
    <w:rsid w:val="0025516F"/>
    <w:rsid w:val="002553B1"/>
    <w:rsid w:val="002553CC"/>
    <w:rsid w:val="00255C07"/>
    <w:rsid w:val="00255F3E"/>
    <w:rsid w:val="002560BF"/>
    <w:rsid w:val="00256365"/>
    <w:rsid w:val="0025676B"/>
    <w:rsid w:val="00256A8A"/>
    <w:rsid w:val="00256EBE"/>
    <w:rsid w:val="00256F2C"/>
    <w:rsid w:val="002572A5"/>
    <w:rsid w:val="002577CA"/>
    <w:rsid w:val="00257825"/>
    <w:rsid w:val="00260A82"/>
    <w:rsid w:val="00260A9A"/>
    <w:rsid w:val="00260B4F"/>
    <w:rsid w:val="002612A6"/>
    <w:rsid w:val="00261A18"/>
    <w:rsid w:val="00261C3D"/>
    <w:rsid w:val="00261D0B"/>
    <w:rsid w:val="00262223"/>
    <w:rsid w:val="00262508"/>
    <w:rsid w:val="002625E0"/>
    <w:rsid w:val="00262887"/>
    <w:rsid w:val="002629AC"/>
    <w:rsid w:val="00262D1C"/>
    <w:rsid w:val="002631D1"/>
    <w:rsid w:val="00263403"/>
    <w:rsid w:val="002634FA"/>
    <w:rsid w:val="0026365C"/>
    <w:rsid w:val="002637A6"/>
    <w:rsid w:val="00263ED4"/>
    <w:rsid w:val="0026426B"/>
    <w:rsid w:val="0026475C"/>
    <w:rsid w:val="00264E04"/>
    <w:rsid w:val="00265327"/>
    <w:rsid w:val="002655AA"/>
    <w:rsid w:val="002657CC"/>
    <w:rsid w:val="00265BB2"/>
    <w:rsid w:val="00265F84"/>
    <w:rsid w:val="00265FC2"/>
    <w:rsid w:val="002662AC"/>
    <w:rsid w:val="002663F7"/>
    <w:rsid w:val="00266966"/>
    <w:rsid w:val="00266DF6"/>
    <w:rsid w:val="002672B9"/>
    <w:rsid w:val="00267449"/>
    <w:rsid w:val="002700DE"/>
    <w:rsid w:val="002706DF"/>
    <w:rsid w:val="002711AA"/>
    <w:rsid w:val="00271701"/>
    <w:rsid w:val="00271B38"/>
    <w:rsid w:val="00271F5F"/>
    <w:rsid w:val="00272747"/>
    <w:rsid w:val="00272DE1"/>
    <w:rsid w:val="00272DE3"/>
    <w:rsid w:val="002732DF"/>
    <w:rsid w:val="00273D5A"/>
    <w:rsid w:val="00273ED7"/>
    <w:rsid w:val="0027411A"/>
    <w:rsid w:val="0027412E"/>
    <w:rsid w:val="0027418A"/>
    <w:rsid w:val="00274CB4"/>
    <w:rsid w:val="00274E2B"/>
    <w:rsid w:val="0027525D"/>
    <w:rsid w:val="002756DA"/>
    <w:rsid w:val="00275AB4"/>
    <w:rsid w:val="00275F37"/>
    <w:rsid w:val="0027627D"/>
    <w:rsid w:val="00276AD7"/>
    <w:rsid w:val="00276EC7"/>
    <w:rsid w:val="00276F42"/>
    <w:rsid w:val="002770B4"/>
    <w:rsid w:val="002774AE"/>
    <w:rsid w:val="00277809"/>
    <w:rsid w:val="0028062E"/>
    <w:rsid w:val="00280D59"/>
    <w:rsid w:val="00281147"/>
    <w:rsid w:val="00281321"/>
    <w:rsid w:val="00281342"/>
    <w:rsid w:val="0028154F"/>
    <w:rsid w:val="00281729"/>
    <w:rsid w:val="002817E4"/>
    <w:rsid w:val="00281CD8"/>
    <w:rsid w:val="00281D6C"/>
    <w:rsid w:val="00281E24"/>
    <w:rsid w:val="00281FFA"/>
    <w:rsid w:val="002820AA"/>
    <w:rsid w:val="0028218B"/>
    <w:rsid w:val="0028244A"/>
    <w:rsid w:val="0028279F"/>
    <w:rsid w:val="00283C0B"/>
    <w:rsid w:val="00284083"/>
    <w:rsid w:val="00284151"/>
    <w:rsid w:val="00284591"/>
    <w:rsid w:val="00284C0D"/>
    <w:rsid w:val="0028554C"/>
    <w:rsid w:val="002859E3"/>
    <w:rsid w:val="002867A6"/>
    <w:rsid w:val="00286B42"/>
    <w:rsid w:val="00286D41"/>
    <w:rsid w:val="002901AA"/>
    <w:rsid w:val="00290627"/>
    <w:rsid w:val="00290C08"/>
    <w:rsid w:val="00290C1D"/>
    <w:rsid w:val="00290CCC"/>
    <w:rsid w:val="002911FD"/>
    <w:rsid w:val="00291733"/>
    <w:rsid w:val="002917F0"/>
    <w:rsid w:val="0029202E"/>
    <w:rsid w:val="00292570"/>
    <w:rsid w:val="00292640"/>
    <w:rsid w:val="0029281A"/>
    <w:rsid w:val="00292E25"/>
    <w:rsid w:val="00292F27"/>
    <w:rsid w:val="00293037"/>
    <w:rsid w:val="0029318D"/>
    <w:rsid w:val="00293660"/>
    <w:rsid w:val="00293CF5"/>
    <w:rsid w:val="00293F11"/>
    <w:rsid w:val="00294532"/>
    <w:rsid w:val="00294689"/>
    <w:rsid w:val="00294C5E"/>
    <w:rsid w:val="00294C89"/>
    <w:rsid w:val="002953CF"/>
    <w:rsid w:val="0029552E"/>
    <w:rsid w:val="002957C3"/>
    <w:rsid w:val="0029593B"/>
    <w:rsid w:val="00295B4F"/>
    <w:rsid w:val="00295BCE"/>
    <w:rsid w:val="00296264"/>
    <w:rsid w:val="002962D2"/>
    <w:rsid w:val="0029658A"/>
    <w:rsid w:val="0029677E"/>
    <w:rsid w:val="0029692A"/>
    <w:rsid w:val="002969DE"/>
    <w:rsid w:val="00296B35"/>
    <w:rsid w:val="00296CB0"/>
    <w:rsid w:val="00296CF7"/>
    <w:rsid w:val="00297174"/>
    <w:rsid w:val="00297504"/>
    <w:rsid w:val="00297A4E"/>
    <w:rsid w:val="00297E50"/>
    <w:rsid w:val="002A0FDE"/>
    <w:rsid w:val="002A1B60"/>
    <w:rsid w:val="002A1CC8"/>
    <w:rsid w:val="002A2282"/>
    <w:rsid w:val="002A304F"/>
    <w:rsid w:val="002A3990"/>
    <w:rsid w:val="002A3ABC"/>
    <w:rsid w:val="002A3CCE"/>
    <w:rsid w:val="002A3E50"/>
    <w:rsid w:val="002A4143"/>
    <w:rsid w:val="002A43D5"/>
    <w:rsid w:val="002A4728"/>
    <w:rsid w:val="002A4757"/>
    <w:rsid w:val="002A4870"/>
    <w:rsid w:val="002A49D2"/>
    <w:rsid w:val="002A4E98"/>
    <w:rsid w:val="002A51A0"/>
    <w:rsid w:val="002A51F8"/>
    <w:rsid w:val="002A5781"/>
    <w:rsid w:val="002A5891"/>
    <w:rsid w:val="002A5AB2"/>
    <w:rsid w:val="002A61E6"/>
    <w:rsid w:val="002A68D6"/>
    <w:rsid w:val="002A6AEC"/>
    <w:rsid w:val="002A6DAA"/>
    <w:rsid w:val="002A6E78"/>
    <w:rsid w:val="002A6EBB"/>
    <w:rsid w:val="002A7150"/>
    <w:rsid w:val="002A7898"/>
    <w:rsid w:val="002A7AC8"/>
    <w:rsid w:val="002A7C85"/>
    <w:rsid w:val="002B04DD"/>
    <w:rsid w:val="002B07F0"/>
    <w:rsid w:val="002B0858"/>
    <w:rsid w:val="002B08D6"/>
    <w:rsid w:val="002B0A8C"/>
    <w:rsid w:val="002B0AFE"/>
    <w:rsid w:val="002B0D39"/>
    <w:rsid w:val="002B11EC"/>
    <w:rsid w:val="002B154C"/>
    <w:rsid w:val="002B15DA"/>
    <w:rsid w:val="002B1953"/>
    <w:rsid w:val="002B1A89"/>
    <w:rsid w:val="002B2024"/>
    <w:rsid w:val="002B286A"/>
    <w:rsid w:val="002B2A1A"/>
    <w:rsid w:val="002B2B73"/>
    <w:rsid w:val="002B39B0"/>
    <w:rsid w:val="002B3BBD"/>
    <w:rsid w:val="002B3E11"/>
    <w:rsid w:val="002B48A3"/>
    <w:rsid w:val="002B5480"/>
    <w:rsid w:val="002B54E3"/>
    <w:rsid w:val="002B5946"/>
    <w:rsid w:val="002B59DF"/>
    <w:rsid w:val="002B5CAA"/>
    <w:rsid w:val="002B5F1E"/>
    <w:rsid w:val="002B6158"/>
    <w:rsid w:val="002B63C2"/>
    <w:rsid w:val="002B67AD"/>
    <w:rsid w:val="002B6959"/>
    <w:rsid w:val="002B6ECC"/>
    <w:rsid w:val="002B6F29"/>
    <w:rsid w:val="002B75FE"/>
    <w:rsid w:val="002B76B0"/>
    <w:rsid w:val="002B7F33"/>
    <w:rsid w:val="002B7FAD"/>
    <w:rsid w:val="002C04C2"/>
    <w:rsid w:val="002C04F4"/>
    <w:rsid w:val="002C16B9"/>
    <w:rsid w:val="002C22A2"/>
    <w:rsid w:val="002C2310"/>
    <w:rsid w:val="002C25D4"/>
    <w:rsid w:val="002C2799"/>
    <w:rsid w:val="002C2D6F"/>
    <w:rsid w:val="002C3457"/>
    <w:rsid w:val="002C3683"/>
    <w:rsid w:val="002C38CE"/>
    <w:rsid w:val="002C3ADD"/>
    <w:rsid w:val="002C3DF6"/>
    <w:rsid w:val="002C52CB"/>
    <w:rsid w:val="002C54ED"/>
    <w:rsid w:val="002C56B5"/>
    <w:rsid w:val="002C581A"/>
    <w:rsid w:val="002C5CA1"/>
    <w:rsid w:val="002C6926"/>
    <w:rsid w:val="002C6B78"/>
    <w:rsid w:val="002C71BC"/>
    <w:rsid w:val="002C7339"/>
    <w:rsid w:val="002C7751"/>
    <w:rsid w:val="002C7779"/>
    <w:rsid w:val="002C798C"/>
    <w:rsid w:val="002C7A16"/>
    <w:rsid w:val="002D0590"/>
    <w:rsid w:val="002D106F"/>
    <w:rsid w:val="002D1106"/>
    <w:rsid w:val="002D1BB5"/>
    <w:rsid w:val="002D2501"/>
    <w:rsid w:val="002D28D7"/>
    <w:rsid w:val="002D2924"/>
    <w:rsid w:val="002D336E"/>
    <w:rsid w:val="002D35E0"/>
    <w:rsid w:val="002D370D"/>
    <w:rsid w:val="002D371E"/>
    <w:rsid w:val="002D38C2"/>
    <w:rsid w:val="002D3B47"/>
    <w:rsid w:val="002D4120"/>
    <w:rsid w:val="002D453E"/>
    <w:rsid w:val="002D4CEF"/>
    <w:rsid w:val="002D5060"/>
    <w:rsid w:val="002D506A"/>
    <w:rsid w:val="002D5208"/>
    <w:rsid w:val="002D5257"/>
    <w:rsid w:val="002D58CB"/>
    <w:rsid w:val="002D58DF"/>
    <w:rsid w:val="002D5F08"/>
    <w:rsid w:val="002D627D"/>
    <w:rsid w:val="002D6512"/>
    <w:rsid w:val="002D69A7"/>
    <w:rsid w:val="002D73F4"/>
    <w:rsid w:val="002D7706"/>
    <w:rsid w:val="002D7D94"/>
    <w:rsid w:val="002E00C1"/>
    <w:rsid w:val="002E0E1C"/>
    <w:rsid w:val="002E117C"/>
    <w:rsid w:val="002E1374"/>
    <w:rsid w:val="002E1438"/>
    <w:rsid w:val="002E19A8"/>
    <w:rsid w:val="002E1B79"/>
    <w:rsid w:val="002E1BE0"/>
    <w:rsid w:val="002E1E9E"/>
    <w:rsid w:val="002E1F4A"/>
    <w:rsid w:val="002E2044"/>
    <w:rsid w:val="002E2694"/>
    <w:rsid w:val="002E2CD9"/>
    <w:rsid w:val="002E2E20"/>
    <w:rsid w:val="002E2E57"/>
    <w:rsid w:val="002E2F9F"/>
    <w:rsid w:val="002E34E5"/>
    <w:rsid w:val="002E39AE"/>
    <w:rsid w:val="002E4005"/>
    <w:rsid w:val="002E413F"/>
    <w:rsid w:val="002E43BA"/>
    <w:rsid w:val="002E466A"/>
    <w:rsid w:val="002E46FD"/>
    <w:rsid w:val="002E485C"/>
    <w:rsid w:val="002E48AC"/>
    <w:rsid w:val="002E4BE6"/>
    <w:rsid w:val="002E4DFD"/>
    <w:rsid w:val="002E526F"/>
    <w:rsid w:val="002E53E0"/>
    <w:rsid w:val="002E5A43"/>
    <w:rsid w:val="002E6718"/>
    <w:rsid w:val="002E6E02"/>
    <w:rsid w:val="002E78B2"/>
    <w:rsid w:val="002E7AD7"/>
    <w:rsid w:val="002E7DFB"/>
    <w:rsid w:val="002E7F4B"/>
    <w:rsid w:val="002E7FDC"/>
    <w:rsid w:val="002F003B"/>
    <w:rsid w:val="002F023C"/>
    <w:rsid w:val="002F06BA"/>
    <w:rsid w:val="002F072F"/>
    <w:rsid w:val="002F0799"/>
    <w:rsid w:val="002F0824"/>
    <w:rsid w:val="002F1620"/>
    <w:rsid w:val="002F18ED"/>
    <w:rsid w:val="002F18F6"/>
    <w:rsid w:val="002F253E"/>
    <w:rsid w:val="002F3B02"/>
    <w:rsid w:val="002F4109"/>
    <w:rsid w:val="002F438D"/>
    <w:rsid w:val="002F45FA"/>
    <w:rsid w:val="002F4F29"/>
    <w:rsid w:val="002F544D"/>
    <w:rsid w:val="002F572F"/>
    <w:rsid w:val="002F5C97"/>
    <w:rsid w:val="002F5D58"/>
    <w:rsid w:val="002F6346"/>
    <w:rsid w:val="002F69A4"/>
    <w:rsid w:val="002F6D86"/>
    <w:rsid w:val="002F71B7"/>
    <w:rsid w:val="002F7539"/>
    <w:rsid w:val="002F78BA"/>
    <w:rsid w:val="002F7A27"/>
    <w:rsid w:val="002F7A45"/>
    <w:rsid w:val="002F7BFD"/>
    <w:rsid w:val="002F7EF7"/>
    <w:rsid w:val="0030063F"/>
    <w:rsid w:val="003007FB"/>
    <w:rsid w:val="00300895"/>
    <w:rsid w:val="00300DCF"/>
    <w:rsid w:val="00300EDA"/>
    <w:rsid w:val="0030209B"/>
    <w:rsid w:val="00302233"/>
    <w:rsid w:val="003026AC"/>
    <w:rsid w:val="00302C23"/>
    <w:rsid w:val="00302E11"/>
    <w:rsid w:val="00302E99"/>
    <w:rsid w:val="003030C6"/>
    <w:rsid w:val="003031BC"/>
    <w:rsid w:val="00303270"/>
    <w:rsid w:val="0030375E"/>
    <w:rsid w:val="00303D13"/>
    <w:rsid w:val="00303FF8"/>
    <w:rsid w:val="00304143"/>
    <w:rsid w:val="00305114"/>
    <w:rsid w:val="0030521F"/>
    <w:rsid w:val="00305330"/>
    <w:rsid w:val="00305C02"/>
    <w:rsid w:val="00305E25"/>
    <w:rsid w:val="003060DC"/>
    <w:rsid w:val="003064EA"/>
    <w:rsid w:val="00306A09"/>
    <w:rsid w:val="00306DF7"/>
    <w:rsid w:val="003076D1"/>
    <w:rsid w:val="00307852"/>
    <w:rsid w:val="00307930"/>
    <w:rsid w:val="00310602"/>
    <w:rsid w:val="00310732"/>
    <w:rsid w:val="00310806"/>
    <w:rsid w:val="0031136B"/>
    <w:rsid w:val="0031136C"/>
    <w:rsid w:val="003115F8"/>
    <w:rsid w:val="003118A5"/>
    <w:rsid w:val="00311B44"/>
    <w:rsid w:val="00312417"/>
    <w:rsid w:val="00312553"/>
    <w:rsid w:val="003127E1"/>
    <w:rsid w:val="003135C7"/>
    <w:rsid w:val="0031430C"/>
    <w:rsid w:val="00314564"/>
    <w:rsid w:val="00314C60"/>
    <w:rsid w:val="0031529D"/>
    <w:rsid w:val="00315ACC"/>
    <w:rsid w:val="00315BF5"/>
    <w:rsid w:val="00315CC9"/>
    <w:rsid w:val="00315EA4"/>
    <w:rsid w:val="00316426"/>
    <w:rsid w:val="0031648C"/>
    <w:rsid w:val="00316928"/>
    <w:rsid w:val="00317908"/>
    <w:rsid w:val="00317966"/>
    <w:rsid w:val="00317B45"/>
    <w:rsid w:val="0032048A"/>
    <w:rsid w:val="0032075B"/>
    <w:rsid w:val="00320841"/>
    <w:rsid w:val="00320D5A"/>
    <w:rsid w:val="00321BFE"/>
    <w:rsid w:val="00322260"/>
    <w:rsid w:val="003223FC"/>
    <w:rsid w:val="003225D9"/>
    <w:rsid w:val="003225E5"/>
    <w:rsid w:val="003232D8"/>
    <w:rsid w:val="00323690"/>
    <w:rsid w:val="0032386A"/>
    <w:rsid w:val="00323901"/>
    <w:rsid w:val="00323A2C"/>
    <w:rsid w:val="00323C30"/>
    <w:rsid w:val="00323DD5"/>
    <w:rsid w:val="00324453"/>
    <w:rsid w:val="00324873"/>
    <w:rsid w:val="00324887"/>
    <w:rsid w:val="003248BE"/>
    <w:rsid w:val="00324D39"/>
    <w:rsid w:val="00325111"/>
    <w:rsid w:val="0032530F"/>
    <w:rsid w:val="00325466"/>
    <w:rsid w:val="00325888"/>
    <w:rsid w:val="00325A6B"/>
    <w:rsid w:val="00325C90"/>
    <w:rsid w:val="00327572"/>
    <w:rsid w:val="00327604"/>
    <w:rsid w:val="00327852"/>
    <w:rsid w:val="00327867"/>
    <w:rsid w:val="00327B80"/>
    <w:rsid w:val="00327C90"/>
    <w:rsid w:val="00327D8D"/>
    <w:rsid w:val="003302D8"/>
    <w:rsid w:val="0033060D"/>
    <w:rsid w:val="003309CF"/>
    <w:rsid w:val="00330A99"/>
    <w:rsid w:val="0033104C"/>
    <w:rsid w:val="003316C6"/>
    <w:rsid w:val="00331C97"/>
    <w:rsid w:val="00331DF4"/>
    <w:rsid w:val="0033203B"/>
    <w:rsid w:val="00332321"/>
    <w:rsid w:val="003323DF"/>
    <w:rsid w:val="00332652"/>
    <w:rsid w:val="00332D6A"/>
    <w:rsid w:val="0033373B"/>
    <w:rsid w:val="003339CA"/>
    <w:rsid w:val="00333B63"/>
    <w:rsid w:val="00334765"/>
    <w:rsid w:val="00334960"/>
    <w:rsid w:val="00335257"/>
    <w:rsid w:val="0033546B"/>
    <w:rsid w:val="003359F2"/>
    <w:rsid w:val="00335A0F"/>
    <w:rsid w:val="00335E0D"/>
    <w:rsid w:val="00336057"/>
    <w:rsid w:val="00336503"/>
    <w:rsid w:val="00336909"/>
    <w:rsid w:val="00336B64"/>
    <w:rsid w:val="00336D83"/>
    <w:rsid w:val="00336DF1"/>
    <w:rsid w:val="0033753B"/>
    <w:rsid w:val="00337D49"/>
    <w:rsid w:val="00340079"/>
    <w:rsid w:val="00340381"/>
    <w:rsid w:val="003405F7"/>
    <w:rsid w:val="00340849"/>
    <w:rsid w:val="00340DF3"/>
    <w:rsid w:val="00340E11"/>
    <w:rsid w:val="0034112A"/>
    <w:rsid w:val="00342144"/>
    <w:rsid w:val="00342777"/>
    <w:rsid w:val="00342934"/>
    <w:rsid w:val="00342D8B"/>
    <w:rsid w:val="00343793"/>
    <w:rsid w:val="00343AFB"/>
    <w:rsid w:val="00344169"/>
    <w:rsid w:val="00344640"/>
    <w:rsid w:val="003446C0"/>
    <w:rsid w:val="00344C61"/>
    <w:rsid w:val="00344F6C"/>
    <w:rsid w:val="003459D4"/>
    <w:rsid w:val="003460B4"/>
    <w:rsid w:val="00346724"/>
    <w:rsid w:val="00346C28"/>
    <w:rsid w:val="00346C60"/>
    <w:rsid w:val="00346D3B"/>
    <w:rsid w:val="003470CA"/>
    <w:rsid w:val="0034732F"/>
    <w:rsid w:val="00347366"/>
    <w:rsid w:val="003507CE"/>
    <w:rsid w:val="00350B78"/>
    <w:rsid w:val="00350C28"/>
    <w:rsid w:val="00350D70"/>
    <w:rsid w:val="00350DDC"/>
    <w:rsid w:val="003513A8"/>
    <w:rsid w:val="003513B3"/>
    <w:rsid w:val="00351453"/>
    <w:rsid w:val="00352211"/>
    <w:rsid w:val="003522D2"/>
    <w:rsid w:val="00352465"/>
    <w:rsid w:val="003543DD"/>
    <w:rsid w:val="00354AF8"/>
    <w:rsid w:val="00354E7B"/>
    <w:rsid w:val="00354FE0"/>
    <w:rsid w:val="00355311"/>
    <w:rsid w:val="00355F63"/>
    <w:rsid w:val="00355F65"/>
    <w:rsid w:val="00356525"/>
    <w:rsid w:val="00356A10"/>
    <w:rsid w:val="00356B03"/>
    <w:rsid w:val="00356F0E"/>
    <w:rsid w:val="00356FDB"/>
    <w:rsid w:val="00357189"/>
    <w:rsid w:val="003571B1"/>
    <w:rsid w:val="003571C0"/>
    <w:rsid w:val="0035741E"/>
    <w:rsid w:val="003574F3"/>
    <w:rsid w:val="00357AB9"/>
    <w:rsid w:val="00357AE7"/>
    <w:rsid w:val="00357D12"/>
    <w:rsid w:val="00357F46"/>
    <w:rsid w:val="003608FD"/>
    <w:rsid w:val="00361016"/>
    <w:rsid w:val="0036108D"/>
    <w:rsid w:val="00361784"/>
    <w:rsid w:val="00361986"/>
    <w:rsid w:val="00361D70"/>
    <w:rsid w:val="00361EFF"/>
    <w:rsid w:val="003623FC"/>
    <w:rsid w:val="00362572"/>
    <w:rsid w:val="00363167"/>
    <w:rsid w:val="00363518"/>
    <w:rsid w:val="00364016"/>
    <w:rsid w:val="00364272"/>
    <w:rsid w:val="00364695"/>
    <w:rsid w:val="00364717"/>
    <w:rsid w:val="00364B66"/>
    <w:rsid w:val="00364C18"/>
    <w:rsid w:val="003652F4"/>
    <w:rsid w:val="00365984"/>
    <w:rsid w:val="0036615C"/>
    <w:rsid w:val="0036661F"/>
    <w:rsid w:val="003666E0"/>
    <w:rsid w:val="0036688F"/>
    <w:rsid w:val="00366896"/>
    <w:rsid w:val="003668B8"/>
    <w:rsid w:val="00366BD7"/>
    <w:rsid w:val="00367169"/>
    <w:rsid w:val="00367189"/>
    <w:rsid w:val="00367260"/>
    <w:rsid w:val="00367360"/>
    <w:rsid w:val="003677AD"/>
    <w:rsid w:val="003706CC"/>
    <w:rsid w:val="00370911"/>
    <w:rsid w:val="00370A87"/>
    <w:rsid w:val="00371807"/>
    <w:rsid w:val="00371988"/>
    <w:rsid w:val="00371D1B"/>
    <w:rsid w:val="003725D3"/>
    <w:rsid w:val="00372AF0"/>
    <w:rsid w:val="00373507"/>
    <w:rsid w:val="003736DE"/>
    <w:rsid w:val="003737AF"/>
    <w:rsid w:val="00373B4D"/>
    <w:rsid w:val="003743B0"/>
    <w:rsid w:val="00374749"/>
    <w:rsid w:val="00374A53"/>
    <w:rsid w:val="00374AF8"/>
    <w:rsid w:val="003757FB"/>
    <w:rsid w:val="0037590F"/>
    <w:rsid w:val="003759A8"/>
    <w:rsid w:val="00375E14"/>
    <w:rsid w:val="00375E7B"/>
    <w:rsid w:val="003763EA"/>
    <w:rsid w:val="003765E9"/>
    <w:rsid w:val="00376824"/>
    <w:rsid w:val="00376BB2"/>
    <w:rsid w:val="00376EB6"/>
    <w:rsid w:val="00376FDB"/>
    <w:rsid w:val="003775F9"/>
    <w:rsid w:val="00377682"/>
    <w:rsid w:val="003778D9"/>
    <w:rsid w:val="00377BA6"/>
    <w:rsid w:val="00377CF0"/>
    <w:rsid w:val="0038013E"/>
    <w:rsid w:val="003802DC"/>
    <w:rsid w:val="00380669"/>
    <w:rsid w:val="00380B81"/>
    <w:rsid w:val="00380DE7"/>
    <w:rsid w:val="00380E0E"/>
    <w:rsid w:val="00380F47"/>
    <w:rsid w:val="003814FF"/>
    <w:rsid w:val="00381586"/>
    <w:rsid w:val="0038185D"/>
    <w:rsid w:val="003819DF"/>
    <w:rsid w:val="00381B3C"/>
    <w:rsid w:val="00381EBA"/>
    <w:rsid w:val="0038249A"/>
    <w:rsid w:val="00382B91"/>
    <w:rsid w:val="00382D9B"/>
    <w:rsid w:val="003831E1"/>
    <w:rsid w:val="0038389F"/>
    <w:rsid w:val="00383A8A"/>
    <w:rsid w:val="00383FE2"/>
    <w:rsid w:val="0038412D"/>
    <w:rsid w:val="00384B5D"/>
    <w:rsid w:val="00384DB0"/>
    <w:rsid w:val="003851AA"/>
    <w:rsid w:val="00385792"/>
    <w:rsid w:val="0038582B"/>
    <w:rsid w:val="00385A05"/>
    <w:rsid w:val="00385B75"/>
    <w:rsid w:val="0038659E"/>
    <w:rsid w:val="0038669D"/>
    <w:rsid w:val="003867DF"/>
    <w:rsid w:val="0038686B"/>
    <w:rsid w:val="0038703A"/>
    <w:rsid w:val="003879D4"/>
    <w:rsid w:val="00387A3F"/>
    <w:rsid w:val="00387B40"/>
    <w:rsid w:val="00387CE0"/>
    <w:rsid w:val="003901C7"/>
    <w:rsid w:val="0039020F"/>
    <w:rsid w:val="00390313"/>
    <w:rsid w:val="00390B6F"/>
    <w:rsid w:val="00390D5F"/>
    <w:rsid w:val="0039172D"/>
    <w:rsid w:val="0039179A"/>
    <w:rsid w:val="00392535"/>
    <w:rsid w:val="003928ED"/>
    <w:rsid w:val="00392923"/>
    <w:rsid w:val="00392B6A"/>
    <w:rsid w:val="00392D75"/>
    <w:rsid w:val="00392DAB"/>
    <w:rsid w:val="003933FE"/>
    <w:rsid w:val="00393438"/>
    <w:rsid w:val="003936A8"/>
    <w:rsid w:val="00393C62"/>
    <w:rsid w:val="00393F52"/>
    <w:rsid w:val="00394011"/>
    <w:rsid w:val="003944F4"/>
    <w:rsid w:val="00394C61"/>
    <w:rsid w:val="00395295"/>
    <w:rsid w:val="0039597C"/>
    <w:rsid w:val="003959C2"/>
    <w:rsid w:val="00395CE3"/>
    <w:rsid w:val="00395E7E"/>
    <w:rsid w:val="003967C4"/>
    <w:rsid w:val="00397694"/>
    <w:rsid w:val="003977EB"/>
    <w:rsid w:val="00397992"/>
    <w:rsid w:val="00397EC5"/>
    <w:rsid w:val="003A0237"/>
    <w:rsid w:val="003A0E72"/>
    <w:rsid w:val="003A0EA6"/>
    <w:rsid w:val="003A24D2"/>
    <w:rsid w:val="003A28CF"/>
    <w:rsid w:val="003A2E51"/>
    <w:rsid w:val="003A2EB1"/>
    <w:rsid w:val="003A2F65"/>
    <w:rsid w:val="003A3278"/>
    <w:rsid w:val="003A3602"/>
    <w:rsid w:val="003A3739"/>
    <w:rsid w:val="003A3B6B"/>
    <w:rsid w:val="003A42EE"/>
    <w:rsid w:val="003A45B4"/>
    <w:rsid w:val="003A4D64"/>
    <w:rsid w:val="003A5859"/>
    <w:rsid w:val="003A5F67"/>
    <w:rsid w:val="003A657E"/>
    <w:rsid w:val="003A684D"/>
    <w:rsid w:val="003A687E"/>
    <w:rsid w:val="003A715B"/>
    <w:rsid w:val="003A78E9"/>
    <w:rsid w:val="003A7BB1"/>
    <w:rsid w:val="003A7FF7"/>
    <w:rsid w:val="003B0463"/>
    <w:rsid w:val="003B08D9"/>
    <w:rsid w:val="003B0A49"/>
    <w:rsid w:val="003B0A7E"/>
    <w:rsid w:val="003B0CBF"/>
    <w:rsid w:val="003B0DEC"/>
    <w:rsid w:val="003B122B"/>
    <w:rsid w:val="003B1288"/>
    <w:rsid w:val="003B1488"/>
    <w:rsid w:val="003B15BB"/>
    <w:rsid w:val="003B17A1"/>
    <w:rsid w:val="003B1FD7"/>
    <w:rsid w:val="003B203A"/>
    <w:rsid w:val="003B20EA"/>
    <w:rsid w:val="003B28DA"/>
    <w:rsid w:val="003B2DAA"/>
    <w:rsid w:val="003B3239"/>
    <w:rsid w:val="003B34E8"/>
    <w:rsid w:val="003B3694"/>
    <w:rsid w:val="003B376A"/>
    <w:rsid w:val="003B38B7"/>
    <w:rsid w:val="003B435B"/>
    <w:rsid w:val="003B4A70"/>
    <w:rsid w:val="003B4FBC"/>
    <w:rsid w:val="003B5E06"/>
    <w:rsid w:val="003B5EEA"/>
    <w:rsid w:val="003B6036"/>
    <w:rsid w:val="003B6515"/>
    <w:rsid w:val="003B6C30"/>
    <w:rsid w:val="003B7AC4"/>
    <w:rsid w:val="003B7EB8"/>
    <w:rsid w:val="003C00D1"/>
    <w:rsid w:val="003C00EF"/>
    <w:rsid w:val="003C0DD1"/>
    <w:rsid w:val="003C0E82"/>
    <w:rsid w:val="003C0FE6"/>
    <w:rsid w:val="003C13F5"/>
    <w:rsid w:val="003C145E"/>
    <w:rsid w:val="003C15F3"/>
    <w:rsid w:val="003C1B3D"/>
    <w:rsid w:val="003C1E80"/>
    <w:rsid w:val="003C21AC"/>
    <w:rsid w:val="003C2469"/>
    <w:rsid w:val="003C25B6"/>
    <w:rsid w:val="003C2BD5"/>
    <w:rsid w:val="003C30D4"/>
    <w:rsid w:val="003C3287"/>
    <w:rsid w:val="003C33E3"/>
    <w:rsid w:val="003C3A2F"/>
    <w:rsid w:val="003C3EBD"/>
    <w:rsid w:val="003C4854"/>
    <w:rsid w:val="003C4C3F"/>
    <w:rsid w:val="003C4C98"/>
    <w:rsid w:val="003C5140"/>
    <w:rsid w:val="003C53DD"/>
    <w:rsid w:val="003C58A0"/>
    <w:rsid w:val="003C594D"/>
    <w:rsid w:val="003C59E6"/>
    <w:rsid w:val="003C5C96"/>
    <w:rsid w:val="003C5F4C"/>
    <w:rsid w:val="003C63D3"/>
    <w:rsid w:val="003C68A3"/>
    <w:rsid w:val="003C6983"/>
    <w:rsid w:val="003C6BC8"/>
    <w:rsid w:val="003C7367"/>
    <w:rsid w:val="003C7EF1"/>
    <w:rsid w:val="003D00C2"/>
    <w:rsid w:val="003D086F"/>
    <w:rsid w:val="003D0C8C"/>
    <w:rsid w:val="003D0D5F"/>
    <w:rsid w:val="003D10B2"/>
    <w:rsid w:val="003D188A"/>
    <w:rsid w:val="003D1BC1"/>
    <w:rsid w:val="003D1C1F"/>
    <w:rsid w:val="003D2A7E"/>
    <w:rsid w:val="003D2E27"/>
    <w:rsid w:val="003D2EBC"/>
    <w:rsid w:val="003D3E84"/>
    <w:rsid w:val="003D3F90"/>
    <w:rsid w:val="003D535C"/>
    <w:rsid w:val="003D59B0"/>
    <w:rsid w:val="003D6318"/>
    <w:rsid w:val="003D69FB"/>
    <w:rsid w:val="003D6F32"/>
    <w:rsid w:val="003D761A"/>
    <w:rsid w:val="003D769B"/>
    <w:rsid w:val="003D7D1A"/>
    <w:rsid w:val="003D7D2F"/>
    <w:rsid w:val="003D7EC0"/>
    <w:rsid w:val="003E00D0"/>
    <w:rsid w:val="003E0304"/>
    <w:rsid w:val="003E0A49"/>
    <w:rsid w:val="003E0A78"/>
    <w:rsid w:val="003E0B52"/>
    <w:rsid w:val="003E0B85"/>
    <w:rsid w:val="003E141C"/>
    <w:rsid w:val="003E15C2"/>
    <w:rsid w:val="003E1820"/>
    <w:rsid w:val="003E1BD0"/>
    <w:rsid w:val="003E1CA0"/>
    <w:rsid w:val="003E1F60"/>
    <w:rsid w:val="003E27F1"/>
    <w:rsid w:val="003E281F"/>
    <w:rsid w:val="003E2DFE"/>
    <w:rsid w:val="003E2E4F"/>
    <w:rsid w:val="003E4BDF"/>
    <w:rsid w:val="003E4CEC"/>
    <w:rsid w:val="003E5692"/>
    <w:rsid w:val="003E5718"/>
    <w:rsid w:val="003E65E7"/>
    <w:rsid w:val="003E6BBB"/>
    <w:rsid w:val="003E6E7F"/>
    <w:rsid w:val="003E7268"/>
    <w:rsid w:val="003E781E"/>
    <w:rsid w:val="003F001C"/>
    <w:rsid w:val="003F0368"/>
    <w:rsid w:val="003F10FD"/>
    <w:rsid w:val="003F11B9"/>
    <w:rsid w:val="003F1200"/>
    <w:rsid w:val="003F1921"/>
    <w:rsid w:val="003F1CAC"/>
    <w:rsid w:val="003F25A4"/>
    <w:rsid w:val="003F27F8"/>
    <w:rsid w:val="003F2E19"/>
    <w:rsid w:val="003F2EA9"/>
    <w:rsid w:val="003F3534"/>
    <w:rsid w:val="003F3F35"/>
    <w:rsid w:val="003F43B1"/>
    <w:rsid w:val="003F4805"/>
    <w:rsid w:val="003F494A"/>
    <w:rsid w:val="003F4B04"/>
    <w:rsid w:val="003F4CFD"/>
    <w:rsid w:val="003F4DD3"/>
    <w:rsid w:val="003F4DD9"/>
    <w:rsid w:val="003F4EC8"/>
    <w:rsid w:val="003F6133"/>
    <w:rsid w:val="003F6398"/>
    <w:rsid w:val="003F6AA7"/>
    <w:rsid w:val="003F6C13"/>
    <w:rsid w:val="003F7129"/>
    <w:rsid w:val="003F72D0"/>
    <w:rsid w:val="003F74DD"/>
    <w:rsid w:val="00400285"/>
    <w:rsid w:val="00400480"/>
    <w:rsid w:val="00400AA3"/>
    <w:rsid w:val="00400C92"/>
    <w:rsid w:val="004016B3"/>
    <w:rsid w:val="00401B9D"/>
    <w:rsid w:val="0040216D"/>
    <w:rsid w:val="00402330"/>
    <w:rsid w:val="004028F9"/>
    <w:rsid w:val="0040315D"/>
    <w:rsid w:val="00403258"/>
    <w:rsid w:val="0040328B"/>
    <w:rsid w:val="0040354B"/>
    <w:rsid w:val="00403A45"/>
    <w:rsid w:val="00404125"/>
    <w:rsid w:val="0040413B"/>
    <w:rsid w:val="0040415A"/>
    <w:rsid w:val="00404DD4"/>
    <w:rsid w:val="00404E97"/>
    <w:rsid w:val="00405C69"/>
    <w:rsid w:val="004060A1"/>
    <w:rsid w:val="0040621C"/>
    <w:rsid w:val="004066B0"/>
    <w:rsid w:val="00407414"/>
    <w:rsid w:val="00407795"/>
    <w:rsid w:val="00407C24"/>
    <w:rsid w:val="00407D01"/>
    <w:rsid w:val="00407D03"/>
    <w:rsid w:val="004106D7"/>
    <w:rsid w:val="004106F1"/>
    <w:rsid w:val="00410AC7"/>
    <w:rsid w:val="00410D52"/>
    <w:rsid w:val="00410E94"/>
    <w:rsid w:val="004112F7"/>
    <w:rsid w:val="004115C6"/>
    <w:rsid w:val="004118D1"/>
    <w:rsid w:val="00411C3E"/>
    <w:rsid w:val="00411E81"/>
    <w:rsid w:val="00411FA7"/>
    <w:rsid w:val="0041225E"/>
    <w:rsid w:val="00412E0D"/>
    <w:rsid w:val="00412FEB"/>
    <w:rsid w:val="00413495"/>
    <w:rsid w:val="004134CC"/>
    <w:rsid w:val="0041359E"/>
    <w:rsid w:val="00413601"/>
    <w:rsid w:val="00413910"/>
    <w:rsid w:val="004139EE"/>
    <w:rsid w:val="00413A2C"/>
    <w:rsid w:val="00413D18"/>
    <w:rsid w:val="00413E4E"/>
    <w:rsid w:val="0041422C"/>
    <w:rsid w:val="00414587"/>
    <w:rsid w:val="00414B20"/>
    <w:rsid w:val="00414F96"/>
    <w:rsid w:val="00414FD7"/>
    <w:rsid w:val="00415070"/>
    <w:rsid w:val="00415191"/>
    <w:rsid w:val="00415718"/>
    <w:rsid w:val="0041592B"/>
    <w:rsid w:val="00415DBB"/>
    <w:rsid w:val="00416077"/>
    <w:rsid w:val="004160D5"/>
    <w:rsid w:val="004167EB"/>
    <w:rsid w:val="00416A90"/>
    <w:rsid w:val="00416E99"/>
    <w:rsid w:val="00417177"/>
    <w:rsid w:val="00417959"/>
    <w:rsid w:val="00417AB3"/>
    <w:rsid w:val="00417BFA"/>
    <w:rsid w:val="00417F87"/>
    <w:rsid w:val="004201D7"/>
    <w:rsid w:val="0042029C"/>
    <w:rsid w:val="00420B15"/>
    <w:rsid w:val="00421062"/>
    <w:rsid w:val="004211A5"/>
    <w:rsid w:val="00421520"/>
    <w:rsid w:val="004215BC"/>
    <w:rsid w:val="004220D1"/>
    <w:rsid w:val="004221C1"/>
    <w:rsid w:val="0042251D"/>
    <w:rsid w:val="00422756"/>
    <w:rsid w:val="00422A9C"/>
    <w:rsid w:val="00422B26"/>
    <w:rsid w:val="00422BEA"/>
    <w:rsid w:val="00422E88"/>
    <w:rsid w:val="00423DF6"/>
    <w:rsid w:val="00424A02"/>
    <w:rsid w:val="00424E16"/>
    <w:rsid w:val="004251BE"/>
    <w:rsid w:val="004259D3"/>
    <w:rsid w:val="00425CE5"/>
    <w:rsid w:val="00425DB7"/>
    <w:rsid w:val="004268B1"/>
    <w:rsid w:val="00426CF4"/>
    <w:rsid w:val="004278D4"/>
    <w:rsid w:val="00427B75"/>
    <w:rsid w:val="00427E86"/>
    <w:rsid w:val="0043009C"/>
    <w:rsid w:val="0043029E"/>
    <w:rsid w:val="004306AD"/>
    <w:rsid w:val="0043098B"/>
    <w:rsid w:val="00430BDA"/>
    <w:rsid w:val="00430F46"/>
    <w:rsid w:val="00431442"/>
    <w:rsid w:val="004323C7"/>
    <w:rsid w:val="004326A5"/>
    <w:rsid w:val="00433E19"/>
    <w:rsid w:val="00434106"/>
    <w:rsid w:val="00434232"/>
    <w:rsid w:val="0043449E"/>
    <w:rsid w:val="004344C6"/>
    <w:rsid w:val="00434537"/>
    <w:rsid w:val="00435192"/>
    <w:rsid w:val="004355A8"/>
    <w:rsid w:val="0043623D"/>
    <w:rsid w:val="00437223"/>
    <w:rsid w:val="0043799F"/>
    <w:rsid w:val="00437B87"/>
    <w:rsid w:val="00437EE5"/>
    <w:rsid w:val="00440150"/>
    <w:rsid w:val="00440B96"/>
    <w:rsid w:val="00440C0F"/>
    <w:rsid w:val="00440C16"/>
    <w:rsid w:val="00440C9F"/>
    <w:rsid w:val="0044102B"/>
    <w:rsid w:val="004413BC"/>
    <w:rsid w:val="004419C7"/>
    <w:rsid w:val="00441AE6"/>
    <w:rsid w:val="00441C44"/>
    <w:rsid w:val="00441DF6"/>
    <w:rsid w:val="00441EE2"/>
    <w:rsid w:val="004426AD"/>
    <w:rsid w:val="004426EE"/>
    <w:rsid w:val="00442FDC"/>
    <w:rsid w:val="004438BD"/>
    <w:rsid w:val="004439A1"/>
    <w:rsid w:val="00443F49"/>
    <w:rsid w:val="00443FA8"/>
    <w:rsid w:val="00444220"/>
    <w:rsid w:val="0044460F"/>
    <w:rsid w:val="00444CDC"/>
    <w:rsid w:val="004450BB"/>
    <w:rsid w:val="0044513E"/>
    <w:rsid w:val="00445156"/>
    <w:rsid w:val="004453A9"/>
    <w:rsid w:val="00445AEB"/>
    <w:rsid w:val="00445B47"/>
    <w:rsid w:val="00446480"/>
    <w:rsid w:val="00446949"/>
    <w:rsid w:val="00446A9A"/>
    <w:rsid w:val="00446E64"/>
    <w:rsid w:val="0044705D"/>
    <w:rsid w:val="004502E0"/>
    <w:rsid w:val="00450471"/>
    <w:rsid w:val="0045090F"/>
    <w:rsid w:val="00450EBA"/>
    <w:rsid w:val="004515AC"/>
    <w:rsid w:val="0045188F"/>
    <w:rsid w:val="00452118"/>
    <w:rsid w:val="0045218D"/>
    <w:rsid w:val="00452439"/>
    <w:rsid w:val="00452EC5"/>
    <w:rsid w:val="00452EF4"/>
    <w:rsid w:val="00452FF4"/>
    <w:rsid w:val="004530E7"/>
    <w:rsid w:val="00453501"/>
    <w:rsid w:val="004535AA"/>
    <w:rsid w:val="0045442F"/>
    <w:rsid w:val="004544F2"/>
    <w:rsid w:val="00455695"/>
    <w:rsid w:val="00455727"/>
    <w:rsid w:val="00455CF3"/>
    <w:rsid w:val="00456684"/>
    <w:rsid w:val="004570EA"/>
    <w:rsid w:val="00457663"/>
    <w:rsid w:val="00457E64"/>
    <w:rsid w:val="00460351"/>
    <w:rsid w:val="0046061F"/>
    <w:rsid w:val="0046068B"/>
    <w:rsid w:val="00461E97"/>
    <w:rsid w:val="00462422"/>
    <w:rsid w:val="0046255F"/>
    <w:rsid w:val="004627C4"/>
    <w:rsid w:val="00462DF5"/>
    <w:rsid w:val="00463109"/>
    <w:rsid w:val="004632EF"/>
    <w:rsid w:val="00463513"/>
    <w:rsid w:val="00463895"/>
    <w:rsid w:val="00463CF6"/>
    <w:rsid w:val="00463D6C"/>
    <w:rsid w:val="00464072"/>
    <w:rsid w:val="00464172"/>
    <w:rsid w:val="00464C24"/>
    <w:rsid w:val="004650D0"/>
    <w:rsid w:val="0046598A"/>
    <w:rsid w:val="00465A90"/>
    <w:rsid w:val="004662F7"/>
    <w:rsid w:val="00466792"/>
    <w:rsid w:val="00466B43"/>
    <w:rsid w:val="0046715D"/>
    <w:rsid w:val="0046719B"/>
    <w:rsid w:val="00467317"/>
    <w:rsid w:val="00467C57"/>
    <w:rsid w:val="00467F35"/>
    <w:rsid w:val="0047015E"/>
    <w:rsid w:val="004707BE"/>
    <w:rsid w:val="00470B74"/>
    <w:rsid w:val="00470F47"/>
    <w:rsid w:val="00471238"/>
    <w:rsid w:val="004715A5"/>
    <w:rsid w:val="00471788"/>
    <w:rsid w:val="00471C5D"/>
    <w:rsid w:val="00471CDF"/>
    <w:rsid w:val="00472AAE"/>
    <w:rsid w:val="00472C76"/>
    <w:rsid w:val="004739E1"/>
    <w:rsid w:val="004739E9"/>
    <w:rsid w:val="00474204"/>
    <w:rsid w:val="00475552"/>
    <w:rsid w:val="004757B4"/>
    <w:rsid w:val="00475A22"/>
    <w:rsid w:val="00475B42"/>
    <w:rsid w:val="00475DBA"/>
    <w:rsid w:val="00475F94"/>
    <w:rsid w:val="0047630E"/>
    <w:rsid w:val="0047677D"/>
    <w:rsid w:val="00476834"/>
    <w:rsid w:val="00476B90"/>
    <w:rsid w:val="00476E60"/>
    <w:rsid w:val="004776B9"/>
    <w:rsid w:val="00477C7F"/>
    <w:rsid w:val="00477D09"/>
    <w:rsid w:val="004801AD"/>
    <w:rsid w:val="004801B5"/>
    <w:rsid w:val="00480ADA"/>
    <w:rsid w:val="00480D89"/>
    <w:rsid w:val="004811D2"/>
    <w:rsid w:val="00481342"/>
    <w:rsid w:val="004814EF"/>
    <w:rsid w:val="00481DC3"/>
    <w:rsid w:val="00481E93"/>
    <w:rsid w:val="00481F62"/>
    <w:rsid w:val="00482624"/>
    <w:rsid w:val="00482B66"/>
    <w:rsid w:val="00482D39"/>
    <w:rsid w:val="004833BD"/>
    <w:rsid w:val="00483478"/>
    <w:rsid w:val="0048394B"/>
    <w:rsid w:val="00483A1D"/>
    <w:rsid w:val="00483C96"/>
    <w:rsid w:val="0048450E"/>
    <w:rsid w:val="0048456D"/>
    <w:rsid w:val="0048470F"/>
    <w:rsid w:val="00484763"/>
    <w:rsid w:val="00484821"/>
    <w:rsid w:val="00484A48"/>
    <w:rsid w:val="00484C4A"/>
    <w:rsid w:val="00484E95"/>
    <w:rsid w:val="00485406"/>
    <w:rsid w:val="00485DDA"/>
    <w:rsid w:val="004863BC"/>
    <w:rsid w:val="00486DF3"/>
    <w:rsid w:val="00486E68"/>
    <w:rsid w:val="00487139"/>
    <w:rsid w:val="004872E8"/>
    <w:rsid w:val="00490172"/>
    <w:rsid w:val="00490570"/>
    <w:rsid w:val="00490578"/>
    <w:rsid w:val="0049067B"/>
    <w:rsid w:val="00491C8F"/>
    <w:rsid w:val="00491E51"/>
    <w:rsid w:val="0049219E"/>
    <w:rsid w:val="004929D0"/>
    <w:rsid w:val="00492B3F"/>
    <w:rsid w:val="00492CE5"/>
    <w:rsid w:val="00493003"/>
    <w:rsid w:val="004932F4"/>
    <w:rsid w:val="00493D7C"/>
    <w:rsid w:val="00493DBB"/>
    <w:rsid w:val="00493F3D"/>
    <w:rsid w:val="00493F5B"/>
    <w:rsid w:val="00494547"/>
    <w:rsid w:val="00494AEA"/>
    <w:rsid w:val="00494EF8"/>
    <w:rsid w:val="0049517D"/>
    <w:rsid w:val="004952BC"/>
    <w:rsid w:val="004952EC"/>
    <w:rsid w:val="0049586D"/>
    <w:rsid w:val="00495D40"/>
    <w:rsid w:val="00495DFA"/>
    <w:rsid w:val="00495F87"/>
    <w:rsid w:val="004962EC"/>
    <w:rsid w:val="00496BBA"/>
    <w:rsid w:val="0049752E"/>
    <w:rsid w:val="004976E2"/>
    <w:rsid w:val="0049774A"/>
    <w:rsid w:val="00497CED"/>
    <w:rsid w:val="00497FB3"/>
    <w:rsid w:val="004A009E"/>
    <w:rsid w:val="004A0957"/>
    <w:rsid w:val="004A0A14"/>
    <w:rsid w:val="004A0F91"/>
    <w:rsid w:val="004A181D"/>
    <w:rsid w:val="004A1877"/>
    <w:rsid w:val="004A1A4B"/>
    <w:rsid w:val="004A1AB7"/>
    <w:rsid w:val="004A1B02"/>
    <w:rsid w:val="004A1CB8"/>
    <w:rsid w:val="004A256B"/>
    <w:rsid w:val="004A294B"/>
    <w:rsid w:val="004A2FE0"/>
    <w:rsid w:val="004A31F8"/>
    <w:rsid w:val="004A3281"/>
    <w:rsid w:val="004A3B6C"/>
    <w:rsid w:val="004A4089"/>
    <w:rsid w:val="004A40FB"/>
    <w:rsid w:val="004A47BF"/>
    <w:rsid w:val="004A4BE8"/>
    <w:rsid w:val="004A4CE0"/>
    <w:rsid w:val="004A4E9C"/>
    <w:rsid w:val="004A4FFF"/>
    <w:rsid w:val="004A59DC"/>
    <w:rsid w:val="004A59ED"/>
    <w:rsid w:val="004A6B5D"/>
    <w:rsid w:val="004A6E2E"/>
    <w:rsid w:val="004A713E"/>
    <w:rsid w:val="004A78E2"/>
    <w:rsid w:val="004A7A77"/>
    <w:rsid w:val="004A7B30"/>
    <w:rsid w:val="004A7E00"/>
    <w:rsid w:val="004A7E41"/>
    <w:rsid w:val="004B04B9"/>
    <w:rsid w:val="004B09FC"/>
    <w:rsid w:val="004B1652"/>
    <w:rsid w:val="004B17DC"/>
    <w:rsid w:val="004B1BEA"/>
    <w:rsid w:val="004B20F0"/>
    <w:rsid w:val="004B22F1"/>
    <w:rsid w:val="004B2E06"/>
    <w:rsid w:val="004B3442"/>
    <w:rsid w:val="004B3B40"/>
    <w:rsid w:val="004B422D"/>
    <w:rsid w:val="004B45D9"/>
    <w:rsid w:val="004B47C7"/>
    <w:rsid w:val="004B4987"/>
    <w:rsid w:val="004B49A7"/>
    <w:rsid w:val="004B49BC"/>
    <w:rsid w:val="004B4A9C"/>
    <w:rsid w:val="004B51A8"/>
    <w:rsid w:val="004B5455"/>
    <w:rsid w:val="004B55EF"/>
    <w:rsid w:val="004B57C9"/>
    <w:rsid w:val="004B580D"/>
    <w:rsid w:val="004B598F"/>
    <w:rsid w:val="004B5BED"/>
    <w:rsid w:val="004B5CBA"/>
    <w:rsid w:val="004B5CBF"/>
    <w:rsid w:val="004B5F4B"/>
    <w:rsid w:val="004B5F7A"/>
    <w:rsid w:val="004B6243"/>
    <w:rsid w:val="004B6317"/>
    <w:rsid w:val="004B64AF"/>
    <w:rsid w:val="004B64F0"/>
    <w:rsid w:val="004B6507"/>
    <w:rsid w:val="004B7071"/>
    <w:rsid w:val="004B7319"/>
    <w:rsid w:val="004B73B7"/>
    <w:rsid w:val="004B73BE"/>
    <w:rsid w:val="004B74D4"/>
    <w:rsid w:val="004B7622"/>
    <w:rsid w:val="004C04F4"/>
    <w:rsid w:val="004C0DAB"/>
    <w:rsid w:val="004C0F79"/>
    <w:rsid w:val="004C11E9"/>
    <w:rsid w:val="004C1B3D"/>
    <w:rsid w:val="004C1BF4"/>
    <w:rsid w:val="004C1C3F"/>
    <w:rsid w:val="004C1FC3"/>
    <w:rsid w:val="004C26D9"/>
    <w:rsid w:val="004C2C4A"/>
    <w:rsid w:val="004C37FE"/>
    <w:rsid w:val="004C3A97"/>
    <w:rsid w:val="004C408F"/>
    <w:rsid w:val="004C43F5"/>
    <w:rsid w:val="004C444C"/>
    <w:rsid w:val="004C47E3"/>
    <w:rsid w:val="004C4AB9"/>
    <w:rsid w:val="004C559D"/>
    <w:rsid w:val="004C56CF"/>
    <w:rsid w:val="004C5795"/>
    <w:rsid w:val="004C5826"/>
    <w:rsid w:val="004C58E9"/>
    <w:rsid w:val="004C599D"/>
    <w:rsid w:val="004C5D40"/>
    <w:rsid w:val="004C5DBF"/>
    <w:rsid w:val="004C6115"/>
    <w:rsid w:val="004C6B85"/>
    <w:rsid w:val="004C6DC3"/>
    <w:rsid w:val="004C7098"/>
    <w:rsid w:val="004C751D"/>
    <w:rsid w:val="004C77D1"/>
    <w:rsid w:val="004D021A"/>
    <w:rsid w:val="004D02A3"/>
    <w:rsid w:val="004D06F2"/>
    <w:rsid w:val="004D092F"/>
    <w:rsid w:val="004D0A1B"/>
    <w:rsid w:val="004D0E9A"/>
    <w:rsid w:val="004D149A"/>
    <w:rsid w:val="004D164B"/>
    <w:rsid w:val="004D1D1E"/>
    <w:rsid w:val="004D2853"/>
    <w:rsid w:val="004D293C"/>
    <w:rsid w:val="004D2945"/>
    <w:rsid w:val="004D3163"/>
    <w:rsid w:val="004D37EC"/>
    <w:rsid w:val="004D3BAD"/>
    <w:rsid w:val="004D40FD"/>
    <w:rsid w:val="004D4A61"/>
    <w:rsid w:val="004D51D4"/>
    <w:rsid w:val="004D59B4"/>
    <w:rsid w:val="004D63F9"/>
    <w:rsid w:val="004D6667"/>
    <w:rsid w:val="004D67DA"/>
    <w:rsid w:val="004D6DFA"/>
    <w:rsid w:val="004D77AC"/>
    <w:rsid w:val="004D7FA2"/>
    <w:rsid w:val="004D7FBB"/>
    <w:rsid w:val="004E0113"/>
    <w:rsid w:val="004E03C1"/>
    <w:rsid w:val="004E0715"/>
    <w:rsid w:val="004E08B0"/>
    <w:rsid w:val="004E0C14"/>
    <w:rsid w:val="004E1105"/>
    <w:rsid w:val="004E1218"/>
    <w:rsid w:val="004E1379"/>
    <w:rsid w:val="004E1529"/>
    <w:rsid w:val="004E15CA"/>
    <w:rsid w:val="004E1BBF"/>
    <w:rsid w:val="004E205F"/>
    <w:rsid w:val="004E20B5"/>
    <w:rsid w:val="004E219A"/>
    <w:rsid w:val="004E25BD"/>
    <w:rsid w:val="004E26E7"/>
    <w:rsid w:val="004E2757"/>
    <w:rsid w:val="004E2792"/>
    <w:rsid w:val="004E2D03"/>
    <w:rsid w:val="004E3047"/>
    <w:rsid w:val="004E325D"/>
    <w:rsid w:val="004E3907"/>
    <w:rsid w:val="004E3978"/>
    <w:rsid w:val="004E3B47"/>
    <w:rsid w:val="004E3B4D"/>
    <w:rsid w:val="004E3C2E"/>
    <w:rsid w:val="004E3DF9"/>
    <w:rsid w:val="004E4A6E"/>
    <w:rsid w:val="004E4B83"/>
    <w:rsid w:val="004E4D82"/>
    <w:rsid w:val="004E5276"/>
    <w:rsid w:val="004E540D"/>
    <w:rsid w:val="004E5569"/>
    <w:rsid w:val="004E5A56"/>
    <w:rsid w:val="004E5BE2"/>
    <w:rsid w:val="004E5F8D"/>
    <w:rsid w:val="004E609C"/>
    <w:rsid w:val="004E61B8"/>
    <w:rsid w:val="004E6F92"/>
    <w:rsid w:val="004E72FF"/>
    <w:rsid w:val="004E73C7"/>
    <w:rsid w:val="004E7551"/>
    <w:rsid w:val="004E77A1"/>
    <w:rsid w:val="004E7D75"/>
    <w:rsid w:val="004F00D5"/>
    <w:rsid w:val="004F0299"/>
    <w:rsid w:val="004F0856"/>
    <w:rsid w:val="004F09CF"/>
    <w:rsid w:val="004F10B2"/>
    <w:rsid w:val="004F1C37"/>
    <w:rsid w:val="004F1DDA"/>
    <w:rsid w:val="004F1F88"/>
    <w:rsid w:val="004F22A8"/>
    <w:rsid w:val="004F234B"/>
    <w:rsid w:val="004F2D0F"/>
    <w:rsid w:val="004F2E44"/>
    <w:rsid w:val="004F2E9B"/>
    <w:rsid w:val="004F2FE4"/>
    <w:rsid w:val="004F3023"/>
    <w:rsid w:val="004F3642"/>
    <w:rsid w:val="004F3731"/>
    <w:rsid w:val="004F3C02"/>
    <w:rsid w:val="004F4415"/>
    <w:rsid w:val="004F473D"/>
    <w:rsid w:val="004F47CF"/>
    <w:rsid w:val="004F4F40"/>
    <w:rsid w:val="004F5393"/>
    <w:rsid w:val="004F545B"/>
    <w:rsid w:val="004F5495"/>
    <w:rsid w:val="004F61F3"/>
    <w:rsid w:val="004F67ED"/>
    <w:rsid w:val="004F6C36"/>
    <w:rsid w:val="004F799A"/>
    <w:rsid w:val="004F7BED"/>
    <w:rsid w:val="0050034E"/>
    <w:rsid w:val="00500A52"/>
    <w:rsid w:val="00500D22"/>
    <w:rsid w:val="00500E59"/>
    <w:rsid w:val="00501A6E"/>
    <w:rsid w:val="00501F76"/>
    <w:rsid w:val="00501FB3"/>
    <w:rsid w:val="00502491"/>
    <w:rsid w:val="00502861"/>
    <w:rsid w:val="00502C15"/>
    <w:rsid w:val="00502CD5"/>
    <w:rsid w:val="00502E6E"/>
    <w:rsid w:val="0050359D"/>
    <w:rsid w:val="00503605"/>
    <w:rsid w:val="005045F0"/>
    <w:rsid w:val="00504644"/>
    <w:rsid w:val="0050466F"/>
    <w:rsid w:val="005054D7"/>
    <w:rsid w:val="00505A54"/>
    <w:rsid w:val="00505D61"/>
    <w:rsid w:val="0050621E"/>
    <w:rsid w:val="00506597"/>
    <w:rsid w:val="00506663"/>
    <w:rsid w:val="005071A1"/>
    <w:rsid w:val="00507454"/>
    <w:rsid w:val="005077B1"/>
    <w:rsid w:val="005079C6"/>
    <w:rsid w:val="00507F85"/>
    <w:rsid w:val="005100D5"/>
    <w:rsid w:val="005106AC"/>
    <w:rsid w:val="00511CE5"/>
    <w:rsid w:val="00511F7E"/>
    <w:rsid w:val="005123AA"/>
    <w:rsid w:val="005124AE"/>
    <w:rsid w:val="00513871"/>
    <w:rsid w:val="005138D7"/>
    <w:rsid w:val="005139F9"/>
    <w:rsid w:val="00513BED"/>
    <w:rsid w:val="00513FA0"/>
    <w:rsid w:val="00514972"/>
    <w:rsid w:val="0051558E"/>
    <w:rsid w:val="00515765"/>
    <w:rsid w:val="005157CD"/>
    <w:rsid w:val="00515A4C"/>
    <w:rsid w:val="00515E37"/>
    <w:rsid w:val="00515FB8"/>
    <w:rsid w:val="0051612A"/>
    <w:rsid w:val="00516382"/>
    <w:rsid w:val="0051671D"/>
    <w:rsid w:val="00516EFD"/>
    <w:rsid w:val="00517D1E"/>
    <w:rsid w:val="00517F8D"/>
    <w:rsid w:val="00520150"/>
    <w:rsid w:val="005206F4"/>
    <w:rsid w:val="00520837"/>
    <w:rsid w:val="005209A1"/>
    <w:rsid w:val="005209F2"/>
    <w:rsid w:val="00520E72"/>
    <w:rsid w:val="00521080"/>
    <w:rsid w:val="00521A59"/>
    <w:rsid w:val="00521D0C"/>
    <w:rsid w:val="005224EB"/>
    <w:rsid w:val="00522BC7"/>
    <w:rsid w:val="00523185"/>
    <w:rsid w:val="005231DD"/>
    <w:rsid w:val="005234B6"/>
    <w:rsid w:val="005235F4"/>
    <w:rsid w:val="00523B5C"/>
    <w:rsid w:val="00523E30"/>
    <w:rsid w:val="00524648"/>
    <w:rsid w:val="00524766"/>
    <w:rsid w:val="00525097"/>
    <w:rsid w:val="005252E5"/>
    <w:rsid w:val="005255CB"/>
    <w:rsid w:val="00525D8E"/>
    <w:rsid w:val="00525E94"/>
    <w:rsid w:val="00526660"/>
    <w:rsid w:val="0052695F"/>
    <w:rsid w:val="00526B8F"/>
    <w:rsid w:val="00526BA3"/>
    <w:rsid w:val="00527574"/>
    <w:rsid w:val="00527ED6"/>
    <w:rsid w:val="005308F3"/>
    <w:rsid w:val="00530E1A"/>
    <w:rsid w:val="00530E91"/>
    <w:rsid w:val="005318CC"/>
    <w:rsid w:val="00531F98"/>
    <w:rsid w:val="00532657"/>
    <w:rsid w:val="0053286C"/>
    <w:rsid w:val="0053296D"/>
    <w:rsid w:val="00532AB8"/>
    <w:rsid w:val="00532DAE"/>
    <w:rsid w:val="00532DD4"/>
    <w:rsid w:val="0053308E"/>
    <w:rsid w:val="005334D0"/>
    <w:rsid w:val="00533DCE"/>
    <w:rsid w:val="005340F6"/>
    <w:rsid w:val="005342D2"/>
    <w:rsid w:val="00534AA7"/>
    <w:rsid w:val="00535458"/>
    <w:rsid w:val="00535885"/>
    <w:rsid w:val="005363C9"/>
    <w:rsid w:val="005365DB"/>
    <w:rsid w:val="00536648"/>
    <w:rsid w:val="00536717"/>
    <w:rsid w:val="00536958"/>
    <w:rsid w:val="00537681"/>
    <w:rsid w:val="0053794F"/>
    <w:rsid w:val="005379BE"/>
    <w:rsid w:val="00537E0E"/>
    <w:rsid w:val="00537EC0"/>
    <w:rsid w:val="00540057"/>
    <w:rsid w:val="0054007C"/>
    <w:rsid w:val="00540097"/>
    <w:rsid w:val="00540202"/>
    <w:rsid w:val="00540250"/>
    <w:rsid w:val="00540390"/>
    <w:rsid w:val="005403AB"/>
    <w:rsid w:val="00540B94"/>
    <w:rsid w:val="00540BC1"/>
    <w:rsid w:val="00540E3F"/>
    <w:rsid w:val="0054123D"/>
    <w:rsid w:val="00541372"/>
    <w:rsid w:val="00541C8D"/>
    <w:rsid w:val="0054209C"/>
    <w:rsid w:val="00542119"/>
    <w:rsid w:val="005424BE"/>
    <w:rsid w:val="00542F9B"/>
    <w:rsid w:val="005430CA"/>
    <w:rsid w:val="0054338F"/>
    <w:rsid w:val="005437A5"/>
    <w:rsid w:val="00543A33"/>
    <w:rsid w:val="00543ED8"/>
    <w:rsid w:val="005443D8"/>
    <w:rsid w:val="005446EC"/>
    <w:rsid w:val="00545456"/>
    <w:rsid w:val="005454E6"/>
    <w:rsid w:val="00545F88"/>
    <w:rsid w:val="005468DE"/>
    <w:rsid w:val="00546BB6"/>
    <w:rsid w:val="00547D13"/>
    <w:rsid w:val="00550F28"/>
    <w:rsid w:val="00551178"/>
    <w:rsid w:val="005514AD"/>
    <w:rsid w:val="00551DC6"/>
    <w:rsid w:val="005520A4"/>
    <w:rsid w:val="00552333"/>
    <w:rsid w:val="00552753"/>
    <w:rsid w:val="00552B0F"/>
    <w:rsid w:val="00552E03"/>
    <w:rsid w:val="00552E60"/>
    <w:rsid w:val="005532C5"/>
    <w:rsid w:val="0055374A"/>
    <w:rsid w:val="00553A44"/>
    <w:rsid w:val="00553EA8"/>
    <w:rsid w:val="00554F06"/>
    <w:rsid w:val="00554FAD"/>
    <w:rsid w:val="0055521B"/>
    <w:rsid w:val="00555928"/>
    <w:rsid w:val="00556182"/>
    <w:rsid w:val="00556635"/>
    <w:rsid w:val="00556804"/>
    <w:rsid w:val="00556A10"/>
    <w:rsid w:val="0055722A"/>
    <w:rsid w:val="00557303"/>
    <w:rsid w:val="00557A79"/>
    <w:rsid w:val="00557F27"/>
    <w:rsid w:val="0056071B"/>
    <w:rsid w:val="0056091A"/>
    <w:rsid w:val="00562823"/>
    <w:rsid w:val="00562A8F"/>
    <w:rsid w:val="00562CBF"/>
    <w:rsid w:val="00562E40"/>
    <w:rsid w:val="0056316D"/>
    <w:rsid w:val="0056323C"/>
    <w:rsid w:val="005639FF"/>
    <w:rsid w:val="00563A96"/>
    <w:rsid w:val="00563B5C"/>
    <w:rsid w:val="00563B65"/>
    <w:rsid w:val="00564116"/>
    <w:rsid w:val="00564131"/>
    <w:rsid w:val="00564454"/>
    <w:rsid w:val="00564635"/>
    <w:rsid w:val="00565003"/>
    <w:rsid w:val="00565128"/>
    <w:rsid w:val="0056586D"/>
    <w:rsid w:val="00565D84"/>
    <w:rsid w:val="00565F79"/>
    <w:rsid w:val="0056637D"/>
    <w:rsid w:val="00566923"/>
    <w:rsid w:val="00566AAB"/>
    <w:rsid w:val="00566B6B"/>
    <w:rsid w:val="005670BB"/>
    <w:rsid w:val="005673E1"/>
    <w:rsid w:val="005675B2"/>
    <w:rsid w:val="0056763A"/>
    <w:rsid w:val="00570208"/>
    <w:rsid w:val="00570303"/>
    <w:rsid w:val="005703AB"/>
    <w:rsid w:val="00570816"/>
    <w:rsid w:val="00570C1D"/>
    <w:rsid w:val="00570E64"/>
    <w:rsid w:val="005710D7"/>
    <w:rsid w:val="00571120"/>
    <w:rsid w:val="00571139"/>
    <w:rsid w:val="00571559"/>
    <w:rsid w:val="0057274D"/>
    <w:rsid w:val="0057286D"/>
    <w:rsid w:val="00572CBE"/>
    <w:rsid w:val="005736F8"/>
    <w:rsid w:val="00573A7A"/>
    <w:rsid w:val="00573F15"/>
    <w:rsid w:val="00573F5F"/>
    <w:rsid w:val="0057448A"/>
    <w:rsid w:val="00574598"/>
    <w:rsid w:val="005748BF"/>
    <w:rsid w:val="00574B8E"/>
    <w:rsid w:val="00574C13"/>
    <w:rsid w:val="00574D03"/>
    <w:rsid w:val="00574E4A"/>
    <w:rsid w:val="005754E5"/>
    <w:rsid w:val="00575571"/>
    <w:rsid w:val="00575D89"/>
    <w:rsid w:val="00575E94"/>
    <w:rsid w:val="0057628B"/>
    <w:rsid w:val="0057632C"/>
    <w:rsid w:val="005763FF"/>
    <w:rsid w:val="0057666D"/>
    <w:rsid w:val="00576836"/>
    <w:rsid w:val="00576BF8"/>
    <w:rsid w:val="005770A8"/>
    <w:rsid w:val="00577824"/>
    <w:rsid w:val="0057797F"/>
    <w:rsid w:val="00577A70"/>
    <w:rsid w:val="00577BE7"/>
    <w:rsid w:val="00577C26"/>
    <w:rsid w:val="00577E02"/>
    <w:rsid w:val="0058001B"/>
    <w:rsid w:val="00580138"/>
    <w:rsid w:val="00580D37"/>
    <w:rsid w:val="00580F1A"/>
    <w:rsid w:val="00582027"/>
    <w:rsid w:val="0058212E"/>
    <w:rsid w:val="005838E1"/>
    <w:rsid w:val="00583934"/>
    <w:rsid w:val="00583CC8"/>
    <w:rsid w:val="00583D92"/>
    <w:rsid w:val="00583ED7"/>
    <w:rsid w:val="0058451A"/>
    <w:rsid w:val="00584B56"/>
    <w:rsid w:val="0058567F"/>
    <w:rsid w:val="005857F2"/>
    <w:rsid w:val="00585A99"/>
    <w:rsid w:val="00585F3B"/>
    <w:rsid w:val="00586414"/>
    <w:rsid w:val="0058692F"/>
    <w:rsid w:val="00586D8F"/>
    <w:rsid w:val="00586E49"/>
    <w:rsid w:val="0058705A"/>
    <w:rsid w:val="0058707F"/>
    <w:rsid w:val="005870B8"/>
    <w:rsid w:val="00587577"/>
    <w:rsid w:val="0059051D"/>
    <w:rsid w:val="005905E8"/>
    <w:rsid w:val="00590746"/>
    <w:rsid w:val="00590942"/>
    <w:rsid w:val="00590DA8"/>
    <w:rsid w:val="00590EE4"/>
    <w:rsid w:val="00590F63"/>
    <w:rsid w:val="005911A4"/>
    <w:rsid w:val="0059223E"/>
    <w:rsid w:val="00592383"/>
    <w:rsid w:val="00592A8E"/>
    <w:rsid w:val="00592E56"/>
    <w:rsid w:val="005933D3"/>
    <w:rsid w:val="005934B0"/>
    <w:rsid w:val="00593926"/>
    <w:rsid w:val="00593BB8"/>
    <w:rsid w:val="00593F38"/>
    <w:rsid w:val="00593FC2"/>
    <w:rsid w:val="00594D68"/>
    <w:rsid w:val="00594D96"/>
    <w:rsid w:val="00595690"/>
    <w:rsid w:val="00595701"/>
    <w:rsid w:val="00595C1D"/>
    <w:rsid w:val="0059626A"/>
    <w:rsid w:val="0059636D"/>
    <w:rsid w:val="00596606"/>
    <w:rsid w:val="0059676A"/>
    <w:rsid w:val="00596AF3"/>
    <w:rsid w:val="00596F5A"/>
    <w:rsid w:val="00596FF4"/>
    <w:rsid w:val="00597745"/>
    <w:rsid w:val="00597778"/>
    <w:rsid w:val="00597F31"/>
    <w:rsid w:val="005A0275"/>
    <w:rsid w:val="005A0990"/>
    <w:rsid w:val="005A1215"/>
    <w:rsid w:val="005A1281"/>
    <w:rsid w:val="005A14B6"/>
    <w:rsid w:val="005A1C4B"/>
    <w:rsid w:val="005A1D01"/>
    <w:rsid w:val="005A22D3"/>
    <w:rsid w:val="005A2444"/>
    <w:rsid w:val="005A2CE9"/>
    <w:rsid w:val="005A32E9"/>
    <w:rsid w:val="005A3418"/>
    <w:rsid w:val="005A354B"/>
    <w:rsid w:val="005A36B2"/>
    <w:rsid w:val="005A3C81"/>
    <w:rsid w:val="005A3D19"/>
    <w:rsid w:val="005A3FBF"/>
    <w:rsid w:val="005A4273"/>
    <w:rsid w:val="005A51BB"/>
    <w:rsid w:val="005A5261"/>
    <w:rsid w:val="005A57EF"/>
    <w:rsid w:val="005A58C2"/>
    <w:rsid w:val="005A5B31"/>
    <w:rsid w:val="005A5B47"/>
    <w:rsid w:val="005A5EEE"/>
    <w:rsid w:val="005A60F5"/>
    <w:rsid w:val="005A65A5"/>
    <w:rsid w:val="005A69C8"/>
    <w:rsid w:val="005A6B27"/>
    <w:rsid w:val="005A6B95"/>
    <w:rsid w:val="005A6C89"/>
    <w:rsid w:val="005A6E35"/>
    <w:rsid w:val="005A72E4"/>
    <w:rsid w:val="005A746A"/>
    <w:rsid w:val="005A7A9D"/>
    <w:rsid w:val="005A7F69"/>
    <w:rsid w:val="005B0B18"/>
    <w:rsid w:val="005B0CF3"/>
    <w:rsid w:val="005B0DEB"/>
    <w:rsid w:val="005B0F63"/>
    <w:rsid w:val="005B104B"/>
    <w:rsid w:val="005B1170"/>
    <w:rsid w:val="005B1941"/>
    <w:rsid w:val="005B1ACE"/>
    <w:rsid w:val="005B1CB2"/>
    <w:rsid w:val="005B1F61"/>
    <w:rsid w:val="005B27AA"/>
    <w:rsid w:val="005B298B"/>
    <w:rsid w:val="005B2CB7"/>
    <w:rsid w:val="005B2F22"/>
    <w:rsid w:val="005B35FF"/>
    <w:rsid w:val="005B3731"/>
    <w:rsid w:val="005B3E30"/>
    <w:rsid w:val="005B470B"/>
    <w:rsid w:val="005B4A86"/>
    <w:rsid w:val="005B5557"/>
    <w:rsid w:val="005B5C3C"/>
    <w:rsid w:val="005B60C6"/>
    <w:rsid w:val="005B62E4"/>
    <w:rsid w:val="005B6483"/>
    <w:rsid w:val="005B688C"/>
    <w:rsid w:val="005B68DC"/>
    <w:rsid w:val="005B69CD"/>
    <w:rsid w:val="005B71A9"/>
    <w:rsid w:val="005B7370"/>
    <w:rsid w:val="005B76F8"/>
    <w:rsid w:val="005B7759"/>
    <w:rsid w:val="005B776A"/>
    <w:rsid w:val="005B7C18"/>
    <w:rsid w:val="005B7E83"/>
    <w:rsid w:val="005B7EAC"/>
    <w:rsid w:val="005B7EE9"/>
    <w:rsid w:val="005C08B0"/>
    <w:rsid w:val="005C0AA8"/>
    <w:rsid w:val="005C0AF2"/>
    <w:rsid w:val="005C0C17"/>
    <w:rsid w:val="005C0D07"/>
    <w:rsid w:val="005C1E59"/>
    <w:rsid w:val="005C1FF7"/>
    <w:rsid w:val="005C22FF"/>
    <w:rsid w:val="005C2354"/>
    <w:rsid w:val="005C23AC"/>
    <w:rsid w:val="005C2996"/>
    <w:rsid w:val="005C29F4"/>
    <w:rsid w:val="005C2D95"/>
    <w:rsid w:val="005C3166"/>
    <w:rsid w:val="005C3170"/>
    <w:rsid w:val="005C3219"/>
    <w:rsid w:val="005C3385"/>
    <w:rsid w:val="005C3520"/>
    <w:rsid w:val="005C36E0"/>
    <w:rsid w:val="005C3A8A"/>
    <w:rsid w:val="005C3B19"/>
    <w:rsid w:val="005C3B1C"/>
    <w:rsid w:val="005C3B63"/>
    <w:rsid w:val="005C3DCF"/>
    <w:rsid w:val="005C4DA5"/>
    <w:rsid w:val="005C510D"/>
    <w:rsid w:val="005C53EB"/>
    <w:rsid w:val="005C5A53"/>
    <w:rsid w:val="005C5CC6"/>
    <w:rsid w:val="005C5CD9"/>
    <w:rsid w:val="005C6134"/>
    <w:rsid w:val="005C6152"/>
    <w:rsid w:val="005C6234"/>
    <w:rsid w:val="005C6303"/>
    <w:rsid w:val="005C646F"/>
    <w:rsid w:val="005C67D5"/>
    <w:rsid w:val="005C6A7B"/>
    <w:rsid w:val="005C6BD8"/>
    <w:rsid w:val="005C6D3F"/>
    <w:rsid w:val="005C75DA"/>
    <w:rsid w:val="005C771E"/>
    <w:rsid w:val="005C79D1"/>
    <w:rsid w:val="005C7B2D"/>
    <w:rsid w:val="005C7E96"/>
    <w:rsid w:val="005C7FE9"/>
    <w:rsid w:val="005D0585"/>
    <w:rsid w:val="005D0764"/>
    <w:rsid w:val="005D0EC3"/>
    <w:rsid w:val="005D1F89"/>
    <w:rsid w:val="005D1F91"/>
    <w:rsid w:val="005D224C"/>
    <w:rsid w:val="005D2557"/>
    <w:rsid w:val="005D2C48"/>
    <w:rsid w:val="005D3EC6"/>
    <w:rsid w:val="005D4394"/>
    <w:rsid w:val="005D46A5"/>
    <w:rsid w:val="005D4E8E"/>
    <w:rsid w:val="005D4F87"/>
    <w:rsid w:val="005D527E"/>
    <w:rsid w:val="005D5685"/>
    <w:rsid w:val="005D58CC"/>
    <w:rsid w:val="005D5AC2"/>
    <w:rsid w:val="005D5D3B"/>
    <w:rsid w:val="005D6A0C"/>
    <w:rsid w:val="005D6C2A"/>
    <w:rsid w:val="005D6EEC"/>
    <w:rsid w:val="005D77EE"/>
    <w:rsid w:val="005D7AC0"/>
    <w:rsid w:val="005D7F31"/>
    <w:rsid w:val="005E011B"/>
    <w:rsid w:val="005E034C"/>
    <w:rsid w:val="005E057E"/>
    <w:rsid w:val="005E0927"/>
    <w:rsid w:val="005E0C90"/>
    <w:rsid w:val="005E0ED7"/>
    <w:rsid w:val="005E0F85"/>
    <w:rsid w:val="005E0FDB"/>
    <w:rsid w:val="005E1519"/>
    <w:rsid w:val="005E1643"/>
    <w:rsid w:val="005E1A67"/>
    <w:rsid w:val="005E1AF3"/>
    <w:rsid w:val="005E1F7B"/>
    <w:rsid w:val="005E208F"/>
    <w:rsid w:val="005E23F9"/>
    <w:rsid w:val="005E24C1"/>
    <w:rsid w:val="005E2592"/>
    <w:rsid w:val="005E2675"/>
    <w:rsid w:val="005E2C6F"/>
    <w:rsid w:val="005E2C9A"/>
    <w:rsid w:val="005E2CED"/>
    <w:rsid w:val="005E2D57"/>
    <w:rsid w:val="005E2DFD"/>
    <w:rsid w:val="005E45C2"/>
    <w:rsid w:val="005E4849"/>
    <w:rsid w:val="005E506C"/>
    <w:rsid w:val="005E51A7"/>
    <w:rsid w:val="005E58A4"/>
    <w:rsid w:val="005E59A0"/>
    <w:rsid w:val="005E5C86"/>
    <w:rsid w:val="005E5E2E"/>
    <w:rsid w:val="005E630C"/>
    <w:rsid w:val="005E6623"/>
    <w:rsid w:val="005E6CBC"/>
    <w:rsid w:val="005E6D30"/>
    <w:rsid w:val="005E7069"/>
    <w:rsid w:val="005E70F6"/>
    <w:rsid w:val="005E747F"/>
    <w:rsid w:val="005F071C"/>
    <w:rsid w:val="005F08B7"/>
    <w:rsid w:val="005F0AEC"/>
    <w:rsid w:val="005F0C59"/>
    <w:rsid w:val="005F10F9"/>
    <w:rsid w:val="005F112B"/>
    <w:rsid w:val="005F1157"/>
    <w:rsid w:val="005F1513"/>
    <w:rsid w:val="005F1F8E"/>
    <w:rsid w:val="005F2010"/>
    <w:rsid w:val="005F2276"/>
    <w:rsid w:val="005F232C"/>
    <w:rsid w:val="005F2359"/>
    <w:rsid w:val="005F4093"/>
    <w:rsid w:val="005F425D"/>
    <w:rsid w:val="005F45E7"/>
    <w:rsid w:val="005F4710"/>
    <w:rsid w:val="005F4B70"/>
    <w:rsid w:val="005F4B79"/>
    <w:rsid w:val="005F5140"/>
    <w:rsid w:val="005F51BD"/>
    <w:rsid w:val="005F6130"/>
    <w:rsid w:val="005F63F5"/>
    <w:rsid w:val="005F649E"/>
    <w:rsid w:val="005F6D3A"/>
    <w:rsid w:val="005F6FDB"/>
    <w:rsid w:val="005F739C"/>
    <w:rsid w:val="005F798A"/>
    <w:rsid w:val="005F7A5E"/>
    <w:rsid w:val="00600264"/>
    <w:rsid w:val="006002D1"/>
    <w:rsid w:val="006002E8"/>
    <w:rsid w:val="00600674"/>
    <w:rsid w:val="006019B4"/>
    <w:rsid w:val="00602528"/>
    <w:rsid w:val="006032B4"/>
    <w:rsid w:val="006037F3"/>
    <w:rsid w:val="00603B07"/>
    <w:rsid w:val="00603C6A"/>
    <w:rsid w:val="00603D2B"/>
    <w:rsid w:val="006041E8"/>
    <w:rsid w:val="0060433C"/>
    <w:rsid w:val="00604ACF"/>
    <w:rsid w:val="00604D1F"/>
    <w:rsid w:val="00604DCC"/>
    <w:rsid w:val="00604FDE"/>
    <w:rsid w:val="0060578C"/>
    <w:rsid w:val="00605A88"/>
    <w:rsid w:val="0060629F"/>
    <w:rsid w:val="00606397"/>
    <w:rsid w:val="006066BC"/>
    <w:rsid w:val="00606972"/>
    <w:rsid w:val="00606C30"/>
    <w:rsid w:val="00607158"/>
    <w:rsid w:val="00607A99"/>
    <w:rsid w:val="00610455"/>
    <w:rsid w:val="006105CB"/>
    <w:rsid w:val="00610F3E"/>
    <w:rsid w:val="00611FD2"/>
    <w:rsid w:val="006122CD"/>
    <w:rsid w:val="006122FA"/>
    <w:rsid w:val="006126AD"/>
    <w:rsid w:val="006127EA"/>
    <w:rsid w:val="00612F12"/>
    <w:rsid w:val="00613085"/>
    <w:rsid w:val="00613457"/>
    <w:rsid w:val="00613525"/>
    <w:rsid w:val="00613851"/>
    <w:rsid w:val="00613ADB"/>
    <w:rsid w:val="00614193"/>
    <w:rsid w:val="0061443C"/>
    <w:rsid w:val="0061465A"/>
    <w:rsid w:val="006147EA"/>
    <w:rsid w:val="00614BD4"/>
    <w:rsid w:val="00614C2B"/>
    <w:rsid w:val="00615246"/>
    <w:rsid w:val="0061528A"/>
    <w:rsid w:val="00615375"/>
    <w:rsid w:val="0061539C"/>
    <w:rsid w:val="006157CF"/>
    <w:rsid w:val="006158F6"/>
    <w:rsid w:val="00615984"/>
    <w:rsid w:val="006159DE"/>
    <w:rsid w:val="00615C19"/>
    <w:rsid w:val="0061678B"/>
    <w:rsid w:val="00616C4C"/>
    <w:rsid w:val="0061717E"/>
    <w:rsid w:val="0061792D"/>
    <w:rsid w:val="00617FA2"/>
    <w:rsid w:val="00620206"/>
    <w:rsid w:val="006209EA"/>
    <w:rsid w:val="00620ADA"/>
    <w:rsid w:val="00620AFB"/>
    <w:rsid w:val="006211F8"/>
    <w:rsid w:val="006213B4"/>
    <w:rsid w:val="00621633"/>
    <w:rsid w:val="00621B1B"/>
    <w:rsid w:val="00621CAB"/>
    <w:rsid w:val="00622155"/>
    <w:rsid w:val="00622437"/>
    <w:rsid w:val="00622A94"/>
    <w:rsid w:val="0062328A"/>
    <w:rsid w:val="0062329D"/>
    <w:rsid w:val="00623412"/>
    <w:rsid w:val="00623506"/>
    <w:rsid w:val="006239EC"/>
    <w:rsid w:val="00623EEF"/>
    <w:rsid w:val="0062408A"/>
    <w:rsid w:val="00624394"/>
    <w:rsid w:val="00624435"/>
    <w:rsid w:val="00624665"/>
    <w:rsid w:val="00624D0A"/>
    <w:rsid w:val="006253CA"/>
    <w:rsid w:val="006255D5"/>
    <w:rsid w:val="00625D7B"/>
    <w:rsid w:val="00626005"/>
    <w:rsid w:val="0062613B"/>
    <w:rsid w:val="00626182"/>
    <w:rsid w:val="00626882"/>
    <w:rsid w:val="00626A6D"/>
    <w:rsid w:val="00626A95"/>
    <w:rsid w:val="00626CFB"/>
    <w:rsid w:val="00626EC4"/>
    <w:rsid w:val="00626F72"/>
    <w:rsid w:val="006270B6"/>
    <w:rsid w:val="0062726A"/>
    <w:rsid w:val="00627EBA"/>
    <w:rsid w:val="00630324"/>
    <w:rsid w:val="006303E9"/>
    <w:rsid w:val="00630C39"/>
    <w:rsid w:val="00630C9C"/>
    <w:rsid w:val="00630DA1"/>
    <w:rsid w:val="0063152A"/>
    <w:rsid w:val="00631782"/>
    <w:rsid w:val="006317B6"/>
    <w:rsid w:val="006319A7"/>
    <w:rsid w:val="00631BC6"/>
    <w:rsid w:val="00631D92"/>
    <w:rsid w:val="00631DC3"/>
    <w:rsid w:val="006321D7"/>
    <w:rsid w:val="00632790"/>
    <w:rsid w:val="00633474"/>
    <w:rsid w:val="00633940"/>
    <w:rsid w:val="00633BA4"/>
    <w:rsid w:val="006340F8"/>
    <w:rsid w:val="006342BB"/>
    <w:rsid w:val="006345C0"/>
    <w:rsid w:val="006346EF"/>
    <w:rsid w:val="00634733"/>
    <w:rsid w:val="00634EAD"/>
    <w:rsid w:val="0063552A"/>
    <w:rsid w:val="00635818"/>
    <w:rsid w:val="0063587F"/>
    <w:rsid w:val="006358A4"/>
    <w:rsid w:val="006358F9"/>
    <w:rsid w:val="00635A7B"/>
    <w:rsid w:val="00635E3E"/>
    <w:rsid w:val="006360DF"/>
    <w:rsid w:val="0063644B"/>
    <w:rsid w:val="0063683E"/>
    <w:rsid w:val="00636BE0"/>
    <w:rsid w:val="00636FF2"/>
    <w:rsid w:val="00637108"/>
    <w:rsid w:val="00637155"/>
    <w:rsid w:val="00637423"/>
    <w:rsid w:val="0063762F"/>
    <w:rsid w:val="00637CA4"/>
    <w:rsid w:val="00640798"/>
    <w:rsid w:val="0064100F"/>
    <w:rsid w:val="00641196"/>
    <w:rsid w:val="006417BE"/>
    <w:rsid w:val="0064185F"/>
    <w:rsid w:val="0064206F"/>
    <w:rsid w:val="006426D8"/>
    <w:rsid w:val="0064286F"/>
    <w:rsid w:val="006428E4"/>
    <w:rsid w:val="00642B74"/>
    <w:rsid w:val="00642EB8"/>
    <w:rsid w:val="00642F4B"/>
    <w:rsid w:val="0064315A"/>
    <w:rsid w:val="006435A6"/>
    <w:rsid w:val="006437E3"/>
    <w:rsid w:val="0064380C"/>
    <w:rsid w:val="006440E6"/>
    <w:rsid w:val="0064429C"/>
    <w:rsid w:val="006443F5"/>
    <w:rsid w:val="00644B7D"/>
    <w:rsid w:val="00644BC6"/>
    <w:rsid w:val="00644C09"/>
    <w:rsid w:val="00644F26"/>
    <w:rsid w:val="00644F30"/>
    <w:rsid w:val="006453D3"/>
    <w:rsid w:val="00645965"/>
    <w:rsid w:val="00645E55"/>
    <w:rsid w:val="0064623C"/>
    <w:rsid w:val="0064644D"/>
    <w:rsid w:val="00646623"/>
    <w:rsid w:val="00646CC1"/>
    <w:rsid w:val="0064739C"/>
    <w:rsid w:val="00647520"/>
    <w:rsid w:val="00647853"/>
    <w:rsid w:val="00647B2B"/>
    <w:rsid w:val="00647C0A"/>
    <w:rsid w:val="006506F3"/>
    <w:rsid w:val="00650CD4"/>
    <w:rsid w:val="00651EBB"/>
    <w:rsid w:val="00652309"/>
    <w:rsid w:val="006523C2"/>
    <w:rsid w:val="006527B4"/>
    <w:rsid w:val="00652AE1"/>
    <w:rsid w:val="00652C3B"/>
    <w:rsid w:val="00652E20"/>
    <w:rsid w:val="00653555"/>
    <w:rsid w:val="00653C24"/>
    <w:rsid w:val="00653D8B"/>
    <w:rsid w:val="00654522"/>
    <w:rsid w:val="00654851"/>
    <w:rsid w:val="00654D0E"/>
    <w:rsid w:val="00655980"/>
    <w:rsid w:val="00655F88"/>
    <w:rsid w:val="00656589"/>
    <w:rsid w:val="00656B81"/>
    <w:rsid w:val="00656E48"/>
    <w:rsid w:val="00657494"/>
    <w:rsid w:val="006574EB"/>
    <w:rsid w:val="006575D0"/>
    <w:rsid w:val="0065779C"/>
    <w:rsid w:val="00657B66"/>
    <w:rsid w:val="00657E3D"/>
    <w:rsid w:val="00657F72"/>
    <w:rsid w:val="00660D03"/>
    <w:rsid w:val="00661094"/>
    <w:rsid w:val="006614AA"/>
    <w:rsid w:val="006615F6"/>
    <w:rsid w:val="0066168D"/>
    <w:rsid w:val="006616E2"/>
    <w:rsid w:val="006618F2"/>
    <w:rsid w:val="0066196F"/>
    <w:rsid w:val="00662196"/>
    <w:rsid w:val="00662498"/>
    <w:rsid w:val="006625D0"/>
    <w:rsid w:val="00662F9C"/>
    <w:rsid w:val="006632AE"/>
    <w:rsid w:val="00663730"/>
    <w:rsid w:val="00663C3D"/>
    <w:rsid w:val="00664277"/>
    <w:rsid w:val="00664BB7"/>
    <w:rsid w:val="00664C39"/>
    <w:rsid w:val="00664FBD"/>
    <w:rsid w:val="00665688"/>
    <w:rsid w:val="0066578A"/>
    <w:rsid w:val="00665CF5"/>
    <w:rsid w:val="00665D6D"/>
    <w:rsid w:val="00665D92"/>
    <w:rsid w:val="00665E4C"/>
    <w:rsid w:val="00665E88"/>
    <w:rsid w:val="00666841"/>
    <w:rsid w:val="00666B70"/>
    <w:rsid w:val="00666BDE"/>
    <w:rsid w:val="00666DA7"/>
    <w:rsid w:val="006672C8"/>
    <w:rsid w:val="006673E8"/>
    <w:rsid w:val="006677FB"/>
    <w:rsid w:val="00667834"/>
    <w:rsid w:val="00667848"/>
    <w:rsid w:val="00667F95"/>
    <w:rsid w:val="006703E9"/>
    <w:rsid w:val="006704D0"/>
    <w:rsid w:val="0067055C"/>
    <w:rsid w:val="00670DCE"/>
    <w:rsid w:val="00671107"/>
    <w:rsid w:val="006712D6"/>
    <w:rsid w:val="0067133F"/>
    <w:rsid w:val="0067176A"/>
    <w:rsid w:val="006717E0"/>
    <w:rsid w:val="006718E9"/>
    <w:rsid w:val="00671EB2"/>
    <w:rsid w:val="00672360"/>
    <w:rsid w:val="006723F2"/>
    <w:rsid w:val="00672D4F"/>
    <w:rsid w:val="00672E06"/>
    <w:rsid w:val="00672E50"/>
    <w:rsid w:val="00672E67"/>
    <w:rsid w:val="00673425"/>
    <w:rsid w:val="00673585"/>
    <w:rsid w:val="006736A1"/>
    <w:rsid w:val="00673D70"/>
    <w:rsid w:val="00673F51"/>
    <w:rsid w:val="00674461"/>
    <w:rsid w:val="0067458E"/>
    <w:rsid w:val="00675025"/>
    <w:rsid w:val="00675861"/>
    <w:rsid w:val="00675B92"/>
    <w:rsid w:val="00675D18"/>
    <w:rsid w:val="00675E8E"/>
    <w:rsid w:val="006760A9"/>
    <w:rsid w:val="0067630B"/>
    <w:rsid w:val="0067690D"/>
    <w:rsid w:val="00676E23"/>
    <w:rsid w:val="0067748E"/>
    <w:rsid w:val="0067796B"/>
    <w:rsid w:val="00677B21"/>
    <w:rsid w:val="00677C25"/>
    <w:rsid w:val="0068032F"/>
    <w:rsid w:val="00680514"/>
    <w:rsid w:val="00680676"/>
    <w:rsid w:val="00680BB3"/>
    <w:rsid w:val="00680D69"/>
    <w:rsid w:val="00681046"/>
    <w:rsid w:val="00681494"/>
    <w:rsid w:val="00681CB4"/>
    <w:rsid w:val="006829EF"/>
    <w:rsid w:val="00682F4A"/>
    <w:rsid w:val="006832F8"/>
    <w:rsid w:val="006836DE"/>
    <w:rsid w:val="00683B40"/>
    <w:rsid w:val="00683DC8"/>
    <w:rsid w:val="00683DE1"/>
    <w:rsid w:val="00683E7C"/>
    <w:rsid w:val="00683F64"/>
    <w:rsid w:val="006842B9"/>
    <w:rsid w:val="006847B5"/>
    <w:rsid w:val="00684816"/>
    <w:rsid w:val="00684B0B"/>
    <w:rsid w:val="00684F8B"/>
    <w:rsid w:val="00684FEB"/>
    <w:rsid w:val="0068512D"/>
    <w:rsid w:val="00685540"/>
    <w:rsid w:val="00685582"/>
    <w:rsid w:val="00685799"/>
    <w:rsid w:val="00686419"/>
    <w:rsid w:val="0068663A"/>
    <w:rsid w:val="00686CE9"/>
    <w:rsid w:val="00686F63"/>
    <w:rsid w:val="00687334"/>
    <w:rsid w:val="006876E2"/>
    <w:rsid w:val="00687E25"/>
    <w:rsid w:val="00690251"/>
    <w:rsid w:val="006905ED"/>
    <w:rsid w:val="00690AE8"/>
    <w:rsid w:val="00690B16"/>
    <w:rsid w:val="00691443"/>
    <w:rsid w:val="00691611"/>
    <w:rsid w:val="006921C3"/>
    <w:rsid w:val="00692B1E"/>
    <w:rsid w:val="00692BAF"/>
    <w:rsid w:val="00692D37"/>
    <w:rsid w:val="0069305A"/>
    <w:rsid w:val="0069308F"/>
    <w:rsid w:val="006930C5"/>
    <w:rsid w:val="006932CD"/>
    <w:rsid w:val="006937B2"/>
    <w:rsid w:val="0069383F"/>
    <w:rsid w:val="00693AA7"/>
    <w:rsid w:val="00693B16"/>
    <w:rsid w:val="00693BBD"/>
    <w:rsid w:val="00693D1E"/>
    <w:rsid w:val="00694041"/>
    <w:rsid w:val="006941D1"/>
    <w:rsid w:val="00694D4C"/>
    <w:rsid w:val="00695133"/>
    <w:rsid w:val="006951A6"/>
    <w:rsid w:val="00695237"/>
    <w:rsid w:val="0069594D"/>
    <w:rsid w:val="00695C81"/>
    <w:rsid w:val="00695F1A"/>
    <w:rsid w:val="00696478"/>
    <w:rsid w:val="00696951"/>
    <w:rsid w:val="006969D9"/>
    <w:rsid w:val="006971E3"/>
    <w:rsid w:val="006975FB"/>
    <w:rsid w:val="00697796"/>
    <w:rsid w:val="00697DFD"/>
    <w:rsid w:val="006A0064"/>
    <w:rsid w:val="006A0073"/>
    <w:rsid w:val="006A0AD9"/>
    <w:rsid w:val="006A10B2"/>
    <w:rsid w:val="006A11F7"/>
    <w:rsid w:val="006A1481"/>
    <w:rsid w:val="006A14A0"/>
    <w:rsid w:val="006A18D6"/>
    <w:rsid w:val="006A1B98"/>
    <w:rsid w:val="006A1D7B"/>
    <w:rsid w:val="006A208B"/>
    <w:rsid w:val="006A27E1"/>
    <w:rsid w:val="006A2CE2"/>
    <w:rsid w:val="006A2EF7"/>
    <w:rsid w:val="006A35D1"/>
    <w:rsid w:val="006A38D3"/>
    <w:rsid w:val="006A39C2"/>
    <w:rsid w:val="006A3E99"/>
    <w:rsid w:val="006A4772"/>
    <w:rsid w:val="006A4D41"/>
    <w:rsid w:val="006A4F86"/>
    <w:rsid w:val="006A53B1"/>
    <w:rsid w:val="006A56CF"/>
    <w:rsid w:val="006A57A9"/>
    <w:rsid w:val="006A5E8B"/>
    <w:rsid w:val="006A600C"/>
    <w:rsid w:val="006A7574"/>
    <w:rsid w:val="006A7AC8"/>
    <w:rsid w:val="006A7F87"/>
    <w:rsid w:val="006B0A44"/>
    <w:rsid w:val="006B1908"/>
    <w:rsid w:val="006B1B48"/>
    <w:rsid w:val="006B1BDA"/>
    <w:rsid w:val="006B1DE1"/>
    <w:rsid w:val="006B1E0B"/>
    <w:rsid w:val="006B225A"/>
    <w:rsid w:val="006B2DD4"/>
    <w:rsid w:val="006B37B5"/>
    <w:rsid w:val="006B3913"/>
    <w:rsid w:val="006B3AE6"/>
    <w:rsid w:val="006B3D28"/>
    <w:rsid w:val="006B3E53"/>
    <w:rsid w:val="006B41C5"/>
    <w:rsid w:val="006B42A7"/>
    <w:rsid w:val="006B4556"/>
    <w:rsid w:val="006B45C6"/>
    <w:rsid w:val="006B45D4"/>
    <w:rsid w:val="006B63D1"/>
    <w:rsid w:val="006B6427"/>
    <w:rsid w:val="006B6D78"/>
    <w:rsid w:val="006B6FBB"/>
    <w:rsid w:val="006B6FCC"/>
    <w:rsid w:val="006B70ED"/>
    <w:rsid w:val="006B7BE4"/>
    <w:rsid w:val="006B7D66"/>
    <w:rsid w:val="006C02C3"/>
    <w:rsid w:val="006C03DB"/>
    <w:rsid w:val="006C08DE"/>
    <w:rsid w:val="006C0AC2"/>
    <w:rsid w:val="006C0EC9"/>
    <w:rsid w:val="006C15CE"/>
    <w:rsid w:val="006C1DBD"/>
    <w:rsid w:val="006C1FB7"/>
    <w:rsid w:val="006C1FE5"/>
    <w:rsid w:val="006C209C"/>
    <w:rsid w:val="006C22CB"/>
    <w:rsid w:val="006C23F2"/>
    <w:rsid w:val="006C2D96"/>
    <w:rsid w:val="006C31E4"/>
    <w:rsid w:val="006C360D"/>
    <w:rsid w:val="006C3A21"/>
    <w:rsid w:val="006C3BA7"/>
    <w:rsid w:val="006C40FF"/>
    <w:rsid w:val="006C4424"/>
    <w:rsid w:val="006C4552"/>
    <w:rsid w:val="006C4643"/>
    <w:rsid w:val="006C4C98"/>
    <w:rsid w:val="006C514B"/>
    <w:rsid w:val="006C55C8"/>
    <w:rsid w:val="006C5B9B"/>
    <w:rsid w:val="006C5C24"/>
    <w:rsid w:val="006C5FA4"/>
    <w:rsid w:val="006C6819"/>
    <w:rsid w:val="006C70FE"/>
    <w:rsid w:val="006C7380"/>
    <w:rsid w:val="006C7382"/>
    <w:rsid w:val="006C76B9"/>
    <w:rsid w:val="006C7A07"/>
    <w:rsid w:val="006C7B67"/>
    <w:rsid w:val="006D0656"/>
    <w:rsid w:val="006D0804"/>
    <w:rsid w:val="006D0C14"/>
    <w:rsid w:val="006D1401"/>
    <w:rsid w:val="006D1622"/>
    <w:rsid w:val="006D22CE"/>
    <w:rsid w:val="006D254E"/>
    <w:rsid w:val="006D2E8F"/>
    <w:rsid w:val="006D3E6C"/>
    <w:rsid w:val="006D44B3"/>
    <w:rsid w:val="006D4709"/>
    <w:rsid w:val="006D480A"/>
    <w:rsid w:val="006D49C2"/>
    <w:rsid w:val="006D4BC2"/>
    <w:rsid w:val="006D4CF0"/>
    <w:rsid w:val="006D4DA4"/>
    <w:rsid w:val="006D4DE6"/>
    <w:rsid w:val="006D505C"/>
    <w:rsid w:val="006D59C1"/>
    <w:rsid w:val="006D6480"/>
    <w:rsid w:val="006D6646"/>
    <w:rsid w:val="006D68C6"/>
    <w:rsid w:val="006D6B27"/>
    <w:rsid w:val="006D6CFC"/>
    <w:rsid w:val="006D6E4A"/>
    <w:rsid w:val="006D71D0"/>
    <w:rsid w:val="006D7B2A"/>
    <w:rsid w:val="006D7CE6"/>
    <w:rsid w:val="006E0347"/>
    <w:rsid w:val="006E05A1"/>
    <w:rsid w:val="006E0660"/>
    <w:rsid w:val="006E0729"/>
    <w:rsid w:val="006E09AC"/>
    <w:rsid w:val="006E0A2D"/>
    <w:rsid w:val="006E0DA1"/>
    <w:rsid w:val="006E1539"/>
    <w:rsid w:val="006E172D"/>
    <w:rsid w:val="006E2456"/>
    <w:rsid w:val="006E25A9"/>
    <w:rsid w:val="006E25DA"/>
    <w:rsid w:val="006E26DB"/>
    <w:rsid w:val="006E2877"/>
    <w:rsid w:val="006E2A6B"/>
    <w:rsid w:val="006E2A8D"/>
    <w:rsid w:val="006E329E"/>
    <w:rsid w:val="006E3310"/>
    <w:rsid w:val="006E3669"/>
    <w:rsid w:val="006E3ACF"/>
    <w:rsid w:val="006E3E5B"/>
    <w:rsid w:val="006E45AE"/>
    <w:rsid w:val="006E56B1"/>
    <w:rsid w:val="006E58D6"/>
    <w:rsid w:val="006E5971"/>
    <w:rsid w:val="006E5CDB"/>
    <w:rsid w:val="006E5EED"/>
    <w:rsid w:val="006E5EF4"/>
    <w:rsid w:val="006E6691"/>
    <w:rsid w:val="006E67DF"/>
    <w:rsid w:val="006E696C"/>
    <w:rsid w:val="006E6E2E"/>
    <w:rsid w:val="006E7598"/>
    <w:rsid w:val="006E7B30"/>
    <w:rsid w:val="006F0C2F"/>
    <w:rsid w:val="006F0E4D"/>
    <w:rsid w:val="006F0EAE"/>
    <w:rsid w:val="006F1093"/>
    <w:rsid w:val="006F1175"/>
    <w:rsid w:val="006F122C"/>
    <w:rsid w:val="006F1565"/>
    <w:rsid w:val="006F1679"/>
    <w:rsid w:val="006F17B3"/>
    <w:rsid w:val="006F1881"/>
    <w:rsid w:val="006F1A02"/>
    <w:rsid w:val="006F1B30"/>
    <w:rsid w:val="006F1B66"/>
    <w:rsid w:val="006F1E06"/>
    <w:rsid w:val="006F2068"/>
    <w:rsid w:val="006F2175"/>
    <w:rsid w:val="006F274C"/>
    <w:rsid w:val="006F2765"/>
    <w:rsid w:val="006F32E7"/>
    <w:rsid w:val="006F330E"/>
    <w:rsid w:val="006F3ACF"/>
    <w:rsid w:val="006F3CAB"/>
    <w:rsid w:val="006F3D33"/>
    <w:rsid w:val="006F41B0"/>
    <w:rsid w:val="006F4376"/>
    <w:rsid w:val="006F44D1"/>
    <w:rsid w:val="006F4B46"/>
    <w:rsid w:val="006F4B98"/>
    <w:rsid w:val="006F4C5E"/>
    <w:rsid w:val="006F4F2A"/>
    <w:rsid w:val="006F5B3E"/>
    <w:rsid w:val="006F6118"/>
    <w:rsid w:val="006F6B8C"/>
    <w:rsid w:val="006F6F6C"/>
    <w:rsid w:val="006F732C"/>
    <w:rsid w:val="006F7B62"/>
    <w:rsid w:val="006F7CAF"/>
    <w:rsid w:val="007003F8"/>
    <w:rsid w:val="00700480"/>
    <w:rsid w:val="00700833"/>
    <w:rsid w:val="00700A06"/>
    <w:rsid w:val="00700B0F"/>
    <w:rsid w:val="00700B57"/>
    <w:rsid w:val="00700BC3"/>
    <w:rsid w:val="0070126A"/>
    <w:rsid w:val="00701C12"/>
    <w:rsid w:val="00702B2B"/>
    <w:rsid w:val="007036A4"/>
    <w:rsid w:val="00703909"/>
    <w:rsid w:val="00703A70"/>
    <w:rsid w:val="00703ADC"/>
    <w:rsid w:val="00703AE3"/>
    <w:rsid w:val="00703DFE"/>
    <w:rsid w:val="00704598"/>
    <w:rsid w:val="007047F1"/>
    <w:rsid w:val="0070481A"/>
    <w:rsid w:val="00704BA7"/>
    <w:rsid w:val="00704F35"/>
    <w:rsid w:val="007050F6"/>
    <w:rsid w:val="007057C0"/>
    <w:rsid w:val="00705913"/>
    <w:rsid w:val="0070623D"/>
    <w:rsid w:val="007062C9"/>
    <w:rsid w:val="00706374"/>
    <w:rsid w:val="007067EF"/>
    <w:rsid w:val="00706995"/>
    <w:rsid w:val="00706BBD"/>
    <w:rsid w:val="00706EBD"/>
    <w:rsid w:val="00707AF0"/>
    <w:rsid w:val="00707B06"/>
    <w:rsid w:val="007105A0"/>
    <w:rsid w:val="0071062E"/>
    <w:rsid w:val="0071087D"/>
    <w:rsid w:val="007108C5"/>
    <w:rsid w:val="00710A31"/>
    <w:rsid w:val="00710C8A"/>
    <w:rsid w:val="00710E6C"/>
    <w:rsid w:val="007110B5"/>
    <w:rsid w:val="007117E8"/>
    <w:rsid w:val="007121A2"/>
    <w:rsid w:val="00712258"/>
    <w:rsid w:val="007125E1"/>
    <w:rsid w:val="00712E2B"/>
    <w:rsid w:val="0071345D"/>
    <w:rsid w:val="007135E6"/>
    <w:rsid w:val="00713694"/>
    <w:rsid w:val="00713BF3"/>
    <w:rsid w:val="00713F9E"/>
    <w:rsid w:val="00713FEE"/>
    <w:rsid w:val="00714D1E"/>
    <w:rsid w:val="007153BA"/>
    <w:rsid w:val="007155F1"/>
    <w:rsid w:val="00715AE8"/>
    <w:rsid w:val="00715EEC"/>
    <w:rsid w:val="007165CB"/>
    <w:rsid w:val="00716671"/>
    <w:rsid w:val="00716680"/>
    <w:rsid w:val="00716746"/>
    <w:rsid w:val="00716B10"/>
    <w:rsid w:val="00716D63"/>
    <w:rsid w:val="00716E3C"/>
    <w:rsid w:val="00717087"/>
    <w:rsid w:val="007171FE"/>
    <w:rsid w:val="00720181"/>
    <w:rsid w:val="007204CA"/>
    <w:rsid w:val="00720C94"/>
    <w:rsid w:val="00720FCE"/>
    <w:rsid w:val="00721026"/>
    <w:rsid w:val="007210AC"/>
    <w:rsid w:val="007211FC"/>
    <w:rsid w:val="00721330"/>
    <w:rsid w:val="00721390"/>
    <w:rsid w:val="0072139B"/>
    <w:rsid w:val="007215F1"/>
    <w:rsid w:val="00721829"/>
    <w:rsid w:val="007218FF"/>
    <w:rsid w:val="00721B24"/>
    <w:rsid w:val="00721DD0"/>
    <w:rsid w:val="0072235D"/>
    <w:rsid w:val="007223D6"/>
    <w:rsid w:val="00722938"/>
    <w:rsid w:val="0072294E"/>
    <w:rsid w:val="00722F08"/>
    <w:rsid w:val="007236D4"/>
    <w:rsid w:val="0072389A"/>
    <w:rsid w:val="0072389E"/>
    <w:rsid w:val="00723A59"/>
    <w:rsid w:val="00723EBD"/>
    <w:rsid w:val="00723EFB"/>
    <w:rsid w:val="007241AA"/>
    <w:rsid w:val="0072432D"/>
    <w:rsid w:val="00724457"/>
    <w:rsid w:val="007245EF"/>
    <w:rsid w:val="0072496E"/>
    <w:rsid w:val="00724CFC"/>
    <w:rsid w:val="007251A6"/>
    <w:rsid w:val="007251B8"/>
    <w:rsid w:val="00725A2C"/>
    <w:rsid w:val="00726ABB"/>
    <w:rsid w:val="00727E30"/>
    <w:rsid w:val="00730B2D"/>
    <w:rsid w:val="00730BD8"/>
    <w:rsid w:val="00730ECB"/>
    <w:rsid w:val="00731006"/>
    <w:rsid w:val="00731056"/>
    <w:rsid w:val="00731509"/>
    <w:rsid w:val="00731D8B"/>
    <w:rsid w:val="007322BC"/>
    <w:rsid w:val="007325BB"/>
    <w:rsid w:val="007327F7"/>
    <w:rsid w:val="00732C14"/>
    <w:rsid w:val="00733308"/>
    <w:rsid w:val="00733437"/>
    <w:rsid w:val="00733778"/>
    <w:rsid w:val="007338AB"/>
    <w:rsid w:val="00734300"/>
    <w:rsid w:val="007347A0"/>
    <w:rsid w:val="007347E6"/>
    <w:rsid w:val="007349F8"/>
    <w:rsid w:val="00734CCC"/>
    <w:rsid w:val="007354FC"/>
    <w:rsid w:val="00735D75"/>
    <w:rsid w:val="00736B40"/>
    <w:rsid w:val="00736E02"/>
    <w:rsid w:val="00737415"/>
    <w:rsid w:val="00737457"/>
    <w:rsid w:val="00737965"/>
    <w:rsid w:val="00737CFD"/>
    <w:rsid w:val="00737E7A"/>
    <w:rsid w:val="00737FD0"/>
    <w:rsid w:val="0074014E"/>
    <w:rsid w:val="00740602"/>
    <w:rsid w:val="00740869"/>
    <w:rsid w:val="00740C86"/>
    <w:rsid w:val="00740D02"/>
    <w:rsid w:val="00740D9D"/>
    <w:rsid w:val="00740F28"/>
    <w:rsid w:val="0074105B"/>
    <w:rsid w:val="00741665"/>
    <w:rsid w:val="007416EA"/>
    <w:rsid w:val="007424D2"/>
    <w:rsid w:val="00742641"/>
    <w:rsid w:val="00742B84"/>
    <w:rsid w:val="00742D0C"/>
    <w:rsid w:val="00743175"/>
    <w:rsid w:val="007431B2"/>
    <w:rsid w:val="007437E6"/>
    <w:rsid w:val="007437FF"/>
    <w:rsid w:val="00743838"/>
    <w:rsid w:val="00743DF8"/>
    <w:rsid w:val="00743EB8"/>
    <w:rsid w:val="00744059"/>
    <w:rsid w:val="007442E3"/>
    <w:rsid w:val="00744A61"/>
    <w:rsid w:val="00744F32"/>
    <w:rsid w:val="00745087"/>
    <w:rsid w:val="00745999"/>
    <w:rsid w:val="007462B7"/>
    <w:rsid w:val="00746486"/>
    <w:rsid w:val="00746667"/>
    <w:rsid w:val="0074682F"/>
    <w:rsid w:val="00746931"/>
    <w:rsid w:val="00746A8C"/>
    <w:rsid w:val="00746B41"/>
    <w:rsid w:val="00746DDC"/>
    <w:rsid w:val="00746E6B"/>
    <w:rsid w:val="00746FE6"/>
    <w:rsid w:val="007471EA"/>
    <w:rsid w:val="007476C8"/>
    <w:rsid w:val="00747CFF"/>
    <w:rsid w:val="00750938"/>
    <w:rsid w:val="00750962"/>
    <w:rsid w:val="007510DB"/>
    <w:rsid w:val="00751A91"/>
    <w:rsid w:val="00751CB0"/>
    <w:rsid w:val="00751F03"/>
    <w:rsid w:val="0075242F"/>
    <w:rsid w:val="0075292C"/>
    <w:rsid w:val="00752CC3"/>
    <w:rsid w:val="00752ECC"/>
    <w:rsid w:val="0075335D"/>
    <w:rsid w:val="007534D6"/>
    <w:rsid w:val="00754149"/>
    <w:rsid w:val="007541A0"/>
    <w:rsid w:val="00754468"/>
    <w:rsid w:val="0075453A"/>
    <w:rsid w:val="0075491E"/>
    <w:rsid w:val="00754DAC"/>
    <w:rsid w:val="00754F3D"/>
    <w:rsid w:val="00755371"/>
    <w:rsid w:val="00755AC4"/>
    <w:rsid w:val="00755BF9"/>
    <w:rsid w:val="00755F79"/>
    <w:rsid w:val="007563F6"/>
    <w:rsid w:val="0075691E"/>
    <w:rsid w:val="00756A4B"/>
    <w:rsid w:val="00756EE2"/>
    <w:rsid w:val="00757C6F"/>
    <w:rsid w:val="007601D8"/>
    <w:rsid w:val="00760252"/>
    <w:rsid w:val="00760839"/>
    <w:rsid w:val="00760859"/>
    <w:rsid w:val="00760929"/>
    <w:rsid w:val="007612A1"/>
    <w:rsid w:val="00761362"/>
    <w:rsid w:val="0076240F"/>
    <w:rsid w:val="007624EA"/>
    <w:rsid w:val="00762B44"/>
    <w:rsid w:val="00762E81"/>
    <w:rsid w:val="00762FE6"/>
    <w:rsid w:val="00763318"/>
    <w:rsid w:val="00763E81"/>
    <w:rsid w:val="007643D2"/>
    <w:rsid w:val="007646BA"/>
    <w:rsid w:val="00764731"/>
    <w:rsid w:val="00764CD8"/>
    <w:rsid w:val="00765C0A"/>
    <w:rsid w:val="00765C70"/>
    <w:rsid w:val="0076601D"/>
    <w:rsid w:val="007670B5"/>
    <w:rsid w:val="007670F9"/>
    <w:rsid w:val="007673EA"/>
    <w:rsid w:val="00767696"/>
    <w:rsid w:val="00767760"/>
    <w:rsid w:val="0076776A"/>
    <w:rsid w:val="00767978"/>
    <w:rsid w:val="00767BBA"/>
    <w:rsid w:val="00767CB5"/>
    <w:rsid w:val="00767F07"/>
    <w:rsid w:val="007701E6"/>
    <w:rsid w:val="00770366"/>
    <w:rsid w:val="00770776"/>
    <w:rsid w:val="00770F70"/>
    <w:rsid w:val="00770FF0"/>
    <w:rsid w:val="0077107B"/>
    <w:rsid w:val="00771783"/>
    <w:rsid w:val="00771B21"/>
    <w:rsid w:val="00771F3F"/>
    <w:rsid w:val="00772173"/>
    <w:rsid w:val="007725C0"/>
    <w:rsid w:val="00772990"/>
    <w:rsid w:val="00772F81"/>
    <w:rsid w:val="0077373B"/>
    <w:rsid w:val="00773774"/>
    <w:rsid w:val="00773D8B"/>
    <w:rsid w:val="007740FB"/>
    <w:rsid w:val="0077453E"/>
    <w:rsid w:val="007756E0"/>
    <w:rsid w:val="00775AAE"/>
    <w:rsid w:val="007760FA"/>
    <w:rsid w:val="00776212"/>
    <w:rsid w:val="007765F9"/>
    <w:rsid w:val="007768F1"/>
    <w:rsid w:val="00777276"/>
    <w:rsid w:val="00777444"/>
    <w:rsid w:val="007776E4"/>
    <w:rsid w:val="00777EFA"/>
    <w:rsid w:val="00780089"/>
    <w:rsid w:val="00780222"/>
    <w:rsid w:val="007804E0"/>
    <w:rsid w:val="0078070A"/>
    <w:rsid w:val="007808D5"/>
    <w:rsid w:val="00780B9F"/>
    <w:rsid w:val="0078103C"/>
    <w:rsid w:val="007811C1"/>
    <w:rsid w:val="00781D0C"/>
    <w:rsid w:val="00782076"/>
    <w:rsid w:val="007822E3"/>
    <w:rsid w:val="00782DF6"/>
    <w:rsid w:val="00782FBF"/>
    <w:rsid w:val="0078350E"/>
    <w:rsid w:val="0078380F"/>
    <w:rsid w:val="007838CA"/>
    <w:rsid w:val="007839A9"/>
    <w:rsid w:val="0078535C"/>
    <w:rsid w:val="00785527"/>
    <w:rsid w:val="0078591E"/>
    <w:rsid w:val="00785E99"/>
    <w:rsid w:val="00785F49"/>
    <w:rsid w:val="007863D4"/>
    <w:rsid w:val="007867D7"/>
    <w:rsid w:val="00786CD5"/>
    <w:rsid w:val="007870B7"/>
    <w:rsid w:val="0078753A"/>
    <w:rsid w:val="00787896"/>
    <w:rsid w:val="00787EDA"/>
    <w:rsid w:val="007907DB"/>
    <w:rsid w:val="00790A6D"/>
    <w:rsid w:val="00790C76"/>
    <w:rsid w:val="00790DC3"/>
    <w:rsid w:val="0079119D"/>
    <w:rsid w:val="00791C4A"/>
    <w:rsid w:val="00792632"/>
    <w:rsid w:val="0079264A"/>
    <w:rsid w:val="00792D8E"/>
    <w:rsid w:val="007932DF"/>
    <w:rsid w:val="007938AA"/>
    <w:rsid w:val="0079390D"/>
    <w:rsid w:val="00794341"/>
    <w:rsid w:val="007945B2"/>
    <w:rsid w:val="007946C8"/>
    <w:rsid w:val="00794BFF"/>
    <w:rsid w:val="00794FE8"/>
    <w:rsid w:val="00795077"/>
    <w:rsid w:val="0079527D"/>
    <w:rsid w:val="00795C1E"/>
    <w:rsid w:val="00795F4D"/>
    <w:rsid w:val="0079648A"/>
    <w:rsid w:val="00796775"/>
    <w:rsid w:val="00796A68"/>
    <w:rsid w:val="00796B6F"/>
    <w:rsid w:val="007974AB"/>
    <w:rsid w:val="00797B90"/>
    <w:rsid w:val="007A0405"/>
    <w:rsid w:val="007A0434"/>
    <w:rsid w:val="007A0475"/>
    <w:rsid w:val="007A0661"/>
    <w:rsid w:val="007A0F0E"/>
    <w:rsid w:val="007A17D5"/>
    <w:rsid w:val="007A1DF2"/>
    <w:rsid w:val="007A1FD7"/>
    <w:rsid w:val="007A232A"/>
    <w:rsid w:val="007A2352"/>
    <w:rsid w:val="007A31EC"/>
    <w:rsid w:val="007A38BB"/>
    <w:rsid w:val="007A3AE7"/>
    <w:rsid w:val="007A4402"/>
    <w:rsid w:val="007A46E0"/>
    <w:rsid w:val="007A4DEF"/>
    <w:rsid w:val="007A4E51"/>
    <w:rsid w:val="007A51DC"/>
    <w:rsid w:val="007A5508"/>
    <w:rsid w:val="007A5D7B"/>
    <w:rsid w:val="007A5F4D"/>
    <w:rsid w:val="007A61FC"/>
    <w:rsid w:val="007A63C6"/>
    <w:rsid w:val="007A6FB9"/>
    <w:rsid w:val="007A701F"/>
    <w:rsid w:val="007A74A3"/>
    <w:rsid w:val="007A74DF"/>
    <w:rsid w:val="007A7633"/>
    <w:rsid w:val="007A7A11"/>
    <w:rsid w:val="007A7A27"/>
    <w:rsid w:val="007B0777"/>
    <w:rsid w:val="007B0886"/>
    <w:rsid w:val="007B0B57"/>
    <w:rsid w:val="007B1915"/>
    <w:rsid w:val="007B1B02"/>
    <w:rsid w:val="007B1BEA"/>
    <w:rsid w:val="007B1E16"/>
    <w:rsid w:val="007B21CF"/>
    <w:rsid w:val="007B23FA"/>
    <w:rsid w:val="007B2970"/>
    <w:rsid w:val="007B2C63"/>
    <w:rsid w:val="007B2D82"/>
    <w:rsid w:val="007B2E6E"/>
    <w:rsid w:val="007B31E0"/>
    <w:rsid w:val="007B3338"/>
    <w:rsid w:val="007B33DD"/>
    <w:rsid w:val="007B3631"/>
    <w:rsid w:val="007B3F7D"/>
    <w:rsid w:val="007B4535"/>
    <w:rsid w:val="007B484A"/>
    <w:rsid w:val="007B49AC"/>
    <w:rsid w:val="007B4EE3"/>
    <w:rsid w:val="007B5341"/>
    <w:rsid w:val="007B544E"/>
    <w:rsid w:val="007B5BC6"/>
    <w:rsid w:val="007B630E"/>
    <w:rsid w:val="007B6AF6"/>
    <w:rsid w:val="007B6B10"/>
    <w:rsid w:val="007B6B38"/>
    <w:rsid w:val="007B6BBA"/>
    <w:rsid w:val="007B7002"/>
    <w:rsid w:val="007B7257"/>
    <w:rsid w:val="007B7573"/>
    <w:rsid w:val="007B76E3"/>
    <w:rsid w:val="007B78AE"/>
    <w:rsid w:val="007B7C0D"/>
    <w:rsid w:val="007C103A"/>
    <w:rsid w:val="007C14F5"/>
    <w:rsid w:val="007C18AD"/>
    <w:rsid w:val="007C1912"/>
    <w:rsid w:val="007C1984"/>
    <w:rsid w:val="007C239F"/>
    <w:rsid w:val="007C2A7B"/>
    <w:rsid w:val="007C318D"/>
    <w:rsid w:val="007C32E0"/>
    <w:rsid w:val="007C3549"/>
    <w:rsid w:val="007C3672"/>
    <w:rsid w:val="007C369E"/>
    <w:rsid w:val="007C3F9C"/>
    <w:rsid w:val="007C46BD"/>
    <w:rsid w:val="007C4908"/>
    <w:rsid w:val="007C4EB4"/>
    <w:rsid w:val="007C5242"/>
    <w:rsid w:val="007C5D9C"/>
    <w:rsid w:val="007C671A"/>
    <w:rsid w:val="007C67BC"/>
    <w:rsid w:val="007C7A77"/>
    <w:rsid w:val="007C7E86"/>
    <w:rsid w:val="007D0629"/>
    <w:rsid w:val="007D06CA"/>
    <w:rsid w:val="007D0806"/>
    <w:rsid w:val="007D0AD1"/>
    <w:rsid w:val="007D0F96"/>
    <w:rsid w:val="007D16E5"/>
    <w:rsid w:val="007D1A39"/>
    <w:rsid w:val="007D1AA5"/>
    <w:rsid w:val="007D1B39"/>
    <w:rsid w:val="007D1CDD"/>
    <w:rsid w:val="007D2006"/>
    <w:rsid w:val="007D24D0"/>
    <w:rsid w:val="007D2801"/>
    <w:rsid w:val="007D2DCD"/>
    <w:rsid w:val="007D33E6"/>
    <w:rsid w:val="007D3443"/>
    <w:rsid w:val="007D36A8"/>
    <w:rsid w:val="007D36ED"/>
    <w:rsid w:val="007D37BD"/>
    <w:rsid w:val="007D3923"/>
    <w:rsid w:val="007D39F5"/>
    <w:rsid w:val="007D4119"/>
    <w:rsid w:val="007D437D"/>
    <w:rsid w:val="007D43E0"/>
    <w:rsid w:val="007D4447"/>
    <w:rsid w:val="007D4493"/>
    <w:rsid w:val="007D486A"/>
    <w:rsid w:val="007D49BE"/>
    <w:rsid w:val="007D4AE6"/>
    <w:rsid w:val="007D4D70"/>
    <w:rsid w:val="007D4E0E"/>
    <w:rsid w:val="007D4F60"/>
    <w:rsid w:val="007D6AF9"/>
    <w:rsid w:val="007D6F0C"/>
    <w:rsid w:val="007D75DB"/>
    <w:rsid w:val="007D7DB2"/>
    <w:rsid w:val="007D7E7A"/>
    <w:rsid w:val="007D7F44"/>
    <w:rsid w:val="007E0183"/>
    <w:rsid w:val="007E0357"/>
    <w:rsid w:val="007E0AB3"/>
    <w:rsid w:val="007E0FD2"/>
    <w:rsid w:val="007E12E2"/>
    <w:rsid w:val="007E13A1"/>
    <w:rsid w:val="007E1A54"/>
    <w:rsid w:val="007E1B19"/>
    <w:rsid w:val="007E1CEC"/>
    <w:rsid w:val="007E1E9F"/>
    <w:rsid w:val="007E2418"/>
    <w:rsid w:val="007E28BC"/>
    <w:rsid w:val="007E29AE"/>
    <w:rsid w:val="007E2B3A"/>
    <w:rsid w:val="007E2F64"/>
    <w:rsid w:val="007E3022"/>
    <w:rsid w:val="007E32D4"/>
    <w:rsid w:val="007E3A5B"/>
    <w:rsid w:val="007E4E7C"/>
    <w:rsid w:val="007E4ED3"/>
    <w:rsid w:val="007E58A5"/>
    <w:rsid w:val="007E6290"/>
    <w:rsid w:val="007E66C0"/>
    <w:rsid w:val="007E6839"/>
    <w:rsid w:val="007E69A7"/>
    <w:rsid w:val="007E746E"/>
    <w:rsid w:val="007E7E5D"/>
    <w:rsid w:val="007E7F1E"/>
    <w:rsid w:val="007E7FBE"/>
    <w:rsid w:val="007F041F"/>
    <w:rsid w:val="007F08A2"/>
    <w:rsid w:val="007F0F1E"/>
    <w:rsid w:val="007F1104"/>
    <w:rsid w:val="007F1437"/>
    <w:rsid w:val="007F148E"/>
    <w:rsid w:val="007F15A9"/>
    <w:rsid w:val="007F1FA3"/>
    <w:rsid w:val="007F2265"/>
    <w:rsid w:val="007F26D3"/>
    <w:rsid w:val="007F2774"/>
    <w:rsid w:val="007F2F6E"/>
    <w:rsid w:val="007F3216"/>
    <w:rsid w:val="007F331D"/>
    <w:rsid w:val="007F39EF"/>
    <w:rsid w:val="007F3C5C"/>
    <w:rsid w:val="007F3DFF"/>
    <w:rsid w:val="007F424C"/>
    <w:rsid w:val="007F4650"/>
    <w:rsid w:val="007F47EB"/>
    <w:rsid w:val="007F48E4"/>
    <w:rsid w:val="007F4EBC"/>
    <w:rsid w:val="007F4ED2"/>
    <w:rsid w:val="007F4FB4"/>
    <w:rsid w:val="007F5570"/>
    <w:rsid w:val="007F5890"/>
    <w:rsid w:val="007F5A45"/>
    <w:rsid w:val="007F5BB0"/>
    <w:rsid w:val="007F5D2C"/>
    <w:rsid w:val="007F609A"/>
    <w:rsid w:val="007F6109"/>
    <w:rsid w:val="007F61C4"/>
    <w:rsid w:val="007F61DB"/>
    <w:rsid w:val="007F63C2"/>
    <w:rsid w:val="007F687B"/>
    <w:rsid w:val="007F6E14"/>
    <w:rsid w:val="007F6FAA"/>
    <w:rsid w:val="007F7175"/>
    <w:rsid w:val="007F7C25"/>
    <w:rsid w:val="007F7C37"/>
    <w:rsid w:val="00800245"/>
    <w:rsid w:val="008002B4"/>
    <w:rsid w:val="00800A29"/>
    <w:rsid w:val="00800DD3"/>
    <w:rsid w:val="0080112D"/>
    <w:rsid w:val="008012FC"/>
    <w:rsid w:val="0080171B"/>
    <w:rsid w:val="00801FC6"/>
    <w:rsid w:val="00802002"/>
    <w:rsid w:val="0080251B"/>
    <w:rsid w:val="00802C58"/>
    <w:rsid w:val="00802D40"/>
    <w:rsid w:val="008033D8"/>
    <w:rsid w:val="008036DA"/>
    <w:rsid w:val="00803A1E"/>
    <w:rsid w:val="00803BB1"/>
    <w:rsid w:val="0080417B"/>
    <w:rsid w:val="00804A38"/>
    <w:rsid w:val="00804EBF"/>
    <w:rsid w:val="008054AA"/>
    <w:rsid w:val="008054F6"/>
    <w:rsid w:val="008062CB"/>
    <w:rsid w:val="00807EA5"/>
    <w:rsid w:val="00807EF9"/>
    <w:rsid w:val="008101B4"/>
    <w:rsid w:val="00810E30"/>
    <w:rsid w:val="00810E9B"/>
    <w:rsid w:val="00811C6E"/>
    <w:rsid w:val="0081203F"/>
    <w:rsid w:val="008125AE"/>
    <w:rsid w:val="00813323"/>
    <w:rsid w:val="00813DEE"/>
    <w:rsid w:val="00813E20"/>
    <w:rsid w:val="00814695"/>
    <w:rsid w:val="00814744"/>
    <w:rsid w:val="0081479A"/>
    <w:rsid w:val="008153C5"/>
    <w:rsid w:val="00815F68"/>
    <w:rsid w:val="008162C2"/>
    <w:rsid w:val="008163DF"/>
    <w:rsid w:val="008163F4"/>
    <w:rsid w:val="008165D3"/>
    <w:rsid w:val="008166F7"/>
    <w:rsid w:val="00816AB9"/>
    <w:rsid w:val="00816C71"/>
    <w:rsid w:val="00817073"/>
    <w:rsid w:val="008172BA"/>
    <w:rsid w:val="00817610"/>
    <w:rsid w:val="00817CDD"/>
    <w:rsid w:val="00820831"/>
    <w:rsid w:val="00820C4A"/>
    <w:rsid w:val="00821700"/>
    <w:rsid w:val="0082191C"/>
    <w:rsid w:val="00821EB7"/>
    <w:rsid w:val="008223AF"/>
    <w:rsid w:val="008227A0"/>
    <w:rsid w:val="0082299F"/>
    <w:rsid w:val="00822C11"/>
    <w:rsid w:val="00822C47"/>
    <w:rsid w:val="00822DC7"/>
    <w:rsid w:val="008234DD"/>
    <w:rsid w:val="008237BC"/>
    <w:rsid w:val="008237C4"/>
    <w:rsid w:val="00823B83"/>
    <w:rsid w:val="00823C3F"/>
    <w:rsid w:val="00823D16"/>
    <w:rsid w:val="00823E87"/>
    <w:rsid w:val="008248CD"/>
    <w:rsid w:val="00824C62"/>
    <w:rsid w:val="00825808"/>
    <w:rsid w:val="00825967"/>
    <w:rsid w:val="00825E8B"/>
    <w:rsid w:val="00825EF8"/>
    <w:rsid w:val="00825FF5"/>
    <w:rsid w:val="00826E76"/>
    <w:rsid w:val="00826F1F"/>
    <w:rsid w:val="008272EF"/>
    <w:rsid w:val="00827460"/>
    <w:rsid w:val="00830056"/>
    <w:rsid w:val="0083018C"/>
    <w:rsid w:val="0083030B"/>
    <w:rsid w:val="00830559"/>
    <w:rsid w:val="0083056A"/>
    <w:rsid w:val="00830675"/>
    <w:rsid w:val="008306C1"/>
    <w:rsid w:val="0083079C"/>
    <w:rsid w:val="008308AF"/>
    <w:rsid w:val="00830DC8"/>
    <w:rsid w:val="00831496"/>
    <w:rsid w:val="0083152B"/>
    <w:rsid w:val="00831C20"/>
    <w:rsid w:val="00831D28"/>
    <w:rsid w:val="00831DE9"/>
    <w:rsid w:val="00831E63"/>
    <w:rsid w:val="00832295"/>
    <w:rsid w:val="008329E3"/>
    <w:rsid w:val="00832A14"/>
    <w:rsid w:val="00832A54"/>
    <w:rsid w:val="008335EF"/>
    <w:rsid w:val="00833CC2"/>
    <w:rsid w:val="00833F73"/>
    <w:rsid w:val="00833F9B"/>
    <w:rsid w:val="0083422F"/>
    <w:rsid w:val="008345CA"/>
    <w:rsid w:val="00834606"/>
    <w:rsid w:val="00834650"/>
    <w:rsid w:val="00835229"/>
    <w:rsid w:val="00835CBB"/>
    <w:rsid w:val="00835F7A"/>
    <w:rsid w:val="00836FF8"/>
    <w:rsid w:val="0084008F"/>
    <w:rsid w:val="008401E0"/>
    <w:rsid w:val="0084048F"/>
    <w:rsid w:val="00840634"/>
    <w:rsid w:val="00840A2F"/>
    <w:rsid w:val="00840B79"/>
    <w:rsid w:val="00840D8E"/>
    <w:rsid w:val="00840E17"/>
    <w:rsid w:val="0084258E"/>
    <w:rsid w:val="0084270B"/>
    <w:rsid w:val="0084291E"/>
    <w:rsid w:val="008429F4"/>
    <w:rsid w:val="00843208"/>
    <w:rsid w:val="00843295"/>
    <w:rsid w:val="00843FE7"/>
    <w:rsid w:val="00844930"/>
    <w:rsid w:val="00844EA1"/>
    <w:rsid w:val="00844FCE"/>
    <w:rsid w:val="00845329"/>
    <w:rsid w:val="00845482"/>
    <w:rsid w:val="00845933"/>
    <w:rsid w:val="00845F3E"/>
    <w:rsid w:val="008461B5"/>
    <w:rsid w:val="0084623F"/>
    <w:rsid w:val="00846470"/>
    <w:rsid w:val="008466C0"/>
    <w:rsid w:val="00846D3E"/>
    <w:rsid w:val="00846DA6"/>
    <w:rsid w:val="00846F0D"/>
    <w:rsid w:val="0084769A"/>
    <w:rsid w:val="00847DA0"/>
    <w:rsid w:val="00847F0C"/>
    <w:rsid w:val="00850A3A"/>
    <w:rsid w:val="00850E41"/>
    <w:rsid w:val="008511C9"/>
    <w:rsid w:val="0085133E"/>
    <w:rsid w:val="00851A1C"/>
    <w:rsid w:val="00851C88"/>
    <w:rsid w:val="00852236"/>
    <w:rsid w:val="008523BA"/>
    <w:rsid w:val="008526AB"/>
    <w:rsid w:val="0085290A"/>
    <w:rsid w:val="00852B3D"/>
    <w:rsid w:val="00852C4C"/>
    <w:rsid w:val="00852C9C"/>
    <w:rsid w:val="00853179"/>
    <w:rsid w:val="008533B1"/>
    <w:rsid w:val="0085348A"/>
    <w:rsid w:val="00853633"/>
    <w:rsid w:val="00853813"/>
    <w:rsid w:val="00853D18"/>
    <w:rsid w:val="00853FE8"/>
    <w:rsid w:val="008543C7"/>
    <w:rsid w:val="0085460D"/>
    <w:rsid w:val="008548FD"/>
    <w:rsid w:val="008551C0"/>
    <w:rsid w:val="00855448"/>
    <w:rsid w:val="00855F43"/>
    <w:rsid w:val="008560A2"/>
    <w:rsid w:val="00856690"/>
    <w:rsid w:val="00856B29"/>
    <w:rsid w:val="00856E9B"/>
    <w:rsid w:val="0085753F"/>
    <w:rsid w:val="0085758A"/>
    <w:rsid w:val="00857854"/>
    <w:rsid w:val="0085792C"/>
    <w:rsid w:val="008600DC"/>
    <w:rsid w:val="008605D7"/>
    <w:rsid w:val="0086065F"/>
    <w:rsid w:val="008608BB"/>
    <w:rsid w:val="00860AF6"/>
    <w:rsid w:val="008618DB"/>
    <w:rsid w:val="00861B59"/>
    <w:rsid w:val="00862555"/>
    <w:rsid w:val="00862B45"/>
    <w:rsid w:val="00862B9E"/>
    <w:rsid w:val="00863319"/>
    <w:rsid w:val="0086338B"/>
    <w:rsid w:val="00863AD3"/>
    <w:rsid w:val="00863B6B"/>
    <w:rsid w:val="00863BA6"/>
    <w:rsid w:val="00863C3A"/>
    <w:rsid w:val="00863E5C"/>
    <w:rsid w:val="00864000"/>
    <w:rsid w:val="00864051"/>
    <w:rsid w:val="008642BE"/>
    <w:rsid w:val="0086453D"/>
    <w:rsid w:val="00864A5F"/>
    <w:rsid w:val="00865DCB"/>
    <w:rsid w:val="00866542"/>
    <w:rsid w:val="00866603"/>
    <w:rsid w:val="008668C2"/>
    <w:rsid w:val="008673F1"/>
    <w:rsid w:val="008675FE"/>
    <w:rsid w:val="00867A27"/>
    <w:rsid w:val="00867B2F"/>
    <w:rsid w:val="0087030C"/>
    <w:rsid w:val="00871A8C"/>
    <w:rsid w:val="00871EE9"/>
    <w:rsid w:val="0087203E"/>
    <w:rsid w:val="00872158"/>
    <w:rsid w:val="00872199"/>
    <w:rsid w:val="00872FE6"/>
    <w:rsid w:val="00873081"/>
    <w:rsid w:val="0087308F"/>
    <w:rsid w:val="00873355"/>
    <w:rsid w:val="0087395A"/>
    <w:rsid w:val="00873AE6"/>
    <w:rsid w:val="00874208"/>
    <w:rsid w:val="0087443A"/>
    <w:rsid w:val="00874BE6"/>
    <w:rsid w:val="00874E5C"/>
    <w:rsid w:val="00875450"/>
    <w:rsid w:val="00875608"/>
    <w:rsid w:val="00875ACB"/>
    <w:rsid w:val="00875EA8"/>
    <w:rsid w:val="00876536"/>
    <w:rsid w:val="00876621"/>
    <w:rsid w:val="00876AA6"/>
    <w:rsid w:val="00876B4F"/>
    <w:rsid w:val="00876C5D"/>
    <w:rsid w:val="00877625"/>
    <w:rsid w:val="00877947"/>
    <w:rsid w:val="00877A86"/>
    <w:rsid w:val="00877D66"/>
    <w:rsid w:val="00877DC5"/>
    <w:rsid w:val="00880185"/>
    <w:rsid w:val="00880A65"/>
    <w:rsid w:val="00880D15"/>
    <w:rsid w:val="00880F2F"/>
    <w:rsid w:val="0088147B"/>
    <w:rsid w:val="00881499"/>
    <w:rsid w:val="008816E9"/>
    <w:rsid w:val="00881719"/>
    <w:rsid w:val="0088175B"/>
    <w:rsid w:val="0088182A"/>
    <w:rsid w:val="00881A65"/>
    <w:rsid w:val="00881B93"/>
    <w:rsid w:val="00881F15"/>
    <w:rsid w:val="00882617"/>
    <w:rsid w:val="008827CF"/>
    <w:rsid w:val="008832A9"/>
    <w:rsid w:val="008836DC"/>
    <w:rsid w:val="00883904"/>
    <w:rsid w:val="00883B82"/>
    <w:rsid w:val="00883C22"/>
    <w:rsid w:val="0088419A"/>
    <w:rsid w:val="008841ED"/>
    <w:rsid w:val="008843E3"/>
    <w:rsid w:val="00884BCF"/>
    <w:rsid w:val="008859C5"/>
    <w:rsid w:val="00885D27"/>
    <w:rsid w:val="00885F6F"/>
    <w:rsid w:val="00886AE5"/>
    <w:rsid w:val="00886C7F"/>
    <w:rsid w:val="00887852"/>
    <w:rsid w:val="00887B37"/>
    <w:rsid w:val="00887BDC"/>
    <w:rsid w:val="00887E32"/>
    <w:rsid w:val="00887F69"/>
    <w:rsid w:val="008900B2"/>
    <w:rsid w:val="008903E2"/>
    <w:rsid w:val="0089056B"/>
    <w:rsid w:val="008909EE"/>
    <w:rsid w:val="00890EDE"/>
    <w:rsid w:val="0089104D"/>
    <w:rsid w:val="0089119C"/>
    <w:rsid w:val="00891AAF"/>
    <w:rsid w:val="00891FEC"/>
    <w:rsid w:val="008920ED"/>
    <w:rsid w:val="008927AC"/>
    <w:rsid w:val="00892B62"/>
    <w:rsid w:val="00892DBF"/>
    <w:rsid w:val="00892DE6"/>
    <w:rsid w:val="00892F80"/>
    <w:rsid w:val="008932D9"/>
    <w:rsid w:val="008934F6"/>
    <w:rsid w:val="008936D9"/>
    <w:rsid w:val="008937BD"/>
    <w:rsid w:val="00893A14"/>
    <w:rsid w:val="008940E9"/>
    <w:rsid w:val="0089419E"/>
    <w:rsid w:val="008943F8"/>
    <w:rsid w:val="008944A5"/>
    <w:rsid w:val="008944CF"/>
    <w:rsid w:val="0089475F"/>
    <w:rsid w:val="00894B44"/>
    <w:rsid w:val="008957C0"/>
    <w:rsid w:val="008958C6"/>
    <w:rsid w:val="00895962"/>
    <w:rsid w:val="00895BBA"/>
    <w:rsid w:val="00895CB4"/>
    <w:rsid w:val="00895E07"/>
    <w:rsid w:val="00896049"/>
    <w:rsid w:val="00896740"/>
    <w:rsid w:val="0089679B"/>
    <w:rsid w:val="008967B9"/>
    <w:rsid w:val="00896D17"/>
    <w:rsid w:val="0089726B"/>
    <w:rsid w:val="00897701"/>
    <w:rsid w:val="00897DE1"/>
    <w:rsid w:val="008A1014"/>
    <w:rsid w:val="008A169F"/>
    <w:rsid w:val="008A18A9"/>
    <w:rsid w:val="008A1974"/>
    <w:rsid w:val="008A2149"/>
    <w:rsid w:val="008A21D6"/>
    <w:rsid w:val="008A26AC"/>
    <w:rsid w:val="008A298B"/>
    <w:rsid w:val="008A2C09"/>
    <w:rsid w:val="008A2ED7"/>
    <w:rsid w:val="008A2FE5"/>
    <w:rsid w:val="008A3E3D"/>
    <w:rsid w:val="008A4981"/>
    <w:rsid w:val="008A4ECD"/>
    <w:rsid w:val="008A514D"/>
    <w:rsid w:val="008A5156"/>
    <w:rsid w:val="008A54D3"/>
    <w:rsid w:val="008A5719"/>
    <w:rsid w:val="008A5DBA"/>
    <w:rsid w:val="008A5E4A"/>
    <w:rsid w:val="008A6092"/>
    <w:rsid w:val="008A6399"/>
    <w:rsid w:val="008A65AC"/>
    <w:rsid w:val="008A68FE"/>
    <w:rsid w:val="008A6CE2"/>
    <w:rsid w:val="008A7A4F"/>
    <w:rsid w:val="008A7CC7"/>
    <w:rsid w:val="008A7F50"/>
    <w:rsid w:val="008B03B5"/>
    <w:rsid w:val="008B05A8"/>
    <w:rsid w:val="008B1248"/>
    <w:rsid w:val="008B1339"/>
    <w:rsid w:val="008B155B"/>
    <w:rsid w:val="008B20E2"/>
    <w:rsid w:val="008B2657"/>
    <w:rsid w:val="008B273C"/>
    <w:rsid w:val="008B284F"/>
    <w:rsid w:val="008B2BEE"/>
    <w:rsid w:val="008B2FBF"/>
    <w:rsid w:val="008B3011"/>
    <w:rsid w:val="008B301B"/>
    <w:rsid w:val="008B38CA"/>
    <w:rsid w:val="008B3A70"/>
    <w:rsid w:val="008B3BD3"/>
    <w:rsid w:val="008B4D4F"/>
    <w:rsid w:val="008B4E48"/>
    <w:rsid w:val="008B5212"/>
    <w:rsid w:val="008B53D7"/>
    <w:rsid w:val="008B542D"/>
    <w:rsid w:val="008B549C"/>
    <w:rsid w:val="008B55A6"/>
    <w:rsid w:val="008B5A08"/>
    <w:rsid w:val="008B612C"/>
    <w:rsid w:val="008B680C"/>
    <w:rsid w:val="008B6A7B"/>
    <w:rsid w:val="008B778B"/>
    <w:rsid w:val="008C0066"/>
    <w:rsid w:val="008C0453"/>
    <w:rsid w:val="008C05E0"/>
    <w:rsid w:val="008C0606"/>
    <w:rsid w:val="008C11ED"/>
    <w:rsid w:val="008C1937"/>
    <w:rsid w:val="008C1AF7"/>
    <w:rsid w:val="008C1CDB"/>
    <w:rsid w:val="008C224B"/>
    <w:rsid w:val="008C23D9"/>
    <w:rsid w:val="008C2DB4"/>
    <w:rsid w:val="008C2DDB"/>
    <w:rsid w:val="008C2E98"/>
    <w:rsid w:val="008C3EB1"/>
    <w:rsid w:val="008C501E"/>
    <w:rsid w:val="008C5026"/>
    <w:rsid w:val="008C5996"/>
    <w:rsid w:val="008C655B"/>
    <w:rsid w:val="008C6808"/>
    <w:rsid w:val="008C6902"/>
    <w:rsid w:val="008C7908"/>
    <w:rsid w:val="008C79DA"/>
    <w:rsid w:val="008D0272"/>
    <w:rsid w:val="008D04D3"/>
    <w:rsid w:val="008D0A59"/>
    <w:rsid w:val="008D0C40"/>
    <w:rsid w:val="008D0C6D"/>
    <w:rsid w:val="008D114F"/>
    <w:rsid w:val="008D13AC"/>
    <w:rsid w:val="008D13D3"/>
    <w:rsid w:val="008D1609"/>
    <w:rsid w:val="008D1702"/>
    <w:rsid w:val="008D1859"/>
    <w:rsid w:val="008D18DD"/>
    <w:rsid w:val="008D1925"/>
    <w:rsid w:val="008D19B3"/>
    <w:rsid w:val="008D21B1"/>
    <w:rsid w:val="008D27EA"/>
    <w:rsid w:val="008D2C1E"/>
    <w:rsid w:val="008D3207"/>
    <w:rsid w:val="008D3443"/>
    <w:rsid w:val="008D3804"/>
    <w:rsid w:val="008D3B75"/>
    <w:rsid w:val="008D3E82"/>
    <w:rsid w:val="008D4175"/>
    <w:rsid w:val="008D457A"/>
    <w:rsid w:val="008D4EB5"/>
    <w:rsid w:val="008D500B"/>
    <w:rsid w:val="008D51E3"/>
    <w:rsid w:val="008D565C"/>
    <w:rsid w:val="008D5E33"/>
    <w:rsid w:val="008D649D"/>
    <w:rsid w:val="008D677B"/>
    <w:rsid w:val="008D6A25"/>
    <w:rsid w:val="008D6BB6"/>
    <w:rsid w:val="008D74D7"/>
    <w:rsid w:val="008D773F"/>
    <w:rsid w:val="008D786A"/>
    <w:rsid w:val="008D7896"/>
    <w:rsid w:val="008D7AD2"/>
    <w:rsid w:val="008D7E96"/>
    <w:rsid w:val="008E0C1D"/>
    <w:rsid w:val="008E0FAE"/>
    <w:rsid w:val="008E165E"/>
    <w:rsid w:val="008E19E6"/>
    <w:rsid w:val="008E1A7F"/>
    <w:rsid w:val="008E1EF6"/>
    <w:rsid w:val="008E1FD7"/>
    <w:rsid w:val="008E2004"/>
    <w:rsid w:val="008E2561"/>
    <w:rsid w:val="008E28C6"/>
    <w:rsid w:val="008E2CC2"/>
    <w:rsid w:val="008E3EAD"/>
    <w:rsid w:val="008E3F29"/>
    <w:rsid w:val="008E47E9"/>
    <w:rsid w:val="008E4AA7"/>
    <w:rsid w:val="008E4C43"/>
    <w:rsid w:val="008E4E3E"/>
    <w:rsid w:val="008E4EA6"/>
    <w:rsid w:val="008E5154"/>
    <w:rsid w:val="008E5418"/>
    <w:rsid w:val="008E548E"/>
    <w:rsid w:val="008E56C9"/>
    <w:rsid w:val="008E58C6"/>
    <w:rsid w:val="008E5A8F"/>
    <w:rsid w:val="008E5B5B"/>
    <w:rsid w:val="008E656C"/>
    <w:rsid w:val="008E65DB"/>
    <w:rsid w:val="008E66F3"/>
    <w:rsid w:val="008E6701"/>
    <w:rsid w:val="008E67DE"/>
    <w:rsid w:val="008E6839"/>
    <w:rsid w:val="008E6C44"/>
    <w:rsid w:val="008E6CB0"/>
    <w:rsid w:val="008E7172"/>
    <w:rsid w:val="008E738F"/>
    <w:rsid w:val="008E7456"/>
    <w:rsid w:val="008E74EE"/>
    <w:rsid w:val="008E7817"/>
    <w:rsid w:val="008E782C"/>
    <w:rsid w:val="008E7CEB"/>
    <w:rsid w:val="008E7D27"/>
    <w:rsid w:val="008E7D5C"/>
    <w:rsid w:val="008F0161"/>
    <w:rsid w:val="008F045A"/>
    <w:rsid w:val="008F07B4"/>
    <w:rsid w:val="008F141E"/>
    <w:rsid w:val="008F1B72"/>
    <w:rsid w:val="008F1DBE"/>
    <w:rsid w:val="008F1E02"/>
    <w:rsid w:val="008F1EA0"/>
    <w:rsid w:val="008F2091"/>
    <w:rsid w:val="008F28AA"/>
    <w:rsid w:val="008F30E7"/>
    <w:rsid w:val="008F338A"/>
    <w:rsid w:val="008F3417"/>
    <w:rsid w:val="008F37FC"/>
    <w:rsid w:val="008F3976"/>
    <w:rsid w:val="008F4839"/>
    <w:rsid w:val="008F4DAB"/>
    <w:rsid w:val="008F4FD2"/>
    <w:rsid w:val="008F516C"/>
    <w:rsid w:val="008F55B9"/>
    <w:rsid w:val="008F5804"/>
    <w:rsid w:val="008F6B1B"/>
    <w:rsid w:val="008F6B67"/>
    <w:rsid w:val="008F70D5"/>
    <w:rsid w:val="008F7381"/>
    <w:rsid w:val="008F7AEF"/>
    <w:rsid w:val="008F7B1D"/>
    <w:rsid w:val="009001F2"/>
    <w:rsid w:val="00900633"/>
    <w:rsid w:val="0090072A"/>
    <w:rsid w:val="00900D06"/>
    <w:rsid w:val="00900EFB"/>
    <w:rsid w:val="00901408"/>
    <w:rsid w:val="0090174C"/>
    <w:rsid w:val="00901EA6"/>
    <w:rsid w:val="0090271E"/>
    <w:rsid w:val="00902CE4"/>
    <w:rsid w:val="00902FE6"/>
    <w:rsid w:val="00903281"/>
    <w:rsid w:val="009033D3"/>
    <w:rsid w:val="009033DF"/>
    <w:rsid w:val="00903D75"/>
    <w:rsid w:val="00904674"/>
    <w:rsid w:val="009049F2"/>
    <w:rsid w:val="00904BE2"/>
    <w:rsid w:val="0090510B"/>
    <w:rsid w:val="009054A0"/>
    <w:rsid w:val="009054EB"/>
    <w:rsid w:val="00905619"/>
    <w:rsid w:val="00906054"/>
    <w:rsid w:val="00906131"/>
    <w:rsid w:val="009066AD"/>
    <w:rsid w:val="0090739A"/>
    <w:rsid w:val="0090764C"/>
    <w:rsid w:val="00907A68"/>
    <w:rsid w:val="00907AF3"/>
    <w:rsid w:val="00907AF7"/>
    <w:rsid w:val="0091096A"/>
    <w:rsid w:val="00910A9E"/>
    <w:rsid w:val="00910D77"/>
    <w:rsid w:val="00910E18"/>
    <w:rsid w:val="00910F4C"/>
    <w:rsid w:val="00911318"/>
    <w:rsid w:val="00911715"/>
    <w:rsid w:val="0091196A"/>
    <w:rsid w:val="009121DF"/>
    <w:rsid w:val="00912274"/>
    <w:rsid w:val="00912CD4"/>
    <w:rsid w:val="00912F12"/>
    <w:rsid w:val="00913409"/>
    <w:rsid w:val="009139B1"/>
    <w:rsid w:val="00913A23"/>
    <w:rsid w:val="00913AE4"/>
    <w:rsid w:val="00913DAE"/>
    <w:rsid w:val="0091413A"/>
    <w:rsid w:val="0091431A"/>
    <w:rsid w:val="00914321"/>
    <w:rsid w:val="00914754"/>
    <w:rsid w:val="0091541E"/>
    <w:rsid w:val="00915C9C"/>
    <w:rsid w:val="009164D2"/>
    <w:rsid w:val="00917357"/>
    <w:rsid w:val="009176CB"/>
    <w:rsid w:val="009179CC"/>
    <w:rsid w:val="009179ED"/>
    <w:rsid w:val="00917AC5"/>
    <w:rsid w:val="00917D80"/>
    <w:rsid w:val="00917EB8"/>
    <w:rsid w:val="00920454"/>
    <w:rsid w:val="009204EB"/>
    <w:rsid w:val="00920899"/>
    <w:rsid w:val="009208EB"/>
    <w:rsid w:val="00920AD3"/>
    <w:rsid w:val="00921168"/>
    <w:rsid w:val="009218FD"/>
    <w:rsid w:val="009218FF"/>
    <w:rsid w:val="00921A09"/>
    <w:rsid w:val="00922144"/>
    <w:rsid w:val="009228A7"/>
    <w:rsid w:val="0092323B"/>
    <w:rsid w:val="009247F0"/>
    <w:rsid w:val="0092497C"/>
    <w:rsid w:val="00924FE9"/>
    <w:rsid w:val="00925347"/>
    <w:rsid w:val="00925852"/>
    <w:rsid w:val="00925BC8"/>
    <w:rsid w:val="0092601B"/>
    <w:rsid w:val="00926416"/>
    <w:rsid w:val="00926548"/>
    <w:rsid w:val="0092677B"/>
    <w:rsid w:val="009268A7"/>
    <w:rsid w:val="00926CC3"/>
    <w:rsid w:val="00926E53"/>
    <w:rsid w:val="009270A3"/>
    <w:rsid w:val="009275E0"/>
    <w:rsid w:val="009278C0"/>
    <w:rsid w:val="009278F9"/>
    <w:rsid w:val="00927BBE"/>
    <w:rsid w:val="00930879"/>
    <w:rsid w:val="00930AFB"/>
    <w:rsid w:val="00930D11"/>
    <w:rsid w:val="0093107D"/>
    <w:rsid w:val="009315B1"/>
    <w:rsid w:val="009315C1"/>
    <w:rsid w:val="009316DD"/>
    <w:rsid w:val="00931B10"/>
    <w:rsid w:val="00931FE7"/>
    <w:rsid w:val="0093303F"/>
    <w:rsid w:val="00933151"/>
    <w:rsid w:val="0093330F"/>
    <w:rsid w:val="009334E6"/>
    <w:rsid w:val="009336BD"/>
    <w:rsid w:val="009338A2"/>
    <w:rsid w:val="009340DF"/>
    <w:rsid w:val="00934702"/>
    <w:rsid w:val="00934B01"/>
    <w:rsid w:val="00934B7B"/>
    <w:rsid w:val="009351D9"/>
    <w:rsid w:val="0093524D"/>
    <w:rsid w:val="0093541B"/>
    <w:rsid w:val="0093557C"/>
    <w:rsid w:val="00935620"/>
    <w:rsid w:val="009361D7"/>
    <w:rsid w:val="0093654C"/>
    <w:rsid w:val="0093688B"/>
    <w:rsid w:val="009369E2"/>
    <w:rsid w:val="00937004"/>
    <w:rsid w:val="009374E0"/>
    <w:rsid w:val="00937E40"/>
    <w:rsid w:val="00940039"/>
    <w:rsid w:val="009401DE"/>
    <w:rsid w:val="009407E0"/>
    <w:rsid w:val="00940A24"/>
    <w:rsid w:val="00941101"/>
    <w:rsid w:val="00941614"/>
    <w:rsid w:val="009416EA"/>
    <w:rsid w:val="0094197C"/>
    <w:rsid w:val="00941B5F"/>
    <w:rsid w:val="00941BE4"/>
    <w:rsid w:val="00941EF2"/>
    <w:rsid w:val="0094202B"/>
    <w:rsid w:val="0094210F"/>
    <w:rsid w:val="009429BA"/>
    <w:rsid w:val="0094309F"/>
    <w:rsid w:val="00943927"/>
    <w:rsid w:val="00943964"/>
    <w:rsid w:val="00944564"/>
    <w:rsid w:val="0094458C"/>
    <w:rsid w:val="00945F3F"/>
    <w:rsid w:val="009460BC"/>
    <w:rsid w:val="00946572"/>
    <w:rsid w:val="00947411"/>
    <w:rsid w:val="00947446"/>
    <w:rsid w:val="009476C9"/>
    <w:rsid w:val="009479EB"/>
    <w:rsid w:val="00947C6F"/>
    <w:rsid w:val="00947DD1"/>
    <w:rsid w:val="00950076"/>
    <w:rsid w:val="0095028B"/>
    <w:rsid w:val="009505E0"/>
    <w:rsid w:val="0095088F"/>
    <w:rsid w:val="00950EBA"/>
    <w:rsid w:val="00950F48"/>
    <w:rsid w:val="009512D6"/>
    <w:rsid w:val="009514B7"/>
    <w:rsid w:val="0095187E"/>
    <w:rsid w:val="009520FF"/>
    <w:rsid w:val="0095291B"/>
    <w:rsid w:val="009529ED"/>
    <w:rsid w:val="009534C6"/>
    <w:rsid w:val="00953E1F"/>
    <w:rsid w:val="009544E9"/>
    <w:rsid w:val="00954DC3"/>
    <w:rsid w:val="00955272"/>
    <w:rsid w:val="00955503"/>
    <w:rsid w:val="009556DC"/>
    <w:rsid w:val="00955913"/>
    <w:rsid w:val="009562D5"/>
    <w:rsid w:val="00956930"/>
    <w:rsid w:val="00956A3A"/>
    <w:rsid w:val="00956E7B"/>
    <w:rsid w:val="00957BC7"/>
    <w:rsid w:val="00957C45"/>
    <w:rsid w:val="009600F2"/>
    <w:rsid w:val="009605D3"/>
    <w:rsid w:val="009607F9"/>
    <w:rsid w:val="00960CE0"/>
    <w:rsid w:val="00960E38"/>
    <w:rsid w:val="0096107C"/>
    <w:rsid w:val="00961153"/>
    <w:rsid w:val="0096115B"/>
    <w:rsid w:val="0096148D"/>
    <w:rsid w:val="00961F18"/>
    <w:rsid w:val="0096239E"/>
    <w:rsid w:val="00962CB0"/>
    <w:rsid w:val="00962E1E"/>
    <w:rsid w:val="00962E6D"/>
    <w:rsid w:val="00962F69"/>
    <w:rsid w:val="00963A09"/>
    <w:rsid w:val="00964307"/>
    <w:rsid w:val="00964CD5"/>
    <w:rsid w:val="0096570A"/>
    <w:rsid w:val="00965877"/>
    <w:rsid w:val="00965D62"/>
    <w:rsid w:val="0096600F"/>
    <w:rsid w:val="00966192"/>
    <w:rsid w:val="00966565"/>
    <w:rsid w:val="00966738"/>
    <w:rsid w:val="0096681C"/>
    <w:rsid w:val="00966B68"/>
    <w:rsid w:val="0096770C"/>
    <w:rsid w:val="00967920"/>
    <w:rsid w:val="00967B67"/>
    <w:rsid w:val="00970513"/>
    <w:rsid w:val="00970521"/>
    <w:rsid w:val="009707EA"/>
    <w:rsid w:val="00970917"/>
    <w:rsid w:val="00970DCA"/>
    <w:rsid w:val="0097109F"/>
    <w:rsid w:val="009712C2"/>
    <w:rsid w:val="00971696"/>
    <w:rsid w:val="00971808"/>
    <w:rsid w:val="009719A6"/>
    <w:rsid w:val="00971A1C"/>
    <w:rsid w:val="00971A3E"/>
    <w:rsid w:val="00971ED6"/>
    <w:rsid w:val="00972963"/>
    <w:rsid w:val="00972B06"/>
    <w:rsid w:val="00972F8C"/>
    <w:rsid w:val="0097301A"/>
    <w:rsid w:val="0097307D"/>
    <w:rsid w:val="009737C8"/>
    <w:rsid w:val="009737F2"/>
    <w:rsid w:val="00973A87"/>
    <w:rsid w:val="00973D8B"/>
    <w:rsid w:val="00973E64"/>
    <w:rsid w:val="00973F89"/>
    <w:rsid w:val="0097436C"/>
    <w:rsid w:val="009745A7"/>
    <w:rsid w:val="009747E5"/>
    <w:rsid w:val="00974B2C"/>
    <w:rsid w:val="009753ED"/>
    <w:rsid w:val="00975D2B"/>
    <w:rsid w:val="00975D2E"/>
    <w:rsid w:val="00975E4C"/>
    <w:rsid w:val="009761C3"/>
    <w:rsid w:val="00976214"/>
    <w:rsid w:val="0097672E"/>
    <w:rsid w:val="00976CCE"/>
    <w:rsid w:val="00977339"/>
    <w:rsid w:val="00980044"/>
    <w:rsid w:val="009803E8"/>
    <w:rsid w:val="009805BE"/>
    <w:rsid w:val="0098108E"/>
    <w:rsid w:val="0098180B"/>
    <w:rsid w:val="00981B05"/>
    <w:rsid w:val="00981DE3"/>
    <w:rsid w:val="00981DFD"/>
    <w:rsid w:val="009821A0"/>
    <w:rsid w:val="009827B5"/>
    <w:rsid w:val="00983069"/>
    <w:rsid w:val="0098415D"/>
    <w:rsid w:val="0098466A"/>
    <w:rsid w:val="00984848"/>
    <w:rsid w:val="00984A99"/>
    <w:rsid w:val="00984B04"/>
    <w:rsid w:val="00984F28"/>
    <w:rsid w:val="009851EB"/>
    <w:rsid w:val="009856D6"/>
    <w:rsid w:val="00986002"/>
    <w:rsid w:val="0098608D"/>
    <w:rsid w:val="0098609E"/>
    <w:rsid w:val="00986778"/>
    <w:rsid w:val="00986D1A"/>
    <w:rsid w:val="009872B3"/>
    <w:rsid w:val="00987355"/>
    <w:rsid w:val="00987738"/>
    <w:rsid w:val="0098794A"/>
    <w:rsid w:val="009879D2"/>
    <w:rsid w:val="00987F84"/>
    <w:rsid w:val="009903A2"/>
    <w:rsid w:val="009903E8"/>
    <w:rsid w:val="009907FF"/>
    <w:rsid w:val="00990B2E"/>
    <w:rsid w:val="00990C8F"/>
    <w:rsid w:val="00990D8F"/>
    <w:rsid w:val="00990F14"/>
    <w:rsid w:val="00991127"/>
    <w:rsid w:val="009916ED"/>
    <w:rsid w:val="00992022"/>
    <w:rsid w:val="00992047"/>
    <w:rsid w:val="009923E3"/>
    <w:rsid w:val="009924EE"/>
    <w:rsid w:val="00992559"/>
    <w:rsid w:val="00992DCA"/>
    <w:rsid w:val="009936BA"/>
    <w:rsid w:val="00993AC2"/>
    <w:rsid w:val="00993D89"/>
    <w:rsid w:val="0099438A"/>
    <w:rsid w:val="00994B64"/>
    <w:rsid w:val="00994DBC"/>
    <w:rsid w:val="00995042"/>
    <w:rsid w:val="0099569A"/>
    <w:rsid w:val="00995CB8"/>
    <w:rsid w:val="00995CBF"/>
    <w:rsid w:val="00996C81"/>
    <w:rsid w:val="00996D9A"/>
    <w:rsid w:val="00997238"/>
    <w:rsid w:val="009973DA"/>
    <w:rsid w:val="009A0204"/>
    <w:rsid w:val="009A0352"/>
    <w:rsid w:val="009A0379"/>
    <w:rsid w:val="009A0BA9"/>
    <w:rsid w:val="009A120E"/>
    <w:rsid w:val="009A14D9"/>
    <w:rsid w:val="009A1710"/>
    <w:rsid w:val="009A1BB9"/>
    <w:rsid w:val="009A1BD4"/>
    <w:rsid w:val="009A1EF1"/>
    <w:rsid w:val="009A1F1A"/>
    <w:rsid w:val="009A22BA"/>
    <w:rsid w:val="009A28C9"/>
    <w:rsid w:val="009A28E7"/>
    <w:rsid w:val="009A2AD2"/>
    <w:rsid w:val="009A3562"/>
    <w:rsid w:val="009A35A0"/>
    <w:rsid w:val="009A36C1"/>
    <w:rsid w:val="009A39A5"/>
    <w:rsid w:val="009A3B03"/>
    <w:rsid w:val="009A3D1F"/>
    <w:rsid w:val="009A3E49"/>
    <w:rsid w:val="009A3F3F"/>
    <w:rsid w:val="009A4260"/>
    <w:rsid w:val="009A42D6"/>
    <w:rsid w:val="009A4486"/>
    <w:rsid w:val="009A44C3"/>
    <w:rsid w:val="009A47FF"/>
    <w:rsid w:val="009A484B"/>
    <w:rsid w:val="009A5079"/>
    <w:rsid w:val="009A508D"/>
    <w:rsid w:val="009A58FF"/>
    <w:rsid w:val="009A5B23"/>
    <w:rsid w:val="009A5D4C"/>
    <w:rsid w:val="009A64D4"/>
    <w:rsid w:val="009A6C08"/>
    <w:rsid w:val="009A6D43"/>
    <w:rsid w:val="009A6E66"/>
    <w:rsid w:val="009A7BF1"/>
    <w:rsid w:val="009B0C00"/>
    <w:rsid w:val="009B0F25"/>
    <w:rsid w:val="009B112E"/>
    <w:rsid w:val="009B11A4"/>
    <w:rsid w:val="009B11E8"/>
    <w:rsid w:val="009B14D3"/>
    <w:rsid w:val="009B180F"/>
    <w:rsid w:val="009B1E0C"/>
    <w:rsid w:val="009B1F55"/>
    <w:rsid w:val="009B24F7"/>
    <w:rsid w:val="009B25E2"/>
    <w:rsid w:val="009B2724"/>
    <w:rsid w:val="009B2F99"/>
    <w:rsid w:val="009B301C"/>
    <w:rsid w:val="009B30BF"/>
    <w:rsid w:val="009B36AA"/>
    <w:rsid w:val="009B385C"/>
    <w:rsid w:val="009B3946"/>
    <w:rsid w:val="009B3C82"/>
    <w:rsid w:val="009B3C83"/>
    <w:rsid w:val="009B46FA"/>
    <w:rsid w:val="009B4739"/>
    <w:rsid w:val="009B49E9"/>
    <w:rsid w:val="009B4DFB"/>
    <w:rsid w:val="009B532E"/>
    <w:rsid w:val="009B5D95"/>
    <w:rsid w:val="009B5F4C"/>
    <w:rsid w:val="009B6145"/>
    <w:rsid w:val="009B63E2"/>
    <w:rsid w:val="009B684C"/>
    <w:rsid w:val="009B68B6"/>
    <w:rsid w:val="009B6AAB"/>
    <w:rsid w:val="009B6C81"/>
    <w:rsid w:val="009B6DCF"/>
    <w:rsid w:val="009B7078"/>
    <w:rsid w:val="009B77C9"/>
    <w:rsid w:val="009B7812"/>
    <w:rsid w:val="009B7AA9"/>
    <w:rsid w:val="009C00F8"/>
    <w:rsid w:val="009C07D3"/>
    <w:rsid w:val="009C0856"/>
    <w:rsid w:val="009C09AA"/>
    <w:rsid w:val="009C1309"/>
    <w:rsid w:val="009C1390"/>
    <w:rsid w:val="009C1546"/>
    <w:rsid w:val="009C1643"/>
    <w:rsid w:val="009C1EB1"/>
    <w:rsid w:val="009C20B9"/>
    <w:rsid w:val="009C2A46"/>
    <w:rsid w:val="009C2BD7"/>
    <w:rsid w:val="009C2C87"/>
    <w:rsid w:val="009C2F2B"/>
    <w:rsid w:val="009C2F3A"/>
    <w:rsid w:val="009C31EA"/>
    <w:rsid w:val="009C346D"/>
    <w:rsid w:val="009C37A2"/>
    <w:rsid w:val="009C3994"/>
    <w:rsid w:val="009C459E"/>
    <w:rsid w:val="009C4889"/>
    <w:rsid w:val="009C48F4"/>
    <w:rsid w:val="009C4D5A"/>
    <w:rsid w:val="009C4D8D"/>
    <w:rsid w:val="009C4E85"/>
    <w:rsid w:val="009C532F"/>
    <w:rsid w:val="009C66C6"/>
    <w:rsid w:val="009C672E"/>
    <w:rsid w:val="009C733B"/>
    <w:rsid w:val="009C785A"/>
    <w:rsid w:val="009C79D9"/>
    <w:rsid w:val="009D08B8"/>
    <w:rsid w:val="009D09FD"/>
    <w:rsid w:val="009D124B"/>
    <w:rsid w:val="009D1547"/>
    <w:rsid w:val="009D16CC"/>
    <w:rsid w:val="009D18E0"/>
    <w:rsid w:val="009D1B42"/>
    <w:rsid w:val="009D1D99"/>
    <w:rsid w:val="009D21A7"/>
    <w:rsid w:val="009D2268"/>
    <w:rsid w:val="009D2696"/>
    <w:rsid w:val="009D2880"/>
    <w:rsid w:val="009D2BD4"/>
    <w:rsid w:val="009D2FC1"/>
    <w:rsid w:val="009D44BB"/>
    <w:rsid w:val="009D55D5"/>
    <w:rsid w:val="009D579F"/>
    <w:rsid w:val="009D6BB3"/>
    <w:rsid w:val="009D7808"/>
    <w:rsid w:val="009D7900"/>
    <w:rsid w:val="009D7C2B"/>
    <w:rsid w:val="009D7CDF"/>
    <w:rsid w:val="009E0478"/>
    <w:rsid w:val="009E0AFC"/>
    <w:rsid w:val="009E10D9"/>
    <w:rsid w:val="009E1447"/>
    <w:rsid w:val="009E14B0"/>
    <w:rsid w:val="009E1777"/>
    <w:rsid w:val="009E1912"/>
    <w:rsid w:val="009E1D43"/>
    <w:rsid w:val="009E1EA9"/>
    <w:rsid w:val="009E2507"/>
    <w:rsid w:val="009E269C"/>
    <w:rsid w:val="009E2C76"/>
    <w:rsid w:val="009E393C"/>
    <w:rsid w:val="009E3963"/>
    <w:rsid w:val="009E3EC4"/>
    <w:rsid w:val="009E3F32"/>
    <w:rsid w:val="009E47D3"/>
    <w:rsid w:val="009E535F"/>
    <w:rsid w:val="009E5624"/>
    <w:rsid w:val="009E5BDE"/>
    <w:rsid w:val="009E5C5D"/>
    <w:rsid w:val="009E65D1"/>
    <w:rsid w:val="009E6775"/>
    <w:rsid w:val="009E6781"/>
    <w:rsid w:val="009E6803"/>
    <w:rsid w:val="009E6A03"/>
    <w:rsid w:val="009E6A59"/>
    <w:rsid w:val="009E6DA0"/>
    <w:rsid w:val="009E7087"/>
    <w:rsid w:val="009E71B1"/>
    <w:rsid w:val="009E78A2"/>
    <w:rsid w:val="009E7D11"/>
    <w:rsid w:val="009F001B"/>
    <w:rsid w:val="009F025F"/>
    <w:rsid w:val="009F05D8"/>
    <w:rsid w:val="009F0800"/>
    <w:rsid w:val="009F0888"/>
    <w:rsid w:val="009F093B"/>
    <w:rsid w:val="009F0C23"/>
    <w:rsid w:val="009F0D4F"/>
    <w:rsid w:val="009F11F3"/>
    <w:rsid w:val="009F12F6"/>
    <w:rsid w:val="009F1436"/>
    <w:rsid w:val="009F1479"/>
    <w:rsid w:val="009F19E6"/>
    <w:rsid w:val="009F1D1C"/>
    <w:rsid w:val="009F1D28"/>
    <w:rsid w:val="009F2084"/>
    <w:rsid w:val="009F21F1"/>
    <w:rsid w:val="009F2AF1"/>
    <w:rsid w:val="009F2CEA"/>
    <w:rsid w:val="009F2D28"/>
    <w:rsid w:val="009F3090"/>
    <w:rsid w:val="009F3775"/>
    <w:rsid w:val="009F3A4D"/>
    <w:rsid w:val="009F3A64"/>
    <w:rsid w:val="009F40A8"/>
    <w:rsid w:val="009F4AA3"/>
    <w:rsid w:val="009F51FB"/>
    <w:rsid w:val="009F5C7C"/>
    <w:rsid w:val="009F5D9A"/>
    <w:rsid w:val="009F607B"/>
    <w:rsid w:val="009F60FC"/>
    <w:rsid w:val="009F621D"/>
    <w:rsid w:val="009F724A"/>
    <w:rsid w:val="009F740C"/>
    <w:rsid w:val="009F7745"/>
    <w:rsid w:val="009F78ED"/>
    <w:rsid w:val="00A00668"/>
    <w:rsid w:val="00A007BA"/>
    <w:rsid w:val="00A007D9"/>
    <w:rsid w:val="00A0212C"/>
    <w:rsid w:val="00A022C1"/>
    <w:rsid w:val="00A02D1C"/>
    <w:rsid w:val="00A04359"/>
    <w:rsid w:val="00A045E5"/>
    <w:rsid w:val="00A04633"/>
    <w:rsid w:val="00A04A31"/>
    <w:rsid w:val="00A04B08"/>
    <w:rsid w:val="00A04DCA"/>
    <w:rsid w:val="00A05011"/>
    <w:rsid w:val="00A052C4"/>
    <w:rsid w:val="00A05576"/>
    <w:rsid w:val="00A0590B"/>
    <w:rsid w:val="00A05C8C"/>
    <w:rsid w:val="00A05CB2"/>
    <w:rsid w:val="00A062F7"/>
    <w:rsid w:val="00A06FA7"/>
    <w:rsid w:val="00A07226"/>
    <w:rsid w:val="00A077DC"/>
    <w:rsid w:val="00A07933"/>
    <w:rsid w:val="00A07BE6"/>
    <w:rsid w:val="00A07E17"/>
    <w:rsid w:val="00A07FE3"/>
    <w:rsid w:val="00A101EB"/>
    <w:rsid w:val="00A10491"/>
    <w:rsid w:val="00A104B6"/>
    <w:rsid w:val="00A10CBB"/>
    <w:rsid w:val="00A116D3"/>
    <w:rsid w:val="00A120F7"/>
    <w:rsid w:val="00A12FB3"/>
    <w:rsid w:val="00A13453"/>
    <w:rsid w:val="00A13B2A"/>
    <w:rsid w:val="00A13C6C"/>
    <w:rsid w:val="00A13D79"/>
    <w:rsid w:val="00A13DB2"/>
    <w:rsid w:val="00A13ED1"/>
    <w:rsid w:val="00A1435B"/>
    <w:rsid w:val="00A146A0"/>
    <w:rsid w:val="00A14EEB"/>
    <w:rsid w:val="00A16E77"/>
    <w:rsid w:val="00A170A3"/>
    <w:rsid w:val="00A1774E"/>
    <w:rsid w:val="00A17C6B"/>
    <w:rsid w:val="00A2004B"/>
    <w:rsid w:val="00A20477"/>
    <w:rsid w:val="00A2111B"/>
    <w:rsid w:val="00A21899"/>
    <w:rsid w:val="00A2252B"/>
    <w:rsid w:val="00A229EC"/>
    <w:rsid w:val="00A22C95"/>
    <w:rsid w:val="00A2364C"/>
    <w:rsid w:val="00A24497"/>
    <w:rsid w:val="00A24808"/>
    <w:rsid w:val="00A248F6"/>
    <w:rsid w:val="00A25330"/>
    <w:rsid w:val="00A25722"/>
    <w:rsid w:val="00A25C36"/>
    <w:rsid w:val="00A25CAF"/>
    <w:rsid w:val="00A25F1B"/>
    <w:rsid w:val="00A26265"/>
    <w:rsid w:val="00A2648D"/>
    <w:rsid w:val="00A267F7"/>
    <w:rsid w:val="00A269D7"/>
    <w:rsid w:val="00A278B2"/>
    <w:rsid w:val="00A27E5C"/>
    <w:rsid w:val="00A300C3"/>
    <w:rsid w:val="00A30365"/>
    <w:rsid w:val="00A304DD"/>
    <w:rsid w:val="00A310FC"/>
    <w:rsid w:val="00A3185C"/>
    <w:rsid w:val="00A3212E"/>
    <w:rsid w:val="00A3293D"/>
    <w:rsid w:val="00A32BBB"/>
    <w:rsid w:val="00A32BFA"/>
    <w:rsid w:val="00A3407C"/>
    <w:rsid w:val="00A34225"/>
    <w:rsid w:val="00A34524"/>
    <w:rsid w:val="00A34653"/>
    <w:rsid w:val="00A34F15"/>
    <w:rsid w:val="00A3526D"/>
    <w:rsid w:val="00A3537F"/>
    <w:rsid w:val="00A35483"/>
    <w:rsid w:val="00A3567C"/>
    <w:rsid w:val="00A35779"/>
    <w:rsid w:val="00A35A1F"/>
    <w:rsid w:val="00A36402"/>
    <w:rsid w:val="00A364E4"/>
    <w:rsid w:val="00A36D31"/>
    <w:rsid w:val="00A36F79"/>
    <w:rsid w:val="00A37CCB"/>
    <w:rsid w:val="00A37D24"/>
    <w:rsid w:val="00A37EC8"/>
    <w:rsid w:val="00A37F7F"/>
    <w:rsid w:val="00A40196"/>
    <w:rsid w:val="00A4035B"/>
    <w:rsid w:val="00A4065B"/>
    <w:rsid w:val="00A40B24"/>
    <w:rsid w:val="00A40C30"/>
    <w:rsid w:val="00A40CC2"/>
    <w:rsid w:val="00A40DD4"/>
    <w:rsid w:val="00A410C5"/>
    <w:rsid w:val="00A4130E"/>
    <w:rsid w:val="00A414CC"/>
    <w:rsid w:val="00A417B9"/>
    <w:rsid w:val="00A419EE"/>
    <w:rsid w:val="00A41A91"/>
    <w:rsid w:val="00A41B44"/>
    <w:rsid w:val="00A41F11"/>
    <w:rsid w:val="00A420DC"/>
    <w:rsid w:val="00A429DE"/>
    <w:rsid w:val="00A432F6"/>
    <w:rsid w:val="00A4365D"/>
    <w:rsid w:val="00A436AC"/>
    <w:rsid w:val="00A439AD"/>
    <w:rsid w:val="00A4412F"/>
    <w:rsid w:val="00A44FD4"/>
    <w:rsid w:val="00A44FF8"/>
    <w:rsid w:val="00A45268"/>
    <w:rsid w:val="00A454DC"/>
    <w:rsid w:val="00A458C6"/>
    <w:rsid w:val="00A45F1C"/>
    <w:rsid w:val="00A462D4"/>
    <w:rsid w:val="00A46536"/>
    <w:rsid w:val="00A470BD"/>
    <w:rsid w:val="00A471F8"/>
    <w:rsid w:val="00A4748A"/>
    <w:rsid w:val="00A479A8"/>
    <w:rsid w:val="00A50006"/>
    <w:rsid w:val="00A51A13"/>
    <w:rsid w:val="00A51A5F"/>
    <w:rsid w:val="00A5287D"/>
    <w:rsid w:val="00A529DA"/>
    <w:rsid w:val="00A531DA"/>
    <w:rsid w:val="00A53A15"/>
    <w:rsid w:val="00A53BEE"/>
    <w:rsid w:val="00A53DDE"/>
    <w:rsid w:val="00A54C21"/>
    <w:rsid w:val="00A54CF9"/>
    <w:rsid w:val="00A55184"/>
    <w:rsid w:val="00A55950"/>
    <w:rsid w:val="00A5596F"/>
    <w:rsid w:val="00A5656D"/>
    <w:rsid w:val="00A56770"/>
    <w:rsid w:val="00A5699A"/>
    <w:rsid w:val="00A56D1F"/>
    <w:rsid w:val="00A56ED6"/>
    <w:rsid w:val="00A56FB8"/>
    <w:rsid w:val="00A57564"/>
    <w:rsid w:val="00A577E6"/>
    <w:rsid w:val="00A579FD"/>
    <w:rsid w:val="00A57B72"/>
    <w:rsid w:val="00A601CF"/>
    <w:rsid w:val="00A60BF6"/>
    <w:rsid w:val="00A60C11"/>
    <w:rsid w:val="00A6111E"/>
    <w:rsid w:val="00A61303"/>
    <w:rsid w:val="00A61486"/>
    <w:rsid w:val="00A617EA"/>
    <w:rsid w:val="00A61A1D"/>
    <w:rsid w:val="00A61DFF"/>
    <w:rsid w:val="00A622F4"/>
    <w:rsid w:val="00A6309A"/>
    <w:rsid w:val="00A63DD2"/>
    <w:rsid w:val="00A64431"/>
    <w:rsid w:val="00A644B6"/>
    <w:rsid w:val="00A645E9"/>
    <w:rsid w:val="00A646DF"/>
    <w:rsid w:val="00A6528A"/>
    <w:rsid w:val="00A659DD"/>
    <w:rsid w:val="00A663AB"/>
    <w:rsid w:val="00A6651B"/>
    <w:rsid w:val="00A66AFF"/>
    <w:rsid w:val="00A671F4"/>
    <w:rsid w:val="00A6781D"/>
    <w:rsid w:val="00A67C49"/>
    <w:rsid w:val="00A67F37"/>
    <w:rsid w:val="00A7020A"/>
    <w:rsid w:val="00A7050B"/>
    <w:rsid w:val="00A7058E"/>
    <w:rsid w:val="00A70A2E"/>
    <w:rsid w:val="00A70C4B"/>
    <w:rsid w:val="00A70E3C"/>
    <w:rsid w:val="00A70F89"/>
    <w:rsid w:val="00A71327"/>
    <w:rsid w:val="00A71B87"/>
    <w:rsid w:val="00A71C0C"/>
    <w:rsid w:val="00A71DDC"/>
    <w:rsid w:val="00A72DDF"/>
    <w:rsid w:val="00A73053"/>
    <w:rsid w:val="00A73364"/>
    <w:rsid w:val="00A735A8"/>
    <w:rsid w:val="00A73621"/>
    <w:rsid w:val="00A73EA5"/>
    <w:rsid w:val="00A73F34"/>
    <w:rsid w:val="00A74084"/>
    <w:rsid w:val="00A740F5"/>
    <w:rsid w:val="00A74122"/>
    <w:rsid w:val="00A746EE"/>
    <w:rsid w:val="00A74F69"/>
    <w:rsid w:val="00A7503E"/>
    <w:rsid w:val="00A75209"/>
    <w:rsid w:val="00A75FDF"/>
    <w:rsid w:val="00A76486"/>
    <w:rsid w:val="00A7668C"/>
    <w:rsid w:val="00A76775"/>
    <w:rsid w:val="00A76D19"/>
    <w:rsid w:val="00A77156"/>
    <w:rsid w:val="00A773B8"/>
    <w:rsid w:val="00A776C8"/>
    <w:rsid w:val="00A77F79"/>
    <w:rsid w:val="00A8017A"/>
    <w:rsid w:val="00A80458"/>
    <w:rsid w:val="00A80497"/>
    <w:rsid w:val="00A80BB0"/>
    <w:rsid w:val="00A818C8"/>
    <w:rsid w:val="00A81D9B"/>
    <w:rsid w:val="00A81F82"/>
    <w:rsid w:val="00A81F92"/>
    <w:rsid w:val="00A821AE"/>
    <w:rsid w:val="00A82291"/>
    <w:rsid w:val="00A82317"/>
    <w:rsid w:val="00A8247E"/>
    <w:rsid w:val="00A82B4E"/>
    <w:rsid w:val="00A82D34"/>
    <w:rsid w:val="00A831D4"/>
    <w:rsid w:val="00A833A0"/>
    <w:rsid w:val="00A838A7"/>
    <w:rsid w:val="00A83A4C"/>
    <w:rsid w:val="00A83FA0"/>
    <w:rsid w:val="00A8441C"/>
    <w:rsid w:val="00A844CE"/>
    <w:rsid w:val="00A847AA"/>
    <w:rsid w:val="00A84C36"/>
    <w:rsid w:val="00A84E36"/>
    <w:rsid w:val="00A84E7A"/>
    <w:rsid w:val="00A85366"/>
    <w:rsid w:val="00A853B9"/>
    <w:rsid w:val="00A8572F"/>
    <w:rsid w:val="00A85A60"/>
    <w:rsid w:val="00A8616D"/>
    <w:rsid w:val="00A8647F"/>
    <w:rsid w:val="00A86DE2"/>
    <w:rsid w:val="00A86F64"/>
    <w:rsid w:val="00A86FDC"/>
    <w:rsid w:val="00A871B3"/>
    <w:rsid w:val="00A87801"/>
    <w:rsid w:val="00A87B64"/>
    <w:rsid w:val="00A90F01"/>
    <w:rsid w:val="00A90FB1"/>
    <w:rsid w:val="00A91458"/>
    <w:rsid w:val="00A919F8"/>
    <w:rsid w:val="00A91CC4"/>
    <w:rsid w:val="00A91F45"/>
    <w:rsid w:val="00A91FF2"/>
    <w:rsid w:val="00A92831"/>
    <w:rsid w:val="00A92AA2"/>
    <w:rsid w:val="00A93038"/>
    <w:rsid w:val="00A9327C"/>
    <w:rsid w:val="00A9364F"/>
    <w:rsid w:val="00A937F2"/>
    <w:rsid w:val="00A93A44"/>
    <w:rsid w:val="00A95A17"/>
    <w:rsid w:val="00A95A86"/>
    <w:rsid w:val="00A9605E"/>
    <w:rsid w:val="00A964DB"/>
    <w:rsid w:val="00A96B11"/>
    <w:rsid w:val="00A96FE7"/>
    <w:rsid w:val="00A971B2"/>
    <w:rsid w:val="00A974FB"/>
    <w:rsid w:val="00A97687"/>
    <w:rsid w:val="00A9771F"/>
    <w:rsid w:val="00A97DB1"/>
    <w:rsid w:val="00A97F09"/>
    <w:rsid w:val="00AA028F"/>
    <w:rsid w:val="00AA0A37"/>
    <w:rsid w:val="00AA0A74"/>
    <w:rsid w:val="00AA0D61"/>
    <w:rsid w:val="00AA1125"/>
    <w:rsid w:val="00AA13A9"/>
    <w:rsid w:val="00AA1665"/>
    <w:rsid w:val="00AA1F4B"/>
    <w:rsid w:val="00AA24B8"/>
    <w:rsid w:val="00AA27DF"/>
    <w:rsid w:val="00AA28A6"/>
    <w:rsid w:val="00AA2A0D"/>
    <w:rsid w:val="00AA3933"/>
    <w:rsid w:val="00AA3B5D"/>
    <w:rsid w:val="00AA3C95"/>
    <w:rsid w:val="00AA4898"/>
    <w:rsid w:val="00AA4A8C"/>
    <w:rsid w:val="00AA4D12"/>
    <w:rsid w:val="00AA5446"/>
    <w:rsid w:val="00AA5793"/>
    <w:rsid w:val="00AA5949"/>
    <w:rsid w:val="00AA5A5B"/>
    <w:rsid w:val="00AA5BE3"/>
    <w:rsid w:val="00AA5E4B"/>
    <w:rsid w:val="00AA60E4"/>
    <w:rsid w:val="00AA691E"/>
    <w:rsid w:val="00AA69CC"/>
    <w:rsid w:val="00AA69F9"/>
    <w:rsid w:val="00AA6D1E"/>
    <w:rsid w:val="00AA7020"/>
    <w:rsid w:val="00AA7159"/>
    <w:rsid w:val="00AA74C4"/>
    <w:rsid w:val="00AA75A4"/>
    <w:rsid w:val="00AB043D"/>
    <w:rsid w:val="00AB07C6"/>
    <w:rsid w:val="00AB0947"/>
    <w:rsid w:val="00AB0BDB"/>
    <w:rsid w:val="00AB1159"/>
    <w:rsid w:val="00AB1B8A"/>
    <w:rsid w:val="00AB26E3"/>
    <w:rsid w:val="00AB3010"/>
    <w:rsid w:val="00AB3195"/>
    <w:rsid w:val="00AB3206"/>
    <w:rsid w:val="00AB3DF2"/>
    <w:rsid w:val="00AB417E"/>
    <w:rsid w:val="00AB4B8E"/>
    <w:rsid w:val="00AB567B"/>
    <w:rsid w:val="00AB590E"/>
    <w:rsid w:val="00AB6002"/>
    <w:rsid w:val="00AB6264"/>
    <w:rsid w:val="00AB657C"/>
    <w:rsid w:val="00AB65FD"/>
    <w:rsid w:val="00AB6D5B"/>
    <w:rsid w:val="00AB6E91"/>
    <w:rsid w:val="00AB75B0"/>
    <w:rsid w:val="00AB77A2"/>
    <w:rsid w:val="00AB7A01"/>
    <w:rsid w:val="00AC0735"/>
    <w:rsid w:val="00AC0CAA"/>
    <w:rsid w:val="00AC13B1"/>
    <w:rsid w:val="00AC18BE"/>
    <w:rsid w:val="00AC1A4A"/>
    <w:rsid w:val="00AC1B3C"/>
    <w:rsid w:val="00AC1C74"/>
    <w:rsid w:val="00AC22A1"/>
    <w:rsid w:val="00AC2877"/>
    <w:rsid w:val="00AC2A3C"/>
    <w:rsid w:val="00AC2AB5"/>
    <w:rsid w:val="00AC33C0"/>
    <w:rsid w:val="00AC3597"/>
    <w:rsid w:val="00AC36A7"/>
    <w:rsid w:val="00AC3E50"/>
    <w:rsid w:val="00AC4D52"/>
    <w:rsid w:val="00AC51A8"/>
    <w:rsid w:val="00AC544D"/>
    <w:rsid w:val="00AC5BB0"/>
    <w:rsid w:val="00AC6F00"/>
    <w:rsid w:val="00AC712A"/>
    <w:rsid w:val="00AC760B"/>
    <w:rsid w:val="00AC79FA"/>
    <w:rsid w:val="00AD00A8"/>
    <w:rsid w:val="00AD034D"/>
    <w:rsid w:val="00AD0C77"/>
    <w:rsid w:val="00AD177D"/>
    <w:rsid w:val="00AD18F2"/>
    <w:rsid w:val="00AD1E29"/>
    <w:rsid w:val="00AD2168"/>
    <w:rsid w:val="00AD2713"/>
    <w:rsid w:val="00AD2825"/>
    <w:rsid w:val="00AD2BBA"/>
    <w:rsid w:val="00AD2DE9"/>
    <w:rsid w:val="00AD2F0B"/>
    <w:rsid w:val="00AD2F57"/>
    <w:rsid w:val="00AD30FC"/>
    <w:rsid w:val="00AD327F"/>
    <w:rsid w:val="00AD3907"/>
    <w:rsid w:val="00AD42F4"/>
    <w:rsid w:val="00AD4744"/>
    <w:rsid w:val="00AD4A96"/>
    <w:rsid w:val="00AD4C99"/>
    <w:rsid w:val="00AD4CA7"/>
    <w:rsid w:val="00AD4D8A"/>
    <w:rsid w:val="00AD51DF"/>
    <w:rsid w:val="00AD5852"/>
    <w:rsid w:val="00AD5A62"/>
    <w:rsid w:val="00AD5B8D"/>
    <w:rsid w:val="00AD5C4B"/>
    <w:rsid w:val="00AD5DAC"/>
    <w:rsid w:val="00AD5EC1"/>
    <w:rsid w:val="00AD6D7F"/>
    <w:rsid w:val="00AD713F"/>
    <w:rsid w:val="00AD7B1E"/>
    <w:rsid w:val="00AE00D5"/>
    <w:rsid w:val="00AE0812"/>
    <w:rsid w:val="00AE0A5E"/>
    <w:rsid w:val="00AE0C40"/>
    <w:rsid w:val="00AE17B2"/>
    <w:rsid w:val="00AE1981"/>
    <w:rsid w:val="00AE1A8B"/>
    <w:rsid w:val="00AE20FA"/>
    <w:rsid w:val="00AE21CF"/>
    <w:rsid w:val="00AE21E5"/>
    <w:rsid w:val="00AE2609"/>
    <w:rsid w:val="00AE2C1B"/>
    <w:rsid w:val="00AE2C24"/>
    <w:rsid w:val="00AE2CAE"/>
    <w:rsid w:val="00AE2EB8"/>
    <w:rsid w:val="00AE3191"/>
    <w:rsid w:val="00AE36D2"/>
    <w:rsid w:val="00AE3B61"/>
    <w:rsid w:val="00AE3BA4"/>
    <w:rsid w:val="00AE3DED"/>
    <w:rsid w:val="00AE3E15"/>
    <w:rsid w:val="00AE4117"/>
    <w:rsid w:val="00AE43D4"/>
    <w:rsid w:val="00AE43D8"/>
    <w:rsid w:val="00AE4468"/>
    <w:rsid w:val="00AE457D"/>
    <w:rsid w:val="00AE4653"/>
    <w:rsid w:val="00AE4BA0"/>
    <w:rsid w:val="00AE4CC3"/>
    <w:rsid w:val="00AE4F64"/>
    <w:rsid w:val="00AE4F97"/>
    <w:rsid w:val="00AE52E5"/>
    <w:rsid w:val="00AE59A0"/>
    <w:rsid w:val="00AE5F89"/>
    <w:rsid w:val="00AE5FAD"/>
    <w:rsid w:val="00AE6313"/>
    <w:rsid w:val="00AE67DB"/>
    <w:rsid w:val="00AE6AF2"/>
    <w:rsid w:val="00AE6DDC"/>
    <w:rsid w:val="00AE6F43"/>
    <w:rsid w:val="00AE6FCD"/>
    <w:rsid w:val="00AE718A"/>
    <w:rsid w:val="00AE7A8F"/>
    <w:rsid w:val="00AE7ADA"/>
    <w:rsid w:val="00AE7D31"/>
    <w:rsid w:val="00AE7D6D"/>
    <w:rsid w:val="00AE7E8B"/>
    <w:rsid w:val="00AF0DB3"/>
    <w:rsid w:val="00AF1506"/>
    <w:rsid w:val="00AF204F"/>
    <w:rsid w:val="00AF2498"/>
    <w:rsid w:val="00AF2946"/>
    <w:rsid w:val="00AF29A9"/>
    <w:rsid w:val="00AF2B2F"/>
    <w:rsid w:val="00AF3904"/>
    <w:rsid w:val="00AF4B68"/>
    <w:rsid w:val="00AF4BD5"/>
    <w:rsid w:val="00AF4FA6"/>
    <w:rsid w:val="00AF5CEC"/>
    <w:rsid w:val="00AF618E"/>
    <w:rsid w:val="00AF6219"/>
    <w:rsid w:val="00AF65F5"/>
    <w:rsid w:val="00AF6641"/>
    <w:rsid w:val="00AF72B7"/>
    <w:rsid w:val="00AF769F"/>
    <w:rsid w:val="00B00424"/>
    <w:rsid w:val="00B004B1"/>
    <w:rsid w:val="00B007C1"/>
    <w:rsid w:val="00B00BBF"/>
    <w:rsid w:val="00B01588"/>
    <w:rsid w:val="00B0165E"/>
    <w:rsid w:val="00B01A46"/>
    <w:rsid w:val="00B01D85"/>
    <w:rsid w:val="00B02036"/>
    <w:rsid w:val="00B022D4"/>
    <w:rsid w:val="00B0233B"/>
    <w:rsid w:val="00B0273A"/>
    <w:rsid w:val="00B0294D"/>
    <w:rsid w:val="00B0379B"/>
    <w:rsid w:val="00B043C9"/>
    <w:rsid w:val="00B04790"/>
    <w:rsid w:val="00B047F4"/>
    <w:rsid w:val="00B057FD"/>
    <w:rsid w:val="00B05BF3"/>
    <w:rsid w:val="00B062A3"/>
    <w:rsid w:val="00B06337"/>
    <w:rsid w:val="00B06495"/>
    <w:rsid w:val="00B0666E"/>
    <w:rsid w:val="00B07271"/>
    <w:rsid w:val="00B07695"/>
    <w:rsid w:val="00B10188"/>
    <w:rsid w:val="00B1035F"/>
    <w:rsid w:val="00B10561"/>
    <w:rsid w:val="00B10673"/>
    <w:rsid w:val="00B11023"/>
    <w:rsid w:val="00B11626"/>
    <w:rsid w:val="00B118D6"/>
    <w:rsid w:val="00B11C79"/>
    <w:rsid w:val="00B11CED"/>
    <w:rsid w:val="00B11DAA"/>
    <w:rsid w:val="00B11F98"/>
    <w:rsid w:val="00B1222B"/>
    <w:rsid w:val="00B12500"/>
    <w:rsid w:val="00B12591"/>
    <w:rsid w:val="00B1288F"/>
    <w:rsid w:val="00B133AC"/>
    <w:rsid w:val="00B135D7"/>
    <w:rsid w:val="00B13711"/>
    <w:rsid w:val="00B1375B"/>
    <w:rsid w:val="00B13D05"/>
    <w:rsid w:val="00B144BE"/>
    <w:rsid w:val="00B15174"/>
    <w:rsid w:val="00B15395"/>
    <w:rsid w:val="00B1539C"/>
    <w:rsid w:val="00B15606"/>
    <w:rsid w:val="00B15D13"/>
    <w:rsid w:val="00B15DD3"/>
    <w:rsid w:val="00B15DEA"/>
    <w:rsid w:val="00B15EFE"/>
    <w:rsid w:val="00B16029"/>
    <w:rsid w:val="00B17011"/>
    <w:rsid w:val="00B17250"/>
    <w:rsid w:val="00B17414"/>
    <w:rsid w:val="00B17A7F"/>
    <w:rsid w:val="00B17E64"/>
    <w:rsid w:val="00B205BA"/>
    <w:rsid w:val="00B206D4"/>
    <w:rsid w:val="00B20A19"/>
    <w:rsid w:val="00B21096"/>
    <w:rsid w:val="00B21445"/>
    <w:rsid w:val="00B2153F"/>
    <w:rsid w:val="00B2158D"/>
    <w:rsid w:val="00B216EE"/>
    <w:rsid w:val="00B217B1"/>
    <w:rsid w:val="00B21DC5"/>
    <w:rsid w:val="00B223E2"/>
    <w:rsid w:val="00B228D0"/>
    <w:rsid w:val="00B229DC"/>
    <w:rsid w:val="00B22C32"/>
    <w:rsid w:val="00B22F84"/>
    <w:rsid w:val="00B22F9E"/>
    <w:rsid w:val="00B235B2"/>
    <w:rsid w:val="00B23849"/>
    <w:rsid w:val="00B23BA5"/>
    <w:rsid w:val="00B23BEF"/>
    <w:rsid w:val="00B23EEE"/>
    <w:rsid w:val="00B23F7B"/>
    <w:rsid w:val="00B24A64"/>
    <w:rsid w:val="00B24D83"/>
    <w:rsid w:val="00B24EF5"/>
    <w:rsid w:val="00B25109"/>
    <w:rsid w:val="00B2554C"/>
    <w:rsid w:val="00B2609B"/>
    <w:rsid w:val="00B2612B"/>
    <w:rsid w:val="00B2630C"/>
    <w:rsid w:val="00B264ED"/>
    <w:rsid w:val="00B26657"/>
    <w:rsid w:val="00B268EA"/>
    <w:rsid w:val="00B26CFF"/>
    <w:rsid w:val="00B27383"/>
    <w:rsid w:val="00B278EB"/>
    <w:rsid w:val="00B301A6"/>
    <w:rsid w:val="00B30993"/>
    <w:rsid w:val="00B30B44"/>
    <w:rsid w:val="00B30D08"/>
    <w:rsid w:val="00B30EAC"/>
    <w:rsid w:val="00B318F5"/>
    <w:rsid w:val="00B324E0"/>
    <w:rsid w:val="00B32791"/>
    <w:rsid w:val="00B32B52"/>
    <w:rsid w:val="00B334B8"/>
    <w:rsid w:val="00B33B69"/>
    <w:rsid w:val="00B33C50"/>
    <w:rsid w:val="00B340FF"/>
    <w:rsid w:val="00B341F4"/>
    <w:rsid w:val="00B345F6"/>
    <w:rsid w:val="00B346E7"/>
    <w:rsid w:val="00B34D5E"/>
    <w:rsid w:val="00B34F1D"/>
    <w:rsid w:val="00B358B5"/>
    <w:rsid w:val="00B36351"/>
    <w:rsid w:val="00B3665C"/>
    <w:rsid w:val="00B37006"/>
    <w:rsid w:val="00B37A42"/>
    <w:rsid w:val="00B37AC3"/>
    <w:rsid w:val="00B37E9D"/>
    <w:rsid w:val="00B40261"/>
    <w:rsid w:val="00B40370"/>
    <w:rsid w:val="00B40417"/>
    <w:rsid w:val="00B4068F"/>
    <w:rsid w:val="00B40748"/>
    <w:rsid w:val="00B412F7"/>
    <w:rsid w:val="00B41511"/>
    <w:rsid w:val="00B418C5"/>
    <w:rsid w:val="00B41AF4"/>
    <w:rsid w:val="00B421E8"/>
    <w:rsid w:val="00B4235F"/>
    <w:rsid w:val="00B425FB"/>
    <w:rsid w:val="00B4260C"/>
    <w:rsid w:val="00B42E3B"/>
    <w:rsid w:val="00B42F32"/>
    <w:rsid w:val="00B43154"/>
    <w:rsid w:val="00B4338F"/>
    <w:rsid w:val="00B435CD"/>
    <w:rsid w:val="00B43661"/>
    <w:rsid w:val="00B439D1"/>
    <w:rsid w:val="00B43B5D"/>
    <w:rsid w:val="00B43E22"/>
    <w:rsid w:val="00B45136"/>
    <w:rsid w:val="00B45189"/>
    <w:rsid w:val="00B45732"/>
    <w:rsid w:val="00B458E9"/>
    <w:rsid w:val="00B45CC3"/>
    <w:rsid w:val="00B46188"/>
    <w:rsid w:val="00B46409"/>
    <w:rsid w:val="00B46675"/>
    <w:rsid w:val="00B46E92"/>
    <w:rsid w:val="00B46F98"/>
    <w:rsid w:val="00B47DF6"/>
    <w:rsid w:val="00B50114"/>
    <w:rsid w:val="00B5183A"/>
    <w:rsid w:val="00B519CB"/>
    <w:rsid w:val="00B51E85"/>
    <w:rsid w:val="00B520EA"/>
    <w:rsid w:val="00B5240C"/>
    <w:rsid w:val="00B52504"/>
    <w:rsid w:val="00B52632"/>
    <w:rsid w:val="00B52772"/>
    <w:rsid w:val="00B529EB"/>
    <w:rsid w:val="00B52E43"/>
    <w:rsid w:val="00B53CCA"/>
    <w:rsid w:val="00B53FD3"/>
    <w:rsid w:val="00B5443B"/>
    <w:rsid w:val="00B54E8B"/>
    <w:rsid w:val="00B55C2B"/>
    <w:rsid w:val="00B55C97"/>
    <w:rsid w:val="00B55ECA"/>
    <w:rsid w:val="00B55FB8"/>
    <w:rsid w:val="00B5637B"/>
    <w:rsid w:val="00B567B8"/>
    <w:rsid w:val="00B56C5A"/>
    <w:rsid w:val="00B570DB"/>
    <w:rsid w:val="00B570E5"/>
    <w:rsid w:val="00B578E5"/>
    <w:rsid w:val="00B57ABE"/>
    <w:rsid w:val="00B60188"/>
    <w:rsid w:val="00B6045B"/>
    <w:rsid w:val="00B6050C"/>
    <w:rsid w:val="00B60F3B"/>
    <w:rsid w:val="00B61137"/>
    <w:rsid w:val="00B612C1"/>
    <w:rsid w:val="00B6164E"/>
    <w:rsid w:val="00B61656"/>
    <w:rsid w:val="00B61666"/>
    <w:rsid w:val="00B617AA"/>
    <w:rsid w:val="00B619BA"/>
    <w:rsid w:val="00B61A94"/>
    <w:rsid w:val="00B61B9E"/>
    <w:rsid w:val="00B61C1F"/>
    <w:rsid w:val="00B61CA4"/>
    <w:rsid w:val="00B62337"/>
    <w:rsid w:val="00B623E1"/>
    <w:rsid w:val="00B625AB"/>
    <w:rsid w:val="00B625EC"/>
    <w:rsid w:val="00B628AB"/>
    <w:rsid w:val="00B62DEA"/>
    <w:rsid w:val="00B62E29"/>
    <w:rsid w:val="00B62EEE"/>
    <w:rsid w:val="00B63340"/>
    <w:rsid w:val="00B63C6A"/>
    <w:rsid w:val="00B64039"/>
    <w:rsid w:val="00B640DF"/>
    <w:rsid w:val="00B6482D"/>
    <w:rsid w:val="00B6496C"/>
    <w:rsid w:val="00B64F9C"/>
    <w:rsid w:val="00B6560D"/>
    <w:rsid w:val="00B661DC"/>
    <w:rsid w:val="00B6628B"/>
    <w:rsid w:val="00B66572"/>
    <w:rsid w:val="00B6680A"/>
    <w:rsid w:val="00B67775"/>
    <w:rsid w:val="00B678A0"/>
    <w:rsid w:val="00B70245"/>
    <w:rsid w:val="00B70253"/>
    <w:rsid w:val="00B704FA"/>
    <w:rsid w:val="00B70786"/>
    <w:rsid w:val="00B70D83"/>
    <w:rsid w:val="00B70ED6"/>
    <w:rsid w:val="00B7105C"/>
    <w:rsid w:val="00B71065"/>
    <w:rsid w:val="00B714EF"/>
    <w:rsid w:val="00B7169B"/>
    <w:rsid w:val="00B7171C"/>
    <w:rsid w:val="00B72AE2"/>
    <w:rsid w:val="00B72BEA"/>
    <w:rsid w:val="00B72EF5"/>
    <w:rsid w:val="00B73B7F"/>
    <w:rsid w:val="00B740F7"/>
    <w:rsid w:val="00B742E7"/>
    <w:rsid w:val="00B74307"/>
    <w:rsid w:val="00B74926"/>
    <w:rsid w:val="00B74FB3"/>
    <w:rsid w:val="00B75124"/>
    <w:rsid w:val="00B7546F"/>
    <w:rsid w:val="00B75566"/>
    <w:rsid w:val="00B75C06"/>
    <w:rsid w:val="00B75F70"/>
    <w:rsid w:val="00B7614E"/>
    <w:rsid w:val="00B76164"/>
    <w:rsid w:val="00B7619A"/>
    <w:rsid w:val="00B762BE"/>
    <w:rsid w:val="00B7659F"/>
    <w:rsid w:val="00B76876"/>
    <w:rsid w:val="00B76AA2"/>
    <w:rsid w:val="00B76DB1"/>
    <w:rsid w:val="00B77697"/>
    <w:rsid w:val="00B7776C"/>
    <w:rsid w:val="00B77915"/>
    <w:rsid w:val="00B77AE2"/>
    <w:rsid w:val="00B77C0C"/>
    <w:rsid w:val="00B8029F"/>
    <w:rsid w:val="00B803CA"/>
    <w:rsid w:val="00B80561"/>
    <w:rsid w:val="00B80EE5"/>
    <w:rsid w:val="00B8111C"/>
    <w:rsid w:val="00B81822"/>
    <w:rsid w:val="00B8192B"/>
    <w:rsid w:val="00B81AF6"/>
    <w:rsid w:val="00B82037"/>
    <w:rsid w:val="00B82754"/>
    <w:rsid w:val="00B82E4B"/>
    <w:rsid w:val="00B83194"/>
    <w:rsid w:val="00B832BC"/>
    <w:rsid w:val="00B83948"/>
    <w:rsid w:val="00B83D00"/>
    <w:rsid w:val="00B8491C"/>
    <w:rsid w:val="00B85215"/>
    <w:rsid w:val="00B85C24"/>
    <w:rsid w:val="00B86EA7"/>
    <w:rsid w:val="00B86F7C"/>
    <w:rsid w:val="00B870A9"/>
    <w:rsid w:val="00B873C7"/>
    <w:rsid w:val="00B877A7"/>
    <w:rsid w:val="00B87AF6"/>
    <w:rsid w:val="00B9017B"/>
    <w:rsid w:val="00B901AE"/>
    <w:rsid w:val="00B901F4"/>
    <w:rsid w:val="00B90629"/>
    <w:rsid w:val="00B90CCB"/>
    <w:rsid w:val="00B9106D"/>
    <w:rsid w:val="00B911E0"/>
    <w:rsid w:val="00B91206"/>
    <w:rsid w:val="00B91349"/>
    <w:rsid w:val="00B91880"/>
    <w:rsid w:val="00B91DA7"/>
    <w:rsid w:val="00B924F2"/>
    <w:rsid w:val="00B9258B"/>
    <w:rsid w:val="00B928AB"/>
    <w:rsid w:val="00B93880"/>
    <w:rsid w:val="00B93918"/>
    <w:rsid w:val="00B93A12"/>
    <w:rsid w:val="00B93BBE"/>
    <w:rsid w:val="00B93FE3"/>
    <w:rsid w:val="00B94178"/>
    <w:rsid w:val="00B948A4"/>
    <w:rsid w:val="00B94C39"/>
    <w:rsid w:val="00B95A9C"/>
    <w:rsid w:val="00B95B27"/>
    <w:rsid w:val="00B95FF5"/>
    <w:rsid w:val="00B96141"/>
    <w:rsid w:val="00B965D3"/>
    <w:rsid w:val="00B977DB"/>
    <w:rsid w:val="00BA024C"/>
    <w:rsid w:val="00BA0283"/>
    <w:rsid w:val="00BA05E1"/>
    <w:rsid w:val="00BA0877"/>
    <w:rsid w:val="00BA0FBB"/>
    <w:rsid w:val="00BA11BE"/>
    <w:rsid w:val="00BA120F"/>
    <w:rsid w:val="00BA1313"/>
    <w:rsid w:val="00BA1391"/>
    <w:rsid w:val="00BA153A"/>
    <w:rsid w:val="00BA1629"/>
    <w:rsid w:val="00BA21D5"/>
    <w:rsid w:val="00BA2227"/>
    <w:rsid w:val="00BA2485"/>
    <w:rsid w:val="00BA24B9"/>
    <w:rsid w:val="00BA24D2"/>
    <w:rsid w:val="00BA29EE"/>
    <w:rsid w:val="00BA3541"/>
    <w:rsid w:val="00BA38E3"/>
    <w:rsid w:val="00BA3A5B"/>
    <w:rsid w:val="00BA3ECA"/>
    <w:rsid w:val="00BA4174"/>
    <w:rsid w:val="00BA47A8"/>
    <w:rsid w:val="00BA4AD1"/>
    <w:rsid w:val="00BA4D1A"/>
    <w:rsid w:val="00BA4D6B"/>
    <w:rsid w:val="00BA5002"/>
    <w:rsid w:val="00BA5273"/>
    <w:rsid w:val="00BA579D"/>
    <w:rsid w:val="00BA57C6"/>
    <w:rsid w:val="00BA59BA"/>
    <w:rsid w:val="00BA5EFF"/>
    <w:rsid w:val="00BA6251"/>
    <w:rsid w:val="00BA641E"/>
    <w:rsid w:val="00BA6541"/>
    <w:rsid w:val="00BA6591"/>
    <w:rsid w:val="00BA69B9"/>
    <w:rsid w:val="00BA6B09"/>
    <w:rsid w:val="00BA6F2D"/>
    <w:rsid w:val="00BA78C7"/>
    <w:rsid w:val="00BA7C69"/>
    <w:rsid w:val="00BA7C82"/>
    <w:rsid w:val="00BA7E0D"/>
    <w:rsid w:val="00BB0139"/>
    <w:rsid w:val="00BB0C42"/>
    <w:rsid w:val="00BB0CBC"/>
    <w:rsid w:val="00BB105E"/>
    <w:rsid w:val="00BB125D"/>
    <w:rsid w:val="00BB12B5"/>
    <w:rsid w:val="00BB160A"/>
    <w:rsid w:val="00BB2051"/>
    <w:rsid w:val="00BB2192"/>
    <w:rsid w:val="00BB2445"/>
    <w:rsid w:val="00BB24DB"/>
    <w:rsid w:val="00BB2561"/>
    <w:rsid w:val="00BB2999"/>
    <w:rsid w:val="00BB29B0"/>
    <w:rsid w:val="00BB2AE9"/>
    <w:rsid w:val="00BB33B4"/>
    <w:rsid w:val="00BB365F"/>
    <w:rsid w:val="00BB440D"/>
    <w:rsid w:val="00BB4428"/>
    <w:rsid w:val="00BB4DEB"/>
    <w:rsid w:val="00BB5460"/>
    <w:rsid w:val="00BB5855"/>
    <w:rsid w:val="00BB5A0F"/>
    <w:rsid w:val="00BB658E"/>
    <w:rsid w:val="00BB664A"/>
    <w:rsid w:val="00BB742B"/>
    <w:rsid w:val="00BB76EE"/>
    <w:rsid w:val="00BC00F6"/>
    <w:rsid w:val="00BC010D"/>
    <w:rsid w:val="00BC0212"/>
    <w:rsid w:val="00BC160F"/>
    <w:rsid w:val="00BC1AF9"/>
    <w:rsid w:val="00BC1B7B"/>
    <w:rsid w:val="00BC1DBC"/>
    <w:rsid w:val="00BC1FB0"/>
    <w:rsid w:val="00BC2A2D"/>
    <w:rsid w:val="00BC3146"/>
    <w:rsid w:val="00BC33AD"/>
    <w:rsid w:val="00BC346A"/>
    <w:rsid w:val="00BC3909"/>
    <w:rsid w:val="00BC3C99"/>
    <w:rsid w:val="00BC3F69"/>
    <w:rsid w:val="00BC4150"/>
    <w:rsid w:val="00BC45A4"/>
    <w:rsid w:val="00BC4988"/>
    <w:rsid w:val="00BC5633"/>
    <w:rsid w:val="00BC58A8"/>
    <w:rsid w:val="00BC5AED"/>
    <w:rsid w:val="00BC635A"/>
    <w:rsid w:val="00BC687B"/>
    <w:rsid w:val="00BC6E2B"/>
    <w:rsid w:val="00BC6E35"/>
    <w:rsid w:val="00BC710C"/>
    <w:rsid w:val="00BC73D9"/>
    <w:rsid w:val="00BC7A04"/>
    <w:rsid w:val="00BD003D"/>
    <w:rsid w:val="00BD01DC"/>
    <w:rsid w:val="00BD0337"/>
    <w:rsid w:val="00BD0609"/>
    <w:rsid w:val="00BD09E1"/>
    <w:rsid w:val="00BD1164"/>
    <w:rsid w:val="00BD1661"/>
    <w:rsid w:val="00BD2295"/>
    <w:rsid w:val="00BD2FAB"/>
    <w:rsid w:val="00BD3094"/>
    <w:rsid w:val="00BD3817"/>
    <w:rsid w:val="00BD3D83"/>
    <w:rsid w:val="00BD455E"/>
    <w:rsid w:val="00BD4742"/>
    <w:rsid w:val="00BD4EDA"/>
    <w:rsid w:val="00BD50F4"/>
    <w:rsid w:val="00BD50FF"/>
    <w:rsid w:val="00BD5211"/>
    <w:rsid w:val="00BD5522"/>
    <w:rsid w:val="00BD567D"/>
    <w:rsid w:val="00BD5BF6"/>
    <w:rsid w:val="00BD5D8C"/>
    <w:rsid w:val="00BD61D1"/>
    <w:rsid w:val="00BD65A7"/>
    <w:rsid w:val="00BD6D8D"/>
    <w:rsid w:val="00BD6E16"/>
    <w:rsid w:val="00BD7206"/>
    <w:rsid w:val="00BD7D6D"/>
    <w:rsid w:val="00BD7DEE"/>
    <w:rsid w:val="00BD7E5C"/>
    <w:rsid w:val="00BE00EE"/>
    <w:rsid w:val="00BE0E9F"/>
    <w:rsid w:val="00BE0ED5"/>
    <w:rsid w:val="00BE0EE3"/>
    <w:rsid w:val="00BE0F86"/>
    <w:rsid w:val="00BE11A8"/>
    <w:rsid w:val="00BE1723"/>
    <w:rsid w:val="00BE1ABC"/>
    <w:rsid w:val="00BE202A"/>
    <w:rsid w:val="00BE3C13"/>
    <w:rsid w:val="00BE3D18"/>
    <w:rsid w:val="00BE4620"/>
    <w:rsid w:val="00BE470E"/>
    <w:rsid w:val="00BE474B"/>
    <w:rsid w:val="00BE4ACC"/>
    <w:rsid w:val="00BE4BD3"/>
    <w:rsid w:val="00BE4C57"/>
    <w:rsid w:val="00BE4FCB"/>
    <w:rsid w:val="00BE52F6"/>
    <w:rsid w:val="00BE56B1"/>
    <w:rsid w:val="00BE5970"/>
    <w:rsid w:val="00BE5B61"/>
    <w:rsid w:val="00BE5D8F"/>
    <w:rsid w:val="00BE5E4F"/>
    <w:rsid w:val="00BE61DC"/>
    <w:rsid w:val="00BE6244"/>
    <w:rsid w:val="00BE6528"/>
    <w:rsid w:val="00BE6744"/>
    <w:rsid w:val="00BE6A0A"/>
    <w:rsid w:val="00BE6C2B"/>
    <w:rsid w:val="00BE7ADF"/>
    <w:rsid w:val="00BF0217"/>
    <w:rsid w:val="00BF099C"/>
    <w:rsid w:val="00BF1028"/>
    <w:rsid w:val="00BF129F"/>
    <w:rsid w:val="00BF13F1"/>
    <w:rsid w:val="00BF1BCE"/>
    <w:rsid w:val="00BF1D64"/>
    <w:rsid w:val="00BF1E16"/>
    <w:rsid w:val="00BF1FF7"/>
    <w:rsid w:val="00BF2586"/>
    <w:rsid w:val="00BF2B85"/>
    <w:rsid w:val="00BF3530"/>
    <w:rsid w:val="00BF3F92"/>
    <w:rsid w:val="00BF407F"/>
    <w:rsid w:val="00BF41B4"/>
    <w:rsid w:val="00BF43DB"/>
    <w:rsid w:val="00BF4754"/>
    <w:rsid w:val="00BF486D"/>
    <w:rsid w:val="00BF4A11"/>
    <w:rsid w:val="00BF4AAC"/>
    <w:rsid w:val="00BF4B20"/>
    <w:rsid w:val="00BF5033"/>
    <w:rsid w:val="00BF5976"/>
    <w:rsid w:val="00BF5C69"/>
    <w:rsid w:val="00BF5D77"/>
    <w:rsid w:val="00BF5D81"/>
    <w:rsid w:val="00BF5F32"/>
    <w:rsid w:val="00BF6E32"/>
    <w:rsid w:val="00BF7D4A"/>
    <w:rsid w:val="00C004E5"/>
    <w:rsid w:val="00C007C8"/>
    <w:rsid w:val="00C0101D"/>
    <w:rsid w:val="00C01052"/>
    <w:rsid w:val="00C010CF"/>
    <w:rsid w:val="00C010EF"/>
    <w:rsid w:val="00C012B2"/>
    <w:rsid w:val="00C014B5"/>
    <w:rsid w:val="00C01B0C"/>
    <w:rsid w:val="00C01E93"/>
    <w:rsid w:val="00C0225E"/>
    <w:rsid w:val="00C024D4"/>
    <w:rsid w:val="00C029A4"/>
    <w:rsid w:val="00C02C5B"/>
    <w:rsid w:val="00C0313A"/>
    <w:rsid w:val="00C036D6"/>
    <w:rsid w:val="00C0372C"/>
    <w:rsid w:val="00C038EC"/>
    <w:rsid w:val="00C03BD3"/>
    <w:rsid w:val="00C03C62"/>
    <w:rsid w:val="00C03E73"/>
    <w:rsid w:val="00C03E77"/>
    <w:rsid w:val="00C04182"/>
    <w:rsid w:val="00C04B1F"/>
    <w:rsid w:val="00C04B92"/>
    <w:rsid w:val="00C04F82"/>
    <w:rsid w:val="00C05F6A"/>
    <w:rsid w:val="00C06569"/>
    <w:rsid w:val="00C06C6F"/>
    <w:rsid w:val="00C07440"/>
    <w:rsid w:val="00C074A8"/>
    <w:rsid w:val="00C07BAF"/>
    <w:rsid w:val="00C07DA8"/>
    <w:rsid w:val="00C1019B"/>
    <w:rsid w:val="00C101DC"/>
    <w:rsid w:val="00C102C3"/>
    <w:rsid w:val="00C1045E"/>
    <w:rsid w:val="00C106D2"/>
    <w:rsid w:val="00C1094D"/>
    <w:rsid w:val="00C109BC"/>
    <w:rsid w:val="00C10E83"/>
    <w:rsid w:val="00C10FB8"/>
    <w:rsid w:val="00C11071"/>
    <w:rsid w:val="00C114C5"/>
    <w:rsid w:val="00C11EF2"/>
    <w:rsid w:val="00C11F5A"/>
    <w:rsid w:val="00C11FA0"/>
    <w:rsid w:val="00C1247D"/>
    <w:rsid w:val="00C12B7B"/>
    <w:rsid w:val="00C12E34"/>
    <w:rsid w:val="00C132A2"/>
    <w:rsid w:val="00C14CA6"/>
    <w:rsid w:val="00C1555B"/>
    <w:rsid w:val="00C15E85"/>
    <w:rsid w:val="00C1696D"/>
    <w:rsid w:val="00C17CED"/>
    <w:rsid w:val="00C17E0F"/>
    <w:rsid w:val="00C2058E"/>
    <w:rsid w:val="00C20645"/>
    <w:rsid w:val="00C20874"/>
    <w:rsid w:val="00C20BC9"/>
    <w:rsid w:val="00C20DBC"/>
    <w:rsid w:val="00C20FA0"/>
    <w:rsid w:val="00C21132"/>
    <w:rsid w:val="00C22660"/>
    <w:rsid w:val="00C229B2"/>
    <w:rsid w:val="00C22B32"/>
    <w:rsid w:val="00C22B43"/>
    <w:rsid w:val="00C22C6A"/>
    <w:rsid w:val="00C22D76"/>
    <w:rsid w:val="00C22F40"/>
    <w:rsid w:val="00C23135"/>
    <w:rsid w:val="00C2429D"/>
    <w:rsid w:val="00C24B0E"/>
    <w:rsid w:val="00C24C75"/>
    <w:rsid w:val="00C24C85"/>
    <w:rsid w:val="00C24F8D"/>
    <w:rsid w:val="00C25688"/>
    <w:rsid w:val="00C2580A"/>
    <w:rsid w:val="00C25BAE"/>
    <w:rsid w:val="00C260F2"/>
    <w:rsid w:val="00C26165"/>
    <w:rsid w:val="00C26201"/>
    <w:rsid w:val="00C26AF3"/>
    <w:rsid w:val="00C26BEE"/>
    <w:rsid w:val="00C2756F"/>
    <w:rsid w:val="00C27811"/>
    <w:rsid w:val="00C27C9C"/>
    <w:rsid w:val="00C27EE3"/>
    <w:rsid w:val="00C30014"/>
    <w:rsid w:val="00C30055"/>
    <w:rsid w:val="00C302ED"/>
    <w:rsid w:val="00C30B84"/>
    <w:rsid w:val="00C315D4"/>
    <w:rsid w:val="00C31EEE"/>
    <w:rsid w:val="00C32367"/>
    <w:rsid w:val="00C32684"/>
    <w:rsid w:val="00C329C6"/>
    <w:rsid w:val="00C32A04"/>
    <w:rsid w:val="00C32F7D"/>
    <w:rsid w:val="00C330DD"/>
    <w:rsid w:val="00C33B10"/>
    <w:rsid w:val="00C34EFA"/>
    <w:rsid w:val="00C34FAE"/>
    <w:rsid w:val="00C351E8"/>
    <w:rsid w:val="00C35B31"/>
    <w:rsid w:val="00C36189"/>
    <w:rsid w:val="00C36C80"/>
    <w:rsid w:val="00C372C5"/>
    <w:rsid w:val="00C400E0"/>
    <w:rsid w:val="00C400FB"/>
    <w:rsid w:val="00C40202"/>
    <w:rsid w:val="00C40388"/>
    <w:rsid w:val="00C4049D"/>
    <w:rsid w:val="00C40853"/>
    <w:rsid w:val="00C411F9"/>
    <w:rsid w:val="00C41302"/>
    <w:rsid w:val="00C41C22"/>
    <w:rsid w:val="00C42094"/>
    <w:rsid w:val="00C42217"/>
    <w:rsid w:val="00C42356"/>
    <w:rsid w:val="00C42545"/>
    <w:rsid w:val="00C428C1"/>
    <w:rsid w:val="00C42A08"/>
    <w:rsid w:val="00C42B11"/>
    <w:rsid w:val="00C42B34"/>
    <w:rsid w:val="00C4309C"/>
    <w:rsid w:val="00C434FD"/>
    <w:rsid w:val="00C43581"/>
    <w:rsid w:val="00C43A9F"/>
    <w:rsid w:val="00C449CB"/>
    <w:rsid w:val="00C44E6D"/>
    <w:rsid w:val="00C456C4"/>
    <w:rsid w:val="00C4575E"/>
    <w:rsid w:val="00C457E9"/>
    <w:rsid w:val="00C458A7"/>
    <w:rsid w:val="00C45974"/>
    <w:rsid w:val="00C45990"/>
    <w:rsid w:val="00C45A5D"/>
    <w:rsid w:val="00C45C48"/>
    <w:rsid w:val="00C45EA4"/>
    <w:rsid w:val="00C4658E"/>
    <w:rsid w:val="00C46D78"/>
    <w:rsid w:val="00C46E77"/>
    <w:rsid w:val="00C47A20"/>
    <w:rsid w:val="00C47A54"/>
    <w:rsid w:val="00C47D6F"/>
    <w:rsid w:val="00C47F0B"/>
    <w:rsid w:val="00C501C7"/>
    <w:rsid w:val="00C50C63"/>
    <w:rsid w:val="00C517AE"/>
    <w:rsid w:val="00C51F15"/>
    <w:rsid w:val="00C526C2"/>
    <w:rsid w:val="00C52A14"/>
    <w:rsid w:val="00C531C4"/>
    <w:rsid w:val="00C5341A"/>
    <w:rsid w:val="00C536F0"/>
    <w:rsid w:val="00C5382C"/>
    <w:rsid w:val="00C538F4"/>
    <w:rsid w:val="00C53B99"/>
    <w:rsid w:val="00C548FB"/>
    <w:rsid w:val="00C54C9F"/>
    <w:rsid w:val="00C555DC"/>
    <w:rsid w:val="00C5587A"/>
    <w:rsid w:val="00C55A93"/>
    <w:rsid w:val="00C55EF3"/>
    <w:rsid w:val="00C5698B"/>
    <w:rsid w:val="00C56BE9"/>
    <w:rsid w:val="00C56FF1"/>
    <w:rsid w:val="00C57613"/>
    <w:rsid w:val="00C60192"/>
    <w:rsid w:val="00C60470"/>
    <w:rsid w:val="00C614DC"/>
    <w:rsid w:val="00C615B2"/>
    <w:rsid w:val="00C6209A"/>
    <w:rsid w:val="00C620A7"/>
    <w:rsid w:val="00C62248"/>
    <w:rsid w:val="00C636F6"/>
    <w:rsid w:val="00C644E4"/>
    <w:rsid w:val="00C64600"/>
    <w:rsid w:val="00C648D7"/>
    <w:rsid w:val="00C64A18"/>
    <w:rsid w:val="00C65499"/>
    <w:rsid w:val="00C668DB"/>
    <w:rsid w:val="00C66AC8"/>
    <w:rsid w:val="00C66C5B"/>
    <w:rsid w:val="00C66C91"/>
    <w:rsid w:val="00C6759C"/>
    <w:rsid w:val="00C67608"/>
    <w:rsid w:val="00C679D6"/>
    <w:rsid w:val="00C67FAE"/>
    <w:rsid w:val="00C7077A"/>
    <w:rsid w:val="00C70FAB"/>
    <w:rsid w:val="00C71406"/>
    <w:rsid w:val="00C71A5E"/>
    <w:rsid w:val="00C71D81"/>
    <w:rsid w:val="00C72E99"/>
    <w:rsid w:val="00C736EC"/>
    <w:rsid w:val="00C739A9"/>
    <w:rsid w:val="00C73E33"/>
    <w:rsid w:val="00C73F8E"/>
    <w:rsid w:val="00C74182"/>
    <w:rsid w:val="00C747E0"/>
    <w:rsid w:val="00C74D31"/>
    <w:rsid w:val="00C74DCA"/>
    <w:rsid w:val="00C7542C"/>
    <w:rsid w:val="00C7573C"/>
    <w:rsid w:val="00C758ED"/>
    <w:rsid w:val="00C75DE1"/>
    <w:rsid w:val="00C764A7"/>
    <w:rsid w:val="00C76B7E"/>
    <w:rsid w:val="00C76CA5"/>
    <w:rsid w:val="00C76CDC"/>
    <w:rsid w:val="00C76D5E"/>
    <w:rsid w:val="00C77011"/>
    <w:rsid w:val="00C7782D"/>
    <w:rsid w:val="00C77A68"/>
    <w:rsid w:val="00C802A7"/>
    <w:rsid w:val="00C803AB"/>
    <w:rsid w:val="00C80F39"/>
    <w:rsid w:val="00C81096"/>
    <w:rsid w:val="00C810EA"/>
    <w:rsid w:val="00C8165A"/>
    <w:rsid w:val="00C81895"/>
    <w:rsid w:val="00C822FB"/>
    <w:rsid w:val="00C824B8"/>
    <w:rsid w:val="00C82628"/>
    <w:rsid w:val="00C82DB0"/>
    <w:rsid w:val="00C82EA3"/>
    <w:rsid w:val="00C83315"/>
    <w:rsid w:val="00C83B6D"/>
    <w:rsid w:val="00C83BD5"/>
    <w:rsid w:val="00C83DE3"/>
    <w:rsid w:val="00C8417E"/>
    <w:rsid w:val="00C844C8"/>
    <w:rsid w:val="00C848F2"/>
    <w:rsid w:val="00C84DE9"/>
    <w:rsid w:val="00C84E02"/>
    <w:rsid w:val="00C85009"/>
    <w:rsid w:val="00C856E1"/>
    <w:rsid w:val="00C85731"/>
    <w:rsid w:val="00C85C92"/>
    <w:rsid w:val="00C8628B"/>
    <w:rsid w:val="00C865C6"/>
    <w:rsid w:val="00C866AD"/>
    <w:rsid w:val="00C86B39"/>
    <w:rsid w:val="00C86D25"/>
    <w:rsid w:val="00C87039"/>
    <w:rsid w:val="00C8705B"/>
    <w:rsid w:val="00C8737F"/>
    <w:rsid w:val="00C87A91"/>
    <w:rsid w:val="00C87B34"/>
    <w:rsid w:val="00C90102"/>
    <w:rsid w:val="00C901CA"/>
    <w:rsid w:val="00C902AA"/>
    <w:rsid w:val="00C904BC"/>
    <w:rsid w:val="00C90506"/>
    <w:rsid w:val="00C90826"/>
    <w:rsid w:val="00C90A19"/>
    <w:rsid w:val="00C90A78"/>
    <w:rsid w:val="00C91113"/>
    <w:rsid w:val="00C915AA"/>
    <w:rsid w:val="00C91BD3"/>
    <w:rsid w:val="00C91CA7"/>
    <w:rsid w:val="00C91E12"/>
    <w:rsid w:val="00C91E9D"/>
    <w:rsid w:val="00C92424"/>
    <w:rsid w:val="00C92606"/>
    <w:rsid w:val="00C93312"/>
    <w:rsid w:val="00C933B6"/>
    <w:rsid w:val="00C934D2"/>
    <w:rsid w:val="00C93BA9"/>
    <w:rsid w:val="00C93C02"/>
    <w:rsid w:val="00C93E2B"/>
    <w:rsid w:val="00C93FD1"/>
    <w:rsid w:val="00C93FFE"/>
    <w:rsid w:val="00C9411A"/>
    <w:rsid w:val="00C943C2"/>
    <w:rsid w:val="00C944A4"/>
    <w:rsid w:val="00C945B0"/>
    <w:rsid w:val="00C948EA"/>
    <w:rsid w:val="00C95356"/>
    <w:rsid w:val="00C956B4"/>
    <w:rsid w:val="00C9574B"/>
    <w:rsid w:val="00C9592E"/>
    <w:rsid w:val="00C95F63"/>
    <w:rsid w:val="00C967D9"/>
    <w:rsid w:val="00C96A76"/>
    <w:rsid w:val="00C970B8"/>
    <w:rsid w:val="00C970C2"/>
    <w:rsid w:val="00C97785"/>
    <w:rsid w:val="00C979E1"/>
    <w:rsid w:val="00CA0086"/>
    <w:rsid w:val="00CA00DA"/>
    <w:rsid w:val="00CA012A"/>
    <w:rsid w:val="00CA02E8"/>
    <w:rsid w:val="00CA04EA"/>
    <w:rsid w:val="00CA0507"/>
    <w:rsid w:val="00CA06B7"/>
    <w:rsid w:val="00CA0D4A"/>
    <w:rsid w:val="00CA181D"/>
    <w:rsid w:val="00CA1982"/>
    <w:rsid w:val="00CA20A2"/>
    <w:rsid w:val="00CA21C9"/>
    <w:rsid w:val="00CA25E6"/>
    <w:rsid w:val="00CA27B6"/>
    <w:rsid w:val="00CA2907"/>
    <w:rsid w:val="00CA294C"/>
    <w:rsid w:val="00CA29C3"/>
    <w:rsid w:val="00CA3080"/>
    <w:rsid w:val="00CA3201"/>
    <w:rsid w:val="00CA34AA"/>
    <w:rsid w:val="00CA386D"/>
    <w:rsid w:val="00CA3A4B"/>
    <w:rsid w:val="00CA422C"/>
    <w:rsid w:val="00CA426B"/>
    <w:rsid w:val="00CA456F"/>
    <w:rsid w:val="00CA4895"/>
    <w:rsid w:val="00CA49B6"/>
    <w:rsid w:val="00CA51ED"/>
    <w:rsid w:val="00CA52A0"/>
    <w:rsid w:val="00CA5347"/>
    <w:rsid w:val="00CA60A6"/>
    <w:rsid w:val="00CA6684"/>
    <w:rsid w:val="00CA68E9"/>
    <w:rsid w:val="00CA6937"/>
    <w:rsid w:val="00CA6D89"/>
    <w:rsid w:val="00CA7300"/>
    <w:rsid w:val="00CA7D70"/>
    <w:rsid w:val="00CA7FBC"/>
    <w:rsid w:val="00CA7FD8"/>
    <w:rsid w:val="00CB074B"/>
    <w:rsid w:val="00CB0816"/>
    <w:rsid w:val="00CB0CEA"/>
    <w:rsid w:val="00CB1178"/>
    <w:rsid w:val="00CB15E1"/>
    <w:rsid w:val="00CB1FA2"/>
    <w:rsid w:val="00CB269F"/>
    <w:rsid w:val="00CB2A9D"/>
    <w:rsid w:val="00CB2D3E"/>
    <w:rsid w:val="00CB2F02"/>
    <w:rsid w:val="00CB383C"/>
    <w:rsid w:val="00CB3CFE"/>
    <w:rsid w:val="00CB3F63"/>
    <w:rsid w:val="00CB402F"/>
    <w:rsid w:val="00CB4F07"/>
    <w:rsid w:val="00CB54A1"/>
    <w:rsid w:val="00CB65E1"/>
    <w:rsid w:val="00CB6B0F"/>
    <w:rsid w:val="00CB724F"/>
    <w:rsid w:val="00CC04F1"/>
    <w:rsid w:val="00CC08FF"/>
    <w:rsid w:val="00CC09B7"/>
    <w:rsid w:val="00CC0DAA"/>
    <w:rsid w:val="00CC14EC"/>
    <w:rsid w:val="00CC15D3"/>
    <w:rsid w:val="00CC174A"/>
    <w:rsid w:val="00CC184E"/>
    <w:rsid w:val="00CC18C6"/>
    <w:rsid w:val="00CC1D18"/>
    <w:rsid w:val="00CC22FF"/>
    <w:rsid w:val="00CC251C"/>
    <w:rsid w:val="00CC2BBE"/>
    <w:rsid w:val="00CC3389"/>
    <w:rsid w:val="00CC33E1"/>
    <w:rsid w:val="00CC3681"/>
    <w:rsid w:val="00CC4034"/>
    <w:rsid w:val="00CC4197"/>
    <w:rsid w:val="00CC41D7"/>
    <w:rsid w:val="00CC44B4"/>
    <w:rsid w:val="00CC476D"/>
    <w:rsid w:val="00CC4AE4"/>
    <w:rsid w:val="00CC56F6"/>
    <w:rsid w:val="00CC625B"/>
    <w:rsid w:val="00CC66A5"/>
    <w:rsid w:val="00CC6A23"/>
    <w:rsid w:val="00CC6AF9"/>
    <w:rsid w:val="00CC6CE1"/>
    <w:rsid w:val="00CC6F1D"/>
    <w:rsid w:val="00CC6F33"/>
    <w:rsid w:val="00CC7041"/>
    <w:rsid w:val="00CD08FE"/>
    <w:rsid w:val="00CD0A0D"/>
    <w:rsid w:val="00CD0CB9"/>
    <w:rsid w:val="00CD0F2D"/>
    <w:rsid w:val="00CD1599"/>
    <w:rsid w:val="00CD1998"/>
    <w:rsid w:val="00CD1B9C"/>
    <w:rsid w:val="00CD1EC7"/>
    <w:rsid w:val="00CD20F1"/>
    <w:rsid w:val="00CD2A46"/>
    <w:rsid w:val="00CD2C32"/>
    <w:rsid w:val="00CD2F14"/>
    <w:rsid w:val="00CD2F21"/>
    <w:rsid w:val="00CD2FEE"/>
    <w:rsid w:val="00CD33DD"/>
    <w:rsid w:val="00CD349F"/>
    <w:rsid w:val="00CD34DB"/>
    <w:rsid w:val="00CD3915"/>
    <w:rsid w:val="00CD3A44"/>
    <w:rsid w:val="00CD3C5F"/>
    <w:rsid w:val="00CD3F8D"/>
    <w:rsid w:val="00CD3FCE"/>
    <w:rsid w:val="00CD40CE"/>
    <w:rsid w:val="00CD4284"/>
    <w:rsid w:val="00CD478C"/>
    <w:rsid w:val="00CD4888"/>
    <w:rsid w:val="00CD4A1F"/>
    <w:rsid w:val="00CD5262"/>
    <w:rsid w:val="00CD5928"/>
    <w:rsid w:val="00CD6372"/>
    <w:rsid w:val="00CD6A52"/>
    <w:rsid w:val="00CD6E3B"/>
    <w:rsid w:val="00CD76DF"/>
    <w:rsid w:val="00CD79D9"/>
    <w:rsid w:val="00CD79FB"/>
    <w:rsid w:val="00CD7E93"/>
    <w:rsid w:val="00CE006C"/>
    <w:rsid w:val="00CE006F"/>
    <w:rsid w:val="00CE058D"/>
    <w:rsid w:val="00CE064A"/>
    <w:rsid w:val="00CE10AD"/>
    <w:rsid w:val="00CE121D"/>
    <w:rsid w:val="00CE14C1"/>
    <w:rsid w:val="00CE1995"/>
    <w:rsid w:val="00CE1B63"/>
    <w:rsid w:val="00CE20C1"/>
    <w:rsid w:val="00CE21A6"/>
    <w:rsid w:val="00CE2846"/>
    <w:rsid w:val="00CE28C2"/>
    <w:rsid w:val="00CE2DAB"/>
    <w:rsid w:val="00CE2E3D"/>
    <w:rsid w:val="00CE3356"/>
    <w:rsid w:val="00CE360A"/>
    <w:rsid w:val="00CE3672"/>
    <w:rsid w:val="00CE36D8"/>
    <w:rsid w:val="00CE3C25"/>
    <w:rsid w:val="00CE40A1"/>
    <w:rsid w:val="00CE41D1"/>
    <w:rsid w:val="00CE450C"/>
    <w:rsid w:val="00CE47EC"/>
    <w:rsid w:val="00CE4BFE"/>
    <w:rsid w:val="00CE4F74"/>
    <w:rsid w:val="00CE533B"/>
    <w:rsid w:val="00CE5B20"/>
    <w:rsid w:val="00CE5E47"/>
    <w:rsid w:val="00CE6863"/>
    <w:rsid w:val="00CE6B11"/>
    <w:rsid w:val="00CE6EFA"/>
    <w:rsid w:val="00CE7827"/>
    <w:rsid w:val="00CE7CD5"/>
    <w:rsid w:val="00CE7D8D"/>
    <w:rsid w:val="00CE7F5D"/>
    <w:rsid w:val="00CF04A4"/>
    <w:rsid w:val="00CF062B"/>
    <w:rsid w:val="00CF07A9"/>
    <w:rsid w:val="00CF086F"/>
    <w:rsid w:val="00CF0FFF"/>
    <w:rsid w:val="00CF1317"/>
    <w:rsid w:val="00CF1863"/>
    <w:rsid w:val="00CF1BCC"/>
    <w:rsid w:val="00CF1E37"/>
    <w:rsid w:val="00CF217D"/>
    <w:rsid w:val="00CF2185"/>
    <w:rsid w:val="00CF2811"/>
    <w:rsid w:val="00CF2A9D"/>
    <w:rsid w:val="00CF2B08"/>
    <w:rsid w:val="00CF324C"/>
    <w:rsid w:val="00CF34E7"/>
    <w:rsid w:val="00CF3AD2"/>
    <w:rsid w:val="00CF4188"/>
    <w:rsid w:val="00CF4A9D"/>
    <w:rsid w:val="00CF4F2B"/>
    <w:rsid w:val="00CF52B0"/>
    <w:rsid w:val="00CF55BB"/>
    <w:rsid w:val="00CF603B"/>
    <w:rsid w:val="00CF64E7"/>
    <w:rsid w:val="00CF64F7"/>
    <w:rsid w:val="00CF67A6"/>
    <w:rsid w:val="00CF71B7"/>
    <w:rsid w:val="00CF72F0"/>
    <w:rsid w:val="00CF74A4"/>
    <w:rsid w:val="00CF76BE"/>
    <w:rsid w:val="00CF78B1"/>
    <w:rsid w:val="00CF7CA8"/>
    <w:rsid w:val="00D001FD"/>
    <w:rsid w:val="00D003C8"/>
    <w:rsid w:val="00D0072A"/>
    <w:rsid w:val="00D00739"/>
    <w:rsid w:val="00D019B2"/>
    <w:rsid w:val="00D01D1F"/>
    <w:rsid w:val="00D01EB6"/>
    <w:rsid w:val="00D01F2C"/>
    <w:rsid w:val="00D040C2"/>
    <w:rsid w:val="00D044C1"/>
    <w:rsid w:val="00D04981"/>
    <w:rsid w:val="00D04C59"/>
    <w:rsid w:val="00D057E9"/>
    <w:rsid w:val="00D058E7"/>
    <w:rsid w:val="00D0604C"/>
    <w:rsid w:val="00D0694A"/>
    <w:rsid w:val="00D07A65"/>
    <w:rsid w:val="00D07D35"/>
    <w:rsid w:val="00D100F0"/>
    <w:rsid w:val="00D1087E"/>
    <w:rsid w:val="00D108F3"/>
    <w:rsid w:val="00D114B0"/>
    <w:rsid w:val="00D1177E"/>
    <w:rsid w:val="00D1209B"/>
    <w:rsid w:val="00D1295B"/>
    <w:rsid w:val="00D13453"/>
    <w:rsid w:val="00D1364D"/>
    <w:rsid w:val="00D136E7"/>
    <w:rsid w:val="00D137B1"/>
    <w:rsid w:val="00D138D4"/>
    <w:rsid w:val="00D13A9E"/>
    <w:rsid w:val="00D13C67"/>
    <w:rsid w:val="00D13D36"/>
    <w:rsid w:val="00D14426"/>
    <w:rsid w:val="00D14718"/>
    <w:rsid w:val="00D14C77"/>
    <w:rsid w:val="00D1527F"/>
    <w:rsid w:val="00D1529E"/>
    <w:rsid w:val="00D15368"/>
    <w:rsid w:val="00D159BB"/>
    <w:rsid w:val="00D162A8"/>
    <w:rsid w:val="00D1653A"/>
    <w:rsid w:val="00D16991"/>
    <w:rsid w:val="00D177DB"/>
    <w:rsid w:val="00D17BCF"/>
    <w:rsid w:val="00D17F72"/>
    <w:rsid w:val="00D2041B"/>
    <w:rsid w:val="00D20498"/>
    <w:rsid w:val="00D20592"/>
    <w:rsid w:val="00D20F1E"/>
    <w:rsid w:val="00D210B2"/>
    <w:rsid w:val="00D21107"/>
    <w:rsid w:val="00D216F6"/>
    <w:rsid w:val="00D21AEB"/>
    <w:rsid w:val="00D22174"/>
    <w:rsid w:val="00D221A7"/>
    <w:rsid w:val="00D2243A"/>
    <w:rsid w:val="00D227BF"/>
    <w:rsid w:val="00D22CDA"/>
    <w:rsid w:val="00D22ED1"/>
    <w:rsid w:val="00D235F9"/>
    <w:rsid w:val="00D2379D"/>
    <w:rsid w:val="00D238CD"/>
    <w:rsid w:val="00D23AE7"/>
    <w:rsid w:val="00D243C2"/>
    <w:rsid w:val="00D24497"/>
    <w:rsid w:val="00D24728"/>
    <w:rsid w:val="00D24CAF"/>
    <w:rsid w:val="00D251D2"/>
    <w:rsid w:val="00D25245"/>
    <w:rsid w:val="00D255E9"/>
    <w:rsid w:val="00D2598E"/>
    <w:rsid w:val="00D25A42"/>
    <w:rsid w:val="00D25E4B"/>
    <w:rsid w:val="00D25F7F"/>
    <w:rsid w:val="00D262A1"/>
    <w:rsid w:val="00D2655D"/>
    <w:rsid w:val="00D265F1"/>
    <w:rsid w:val="00D2662D"/>
    <w:rsid w:val="00D26807"/>
    <w:rsid w:val="00D26D1C"/>
    <w:rsid w:val="00D26E33"/>
    <w:rsid w:val="00D27626"/>
    <w:rsid w:val="00D2763C"/>
    <w:rsid w:val="00D2783D"/>
    <w:rsid w:val="00D27BC3"/>
    <w:rsid w:val="00D27C42"/>
    <w:rsid w:val="00D30E74"/>
    <w:rsid w:val="00D31CA4"/>
    <w:rsid w:val="00D32063"/>
    <w:rsid w:val="00D3271A"/>
    <w:rsid w:val="00D32854"/>
    <w:rsid w:val="00D32B25"/>
    <w:rsid w:val="00D332D6"/>
    <w:rsid w:val="00D333C6"/>
    <w:rsid w:val="00D33631"/>
    <w:rsid w:val="00D33837"/>
    <w:rsid w:val="00D33971"/>
    <w:rsid w:val="00D33CCF"/>
    <w:rsid w:val="00D34428"/>
    <w:rsid w:val="00D3469B"/>
    <w:rsid w:val="00D36781"/>
    <w:rsid w:val="00D3689B"/>
    <w:rsid w:val="00D36E37"/>
    <w:rsid w:val="00D36F4F"/>
    <w:rsid w:val="00D36F6C"/>
    <w:rsid w:val="00D36FAF"/>
    <w:rsid w:val="00D37108"/>
    <w:rsid w:val="00D3711C"/>
    <w:rsid w:val="00D372D8"/>
    <w:rsid w:val="00D400FA"/>
    <w:rsid w:val="00D40112"/>
    <w:rsid w:val="00D402D0"/>
    <w:rsid w:val="00D4035E"/>
    <w:rsid w:val="00D40FAC"/>
    <w:rsid w:val="00D4167A"/>
    <w:rsid w:val="00D418ED"/>
    <w:rsid w:val="00D41A9C"/>
    <w:rsid w:val="00D42016"/>
    <w:rsid w:val="00D4299B"/>
    <w:rsid w:val="00D42DE4"/>
    <w:rsid w:val="00D43099"/>
    <w:rsid w:val="00D43704"/>
    <w:rsid w:val="00D4375D"/>
    <w:rsid w:val="00D43AF9"/>
    <w:rsid w:val="00D43E24"/>
    <w:rsid w:val="00D43EEB"/>
    <w:rsid w:val="00D440A7"/>
    <w:rsid w:val="00D4427D"/>
    <w:rsid w:val="00D44467"/>
    <w:rsid w:val="00D44546"/>
    <w:rsid w:val="00D44662"/>
    <w:rsid w:val="00D44671"/>
    <w:rsid w:val="00D44CBF"/>
    <w:rsid w:val="00D45937"/>
    <w:rsid w:val="00D459AA"/>
    <w:rsid w:val="00D464E9"/>
    <w:rsid w:val="00D465B0"/>
    <w:rsid w:val="00D46793"/>
    <w:rsid w:val="00D46DA3"/>
    <w:rsid w:val="00D478EE"/>
    <w:rsid w:val="00D47955"/>
    <w:rsid w:val="00D479E0"/>
    <w:rsid w:val="00D47B92"/>
    <w:rsid w:val="00D47E16"/>
    <w:rsid w:val="00D505E8"/>
    <w:rsid w:val="00D50603"/>
    <w:rsid w:val="00D5085A"/>
    <w:rsid w:val="00D50B1D"/>
    <w:rsid w:val="00D50F16"/>
    <w:rsid w:val="00D511ED"/>
    <w:rsid w:val="00D5154B"/>
    <w:rsid w:val="00D51F68"/>
    <w:rsid w:val="00D5264B"/>
    <w:rsid w:val="00D53197"/>
    <w:rsid w:val="00D5360E"/>
    <w:rsid w:val="00D53792"/>
    <w:rsid w:val="00D53801"/>
    <w:rsid w:val="00D539AD"/>
    <w:rsid w:val="00D53B40"/>
    <w:rsid w:val="00D53C80"/>
    <w:rsid w:val="00D54028"/>
    <w:rsid w:val="00D54745"/>
    <w:rsid w:val="00D5476D"/>
    <w:rsid w:val="00D54903"/>
    <w:rsid w:val="00D549AD"/>
    <w:rsid w:val="00D55554"/>
    <w:rsid w:val="00D55DBF"/>
    <w:rsid w:val="00D55E47"/>
    <w:rsid w:val="00D56262"/>
    <w:rsid w:val="00D56473"/>
    <w:rsid w:val="00D5654C"/>
    <w:rsid w:val="00D5691A"/>
    <w:rsid w:val="00D57816"/>
    <w:rsid w:val="00D57B80"/>
    <w:rsid w:val="00D57BA5"/>
    <w:rsid w:val="00D57CDC"/>
    <w:rsid w:val="00D6022C"/>
    <w:rsid w:val="00D60597"/>
    <w:rsid w:val="00D608E7"/>
    <w:rsid w:val="00D60A9E"/>
    <w:rsid w:val="00D60C53"/>
    <w:rsid w:val="00D60D58"/>
    <w:rsid w:val="00D60D97"/>
    <w:rsid w:val="00D60DD8"/>
    <w:rsid w:val="00D61274"/>
    <w:rsid w:val="00D6186C"/>
    <w:rsid w:val="00D62ACB"/>
    <w:rsid w:val="00D62D5A"/>
    <w:rsid w:val="00D62D9E"/>
    <w:rsid w:val="00D63253"/>
    <w:rsid w:val="00D63451"/>
    <w:rsid w:val="00D6363A"/>
    <w:rsid w:val="00D63829"/>
    <w:rsid w:val="00D63D0C"/>
    <w:rsid w:val="00D64820"/>
    <w:rsid w:val="00D64AC0"/>
    <w:rsid w:val="00D64CF7"/>
    <w:rsid w:val="00D64D59"/>
    <w:rsid w:val="00D6564C"/>
    <w:rsid w:val="00D65825"/>
    <w:rsid w:val="00D65F32"/>
    <w:rsid w:val="00D660C1"/>
    <w:rsid w:val="00D662FC"/>
    <w:rsid w:val="00D666B1"/>
    <w:rsid w:val="00D669ED"/>
    <w:rsid w:val="00D67910"/>
    <w:rsid w:val="00D67958"/>
    <w:rsid w:val="00D67A49"/>
    <w:rsid w:val="00D67D06"/>
    <w:rsid w:val="00D67FD5"/>
    <w:rsid w:val="00D70DDE"/>
    <w:rsid w:val="00D711A8"/>
    <w:rsid w:val="00D7168E"/>
    <w:rsid w:val="00D7184B"/>
    <w:rsid w:val="00D71B3F"/>
    <w:rsid w:val="00D71FC6"/>
    <w:rsid w:val="00D72135"/>
    <w:rsid w:val="00D722AF"/>
    <w:rsid w:val="00D7260A"/>
    <w:rsid w:val="00D730AB"/>
    <w:rsid w:val="00D73236"/>
    <w:rsid w:val="00D73E5B"/>
    <w:rsid w:val="00D74163"/>
    <w:rsid w:val="00D7486D"/>
    <w:rsid w:val="00D74ED8"/>
    <w:rsid w:val="00D754E3"/>
    <w:rsid w:val="00D75CDE"/>
    <w:rsid w:val="00D75F21"/>
    <w:rsid w:val="00D7625E"/>
    <w:rsid w:val="00D766B1"/>
    <w:rsid w:val="00D76B84"/>
    <w:rsid w:val="00D76BBC"/>
    <w:rsid w:val="00D76BDB"/>
    <w:rsid w:val="00D76C80"/>
    <w:rsid w:val="00D76FB4"/>
    <w:rsid w:val="00D77125"/>
    <w:rsid w:val="00D77542"/>
    <w:rsid w:val="00D77986"/>
    <w:rsid w:val="00D77A7C"/>
    <w:rsid w:val="00D802D9"/>
    <w:rsid w:val="00D8053B"/>
    <w:rsid w:val="00D8071C"/>
    <w:rsid w:val="00D80E9B"/>
    <w:rsid w:val="00D80FD5"/>
    <w:rsid w:val="00D816C4"/>
    <w:rsid w:val="00D81844"/>
    <w:rsid w:val="00D81CD2"/>
    <w:rsid w:val="00D81D29"/>
    <w:rsid w:val="00D82190"/>
    <w:rsid w:val="00D826F3"/>
    <w:rsid w:val="00D82A4A"/>
    <w:rsid w:val="00D82D90"/>
    <w:rsid w:val="00D838B5"/>
    <w:rsid w:val="00D83CB4"/>
    <w:rsid w:val="00D84044"/>
    <w:rsid w:val="00D840B2"/>
    <w:rsid w:val="00D844DA"/>
    <w:rsid w:val="00D84C19"/>
    <w:rsid w:val="00D85213"/>
    <w:rsid w:val="00D858DA"/>
    <w:rsid w:val="00D858E1"/>
    <w:rsid w:val="00D85A03"/>
    <w:rsid w:val="00D85A60"/>
    <w:rsid w:val="00D85B51"/>
    <w:rsid w:val="00D85DEB"/>
    <w:rsid w:val="00D86438"/>
    <w:rsid w:val="00D865FC"/>
    <w:rsid w:val="00D866BA"/>
    <w:rsid w:val="00D87106"/>
    <w:rsid w:val="00D875B9"/>
    <w:rsid w:val="00D8761F"/>
    <w:rsid w:val="00D877D2"/>
    <w:rsid w:val="00D87FDF"/>
    <w:rsid w:val="00D90BD2"/>
    <w:rsid w:val="00D911A4"/>
    <w:rsid w:val="00D917ED"/>
    <w:rsid w:val="00D91820"/>
    <w:rsid w:val="00D91E31"/>
    <w:rsid w:val="00D92279"/>
    <w:rsid w:val="00D92350"/>
    <w:rsid w:val="00D926FA"/>
    <w:rsid w:val="00D927E4"/>
    <w:rsid w:val="00D9299A"/>
    <w:rsid w:val="00D93174"/>
    <w:rsid w:val="00D931E9"/>
    <w:rsid w:val="00D93AE6"/>
    <w:rsid w:val="00D93B82"/>
    <w:rsid w:val="00D943E1"/>
    <w:rsid w:val="00D9454D"/>
    <w:rsid w:val="00D94606"/>
    <w:rsid w:val="00D948EB"/>
    <w:rsid w:val="00D94B47"/>
    <w:rsid w:val="00D94EE4"/>
    <w:rsid w:val="00D950FA"/>
    <w:rsid w:val="00D95706"/>
    <w:rsid w:val="00D9580D"/>
    <w:rsid w:val="00D959D3"/>
    <w:rsid w:val="00D95A68"/>
    <w:rsid w:val="00D95BB1"/>
    <w:rsid w:val="00D96879"/>
    <w:rsid w:val="00D96989"/>
    <w:rsid w:val="00D970F3"/>
    <w:rsid w:val="00D973F8"/>
    <w:rsid w:val="00DA0156"/>
    <w:rsid w:val="00DA0A2E"/>
    <w:rsid w:val="00DA0C08"/>
    <w:rsid w:val="00DA0CB7"/>
    <w:rsid w:val="00DA0E77"/>
    <w:rsid w:val="00DA10AB"/>
    <w:rsid w:val="00DA1273"/>
    <w:rsid w:val="00DA13D7"/>
    <w:rsid w:val="00DA17A6"/>
    <w:rsid w:val="00DA1909"/>
    <w:rsid w:val="00DA1C7B"/>
    <w:rsid w:val="00DA1E04"/>
    <w:rsid w:val="00DA2450"/>
    <w:rsid w:val="00DA25B7"/>
    <w:rsid w:val="00DA3909"/>
    <w:rsid w:val="00DA4559"/>
    <w:rsid w:val="00DA49CC"/>
    <w:rsid w:val="00DA4BCC"/>
    <w:rsid w:val="00DA4F8B"/>
    <w:rsid w:val="00DA55DB"/>
    <w:rsid w:val="00DA56BF"/>
    <w:rsid w:val="00DA57CF"/>
    <w:rsid w:val="00DA5A46"/>
    <w:rsid w:val="00DA5DD1"/>
    <w:rsid w:val="00DA6D0D"/>
    <w:rsid w:val="00DA72C1"/>
    <w:rsid w:val="00DA76FD"/>
    <w:rsid w:val="00DB0089"/>
    <w:rsid w:val="00DB04BE"/>
    <w:rsid w:val="00DB04FB"/>
    <w:rsid w:val="00DB06E6"/>
    <w:rsid w:val="00DB0931"/>
    <w:rsid w:val="00DB110D"/>
    <w:rsid w:val="00DB1C3B"/>
    <w:rsid w:val="00DB25A2"/>
    <w:rsid w:val="00DB28E9"/>
    <w:rsid w:val="00DB2C4C"/>
    <w:rsid w:val="00DB2D2C"/>
    <w:rsid w:val="00DB2FF1"/>
    <w:rsid w:val="00DB3378"/>
    <w:rsid w:val="00DB3473"/>
    <w:rsid w:val="00DB40E2"/>
    <w:rsid w:val="00DB437B"/>
    <w:rsid w:val="00DB441E"/>
    <w:rsid w:val="00DB4A9B"/>
    <w:rsid w:val="00DB4FEE"/>
    <w:rsid w:val="00DB50AC"/>
    <w:rsid w:val="00DB58AE"/>
    <w:rsid w:val="00DB602D"/>
    <w:rsid w:val="00DB60DA"/>
    <w:rsid w:val="00DB69C2"/>
    <w:rsid w:val="00DB6EDB"/>
    <w:rsid w:val="00DB6F7D"/>
    <w:rsid w:val="00DB6F94"/>
    <w:rsid w:val="00DB6F9A"/>
    <w:rsid w:val="00DB6FE2"/>
    <w:rsid w:val="00DB72DA"/>
    <w:rsid w:val="00DB74B0"/>
    <w:rsid w:val="00DB79F0"/>
    <w:rsid w:val="00DB7AFC"/>
    <w:rsid w:val="00DC007F"/>
    <w:rsid w:val="00DC00FB"/>
    <w:rsid w:val="00DC0336"/>
    <w:rsid w:val="00DC0883"/>
    <w:rsid w:val="00DC0B14"/>
    <w:rsid w:val="00DC0D55"/>
    <w:rsid w:val="00DC0D68"/>
    <w:rsid w:val="00DC121F"/>
    <w:rsid w:val="00DC1492"/>
    <w:rsid w:val="00DC1BDB"/>
    <w:rsid w:val="00DC209A"/>
    <w:rsid w:val="00DC27D6"/>
    <w:rsid w:val="00DC29D7"/>
    <w:rsid w:val="00DC32A7"/>
    <w:rsid w:val="00DC36A6"/>
    <w:rsid w:val="00DC375C"/>
    <w:rsid w:val="00DC3844"/>
    <w:rsid w:val="00DC44A2"/>
    <w:rsid w:val="00DC490C"/>
    <w:rsid w:val="00DC4E0E"/>
    <w:rsid w:val="00DC4F09"/>
    <w:rsid w:val="00DC5228"/>
    <w:rsid w:val="00DC528F"/>
    <w:rsid w:val="00DC5365"/>
    <w:rsid w:val="00DC5858"/>
    <w:rsid w:val="00DC5D44"/>
    <w:rsid w:val="00DC5F23"/>
    <w:rsid w:val="00DC7126"/>
    <w:rsid w:val="00DC7726"/>
    <w:rsid w:val="00DC7897"/>
    <w:rsid w:val="00DD015E"/>
    <w:rsid w:val="00DD0480"/>
    <w:rsid w:val="00DD0517"/>
    <w:rsid w:val="00DD081C"/>
    <w:rsid w:val="00DD088D"/>
    <w:rsid w:val="00DD09AB"/>
    <w:rsid w:val="00DD0EE1"/>
    <w:rsid w:val="00DD10BD"/>
    <w:rsid w:val="00DD13C6"/>
    <w:rsid w:val="00DD147B"/>
    <w:rsid w:val="00DD2040"/>
    <w:rsid w:val="00DD258C"/>
    <w:rsid w:val="00DD308C"/>
    <w:rsid w:val="00DD30C2"/>
    <w:rsid w:val="00DD310D"/>
    <w:rsid w:val="00DD329E"/>
    <w:rsid w:val="00DD3ABF"/>
    <w:rsid w:val="00DD4461"/>
    <w:rsid w:val="00DD4902"/>
    <w:rsid w:val="00DD56B6"/>
    <w:rsid w:val="00DD5734"/>
    <w:rsid w:val="00DD579D"/>
    <w:rsid w:val="00DD5846"/>
    <w:rsid w:val="00DD71AD"/>
    <w:rsid w:val="00DD7315"/>
    <w:rsid w:val="00DE0021"/>
    <w:rsid w:val="00DE01A0"/>
    <w:rsid w:val="00DE0280"/>
    <w:rsid w:val="00DE091E"/>
    <w:rsid w:val="00DE0CCD"/>
    <w:rsid w:val="00DE0D48"/>
    <w:rsid w:val="00DE195F"/>
    <w:rsid w:val="00DE1E57"/>
    <w:rsid w:val="00DE2301"/>
    <w:rsid w:val="00DE2550"/>
    <w:rsid w:val="00DE27E1"/>
    <w:rsid w:val="00DE2B95"/>
    <w:rsid w:val="00DE3242"/>
    <w:rsid w:val="00DE387E"/>
    <w:rsid w:val="00DE3B1B"/>
    <w:rsid w:val="00DE3BDC"/>
    <w:rsid w:val="00DE4896"/>
    <w:rsid w:val="00DE49AD"/>
    <w:rsid w:val="00DE4EE1"/>
    <w:rsid w:val="00DE4F11"/>
    <w:rsid w:val="00DE5731"/>
    <w:rsid w:val="00DE5C76"/>
    <w:rsid w:val="00DE5D01"/>
    <w:rsid w:val="00DE66E0"/>
    <w:rsid w:val="00DE69B6"/>
    <w:rsid w:val="00DE69CF"/>
    <w:rsid w:val="00DE6B1F"/>
    <w:rsid w:val="00DE75A5"/>
    <w:rsid w:val="00DE7C37"/>
    <w:rsid w:val="00DF00D6"/>
    <w:rsid w:val="00DF02E8"/>
    <w:rsid w:val="00DF0399"/>
    <w:rsid w:val="00DF0856"/>
    <w:rsid w:val="00DF0963"/>
    <w:rsid w:val="00DF0A36"/>
    <w:rsid w:val="00DF15D9"/>
    <w:rsid w:val="00DF1764"/>
    <w:rsid w:val="00DF1F39"/>
    <w:rsid w:val="00DF2099"/>
    <w:rsid w:val="00DF25A7"/>
    <w:rsid w:val="00DF25D1"/>
    <w:rsid w:val="00DF26DA"/>
    <w:rsid w:val="00DF297D"/>
    <w:rsid w:val="00DF2E0A"/>
    <w:rsid w:val="00DF3272"/>
    <w:rsid w:val="00DF3432"/>
    <w:rsid w:val="00DF355C"/>
    <w:rsid w:val="00DF429C"/>
    <w:rsid w:val="00DF458E"/>
    <w:rsid w:val="00DF48C0"/>
    <w:rsid w:val="00DF4C13"/>
    <w:rsid w:val="00DF537E"/>
    <w:rsid w:val="00DF542A"/>
    <w:rsid w:val="00DF55A2"/>
    <w:rsid w:val="00DF574A"/>
    <w:rsid w:val="00DF6C6D"/>
    <w:rsid w:val="00DF6EBE"/>
    <w:rsid w:val="00DF7BA1"/>
    <w:rsid w:val="00DF7D72"/>
    <w:rsid w:val="00DF7FB4"/>
    <w:rsid w:val="00E00425"/>
    <w:rsid w:val="00E0058D"/>
    <w:rsid w:val="00E00647"/>
    <w:rsid w:val="00E0149C"/>
    <w:rsid w:val="00E0166A"/>
    <w:rsid w:val="00E01914"/>
    <w:rsid w:val="00E01992"/>
    <w:rsid w:val="00E01A82"/>
    <w:rsid w:val="00E01AEA"/>
    <w:rsid w:val="00E01B5E"/>
    <w:rsid w:val="00E020A9"/>
    <w:rsid w:val="00E0264E"/>
    <w:rsid w:val="00E026BB"/>
    <w:rsid w:val="00E026DD"/>
    <w:rsid w:val="00E02728"/>
    <w:rsid w:val="00E02B41"/>
    <w:rsid w:val="00E0354F"/>
    <w:rsid w:val="00E03F54"/>
    <w:rsid w:val="00E04194"/>
    <w:rsid w:val="00E041E3"/>
    <w:rsid w:val="00E043C2"/>
    <w:rsid w:val="00E05121"/>
    <w:rsid w:val="00E052FF"/>
    <w:rsid w:val="00E054D1"/>
    <w:rsid w:val="00E05799"/>
    <w:rsid w:val="00E05DD6"/>
    <w:rsid w:val="00E05EFD"/>
    <w:rsid w:val="00E0641A"/>
    <w:rsid w:val="00E06E61"/>
    <w:rsid w:val="00E070EA"/>
    <w:rsid w:val="00E07252"/>
    <w:rsid w:val="00E07407"/>
    <w:rsid w:val="00E0758B"/>
    <w:rsid w:val="00E07755"/>
    <w:rsid w:val="00E07763"/>
    <w:rsid w:val="00E07D1C"/>
    <w:rsid w:val="00E1092D"/>
    <w:rsid w:val="00E11063"/>
    <w:rsid w:val="00E110CD"/>
    <w:rsid w:val="00E1125C"/>
    <w:rsid w:val="00E11ED7"/>
    <w:rsid w:val="00E12282"/>
    <w:rsid w:val="00E1259E"/>
    <w:rsid w:val="00E12903"/>
    <w:rsid w:val="00E12E6C"/>
    <w:rsid w:val="00E12EF4"/>
    <w:rsid w:val="00E12F7C"/>
    <w:rsid w:val="00E13545"/>
    <w:rsid w:val="00E135D0"/>
    <w:rsid w:val="00E13626"/>
    <w:rsid w:val="00E13A2D"/>
    <w:rsid w:val="00E13A39"/>
    <w:rsid w:val="00E13A61"/>
    <w:rsid w:val="00E14268"/>
    <w:rsid w:val="00E14568"/>
    <w:rsid w:val="00E14D5E"/>
    <w:rsid w:val="00E15796"/>
    <w:rsid w:val="00E15993"/>
    <w:rsid w:val="00E164DC"/>
    <w:rsid w:val="00E17294"/>
    <w:rsid w:val="00E175C4"/>
    <w:rsid w:val="00E1763A"/>
    <w:rsid w:val="00E17746"/>
    <w:rsid w:val="00E17822"/>
    <w:rsid w:val="00E17919"/>
    <w:rsid w:val="00E1799C"/>
    <w:rsid w:val="00E17A06"/>
    <w:rsid w:val="00E20BFB"/>
    <w:rsid w:val="00E20E63"/>
    <w:rsid w:val="00E2145C"/>
    <w:rsid w:val="00E21B89"/>
    <w:rsid w:val="00E21CFC"/>
    <w:rsid w:val="00E21D75"/>
    <w:rsid w:val="00E21ED3"/>
    <w:rsid w:val="00E22B0B"/>
    <w:rsid w:val="00E22F01"/>
    <w:rsid w:val="00E23361"/>
    <w:rsid w:val="00E23A97"/>
    <w:rsid w:val="00E24125"/>
    <w:rsid w:val="00E24253"/>
    <w:rsid w:val="00E243B6"/>
    <w:rsid w:val="00E24B7F"/>
    <w:rsid w:val="00E24DAE"/>
    <w:rsid w:val="00E253BC"/>
    <w:rsid w:val="00E255A3"/>
    <w:rsid w:val="00E257DB"/>
    <w:rsid w:val="00E25B17"/>
    <w:rsid w:val="00E26E62"/>
    <w:rsid w:val="00E26F16"/>
    <w:rsid w:val="00E273A8"/>
    <w:rsid w:val="00E278D9"/>
    <w:rsid w:val="00E27B86"/>
    <w:rsid w:val="00E27C56"/>
    <w:rsid w:val="00E27DEA"/>
    <w:rsid w:val="00E27FAD"/>
    <w:rsid w:val="00E30060"/>
    <w:rsid w:val="00E30C39"/>
    <w:rsid w:val="00E30F7C"/>
    <w:rsid w:val="00E3112A"/>
    <w:rsid w:val="00E31CA2"/>
    <w:rsid w:val="00E31EEF"/>
    <w:rsid w:val="00E3237B"/>
    <w:rsid w:val="00E32FB2"/>
    <w:rsid w:val="00E33199"/>
    <w:rsid w:val="00E3338D"/>
    <w:rsid w:val="00E336BA"/>
    <w:rsid w:val="00E339C9"/>
    <w:rsid w:val="00E33A19"/>
    <w:rsid w:val="00E33AF1"/>
    <w:rsid w:val="00E33CC0"/>
    <w:rsid w:val="00E33D84"/>
    <w:rsid w:val="00E340A8"/>
    <w:rsid w:val="00E34291"/>
    <w:rsid w:val="00E348D1"/>
    <w:rsid w:val="00E35295"/>
    <w:rsid w:val="00E359B4"/>
    <w:rsid w:val="00E36653"/>
    <w:rsid w:val="00E368A5"/>
    <w:rsid w:val="00E36A27"/>
    <w:rsid w:val="00E36B84"/>
    <w:rsid w:val="00E36D72"/>
    <w:rsid w:val="00E36F26"/>
    <w:rsid w:val="00E37D44"/>
    <w:rsid w:val="00E4022F"/>
    <w:rsid w:val="00E403CF"/>
    <w:rsid w:val="00E406EF"/>
    <w:rsid w:val="00E40799"/>
    <w:rsid w:val="00E40900"/>
    <w:rsid w:val="00E40C22"/>
    <w:rsid w:val="00E40DB4"/>
    <w:rsid w:val="00E419F4"/>
    <w:rsid w:val="00E41CD6"/>
    <w:rsid w:val="00E41D64"/>
    <w:rsid w:val="00E42598"/>
    <w:rsid w:val="00E426F1"/>
    <w:rsid w:val="00E42CA5"/>
    <w:rsid w:val="00E433C4"/>
    <w:rsid w:val="00E43BAC"/>
    <w:rsid w:val="00E443A8"/>
    <w:rsid w:val="00E44850"/>
    <w:rsid w:val="00E4539B"/>
    <w:rsid w:val="00E45D97"/>
    <w:rsid w:val="00E45E5D"/>
    <w:rsid w:val="00E4634F"/>
    <w:rsid w:val="00E46984"/>
    <w:rsid w:val="00E46D1B"/>
    <w:rsid w:val="00E479BE"/>
    <w:rsid w:val="00E47AB3"/>
    <w:rsid w:val="00E47D26"/>
    <w:rsid w:val="00E50024"/>
    <w:rsid w:val="00E50271"/>
    <w:rsid w:val="00E50667"/>
    <w:rsid w:val="00E50C86"/>
    <w:rsid w:val="00E517AD"/>
    <w:rsid w:val="00E519BA"/>
    <w:rsid w:val="00E51A50"/>
    <w:rsid w:val="00E520F3"/>
    <w:rsid w:val="00E526CC"/>
    <w:rsid w:val="00E52ACC"/>
    <w:rsid w:val="00E52FDF"/>
    <w:rsid w:val="00E5325C"/>
    <w:rsid w:val="00E53521"/>
    <w:rsid w:val="00E53721"/>
    <w:rsid w:val="00E537BE"/>
    <w:rsid w:val="00E539CB"/>
    <w:rsid w:val="00E541A4"/>
    <w:rsid w:val="00E54223"/>
    <w:rsid w:val="00E5435E"/>
    <w:rsid w:val="00E5444A"/>
    <w:rsid w:val="00E54A92"/>
    <w:rsid w:val="00E54CC0"/>
    <w:rsid w:val="00E54ECB"/>
    <w:rsid w:val="00E554B2"/>
    <w:rsid w:val="00E555AB"/>
    <w:rsid w:val="00E55753"/>
    <w:rsid w:val="00E55A06"/>
    <w:rsid w:val="00E55B82"/>
    <w:rsid w:val="00E55F83"/>
    <w:rsid w:val="00E561E6"/>
    <w:rsid w:val="00E56289"/>
    <w:rsid w:val="00E56533"/>
    <w:rsid w:val="00E5659E"/>
    <w:rsid w:val="00E5687B"/>
    <w:rsid w:val="00E56CCC"/>
    <w:rsid w:val="00E56DDD"/>
    <w:rsid w:val="00E571E0"/>
    <w:rsid w:val="00E5748E"/>
    <w:rsid w:val="00E577BA"/>
    <w:rsid w:val="00E57AE7"/>
    <w:rsid w:val="00E57B51"/>
    <w:rsid w:val="00E57F55"/>
    <w:rsid w:val="00E57FAA"/>
    <w:rsid w:val="00E602EC"/>
    <w:rsid w:val="00E6036A"/>
    <w:rsid w:val="00E6058C"/>
    <w:rsid w:val="00E608D4"/>
    <w:rsid w:val="00E60C8E"/>
    <w:rsid w:val="00E60D6F"/>
    <w:rsid w:val="00E61181"/>
    <w:rsid w:val="00E61738"/>
    <w:rsid w:val="00E61B40"/>
    <w:rsid w:val="00E62358"/>
    <w:rsid w:val="00E623DE"/>
    <w:rsid w:val="00E623F8"/>
    <w:rsid w:val="00E623FC"/>
    <w:rsid w:val="00E62466"/>
    <w:rsid w:val="00E62581"/>
    <w:rsid w:val="00E6276D"/>
    <w:rsid w:val="00E62E02"/>
    <w:rsid w:val="00E62E7B"/>
    <w:rsid w:val="00E6308F"/>
    <w:rsid w:val="00E63125"/>
    <w:rsid w:val="00E636C9"/>
    <w:rsid w:val="00E63749"/>
    <w:rsid w:val="00E63770"/>
    <w:rsid w:val="00E63A0D"/>
    <w:rsid w:val="00E63A38"/>
    <w:rsid w:val="00E63BEB"/>
    <w:rsid w:val="00E64574"/>
    <w:rsid w:val="00E646F5"/>
    <w:rsid w:val="00E65210"/>
    <w:rsid w:val="00E65E13"/>
    <w:rsid w:val="00E6637C"/>
    <w:rsid w:val="00E67229"/>
    <w:rsid w:val="00E674E8"/>
    <w:rsid w:val="00E6776F"/>
    <w:rsid w:val="00E678F5"/>
    <w:rsid w:val="00E67DFA"/>
    <w:rsid w:val="00E67F1D"/>
    <w:rsid w:val="00E706BE"/>
    <w:rsid w:val="00E70D23"/>
    <w:rsid w:val="00E70DAE"/>
    <w:rsid w:val="00E72211"/>
    <w:rsid w:val="00E72AB9"/>
    <w:rsid w:val="00E73180"/>
    <w:rsid w:val="00E73943"/>
    <w:rsid w:val="00E74078"/>
    <w:rsid w:val="00E742C4"/>
    <w:rsid w:val="00E74D67"/>
    <w:rsid w:val="00E75A13"/>
    <w:rsid w:val="00E75B4A"/>
    <w:rsid w:val="00E75D0C"/>
    <w:rsid w:val="00E7601E"/>
    <w:rsid w:val="00E762A3"/>
    <w:rsid w:val="00E7667E"/>
    <w:rsid w:val="00E766D3"/>
    <w:rsid w:val="00E76811"/>
    <w:rsid w:val="00E76BB2"/>
    <w:rsid w:val="00E76F5C"/>
    <w:rsid w:val="00E77095"/>
    <w:rsid w:val="00E7776B"/>
    <w:rsid w:val="00E77900"/>
    <w:rsid w:val="00E77A82"/>
    <w:rsid w:val="00E77B5B"/>
    <w:rsid w:val="00E77C48"/>
    <w:rsid w:val="00E800B1"/>
    <w:rsid w:val="00E801A6"/>
    <w:rsid w:val="00E80877"/>
    <w:rsid w:val="00E80D29"/>
    <w:rsid w:val="00E80F47"/>
    <w:rsid w:val="00E815D6"/>
    <w:rsid w:val="00E81975"/>
    <w:rsid w:val="00E81E17"/>
    <w:rsid w:val="00E81EA2"/>
    <w:rsid w:val="00E81F99"/>
    <w:rsid w:val="00E82092"/>
    <w:rsid w:val="00E820C3"/>
    <w:rsid w:val="00E823B4"/>
    <w:rsid w:val="00E82401"/>
    <w:rsid w:val="00E82416"/>
    <w:rsid w:val="00E826E5"/>
    <w:rsid w:val="00E8276C"/>
    <w:rsid w:val="00E828C5"/>
    <w:rsid w:val="00E82B0F"/>
    <w:rsid w:val="00E8313E"/>
    <w:rsid w:val="00E834D9"/>
    <w:rsid w:val="00E836C2"/>
    <w:rsid w:val="00E83724"/>
    <w:rsid w:val="00E83732"/>
    <w:rsid w:val="00E83C1A"/>
    <w:rsid w:val="00E8433F"/>
    <w:rsid w:val="00E8442B"/>
    <w:rsid w:val="00E846F0"/>
    <w:rsid w:val="00E84F71"/>
    <w:rsid w:val="00E85185"/>
    <w:rsid w:val="00E85200"/>
    <w:rsid w:val="00E8556F"/>
    <w:rsid w:val="00E85635"/>
    <w:rsid w:val="00E8577A"/>
    <w:rsid w:val="00E85C14"/>
    <w:rsid w:val="00E87818"/>
    <w:rsid w:val="00E903A3"/>
    <w:rsid w:val="00E904E9"/>
    <w:rsid w:val="00E90B15"/>
    <w:rsid w:val="00E90DEA"/>
    <w:rsid w:val="00E91310"/>
    <w:rsid w:val="00E91DA9"/>
    <w:rsid w:val="00E923C4"/>
    <w:rsid w:val="00E92701"/>
    <w:rsid w:val="00E92B4E"/>
    <w:rsid w:val="00E92C57"/>
    <w:rsid w:val="00E92CB6"/>
    <w:rsid w:val="00E92FF5"/>
    <w:rsid w:val="00E93CFD"/>
    <w:rsid w:val="00E94025"/>
    <w:rsid w:val="00E940A6"/>
    <w:rsid w:val="00E942D7"/>
    <w:rsid w:val="00E94345"/>
    <w:rsid w:val="00E9452D"/>
    <w:rsid w:val="00E94AC6"/>
    <w:rsid w:val="00E94CC8"/>
    <w:rsid w:val="00E94F8F"/>
    <w:rsid w:val="00E95018"/>
    <w:rsid w:val="00E950F0"/>
    <w:rsid w:val="00E95448"/>
    <w:rsid w:val="00E95739"/>
    <w:rsid w:val="00E96414"/>
    <w:rsid w:val="00E965DB"/>
    <w:rsid w:val="00E9688D"/>
    <w:rsid w:val="00E97F26"/>
    <w:rsid w:val="00E97F4E"/>
    <w:rsid w:val="00EA0632"/>
    <w:rsid w:val="00EA06B0"/>
    <w:rsid w:val="00EA0721"/>
    <w:rsid w:val="00EA0A74"/>
    <w:rsid w:val="00EA13C3"/>
    <w:rsid w:val="00EA151D"/>
    <w:rsid w:val="00EA1E3D"/>
    <w:rsid w:val="00EA2089"/>
    <w:rsid w:val="00EA23AF"/>
    <w:rsid w:val="00EA2685"/>
    <w:rsid w:val="00EA26B7"/>
    <w:rsid w:val="00EA2A77"/>
    <w:rsid w:val="00EA30E5"/>
    <w:rsid w:val="00EA3AA2"/>
    <w:rsid w:val="00EA3E6B"/>
    <w:rsid w:val="00EA48A7"/>
    <w:rsid w:val="00EA4F96"/>
    <w:rsid w:val="00EA5230"/>
    <w:rsid w:val="00EA5AB6"/>
    <w:rsid w:val="00EA5D10"/>
    <w:rsid w:val="00EA6140"/>
    <w:rsid w:val="00EA6252"/>
    <w:rsid w:val="00EA6419"/>
    <w:rsid w:val="00EA68E0"/>
    <w:rsid w:val="00EA6B13"/>
    <w:rsid w:val="00EA72E2"/>
    <w:rsid w:val="00EA75D3"/>
    <w:rsid w:val="00EA7E5A"/>
    <w:rsid w:val="00EB00DA"/>
    <w:rsid w:val="00EB0484"/>
    <w:rsid w:val="00EB06B9"/>
    <w:rsid w:val="00EB08F4"/>
    <w:rsid w:val="00EB0EA0"/>
    <w:rsid w:val="00EB0EDA"/>
    <w:rsid w:val="00EB0F87"/>
    <w:rsid w:val="00EB111F"/>
    <w:rsid w:val="00EB141B"/>
    <w:rsid w:val="00EB1A65"/>
    <w:rsid w:val="00EB1C5F"/>
    <w:rsid w:val="00EB1FFE"/>
    <w:rsid w:val="00EB20E2"/>
    <w:rsid w:val="00EB20EF"/>
    <w:rsid w:val="00EB23BE"/>
    <w:rsid w:val="00EB26B7"/>
    <w:rsid w:val="00EB27EA"/>
    <w:rsid w:val="00EB2935"/>
    <w:rsid w:val="00EB2AB8"/>
    <w:rsid w:val="00EB30A9"/>
    <w:rsid w:val="00EB3A20"/>
    <w:rsid w:val="00EB3ACE"/>
    <w:rsid w:val="00EB4127"/>
    <w:rsid w:val="00EB425D"/>
    <w:rsid w:val="00EB4320"/>
    <w:rsid w:val="00EB451E"/>
    <w:rsid w:val="00EB4C5C"/>
    <w:rsid w:val="00EB4CF6"/>
    <w:rsid w:val="00EB503D"/>
    <w:rsid w:val="00EB5184"/>
    <w:rsid w:val="00EB56BE"/>
    <w:rsid w:val="00EB57BF"/>
    <w:rsid w:val="00EB5C75"/>
    <w:rsid w:val="00EB5D55"/>
    <w:rsid w:val="00EB5E87"/>
    <w:rsid w:val="00EB61C7"/>
    <w:rsid w:val="00EB61E4"/>
    <w:rsid w:val="00EB6250"/>
    <w:rsid w:val="00EB6817"/>
    <w:rsid w:val="00EB6893"/>
    <w:rsid w:val="00EB6A0A"/>
    <w:rsid w:val="00EB727B"/>
    <w:rsid w:val="00EB79B8"/>
    <w:rsid w:val="00EB7AB2"/>
    <w:rsid w:val="00EB7B72"/>
    <w:rsid w:val="00EB7F4F"/>
    <w:rsid w:val="00EB7F7F"/>
    <w:rsid w:val="00EB7FCE"/>
    <w:rsid w:val="00EC061B"/>
    <w:rsid w:val="00EC0AD0"/>
    <w:rsid w:val="00EC0B4C"/>
    <w:rsid w:val="00EC1381"/>
    <w:rsid w:val="00EC13C1"/>
    <w:rsid w:val="00EC1489"/>
    <w:rsid w:val="00EC14AE"/>
    <w:rsid w:val="00EC15B7"/>
    <w:rsid w:val="00EC180D"/>
    <w:rsid w:val="00EC1A56"/>
    <w:rsid w:val="00EC1C6F"/>
    <w:rsid w:val="00EC2BDE"/>
    <w:rsid w:val="00EC308F"/>
    <w:rsid w:val="00EC3747"/>
    <w:rsid w:val="00EC3934"/>
    <w:rsid w:val="00EC3BFB"/>
    <w:rsid w:val="00EC3C64"/>
    <w:rsid w:val="00EC4013"/>
    <w:rsid w:val="00EC4093"/>
    <w:rsid w:val="00EC45FA"/>
    <w:rsid w:val="00EC48CD"/>
    <w:rsid w:val="00EC538F"/>
    <w:rsid w:val="00EC573C"/>
    <w:rsid w:val="00EC57FB"/>
    <w:rsid w:val="00EC5D90"/>
    <w:rsid w:val="00EC5DC7"/>
    <w:rsid w:val="00EC633D"/>
    <w:rsid w:val="00EC645B"/>
    <w:rsid w:val="00EC67A8"/>
    <w:rsid w:val="00EC693D"/>
    <w:rsid w:val="00EC6947"/>
    <w:rsid w:val="00EC6EEF"/>
    <w:rsid w:val="00EC7488"/>
    <w:rsid w:val="00EC7BEE"/>
    <w:rsid w:val="00EC7DA9"/>
    <w:rsid w:val="00EC7F7D"/>
    <w:rsid w:val="00ED0200"/>
    <w:rsid w:val="00ED02A3"/>
    <w:rsid w:val="00ED0341"/>
    <w:rsid w:val="00ED058B"/>
    <w:rsid w:val="00ED0776"/>
    <w:rsid w:val="00ED1F04"/>
    <w:rsid w:val="00ED1FD5"/>
    <w:rsid w:val="00ED2082"/>
    <w:rsid w:val="00ED22B3"/>
    <w:rsid w:val="00ED25C9"/>
    <w:rsid w:val="00ED2685"/>
    <w:rsid w:val="00ED2BD3"/>
    <w:rsid w:val="00ED2BF6"/>
    <w:rsid w:val="00ED3669"/>
    <w:rsid w:val="00ED3A43"/>
    <w:rsid w:val="00ED3E8D"/>
    <w:rsid w:val="00ED400F"/>
    <w:rsid w:val="00ED4024"/>
    <w:rsid w:val="00ED4670"/>
    <w:rsid w:val="00ED4B0A"/>
    <w:rsid w:val="00ED4B2F"/>
    <w:rsid w:val="00ED559B"/>
    <w:rsid w:val="00ED5913"/>
    <w:rsid w:val="00ED5B4D"/>
    <w:rsid w:val="00ED5BBD"/>
    <w:rsid w:val="00ED5CCB"/>
    <w:rsid w:val="00ED5CF5"/>
    <w:rsid w:val="00ED6CC8"/>
    <w:rsid w:val="00ED767F"/>
    <w:rsid w:val="00ED791F"/>
    <w:rsid w:val="00EE043D"/>
    <w:rsid w:val="00EE0BCB"/>
    <w:rsid w:val="00EE0DF9"/>
    <w:rsid w:val="00EE0EC0"/>
    <w:rsid w:val="00EE1114"/>
    <w:rsid w:val="00EE11EB"/>
    <w:rsid w:val="00EE2A81"/>
    <w:rsid w:val="00EE2D98"/>
    <w:rsid w:val="00EE2F6E"/>
    <w:rsid w:val="00EE330E"/>
    <w:rsid w:val="00EE3318"/>
    <w:rsid w:val="00EE351F"/>
    <w:rsid w:val="00EE35B1"/>
    <w:rsid w:val="00EE3604"/>
    <w:rsid w:val="00EE3A19"/>
    <w:rsid w:val="00EE3AD4"/>
    <w:rsid w:val="00EE4709"/>
    <w:rsid w:val="00EE4862"/>
    <w:rsid w:val="00EE4B40"/>
    <w:rsid w:val="00EE4CD3"/>
    <w:rsid w:val="00EE5B57"/>
    <w:rsid w:val="00EE5BBD"/>
    <w:rsid w:val="00EE616A"/>
    <w:rsid w:val="00EE618B"/>
    <w:rsid w:val="00EE6355"/>
    <w:rsid w:val="00EE6358"/>
    <w:rsid w:val="00EE666F"/>
    <w:rsid w:val="00EE7249"/>
    <w:rsid w:val="00EE7717"/>
    <w:rsid w:val="00EE7C51"/>
    <w:rsid w:val="00EE7EEC"/>
    <w:rsid w:val="00EF028F"/>
    <w:rsid w:val="00EF1363"/>
    <w:rsid w:val="00EF1C05"/>
    <w:rsid w:val="00EF350A"/>
    <w:rsid w:val="00EF3644"/>
    <w:rsid w:val="00EF379B"/>
    <w:rsid w:val="00EF3875"/>
    <w:rsid w:val="00EF39F1"/>
    <w:rsid w:val="00EF3E60"/>
    <w:rsid w:val="00EF4347"/>
    <w:rsid w:val="00EF442E"/>
    <w:rsid w:val="00EF444F"/>
    <w:rsid w:val="00EF497E"/>
    <w:rsid w:val="00EF4C5F"/>
    <w:rsid w:val="00EF57F3"/>
    <w:rsid w:val="00EF5B6C"/>
    <w:rsid w:val="00EF61E3"/>
    <w:rsid w:val="00EF6995"/>
    <w:rsid w:val="00EF6D1B"/>
    <w:rsid w:val="00EF6E92"/>
    <w:rsid w:val="00EF6EDF"/>
    <w:rsid w:val="00EF7008"/>
    <w:rsid w:val="00EF704B"/>
    <w:rsid w:val="00EF7338"/>
    <w:rsid w:val="00EF755D"/>
    <w:rsid w:val="00EF75CB"/>
    <w:rsid w:val="00EF7610"/>
    <w:rsid w:val="00EF7A28"/>
    <w:rsid w:val="00EF7B4E"/>
    <w:rsid w:val="00F00045"/>
    <w:rsid w:val="00F0027F"/>
    <w:rsid w:val="00F00389"/>
    <w:rsid w:val="00F0089D"/>
    <w:rsid w:val="00F00D6A"/>
    <w:rsid w:val="00F00F38"/>
    <w:rsid w:val="00F011F7"/>
    <w:rsid w:val="00F01F0C"/>
    <w:rsid w:val="00F01F1A"/>
    <w:rsid w:val="00F02869"/>
    <w:rsid w:val="00F02A44"/>
    <w:rsid w:val="00F02A76"/>
    <w:rsid w:val="00F02D0F"/>
    <w:rsid w:val="00F02D17"/>
    <w:rsid w:val="00F02D76"/>
    <w:rsid w:val="00F03180"/>
    <w:rsid w:val="00F0370F"/>
    <w:rsid w:val="00F0374E"/>
    <w:rsid w:val="00F038FF"/>
    <w:rsid w:val="00F03C0C"/>
    <w:rsid w:val="00F03D2F"/>
    <w:rsid w:val="00F04289"/>
    <w:rsid w:val="00F0435F"/>
    <w:rsid w:val="00F04436"/>
    <w:rsid w:val="00F04509"/>
    <w:rsid w:val="00F0457C"/>
    <w:rsid w:val="00F04737"/>
    <w:rsid w:val="00F047E8"/>
    <w:rsid w:val="00F048B0"/>
    <w:rsid w:val="00F04C3F"/>
    <w:rsid w:val="00F04C43"/>
    <w:rsid w:val="00F04E19"/>
    <w:rsid w:val="00F051DC"/>
    <w:rsid w:val="00F0521C"/>
    <w:rsid w:val="00F053CE"/>
    <w:rsid w:val="00F0572E"/>
    <w:rsid w:val="00F05F1B"/>
    <w:rsid w:val="00F0618A"/>
    <w:rsid w:val="00F06308"/>
    <w:rsid w:val="00F068C4"/>
    <w:rsid w:val="00F106B2"/>
    <w:rsid w:val="00F10A5A"/>
    <w:rsid w:val="00F10A67"/>
    <w:rsid w:val="00F10AF5"/>
    <w:rsid w:val="00F10B66"/>
    <w:rsid w:val="00F10D15"/>
    <w:rsid w:val="00F11336"/>
    <w:rsid w:val="00F11551"/>
    <w:rsid w:val="00F11C1F"/>
    <w:rsid w:val="00F121A6"/>
    <w:rsid w:val="00F12542"/>
    <w:rsid w:val="00F127B5"/>
    <w:rsid w:val="00F128BC"/>
    <w:rsid w:val="00F12A4D"/>
    <w:rsid w:val="00F12AB0"/>
    <w:rsid w:val="00F13055"/>
    <w:rsid w:val="00F13E06"/>
    <w:rsid w:val="00F14060"/>
    <w:rsid w:val="00F1446A"/>
    <w:rsid w:val="00F14913"/>
    <w:rsid w:val="00F15794"/>
    <w:rsid w:val="00F16075"/>
    <w:rsid w:val="00F166C9"/>
    <w:rsid w:val="00F16D22"/>
    <w:rsid w:val="00F17530"/>
    <w:rsid w:val="00F179FC"/>
    <w:rsid w:val="00F17F83"/>
    <w:rsid w:val="00F204CA"/>
    <w:rsid w:val="00F205D9"/>
    <w:rsid w:val="00F2070E"/>
    <w:rsid w:val="00F211AB"/>
    <w:rsid w:val="00F21CA3"/>
    <w:rsid w:val="00F21CEC"/>
    <w:rsid w:val="00F22459"/>
    <w:rsid w:val="00F227A7"/>
    <w:rsid w:val="00F22EE7"/>
    <w:rsid w:val="00F2311C"/>
    <w:rsid w:val="00F23549"/>
    <w:rsid w:val="00F23A69"/>
    <w:rsid w:val="00F242B6"/>
    <w:rsid w:val="00F24569"/>
    <w:rsid w:val="00F2466B"/>
    <w:rsid w:val="00F247D8"/>
    <w:rsid w:val="00F24BD8"/>
    <w:rsid w:val="00F24D7E"/>
    <w:rsid w:val="00F25337"/>
    <w:rsid w:val="00F253AD"/>
    <w:rsid w:val="00F25595"/>
    <w:rsid w:val="00F25D8B"/>
    <w:rsid w:val="00F26075"/>
    <w:rsid w:val="00F263AD"/>
    <w:rsid w:val="00F26740"/>
    <w:rsid w:val="00F26BBC"/>
    <w:rsid w:val="00F26C4E"/>
    <w:rsid w:val="00F26C71"/>
    <w:rsid w:val="00F27A1A"/>
    <w:rsid w:val="00F27C63"/>
    <w:rsid w:val="00F303B1"/>
    <w:rsid w:val="00F30870"/>
    <w:rsid w:val="00F3098A"/>
    <w:rsid w:val="00F30DA9"/>
    <w:rsid w:val="00F30EDF"/>
    <w:rsid w:val="00F3112B"/>
    <w:rsid w:val="00F321AB"/>
    <w:rsid w:val="00F3291D"/>
    <w:rsid w:val="00F33910"/>
    <w:rsid w:val="00F33D94"/>
    <w:rsid w:val="00F34F7D"/>
    <w:rsid w:val="00F355AC"/>
    <w:rsid w:val="00F35D16"/>
    <w:rsid w:val="00F35ED3"/>
    <w:rsid w:val="00F36057"/>
    <w:rsid w:val="00F366D1"/>
    <w:rsid w:val="00F40153"/>
    <w:rsid w:val="00F40629"/>
    <w:rsid w:val="00F40668"/>
    <w:rsid w:val="00F40A96"/>
    <w:rsid w:val="00F40CEE"/>
    <w:rsid w:val="00F4155A"/>
    <w:rsid w:val="00F41572"/>
    <w:rsid w:val="00F41596"/>
    <w:rsid w:val="00F418E6"/>
    <w:rsid w:val="00F42014"/>
    <w:rsid w:val="00F4207F"/>
    <w:rsid w:val="00F429A7"/>
    <w:rsid w:val="00F42D4A"/>
    <w:rsid w:val="00F42DBA"/>
    <w:rsid w:val="00F4323E"/>
    <w:rsid w:val="00F433C1"/>
    <w:rsid w:val="00F44148"/>
    <w:rsid w:val="00F443BC"/>
    <w:rsid w:val="00F44719"/>
    <w:rsid w:val="00F44797"/>
    <w:rsid w:val="00F44F45"/>
    <w:rsid w:val="00F4543D"/>
    <w:rsid w:val="00F458D2"/>
    <w:rsid w:val="00F45969"/>
    <w:rsid w:val="00F45D8D"/>
    <w:rsid w:val="00F464AA"/>
    <w:rsid w:val="00F47042"/>
    <w:rsid w:val="00F470D4"/>
    <w:rsid w:val="00F472B9"/>
    <w:rsid w:val="00F475C0"/>
    <w:rsid w:val="00F47881"/>
    <w:rsid w:val="00F47A94"/>
    <w:rsid w:val="00F47C8C"/>
    <w:rsid w:val="00F50726"/>
    <w:rsid w:val="00F50D8E"/>
    <w:rsid w:val="00F50FDD"/>
    <w:rsid w:val="00F51297"/>
    <w:rsid w:val="00F51677"/>
    <w:rsid w:val="00F516F9"/>
    <w:rsid w:val="00F518A1"/>
    <w:rsid w:val="00F52D7E"/>
    <w:rsid w:val="00F53210"/>
    <w:rsid w:val="00F53980"/>
    <w:rsid w:val="00F53E5C"/>
    <w:rsid w:val="00F53FC4"/>
    <w:rsid w:val="00F54198"/>
    <w:rsid w:val="00F54228"/>
    <w:rsid w:val="00F542C9"/>
    <w:rsid w:val="00F54427"/>
    <w:rsid w:val="00F548EB"/>
    <w:rsid w:val="00F54C27"/>
    <w:rsid w:val="00F54C2B"/>
    <w:rsid w:val="00F55033"/>
    <w:rsid w:val="00F55199"/>
    <w:rsid w:val="00F55582"/>
    <w:rsid w:val="00F557B1"/>
    <w:rsid w:val="00F56264"/>
    <w:rsid w:val="00F56402"/>
    <w:rsid w:val="00F56601"/>
    <w:rsid w:val="00F56DED"/>
    <w:rsid w:val="00F56E92"/>
    <w:rsid w:val="00F575D0"/>
    <w:rsid w:val="00F577ED"/>
    <w:rsid w:val="00F57F10"/>
    <w:rsid w:val="00F602ED"/>
    <w:rsid w:val="00F605C7"/>
    <w:rsid w:val="00F60850"/>
    <w:rsid w:val="00F60C22"/>
    <w:rsid w:val="00F60CAB"/>
    <w:rsid w:val="00F60D04"/>
    <w:rsid w:val="00F61350"/>
    <w:rsid w:val="00F62CDA"/>
    <w:rsid w:val="00F63390"/>
    <w:rsid w:val="00F6339B"/>
    <w:rsid w:val="00F63889"/>
    <w:rsid w:val="00F63F01"/>
    <w:rsid w:val="00F64244"/>
    <w:rsid w:val="00F647A6"/>
    <w:rsid w:val="00F64B1B"/>
    <w:rsid w:val="00F64B5A"/>
    <w:rsid w:val="00F64E15"/>
    <w:rsid w:val="00F65395"/>
    <w:rsid w:val="00F659F6"/>
    <w:rsid w:val="00F65C3A"/>
    <w:rsid w:val="00F66512"/>
    <w:rsid w:val="00F66A7D"/>
    <w:rsid w:val="00F6708B"/>
    <w:rsid w:val="00F679AE"/>
    <w:rsid w:val="00F679BA"/>
    <w:rsid w:val="00F67CED"/>
    <w:rsid w:val="00F67D05"/>
    <w:rsid w:val="00F67F4F"/>
    <w:rsid w:val="00F67FEF"/>
    <w:rsid w:val="00F703C4"/>
    <w:rsid w:val="00F7097F"/>
    <w:rsid w:val="00F709E2"/>
    <w:rsid w:val="00F70F5C"/>
    <w:rsid w:val="00F711F7"/>
    <w:rsid w:val="00F7125C"/>
    <w:rsid w:val="00F71299"/>
    <w:rsid w:val="00F7131A"/>
    <w:rsid w:val="00F719EA"/>
    <w:rsid w:val="00F7214B"/>
    <w:rsid w:val="00F7256C"/>
    <w:rsid w:val="00F72BFA"/>
    <w:rsid w:val="00F72D43"/>
    <w:rsid w:val="00F72E81"/>
    <w:rsid w:val="00F732A4"/>
    <w:rsid w:val="00F738B9"/>
    <w:rsid w:val="00F749A4"/>
    <w:rsid w:val="00F74D1D"/>
    <w:rsid w:val="00F74F04"/>
    <w:rsid w:val="00F751FA"/>
    <w:rsid w:val="00F754DD"/>
    <w:rsid w:val="00F75A42"/>
    <w:rsid w:val="00F75B28"/>
    <w:rsid w:val="00F75D1F"/>
    <w:rsid w:val="00F75F2A"/>
    <w:rsid w:val="00F76329"/>
    <w:rsid w:val="00F7639D"/>
    <w:rsid w:val="00F7699F"/>
    <w:rsid w:val="00F7733F"/>
    <w:rsid w:val="00F7745E"/>
    <w:rsid w:val="00F77AC8"/>
    <w:rsid w:val="00F77B8E"/>
    <w:rsid w:val="00F77CB5"/>
    <w:rsid w:val="00F77DB6"/>
    <w:rsid w:val="00F8026E"/>
    <w:rsid w:val="00F802A6"/>
    <w:rsid w:val="00F80347"/>
    <w:rsid w:val="00F80566"/>
    <w:rsid w:val="00F805CD"/>
    <w:rsid w:val="00F813CC"/>
    <w:rsid w:val="00F814BF"/>
    <w:rsid w:val="00F8191B"/>
    <w:rsid w:val="00F81A13"/>
    <w:rsid w:val="00F81B73"/>
    <w:rsid w:val="00F82132"/>
    <w:rsid w:val="00F82AF2"/>
    <w:rsid w:val="00F82CA0"/>
    <w:rsid w:val="00F831FD"/>
    <w:rsid w:val="00F83293"/>
    <w:rsid w:val="00F83400"/>
    <w:rsid w:val="00F83990"/>
    <w:rsid w:val="00F83D44"/>
    <w:rsid w:val="00F83E26"/>
    <w:rsid w:val="00F83F7D"/>
    <w:rsid w:val="00F841C8"/>
    <w:rsid w:val="00F858EC"/>
    <w:rsid w:val="00F85D92"/>
    <w:rsid w:val="00F8627A"/>
    <w:rsid w:val="00F86963"/>
    <w:rsid w:val="00F86EFD"/>
    <w:rsid w:val="00F86FBE"/>
    <w:rsid w:val="00F870D6"/>
    <w:rsid w:val="00F87A2C"/>
    <w:rsid w:val="00F87F2A"/>
    <w:rsid w:val="00F90413"/>
    <w:rsid w:val="00F90489"/>
    <w:rsid w:val="00F90502"/>
    <w:rsid w:val="00F90543"/>
    <w:rsid w:val="00F90A42"/>
    <w:rsid w:val="00F90BD3"/>
    <w:rsid w:val="00F90F27"/>
    <w:rsid w:val="00F91095"/>
    <w:rsid w:val="00F9179A"/>
    <w:rsid w:val="00F91B8C"/>
    <w:rsid w:val="00F91BBD"/>
    <w:rsid w:val="00F9228E"/>
    <w:rsid w:val="00F92404"/>
    <w:rsid w:val="00F924FA"/>
    <w:rsid w:val="00F9260C"/>
    <w:rsid w:val="00F92C39"/>
    <w:rsid w:val="00F93A8D"/>
    <w:rsid w:val="00F93F99"/>
    <w:rsid w:val="00F94901"/>
    <w:rsid w:val="00F94BF1"/>
    <w:rsid w:val="00F94CF4"/>
    <w:rsid w:val="00F95A1F"/>
    <w:rsid w:val="00F95AC2"/>
    <w:rsid w:val="00F95ACF"/>
    <w:rsid w:val="00F95C94"/>
    <w:rsid w:val="00F96218"/>
    <w:rsid w:val="00F9679D"/>
    <w:rsid w:val="00F96808"/>
    <w:rsid w:val="00F97093"/>
    <w:rsid w:val="00FA00F3"/>
    <w:rsid w:val="00FA0945"/>
    <w:rsid w:val="00FA09B3"/>
    <w:rsid w:val="00FA1536"/>
    <w:rsid w:val="00FA20D9"/>
    <w:rsid w:val="00FA22A5"/>
    <w:rsid w:val="00FA2592"/>
    <w:rsid w:val="00FA25F7"/>
    <w:rsid w:val="00FA2D64"/>
    <w:rsid w:val="00FA2DAF"/>
    <w:rsid w:val="00FA2E44"/>
    <w:rsid w:val="00FA2E9C"/>
    <w:rsid w:val="00FA2FF8"/>
    <w:rsid w:val="00FA3AEF"/>
    <w:rsid w:val="00FA3FEF"/>
    <w:rsid w:val="00FA42C8"/>
    <w:rsid w:val="00FA49D1"/>
    <w:rsid w:val="00FA53FD"/>
    <w:rsid w:val="00FA56B1"/>
    <w:rsid w:val="00FA5CB5"/>
    <w:rsid w:val="00FA6691"/>
    <w:rsid w:val="00FA6788"/>
    <w:rsid w:val="00FA7163"/>
    <w:rsid w:val="00FA7B04"/>
    <w:rsid w:val="00FA7C60"/>
    <w:rsid w:val="00FB0207"/>
    <w:rsid w:val="00FB0222"/>
    <w:rsid w:val="00FB02D8"/>
    <w:rsid w:val="00FB047C"/>
    <w:rsid w:val="00FB0704"/>
    <w:rsid w:val="00FB0C1D"/>
    <w:rsid w:val="00FB0DE4"/>
    <w:rsid w:val="00FB131B"/>
    <w:rsid w:val="00FB19AB"/>
    <w:rsid w:val="00FB2273"/>
    <w:rsid w:val="00FB260E"/>
    <w:rsid w:val="00FB2715"/>
    <w:rsid w:val="00FB2945"/>
    <w:rsid w:val="00FB2B08"/>
    <w:rsid w:val="00FB3104"/>
    <w:rsid w:val="00FB31F2"/>
    <w:rsid w:val="00FB357D"/>
    <w:rsid w:val="00FB3C9B"/>
    <w:rsid w:val="00FB3CFE"/>
    <w:rsid w:val="00FB4137"/>
    <w:rsid w:val="00FB4374"/>
    <w:rsid w:val="00FB4967"/>
    <w:rsid w:val="00FB51CA"/>
    <w:rsid w:val="00FB51E0"/>
    <w:rsid w:val="00FB542B"/>
    <w:rsid w:val="00FB58C7"/>
    <w:rsid w:val="00FB5BE5"/>
    <w:rsid w:val="00FB5E74"/>
    <w:rsid w:val="00FB5EDA"/>
    <w:rsid w:val="00FB6596"/>
    <w:rsid w:val="00FB663F"/>
    <w:rsid w:val="00FB68AD"/>
    <w:rsid w:val="00FB71F4"/>
    <w:rsid w:val="00FB74D4"/>
    <w:rsid w:val="00FB7AEB"/>
    <w:rsid w:val="00FB7D8F"/>
    <w:rsid w:val="00FC0498"/>
    <w:rsid w:val="00FC0526"/>
    <w:rsid w:val="00FC071F"/>
    <w:rsid w:val="00FC0C6B"/>
    <w:rsid w:val="00FC0D40"/>
    <w:rsid w:val="00FC0FBD"/>
    <w:rsid w:val="00FC1261"/>
    <w:rsid w:val="00FC1B87"/>
    <w:rsid w:val="00FC1BCA"/>
    <w:rsid w:val="00FC1E4E"/>
    <w:rsid w:val="00FC1E8D"/>
    <w:rsid w:val="00FC24C7"/>
    <w:rsid w:val="00FC2847"/>
    <w:rsid w:val="00FC289C"/>
    <w:rsid w:val="00FC2BBE"/>
    <w:rsid w:val="00FC2BD5"/>
    <w:rsid w:val="00FC39AE"/>
    <w:rsid w:val="00FC3F6C"/>
    <w:rsid w:val="00FC4378"/>
    <w:rsid w:val="00FC4675"/>
    <w:rsid w:val="00FC6079"/>
    <w:rsid w:val="00FC61B5"/>
    <w:rsid w:val="00FC64A6"/>
    <w:rsid w:val="00FC69B0"/>
    <w:rsid w:val="00FC7377"/>
    <w:rsid w:val="00FC7620"/>
    <w:rsid w:val="00FC78CB"/>
    <w:rsid w:val="00FC7CA5"/>
    <w:rsid w:val="00FC7D37"/>
    <w:rsid w:val="00FC7EF1"/>
    <w:rsid w:val="00FC7F36"/>
    <w:rsid w:val="00FD00A1"/>
    <w:rsid w:val="00FD026D"/>
    <w:rsid w:val="00FD0BE0"/>
    <w:rsid w:val="00FD1161"/>
    <w:rsid w:val="00FD15E5"/>
    <w:rsid w:val="00FD17AA"/>
    <w:rsid w:val="00FD191F"/>
    <w:rsid w:val="00FD1ACE"/>
    <w:rsid w:val="00FD1EEE"/>
    <w:rsid w:val="00FD1F2B"/>
    <w:rsid w:val="00FD20FA"/>
    <w:rsid w:val="00FD2262"/>
    <w:rsid w:val="00FD2CF4"/>
    <w:rsid w:val="00FD2F35"/>
    <w:rsid w:val="00FD3149"/>
    <w:rsid w:val="00FD33D8"/>
    <w:rsid w:val="00FD3617"/>
    <w:rsid w:val="00FD3B62"/>
    <w:rsid w:val="00FD3F86"/>
    <w:rsid w:val="00FD40BB"/>
    <w:rsid w:val="00FD45AC"/>
    <w:rsid w:val="00FD46E4"/>
    <w:rsid w:val="00FD5241"/>
    <w:rsid w:val="00FD565A"/>
    <w:rsid w:val="00FD5690"/>
    <w:rsid w:val="00FD56F9"/>
    <w:rsid w:val="00FD5705"/>
    <w:rsid w:val="00FD58E2"/>
    <w:rsid w:val="00FD5C67"/>
    <w:rsid w:val="00FD61A7"/>
    <w:rsid w:val="00FD628A"/>
    <w:rsid w:val="00FD6A36"/>
    <w:rsid w:val="00FD7043"/>
    <w:rsid w:val="00FD70B7"/>
    <w:rsid w:val="00FD755C"/>
    <w:rsid w:val="00FD7736"/>
    <w:rsid w:val="00FE0494"/>
    <w:rsid w:val="00FE0500"/>
    <w:rsid w:val="00FE073C"/>
    <w:rsid w:val="00FE0B47"/>
    <w:rsid w:val="00FE0C4D"/>
    <w:rsid w:val="00FE10AC"/>
    <w:rsid w:val="00FE1DF4"/>
    <w:rsid w:val="00FE22F0"/>
    <w:rsid w:val="00FE2338"/>
    <w:rsid w:val="00FE2947"/>
    <w:rsid w:val="00FE2B1E"/>
    <w:rsid w:val="00FE3540"/>
    <w:rsid w:val="00FE391D"/>
    <w:rsid w:val="00FE3FD4"/>
    <w:rsid w:val="00FE4D77"/>
    <w:rsid w:val="00FE58AD"/>
    <w:rsid w:val="00FE5EBE"/>
    <w:rsid w:val="00FE600D"/>
    <w:rsid w:val="00FE6053"/>
    <w:rsid w:val="00FE69C1"/>
    <w:rsid w:val="00FE6B04"/>
    <w:rsid w:val="00FE6CEC"/>
    <w:rsid w:val="00FE7040"/>
    <w:rsid w:val="00FE7252"/>
    <w:rsid w:val="00FE7351"/>
    <w:rsid w:val="00FE74B0"/>
    <w:rsid w:val="00FE74E3"/>
    <w:rsid w:val="00FE75EC"/>
    <w:rsid w:val="00FE7C33"/>
    <w:rsid w:val="00FF03E4"/>
    <w:rsid w:val="00FF0720"/>
    <w:rsid w:val="00FF0C8D"/>
    <w:rsid w:val="00FF1037"/>
    <w:rsid w:val="00FF156F"/>
    <w:rsid w:val="00FF1E55"/>
    <w:rsid w:val="00FF1FB3"/>
    <w:rsid w:val="00FF25CF"/>
    <w:rsid w:val="00FF27ED"/>
    <w:rsid w:val="00FF285D"/>
    <w:rsid w:val="00FF372B"/>
    <w:rsid w:val="00FF3C0A"/>
    <w:rsid w:val="00FF3C8A"/>
    <w:rsid w:val="00FF3EC8"/>
    <w:rsid w:val="00FF4187"/>
    <w:rsid w:val="00FF44E9"/>
    <w:rsid w:val="00FF488C"/>
    <w:rsid w:val="00FF48B6"/>
    <w:rsid w:val="00FF503C"/>
    <w:rsid w:val="00FF5446"/>
    <w:rsid w:val="00FF585F"/>
    <w:rsid w:val="00FF64D5"/>
    <w:rsid w:val="00FF657F"/>
    <w:rsid w:val="00FF6A19"/>
    <w:rsid w:val="00FF6B73"/>
    <w:rsid w:val="00FF6D26"/>
    <w:rsid w:val="00FF6F30"/>
    <w:rsid w:val="00FF7732"/>
    <w:rsid w:val="00FF787E"/>
    <w:rsid w:val="00FF7951"/>
    <w:rsid w:val="00FF7960"/>
    <w:rsid w:val="00FF7C7E"/>
    <w:rsid w:val="00FF7CAA"/>
    <w:rsid w:val="00FF7CB5"/>
    <w:rsid w:val="00FF7CD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6401"/>
    <o:shapelayout v:ext="edit">
      <o:idmap v:ext="edit" data="1"/>
    </o:shapelayout>
  </w:shapeDefaults>
  <w:decimalSymbol w:val="."/>
  <w:listSeparator w:val=","/>
  <w14:docId w14:val="2F48B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072987"/>
    <w:rPr>
      <w:sz w:val="24"/>
      <w:szCs w:val="24"/>
    </w:rPr>
  </w:style>
  <w:style w:type="paragraph" w:styleId="Heading1">
    <w:name w:val="heading 1"/>
    <w:basedOn w:val="BodyText"/>
    <w:next w:val="BodyText"/>
    <w:link w:val="Heading1Char"/>
    <w:rsid w:val="00072987"/>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072987"/>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072987"/>
    <w:pPr>
      <w:spacing w:before="560" w:line="320" w:lineRule="exact"/>
      <w:ind w:left="0" w:firstLine="0"/>
      <w:outlineLvl w:val="2"/>
    </w:pPr>
    <w:rPr>
      <w:sz w:val="26"/>
    </w:rPr>
  </w:style>
  <w:style w:type="paragraph" w:styleId="Heading4">
    <w:name w:val="heading 4"/>
    <w:basedOn w:val="Heading3"/>
    <w:next w:val="BodyText"/>
    <w:link w:val="Heading4Char"/>
    <w:qFormat/>
    <w:rsid w:val="00072987"/>
    <w:pPr>
      <w:spacing w:before="480"/>
      <w:outlineLvl w:val="3"/>
    </w:pPr>
    <w:rPr>
      <w:b w:val="0"/>
      <w:sz w:val="24"/>
    </w:rPr>
  </w:style>
  <w:style w:type="paragraph" w:styleId="Heading5">
    <w:name w:val="heading 5"/>
    <w:basedOn w:val="Heading4"/>
    <w:next w:val="BodyText"/>
    <w:link w:val="Heading5Char"/>
    <w:qFormat/>
    <w:rsid w:val="00072987"/>
    <w:pPr>
      <w:outlineLvl w:val="4"/>
    </w:pPr>
    <w:rPr>
      <w:i/>
      <w:sz w:val="22"/>
    </w:rPr>
  </w:style>
  <w:style w:type="paragraph" w:styleId="Heading6">
    <w:name w:val="heading 6"/>
    <w:basedOn w:val="BodyText"/>
    <w:next w:val="BodyText"/>
    <w:link w:val="Heading6Char"/>
    <w:rsid w:val="00072987"/>
    <w:pPr>
      <w:spacing w:after="60"/>
      <w:jc w:val="left"/>
      <w:outlineLvl w:val="5"/>
    </w:pPr>
    <w:rPr>
      <w:i/>
      <w:sz w:val="22"/>
    </w:rPr>
  </w:style>
  <w:style w:type="paragraph" w:styleId="Heading7">
    <w:name w:val="heading 7"/>
    <w:basedOn w:val="BodyText"/>
    <w:next w:val="BodyText"/>
    <w:link w:val="Heading7Char"/>
    <w:rsid w:val="00072987"/>
    <w:pPr>
      <w:spacing w:after="60" w:line="240" w:lineRule="auto"/>
      <w:jc w:val="left"/>
      <w:outlineLvl w:val="6"/>
    </w:pPr>
    <w:rPr>
      <w:rFonts w:ascii="Arial" w:hAnsi="Arial"/>
      <w:sz w:val="20"/>
    </w:rPr>
  </w:style>
  <w:style w:type="paragraph" w:styleId="Heading8">
    <w:name w:val="heading 8"/>
    <w:basedOn w:val="BodyText"/>
    <w:next w:val="BodyText"/>
    <w:link w:val="Heading8Char"/>
    <w:rsid w:val="00072987"/>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072987"/>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0729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2987"/>
  </w:style>
  <w:style w:type="paragraph" w:styleId="BodyText">
    <w:name w:val="Body Text"/>
    <w:aliases w:val="new legislation style,Body Text Char1,Body Text Char Char,Body Text Char1 Char Char,Body Text Char Char Char Char,new legislation style Char Char Char Char,Body Text Char1 Char1 Char Char Char,Body Text Char Char Char1 Char Char Char"/>
    <w:link w:val="BodyTextChar"/>
    <w:qFormat/>
    <w:rsid w:val="00072987"/>
    <w:pPr>
      <w:spacing w:before="240" w:line="300" w:lineRule="atLeast"/>
      <w:jc w:val="both"/>
    </w:pPr>
    <w:rPr>
      <w:sz w:val="24"/>
    </w:rPr>
  </w:style>
  <w:style w:type="paragraph" w:customStyle="1" w:styleId="Chapter">
    <w:name w:val="Chapter"/>
    <w:basedOn w:val="Heading1"/>
    <w:next w:val="BodyText"/>
    <w:semiHidden/>
    <w:rsid w:val="00072987"/>
    <w:pPr>
      <w:ind w:left="0" w:firstLine="0"/>
      <w:outlineLvl w:val="9"/>
    </w:pPr>
  </w:style>
  <w:style w:type="paragraph" w:customStyle="1" w:styleId="SequenceInfo">
    <w:name w:val="Sequence Info"/>
    <w:basedOn w:val="BodyText"/>
    <w:semiHidden/>
    <w:rsid w:val="00072987"/>
    <w:rPr>
      <w:vanish/>
      <w:sz w:val="16"/>
    </w:rPr>
  </w:style>
  <w:style w:type="character" w:styleId="CommentReference">
    <w:name w:val="annotation reference"/>
    <w:basedOn w:val="DefaultParagraphFont"/>
    <w:rsid w:val="00072987"/>
    <w:rPr>
      <w:b/>
      <w:vanish/>
      <w:color w:val="FF00FF"/>
      <w:sz w:val="20"/>
    </w:rPr>
  </w:style>
  <w:style w:type="paragraph" w:styleId="CommentText">
    <w:name w:val="annotation text"/>
    <w:basedOn w:val="Normal"/>
    <w:link w:val="CommentTextChar"/>
    <w:semiHidden/>
    <w:rsid w:val="00072987"/>
    <w:pPr>
      <w:spacing w:before="120" w:line="240" w:lineRule="atLeast"/>
      <w:ind w:left="567" w:hanging="567"/>
    </w:pPr>
    <w:rPr>
      <w:sz w:val="20"/>
    </w:rPr>
  </w:style>
  <w:style w:type="paragraph" w:customStyle="1" w:styleId="Abbreviation">
    <w:name w:val="Abbreviation"/>
    <w:basedOn w:val="BodyText"/>
    <w:rsid w:val="00072987"/>
    <w:pPr>
      <w:spacing w:before="120"/>
      <w:ind w:left="2381" w:hanging="2381"/>
      <w:jc w:val="left"/>
    </w:pPr>
  </w:style>
  <w:style w:type="paragraph" w:customStyle="1" w:styleId="Box">
    <w:name w:val="Box"/>
    <w:basedOn w:val="BodyText"/>
    <w:link w:val="BoxChar"/>
    <w:qFormat/>
    <w:rsid w:val="00072987"/>
    <w:pPr>
      <w:keepNext/>
      <w:spacing w:before="120" w:line="260" w:lineRule="atLeast"/>
    </w:pPr>
    <w:rPr>
      <w:rFonts w:ascii="Arial" w:hAnsi="Arial"/>
      <w:sz w:val="20"/>
    </w:rPr>
  </w:style>
  <w:style w:type="paragraph" w:customStyle="1" w:styleId="QuoteBullet">
    <w:name w:val="Quote Bullet"/>
    <w:basedOn w:val="Quote"/>
    <w:rsid w:val="00072987"/>
    <w:pPr>
      <w:numPr>
        <w:numId w:val="11"/>
      </w:numPr>
    </w:pPr>
  </w:style>
  <w:style w:type="paragraph" w:styleId="Quote">
    <w:name w:val="Quote"/>
    <w:basedOn w:val="BodyText"/>
    <w:next w:val="BodyText"/>
    <w:link w:val="QuoteChar"/>
    <w:qFormat/>
    <w:rsid w:val="00072987"/>
    <w:pPr>
      <w:spacing w:before="120" w:line="280" w:lineRule="exact"/>
      <w:ind w:left="340"/>
    </w:pPr>
    <w:rPr>
      <w:sz w:val="22"/>
    </w:rPr>
  </w:style>
  <w:style w:type="paragraph" w:customStyle="1" w:styleId="BoxListBullet">
    <w:name w:val="Box List Bullet"/>
    <w:basedOn w:val="BodyText"/>
    <w:link w:val="BoxListBulletChar"/>
    <w:rsid w:val="00072987"/>
    <w:pPr>
      <w:keepNext/>
      <w:numPr>
        <w:numId w:val="6"/>
      </w:numPr>
      <w:spacing w:before="100" w:line="260" w:lineRule="atLeast"/>
    </w:pPr>
    <w:rPr>
      <w:rFonts w:ascii="Arial" w:hAnsi="Arial"/>
      <w:sz w:val="20"/>
    </w:rPr>
  </w:style>
  <w:style w:type="paragraph" w:customStyle="1" w:styleId="BoxListBullet2">
    <w:name w:val="Box List Bullet 2"/>
    <w:basedOn w:val="BoxListBullet"/>
    <w:rsid w:val="00072987"/>
    <w:pPr>
      <w:numPr>
        <w:numId w:val="3"/>
      </w:numPr>
      <w:ind w:left="568" w:hanging="284"/>
    </w:pPr>
  </w:style>
  <w:style w:type="paragraph" w:customStyle="1" w:styleId="BoxListNumber">
    <w:name w:val="Box List Number"/>
    <w:basedOn w:val="BodyText"/>
    <w:rsid w:val="00072987"/>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072987"/>
    <w:pPr>
      <w:numPr>
        <w:ilvl w:val="1"/>
      </w:numPr>
      <w:ind w:left="681" w:hanging="397"/>
    </w:pPr>
  </w:style>
  <w:style w:type="paragraph" w:customStyle="1" w:styleId="BoxQuote">
    <w:name w:val="Box Quote"/>
    <w:basedOn w:val="BodyText"/>
    <w:next w:val="Box"/>
    <w:qFormat/>
    <w:rsid w:val="00072987"/>
    <w:pPr>
      <w:keepNext/>
      <w:spacing w:before="60" w:line="240" w:lineRule="exact"/>
      <w:ind w:left="284"/>
    </w:pPr>
    <w:rPr>
      <w:rFonts w:ascii="Arial" w:hAnsi="Arial"/>
      <w:sz w:val="18"/>
    </w:rPr>
  </w:style>
  <w:style w:type="paragraph" w:customStyle="1" w:styleId="BoxSource">
    <w:name w:val="Box Source"/>
    <w:basedOn w:val="Source"/>
    <w:next w:val="BodyText"/>
    <w:rsid w:val="00072987"/>
    <w:pPr>
      <w:spacing w:before="120"/>
    </w:pPr>
  </w:style>
  <w:style w:type="paragraph" w:customStyle="1" w:styleId="Source">
    <w:name w:val="Source"/>
    <w:basedOn w:val="Normal"/>
    <w:next w:val="BodyText"/>
    <w:link w:val="SourceChar"/>
    <w:rsid w:val="00072987"/>
    <w:pPr>
      <w:keepLines/>
      <w:spacing w:before="80" w:line="220" w:lineRule="exact"/>
      <w:jc w:val="both"/>
    </w:pPr>
    <w:rPr>
      <w:rFonts w:ascii="Arial" w:hAnsi="Arial"/>
      <w:sz w:val="18"/>
      <w:szCs w:val="20"/>
    </w:rPr>
  </w:style>
  <w:style w:type="paragraph" w:customStyle="1" w:styleId="Note">
    <w:name w:val="Note"/>
    <w:basedOn w:val="BodyText"/>
    <w:next w:val="BodyText"/>
    <w:link w:val="NoteChar"/>
    <w:rsid w:val="00072987"/>
    <w:pPr>
      <w:keepLines/>
      <w:spacing w:before="80" w:line="220" w:lineRule="exact"/>
    </w:pPr>
    <w:rPr>
      <w:rFonts w:ascii="Arial" w:hAnsi="Arial"/>
      <w:sz w:val="18"/>
    </w:rPr>
  </w:style>
  <w:style w:type="paragraph" w:customStyle="1" w:styleId="BoxSpace">
    <w:name w:val="Box Space"/>
    <w:basedOn w:val="BodyText"/>
    <w:rsid w:val="00767760"/>
    <w:pPr>
      <w:keepNext/>
      <w:spacing w:before="360" w:line="80" w:lineRule="exact"/>
      <w:jc w:val="left"/>
    </w:pPr>
  </w:style>
  <w:style w:type="paragraph" w:customStyle="1" w:styleId="BoxSubtitle">
    <w:name w:val="Box Subtitle"/>
    <w:basedOn w:val="BoxTitle"/>
    <w:next w:val="Normal"/>
    <w:rsid w:val="00072987"/>
    <w:pPr>
      <w:spacing w:after="80" w:line="200" w:lineRule="exact"/>
      <w:ind w:firstLine="0"/>
    </w:pPr>
    <w:rPr>
      <w:b w:val="0"/>
      <w:sz w:val="20"/>
    </w:rPr>
  </w:style>
  <w:style w:type="paragraph" w:customStyle="1" w:styleId="BoxTitle">
    <w:name w:val="Box Title"/>
    <w:basedOn w:val="Caption"/>
    <w:next w:val="BoxSubtitle"/>
    <w:link w:val="BoxTitleChar"/>
    <w:rsid w:val="00072987"/>
    <w:pPr>
      <w:spacing w:before="120" w:after="0"/>
    </w:pPr>
  </w:style>
  <w:style w:type="paragraph" w:styleId="Caption">
    <w:name w:val="caption"/>
    <w:basedOn w:val="Normal"/>
    <w:next w:val="BodyText"/>
    <w:rsid w:val="00072987"/>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072987"/>
    <w:pPr>
      <w:spacing w:line="280" w:lineRule="atLeast"/>
      <w:ind w:left="907"/>
    </w:pPr>
    <w:rPr>
      <w:rFonts w:ascii="Arial" w:hAnsi="Arial"/>
      <w:b/>
      <w:sz w:val="20"/>
    </w:rPr>
  </w:style>
  <w:style w:type="character" w:customStyle="1" w:styleId="DocumentInfo">
    <w:name w:val="Document Info"/>
    <w:basedOn w:val="DefaultParagraphFont"/>
    <w:semiHidden/>
    <w:rsid w:val="00072987"/>
    <w:rPr>
      <w:rFonts w:ascii="Arial" w:hAnsi="Arial"/>
      <w:sz w:val="14"/>
    </w:rPr>
  </w:style>
  <w:style w:type="paragraph" w:styleId="Footer">
    <w:name w:val="footer"/>
    <w:basedOn w:val="BodyText"/>
    <w:link w:val="FooterChar"/>
    <w:rsid w:val="00072987"/>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072987"/>
    <w:rPr>
      <w:b/>
      <w:color w:val="FF0000"/>
      <w:sz w:val="24"/>
      <w:u w:val="dotted"/>
    </w:rPr>
  </w:style>
  <w:style w:type="paragraph" w:customStyle="1" w:styleId="BoxContinued">
    <w:name w:val="Box Continued"/>
    <w:basedOn w:val="BodyText"/>
    <w:next w:val="BodyText"/>
    <w:link w:val="BoxContinuedChar"/>
    <w:semiHidden/>
    <w:rsid w:val="00072987"/>
    <w:pPr>
      <w:spacing w:before="180" w:line="220" w:lineRule="exact"/>
      <w:jc w:val="right"/>
    </w:pPr>
    <w:rPr>
      <w:rFonts w:ascii="Arial" w:hAnsi="Arial"/>
      <w:sz w:val="18"/>
    </w:rPr>
  </w:style>
  <w:style w:type="paragraph" w:customStyle="1" w:styleId="Figure">
    <w:name w:val="Figure"/>
    <w:basedOn w:val="BodyText"/>
    <w:rsid w:val="00072987"/>
    <w:pPr>
      <w:keepNext/>
      <w:spacing w:before="120" w:after="120" w:line="240" w:lineRule="atLeast"/>
      <w:jc w:val="center"/>
    </w:pPr>
  </w:style>
  <w:style w:type="paragraph" w:customStyle="1" w:styleId="FigureTitle">
    <w:name w:val="Figure Title"/>
    <w:basedOn w:val="Caption"/>
    <w:next w:val="Subtitle"/>
    <w:rsid w:val="00072987"/>
    <w:pPr>
      <w:spacing w:before="120"/>
    </w:pPr>
  </w:style>
  <w:style w:type="paragraph" w:styleId="Subtitle">
    <w:name w:val="Subtitle"/>
    <w:basedOn w:val="Caption"/>
    <w:link w:val="SubtitleChar"/>
    <w:qFormat/>
    <w:rsid w:val="00072987"/>
    <w:pPr>
      <w:spacing w:before="0" w:line="200" w:lineRule="exact"/>
      <w:ind w:firstLine="0"/>
    </w:pPr>
    <w:rPr>
      <w:b w:val="0"/>
      <w:sz w:val="20"/>
    </w:rPr>
  </w:style>
  <w:style w:type="paragraph" w:customStyle="1" w:styleId="Finding">
    <w:name w:val="Finding"/>
    <w:basedOn w:val="BodyText"/>
    <w:rsid w:val="00072987"/>
    <w:pPr>
      <w:keepLines/>
      <w:spacing w:before="120" w:line="280" w:lineRule="atLeast"/>
    </w:pPr>
    <w:rPr>
      <w:rFonts w:ascii="Arial" w:hAnsi="Arial"/>
      <w:sz w:val="22"/>
    </w:rPr>
  </w:style>
  <w:style w:type="paragraph" w:customStyle="1" w:styleId="FindingBullet">
    <w:name w:val="Finding Bullet"/>
    <w:basedOn w:val="Finding"/>
    <w:rsid w:val="00072987"/>
    <w:pPr>
      <w:numPr>
        <w:numId w:val="7"/>
      </w:numPr>
      <w:spacing w:before="80"/>
    </w:pPr>
  </w:style>
  <w:style w:type="paragraph" w:customStyle="1" w:styleId="FindingNoTitle">
    <w:name w:val="Finding NoTitle"/>
    <w:basedOn w:val="Finding"/>
    <w:rsid w:val="00072987"/>
    <w:pPr>
      <w:spacing w:before="240"/>
    </w:pPr>
  </w:style>
  <w:style w:type="paragraph" w:customStyle="1" w:styleId="FindingTitle">
    <w:name w:val="Finding Title"/>
    <w:basedOn w:val="RecTitle"/>
    <w:next w:val="Finding"/>
    <w:rsid w:val="00072987"/>
  </w:style>
  <w:style w:type="paragraph" w:customStyle="1" w:styleId="RecTitle">
    <w:name w:val="Rec Title"/>
    <w:basedOn w:val="BodyText"/>
    <w:next w:val="Rec"/>
    <w:qFormat/>
    <w:rsid w:val="00072987"/>
    <w:pPr>
      <w:keepNext/>
      <w:keepLines/>
      <w:spacing w:line="280" w:lineRule="atLeast"/>
    </w:pPr>
    <w:rPr>
      <w:rFonts w:ascii="Arial" w:hAnsi="Arial"/>
      <w:caps/>
      <w:sz w:val="18"/>
    </w:rPr>
  </w:style>
  <w:style w:type="paragraph" w:customStyle="1" w:styleId="FooterEnd">
    <w:name w:val="Footer End"/>
    <w:basedOn w:val="Footer"/>
    <w:rsid w:val="00072987"/>
    <w:pPr>
      <w:spacing w:before="0" w:line="20" w:lineRule="exact"/>
    </w:pPr>
  </w:style>
  <w:style w:type="character" w:styleId="FootnoteReference">
    <w:name w:val="footnote reference"/>
    <w:basedOn w:val="DefaultParagraphFont"/>
    <w:semiHidden/>
    <w:rsid w:val="00072987"/>
    <w:rPr>
      <w:rFonts w:ascii="Times New Roman" w:hAnsi="Times New Roman"/>
      <w:position w:val="6"/>
      <w:sz w:val="20"/>
      <w:vertAlign w:val="baseline"/>
    </w:rPr>
  </w:style>
  <w:style w:type="paragraph" w:styleId="FootnoteText">
    <w:name w:val="footnote text"/>
    <w:basedOn w:val="BodyText"/>
    <w:link w:val="FootnoteTextChar"/>
    <w:rsid w:val="00072987"/>
    <w:pPr>
      <w:tabs>
        <w:tab w:val="left" w:pos="284"/>
      </w:tabs>
      <w:spacing w:before="80" w:line="240" w:lineRule="exact"/>
      <w:ind w:left="284" w:hanging="284"/>
    </w:pPr>
    <w:rPr>
      <w:sz w:val="20"/>
    </w:rPr>
  </w:style>
  <w:style w:type="paragraph" w:styleId="Header">
    <w:name w:val="header"/>
    <w:basedOn w:val="BodyText"/>
    <w:link w:val="HeaderChar"/>
    <w:rsid w:val="00072987"/>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072987"/>
    <w:pPr>
      <w:spacing w:line="20" w:lineRule="exact"/>
    </w:pPr>
    <w:rPr>
      <w:sz w:val="16"/>
    </w:rPr>
  </w:style>
  <w:style w:type="paragraph" w:customStyle="1" w:styleId="HeaderEven">
    <w:name w:val="Header Even"/>
    <w:basedOn w:val="Header"/>
    <w:semiHidden/>
    <w:rsid w:val="00072987"/>
  </w:style>
  <w:style w:type="paragraph" w:customStyle="1" w:styleId="HeaderOdd">
    <w:name w:val="Header Odd"/>
    <w:basedOn w:val="Header"/>
    <w:rsid w:val="00072987"/>
  </w:style>
  <w:style w:type="paragraph" w:customStyle="1" w:styleId="InformationRequest">
    <w:name w:val="Information Request"/>
    <w:basedOn w:val="Finding"/>
    <w:next w:val="BodyText"/>
    <w:rsid w:val="00072987"/>
    <w:rPr>
      <w:i/>
    </w:rPr>
  </w:style>
  <w:style w:type="paragraph" w:styleId="ListBullet">
    <w:name w:val="List Bullet"/>
    <w:basedOn w:val="BodyText"/>
    <w:link w:val="ListBulletChar"/>
    <w:rsid w:val="00072987"/>
    <w:pPr>
      <w:numPr>
        <w:numId w:val="5"/>
      </w:numPr>
      <w:spacing w:before="120"/>
    </w:pPr>
  </w:style>
  <w:style w:type="paragraph" w:styleId="ListBullet2">
    <w:name w:val="List Bullet 2"/>
    <w:basedOn w:val="BodyText"/>
    <w:rsid w:val="00072987"/>
    <w:pPr>
      <w:numPr>
        <w:numId w:val="2"/>
      </w:numPr>
      <w:spacing w:before="120"/>
    </w:pPr>
  </w:style>
  <w:style w:type="paragraph" w:styleId="ListBullet3">
    <w:name w:val="List Bullet 3"/>
    <w:basedOn w:val="BodyText"/>
    <w:rsid w:val="00072987"/>
    <w:pPr>
      <w:numPr>
        <w:numId w:val="1"/>
      </w:numPr>
      <w:spacing w:before="120"/>
      <w:ind w:left="1020" w:hanging="340"/>
    </w:pPr>
  </w:style>
  <w:style w:type="paragraph" w:styleId="ListNumber">
    <w:name w:val="List Number"/>
    <w:basedOn w:val="BodyText"/>
    <w:rsid w:val="00072987"/>
    <w:pPr>
      <w:numPr>
        <w:numId w:val="13"/>
      </w:numPr>
      <w:spacing w:before="120"/>
    </w:pPr>
  </w:style>
  <w:style w:type="paragraph" w:styleId="ListNumber2">
    <w:name w:val="List Number 2"/>
    <w:basedOn w:val="ListNumber"/>
    <w:rsid w:val="00072987"/>
    <w:pPr>
      <w:numPr>
        <w:ilvl w:val="1"/>
      </w:numPr>
    </w:pPr>
  </w:style>
  <w:style w:type="paragraph" w:styleId="ListNumber3">
    <w:name w:val="List Number 3"/>
    <w:basedOn w:val="ListNumber2"/>
    <w:rsid w:val="00072987"/>
    <w:pPr>
      <w:numPr>
        <w:ilvl w:val="2"/>
      </w:numPr>
    </w:pPr>
  </w:style>
  <w:style w:type="character" w:customStyle="1" w:styleId="NoteLabel">
    <w:name w:val="Note Label"/>
    <w:basedOn w:val="DefaultParagraphFont"/>
    <w:rsid w:val="00072987"/>
    <w:rPr>
      <w:rFonts w:ascii="Arial" w:hAnsi="Arial"/>
      <w:b/>
      <w:position w:val="6"/>
      <w:sz w:val="18"/>
    </w:rPr>
  </w:style>
  <w:style w:type="character" w:styleId="PageNumber">
    <w:name w:val="page number"/>
    <w:basedOn w:val="DefaultParagraphFont"/>
    <w:rsid w:val="00072987"/>
    <w:rPr>
      <w:rFonts w:ascii="Arial" w:hAnsi="Arial"/>
      <w:b/>
      <w:sz w:val="16"/>
    </w:rPr>
  </w:style>
  <w:style w:type="paragraph" w:customStyle="1" w:styleId="PartDivider">
    <w:name w:val="Part Divider"/>
    <w:basedOn w:val="BodyText"/>
    <w:next w:val="BodyText"/>
    <w:semiHidden/>
    <w:rsid w:val="00072987"/>
    <w:pPr>
      <w:spacing w:before="0" w:line="40" w:lineRule="exact"/>
      <w:jc w:val="right"/>
    </w:pPr>
    <w:rPr>
      <w:smallCaps/>
      <w:sz w:val="16"/>
    </w:rPr>
  </w:style>
  <w:style w:type="paragraph" w:customStyle="1" w:styleId="PartNumber">
    <w:name w:val="Part Number"/>
    <w:basedOn w:val="BodyText"/>
    <w:next w:val="BodyText"/>
    <w:semiHidden/>
    <w:rsid w:val="00072987"/>
    <w:pPr>
      <w:spacing w:before="4000" w:line="320" w:lineRule="exact"/>
      <w:ind w:left="6634"/>
      <w:jc w:val="right"/>
    </w:pPr>
    <w:rPr>
      <w:smallCaps/>
      <w:spacing w:val="60"/>
      <w:sz w:val="32"/>
    </w:rPr>
  </w:style>
  <w:style w:type="paragraph" w:customStyle="1" w:styleId="PartTitle">
    <w:name w:val="Part Title"/>
    <w:basedOn w:val="BodyText"/>
    <w:semiHidden/>
    <w:rsid w:val="00072987"/>
    <w:pPr>
      <w:spacing w:before="160" w:after="1360" w:line="520" w:lineRule="exact"/>
      <w:ind w:right="2381"/>
      <w:jc w:val="right"/>
    </w:pPr>
    <w:rPr>
      <w:smallCaps/>
      <w:sz w:val="52"/>
    </w:rPr>
  </w:style>
  <w:style w:type="paragraph" w:customStyle="1" w:styleId="Rec">
    <w:name w:val="Rec"/>
    <w:basedOn w:val="BodyText"/>
    <w:qFormat/>
    <w:rsid w:val="00072987"/>
    <w:pPr>
      <w:keepLines/>
      <w:spacing w:before="120" w:line="280" w:lineRule="atLeast"/>
    </w:pPr>
    <w:rPr>
      <w:rFonts w:ascii="Arial" w:hAnsi="Arial"/>
      <w:sz w:val="22"/>
    </w:rPr>
  </w:style>
  <w:style w:type="paragraph" w:customStyle="1" w:styleId="RecBullet">
    <w:name w:val="Rec Bullet"/>
    <w:basedOn w:val="Rec"/>
    <w:rsid w:val="00072987"/>
    <w:pPr>
      <w:numPr>
        <w:numId w:val="8"/>
      </w:numPr>
      <w:spacing w:before="80"/>
    </w:pPr>
  </w:style>
  <w:style w:type="paragraph" w:customStyle="1" w:styleId="RecB">
    <w:name w:val="RecB"/>
    <w:basedOn w:val="Normal"/>
    <w:rsid w:val="00072987"/>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072987"/>
    <w:pPr>
      <w:numPr>
        <w:numId w:val="9"/>
      </w:numPr>
      <w:spacing w:before="80"/>
    </w:pPr>
  </w:style>
  <w:style w:type="paragraph" w:customStyle="1" w:styleId="RecBNoTitle">
    <w:name w:val="RecB NoTitle"/>
    <w:basedOn w:val="RecB"/>
    <w:rsid w:val="00072987"/>
    <w:pPr>
      <w:spacing w:before="240"/>
    </w:pPr>
  </w:style>
  <w:style w:type="paragraph" w:customStyle="1" w:styleId="Reference">
    <w:name w:val="Reference"/>
    <w:basedOn w:val="BodyText"/>
    <w:rsid w:val="00072987"/>
    <w:pPr>
      <w:spacing w:before="120"/>
      <w:ind w:left="340" w:hanging="340"/>
    </w:pPr>
  </w:style>
  <w:style w:type="paragraph" w:customStyle="1" w:styleId="SideNote">
    <w:name w:val="Side Note"/>
    <w:basedOn w:val="BodyText"/>
    <w:next w:val="BodyText"/>
    <w:semiHidden/>
    <w:rsid w:val="00072987"/>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072987"/>
    <w:pPr>
      <w:framePr w:wrap="around"/>
      <w:numPr>
        <w:numId w:val="4"/>
      </w:numPr>
      <w:tabs>
        <w:tab w:val="left" w:pos="227"/>
      </w:tabs>
    </w:pPr>
  </w:style>
  <w:style w:type="paragraph" w:customStyle="1" w:styleId="SideNoteGraphic">
    <w:name w:val="Side Note Graphic"/>
    <w:basedOn w:val="SideNote"/>
    <w:next w:val="BodyText"/>
    <w:semiHidden/>
    <w:rsid w:val="00072987"/>
    <w:pPr>
      <w:framePr w:wrap="around"/>
    </w:pPr>
  </w:style>
  <w:style w:type="paragraph" w:customStyle="1" w:styleId="TableBodyText">
    <w:name w:val="Table Body Text"/>
    <w:basedOn w:val="BodyText"/>
    <w:link w:val="TableBodyTextChar"/>
    <w:rsid w:val="00072987"/>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072987"/>
    <w:pPr>
      <w:numPr>
        <w:numId w:val="10"/>
      </w:numPr>
      <w:jc w:val="left"/>
    </w:pPr>
  </w:style>
  <w:style w:type="paragraph" w:customStyle="1" w:styleId="TableColumnHeading">
    <w:name w:val="Table Column Heading"/>
    <w:basedOn w:val="TableBodyText"/>
    <w:rsid w:val="00072987"/>
    <w:pPr>
      <w:spacing w:before="80" w:after="80"/>
    </w:pPr>
    <w:rPr>
      <w:i/>
    </w:rPr>
  </w:style>
  <w:style w:type="paragraph" w:styleId="TableofFigures">
    <w:name w:val="table of figures"/>
    <w:basedOn w:val="TOC3"/>
    <w:next w:val="BodyText"/>
    <w:semiHidden/>
    <w:rsid w:val="00072987"/>
    <w:pPr>
      <w:ind w:left="737" w:hanging="737"/>
    </w:pPr>
  </w:style>
  <w:style w:type="paragraph" w:styleId="TOC3">
    <w:name w:val="toc 3"/>
    <w:basedOn w:val="TOC2"/>
    <w:rsid w:val="00072987"/>
    <w:pPr>
      <w:spacing w:before="60"/>
      <w:ind w:left="1190" w:hanging="680"/>
    </w:pPr>
  </w:style>
  <w:style w:type="paragraph" w:styleId="TOC2">
    <w:name w:val="toc 2"/>
    <w:basedOn w:val="TOC1"/>
    <w:rsid w:val="00072987"/>
    <w:pPr>
      <w:ind w:left="1134" w:hanging="624"/>
    </w:pPr>
    <w:rPr>
      <w:b w:val="0"/>
    </w:rPr>
  </w:style>
  <w:style w:type="paragraph" w:customStyle="1" w:styleId="TableTitle">
    <w:name w:val="Table Title"/>
    <w:basedOn w:val="Caption"/>
    <w:next w:val="Subtitle"/>
    <w:qFormat/>
    <w:rsid w:val="00072987"/>
    <w:pPr>
      <w:spacing w:before="120"/>
    </w:pPr>
  </w:style>
  <w:style w:type="paragraph" w:customStyle="1" w:styleId="TableUnitsRow">
    <w:name w:val="Table Units Row"/>
    <w:basedOn w:val="TableBodyText"/>
    <w:rsid w:val="00072987"/>
    <w:pPr>
      <w:spacing w:before="40"/>
    </w:pPr>
  </w:style>
  <w:style w:type="paragraph" w:styleId="TOC1">
    <w:name w:val="toc 1"/>
    <w:basedOn w:val="Normal"/>
    <w:next w:val="TOC2"/>
    <w:link w:val="TOC1Char"/>
    <w:rsid w:val="0007298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072987"/>
    <w:pPr>
      <w:ind w:left="1191" w:firstLine="0"/>
    </w:pPr>
  </w:style>
  <w:style w:type="paragraph" w:customStyle="1" w:styleId="Jurisdictioncommentsbodytext">
    <w:name w:val="Jurisdiction comments body text"/>
    <w:rsid w:val="00072987"/>
    <w:pPr>
      <w:spacing w:after="140"/>
      <w:jc w:val="both"/>
    </w:pPr>
    <w:rPr>
      <w:rFonts w:ascii="Arial" w:hAnsi="Arial"/>
      <w:sz w:val="24"/>
      <w:lang w:eastAsia="en-US"/>
    </w:rPr>
  </w:style>
  <w:style w:type="paragraph" w:customStyle="1" w:styleId="Continued">
    <w:name w:val="Continued"/>
    <w:basedOn w:val="BoxContinued"/>
    <w:next w:val="BodyText"/>
    <w:link w:val="ContinuedChar"/>
    <w:rsid w:val="00072987"/>
  </w:style>
  <w:style w:type="paragraph" w:customStyle="1" w:styleId="BoxHeading1">
    <w:name w:val="Box Heading 1"/>
    <w:basedOn w:val="BodyText"/>
    <w:next w:val="Box"/>
    <w:rsid w:val="00072987"/>
    <w:pPr>
      <w:keepNext/>
      <w:spacing w:before="200" w:line="280" w:lineRule="atLeast"/>
    </w:pPr>
    <w:rPr>
      <w:rFonts w:ascii="Arial" w:hAnsi="Arial"/>
      <w:b/>
      <w:sz w:val="22"/>
    </w:rPr>
  </w:style>
  <w:style w:type="paragraph" w:customStyle="1" w:styleId="BoxHeading2">
    <w:name w:val="Box Heading 2"/>
    <w:basedOn w:val="BoxHeading1"/>
    <w:next w:val="Normal"/>
    <w:rsid w:val="00072987"/>
    <w:rPr>
      <w:b w:val="0"/>
      <w:i/>
    </w:rPr>
  </w:style>
  <w:style w:type="table" w:styleId="TableGrid">
    <w:name w:val="Table Grid"/>
    <w:basedOn w:val="TableNormal"/>
    <w:rsid w:val="000729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risdictioncommentsheading">
    <w:name w:val="Jurisdiction comments heading"/>
    <w:rsid w:val="00072987"/>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072987"/>
    <w:pPr>
      <w:numPr>
        <w:numId w:val="12"/>
      </w:numPr>
      <w:spacing w:after="140"/>
      <w:jc w:val="both"/>
    </w:pPr>
    <w:rPr>
      <w:rFonts w:ascii="Arial" w:hAnsi="Arial"/>
      <w:sz w:val="24"/>
      <w:lang w:eastAsia="en-US"/>
    </w:rPr>
  </w:style>
  <w:style w:type="paragraph" w:styleId="BalloonText">
    <w:name w:val="Balloon Text"/>
    <w:basedOn w:val="Normal"/>
    <w:link w:val="BalloonTextChar"/>
    <w:rsid w:val="00072987"/>
    <w:rPr>
      <w:rFonts w:ascii="Tahoma" w:hAnsi="Tahoma" w:cs="Tahoma"/>
      <w:sz w:val="16"/>
      <w:szCs w:val="16"/>
    </w:rPr>
  </w:style>
  <w:style w:type="character" w:styleId="Hyperlink">
    <w:name w:val="Hyperlink"/>
    <w:uiPriority w:val="99"/>
    <w:rsid w:val="00B32791"/>
    <w:rPr>
      <w:color w:val="0000FF"/>
      <w:u w:val="single"/>
    </w:rPr>
  </w:style>
  <w:style w:type="paragraph" w:styleId="CommentSubject">
    <w:name w:val="annotation subject"/>
    <w:basedOn w:val="CommentText"/>
    <w:next w:val="CommentText"/>
    <w:semiHidden/>
    <w:rsid w:val="00380B81"/>
    <w:pPr>
      <w:spacing w:before="0" w:line="240" w:lineRule="auto"/>
      <w:ind w:left="0" w:firstLine="0"/>
    </w:pPr>
    <w:rPr>
      <w:b/>
      <w:bCs/>
    </w:rPr>
  </w:style>
  <w:style w:type="paragraph" w:customStyle="1" w:styleId="DocInfo">
    <w:name w:val="Doc Info"/>
    <w:basedOn w:val="Normal"/>
    <w:next w:val="Normal"/>
    <w:rsid w:val="004A1A4B"/>
    <w:pPr>
      <w:jc w:val="center"/>
    </w:pPr>
    <w:rPr>
      <w:rFonts w:ascii="Arial" w:hAnsi="Arial"/>
      <w:sz w:val="14"/>
    </w:rPr>
  </w:style>
  <w:style w:type="paragraph" w:customStyle="1" w:styleId="Heading2NotTOC">
    <w:name w:val="Heading 2 Not TOC"/>
    <w:basedOn w:val="Heading2"/>
    <w:next w:val="BodyText"/>
    <w:rsid w:val="004A1A4B"/>
    <w:pPr>
      <w:outlineLvl w:val="9"/>
    </w:pPr>
  </w:style>
  <w:style w:type="paragraph" w:customStyle="1" w:styleId="SOC">
    <w:name w:val="SOC"/>
    <w:basedOn w:val="BodyText"/>
    <w:rsid w:val="004A1A4B"/>
    <w:pPr>
      <w:spacing w:before="0" w:after="140" w:line="240" w:lineRule="auto"/>
    </w:pPr>
    <w:rPr>
      <w:rFonts w:ascii="Arial" w:hAnsi="Arial"/>
    </w:rPr>
  </w:style>
  <w:style w:type="character" w:customStyle="1" w:styleId="BoxChar">
    <w:name w:val="Box Char"/>
    <w:link w:val="Box"/>
    <w:rsid w:val="00695237"/>
    <w:rPr>
      <w:rFonts w:ascii="Arial" w:hAnsi="Arial"/>
    </w:rPr>
  </w:style>
  <w:style w:type="character" w:styleId="FollowedHyperlink">
    <w:name w:val="FollowedHyperlink"/>
    <w:rsid w:val="00E70D23"/>
    <w:rPr>
      <w:color w:val="800080"/>
      <w:u w:val="single"/>
    </w:rPr>
  </w:style>
  <w:style w:type="character" w:customStyle="1" w:styleId="NoteChar">
    <w:name w:val="Note Char"/>
    <w:link w:val="Note"/>
    <w:rsid w:val="00D877D2"/>
    <w:rPr>
      <w:rFonts w:ascii="Arial" w:hAnsi="Arial"/>
      <w:sz w:val="18"/>
    </w:rPr>
  </w:style>
  <w:style w:type="character" w:customStyle="1" w:styleId="SourceChar">
    <w:name w:val="Source Char"/>
    <w:basedOn w:val="NoteChar"/>
    <w:link w:val="Source"/>
    <w:rsid w:val="004B7622"/>
    <w:rPr>
      <w:rFonts w:ascii="Arial" w:hAnsi="Arial"/>
      <w:sz w:val="18"/>
    </w:rPr>
  </w:style>
  <w:style w:type="paragraph" w:customStyle="1" w:styleId="formattedparas">
    <w:name w:val="formatted paras"/>
    <w:basedOn w:val="Normal"/>
    <w:rsid w:val="00A05C8C"/>
    <w:pPr>
      <w:numPr>
        <w:numId w:val="15"/>
      </w:numPr>
      <w:tabs>
        <w:tab w:val="clear" w:pos="360"/>
      </w:tabs>
      <w:spacing w:after="140" w:line="300" w:lineRule="exact"/>
      <w:ind w:left="0" w:firstLine="0"/>
      <w:jc w:val="both"/>
    </w:pPr>
    <w:rPr>
      <w:szCs w:val="20"/>
    </w:rPr>
  </w:style>
  <w:style w:type="character" w:customStyle="1" w:styleId="BoxContinuedChar">
    <w:name w:val="Box Continued Char"/>
    <w:link w:val="BoxContinued"/>
    <w:semiHidden/>
    <w:rsid w:val="0016191F"/>
    <w:rPr>
      <w:rFonts w:ascii="Arial" w:hAnsi="Arial"/>
      <w:sz w:val="18"/>
    </w:rPr>
  </w:style>
  <w:style w:type="character" w:customStyle="1" w:styleId="ContinuedChar">
    <w:name w:val="Continued Char"/>
    <w:basedOn w:val="BoxContinuedChar"/>
    <w:link w:val="Continued"/>
    <w:rsid w:val="0016191F"/>
    <w:rPr>
      <w:rFonts w:ascii="Arial" w:hAnsi="Arial"/>
      <w:sz w:val="18"/>
    </w:rPr>
  </w:style>
  <w:style w:type="paragraph" w:customStyle="1" w:styleId="Default">
    <w:name w:val="Default"/>
    <w:rsid w:val="00297174"/>
    <w:pPr>
      <w:autoSpaceDE w:val="0"/>
      <w:autoSpaceDN w:val="0"/>
      <w:adjustRightInd w:val="0"/>
    </w:pPr>
    <w:rPr>
      <w:rFonts w:ascii="Corbel" w:hAnsi="Corbel" w:cs="Corbel"/>
      <w:color w:val="000000"/>
      <w:sz w:val="24"/>
      <w:szCs w:val="24"/>
    </w:rPr>
  </w:style>
  <w:style w:type="paragraph" w:styleId="NormalWeb">
    <w:name w:val="Normal (Web)"/>
    <w:basedOn w:val="Normal"/>
    <w:rsid w:val="00BA1313"/>
    <w:pPr>
      <w:spacing w:after="240" w:line="312" w:lineRule="atLeast"/>
    </w:pPr>
    <w:rPr>
      <w:color w:val="000000"/>
    </w:rPr>
  </w:style>
  <w:style w:type="character" w:styleId="IntenseReference">
    <w:name w:val="Intense Reference"/>
    <w:uiPriority w:val="32"/>
    <w:qFormat/>
    <w:rsid w:val="00A20477"/>
    <w:rPr>
      <w:b/>
      <w:bCs/>
      <w:smallCaps/>
      <w:color w:val="C0504D"/>
      <w:spacing w:val="5"/>
      <w:u w:val="single"/>
    </w:rPr>
  </w:style>
  <w:style w:type="character" w:customStyle="1" w:styleId="ListBulletChar">
    <w:name w:val="List Bullet Char"/>
    <w:link w:val="ListBullet"/>
    <w:rsid w:val="00FC3F6C"/>
    <w:rPr>
      <w:sz w:val="24"/>
    </w:rPr>
  </w:style>
  <w:style w:type="paragraph" w:customStyle="1" w:styleId="RecBBullet2">
    <w:name w:val="RecB Bullet 2"/>
    <w:basedOn w:val="ListBullet2"/>
    <w:semiHidden/>
    <w:rsid w:val="00072987"/>
    <w:pPr>
      <w:pBdr>
        <w:left w:val="single" w:sz="24" w:space="29" w:color="C0C0C0"/>
      </w:pBdr>
    </w:pPr>
    <w:rPr>
      <w:b/>
      <w:i/>
    </w:rPr>
  </w:style>
  <w:style w:type="character" w:customStyle="1" w:styleId="BalloonTextChar">
    <w:name w:val="Balloon Text Char"/>
    <w:basedOn w:val="DefaultParagraphFont"/>
    <w:link w:val="BalloonText"/>
    <w:rsid w:val="00072987"/>
    <w:rPr>
      <w:rFonts w:ascii="Tahoma" w:hAnsi="Tahoma" w:cs="Tahoma"/>
      <w:sz w:val="16"/>
      <w:szCs w:val="16"/>
    </w:rPr>
  </w:style>
  <w:style w:type="character" w:customStyle="1" w:styleId="SubtitleChar">
    <w:name w:val="Subtitle Char"/>
    <w:basedOn w:val="DefaultParagraphFont"/>
    <w:link w:val="Subtitle"/>
    <w:rsid w:val="00072987"/>
    <w:rPr>
      <w:rFonts w:ascii="Arial" w:hAnsi="Arial"/>
      <w:szCs w:val="24"/>
    </w:rPr>
  </w:style>
  <w:style w:type="paragraph" w:customStyle="1" w:styleId="BoxListBullet3">
    <w:name w:val="Box List Bullet 3"/>
    <w:basedOn w:val="ListBullet3"/>
    <w:rsid w:val="00072987"/>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072987"/>
    <w:rPr>
      <w:i/>
      <w:iCs/>
    </w:rPr>
  </w:style>
  <w:style w:type="paragraph" w:customStyle="1" w:styleId="BoxQuoteBullet">
    <w:name w:val="Box Quote Bullet"/>
    <w:basedOn w:val="BoxQuote"/>
    <w:next w:val="Box"/>
    <w:rsid w:val="00072987"/>
    <w:pPr>
      <w:numPr>
        <w:numId w:val="16"/>
      </w:numPr>
      <w:ind w:left="568" w:hanging="284"/>
    </w:pPr>
  </w:style>
  <w:style w:type="paragraph" w:customStyle="1" w:styleId="InformationRequestBullet">
    <w:name w:val="Information Request Bullet"/>
    <w:basedOn w:val="ListBullet"/>
    <w:next w:val="BodyText"/>
    <w:rsid w:val="00072987"/>
    <w:pPr>
      <w:numPr>
        <w:numId w:val="17"/>
      </w:numPr>
      <w:spacing w:before="80" w:line="280" w:lineRule="atLeast"/>
      <w:ind w:left="357" w:hanging="357"/>
    </w:pPr>
    <w:rPr>
      <w:rFonts w:ascii="Arial" w:hAnsi="Arial"/>
      <w:i/>
      <w:sz w:val="22"/>
    </w:rPr>
  </w:style>
  <w:style w:type="character" w:customStyle="1" w:styleId="CommentTextChar">
    <w:name w:val="Comment Text Char"/>
    <w:basedOn w:val="DefaultParagraphFont"/>
    <w:link w:val="CommentText"/>
    <w:semiHidden/>
    <w:rsid w:val="002375A1"/>
    <w:rPr>
      <w:szCs w:val="24"/>
    </w:rPr>
  </w:style>
  <w:style w:type="paragraph" w:customStyle="1" w:styleId="BoxSpaceAbove">
    <w:name w:val="Box Space Above"/>
    <w:basedOn w:val="BodyText"/>
    <w:rsid w:val="00072987"/>
    <w:pPr>
      <w:keepNext/>
      <w:spacing w:before="360" w:line="80" w:lineRule="exact"/>
      <w:jc w:val="left"/>
    </w:pPr>
  </w:style>
  <w:style w:type="paragraph" w:customStyle="1" w:styleId="BoxSpaceBelow">
    <w:name w:val="Box Space Below"/>
    <w:basedOn w:val="Box"/>
    <w:rsid w:val="00072987"/>
    <w:pPr>
      <w:keepNext w:val="0"/>
      <w:spacing w:before="60" w:after="60" w:line="80" w:lineRule="exact"/>
    </w:pPr>
    <w:rPr>
      <w:sz w:val="14"/>
    </w:rPr>
  </w:style>
  <w:style w:type="character" w:customStyle="1" w:styleId="BodyTextChar">
    <w:name w:val="Body Text Char"/>
    <w:aliases w:val="new legislation style Char,Body Text Char1 Char,Body Text Char Char Char,Body Text Char1 Char Char Char,Body Text Char Char Char Char Char,new legislation style Char Char Char Char Char,Body Text Char1 Char1 Char Char Char Char"/>
    <w:basedOn w:val="DefaultParagraphFont"/>
    <w:link w:val="BodyText"/>
    <w:rsid w:val="00072987"/>
    <w:rPr>
      <w:sz w:val="24"/>
    </w:rPr>
  </w:style>
  <w:style w:type="paragraph" w:styleId="ListParagraph">
    <w:name w:val="List Paragraph"/>
    <w:basedOn w:val="Normal"/>
    <w:uiPriority w:val="99"/>
    <w:qFormat/>
    <w:rsid w:val="00642EB8"/>
    <w:pPr>
      <w:ind w:left="720"/>
      <w:contextualSpacing/>
    </w:pPr>
  </w:style>
  <w:style w:type="paragraph" w:customStyle="1" w:styleId="KeyPointsListBullet">
    <w:name w:val="Key Points List Bullet"/>
    <w:basedOn w:val="Normal"/>
    <w:qFormat/>
    <w:rsid w:val="00072987"/>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072987"/>
    <w:pPr>
      <w:numPr>
        <w:numId w:val="20"/>
      </w:numPr>
      <w:ind w:left="568" w:hanging="284"/>
    </w:pPr>
  </w:style>
  <w:style w:type="paragraph" w:customStyle="1" w:styleId="InformationRequestTitle">
    <w:name w:val="Information Request Title"/>
    <w:basedOn w:val="FindingTitle"/>
    <w:next w:val="InformationRequest"/>
    <w:rsid w:val="00072987"/>
    <w:rPr>
      <w:i/>
    </w:rPr>
  </w:style>
  <w:style w:type="paragraph" w:customStyle="1" w:styleId="Space">
    <w:name w:val="Space"/>
    <w:basedOn w:val="Normal"/>
    <w:rsid w:val="00072987"/>
    <w:pPr>
      <w:keepNext/>
      <w:spacing w:line="120" w:lineRule="exact"/>
      <w:jc w:val="both"/>
    </w:pPr>
    <w:rPr>
      <w:rFonts w:ascii="Arial" w:hAnsi="Arial"/>
      <w:sz w:val="20"/>
      <w:szCs w:val="20"/>
    </w:rPr>
  </w:style>
  <w:style w:type="paragraph" w:customStyle="1" w:styleId="Heading1nochapterno">
    <w:name w:val="Heading 1 (no chapter no.)"/>
    <w:basedOn w:val="Heading1"/>
    <w:rsid w:val="00072987"/>
    <w:pPr>
      <w:spacing w:before="0"/>
      <w:ind w:left="0" w:firstLine="0"/>
    </w:pPr>
  </w:style>
  <w:style w:type="paragraph" w:customStyle="1" w:styleId="Heading2nosectionno">
    <w:name w:val="Heading 2 (no section no.)"/>
    <w:basedOn w:val="Heading2"/>
    <w:rsid w:val="00072987"/>
    <w:pPr>
      <w:ind w:left="0" w:firstLine="0"/>
    </w:pPr>
  </w:style>
  <w:style w:type="character" w:customStyle="1" w:styleId="Heading5Char">
    <w:name w:val="Heading 5 Char"/>
    <w:basedOn w:val="DefaultParagraphFont"/>
    <w:link w:val="Heading5"/>
    <w:rsid w:val="00072987"/>
    <w:rPr>
      <w:rFonts w:ascii="Arial" w:hAnsi="Arial"/>
      <w:i/>
      <w:sz w:val="22"/>
    </w:rPr>
  </w:style>
  <w:style w:type="paragraph" w:customStyle="1" w:styleId="Figurespace">
    <w:name w:val="Figure space"/>
    <w:basedOn w:val="Box"/>
    <w:rsid w:val="00072987"/>
    <w:pPr>
      <w:spacing w:before="0" w:line="120" w:lineRule="exact"/>
    </w:pPr>
  </w:style>
  <w:style w:type="paragraph" w:customStyle="1" w:styleId="FooterDraftReport">
    <w:name w:val="FooterDraftReport"/>
    <w:basedOn w:val="Footer"/>
    <w:link w:val="FooterDraftReportChar"/>
    <w:rsid w:val="00072987"/>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072987"/>
    <w:rPr>
      <w:rFonts w:ascii="Arial" w:hAnsi="Arial"/>
      <w:caps/>
      <w:spacing w:val="-4"/>
      <w:sz w:val="16"/>
    </w:rPr>
  </w:style>
  <w:style w:type="character" w:customStyle="1" w:styleId="FooterDraftReportChar">
    <w:name w:val="FooterDraftReport Char"/>
    <w:basedOn w:val="FooterChar"/>
    <w:link w:val="FooterDraftReport"/>
    <w:rsid w:val="00072987"/>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072987"/>
    <w:rPr>
      <w:rFonts w:ascii="Arial" w:hAnsi="Arial"/>
      <w:b/>
      <w:sz w:val="26"/>
      <w:szCs w:val="26"/>
      <w:lang w:eastAsia="en-US"/>
    </w:rPr>
  </w:style>
  <w:style w:type="character" w:customStyle="1" w:styleId="BoxTitleChar">
    <w:name w:val="Box Title Char"/>
    <w:link w:val="BoxTitle"/>
    <w:rsid w:val="00A25CAF"/>
    <w:rPr>
      <w:rFonts w:ascii="Arial" w:hAnsi="Arial"/>
      <w:b/>
      <w:sz w:val="24"/>
      <w:szCs w:val="24"/>
    </w:rPr>
  </w:style>
  <w:style w:type="paragraph" w:customStyle="1" w:styleId="OECD">
    <w:name w:val="OECD"/>
    <w:basedOn w:val="BodyText"/>
    <w:rsid w:val="00BF5D77"/>
  </w:style>
  <w:style w:type="paragraph" w:styleId="Revision">
    <w:name w:val="Revision"/>
    <w:hidden/>
    <w:uiPriority w:val="99"/>
    <w:semiHidden/>
    <w:rsid w:val="003B0A7E"/>
    <w:rPr>
      <w:sz w:val="24"/>
      <w:szCs w:val="24"/>
    </w:rPr>
  </w:style>
  <w:style w:type="paragraph" w:customStyle="1" w:styleId="DQITableText">
    <w:name w:val="DQI Table Text"/>
    <w:basedOn w:val="TableBodyText"/>
    <w:rsid w:val="00C47D6F"/>
    <w:pPr>
      <w:spacing w:before="120" w:after="0"/>
      <w:ind w:left="0" w:right="0"/>
      <w:jc w:val="both"/>
    </w:pPr>
  </w:style>
  <w:style w:type="paragraph" w:customStyle="1" w:styleId="DQITableBullet">
    <w:name w:val="DQI Table Bullet"/>
    <w:basedOn w:val="TableBullet"/>
    <w:rsid w:val="00C47D6F"/>
    <w:pPr>
      <w:numPr>
        <w:numId w:val="23"/>
      </w:numPr>
      <w:spacing w:before="40" w:after="0"/>
      <w:ind w:left="170" w:hanging="170"/>
      <w:jc w:val="both"/>
    </w:pPr>
  </w:style>
  <w:style w:type="paragraph" w:customStyle="1" w:styleId="DQITableBullet2">
    <w:name w:val="DQI Table Bullet 2"/>
    <w:basedOn w:val="DQITableBullet"/>
    <w:rsid w:val="00C47D6F"/>
    <w:pPr>
      <w:numPr>
        <w:numId w:val="24"/>
      </w:numPr>
      <w:ind w:left="340" w:hanging="170"/>
    </w:pPr>
  </w:style>
  <w:style w:type="paragraph" w:customStyle="1" w:styleId="DQIRowHeadings">
    <w:name w:val="DQI Row Headings"/>
    <w:basedOn w:val="Normal"/>
    <w:rsid w:val="007204CA"/>
    <w:pPr>
      <w:keepNext/>
      <w:keepLines/>
      <w:spacing w:before="120" w:line="200" w:lineRule="atLeast"/>
      <w:ind w:left="6" w:right="113"/>
    </w:pPr>
    <w:rPr>
      <w:rFonts w:ascii="Arial" w:hAnsi="Arial"/>
      <w:b/>
      <w:sz w:val="18"/>
      <w:szCs w:val="20"/>
    </w:rPr>
  </w:style>
  <w:style w:type="paragraph" w:customStyle="1" w:styleId="DQIMainRowHeadings">
    <w:name w:val="DQI Main Row Headings"/>
    <w:basedOn w:val="Normal"/>
    <w:next w:val="Normal"/>
    <w:rsid w:val="007204CA"/>
    <w:pPr>
      <w:keepNext/>
      <w:keepLines/>
      <w:spacing w:before="120" w:line="200" w:lineRule="atLeast"/>
      <w:ind w:left="6" w:right="113"/>
    </w:pPr>
    <w:rPr>
      <w:rFonts w:ascii="Arial" w:hAnsi="Arial"/>
      <w:b/>
      <w:sz w:val="18"/>
      <w:szCs w:val="20"/>
      <w:u w:val="single"/>
    </w:rPr>
  </w:style>
  <w:style w:type="numbering" w:customStyle="1" w:styleId="StyleStyleBulletedOutlinenumberedLatinCourierNewComp1">
    <w:name w:val="Style Style Bulleted + Outline numbered (Latin) Courier New (Comp...1"/>
    <w:basedOn w:val="NoList"/>
    <w:rsid w:val="00252A63"/>
    <w:pPr>
      <w:numPr>
        <w:numId w:val="26"/>
      </w:numPr>
    </w:pPr>
  </w:style>
  <w:style w:type="paragraph" w:customStyle="1" w:styleId="BoxListBullet4">
    <w:name w:val="Box List Bullet 4"/>
    <w:basedOn w:val="BoxListBullet3"/>
    <w:rsid w:val="00252A63"/>
    <w:pPr>
      <w:numPr>
        <w:numId w:val="27"/>
      </w:numPr>
      <w:ind w:left="1247" w:hanging="340"/>
    </w:pPr>
  </w:style>
  <w:style w:type="character" w:customStyle="1" w:styleId="TableBodyTextChar">
    <w:name w:val="Table Body Text Char"/>
    <w:link w:val="TableBodyText"/>
    <w:rsid w:val="00252A63"/>
    <w:rPr>
      <w:rFonts w:ascii="Arial" w:hAnsi="Arial"/>
      <w:sz w:val="18"/>
    </w:rPr>
  </w:style>
  <w:style w:type="paragraph" w:customStyle="1" w:styleId="Heading1NotTOC">
    <w:name w:val="Heading 1 Not TOC"/>
    <w:basedOn w:val="Heading1"/>
    <w:next w:val="BodyText"/>
    <w:rsid w:val="00252A63"/>
    <w:rPr>
      <w:kern w:val="28"/>
      <w:szCs w:val="26"/>
      <w:lang w:eastAsia="en-US"/>
    </w:rPr>
  </w:style>
  <w:style w:type="character" w:customStyle="1" w:styleId="Heading1Char">
    <w:name w:val="Heading 1 Char"/>
    <w:basedOn w:val="DefaultParagraphFont"/>
    <w:link w:val="Heading1"/>
    <w:rsid w:val="00252A63"/>
    <w:rPr>
      <w:sz w:val="52"/>
    </w:rPr>
  </w:style>
  <w:style w:type="character" w:customStyle="1" w:styleId="FootnoteTextChar">
    <w:name w:val="Footnote Text Char"/>
    <w:basedOn w:val="DefaultParagraphFont"/>
    <w:link w:val="FootnoteText"/>
    <w:rsid w:val="00252A63"/>
  </w:style>
  <w:style w:type="character" w:customStyle="1" w:styleId="HeaderChar">
    <w:name w:val="Header Char"/>
    <w:basedOn w:val="DefaultParagraphFont"/>
    <w:link w:val="Header"/>
    <w:rsid w:val="00252A63"/>
    <w:rPr>
      <w:rFonts w:ascii="Arial" w:hAnsi="Arial"/>
      <w:caps/>
      <w:sz w:val="24"/>
    </w:rPr>
  </w:style>
  <w:style w:type="character" w:customStyle="1" w:styleId="Heading2Char">
    <w:name w:val="Heading 2 Char"/>
    <w:basedOn w:val="DefaultParagraphFont"/>
    <w:link w:val="Heading2"/>
    <w:rsid w:val="00252A63"/>
    <w:rPr>
      <w:rFonts w:ascii="Arial" w:hAnsi="Arial"/>
      <w:b/>
      <w:sz w:val="32"/>
    </w:rPr>
  </w:style>
  <w:style w:type="character" w:customStyle="1" w:styleId="Heading3Char">
    <w:name w:val="Heading 3 Char"/>
    <w:basedOn w:val="DefaultParagraphFont"/>
    <w:link w:val="Heading3"/>
    <w:rsid w:val="00252A63"/>
    <w:rPr>
      <w:rFonts w:ascii="Arial" w:hAnsi="Arial"/>
      <w:b/>
      <w:sz w:val="26"/>
    </w:rPr>
  </w:style>
  <w:style w:type="character" w:customStyle="1" w:styleId="Heading4Char">
    <w:name w:val="Heading 4 Char"/>
    <w:basedOn w:val="DefaultParagraphFont"/>
    <w:link w:val="Heading4"/>
    <w:rsid w:val="00252A63"/>
    <w:rPr>
      <w:rFonts w:ascii="Arial" w:hAnsi="Arial"/>
      <w:sz w:val="24"/>
    </w:rPr>
  </w:style>
  <w:style w:type="character" w:customStyle="1" w:styleId="Heading6Char">
    <w:name w:val="Heading 6 Char"/>
    <w:basedOn w:val="DefaultParagraphFont"/>
    <w:link w:val="Heading6"/>
    <w:rsid w:val="00252A63"/>
    <w:rPr>
      <w:i/>
      <w:sz w:val="22"/>
    </w:rPr>
  </w:style>
  <w:style w:type="character" w:customStyle="1" w:styleId="Heading7Char">
    <w:name w:val="Heading 7 Char"/>
    <w:basedOn w:val="DefaultParagraphFont"/>
    <w:link w:val="Heading7"/>
    <w:rsid w:val="00252A63"/>
    <w:rPr>
      <w:rFonts w:ascii="Arial" w:hAnsi="Arial"/>
    </w:rPr>
  </w:style>
  <w:style w:type="character" w:customStyle="1" w:styleId="Heading8Char">
    <w:name w:val="Heading 8 Char"/>
    <w:basedOn w:val="DefaultParagraphFont"/>
    <w:link w:val="Heading8"/>
    <w:rsid w:val="00252A63"/>
    <w:rPr>
      <w:rFonts w:ascii="Arial" w:hAnsi="Arial"/>
      <w:i/>
    </w:rPr>
  </w:style>
  <w:style w:type="character" w:customStyle="1" w:styleId="Heading9Char">
    <w:name w:val="Heading 9 Char"/>
    <w:basedOn w:val="DefaultParagraphFont"/>
    <w:link w:val="Heading9"/>
    <w:rsid w:val="00252A63"/>
    <w:rPr>
      <w:rFonts w:ascii="Arial" w:hAnsi="Arial"/>
      <w:b/>
      <w:i/>
      <w:sz w:val="18"/>
    </w:rPr>
  </w:style>
  <w:style w:type="character" w:customStyle="1" w:styleId="QuoteChar">
    <w:name w:val="Quote Char"/>
    <w:basedOn w:val="DefaultParagraphFont"/>
    <w:link w:val="Quote"/>
    <w:rsid w:val="00252A63"/>
    <w:rPr>
      <w:sz w:val="22"/>
    </w:rPr>
  </w:style>
  <w:style w:type="character" w:customStyle="1" w:styleId="BoxListBulletChar">
    <w:name w:val="Box List Bullet Char"/>
    <w:basedOn w:val="DefaultParagraphFont"/>
    <w:link w:val="BoxListBullet"/>
    <w:rsid w:val="00677C25"/>
    <w:rPr>
      <w:rFonts w:ascii="Arial" w:hAnsi="Arial"/>
    </w:rPr>
  </w:style>
  <w:style w:type="character" w:customStyle="1" w:styleId="TableBulletChar">
    <w:name w:val="Table Bullet Char"/>
    <w:basedOn w:val="TableBodyTextChar"/>
    <w:link w:val="TableBullet"/>
    <w:rsid w:val="00D95A68"/>
    <w:rPr>
      <w:rFonts w:ascii="Arial" w:hAnsi="Arial"/>
      <w:sz w:val="18"/>
    </w:rPr>
  </w:style>
  <w:style w:type="character" w:customStyle="1" w:styleId="Continuedintitle">
    <w:name w:val="Continued (in title)"/>
    <w:basedOn w:val="DefaultParagraphFont"/>
    <w:rsid w:val="00AD4A96"/>
    <w:rPr>
      <w:rFonts w:ascii="Arial" w:hAnsi="Arial"/>
      <w:b/>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072987"/>
    <w:rPr>
      <w:sz w:val="24"/>
      <w:szCs w:val="24"/>
    </w:rPr>
  </w:style>
  <w:style w:type="paragraph" w:styleId="Heading1">
    <w:name w:val="heading 1"/>
    <w:basedOn w:val="BodyText"/>
    <w:next w:val="BodyText"/>
    <w:link w:val="Heading1Char"/>
    <w:rsid w:val="00072987"/>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072987"/>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072987"/>
    <w:pPr>
      <w:spacing w:before="560" w:line="320" w:lineRule="exact"/>
      <w:ind w:left="0" w:firstLine="0"/>
      <w:outlineLvl w:val="2"/>
    </w:pPr>
    <w:rPr>
      <w:sz w:val="26"/>
    </w:rPr>
  </w:style>
  <w:style w:type="paragraph" w:styleId="Heading4">
    <w:name w:val="heading 4"/>
    <w:basedOn w:val="Heading3"/>
    <w:next w:val="BodyText"/>
    <w:link w:val="Heading4Char"/>
    <w:qFormat/>
    <w:rsid w:val="00072987"/>
    <w:pPr>
      <w:spacing w:before="480"/>
      <w:outlineLvl w:val="3"/>
    </w:pPr>
    <w:rPr>
      <w:b w:val="0"/>
      <w:sz w:val="24"/>
    </w:rPr>
  </w:style>
  <w:style w:type="paragraph" w:styleId="Heading5">
    <w:name w:val="heading 5"/>
    <w:basedOn w:val="Heading4"/>
    <w:next w:val="BodyText"/>
    <w:link w:val="Heading5Char"/>
    <w:qFormat/>
    <w:rsid w:val="00072987"/>
    <w:pPr>
      <w:outlineLvl w:val="4"/>
    </w:pPr>
    <w:rPr>
      <w:i/>
      <w:sz w:val="22"/>
    </w:rPr>
  </w:style>
  <w:style w:type="paragraph" w:styleId="Heading6">
    <w:name w:val="heading 6"/>
    <w:basedOn w:val="BodyText"/>
    <w:next w:val="BodyText"/>
    <w:link w:val="Heading6Char"/>
    <w:rsid w:val="00072987"/>
    <w:pPr>
      <w:spacing w:after="60"/>
      <w:jc w:val="left"/>
      <w:outlineLvl w:val="5"/>
    </w:pPr>
    <w:rPr>
      <w:i/>
      <w:sz w:val="22"/>
    </w:rPr>
  </w:style>
  <w:style w:type="paragraph" w:styleId="Heading7">
    <w:name w:val="heading 7"/>
    <w:basedOn w:val="BodyText"/>
    <w:next w:val="BodyText"/>
    <w:link w:val="Heading7Char"/>
    <w:rsid w:val="00072987"/>
    <w:pPr>
      <w:spacing w:after="60" w:line="240" w:lineRule="auto"/>
      <w:jc w:val="left"/>
      <w:outlineLvl w:val="6"/>
    </w:pPr>
    <w:rPr>
      <w:rFonts w:ascii="Arial" w:hAnsi="Arial"/>
      <w:sz w:val="20"/>
    </w:rPr>
  </w:style>
  <w:style w:type="paragraph" w:styleId="Heading8">
    <w:name w:val="heading 8"/>
    <w:basedOn w:val="BodyText"/>
    <w:next w:val="BodyText"/>
    <w:link w:val="Heading8Char"/>
    <w:rsid w:val="00072987"/>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072987"/>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0729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72987"/>
  </w:style>
  <w:style w:type="paragraph" w:styleId="BodyText">
    <w:name w:val="Body Text"/>
    <w:aliases w:val="new legislation style,Body Text Char1,Body Text Char Char,Body Text Char1 Char Char,Body Text Char Char Char Char,new legislation style Char Char Char Char,Body Text Char1 Char1 Char Char Char,Body Text Char Char Char1 Char Char Char"/>
    <w:link w:val="BodyTextChar"/>
    <w:qFormat/>
    <w:rsid w:val="00072987"/>
    <w:pPr>
      <w:spacing w:before="240" w:line="300" w:lineRule="atLeast"/>
      <w:jc w:val="both"/>
    </w:pPr>
    <w:rPr>
      <w:sz w:val="24"/>
    </w:rPr>
  </w:style>
  <w:style w:type="paragraph" w:customStyle="1" w:styleId="Chapter">
    <w:name w:val="Chapter"/>
    <w:basedOn w:val="Heading1"/>
    <w:next w:val="BodyText"/>
    <w:semiHidden/>
    <w:rsid w:val="00072987"/>
    <w:pPr>
      <w:ind w:left="0" w:firstLine="0"/>
      <w:outlineLvl w:val="9"/>
    </w:pPr>
  </w:style>
  <w:style w:type="paragraph" w:customStyle="1" w:styleId="SequenceInfo">
    <w:name w:val="Sequence Info"/>
    <w:basedOn w:val="BodyText"/>
    <w:semiHidden/>
    <w:rsid w:val="00072987"/>
    <w:rPr>
      <w:vanish/>
      <w:sz w:val="16"/>
    </w:rPr>
  </w:style>
  <w:style w:type="character" w:styleId="CommentReference">
    <w:name w:val="annotation reference"/>
    <w:basedOn w:val="DefaultParagraphFont"/>
    <w:rsid w:val="00072987"/>
    <w:rPr>
      <w:b/>
      <w:vanish/>
      <w:color w:val="FF00FF"/>
      <w:sz w:val="20"/>
    </w:rPr>
  </w:style>
  <w:style w:type="paragraph" w:styleId="CommentText">
    <w:name w:val="annotation text"/>
    <w:basedOn w:val="Normal"/>
    <w:link w:val="CommentTextChar"/>
    <w:semiHidden/>
    <w:rsid w:val="00072987"/>
    <w:pPr>
      <w:spacing w:before="120" w:line="240" w:lineRule="atLeast"/>
      <w:ind w:left="567" w:hanging="567"/>
    </w:pPr>
    <w:rPr>
      <w:sz w:val="20"/>
    </w:rPr>
  </w:style>
  <w:style w:type="paragraph" w:customStyle="1" w:styleId="Abbreviation">
    <w:name w:val="Abbreviation"/>
    <w:basedOn w:val="BodyText"/>
    <w:rsid w:val="00072987"/>
    <w:pPr>
      <w:spacing w:before="120"/>
      <w:ind w:left="2381" w:hanging="2381"/>
      <w:jc w:val="left"/>
    </w:pPr>
  </w:style>
  <w:style w:type="paragraph" w:customStyle="1" w:styleId="Box">
    <w:name w:val="Box"/>
    <w:basedOn w:val="BodyText"/>
    <w:link w:val="BoxChar"/>
    <w:qFormat/>
    <w:rsid w:val="00072987"/>
    <w:pPr>
      <w:keepNext/>
      <w:spacing w:before="120" w:line="260" w:lineRule="atLeast"/>
    </w:pPr>
    <w:rPr>
      <w:rFonts w:ascii="Arial" w:hAnsi="Arial"/>
      <w:sz w:val="20"/>
    </w:rPr>
  </w:style>
  <w:style w:type="paragraph" w:customStyle="1" w:styleId="QuoteBullet">
    <w:name w:val="Quote Bullet"/>
    <w:basedOn w:val="Quote"/>
    <w:rsid w:val="00072987"/>
    <w:pPr>
      <w:numPr>
        <w:numId w:val="11"/>
      </w:numPr>
    </w:pPr>
  </w:style>
  <w:style w:type="paragraph" w:styleId="Quote">
    <w:name w:val="Quote"/>
    <w:basedOn w:val="BodyText"/>
    <w:next w:val="BodyText"/>
    <w:link w:val="QuoteChar"/>
    <w:qFormat/>
    <w:rsid w:val="00072987"/>
    <w:pPr>
      <w:spacing w:before="120" w:line="280" w:lineRule="exact"/>
      <w:ind w:left="340"/>
    </w:pPr>
    <w:rPr>
      <w:sz w:val="22"/>
    </w:rPr>
  </w:style>
  <w:style w:type="paragraph" w:customStyle="1" w:styleId="BoxListBullet">
    <w:name w:val="Box List Bullet"/>
    <w:basedOn w:val="BodyText"/>
    <w:link w:val="BoxListBulletChar"/>
    <w:rsid w:val="00072987"/>
    <w:pPr>
      <w:keepNext/>
      <w:numPr>
        <w:numId w:val="6"/>
      </w:numPr>
      <w:spacing w:before="100" w:line="260" w:lineRule="atLeast"/>
    </w:pPr>
    <w:rPr>
      <w:rFonts w:ascii="Arial" w:hAnsi="Arial"/>
      <w:sz w:val="20"/>
    </w:rPr>
  </w:style>
  <w:style w:type="paragraph" w:customStyle="1" w:styleId="BoxListBullet2">
    <w:name w:val="Box List Bullet 2"/>
    <w:basedOn w:val="BoxListBullet"/>
    <w:rsid w:val="00072987"/>
    <w:pPr>
      <w:numPr>
        <w:numId w:val="3"/>
      </w:numPr>
      <w:ind w:left="568" w:hanging="284"/>
    </w:pPr>
  </w:style>
  <w:style w:type="paragraph" w:customStyle="1" w:styleId="BoxListNumber">
    <w:name w:val="Box List Number"/>
    <w:basedOn w:val="BodyText"/>
    <w:rsid w:val="00072987"/>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072987"/>
    <w:pPr>
      <w:numPr>
        <w:ilvl w:val="1"/>
      </w:numPr>
      <w:ind w:left="681" w:hanging="397"/>
    </w:pPr>
  </w:style>
  <w:style w:type="paragraph" w:customStyle="1" w:styleId="BoxQuote">
    <w:name w:val="Box Quote"/>
    <w:basedOn w:val="BodyText"/>
    <w:next w:val="Box"/>
    <w:qFormat/>
    <w:rsid w:val="00072987"/>
    <w:pPr>
      <w:keepNext/>
      <w:spacing w:before="60" w:line="240" w:lineRule="exact"/>
      <w:ind w:left="284"/>
    </w:pPr>
    <w:rPr>
      <w:rFonts w:ascii="Arial" w:hAnsi="Arial"/>
      <w:sz w:val="18"/>
    </w:rPr>
  </w:style>
  <w:style w:type="paragraph" w:customStyle="1" w:styleId="BoxSource">
    <w:name w:val="Box Source"/>
    <w:basedOn w:val="Source"/>
    <w:next w:val="BodyText"/>
    <w:rsid w:val="00072987"/>
    <w:pPr>
      <w:spacing w:before="120"/>
    </w:pPr>
  </w:style>
  <w:style w:type="paragraph" w:customStyle="1" w:styleId="Source">
    <w:name w:val="Source"/>
    <w:basedOn w:val="Normal"/>
    <w:next w:val="BodyText"/>
    <w:link w:val="SourceChar"/>
    <w:rsid w:val="00072987"/>
    <w:pPr>
      <w:keepLines/>
      <w:spacing w:before="80" w:line="220" w:lineRule="exact"/>
      <w:jc w:val="both"/>
    </w:pPr>
    <w:rPr>
      <w:rFonts w:ascii="Arial" w:hAnsi="Arial"/>
      <w:sz w:val="18"/>
      <w:szCs w:val="20"/>
    </w:rPr>
  </w:style>
  <w:style w:type="paragraph" w:customStyle="1" w:styleId="Note">
    <w:name w:val="Note"/>
    <w:basedOn w:val="BodyText"/>
    <w:next w:val="BodyText"/>
    <w:link w:val="NoteChar"/>
    <w:rsid w:val="00072987"/>
    <w:pPr>
      <w:keepLines/>
      <w:spacing w:before="80" w:line="220" w:lineRule="exact"/>
    </w:pPr>
    <w:rPr>
      <w:rFonts w:ascii="Arial" w:hAnsi="Arial"/>
      <w:sz w:val="18"/>
    </w:rPr>
  </w:style>
  <w:style w:type="paragraph" w:customStyle="1" w:styleId="BoxSpace">
    <w:name w:val="Box Space"/>
    <w:basedOn w:val="BodyText"/>
    <w:rsid w:val="00767760"/>
    <w:pPr>
      <w:keepNext/>
      <w:spacing w:before="360" w:line="80" w:lineRule="exact"/>
      <w:jc w:val="left"/>
    </w:pPr>
  </w:style>
  <w:style w:type="paragraph" w:customStyle="1" w:styleId="BoxSubtitle">
    <w:name w:val="Box Subtitle"/>
    <w:basedOn w:val="BoxTitle"/>
    <w:next w:val="Normal"/>
    <w:rsid w:val="00072987"/>
    <w:pPr>
      <w:spacing w:after="80" w:line="200" w:lineRule="exact"/>
      <w:ind w:firstLine="0"/>
    </w:pPr>
    <w:rPr>
      <w:b w:val="0"/>
      <w:sz w:val="20"/>
    </w:rPr>
  </w:style>
  <w:style w:type="paragraph" w:customStyle="1" w:styleId="BoxTitle">
    <w:name w:val="Box Title"/>
    <w:basedOn w:val="Caption"/>
    <w:next w:val="BoxSubtitle"/>
    <w:link w:val="BoxTitleChar"/>
    <w:rsid w:val="00072987"/>
    <w:pPr>
      <w:spacing w:before="120" w:after="0"/>
    </w:pPr>
  </w:style>
  <w:style w:type="paragraph" w:styleId="Caption">
    <w:name w:val="caption"/>
    <w:basedOn w:val="Normal"/>
    <w:next w:val="BodyText"/>
    <w:rsid w:val="00072987"/>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072987"/>
    <w:pPr>
      <w:spacing w:line="280" w:lineRule="atLeast"/>
      <w:ind w:left="907"/>
    </w:pPr>
    <w:rPr>
      <w:rFonts w:ascii="Arial" w:hAnsi="Arial"/>
      <w:b/>
      <w:sz w:val="20"/>
    </w:rPr>
  </w:style>
  <w:style w:type="character" w:customStyle="1" w:styleId="DocumentInfo">
    <w:name w:val="Document Info"/>
    <w:basedOn w:val="DefaultParagraphFont"/>
    <w:semiHidden/>
    <w:rsid w:val="00072987"/>
    <w:rPr>
      <w:rFonts w:ascii="Arial" w:hAnsi="Arial"/>
      <w:sz w:val="14"/>
    </w:rPr>
  </w:style>
  <w:style w:type="paragraph" w:styleId="Footer">
    <w:name w:val="footer"/>
    <w:basedOn w:val="BodyText"/>
    <w:link w:val="FooterChar"/>
    <w:rsid w:val="00072987"/>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072987"/>
    <w:rPr>
      <w:b/>
      <w:color w:val="FF0000"/>
      <w:sz w:val="24"/>
      <w:u w:val="dotted"/>
    </w:rPr>
  </w:style>
  <w:style w:type="paragraph" w:customStyle="1" w:styleId="BoxContinued">
    <w:name w:val="Box Continued"/>
    <w:basedOn w:val="BodyText"/>
    <w:next w:val="BodyText"/>
    <w:link w:val="BoxContinuedChar"/>
    <w:semiHidden/>
    <w:rsid w:val="00072987"/>
    <w:pPr>
      <w:spacing w:before="180" w:line="220" w:lineRule="exact"/>
      <w:jc w:val="right"/>
    </w:pPr>
    <w:rPr>
      <w:rFonts w:ascii="Arial" w:hAnsi="Arial"/>
      <w:sz w:val="18"/>
    </w:rPr>
  </w:style>
  <w:style w:type="paragraph" w:customStyle="1" w:styleId="Figure">
    <w:name w:val="Figure"/>
    <w:basedOn w:val="BodyText"/>
    <w:rsid w:val="00072987"/>
    <w:pPr>
      <w:keepNext/>
      <w:spacing w:before="120" w:after="120" w:line="240" w:lineRule="atLeast"/>
      <w:jc w:val="center"/>
    </w:pPr>
  </w:style>
  <w:style w:type="paragraph" w:customStyle="1" w:styleId="FigureTitle">
    <w:name w:val="Figure Title"/>
    <w:basedOn w:val="Caption"/>
    <w:next w:val="Subtitle"/>
    <w:rsid w:val="00072987"/>
    <w:pPr>
      <w:spacing w:before="120"/>
    </w:pPr>
  </w:style>
  <w:style w:type="paragraph" w:styleId="Subtitle">
    <w:name w:val="Subtitle"/>
    <w:basedOn w:val="Caption"/>
    <w:link w:val="SubtitleChar"/>
    <w:qFormat/>
    <w:rsid w:val="00072987"/>
    <w:pPr>
      <w:spacing w:before="0" w:line="200" w:lineRule="exact"/>
      <w:ind w:firstLine="0"/>
    </w:pPr>
    <w:rPr>
      <w:b w:val="0"/>
      <w:sz w:val="20"/>
    </w:rPr>
  </w:style>
  <w:style w:type="paragraph" w:customStyle="1" w:styleId="Finding">
    <w:name w:val="Finding"/>
    <w:basedOn w:val="BodyText"/>
    <w:rsid w:val="00072987"/>
    <w:pPr>
      <w:keepLines/>
      <w:spacing w:before="120" w:line="280" w:lineRule="atLeast"/>
    </w:pPr>
    <w:rPr>
      <w:rFonts w:ascii="Arial" w:hAnsi="Arial"/>
      <w:sz w:val="22"/>
    </w:rPr>
  </w:style>
  <w:style w:type="paragraph" w:customStyle="1" w:styleId="FindingBullet">
    <w:name w:val="Finding Bullet"/>
    <w:basedOn w:val="Finding"/>
    <w:rsid w:val="00072987"/>
    <w:pPr>
      <w:numPr>
        <w:numId w:val="7"/>
      </w:numPr>
      <w:spacing w:before="80"/>
    </w:pPr>
  </w:style>
  <w:style w:type="paragraph" w:customStyle="1" w:styleId="FindingNoTitle">
    <w:name w:val="Finding NoTitle"/>
    <w:basedOn w:val="Finding"/>
    <w:rsid w:val="00072987"/>
    <w:pPr>
      <w:spacing w:before="240"/>
    </w:pPr>
  </w:style>
  <w:style w:type="paragraph" w:customStyle="1" w:styleId="FindingTitle">
    <w:name w:val="Finding Title"/>
    <w:basedOn w:val="RecTitle"/>
    <w:next w:val="Finding"/>
    <w:rsid w:val="00072987"/>
  </w:style>
  <w:style w:type="paragraph" w:customStyle="1" w:styleId="RecTitle">
    <w:name w:val="Rec Title"/>
    <w:basedOn w:val="BodyText"/>
    <w:next w:val="Rec"/>
    <w:qFormat/>
    <w:rsid w:val="00072987"/>
    <w:pPr>
      <w:keepNext/>
      <w:keepLines/>
      <w:spacing w:line="280" w:lineRule="atLeast"/>
    </w:pPr>
    <w:rPr>
      <w:rFonts w:ascii="Arial" w:hAnsi="Arial"/>
      <w:caps/>
      <w:sz w:val="18"/>
    </w:rPr>
  </w:style>
  <w:style w:type="paragraph" w:customStyle="1" w:styleId="FooterEnd">
    <w:name w:val="Footer End"/>
    <w:basedOn w:val="Footer"/>
    <w:rsid w:val="00072987"/>
    <w:pPr>
      <w:spacing w:before="0" w:line="20" w:lineRule="exact"/>
    </w:pPr>
  </w:style>
  <w:style w:type="character" w:styleId="FootnoteReference">
    <w:name w:val="footnote reference"/>
    <w:basedOn w:val="DefaultParagraphFont"/>
    <w:semiHidden/>
    <w:rsid w:val="00072987"/>
    <w:rPr>
      <w:rFonts w:ascii="Times New Roman" w:hAnsi="Times New Roman"/>
      <w:position w:val="6"/>
      <w:sz w:val="20"/>
      <w:vertAlign w:val="baseline"/>
    </w:rPr>
  </w:style>
  <w:style w:type="paragraph" w:styleId="FootnoteText">
    <w:name w:val="footnote text"/>
    <w:basedOn w:val="BodyText"/>
    <w:link w:val="FootnoteTextChar"/>
    <w:rsid w:val="00072987"/>
    <w:pPr>
      <w:tabs>
        <w:tab w:val="left" w:pos="284"/>
      </w:tabs>
      <w:spacing w:before="80" w:line="240" w:lineRule="exact"/>
      <w:ind w:left="284" w:hanging="284"/>
    </w:pPr>
    <w:rPr>
      <w:sz w:val="20"/>
    </w:rPr>
  </w:style>
  <w:style w:type="paragraph" w:styleId="Header">
    <w:name w:val="header"/>
    <w:basedOn w:val="BodyText"/>
    <w:link w:val="HeaderChar"/>
    <w:rsid w:val="00072987"/>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072987"/>
    <w:pPr>
      <w:spacing w:line="20" w:lineRule="exact"/>
    </w:pPr>
    <w:rPr>
      <w:sz w:val="16"/>
    </w:rPr>
  </w:style>
  <w:style w:type="paragraph" w:customStyle="1" w:styleId="HeaderEven">
    <w:name w:val="Header Even"/>
    <w:basedOn w:val="Header"/>
    <w:semiHidden/>
    <w:rsid w:val="00072987"/>
  </w:style>
  <w:style w:type="paragraph" w:customStyle="1" w:styleId="HeaderOdd">
    <w:name w:val="Header Odd"/>
    <w:basedOn w:val="Header"/>
    <w:rsid w:val="00072987"/>
  </w:style>
  <w:style w:type="paragraph" w:customStyle="1" w:styleId="InformationRequest">
    <w:name w:val="Information Request"/>
    <w:basedOn w:val="Finding"/>
    <w:next w:val="BodyText"/>
    <w:rsid w:val="00072987"/>
    <w:rPr>
      <w:i/>
    </w:rPr>
  </w:style>
  <w:style w:type="paragraph" w:styleId="ListBullet">
    <w:name w:val="List Bullet"/>
    <w:basedOn w:val="BodyText"/>
    <w:link w:val="ListBulletChar"/>
    <w:rsid w:val="00072987"/>
    <w:pPr>
      <w:numPr>
        <w:numId w:val="5"/>
      </w:numPr>
      <w:spacing w:before="120"/>
    </w:pPr>
  </w:style>
  <w:style w:type="paragraph" w:styleId="ListBullet2">
    <w:name w:val="List Bullet 2"/>
    <w:basedOn w:val="BodyText"/>
    <w:rsid w:val="00072987"/>
    <w:pPr>
      <w:numPr>
        <w:numId w:val="2"/>
      </w:numPr>
      <w:spacing w:before="120"/>
    </w:pPr>
  </w:style>
  <w:style w:type="paragraph" w:styleId="ListBullet3">
    <w:name w:val="List Bullet 3"/>
    <w:basedOn w:val="BodyText"/>
    <w:rsid w:val="00072987"/>
    <w:pPr>
      <w:numPr>
        <w:numId w:val="1"/>
      </w:numPr>
      <w:spacing w:before="120"/>
      <w:ind w:left="1020" w:hanging="340"/>
    </w:pPr>
  </w:style>
  <w:style w:type="paragraph" w:styleId="ListNumber">
    <w:name w:val="List Number"/>
    <w:basedOn w:val="BodyText"/>
    <w:rsid w:val="00072987"/>
    <w:pPr>
      <w:numPr>
        <w:numId w:val="13"/>
      </w:numPr>
      <w:spacing w:before="120"/>
    </w:pPr>
  </w:style>
  <w:style w:type="paragraph" w:styleId="ListNumber2">
    <w:name w:val="List Number 2"/>
    <w:basedOn w:val="ListNumber"/>
    <w:rsid w:val="00072987"/>
    <w:pPr>
      <w:numPr>
        <w:ilvl w:val="1"/>
      </w:numPr>
    </w:pPr>
  </w:style>
  <w:style w:type="paragraph" w:styleId="ListNumber3">
    <w:name w:val="List Number 3"/>
    <w:basedOn w:val="ListNumber2"/>
    <w:rsid w:val="00072987"/>
    <w:pPr>
      <w:numPr>
        <w:ilvl w:val="2"/>
      </w:numPr>
    </w:pPr>
  </w:style>
  <w:style w:type="character" w:customStyle="1" w:styleId="NoteLabel">
    <w:name w:val="Note Label"/>
    <w:basedOn w:val="DefaultParagraphFont"/>
    <w:rsid w:val="00072987"/>
    <w:rPr>
      <w:rFonts w:ascii="Arial" w:hAnsi="Arial"/>
      <w:b/>
      <w:position w:val="6"/>
      <w:sz w:val="18"/>
    </w:rPr>
  </w:style>
  <w:style w:type="character" w:styleId="PageNumber">
    <w:name w:val="page number"/>
    <w:basedOn w:val="DefaultParagraphFont"/>
    <w:rsid w:val="00072987"/>
    <w:rPr>
      <w:rFonts w:ascii="Arial" w:hAnsi="Arial"/>
      <w:b/>
      <w:sz w:val="16"/>
    </w:rPr>
  </w:style>
  <w:style w:type="paragraph" w:customStyle="1" w:styleId="PartDivider">
    <w:name w:val="Part Divider"/>
    <w:basedOn w:val="BodyText"/>
    <w:next w:val="BodyText"/>
    <w:semiHidden/>
    <w:rsid w:val="00072987"/>
    <w:pPr>
      <w:spacing w:before="0" w:line="40" w:lineRule="exact"/>
      <w:jc w:val="right"/>
    </w:pPr>
    <w:rPr>
      <w:smallCaps/>
      <w:sz w:val="16"/>
    </w:rPr>
  </w:style>
  <w:style w:type="paragraph" w:customStyle="1" w:styleId="PartNumber">
    <w:name w:val="Part Number"/>
    <w:basedOn w:val="BodyText"/>
    <w:next w:val="BodyText"/>
    <w:semiHidden/>
    <w:rsid w:val="00072987"/>
    <w:pPr>
      <w:spacing w:before="4000" w:line="320" w:lineRule="exact"/>
      <w:ind w:left="6634"/>
      <w:jc w:val="right"/>
    </w:pPr>
    <w:rPr>
      <w:smallCaps/>
      <w:spacing w:val="60"/>
      <w:sz w:val="32"/>
    </w:rPr>
  </w:style>
  <w:style w:type="paragraph" w:customStyle="1" w:styleId="PartTitle">
    <w:name w:val="Part Title"/>
    <w:basedOn w:val="BodyText"/>
    <w:semiHidden/>
    <w:rsid w:val="00072987"/>
    <w:pPr>
      <w:spacing w:before="160" w:after="1360" w:line="520" w:lineRule="exact"/>
      <w:ind w:right="2381"/>
      <w:jc w:val="right"/>
    </w:pPr>
    <w:rPr>
      <w:smallCaps/>
      <w:sz w:val="52"/>
    </w:rPr>
  </w:style>
  <w:style w:type="paragraph" w:customStyle="1" w:styleId="Rec">
    <w:name w:val="Rec"/>
    <w:basedOn w:val="BodyText"/>
    <w:qFormat/>
    <w:rsid w:val="00072987"/>
    <w:pPr>
      <w:keepLines/>
      <w:spacing w:before="120" w:line="280" w:lineRule="atLeast"/>
    </w:pPr>
    <w:rPr>
      <w:rFonts w:ascii="Arial" w:hAnsi="Arial"/>
      <w:sz w:val="22"/>
    </w:rPr>
  </w:style>
  <w:style w:type="paragraph" w:customStyle="1" w:styleId="RecBullet">
    <w:name w:val="Rec Bullet"/>
    <w:basedOn w:val="Rec"/>
    <w:rsid w:val="00072987"/>
    <w:pPr>
      <w:numPr>
        <w:numId w:val="8"/>
      </w:numPr>
      <w:spacing w:before="80"/>
    </w:pPr>
  </w:style>
  <w:style w:type="paragraph" w:customStyle="1" w:styleId="RecB">
    <w:name w:val="RecB"/>
    <w:basedOn w:val="Normal"/>
    <w:rsid w:val="00072987"/>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072987"/>
    <w:pPr>
      <w:numPr>
        <w:numId w:val="9"/>
      </w:numPr>
      <w:spacing w:before="80"/>
    </w:pPr>
  </w:style>
  <w:style w:type="paragraph" w:customStyle="1" w:styleId="RecBNoTitle">
    <w:name w:val="RecB NoTitle"/>
    <w:basedOn w:val="RecB"/>
    <w:rsid w:val="00072987"/>
    <w:pPr>
      <w:spacing w:before="240"/>
    </w:pPr>
  </w:style>
  <w:style w:type="paragraph" w:customStyle="1" w:styleId="Reference">
    <w:name w:val="Reference"/>
    <w:basedOn w:val="BodyText"/>
    <w:rsid w:val="00072987"/>
    <w:pPr>
      <w:spacing w:before="120"/>
      <w:ind w:left="340" w:hanging="340"/>
    </w:pPr>
  </w:style>
  <w:style w:type="paragraph" w:customStyle="1" w:styleId="SideNote">
    <w:name w:val="Side Note"/>
    <w:basedOn w:val="BodyText"/>
    <w:next w:val="BodyText"/>
    <w:semiHidden/>
    <w:rsid w:val="00072987"/>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072987"/>
    <w:pPr>
      <w:framePr w:wrap="around"/>
      <w:numPr>
        <w:numId w:val="4"/>
      </w:numPr>
      <w:tabs>
        <w:tab w:val="left" w:pos="227"/>
      </w:tabs>
    </w:pPr>
  </w:style>
  <w:style w:type="paragraph" w:customStyle="1" w:styleId="SideNoteGraphic">
    <w:name w:val="Side Note Graphic"/>
    <w:basedOn w:val="SideNote"/>
    <w:next w:val="BodyText"/>
    <w:semiHidden/>
    <w:rsid w:val="00072987"/>
    <w:pPr>
      <w:framePr w:wrap="around"/>
    </w:pPr>
  </w:style>
  <w:style w:type="paragraph" w:customStyle="1" w:styleId="TableBodyText">
    <w:name w:val="Table Body Text"/>
    <w:basedOn w:val="BodyText"/>
    <w:link w:val="TableBodyTextChar"/>
    <w:rsid w:val="00072987"/>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072987"/>
    <w:pPr>
      <w:numPr>
        <w:numId w:val="10"/>
      </w:numPr>
      <w:jc w:val="left"/>
    </w:pPr>
  </w:style>
  <w:style w:type="paragraph" w:customStyle="1" w:styleId="TableColumnHeading">
    <w:name w:val="Table Column Heading"/>
    <w:basedOn w:val="TableBodyText"/>
    <w:rsid w:val="00072987"/>
    <w:pPr>
      <w:spacing w:before="80" w:after="80"/>
    </w:pPr>
    <w:rPr>
      <w:i/>
    </w:rPr>
  </w:style>
  <w:style w:type="paragraph" w:styleId="TableofFigures">
    <w:name w:val="table of figures"/>
    <w:basedOn w:val="TOC3"/>
    <w:next w:val="BodyText"/>
    <w:semiHidden/>
    <w:rsid w:val="00072987"/>
    <w:pPr>
      <w:ind w:left="737" w:hanging="737"/>
    </w:pPr>
  </w:style>
  <w:style w:type="paragraph" w:styleId="TOC3">
    <w:name w:val="toc 3"/>
    <w:basedOn w:val="TOC2"/>
    <w:rsid w:val="00072987"/>
    <w:pPr>
      <w:spacing w:before="60"/>
      <w:ind w:left="1190" w:hanging="680"/>
    </w:pPr>
  </w:style>
  <w:style w:type="paragraph" w:styleId="TOC2">
    <w:name w:val="toc 2"/>
    <w:basedOn w:val="TOC1"/>
    <w:rsid w:val="00072987"/>
    <w:pPr>
      <w:ind w:left="1134" w:hanging="624"/>
    </w:pPr>
    <w:rPr>
      <w:b w:val="0"/>
    </w:rPr>
  </w:style>
  <w:style w:type="paragraph" w:customStyle="1" w:styleId="TableTitle">
    <w:name w:val="Table Title"/>
    <w:basedOn w:val="Caption"/>
    <w:next w:val="Subtitle"/>
    <w:qFormat/>
    <w:rsid w:val="00072987"/>
    <w:pPr>
      <w:spacing w:before="120"/>
    </w:pPr>
  </w:style>
  <w:style w:type="paragraph" w:customStyle="1" w:styleId="TableUnitsRow">
    <w:name w:val="Table Units Row"/>
    <w:basedOn w:val="TableBodyText"/>
    <w:rsid w:val="00072987"/>
    <w:pPr>
      <w:spacing w:before="40"/>
    </w:pPr>
  </w:style>
  <w:style w:type="paragraph" w:styleId="TOC1">
    <w:name w:val="toc 1"/>
    <w:basedOn w:val="Normal"/>
    <w:next w:val="TOC2"/>
    <w:link w:val="TOC1Char"/>
    <w:rsid w:val="0007298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072987"/>
    <w:pPr>
      <w:ind w:left="1191" w:firstLine="0"/>
    </w:pPr>
  </w:style>
  <w:style w:type="paragraph" w:customStyle="1" w:styleId="Jurisdictioncommentsbodytext">
    <w:name w:val="Jurisdiction comments body text"/>
    <w:rsid w:val="00072987"/>
    <w:pPr>
      <w:spacing w:after="140"/>
      <w:jc w:val="both"/>
    </w:pPr>
    <w:rPr>
      <w:rFonts w:ascii="Arial" w:hAnsi="Arial"/>
      <w:sz w:val="24"/>
      <w:lang w:eastAsia="en-US"/>
    </w:rPr>
  </w:style>
  <w:style w:type="paragraph" w:customStyle="1" w:styleId="Continued">
    <w:name w:val="Continued"/>
    <w:basedOn w:val="BoxContinued"/>
    <w:next w:val="BodyText"/>
    <w:link w:val="ContinuedChar"/>
    <w:rsid w:val="00072987"/>
  </w:style>
  <w:style w:type="paragraph" w:customStyle="1" w:styleId="BoxHeading1">
    <w:name w:val="Box Heading 1"/>
    <w:basedOn w:val="BodyText"/>
    <w:next w:val="Box"/>
    <w:rsid w:val="00072987"/>
    <w:pPr>
      <w:keepNext/>
      <w:spacing w:before="200" w:line="280" w:lineRule="atLeast"/>
    </w:pPr>
    <w:rPr>
      <w:rFonts w:ascii="Arial" w:hAnsi="Arial"/>
      <w:b/>
      <w:sz w:val="22"/>
    </w:rPr>
  </w:style>
  <w:style w:type="paragraph" w:customStyle="1" w:styleId="BoxHeading2">
    <w:name w:val="Box Heading 2"/>
    <w:basedOn w:val="BoxHeading1"/>
    <w:next w:val="Normal"/>
    <w:rsid w:val="00072987"/>
    <w:rPr>
      <w:b w:val="0"/>
      <w:i/>
    </w:rPr>
  </w:style>
  <w:style w:type="table" w:styleId="TableGrid">
    <w:name w:val="Table Grid"/>
    <w:basedOn w:val="TableNormal"/>
    <w:rsid w:val="000729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risdictioncommentsheading">
    <w:name w:val="Jurisdiction comments heading"/>
    <w:rsid w:val="00072987"/>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072987"/>
    <w:pPr>
      <w:numPr>
        <w:numId w:val="12"/>
      </w:numPr>
      <w:spacing w:after="140"/>
      <w:jc w:val="both"/>
    </w:pPr>
    <w:rPr>
      <w:rFonts w:ascii="Arial" w:hAnsi="Arial"/>
      <w:sz w:val="24"/>
      <w:lang w:eastAsia="en-US"/>
    </w:rPr>
  </w:style>
  <w:style w:type="paragraph" w:styleId="BalloonText">
    <w:name w:val="Balloon Text"/>
    <w:basedOn w:val="Normal"/>
    <w:link w:val="BalloonTextChar"/>
    <w:rsid w:val="00072987"/>
    <w:rPr>
      <w:rFonts w:ascii="Tahoma" w:hAnsi="Tahoma" w:cs="Tahoma"/>
      <w:sz w:val="16"/>
      <w:szCs w:val="16"/>
    </w:rPr>
  </w:style>
  <w:style w:type="character" w:styleId="Hyperlink">
    <w:name w:val="Hyperlink"/>
    <w:uiPriority w:val="99"/>
    <w:rsid w:val="00B32791"/>
    <w:rPr>
      <w:color w:val="0000FF"/>
      <w:u w:val="single"/>
    </w:rPr>
  </w:style>
  <w:style w:type="paragraph" w:styleId="CommentSubject">
    <w:name w:val="annotation subject"/>
    <w:basedOn w:val="CommentText"/>
    <w:next w:val="CommentText"/>
    <w:semiHidden/>
    <w:rsid w:val="00380B81"/>
    <w:pPr>
      <w:spacing w:before="0" w:line="240" w:lineRule="auto"/>
      <w:ind w:left="0" w:firstLine="0"/>
    </w:pPr>
    <w:rPr>
      <w:b/>
      <w:bCs/>
    </w:rPr>
  </w:style>
  <w:style w:type="paragraph" w:customStyle="1" w:styleId="DocInfo">
    <w:name w:val="Doc Info"/>
    <w:basedOn w:val="Normal"/>
    <w:next w:val="Normal"/>
    <w:rsid w:val="004A1A4B"/>
    <w:pPr>
      <w:jc w:val="center"/>
    </w:pPr>
    <w:rPr>
      <w:rFonts w:ascii="Arial" w:hAnsi="Arial"/>
      <w:sz w:val="14"/>
    </w:rPr>
  </w:style>
  <w:style w:type="paragraph" w:customStyle="1" w:styleId="Heading2NotTOC">
    <w:name w:val="Heading 2 Not TOC"/>
    <w:basedOn w:val="Heading2"/>
    <w:next w:val="BodyText"/>
    <w:rsid w:val="004A1A4B"/>
    <w:pPr>
      <w:outlineLvl w:val="9"/>
    </w:pPr>
  </w:style>
  <w:style w:type="paragraph" w:customStyle="1" w:styleId="SOC">
    <w:name w:val="SOC"/>
    <w:basedOn w:val="BodyText"/>
    <w:rsid w:val="004A1A4B"/>
    <w:pPr>
      <w:spacing w:before="0" w:after="140" w:line="240" w:lineRule="auto"/>
    </w:pPr>
    <w:rPr>
      <w:rFonts w:ascii="Arial" w:hAnsi="Arial"/>
    </w:rPr>
  </w:style>
  <w:style w:type="character" w:customStyle="1" w:styleId="BoxChar">
    <w:name w:val="Box Char"/>
    <w:link w:val="Box"/>
    <w:rsid w:val="00695237"/>
    <w:rPr>
      <w:rFonts w:ascii="Arial" w:hAnsi="Arial"/>
    </w:rPr>
  </w:style>
  <w:style w:type="character" w:styleId="FollowedHyperlink">
    <w:name w:val="FollowedHyperlink"/>
    <w:rsid w:val="00E70D23"/>
    <w:rPr>
      <w:color w:val="800080"/>
      <w:u w:val="single"/>
    </w:rPr>
  </w:style>
  <w:style w:type="character" w:customStyle="1" w:styleId="NoteChar">
    <w:name w:val="Note Char"/>
    <w:link w:val="Note"/>
    <w:rsid w:val="00D877D2"/>
    <w:rPr>
      <w:rFonts w:ascii="Arial" w:hAnsi="Arial"/>
      <w:sz w:val="18"/>
    </w:rPr>
  </w:style>
  <w:style w:type="character" w:customStyle="1" w:styleId="SourceChar">
    <w:name w:val="Source Char"/>
    <w:basedOn w:val="NoteChar"/>
    <w:link w:val="Source"/>
    <w:rsid w:val="004B7622"/>
    <w:rPr>
      <w:rFonts w:ascii="Arial" w:hAnsi="Arial"/>
      <w:sz w:val="18"/>
    </w:rPr>
  </w:style>
  <w:style w:type="paragraph" w:customStyle="1" w:styleId="formattedparas">
    <w:name w:val="formatted paras"/>
    <w:basedOn w:val="Normal"/>
    <w:rsid w:val="00A05C8C"/>
    <w:pPr>
      <w:numPr>
        <w:numId w:val="15"/>
      </w:numPr>
      <w:tabs>
        <w:tab w:val="clear" w:pos="360"/>
      </w:tabs>
      <w:spacing w:after="140" w:line="300" w:lineRule="exact"/>
      <w:ind w:left="0" w:firstLine="0"/>
      <w:jc w:val="both"/>
    </w:pPr>
    <w:rPr>
      <w:szCs w:val="20"/>
    </w:rPr>
  </w:style>
  <w:style w:type="character" w:customStyle="1" w:styleId="BoxContinuedChar">
    <w:name w:val="Box Continued Char"/>
    <w:link w:val="BoxContinued"/>
    <w:semiHidden/>
    <w:rsid w:val="0016191F"/>
    <w:rPr>
      <w:rFonts w:ascii="Arial" w:hAnsi="Arial"/>
      <w:sz w:val="18"/>
    </w:rPr>
  </w:style>
  <w:style w:type="character" w:customStyle="1" w:styleId="ContinuedChar">
    <w:name w:val="Continued Char"/>
    <w:basedOn w:val="BoxContinuedChar"/>
    <w:link w:val="Continued"/>
    <w:rsid w:val="0016191F"/>
    <w:rPr>
      <w:rFonts w:ascii="Arial" w:hAnsi="Arial"/>
      <w:sz w:val="18"/>
    </w:rPr>
  </w:style>
  <w:style w:type="paragraph" w:customStyle="1" w:styleId="Default">
    <w:name w:val="Default"/>
    <w:rsid w:val="00297174"/>
    <w:pPr>
      <w:autoSpaceDE w:val="0"/>
      <w:autoSpaceDN w:val="0"/>
      <w:adjustRightInd w:val="0"/>
    </w:pPr>
    <w:rPr>
      <w:rFonts w:ascii="Corbel" w:hAnsi="Corbel" w:cs="Corbel"/>
      <w:color w:val="000000"/>
      <w:sz w:val="24"/>
      <w:szCs w:val="24"/>
    </w:rPr>
  </w:style>
  <w:style w:type="paragraph" w:styleId="NormalWeb">
    <w:name w:val="Normal (Web)"/>
    <w:basedOn w:val="Normal"/>
    <w:rsid w:val="00BA1313"/>
    <w:pPr>
      <w:spacing w:after="240" w:line="312" w:lineRule="atLeast"/>
    </w:pPr>
    <w:rPr>
      <w:color w:val="000000"/>
    </w:rPr>
  </w:style>
  <w:style w:type="character" w:styleId="IntenseReference">
    <w:name w:val="Intense Reference"/>
    <w:uiPriority w:val="32"/>
    <w:qFormat/>
    <w:rsid w:val="00A20477"/>
    <w:rPr>
      <w:b/>
      <w:bCs/>
      <w:smallCaps/>
      <w:color w:val="C0504D"/>
      <w:spacing w:val="5"/>
      <w:u w:val="single"/>
    </w:rPr>
  </w:style>
  <w:style w:type="character" w:customStyle="1" w:styleId="ListBulletChar">
    <w:name w:val="List Bullet Char"/>
    <w:link w:val="ListBullet"/>
    <w:rsid w:val="00FC3F6C"/>
    <w:rPr>
      <w:sz w:val="24"/>
    </w:rPr>
  </w:style>
  <w:style w:type="paragraph" w:customStyle="1" w:styleId="RecBBullet2">
    <w:name w:val="RecB Bullet 2"/>
    <w:basedOn w:val="ListBullet2"/>
    <w:semiHidden/>
    <w:rsid w:val="00072987"/>
    <w:pPr>
      <w:pBdr>
        <w:left w:val="single" w:sz="24" w:space="29" w:color="C0C0C0"/>
      </w:pBdr>
    </w:pPr>
    <w:rPr>
      <w:b/>
      <w:i/>
    </w:rPr>
  </w:style>
  <w:style w:type="character" w:customStyle="1" w:styleId="BalloonTextChar">
    <w:name w:val="Balloon Text Char"/>
    <w:basedOn w:val="DefaultParagraphFont"/>
    <w:link w:val="BalloonText"/>
    <w:rsid w:val="00072987"/>
    <w:rPr>
      <w:rFonts w:ascii="Tahoma" w:hAnsi="Tahoma" w:cs="Tahoma"/>
      <w:sz w:val="16"/>
      <w:szCs w:val="16"/>
    </w:rPr>
  </w:style>
  <w:style w:type="character" w:customStyle="1" w:styleId="SubtitleChar">
    <w:name w:val="Subtitle Char"/>
    <w:basedOn w:val="DefaultParagraphFont"/>
    <w:link w:val="Subtitle"/>
    <w:rsid w:val="00072987"/>
    <w:rPr>
      <w:rFonts w:ascii="Arial" w:hAnsi="Arial"/>
      <w:szCs w:val="24"/>
    </w:rPr>
  </w:style>
  <w:style w:type="paragraph" w:customStyle="1" w:styleId="BoxListBullet3">
    <w:name w:val="Box List Bullet 3"/>
    <w:basedOn w:val="ListBullet3"/>
    <w:rsid w:val="00072987"/>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072987"/>
    <w:rPr>
      <w:i/>
      <w:iCs/>
    </w:rPr>
  </w:style>
  <w:style w:type="paragraph" w:customStyle="1" w:styleId="BoxQuoteBullet">
    <w:name w:val="Box Quote Bullet"/>
    <w:basedOn w:val="BoxQuote"/>
    <w:next w:val="Box"/>
    <w:rsid w:val="00072987"/>
    <w:pPr>
      <w:numPr>
        <w:numId w:val="16"/>
      </w:numPr>
      <w:ind w:left="568" w:hanging="284"/>
    </w:pPr>
  </w:style>
  <w:style w:type="paragraph" w:customStyle="1" w:styleId="InformationRequestBullet">
    <w:name w:val="Information Request Bullet"/>
    <w:basedOn w:val="ListBullet"/>
    <w:next w:val="BodyText"/>
    <w:rsid w:val="00072987"/>
    <w:pPr>
      <w:numPr>
        <w:numId w:val="17"/>
      </w:numPr>
      <w:spacing w:before="80" w:line="280" w:lineRule="atLeast"/>
      <w:ind w:left="357" w:hanging="357"/>
    </w:pPr>
    <w:rPr>
      <w:rFonts w:ascii="Arial" w:hAnsi="Arial"/>
      <w:i/>
      <w:sz w:val="22"/>
    </w:rPr>
  </w:style>
  <w:style w:type="character" w:customStyle="1" w:styleId="CommentTextChar">
    <w:name w:val="Comment Text Char"/>
    <w:basedOn w:val="DefaultParagraphFont"/>
    <w:link w:val="CommentText"/>
    <w:semiHidden/>
    <w:rsid w:val="002375A1"/>
    <w:rPr>
      <w:szCs w:val="24"/>
    </w:rPr>
  </w:style>
  <w:style w:type="paragraph" w:customStyle="1" w:styleId="BoxSpaceAbove">
    <w:name w:val="Box Space Above"/>
    <w:basedOn w:val="BodyText"/>
    <w:rsid w:val="00072987"/>
    <w:pPr>
      <w:keepNext/>
      <w:spacing w:before="360" w:line="80" w:lineRule="exact"/>
      <w:jc w:val="left"/>
    </w:pPr>
  </w:style>
  <w:style w:type="paragraph" w:customStyle="1" w:styleId="BoxSpaceBelow">
    <w:name w:val="Box Space Below"/>
    <w:basedOn w:val="Box"/>
    <w:rsid w:val="00072987"/>
    <w:pPr>
      <w:keepNext w:val="0"/>
      <w:spacing w:before="60" w:after="60" w:line="80" w:lineRule="exact"/>
    </w:pPr>
    <w:rPr>
      <w:sz w:val="14"/>
    </w:rPr>
  </w:style>
  <w:style w:type="character" w:customStyle="1" w:styleId="BodyTextChar">
    <w:name w:val="Body Text Char"/>
    <w:aliases w:val="new legislation style Char,Body Text Char1 Char,Body Text Char Char Char,Body Text Char1 Char Char Char,Body Text Char Char Char Char Char,new legislation style Char Char Char Char Char,Body Text Char1 Char1 Char Char Char Char"/>
    <w:basedOn w:val="DefaultParagraphFont"/>
    <w:link w:val="BodyText"/>
    <w:rsid w:val="00072987"/>
    <w:rPr>
      <w:sz w:val="24"/>
    </w:rPr>
  </w:style>
  <w:style w:type="paragraph" w:styleId="ListParagraph">
    <w:name w:val="List Paragraph"/>
    <w:basedOn w:val="Normal"/>
    <w:uiPriority w:val="99"/>
    <w:qFormat/>
    <w:rsid w:val="00642EB8"/>
    <w:pPr>
      <w:ind w:left="720"/>
      <w:contextualSpacing/>
    </w:pPr>
  </w:style>
  <w:style w:type="paragraph" w:customStyle="1" w:styleId="KeyPointsListBullet">
    <w:name w:val="Key Points List Bullet"/>
    <w:basedOn w:val="Normal"/>
    <w:qFormat/>
    <w:rsid w:val="00072987"/>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072987"/>
    <w:pPr>
      <w:numPr>
        <w:numId w:val="20"/>
      </w:numPr>
      <w:ind w:left="568" w:hanging="284"/>
    </w:pPr>
  </w:style>
  <w:style w:type="paragraph" w:customStyle="1" w:styleId="InformationRequestTitle">
    <w:name w:val="Information Request Title"/>
    <w:basedOn w:val="FindingTitle"/>
    <w:next w:val="InformationRequest"/>
    <w:rsid w:val="00072987"/>
    <w:rPr>
      <w:i/>
    </w:rPr>
  </w:style>
  <w:style w:type="paragraph" w:customStyle="1" w:styleId="Space">
    <w:name w:val="Space"/>
    <w:basedOn w:val="Normal"/>
    <w:rsid w:val="00072987"/>
    <w:pPr>
      <w:keepNext/>
      <w:spacing w:line="120" w:lineRule="exact"/>
      <w:jc w:val="both"/>
    </w:pPr>
    <w:rPr>
      <w:rFonts w:ascii="Arial" w:hAnsi="Arial"/>
      <w:sz w:val="20"/>
      <w:szCs w:val="20"/>
    </w:rPr>
  </w:style>
  <w:style w:type="paragraph" w:customStyle="1" w:styleId="Heading1nochapterno">
    <w:name w:val="Heading 1 (no chapter no.)"/>
    <w:basedOn w:val="Heading1"/>
    <w:rsid w:val="00072987"/>
    <w:pPr>
      <w:spacing w:before="0"/>
      <w:ind w:left="0" w:firstLine="0"/>
    </w:pPr>
  </w:style>
  <w:style w:type="paragraph" w:customStyle="1" w:styleId="Heading2nosectionno">
    <w:name w:val="Heading 2 (no section no.)"/>
    <w:basedOn w:val="Heading2"/>
    <w:rsid w:val="00072987"/>
    <w:pPr>
      <w:ind w:left="0" w:firstLine="0"/>
    </w:pPr>
  </w:style>
  <w:style w:type="character" w:customStyle="1" w:styleId="Heading5Char">
    <w:name w:val="Heading 5 Char"/>
    <w:basedOn w:val="DefaultParagraphFont"/>
    <w:link w:val="Heading5"/>
    <w:rsid w:val="00072987"/>
    <w:rPr>
      <w:rFonts w:ascii="Arial" w:hAnsi="Arial"/>
      <w:i/>
      <w:sz w:val="22"/>
    </w:rPr>
  </w:style>
  <w:style w:type="paragraph" w:customStyle="1" w:styleId="Figurespace">
    <w:name w:val="Figure space"/>
    <w:basedOn w:val="Box"/>
    <w:rsid w:val="00072987"/>
    <w:pPr>
      <w:spacing w:before="0" w:line="120" w:lineRule="exact"/>
    </w:pPr>
  </w:style>
  <w:style w:type="paragraph" w:customStyle="1" w:styleId="FooterDraftReport">
    <w:name w:val="FooterDraftReport"/>
    <w:basedOn w:val="Footer"/>
    <w:link w:val="FooterDraftReportChar"/>
    <w:rsid w:val="00072987"/>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072987"/>
    <w:rPr>
      <w:rFonts w:ascii="Arial" w:hAnsi="Arial"/>
      <w:caps/>
      <w:spacing w:val="-4"/>
      <w:sz w:val="16"/>
    </w:rPr>
  </w:style>
  <w:style w:type="character" w:customStyle="1" w:styleId="FooterDraftReportChar">
    <w:name w:val="FooterDraftReport Char"/>
    <w:basedOn w:val="FooterChar"/>
    <w:link w:val="FooterDraftReport"/>
    <w:rsid w:val="00072987"/>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072987"/>
    <w:rPr>
      <w:rFonts w:ascii="Arial" w:hAnsi="Arial"/>
      <w:b/>
      <w:sz w:val="26"/>
      <w:szCs w:val="26"/>
      <w:lang w:eastAsia="en-US"/>
    </w:rPr>
  </w:style>
  <w:style w:type="character" w:customStyle="1" w:styleId="BoxTitleChar">
    <w:name w:val="Box Title Char"/>
    <w:link w:val="BoxTitle"/>
    <w:rsid w:val="00A25CAF"/>
    <w:rPr>
      <w:rFonts w:ascii="Arial" w:hAnsi="Arial"/>
      <w:b/>
      <w:sz w:val="24"/>
      <w:szCs w:val="24"/>
    </w:rPr>
  </w:style>
  <w:style w:type="paragraph" w:customStyle="1" w:styleId="OECD">
    <w:name w:val="OECD"/>
    <w:basedOn w:val="BodyText"/>
    <w:rsid w:val="00BF5D77"/>
  </w:style>
  <w:style w:type="paragraph" w:styleId="Revision">
    <w:name w:val="Revision"/>
    <w:hidden/>
    <w:uiPriority w:val="99"/>
    <w:semiHidden/>
    <w:rsid w:val="003B0A7E"/>
    <w:rPr>
      <w:sz w:val="24"/>
      <w:szCs w:val="24"/>
    </w:rPr>
  </w:style>
  <w:style w:type="paragraph" w:customStyle="1" w:styleId="DQITableText">
    <w:name w:val="DQI Table Text"/>
    <w:basedOn w:val="TableBodyText"/>
    <w:rsid w:val="00C47D6F"/>
    <w:pPr>
      <w:spacing w:before="120" w:after="0"/>
      <w:ind w:left="0" w:right="0"/>
      <w:jc w:val="both"/>
    </w:pPr>
  </w:style>
  <w:style w:type="paragraph" w:customStyle="1" w:styleId="DQITableBullet">
    <w:name w:val="DQI Table Bullet"/>
    <w:basedOn w:val="TableBullet"/>
    <w:rsid w:val="00C47D6F"/>
    <w:pPr>
      <w:numPr>
        <w:numId w:val="23"/>
      </w:numPr>
      <w:spacing w:before="40" w:after="0"/>
      <w:ind w:left="170" w:hanging="170"/>
      <w:jc w:val="both"/>
    </w:pPr>
  </w:style>
  <w:style w:type="paragraph" w:customStyle="1" w:styleId="DQITableBullet2">
    <w:name w:val="DQI Table Bullet 2"/>
    <w:basedOn w:val="DQITableBullet"/>
    <w:rsid w:val="00C47D6F"/>
    <w:pPr>
      <w:numPr>
        <w:numId w:val="24"/>
      </w:numPr>
      <w:ind w:left="340" w:hanging="170"/>
    </w:pPr>
  </w:style>
  <w:style w:type="paragraph" w:customStyle="1" w:styleId="DQIRowHeadings">
    <w:name w:val="DQI Row Headings"/>
    <w:basedOn w:val="Normal"/>
    <w:rsid w:val="007204CA"/>
    <w:pPr>
      <w:keepNext/>
      <w:keepLines/>
      <w:spacing w:before="120" w:line="200" w:lineRule="atLeast"/>
      <w:ind w:left="6" w:right="113"/>
    </w:pPr>
    <w:rPr>
      <w:rFonts w:ascii="Arial" w:hAnsi="Arial"/>
      <w:b/>
      <w:sz w:val="18"/>
      <w:szCs w:val="20"/>
    </w:rPr>
  </w:style>
  <w:style w:type="paragraph" w:customStyle="1" w:styleId="DQIMainRowHeadings">
    <w:name w:val="DQI Main Row Headings"/>
    <w:basedOn w:val="Normal"/>
    <w:next w:val="Normal"/>
    <w:rsid w:val="007204CA"/>
    <w:pPr>
      <w:keepNext/>
      <w:keepLines/>
      <w:spacing w:before="120" w:line="200" w:lineRule="atLeast"/>
      <w:ind w:left="6" w:right="113"/>
    </w:pPr>
    <w:rPr>
      <w:rFonts w:ascii="Arial" w:hAnsi="Arial"/>
      <w:b/>
      <w:sz w:val="18"/>
      <w:szCs w:val="20"/>
      <w:u w:val="single"/>
    </w:rPr>
  </w:style>
  <w:style w:type="numbering" w:customStyle="1" w:styleId="StyleStyleBulletedOutlinenumberedLatinCourierNewComp1">
    <w:name w:val="Style Style Bulleted + Outline numbered (Latin) Courier New (Comp...1"/>
    <w:basedOn w:val="NoList"/>
    <w:rsid w:val="00252A63"/>
    <w:pPr>
      <w:numPr>
        <w:numId w:val="26"/>
      </w:numPr>
    </w:pPr>
  </w:style>
  <w:style w:type="paragraph" w:customStyle="1" w:styleId="BoxListBullet4">
    <w:name w:val="Box List Bullet 4"/>
    <w:basedOn w:val="BoxListBullet3"/>
    <w:rsid w:val="00252A63"/>
    <w:pPr>
      <w:numPr>
        <w:numId w:val="27"/>
      </w:numPr>
      <w:ind w:left="1247" w:hanging="340"/>
    </w:pPr>
  </w:style>
  <w:style w:type="character" w:customStyle="1" w:styleId="TableBodyTextChar">
    <w:name w:val="Table Body Text Char"/>
    <w:link w:val="TableBodyText"/>
    <w:rsid w:val="00252A63"/>
    <w:rPr>
      <w:rFonts w:ascii="Arial" w:hAnsi="Arial"/>
      <w:sz w:val="18"/>
    </w:rPr>
  </w:style>
  <w:style w:type="paragraph" w:customStyle="1" w:styleId="Heading1NotTOC">
    <w:name w:val="Heading 1 Not TOC"/>
    <w:basedOn w:val="Heading1"/>
    <w:next w:val="BodyText"/>
    <w:rsid w:val="00252A63"/>
    <w:rPr>
      <w:kern w:val="28"/>
      <w:szCs w:val="26"/>
      <w:lang w:eastAsia="en-US"/>
    </w:rPr>
  </w:style>
  <w:style w:type="character" w:customStyle="1" w:styleId="Heading1Char">
    <w:name w:val="Heading 1 Char"/>
    <w:basedOn w:val="DefaultParagraphFont"/>
    <w:link w:val="Heading1"/>
    <w:rsid w:val="00252A63"/>
    <w:rPr>
      <w:sz w:val="52"/>
    </w:rPr>
  </w:style>
  <w:style w:type="character" w:customStyle="1" w:styleId="FootnoteTextChar">
    <w:name w:val="Footnote Text Char"/>
    <w:basedOn w:val="DefaultParagraphFont"/>
    <w:link w:val="FootnoteText"/>
    <w:rsid w:val="00252A63"/>
  </w:style>
  <w:style w:type="character" w:customStyle="1" w:styleId="HeaderChar">
    <w:name w:val="Header Char"/>
    <w:basedOn w:val="DefaultParagraphFont"/>
    <w:link w:val="Header"/>
    <w:rsid w:val="00252A63"/>
    <w:rPr>
      <w:rFonts w:ascii="Arial" w:hAnsi="Arial"/>
      <w:caps/>
      <w:sz w:val="24"/>
    </w:rPr>
  </w:style>
  <w:style w:type="character" w:customStyle="1" w:styleId="Heading2Char">
    <w:name w:val="Heading 2 Char"/>
    <w:basedOn w:val="DefaultParagraphFont"/>
    <w:link w:val="Heading2"/>
    <w:rsid w:val="00252A63"/>
    <w:rPr>
      <w:rFonts w:ascii="Arial" w:hAnsi="Arial"/>
      <w:b/>
      <w:sz w:val="32"/>
    </w:rPr>
  </w:style>
  <w:style w:type="character" w:customStyle="1" w:styleId="Heading3Char">
    <w:name w:val="Heading 3 Char"/>
    <w:basedOn w:val="DefaultParagraphFont"/>
    <w:link w:val="Heading3"/>
    <w:rsid w:val="00252A63"/>
    <w:rPr>
      <w:rFonts w:ascii="Arial" w:hAnsi="Arial"/>
      <w:b/>
      <w:sz w:val="26"/>
    </w:rPr>
  </w:style>
  <w:style w:type="character" w:customStyle="1" w:styleId="Heading4Char">
    <w:name w:val="Heading 4 Char"/>
    <w:basedOn w:val="DefaultParagraphFont"/>
    <w:link w:val="Heading4"/>
    <w:rsid w:val="00252A63"/>
    <w:rPr>
      <w:rFonts w:ascii="Arial" w:hAnsi="Arial"/>
      <w:sz w:val="24"/>
    </w:rPr>
  </w:style>
  <w:style w:type="character" w:customStyle="1" w:styleId="Heading6Char">
    <w:name w:val="Heading 6 Char"/>
    <w:basedOn w:val="DefaultParagraphFont"/>
    <w:link w:val="Heading6"/>
    <w:rsid w:val="00252A63"/>
    <w:rPr>
      <w:i/>
      <w:sz w:val="22"/>
    </w:rPr>
  </w:style>
  <w:style w:type="character" w:customStyle="1" w:styleId="Heading7Char">
    <w:name w:val="Heading 7 Char"/>
    <w:basedOn w:val="DefaultParagraphFont"/>
    <w:link w:val="Heading7"/>
    <w:rsid w:val="00252A63"/>
    <w:rPr>
      <w:rFonts w:ascii="Arial" w:hAnsi="Arial"/>
    </w:rPr>
  </w:style>
  <w:style w:type="character" w:customStyle="1" w:styleId="Heading8Char">
    <w:name w:val="Heading 8 Char"/>
    <w:basedOn w:val="DefaultParagraphFont"/>
    <w:link w:val="Heading8"/>
    <w:rsid w:val="00252A63"/>
    <w:rPr>
      <w:rFonts w:ascii="Arial" w:hAnsi="Arial"/>
      <w:i/>
    </w:rPr>
  </w:style>
  <w:style w:type="character" w:customStyle="1" w:styleId="Heading9Char">
    <w:name w:val="Heading 9 Char"/>
    <w:basedOn w:val="DefaultParagraphFont"/>
    <w:link w:val="Heading9"/>
    <w:rsid w:val="00252A63"/>
    <w:rPr>
      <w:rFonts w:ascii="Arial" w:hAnsi="Arial"/>
      <w:b/>
      <w:i/>
      <w:sz w:val="18"/>
    </w:rPr>
  </w:style>
  <w:style w:type="character" w:customStyle="1" w:styleId="QuoteChar">
    <w:name w:val="Quote Char"/>
    <w:basedOn w:val="DefaultParagraphFont"/>
    <w:link w:val="Quote"/>
    <w:rsid w:val="00252A63"/>
    <w:rPr>
      <w:sz w:val="22"/>
    </w:rPr>
  </w:style>
  <w:style w:type="character" w:customStyle="1" w:styleId="BoxListBulletChar">
    <w:name w:val="Box List Bullet Char"/>
    <w:basedOn w:val="DefaultParagraphFont"/>
    <w:link w:val="BoxListBullet"/>
    <w:rsid w:val="00677C25"/>
    <w:rPr>
      <w:rFonts w:ascii="Arial" w:hAnsi="Arial"/>
    </w:rPr>
  </w:style>
  <w:style w:type="character" w:customStyle="1" w:styleId="TableBulletChar">
    <w:name w:val="Table Bullet Char"/>
    <w:basedOn w:val="TableBodyTextChar"/>
    <w:link w:val="TableBullet"/>
    <w:rsid w:val="00D95A68"/>
    <w:rPr>
      <w:rFonts w:ascii="Arial" w:hAnsi="Arial"/>
      <w:sz w:val="18"/>
    </w:rPr>
  </w:style>
  <w:style w:type="character" w:customStyle="1" w:styleId="Continuedintitle">
    <w:name w:val="Continued (in title)"/>
    <w:basedOn w:val="DefaultParagraphFont"/>
    <w:rsid w:val="00AD4A96"/>
    <w:rPr>
      <w:rFonts w:ascii="Arial" w:hAnsi="Arial"/>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798486">
      <w:bodyDiv w:val="1"/>
      <w:marLeft w:val="0"/>
      <w:marRight w:val="0"/>
      <w:marTop w:val="0"/>
      <w:marBottom w:val="0"/>
      <w:divBdr>
        <w:top w:val="none" w:sz="0" w:space="0" w:color="auto"/>
        <w:left w:val="none" w:sz="0" w:space="0" w:color="auto"/>
        <w:bottom w:val="none" w:sz="0" w:space="0" w:color="auto"/>
        <w:right w:val="none" w:sz="0" w:space="0" w:color="auto"/>
      </w:divBdr>
    </w:div>
    <w:div w:id="526143220">
      <w:bodyDiv w:val="1"/>
      <w:marLeft w:val="0"/>
      <w:marRight w:val="0"/>
      <w:marTop w:val="0"/>
      <w:marBottom w:val="0"/>
      <w:divBdr>
        <w:top w:val="none" w:sz="0" w:space="0" w:color="auto"/>
        <w:left w:val="none" w:sz="0" w:space="0" w:color="auto"/>
        <w:bottom w:val="none" w:sz="0" w:space="0" w:color="auto"/>
        <w:right w:val="none" w:sz="0" w:space="0" w:color="auto"/>
      </w:divBdr>
    </w:div>
    <w:div w:id="528106990">
      <w:bodyDiv w:val="1"/>
      <w:marLeft w:val="0"/>
      <w:marRight w:val="0"/>
      <w:marTop w:val="0"/>
      <w:marBottom w:val="0"/>
      <w:divBdr>
        <w:top w:val="none" w:sz="0" w:space="0" w:color="auto"/>
        <w:left w:val="none" w:sz="0" w:space="0" w:color="auto"/>
        <w:bottom w:val="none" w:sz="0" w:space="0" w:color="auto"/>
        <w:right w:val="none" w:sz="0" w:space="0" w:color="auto"/>
      </w:divBdr>
    </w:div>
    <w:div w:id="532808332">
      <w:bodyDiv w:val="1"/>
      <w:marLeft w:val="0"/>
      <w:marRight w:val="0"/>
      <w:marTop w:val="0"/>
      <w:marBottom w:val="0"/>
      <w:divBdr>
        <w:top w:val="none" w:sz="0" w:space="0" w:color="auto"/>
        <w:left w:val="none" w:sz="0" w:space="0" w:color="auto"/>
        <w:bottom w:val="none" w:sz="0" w:space="0" w:color="auto"/>
        <w:right w:val="none" w:sz="0" w:space="0" w:color="auto"/>
      </w:divBdr>
      <w:divsChild>
        <w:div w:id="275675809">
          <w:marLeft w:val="0"/>
          <w:marRight w:val="0"/>
          <w:marTop w:val="0"/>
          <w:marBottom w:val="0"/>
          <w:divBdr>
            <w:top w:val="none" w:sz="0" w:space="0" w:color="auto"/>
            <w:left w:val="none" w:sz="0" w:space="0" w:color="auto"/>
            <w:bottom w:val="none" w:sz="0" w:space="0" w:color="auto"/>
            <w:right w:val="none" w:sz="0" w:space="0" w:color="auto"/>
          </w:divBdr>
          <w:divsChild>
            <w:div w:id="1756511046">
              <w:marLeft w:val="0"/>
              <w:marRight w:val="0"/>
              <w:marTop w:val="0"/>
              <w:marBottom w:val="0"/>
              <w:divBdr>
                <w:top w:val="none" w:sz="0" w:space="0" w:color="auto"/>
                <w:left w:val="none" w:sz="0" w:space="0" w:color="auto"/>
                <w:bottom w:val="none" w:sz="0" w:space="0" w:color="auto"/>
                <w:right w:val="none" w:sz="0" w:space="0" w:color="auto"/>
              </w:divBdr>
              <w:divsChild>
                <w:div w:id="1177768475">
                  <w:marLeft w:val="0"/>
                  <w:marRight w:val="0"/>
                  <w:marTop w:val="0"/>
                  <w:marBottom w:val="0"/>
                  <w:divBdr>
                    <w:top w:val="none" w:sz="0" w:space="0" w:color="auto"/>
                    <w:left w:val="none" w:sz="0" w:space="0" w:color="auto"/>
                    <w:bottom w:val="none" w:sz="0" w:space="0" w:color="auto"/>
                    <w:right w:val="none" w:sz="0" w:space="0" w:color="auto"/>
                  </w:divBdr>
                  <w:divsChild>
                    <w:div w:id="647830899">
                      <w:marLeft w:val="0"/>
                      <w:marRight w:val="0"/>
                      <w:marTop w:val="0"/>
                      <w:marBottom w:val="0"/>
                      <w:divBdr>
                        <w:top w:val="none" w:sz="0" w:space="0" w:color="auto"/>
                        <w:left w:val="none" w:sz="0" w:space="0" w:color="auto"/>
                        <w:bottom w:val="none" w:sz="0" w:space="0" w:color="auto"/>
                        <w:right w:val="none" w:sz="0" w:space="0" w:color="auto"/>
                      </w:divBdr>
                      <w:divsChild>
                        <w:div w:id="691994945">
                          <w:marLeft w:val="0"/>
                          <w:marRight w:val="0"/>
                          <w:marTop w:val="0"/>
                          <w:marBottom w:val="0"/>
                          <w:divBdr>
                            <w:top w:val="none" w:sz="0" w:space="0" w:color="auto"/>
                            <w:left w:val="none" w:sz="0" w:space="0" w:color="auto"/>
                            <w:bottom w:val="none" w:sz="0" w:space="0" w:color="auto"/>
                            <w:right w:val="none" w:sz="0" w:space="0" w:color="auto"/>
                          </w:divBdr>
                          <w:divsChild>
                            <w:div w:id="176700851">
                              <w:marLeft w:val="0"/>
                              <w:marRight w:val="0"/>
                              <w:marTop w:val="0"/>
                              <w:marBottom w:val="0"/>
                              <w:divBdr>
                                <w:top w:val="none" w:sz="0" w:space="0" w:color="auto"/>
                                <w:left w:val="none" w:sz="0" w:space="0" w:color="auto"/>
                                <w:bottom w:val="none" w:sz="0" w:space="0" w:color="auto"/>
                                <w:right w:val="none" w:sz="0" w:space="0" w:color="auto"/>
                              </w:divBdr>
                            </w:div>
                            <w:div w:id="341200231">
                              <w:marLeft w:val="0"/>
                              <w:marRight w:val="0"/>
                              <w:marTop w:val="0"/>
                              <w:marBottom w:val="0"/>
                              <w:divBdr>
                                <w:top w:val="none" w:sz="0" w:space="0" w:color="auto"/>
                                <w:left w:val="none" w:sz="0" w:space="0" w:color="auto"/>
                                <w:bottom w:val="none" w:sz="0" w:space="0" w:color="auto"/>
                                <w:right w:val="none" w:sz="0" w:space="0" w:color="auto"/>
                              </w:divBdr>
                            </w:div>
                            <w:div w:id="872616886">
                              <w:marLeft w:val="0"/>
                              <w:marRight w:val="0"/>
                              <w:marTop w:val="0"/>
                              <w:marBottom w:val="0"/>
                              <w:divBdr>
                                <w:top w:val="none" w:sz="0" w:space="0" w:color="auto"/>
                                <w:left w:val="none" w:sz="0" w:space="0" w:color="auto"/>
                                <w:bottom w:val="none" w:sz="0" w:space="0" w:color="auto"/>
                                <w:right w:val="none" w:sz="0" w:space="0" w:color="auto"/>
                              </w:divBdr>
                              <w:divsChild>
                                <w:div w:id="1478646211">
                                  <w:marLeft w:val="0"/>
                                  <w:marRight w:val="0"/>
                                  <w:marTop w:val="0"/>
                                  <w:marBottom w:val="0"/>
                                  <w:divBdr>
                                    <w:top w:val="none" w:sz="0" w:space="0" w:color="auto"/>
                                    <w:left w:val="none" w:sz="0" w:space="0" w:color="auto"/>
                                    <w:bottom w:val="none" w:sz="0" w:space="0" w:color="auto"/>
                                    <w:right w:val="none" w:sz="0" w:space="0" w:color="auto"/>
                                  </w:divBdr>
                                  <w:divsChild>
                                    <w:div w:id="54285828">
                                      <w:marLeft w:val="0"/>
                                      <w:marRight w:val="0"/>
                                      <w:marTop w:val="0"/>
                                      <w:marBottom w:val="0"/>
                                      <w:divBdr>
                                        <w:top w:val="none" w:sz="0" w:space="0" w:color="auto"/>
                                        <w:left w:val="none" w:sz="0" w:space="0" w:color="auto"/>
                                        <w:bottom w:val="none" w:sz="0" w:space="0" w:color="auto"/>
                                        <w:right w:val="none" w:sz="0" w:space="0" w:color="auto"/>
                                      </w:divBdr>
                                    </w:div>
                                    <w:div w:id="14478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4294499">
      <w:bodyDiv w:val="1"/>
      <w:marLeft w:val="0"/>
      <w:marRight w:val="0"/>
      <w:marTop w:val="0"/>
      <w:marBottom w:val="0"/>
      <w:divBdr>
        <w:top w:val="none" w:sz="0" w:space="0" w:color="auto"/>
        <w:left w:val="none" w:sz="0" w:space="0" w:color="auto"/>
        <w:bottom w:val="none" w:sz="0" w:space="0" w:color="auto"/>
        <w:right w:val="none" w:sz="0" w:space="0" w:color="auto"/>
      </w:divBdr>
    </w:div>
    <w:div w:id="603465022">
      <w:bodyDiv w:val="1"/>
      <w:marLeft w:val="0"/>
      <w:marRight w:val="0"/>
      <w:marTop w:val="0"/>
      <w:marBottom w:val="0"/>
      <w:divBdr>
        <w:top w:val="none" w:sz="0" w:space="0" w:color="auto"/>
        <w:left w:val="none" w:sz="0" w:space="0" w:color="auto"/>
        <w:bottom w:val="none" w:sz="0" w:space="0" w:color="auto"/>
        <w:right w:val="none" w:sz="0" w:space="0" w:color="auto"/>
      </w:divBdr>
    </w:div>
    <w:div w:id="776562533">
      <w:bodyDiv w:val="1"/>
      <w:marLeft w:val="0"/>
      <w:marRight w:val="0"/>
      <w:marTop w:val="0"/>
      <w:marBottom w:val="0"/>
      <w:divBdr>
        <w:top w:val="none" w:sz="0" w:space="0" w:color="auto"/>
        <w:left w:val="none" w:sz="0" w:space="0" w:color="auto"/>
        <w:bottom w:val="none" w:sz="0" w:space="0" w:color="auto"/>
        <w:right w:val="none" w:sz="0" w:space="0" w:color="auto"/>
      </w:divBdr>
    </w:div>
    <w:div w:id="843132823">
      <w:bodyDiv w:val="1"/>
      <w:marLeft w:val="0"/>
      <w:marRight w:val="0"/>
      <w:marTop w:val="0"/>
      <w:marBottom w:val="0"/>
      <w:divBdr>
        <w:top w:val="none" w:sz="0" w:space="0" w:color="auto"/>
        <w:left w:val="none" w:sz="0" w:space="0" w:color="auto"/>
        <w:bottom w:val="none" w:sz="0" w:space="0" w:color="auto"/>
        <w:right w:val="none" w:sz="0" w:space="0" w:color="auto"/>
      </w:divBdr>
    </w:div>
    <w:div w:id="935794171">
      <w:bodyDiv w:val="1"/>
      <w:marLeft w:val="0"/>
      <w:marRight w:val="0"/>
      <w:marTop w:val="0"/>
      <w:marBottom w:val="0"/>
      <w:divBdr>
        <w:top w:val="none" w:sz="0" w:space="0" w:color="auto"/>
        <w:left w:val="none" w:sz="0" w:space="0" w:color="auto"/>
        <w:bottom w:val="none" w:sz="0" w:space="0" w:color="auto"/>
        <w:right w:val="none" w:sz="0" w:space="0" w:color="auto"/>
      </w:divBdr>
      <w:divsChild>
        <w:div w:id="1212109481">
          <w:marLeft w:val="0"/>
          <w:marRight w:val="0"/>
          <w:marTop w:val="0"/>
          <w:marBottom w:val="0"/>
          <w:divBdr>
            <w:top w:val="none" w:sz="0" w:space="0" w:color="auto"/>
            <w:left w:val="none" w:sz="0" w:space="0" w:color="auto"/>
            <w:bottom w:val="none" w:sz="0" w:space="0" w:color="auto"/>
            <w:right w:val="none" w:sz="0" w:space="0" w:color="auto"/>
          </w:divBdr>
          <w:divsChild>
            <w:div w:id="655691142">
              <w:marLeft w:val="0"/>
              <w:marRight w:val="0"/>
              <w:marTop w:val="0"/>
              <w:marBottom w:val="0"/>
              <w:divBdr>
                <w:top w:val="none" w:sz="0" w:space="0" w:color="auto"/>
                <w:left w:val="none" w:sz="0" w:space="0" w:color="auto"/>
                <w:bottom w:val="none" w:sz="0" w:space="0" w:color="auto"/>
                <w:right w:val="none" w:sz="0" w:space="0" w:color="auto"/>
              </w:divBdr>
              <w:divsChild>
                <w:div w:id="1380083904">
                  <w:marLeft w:val="0"/>
                  <w:marRight w:val="0"/>
                  <w:marTop w:val="0"/>
                  <w:marBottom w:val="0"/>
                  <w:divBdr>
                    <w:top w:val="none" w:sz="0" w:space="0" w:color="auto"/>
                    <w:left w:val="none" w:sz="0" w:space="0" w:color="auto"/>
                    <w:bottom w:val="none" w:sz="0" w:space="0" w:color="auto"/>
                    <w:right w:val="none" w:sz="0" w:space="0" w:color="auto"/>
                  </w:divBdr>
                  <w:divsChild>
                    <w:div w:id="756251395">
                      <w:marLeft w:val="0"/>
                      <w:marRight w:val="0"/>
                      <w:marTop w:val="0"/>
                      <w:marBottom w:val="0"/>
                      <w:divBdr>
                        <w:top w:val="none" w:sz="0" w:space="0" w:color="auto"/>
                        <w:left w:val="single" w:sz="6" w:space="7" w:color="EDEBEA"/>
                        <w:bottom w:val="none" w:sz="0" w:space="0" w:color="auto"/>
                        <w:right w:val="none" w:sz="0" w:space="0" w:color="auto"/>
                      </w:divBdr>
                      <w:divsChild>
                        <w:div w:id="1939097046">
                          <w:marLeft w:val="0"/>
                          <w:marRight w:val="0"/>
                          <w:marTop w:val="0"/>
                          <w:marBottom w:val="0"/>
                          <w:divBdr>
                            <w:top w:val="none" w:sz="0" w:space="0" w:color="auto"/>
                            <w:left w:val="none" w:sz="0" w:space="0" w:color="auto"/>
                            <w:bottom w:val="none" w:sz="0" w:space="0" w:color="auto"/>
                            <w:right w:val="none" w:sz="0" w:space="0" w:color="auto"/>
                          </w:divBdr>
                          <w:divsChild>
                            <w:div w:id="1977442774">
                              <w:marLeft w:val="0"/>
                              <w:marRight w:val="0"/>
                              <w:marTop w:val="0"/>
                              <w:marBottom w:val="0"/>
                              <w:divBdr>
                                <w:top w:val="none" w:sz="0" w:space="0" w:color="auto"/>
                                <w:left w:val="none" w:sz="0" w:space="0" w:color="auto"/>
                                <w:bottom w:val="none" w:sz="0" w:space="0" w:color="auto"/>
                                <w:right w:val="none" w:sz="0" w:space="0" w:color="auto"/>
                              </w:divBdr>
                              <w:divsChild>
                                <w:div w:id="2135634692">
                                  <w:marLeft w:val="0"/>
                                  <w:marRight w:val="0"/>
                                  <w:marTop w:val="0"/>
                                  <w:marBottom w:val="0"/>
                                  <w:divBdr>
                                    <w:top w:val="none" w:sz="0" w:space="0" w:color="auto"/>
                                    <w:left w:val="none" w:sz="0" w:space="0" w:color="auto"/>
                                    <w:bottom w:val="none" w:sz="0" w:space="0" w:color="auto"/>
                                    <w:right w:val="none" w:sz="0" w:space="0" w:color="auto"/>
                                  </w:divBdr>
                                  <w:divsChild>
                                    <w:div w:id="2011056633">
                                      <w:marLeft w:val="0"/>
                                      <w:marRight w:val="0"/>
                                      <w:marTop w:val="0"/>
                                      <w:marBottom w:val="0"/>
                                      <w:divBdr>
                                        <w:top w:val="none" w:sz="0" w:space="0" w:color="auto"/>
                                        <w:left w:val="none" w:sz="0" w:space="0" w:color="auto"/>
                                        <w:bottom w:val="none" w:sz="0" w:space="0" w:color="auto"/>
                                        <w:right w:val="none" w:sz="0" w:space="0" w:color="auto"/>
                                      </w:divBdr>
                                      <w:divsChild>
                                        <w:div w:id="34933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0856264">
      <w:bodyDiv w:val="1"/>
      <w:marLeft w:val="0"/>
      <w:marRight w:val="0"/>
      <w:marTop w:val="0"/>
      <w:marBottom w:val="0"/>
      <w:divBdr>
        <w:top w:val="none" w:sz="0" w:space="0" w:color="auto"/>
        <w:left w:val="none" w:sz="0" w:space="0" w:color="auto"/>
        <w:bottom w:val="none" w:sz="0" w:space="0" w:color="auto"/>
        <w:right w:val="none" w:sz="0" w:space="0" w:color="auto"/>
      </w:divBdr>
    </w:div>
    <w:div w:id="1259563811">
      <w:bodyDiv w:val="1"/>
      <w:marLeft w:val="0"/>
      <w:marRight w:val="0"/>
      <w:marTop w:val="0"/>
      <w:marBottom w:val="0"/>
      <w:divBdr>
        <w:top w:val="none" w:sz="0" w:space="0" w:color="auto"/>
        <w:left w:val="none" w:sz="0" w:space="0" w:color="auto"/>
        <w:bottom w:val="none" w:sz="0" w:space="0" w:color="auto"/>
        <w:right w:val="none" w:sz="0" w:space="0" w:color="auto"/>
      </w:divBdr>
    </w:div>
    <w:div w:id="1466434507">
      <w:bodyDiv w:val="1"/>
      <w:marLeft w:val="0"/>
      <w:marRight w:val="0"/>
      <w:marTop w:val="0"/>
      <w:marBottom w:val="0"/>
      <w:divBdr>
        <w:top w:val="none" w:sz="0" w:space="0" w:color="auto"/>
        <w:left w:val="none" w:sz="0" w:space="0" w:color="auto"/>
        <w:bottom w:val="none" w:sz="0" w:space="0" w:color="auto"/>
        <w:right w:val="none" w:sz="0" w:space="0" w:color="auto"/>
      </w:divBdr>
    </w:div>
    <w:div w:id="1634556963">
      <w:bodyDiv w:val="1"/>
      <w:marLeft w:val="0"/>
      <w:marRight w:val="0"/>
      <w:marTop w:val="0"/>
      <w:marBottom w:val="0"/>
      <w:divBdr>
        <w:top w:val="none" w:sz="0" w:space="0" w:color="auto"/>
        <w:left w:val="none" w:sz="0" w:space="0" w:color="auto"/>
        <w:bottom w:val="none" w:sz="0" w:space="0" w:color="auto"/>
        <w:right w:val="none" w:sz="0" w:space="0" w:color="auto"/>
      </w:divBdr>
    </w:div>
    <w:div w:id="1654021356">
      <w:bodyDiv w:val="1"/>
      <w:marLeft w:val="0"/>
      <w:marRight w:val="0"/>
      <w:marTop w:val="0"/>
      <w:marBottom w:val="0"/>
      <w:divBdr>
        <w:top w:val="none" w:sz="0" w:space="0" w:color="auto"/>
        <w:left w:val="none" w:sz="0" w:space="0" w:color="auto"/>
        <w:bottom w:val="none" w:sz="0" w:space="0" w:color="auto"/>
        <w:right w:val="none" w:sz="0" w:space="0" w:color="auto"/>
      </w:divBdr>
    </w:div>
    <w:div w:id="1712999005">
      <w:bodyDiv w:val="1"/>
      <w:marLeft w:val="0"/>
      <w:marRight w:val="0"/>
      <w:marTop w:val="0"/>
      <w:marBottom w:val="0"/>
      <w:divBdr>
        <w:top w:val="none" w:sz="0" w:space="0" w:color="auto"/>
        <w:left w:val="none" w:sz="0" w:space="0" w:color="auto"/>
        <w:bottom w:val="none" w:sz="0" w:space="0" w:color="auto"/>
        <w:right w:val="none" w:sz="0" w:space="0" w:color="auto"/>
      </w:divBdr>
      <w:divsChild>
        <w:div w:id="2053385070">
          <w:marLeft w:val="0"/>
          <w:marRight w:val="0"/>
          <w:marTop w:val="0"/>
          <w:marBottom w:val="0"/>
          <w:divBdr>
            <w:top w:val="single" w:sz="2" w:space="8" w:color="FF0000"/>
            <w:left w:val="single" w:sz="2" w:space="11" w:color="FF0000"/>
            <w:bottom w:val="single" w:sz="2" w:space="4" w:color="FF0000"/>
            <w:right w:val="single" w:sz="2" w:space="4" w:color="FF0000"/>
          </w:divBdr>
          <w:divsChild>
            <w:div w:id="2086756061">
              <w:marLeft w:val="0"/>
              <w:marRight w:val="0"/>
              <w:marTop w:val="0"/>
              <w:marBottom w:val="0"/>
              <w:divBdr>
                <w:top w:val="none" w:sz="0" w:space="0" w:color="auto"/>
                <w:left w:val="none" w:sz="0" w:space="0" w:color="auto"/>
                <w:bottom w:val="none" w:sz="0" w:space="0" w:color="auto"/>
                <w:right w:val="none" w:sz="0" w:space="0" w:color="auto"/>
              </w:divBdr>
              <w:divsChild>
                <w:div w:id="1614173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421743">
      <w:bodyDiv w:val="1"/>
      <w:marLeft w:val="0"/>
      <w:marRight w:val="0"/>
      <w:marTop w:val="0"/>
      <w:marBottom w:val="0"/>
      <w:divBdr>
        <w:top w:val="none" w:sz="0" w:space="0" w:color="auto"/>
        <w:left w:val="none" w:sz="0" w:space="0" w:color="auto"/>
        <w:bottom w:val="none" w:sz="0" w:space="0" w:color="auto"/>
        <w:right w:val="none" w:sz="0" w:space="0" w:color="auto"/>
      </w:divBdr>
    </w:div>
    <w:div w:id="1986928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chart" Target="charts/chart9.xml"/><Relationship Id="rId26" Type="http://schemas.openxmlformats.org/officeDocument/2006/relationships/chart" Target="charts/chart17.xml"/><Relationship Id="rId3" Type="http://schemas.openxmlformats.org/officeDocument/2006/relationships/styles" Target="styles.xml"/><Relationship Id="rId21" Type="http://schemas.openxmlformats.org/officeDocument/2006/relationships/chart" Target="charts/chart12.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chart" Target="charts/chart16.xml"/><Relationship Id="rId33" Type="http://schemas.openxmlformats.org/officeDocument/2006/relationships/footer" Target="footer2.xml"/><Relationship Id="rId38"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29" Type="http://schemas.openxmlformats.org/officeDocument/2006/relationships/chart" Target="charts/chart2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chart" Target="charts/chart15.xml"/><Relationship Id="rId32" Type="http://schemas.openxmlformats.org/officeDocument/2006/relationships/footer" Target="footer1.xml"/><Relationship Id="rId37" Type="http://schemas.microsoft.com/office/2011/relationships/people" Target="people.xml"/><Relationship Id="rId5" Type="http://schemas.openxmlformats.org/officeDocument/2006/relationships/settings" Target="settings.xml"/><Relationship Id="rId15" Type="http://schemas.openxmlformats.org/officeDocument/2006/relationships/chart" Target="charts/chart6.xml"/><Relationship Id="rId23" Type="http://schemas.openxmlformats.org/officeDocument/2006/relationships/chart" Target="charts/chart14.xml"/><Relationship Id="rId28" Type="http://schemas.openxmlformats.org/officeDocument/2006/relationships/chart" Target="charts/chart19.xml"/><Relationship Id="rId10" Type="http://schemas.openxmlformats.org/officeDocument/2006/relationships/chart" Target="charts/chart2.xml"/><Relationship Id="rId19" Type="http://schemas.openxmlformats.org/officeDocument/2006/relationships/chart" Target="charts/chart10.xml"/><Relationship Id="rId31"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5.xml"/><Relationship Id="rId22" Type="http://schemas.openxmlformats.org/officeDocument/2006/relationships/chart" Target="charts/chart13.xml"/><Relationship Id="rId27" Type="http://schemas.openxmlformats.org/officeDocument/2006/relationships/chart" Target="charts/chart18.xml"/><Relationship Id="rId30" Type="http://schemas.openxmlformats.org/officeDocument/2006/relationships/header" Target="header1.xm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mel_1\groups\Monitor\04%20Working%20Groups\04%20Health\02%20Report\03%20Data\2017%20Report%20data\Sector%20overview\2017%20Report%20Sector%20overview%20E%20Health%20-%20Data%20for%20figures.xlsm"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file:///\\mel_1\groups\Monitor\04%20Working%20Groups\04%20Health\02%20Report\03%20Data\2017%20Report%20data\Sector%20overview\2017%20Report%20Sector%20overview%20E%20Health%20-%20Data%20for%20figures.xlsm" TargetMode="External"/><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oleObject" Target="file:///\\mel_1\groups\Monitor\04%20Working%20Groups\04%20Health\02%20Report\03%20Data\2017%20Report%20data\Sector%20overview\2017%20Report%20Sector%20overview%20E%20Health%20-%20Data%20for%20figures.xlsm" TargetMode="External"/><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2" Type="http://schemas.openxmlformats.org/officeDocument/2006/relationships/oleObject" Target="file:///\\mel_1\groups\Monitor\04%20Working%20Groups\04%20Health\02%20Report\03%20Data\2017%20Report%20data\Sector%20overview\2017%20Report%20Sector%20overview%20E%20Health%20-%20Data%20for%20figures.xlsm" TargetMode="External"/><Relationship Id="rId1" Type="http://schemas.openxmlformats.org/officeDocument/2006/relationships/themeOverride" Target="../theme/themeOverride12.xml"/></Relationships>
</file>

<file path=word/charts/_rels/chart13.xml.rels><?xml version="1.0" encoding="UTF-8" standalone="yes"?>
<Relationships xmlns="http://schemas.openxmlformats.org/package/2006/relationships"><Relationship Id="rId2" Type="http://schemas.openxmlformats.org/officeDocument/2006/relationships/oleObject" Target="file:///\\mel_1\groups\Monitor\04%20Working%20Groups\04%20Health\02%20Report\03%20Data\2017%20Report%20data\Sector%20overview\2017%20Report%20Sector%20overview%20E%20Health%20-%20Data%20for%20figures.xlsm" TargetMode="External"/><Relationship Id="rId1" Type="http://schemas.openxmlformats.org/officeDocument/2006/relationships/themeOverride" Target="../theme/themeOverride13.xml"/></Relationships>
</file>

<file path=word/charts/_rels/chart14.xml.rels><?xml version="1.0" encoding="UTF-8" standalone="yes"?>
<Relationships xmlns="http://schemas.openxmlformats.org/package/2006/relationships"><Relationship Id="rId2" Type="http://schemas.openxmlformats.org/officeDocument/2006/relationships/oleObject" Target="file:///\\mel_1\groups\Monitor\04%20Working%20Groups\04%20Health\02%20Report\03%20Data\2017%20Report%20data\Sector%20overview\2017%20Report%20Sector%20overview%20E%20Health%20-%20Data%20for%20figures.xlsm" TargetMode="External"/><Relationship Id="rId1" Type="http://schemas.openxmlformats.org/officeDocument/2006/relationships/themeOverride" Target="../theme/themeOverride14.xml"/></Relationships>
</file>

<file path=word/charts/_rels/chart15.xml.rels><?xml version="1.0" encoding="UTF-8" standalone="yes"?>
<Relationships xmlns="http://schemas.openxmlformats.org/package/2006/relationships"><Relationship Id="rId2" Type="http://schemas.openxmlformats.org/officeDocument/2006/relationships/oleObject" Target="file:///\\mel_1\groups\Monitor\04%20Working%20Groups\04%20Health\02%20Report\03%20Data\2017%20Report%20data\Sector%20overview\2017%20Report%20Sector%20overview%20E%20Health%20-%20Data%20for%20figures.xlsm" TargetMode="External"/><Relationship Id="rId1" Type="http://schemas.openxmlformats.org/officeDocument/2006/relationships/themeOverride" Target="../theme/themeOverride15.xml"/></Relationships>
</file>

<file path=word/charts/_rels/chart16.xml.rels><?xml version="1.0" encoding="UTF-8" standalone="yes"?>
<Relationships xmlns="http://schemas.openxmlformats.org/package/2006/relationships"><Relationship Id="rId2" Type="http://schemas.openxmlformats.org/officeDocument/2006/relationships/oleObject" Target="file:///\\mel_1\groups\Monitor\04%20Working%20Groups\04%20Health\02%20Report\03%20Data\2017%20Report%20data\Sector%20overview\2017%20Report%20Sector%20overview%20E%20Health%20-%20Data%20for%20figures.xlsm" TargetMode="External"/><Relationship Id="rId1" Type="http://schemas.openxmlformats.org/officeDocument/2006/relationships/themeOverride" Target="../theme/themeOverride16.xml"/></Relationships>
</file>

<file path=word/charts/_rels/chart17.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7.xml"/></Relationships>
</file>

<file path=word/charts/_rels/chart18.xml.rels><?xml version="1.0" encoding="UTF-8" standalone="yes"?>
<Relationships xmlns="http://schemas.openxmlformats.org/package/2006/relationships"><Relationship Id="rId2" Type="http://schemas.openxmlformats.org/officeDocument/2006/relationships/oleObject" Target="file:///\\mel_1\groups\Monitor\04%20Working%20Groups\04%20Health\02%20Report\03%20Data\2017%20Report%20data\Sector%20overview\2017%20Report%20Sector%20overview%20E%20Health%20-%20Data%20for%20figures.xlsm" TargetMode="External"/><Relationship Id="rId1" Type="http://schemas.openxmlformats.org/officeDocument/2006/relationships/themeOverride" Target="../theme/themeOverride18.xml"/></Relationships>
</file>

<file path=word/charts/_rels/chart19.xml.rels><?xml version="1.0" encoding="UTF-8" standalone="yes"?>
<Relationships xmlns="http://schemas.openxmlformats.org/package/2006/relationships"><Relationship Id="rId2" Type="http://schemas.openxmlformats.org/officeDocument/2006/relationships/oleObject" Target="file:///\\mel_1\groups\Monitor\04%20Working%20Groups\04%20Health\02%20Report\03%20Data\2017%20Report%20data\Sector%20overview\2017%20Report%20Sector%20overview%20E%20Health%20-%20Data%20for%20figures.xlsm" TargetMode="External"/><Relationship Id="rId1" Type="http://schemas.openxmlformats.org/officeDocument/2006/relationships/themeOverride" Target="../theme/themeOverride19.xml"/></Relationships>
</file>

<file path=word/charts/_rels/chart2.xml.rels><?xml version="1.0" encoding="UTF-8" standalone="yes"?>
<Relationships xmlns="http://schemas.openxmlformats.org/package/2006/relationships"><Relationship Id="rId2" Type="http://schemas.openxmlformats.org/officeDocument/2006/relationships/oleObject" Target="file:///\\mel_1\groups\Monitor\04%20Working%20Groups\04%20Health\02%20Report\03%20Data\2017%20Report%20data\Sector%20overview\2017%20Report%20Sector%20overview%20E%20Health%20-%20Data%20for%20figures.xlsm" TargetMode="External"/><Relationship Id="rId1" Type="http://schemas.openxmlformats.org/officeDocument/2006/relationships/themeOverride" Target="../theme/themeOverride2.xml"/></Relationships>
</file>

<file path=word/charts/_rels/chart20.xml.rels><?xml version="1.0" encoding="UTF-8" standalone="yes"?>
<Relationships xmlns="http://schemas.openxmlformats.org/package/2006/relationships"><Relationship Id="rId2" Type="http://schemas.openxmlformats.org/officeDocument/2006/relationships/oleObject" Target="file:///\\mel_1\groups\Monitor\04%20Working%20Groups\04%20Health\02%20Report\03%20Data\2017%20Report%20data\Sector%20overview\2017%20Report%20Sector%20overview%20E%20Health%20-%20Data%20for%20figures.xlsm" TargetMode="External"/><Relationship Id="rId1" Type="http://schemas.openxmlformats.org/officeDocument/2006/relationships/themeOverride" Target="../theme/themeOverride20.xml"/></Relationships>
</file>

<file path=word/charts/_rels/chart3.xml.rels><?xml version="1.0" encoding="UTF-8" standalone="yes"?>
<Relationships xmlns="http://schemas.openxmlformats.org/package/2006/relationships"><Relationship Id="rId2" Type="http://schemas.openxmlformats.org/officeDocument/2006/relationships/oleObject" Target="file:///\\mel_1\groups\Monitor\04%20Working%20Groups\04%20Health\02%20Report\03%20Data\2017%20Report%20data\Sector%20overview\2017%20Report%20Sector%20overview%20E%20Health%20-%20Data%20for%20figures.xlsm"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mel_1\groups\Monitor\04%20Working%20Groups\04%20Health\02%20Report\03%20Data\2017%20Report%20data\Sector%20overview\2017%20Report%20Sector%20overview%20E%20Health%20-%20Data%20for%20figures.xlsm"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mel_1\groups\Monitor\04%20Working%20Groups\04%20Health\02%20Report\03%20Data\2017%20Report%20data\Sector%20overview\2017%20Report%20Sector%20overview%20E%20Health%20-%20Data%20for%20figures.xlsm"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mel_1\groups\Monitor\04%20Working%20Groups\04%20Health\02%20Report\03%20Data\2017%20Report%20data\Sector%20overview\2017%20Report%20Sector%20overview%20E%20Health%20-%20Data%20for%20figures.xlsm"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file:///\\mel_1\groups\Monitor\04%20Working%20Groups\04%20Health\02%20Report\03%20Data\2017%20Report%20data\Sector%20overview\2017%20Report%20Sector%20overview%20E%20Health%20-%20Data%20for%20figures.xlsm" TargetMode="External"/><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oleObject" Target="file:///\\mel_1\groups\Monitor\04%20Working%20Groups\04%20Health\02%20Report\03%20Data\2017%20Report%20data\Sector%20overview\2017%20Report%20Sector%20overview%20E%20Health%20-%20Data%20for%20figures.xlsm" TargetMode="External"/><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oleObject" Target="file:///\\mel_1\groups\Monitor\04%20Working%20Groups\04%20Health\02%20Report\03%20Data\2017%20Report%20data\Sector%20overview\2017%20Report%20Sector%20overview%20E%20Health%20-%20Data%20for%20figures.xlsm" TargetMode="External"/><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8406481481481475E-2"/>
          <c:y val="5.174074074074074E-2"/>
          <c:w val="0.88572314814814812"/>
          <c:h val="0.74162777777777777"/>
        </c:manualLayout>
      </c:layout>
      <c:barChart>
        <c:barDir val="col"/>
        <c:grouping val="stacked"/>
        <c:varyColors val="0"/>
        <c:ser>
          <c:idx val="0"/>
          <c:order val="0"/>
          <c:tx>
            <c:strRef>
              <c:f>Expend!$D$45</c:f>
              <c:strCache>
                <c:ptCount val="1"/>
                <c:pt idx="0">
                  <c:v>Australian Government</c:v>
                </c:pt>
              </c:strCache>
            </c:strRef>
          </c:tx>
          <c:spPr>
            <a:solidFill>
              <a:srgbClr val="B2D673"/>
            </a:solidFill>
            <a:ln>
              <a:solidFill>
                <a:srgbClr val="B2D673"/>
              </a:solidFill>
            </a:ln>
          </c:spPr>
          <c:invertIfNegative val="0"/>
          <c:cat>
            <c:strRef>
              <c:f>Expend!$B$47:$B$56</c:f>
              <c:strCache>
                <c:ptCount val="10"/>
                <c:pt idx="0">
                  <c:v>2005-06</c:v>
                </c:pt>
                <c:pt idx="1">
                  <c:v>2006-07</c:v>
                </c:pt>
                <c:pt idx="2">
                  <c:v>2007-08</c:v>
                </c:pt>
                <c:pt idx="3">
                  <c:v>2008-09</c:v>
                </c:pt>
                <c:pt idx="4">
                  <c:v>2009-10</c:v>
                </c:pt>
                <c:pt idx="5">
                  <c:v>2010-11</c:v>
                </c:pt>
                <c:pt idx="6">
                  <c:v>2011-12</c:v>
                </c:pt>
                <c:pt idx="7">
                  <c:v>2012-13</c:v>
                </c:pt>
                <c:pt idx="8">
                  <c:v>2013-14</c:v>
                </c:pt>
                <c:pt idx="9">
                  <c:v>2014-15</c:v>
                </c:pt>
              </c:strCache>
            </c:strRef>
          </c:cat>
          <c:val>
            <c:numRef>
              <c:f>Expend!$D$47:$D$56</c:f>
              <c:numCache>
                <c:formatCode>######\ ###\ ##0.0;\-######\ ###\ ##0.0;"–"</c:formatCode>
                <c:ptCount val="10"/>
                <c:pt idx="0">
                  <c:v>44.911000000000001</c:v>
                </c:pt>
                <c:pt idx="1">
                  <c:v>46.860999999999997</c:v>
                </c:pt>
                <c:pt idx="2">
                  <c:v>51.691000000000003</c:v>
                </c:pt>
                <c:pt idx="3">
                  <c:v>56.155000000000001</c:v>
                </c:pt>
                <c:pt idx="4">
                  <c:v>57.887999999999998</c:v>
                </c:pt>
                <c:pt idx="5">
                  <c:v>61.155999999999999</c:v>
                </c:pt>
                <c:pt idx="6">
                  <c:v>64.727000000000004</c:v>
                </c:pt>
                <c:pt idx="7">
                  <c:v>63.087000000000003</c:v>
                </c:pt>
                <c:pt idx="8">
                  <c:v>64.671999999999997</c:v>
                </c:pt>
                <c:pt idx="9">
                  <c:v>66.216999999999999</c:v>
                </c:pt>
              </c:numCache>
            </c:numRef>
          </c:val>
        </c:ser>
        <c:ser>
          <c:idx val="1"/>
          <c:order val="1"/>
          <c:tx>
            <c:strRef>
              <c:f>Expend!$E$45</c:f>
              <c:strCache>
                <c:ptCount val="1"/>
                <c:pt idx="0">
                  <c:v>State, Territory and local governments</c:v>
                </c:pt>
              </c:strCache>
            </c:strRef>
          </c:tx>
          <c:spPr>
            <a:solidFill>
              <a:srgbClr val="265A9A"/>
            </a:solidFill>
            <a:ln>
              <a:solidFill>
                <a:srgbClr val="265A9A"/>
              </a:solidFill>
            </a:ln>
          </c:spPr>
          <c:invertIfNegative val="0"/>
          <c:cat>
            <c:strRef>
              <c:f>Expend!$B$47:$B$56</c:f>
              <c:strCache>
                <c:ptCount val="10"/>
                <c:pt idx="0">
                  <c:v>2005-06</c:v>
                </c:pt>
                <c:pt idx="1">
                  <c:v>2006-07</c:v>
                </c:pt>
                <c:pt idx="2">
                  <c:v>2007-08</c:v>
                </c:pt>
                <c:pt idx="3">
                  <c:v>2008-09</c:v>
                </c:pt>
                <c:pt idx="4">
                  <c:v>2009-10</c:v>
                </c:pt>
                <c:pt idx="5">
                  <c:v>2010-11</c:v>
                </c:pt>
                <c:pt idx="6">
                  <c:v>2011-12</c:v>
                </c:pt>
                <c:pt idx="7">
                  <c:v>2012-13</c:v>
                </c:pt>
                <c:pt idx="8">
                  <c:v>2013-14</c:v>
                </c:pt>
                <c:pt idx="9">
                  <c:v>2014-15</c:v>
                </c:pt>
              </c:strCache>
            </c:strRef>
          </c:cat>
          <c:val>
            <c:numRef>
              <c:f>Expend!$E$47:$E$56</c:f>
              <c:numCache>
                <c:formatCode>######\ ###\ ##0.0;\-######\ ###\ ##0.0;"–"</c:formatCode>
                <c:ptCount val="10"/>
                <c:pt idx="0">
                  <c:v>28.109000000000002</c:v>
                </c:pt>
                <c:pt idx="1">
                  <c:v>30.335999999999999</c:v>
                </c:pt>
                <c:pt idx="2">
                  <c:v>31.533999999999999</c:v>
                </c:pt>
                <c:pt idx="3">
                  <c:v>32.887</c:v>
                </c:pt>
                <c:pt idx="4">
                  <c:v>35.661999999999999</c:v>
                </c:pt>
                <c:pt idx="5">
                  <c:v>38.005000000000003</c:v>
                </c:pt>
                <c:pt idx="6">
                  <c:v>41.149000000000001</c:v>
                </c:pt>
                <c:pt idx="7">
                  <c:v>41.26</c:v>
                </c:pt>
                <c:pt idx="8">
                  <c:v>42.116999999999997</c:v>
                </c:pt>
                <c:pt idx="9">
                  <c:v>41.966999999999999</c:v>
                </c:pt>
              </c:numCache>
            </c:numRef>
          </c:val>
        </c:ser>
        <c:ser>
          <c:idx val="2"/>
          <c:order val="2"/>
          <c:tx>
            <c:strRef>
              <c:f>Expend!$G$45</c:f>
              <c:strCache>
                <c:ptCount val="1"/>
                <c:pt idx="0">
                  <c:v>Non-government</c:v>
                </c:pt>
              </c:strCache>
            </c:strRef>
          </c:tx>
          <c:spPr>
            <a:solidFill>
              <a:srgbClr val="78A22F"/>
            </a:solidFill>
            <a:ln>
              <a:solidFill>
                <a:srgbClr val="78A22F"/>
              </a:solidFill>
            </a:ln>
          </c:spPr>
          <c:invertIfNegative val="0"/>
          <c:cat>
            <c:strRef>
              <c:f>Expend!$B$47:$B$56</c:f>
              <c:strCache>
                <c:ptCount val="10"/>
                <c:pt idx="0">
                  <c:v>2005-06</c:v>
                </c:pt>
                <c:pt idx="1">
                  <c:v>2006-07</c:v>
                </c:pt>
                <c:pt idx="2">
                  <c:v>2007-08</c:v>
                </c:pt>
                <c:pt idx="3">
                  <c:v>2008-09</c:v>
                </c:pt>
                <c:pt idx="4">
                  <c:v>2009-10</c:v>
                </c:pt>
                <c:pt idx="5">
                  <c:v>2010-11</c:v>
                </c:pt>
                <c:pt idx="6">
                  <c:v>2011-12</c:v>
                </c:pt>
                <c:pt idx="7">
                  <c:v>2012-13</c:v>
                </c:pt>
                <c:pt idx="8">
                  <c:v>2013-14</c:v>
                </c:pt>
                <c:pt idx="9">
                  <c:v>2014-15</c:v>
                </c:pt>
              </c:strCache>
            </c:strRef>
          </c:cat>
          <c:val>
            <c:numRef>
              <c:f>Expend!$G$47:$G$56</c:f>
              <c:numCache>
                <c:formatCode>######\ ###\ ##0.0;\-######\ ###\ ##0.0;"–"</c:formatCode>
                <c:ptCount val="10"/>
                <c:pt idx="0">
                  <c:v>32.250999999999998</c:v>
                </c:pt>
                <c:pt idx="1">
                  <c:v>34.360999999999997</c:v>
                </c:pt>
                <c:pt idx="2">
                  <c:v>35.703000000000003</c:v>
                </c:pt>
                <c:pt idx="3">
                  <c:v>38.68</c:v>
                </c:pt>
                <c:pt idx="4">
                  <c:v>39.103999999999999</c:v>
                </c:pt>
                <c:pt idx="5">
                  <c:v>42.896000000000001</c:v>
                </c:pt>
                <c:pt idx="6">
                  <c:v>44.777000000000001</c:v>
                </c:pt>
                <c:pt idx="7">
                  <c:v>48.005000000000003</c:v>
                </c:pt>
                <c:pt idx="8">
                  <c:v>50.445999999999998</c:v>
                </c:pt>
                <c:pt idx="9">
                  <c:v>53.447000000000003</c:v>
                </c:pt>
              </c:numCache>
            </c:numRef>
          </c:val>
        </c:ser>
        <c:dLbls>
          <c:showLegendKey val="0"/>
          <c:showVal val="0"/>
          <c:showCatName val="0"/>
          <c:showSerName val="0"/>
          <c:showPercent val="0"/>
          <c:showBubbleSize val="0"/>
        </c:dLbls>
        <c:gapWidth val="150"/>
        <c:overlap val="100"/>
        <c:axId val="139680768"/>
        <c:axId val="140420608"/>
      </c:barChart>
      <c:catAx>
        <c:axId val="139680768"/>
        <c:scaling>
          <c:orientation val="minMax"/>
        </c:scaling>
        <c:delete val="0"/>
        <c:axPos val="b"/>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140420608"/>
        <c:crosses val="autoZero"/>
        <c:auto val="1"/>
        <c:lblAlgn val="ctr"/>
        <c:lblOffset val="100"/>
        <c:noMultiLvlLbl val="0"/>
      </c:catAx>
      <c:valAx>
        <c:axId val="140420608"/>
        <c:scaling>
          <c:orientation val="minMax"/>
          <c:max val="180"/>
          <c:min val="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minorGridlines>
          <c:spPr>
            <a:ln>
              <a:noFill/>
            </a:ln>
          </c:spPr>
        </c:minorGridlines>
        <c:title>
          <c:tx>
            <c:rich>
              <a:bodyPr rot="-5400000" vert="horz"/>
              <a:lstStyle/>
              <a:p>
                <a:pPr>
                  <a:defRPr sz="900">
                    <a:latin typeface="arial"/>
                    <a:ea typeface="arial"/>
                    <a:cs typeface="arial"/>
                  </a:defRPr>
                </a:pPr>
                <a:r>
                  <a:rPr lang="en-AU"/>
                  <a:t>$billion</a:t>
                </a:r>
              </a:p>
            </c:rich>
          </c:tx>
          <c:layout>
            <c:manualLayout>
              <c:xMode val="edge"/>
              <c:yMode val="edge"/>
              <c:x val="0"/>
              <c:y val="0.25908888888888887"/>
            </c:manualLayout>
          </c:layout>
          <c:overlay val="0"/>
        </c:title>
        <c:numFmt formatCode="###\ ###\ ##0;\-###\ ###\ ##0;&quot;0&quot;"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139680768"/>
        <c:crosses val="autoZero"/>
        <c:crossBetween val="between"/>
        <c:majorUnit val="2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layout/>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430037037037037"/>
          <c:y val="4.7037037037037037E-2"/>
          <c:w val="0.85982925925925924"/>
          <c:h val="0.74162777777777777"/>
        </c:manualLayout>
      </c:layout>
      <c:barChart>
        <c:barDir val="col"/>
        <c:grouping val="clustered"/>
        <c:varyColors val="0"/>
        <c:ser>
          <c:idx val="0"/>
          <c:order val="0"/>
          <c:tx>
            <c:strRef>
              <c:f>'Mortality rates'!$B$4</c:f>
              <c:strCache>
                <c:ptCount val="1"/>
                <c:pt idx="0">
                  <c:v>2011 to 2014</c:v>
                </c:pt>
              </c:strCache>
            </c:strRef>
          </c:tx>
          <c:spPr>
            <a:solidFill>
              <a:srgbClr val="78A22F"/>
            </a:solidFill>
            <a:ln>
              <a:solidFill>
                <a:srgbClr val="78A22F"/>
              </a:solidFill>
            </a:ln>
          </c:spPr>
          <c:invertIfNegative val="0"/>
          <c:cat>
            <c:strRef>
              <c:f>'Mortality rates'!$D$2:$L$2</c:f>
              <c:strCache>
                <c:ptCount val="9"/>
                <c:pt idx="0">
                  <c:v>NSW</c:v>
                </c:pt>
                <c:pt idx="1">
                  <c:v>Vic</c:v>
                </c:pt>
                <c:pt idx="2">
                  <c:v>Qld</c:v>
                </c:pt>
                <c:pt idx="3">
                  <c:v>WA</c:v>
                </c:pt>
                <c:pt idx="4">
                  <c:v>SA</c:v>
                </c:pt>
                <c:pt idx="5">
                  <c:v>Tas</c:v>
                </c:pt>
                <c:pt idx="6">
                  <c:v>ACT</c:v>
                </c:pt>
                <c:pt idx="7">
                  <c:v>NT</c:v>
                </c:pt>
                <c:pt idx="8">
                  <c:v>Aust</c:v>
                </c:pt>
              </c:strCache>
            </c:strRef>
          </c:cat>
          <c:val>
            <c:numRef>
              <c:f>'Mortality rates'!$D$4:$L$4</c:f>
              <c:numCache>
                <c:formatCode>###\ ###\ ##0.0;\-###\ ###\ ##0.0;"–"</c:formatCode>
                <c:ptCount val="9"/>
                <c:pt idx="0">
                  <c:v>576.4</c:v>
                </c:pt>
                <c:pt idx="1">
                  <c:v>555.79999999999995</c:v>
                </c:pt>
                <c:pt idx="2">
                  <c:v>581</c:v>
                </c:pt>
                <c:pt idx="3">
                  <c:v>535.6</c:v>
                </c:pt>
                <c:pt idx="4">
                  <c:v>566.6</c:v>
                </c:pt>
                <c:pt idx="5">
                  <c:v>642.4</c:v>
                </c:pt>
                <c:pt idx="6">
                  <c:v>513.1</c:v>
                </c:pt>
                <c:pt idx="7">
                  <c:v>795</c:v>
                </c:pt>
                <c:pt idx="8">
                  <c:v>570</c:v>
                </c:pt>
              </c:numCache>
            </c:numRef>
          </c:val>
        </c:ser>
        <c:ser>
          <c:idx val="1"/>
          <c:order val="1"/>
          <c:tx>
            <c:strRef>
              <c:f>'Mortality rates'!$B$5</c:f>
              <c:strCache>
                <c:ptCount val="1"/>
                <c:pt idx="0">
                  <c:v>2012</c:v>
                </c:pt>
              </c:strCache>
            </c:strRef>
          </c:tx>
          <c:spPr>
            <a:solidFill>
              <a:srgbClr val="78A22F"/>
            </a:solidFill>
            <a:ln>
              <a:solidFill>
                <a:srgbClr val="78A22F"/>
              </a:solidFill>
            </a:ln>
          </c:spPr>
          <c:invertIfNegative val="0"/>
          <c:cat>
            <c:strRef>
              <c:f>'Mortality rates'!$D$2:$L$2</c:f>
              <c:strCache>
                <c:ptCount val="9"/>
                <c:pt idx="0">
                  <c:v>NSW</c:v>
                </c:pt>
                <c:pt idx="1">
                  <c:v>Vic</c:v>
                </c:pt>
                <c:pt idx="2">
                  <c:v>Qld</c:v>
                </c:pt>
                <c:pt idx="3">
                  <c:v>WA</c:v>
                </c:pt>
                <c:pt idx="4">
                  <c:v>SA</c:v>
                </c:pt>
                <c:pt idx="5">
                  <c:v>Tas</c:v>
                </c:pt>
                <c:pt idx="6">
                  <c:v>ACT</c:v>
                </c:pt>
                <c:pt idx="7">
                  <c:v>NT</c:v>
                </c:pt>
                <c:pt idx="8">
                  <c:v>Aust</c:v>
                </c:pt>
              </c:strCache>
            </c:strRef>
          </c:cat>
          <c:val>
            <c:numRef>
              <c:f>'Mortality rates'!$D$5:$L$5</c:f>
              <c:numCache>
                <c:formatCode>###\ ###\ ##0.0;\-###\ ###\ ##0.0;"–"</c:formatCode>
                <c:ptCount val="9"/>
                <c:pt idx="0">
                  <c:v>544.5</c:v>
                </c:pt>
                <c:pt idx="1">
                  <c:v>524.70000000000005</c:v>
                </c:pt>
                <c:pt idx="2">
                  <c:v>580.70000000000005</c:v>
                </c:pt>
                <c:pt idx="3">
                  <c:v>538.9</c:v>
                </c:pt>
                <c:pt idx="4">
                  <c:v>572.4</c:v>
                </c:pt>
                <c:pt idx="5">
                  <c:v>658.3</c:v>
                </c:pt>
                <c:pt idx="6">
                  <c:v>494.9</c:v>
                </c:pt>
                <c:pt idx="7">
                  <c:v>769.2</c:v>
                </c:pt>
                <c:pt idx="8">
                  <c:v>552.29999999999995</c:v>
                </c:pt>
              </c:numCache>
            </c:numRef>
          </c:val>
        </c:ser>
        <c:ser>
          <c:idx val="2"/>
          <c:order val="2"/>
          <c:tx>
            <c:strRef>
              <c:f>'Mortality rates'!$B$6</c:f>
              <c:strCache>
                <c:ptCount val="1"/>
                <c:pt idx="0">
                  <c:v>2013</c:v>
                </c:pt>
              </c:strCache>
            </c:strRef>
          </c:tx>
          <c:spPr>
            <a:solidFill>
              <a:srgbClr val="78A22F"/>
            </a:solidFill>
            <a:ln>
              <a:solidFill>
                <a:srgbClr val="78A22F"/>
              </a:solidFill>
            </a:ln>
          </c:spPr>
          <c:invertIfNegative val="0"/>
          <c:cat>
            <c:strRef>
              <c:f>'Mortality rates'!$D$2:$L$2</c:f>
              <c:strCache>
                <c:ptCount val="9"/>
                <c:pt idx="0">
                  <c:v>NSW</c:v>
                </c:pt>
                <c:pt idx="1">
                  <c:v>Vic</c:v>
                </c:pt>
                <c:pt idx="2">
                  <c:v>Qld</c:v>
                </c:pt>
                <c:pt idx="3">
                  <c:v>WA</c:v>
                </c:pt>
                <c:pt idx="4">
                  <c:v>SA</c:v>
                </c:pt>
                <c:pt idx="5">
                  <c:v>Tas</c:v>
                </c:pt>
                <c:pt idx="6">
                  <c:v>ACT</c:v>
                </c:pt>
                <c:pt idx="7">
                  <c:v>NT</c:v>
                </c:pt>
                <c:pt idx="8">
                  <c:v>Aust</c:v>
                </c:pt>
              </c:strCache>
            </c:strRef>
          </c:cat>
          <c:val>
            <c:numRef>
              <c:f>'Mortality rates'!$D$6:$L$6</c:f>
              <c:numCache>
                <c:formatCode>###\ ###\ ##0.0;\-###\ ###\ ##0.0;"–"</c:formatCode>
                <c:ptCount val="9"/>
                <c:pt idx="0">
                  <c:v>543.6</c:v>
                </c:pt>
                <c:pt idx="1">
                  <c:v>512.1</c:v>
                </c:pt>
                <c:pt idx="2">
                  <c:v>554.9</c:v>
                </c:pt>
                <c:pt idx="3">
                  <c:v>522.6</c:v>
                </c:pt>
                <c:pt idx="4">
                  <c:v>547.79999999999995</c:v>
                </c:pt>
                <c:pt idx="5">
                  <c:v>649</c:v>
                </c:pt>
                <c:pt idx="6">
                  <c:v>474.8</c:v>
                </c:pt>
                <c:pt idx="7">
                  <c:v>831.9</c:v>
                </c:pt>
                <c:pt idx="8">
                  <c:v>540</c:v>
                </c:pt>
              </c:numCache>
            </c:numRef>
          </c:val>
        </c:ser>
        <c:ser>
          <c:idx val="3"/>
          <c:order val="3"/>
          <c:tx>
            <c:strRef>
              <c:f>'Mortality rates'!$B$7</c:f>
              <c:strCache>
                <c:ptCount val="1"/>
                <c:pt idx="0">
                  <c:v>2014</c:v>
                </c:pt>
              </c:strCache>
            </c:strRef>
          </c:tx>
          <c:spPr>
            <a:solidFill>
              <a:srgbClr val="78A22F"/>
            </a:solidFill>
            <a:ln>
              <a:solidFill>
                <a:srgbClr val="78A22F"/>
              </a:solidFill>
            </a:ln>
          </c:spPr>
          <c:invertIfNegative val="0"/>
          <c:cat>
            <c:strRef>
              <c:f>'Mortality rates'!$D$2:$L$2</c:f>
              <c:strCache>
                <c:ptCount val="9"/>
                <c:pt idx="0">
                  <c:v>NSW</c:v>
                </c:pt>
                <c:pt idx="1">
                  <c:v>Vic</c:v>
                </c:pt>
                <c:pt idx="2">
                  <c:v>Qld</c:v>
                </c:pt>
                <c:pt idx="3">
                  <c:v>WA</c:v>
                </c:pt>
                <c:pt idx="4">
                  <c:v>SA</c:v>
                </c:pt>
                <c:pt idx="5">
                  <c:v>Tas</c:v>
                </c:pt>
                <c:pt idx="6">
                  <c:v>ACT</c:v>
                </c:pt>
                <c:pt idx="7">
                  <c:v>NT</c:v>
                </c:pt>
                <c:pt idx="8">
                  <c:v>Aust</c:v>
                </c:pt>
              </c:strCache>
            </c:strRef>
          </c:cat>
          <c:val>
            <c:numRef>
              <c:f>'Mortality rates'!$D$7:$L$7</c:f>
              <c:numCache>
                <c:formatCode>###\ ###\ ##0.0;\-###\ ###\ ##0.0;"–"</c:formatCode>
                <c:ptCount val="9"/>
                <c:pt idx="0">
                  <c:v>547.4</c:v>
                </c:pt>
                <c:pt idx="1">
                  <c:v>529.20000000000005</c:v>
                </c:pt>
                <c:pt idx="2">
                  <c:v>551.9</c:v>
                </c:pt>
                <c:pt idx="3">
                  <c:v>518.9</c:v>
                </c:pt>
                <c:pt idx="4">
                  <c:v>553.20000000000005</c:v>
                </c:pt>
                <c:pt idx="5">
                  <c:v>639</c:v>
                </c:pt>
                <c:pt idx="6">
                  <c:v>487.8</c:v>
                </c:pt>
                <c:pt idx="7">
                  <c:v>807.9</c:v>
                </c:pt>
                <c:pt idx="8">
                  <c:v>545</c:v>
                </c:pt>
              </c:numCache>
            </c:numRef>
          </c:val>
        </c:ser>
        <c:ser>
          <c:idx val="4"/>
          <c:order val="4"/>
          <c:tx>
            <c:strRef>
              <c:f>'Mortality rates'!$B$8</c:f>
              <c:strCache>
                <c:ptCount val="1"/>
                <c:pt idx="0">
                  <c:v>2015</c:v>
                </c:pt>
              </c:strCache>
            </c:strRef>
          </c:tx>
          <c:spPr>
            <a:solidFill>
              <a:srgbClr val="265A9A"/>
            </a:solidFill>
            <a:ln>
              <a:solidFill>
                <a:srgbClr val="265A9A"/>
              </a:solidFill>
            </a:ln>
          </c:spPr>
          <c:invertIfNegative val="0"/>
          <c:cat>
            <c:strRef>
              <c:f>'Mortality rates'!$D$2:$L$2</c:f>
              <c:strCache>
                <c:ptCount val="9"/>
                <c:pt idx="0">
                  <c:v>NSW</c:v>
                </c:pt>
                <c:pt idx="1">
                  <c:v>Vic</c:v>
                </c:pt>
                <c:pt idx="2">
                  <c:v>Qld</c:v>
                </c:pt>
                <c:pt idx="3">
                  <c:v>WA</c:v>
                </c:pt>
                <c:pt idx="4">
                  <c:v>SA</c:v>
                </c:pt>
                <c:pt idx="5">
                  <c:v>Tas</c:v>
                </c:pt>
                <c:pt idx="6">
                  <c:v>ACT</c:v>
                </c:pt>
                <c:pt idx="7">
                  <c:v>NT</c:v>
                </c:pt>
                <c:pt idx="8">
                  <c:v>Aust</c:v>
                </c:pt>
              </c:strCache>
            </c:strRef>
          </c:cat>
          <c:val>
            <c:numRef>
              <c:f>'Mortality rates'!$D$8:$L$8</c:f>
              <c:numCache>
                <c:formatCode>###\ ###\ ##0.0;\-###\ ###\ ##0.0;"–"</c:formatCode>
                <c:ptCount val="9"/>
                <c:pt idx="0">
                  <c:v>547.5</c:v>
                </c:pt>
                <c:pt idx="1">
                  <c:v>538</c:v>
                </c:pt>
                <c:pt idx="2">
                  <c:v>556</c:v>
                </c:pt>
                <c:pt idx="3">
                  <c:v>525.79999999999995</c:v>
                </c:pt>
                <c:pt idx="4">
                  <c:v>559.20000000000005</c:v>
                </c:pt>
                <c:pt idx="5">
                  <c:v>642.20000000000005</c:v>
                </c:pt>
                <c:pt idx="6">
                  <c:v>481.9</c:v>
                </c:pt>
                <c:pt idx="7">
                  <c:v>797.7</c:v>
                </c:pt>
                <c:pt idx="8">
                  <c:v>549.29999999999995</c:v>
                </c:pt>
              </c:numCache>
            </c:numRef>
          </c:val>
        </c:ser>
        <c:dLbls>
          <c:showLegendKey val="0"/>
          <c:showVal val="0"/>
          <c:showCatName val="0"/>
          <c:showSerName val="0"/>
          <c:showPercent val="0"/>
          <c:showBubbleSize val="0"/>
        </c:dLbls>
        <c:gapWidth val="150"/>
        <c:axId val="49223552"/>
        <c:axId val="49225088"/>
      </c:barChart>
      <c:catAx>
        <c:axId val="49223552"/>
        <c:scaling>
          <c:orientation val="minMax"/>
        </c:scaling>
        <c:delete val="0"/>
        <c:axPos val="b"/>
        <c:numFmt formatCode="General" sourceLinked="1"/>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49225088"/>
        <c:crosses val="autoZero"/>
        <c:auto val="1"/>
        <c:lblAlgn val="ctr"/>
        <c:lblOffset val="100"/>
        <c:noMultiLvlLbl val="0"/>
      </c:catAx>
      <c:valAx>
        <c:axId val="49225088"/>
        <c:scaling>
          <c:orientation val="minMax"/>
          <c:max val="1000"/>
          <c:min val="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Deaths/100</a:t>
                </a:r>
                <a:r>
                  <a:rPr lang="en-AU" baseline="0"/>
                  <a:t> 000 people</a:t>
                </a:r>
                <a:endParaRPr lang="en-AU"/>
              </a:p>
            </c:rich>
          </c:tx>
          <c:layout>
            <c:manualLayout>
              <c:xMode val="edge"/>
              <c:yMode val="edge"/>
              <c:x val="7.0622565934736524E-3"/>
              <c:y val="0.17907888888888887"/>
            </c:manualLayout>
          </c:layout>
          <c:overlay val="0"/>
        </c:title>
        <c:numFmt formatCode="General"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49223552"/>
        <c:crosses val="autoZero"/>
        <c:crossBetween val="between"/>
        <c:majorUnit val="20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legendEntry>
        <c:idx val="1"/>
        <c:delete val="1"/>
      </c:legendEntry>
      <c:legendEntry>
        <c:idx val="2"/>
        <c:delete val="1"/>
      </c:legendEntry>
      <c:legendEntry>
        <c:idx val="3"/>
        <c:delete val="1"/>
      </c:legendEntry>
      <c:layout>
        <c:manualLayout>
          <c:xMode val="edge"/>
          <c:yMode val="edge"/>
          <c:x val="0.42212018837288828"/>
          <c:y val="0.87223673596597362"/>
          <c:w val="0.28303527552216157"/>
          <c:h val="9.283861328053386E-2"/>
        </c:manualLayout>
      </c:layout>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lgn="r">
              <a:defRPr sz="900" b="1" i="0">
                <a:latin typeface="Arial"/>
              </a:defRPr>
            </a:pPr>
            <a:r>
              <a:rPr lang="en-AU" sz="900" b="1" i="0">
                <a:latin typeface="Arial"/>
              </a:rPr>
              <a:t>Fetal</a:t>
            </a:r>
            <a:r>
              <a:rPr lang="en-AU" sz="900" b="1" i="0" baseline="0">
                <a:latin typeface="Arial"/>
              </a:rPr>
              <a:t> death rate</a:t>
            </a:r>
            <a:endParaRPr lang="en-AU" sz="900" b="1" i="0">
              <a:latin typeface="Arial"/>
            </a:endParaRPr>
          </a:p>
        </c:rich>
      </c:tx>
      <c:layout>
        <c:manualLayout>
          <c:xMode val="edge"/>
          <c:yMode val="edge"/>
          <c:x val="0.41710888888888886"/>
          <c:y val="2.9006172839506173E-2"/>
        </c:manualLayout>
      </c:layout>
      <c:overlay val="0"/>
    </c:title>
    <c:autoTitleDeleted val="0"/>
    <c:plotArea>
      <c:layout>
        <c:manualLayout>
          <c:layoutTarget val="inner"/>
          <c:xMode val="edge"/>
          <c:yMode val="edge"/>
          <c:x val="9.6490923822655617E-2"/>
          <c:y val="0.13670138888888889"/>
          <c:w val="0.87763863025771516"/>
          <c:h val="0.7093477777777778"/>
        </c:manualLayout>
      </c:layout>
      <c:barChart>
        <c:barDir val="col"/>
        <c:grouping val="clustered"/>
        <c:varyColors val="0"/>
        <c:ser>
          <c:idx val="0"/>
          <c:order val="0"/>
          <c:tx>
            <c:strRef>
              <c:f>'Fetal, neonatal and perinatal'!$A$5</c:f>
              <c:strCache>
                <c:ptCount val="1"/>
                <c:pt idx="0">
                  <c:v>2011 </c:v>
                </c:pt>
              </c:strCache>
            </c:strRef>
          </c:tx>
          <c:spPr>
            <a:solidFill>
              <a:srgbClr val="78A22F"/>
            </a:solidFill>
            <a:ln>
              <a:solidFill>
                <a:srgbClr val="78A22F"/>
              </a:solidFill>
            </a:ln>
          </c:spPr>
          <c:invertIfNegative val="0"/>
          <c:cat>
            <c:strRef>
              <c:f>'Fetal, neonatal and perinatal'!$B$2:$J$2</c:f>
              <c:strCache>
                <c:ptCount val="9"/>
                <c:pt idx="0">
                  <c:v>NSW</c:v>
                </c:pt>
                <c:pt idx="1">
                  <c:v>Vic</c:v>
                </c:pt>
                <c:pt idx="2">
                  <c:v>Qld</c:v>
                </c:pt>
                <c:pt idx="3">
                  <c:v>WA</c:v>
                </c:pt>
                <c:pt idx="4">
                  <c:v>SA</c:v>
                </c:pt>
                <c:pt idx="5">
                  <c:v>Tas</c:v>
                </c:pt>
                <c:pt idx="6">
                  <c:v>ACT</c:v>
                </c:pt>
                <c:pt idx="7">
                  <c:v>NT</c:v>
                </c:pt>
                <c:pt idx="8">
                  <c:v>Aust</c:v>
                </c:pt>
              </c:strCache>
            </c:strRef>
          </c:cat>
          <c:val>
            <c:numRef>
              <c:f>'Fetal, neonatal and perinatal'!$B$5:$J$5</c:f>
              <c:numCache>
                <c:formatCode>###\ ###\ ##0.0;\-###\ ###\ ##0.0;"–"</c:formatCode>
                <c:ptCount val="9"/>
                <c:pt idx="0">
                  <c:v>5.152309500135587</c:v>
                </c:pt>
                <c:pt idx="1">
                  <c:v>5.5676187294694062</c:v>
                </c:pt>
                <c:pt idx="2">
                  <c:v>5.9248782021059245</c:v>
                </c:pt>
                <c:pt idx="3">
                  <c:v>7.8122597115000154</c:v>
                </c:pt>
                <c:pt idx="4">
                  <c:v>4.4542315199439466</c:v>
                </c:pt>
                <c:pt idx="5">
                  <c:v>7.3606729758149321</c:v>
                </c:pt>
                <c:pt idx="6">
                  <c:v>5.4379491163332689</c:v>
                </c:pt>
                <c:pt idx="7">
                  <c:v>8.5255767301905721</c:v>
                </c:pt>
                <c:pt idx="8">
                  <c:v>5.7620358314241917</c:v>
                </c:pt>
              </c:numCache>
            </c:numRef>
          </c:val>
        </c:ser>
        <c:ser>
          <c:idx val="1"/>
          <c:order val="1"/>
          <c:tx>
            <c:strRef>
              <c:f>'Fetal, neonatal and perinatal'!$A$6</c:f>
              <c:strCache>
                <c:ptCount val="1"/>
                <c:pt idx="0">
                  <c:v>2012 </c:v>
                </c:pt>
              </c:strCache>
            </c:strRef>
          </c:tx>
          <c:spPr>
            <a:solidFill>
              <a:srgbClr val="78A22F"/>
            </a:solidFill>
            <a:ln>
              <a:solidFill>
                <a:srgbClr val="78A22F"/>
              </a:solidFill>
            </a:ln>
          </c:spPr>
          <c:invertIfNegative val="0"/>
          <c:cat>
            <c:strRef>
              <c:f>'Fetal, neonatal and perinatal'!$B$2:$J$2</c:f>
              <c:strCache>
                <c:ptCount val="9"/>
                <c:pt idx="0">
                  <c:v>NSW</c:v>
                </c:pt>
                <c:pt idx="1">
                  <c:v>Vic</c:v>
                </c:pt>
                <c:pt idx="2">
                  <c:v>Qld</c:v>
                </c:pt>
                <c:pt idx="3">
                  <c:v>WA</c:v>
                </c:pt>
                <c:pt idx="4">
                  <c:v>SA</c:v>
                </c:pt>
                <c:pt idx="5">
                  <c:v>Tas</c:v>
                </c:pt>
                <c:pt idx="6">
                  <c:v>ACT</c:v>
                </c:pt>
                <c:pt idx="7">
                  <c:v>NT</c:v>
                </c:pt>
                <c:pt idx="8">
                  <c:v>Aust</c:v>
                </c:pt>
              </c:strCache>
            </c:strRef>
          </c:cat>
          <c:val>
            <c:numRef>
              <c:f>'Fetal, neonatal and perinatal'!$B$6:$J$6</c:f>
              <c:numCache>
                <c:formatCode>###\ ###\ ##0.0;\-###\ ###\ ##0.0;"–"</c:formatCode>
                <c:ptCount val="9"/>
                <c:pt idx="0">
                  <c:v>5.2209038121686451</c:v>
                </c:pt>
                <c:pt idx="1">
                  <c:v>5.5883864337101743</c:v>
                </c:pt>
                <c:pt idx="2">
                  <c:v>7.0307517615766306</c:v>
                </c:pt>
                <c:pt idx="3">
                  <c:v>7.0572255359357463</c:v>
                </c:pt>
                <c:pt idx="4">
                  <c:v>3.4627389777604369</c:v>
                </c:pt>
                <c:pt idx="5">
                  <c:v>7.2428778367938191</c:v>
                </c:pt>
                <c:pt idx="6">
                  <c:v>7.4518356961105052</c:v>
                </c:pt>
                <c:pt idx="7">
                  <c:v>5.573055488248122</c:v>
                </c:pt>
                <c:pt idx="8">
                  <c:v>5.8828440596761871</c:v>
                </c:pt>
              </c:numCache>
            </c:numRef>
          </c:val>
        </c:ser>
        <c:ser>
          <c:idx val="2"/>
          <c:order val="2"/>
          <c:tx>
            <c:strRef>
              <c:f>'Fetal, neonatal and perinatal'!$A$7</c:f>
              <c:strCache>
                <c:ptCount val="1"/>
                <c:pt idx="0">
                  <c:v>2013 </c:v>
                </c:pt>
              </c:strCache>
            </c:strRef>
          </c:tx>
          <c:spPr>
            <a:solidFill>
              <a:srgbClr val="78A22F"/>
            </a:solidFill>
            <a:ln>
              <a:solidFill>
                <a:srgbClr val="78A22F"/>
              </a:solidFill>
            </a:ln>
          </c:spPr>
          <c:invertIfNegative val="0"/>
          <c:cat>
            <c:strRef>
              <c:f>'Fetal, neonatal and perinatal'!$B$2:$J$2</c:f>
              <c:strCache>
                <c:ptCount val="9"/>
                <c:pt idx="0">
                  <c:v>NSW</c:v>
                </c:pt>
                <c:pt idx="1">
                  <c:v>Vic</c:v>
                </c:pt>
                <c:pt idx="2">
                  <c:v>Qld</c:v>
                </c:pt>
                <c:pt idx="3">
                  <c:v>WA</c:v>
                </c:pt>
                <c:pt idx="4">
                  <c:v>SA</c:v>
                </c:pt>
                <c:pt idx="5">
                  <c:v>Tas</c:v>
                </c:pt>
                <c:pt idx="6">
                  <c:v>ACT</c:v>
                </c:pt>
                <c:pt idx="7">
                  <c:v>NT</c:v>
                </c:pt>
                <c:pt idx="8">
                  <c:v>Aust</c:v>
                </c:pt>
              </c:strCache>
            </c:strRef>
          </c:cat>
          <c:val>
            <c:numRef>
              <c:f>'Fetal, neonatal and perinatal'!$B$7:$J$7</c:f>
              <c:numCache>
                <c:formatCode>###\ ###\ ##0.0;\-###\ ###\ ##0.0;"–"</c:formatCode>
                <c:ptCount val="9"/>
                <c:pt idx="0">
                  <c:v>5.5531908575274942</c:v>
                </c:pt>
                <c:pt idx="1">
                  <c:v>6.0468428761472204</c:v>
                </c:pt>
                <c:pt idx="2">
                  <c:v>5.8998901616193313</c:v>
                </c:pt>
                <c:pt idx="3">
                  <c:v>5.9042078281155499</c:v>
                </c:pt>
                <c:pt idx="4">
                  <c:v>3.818118708781673</c:v>
                </c:pt>
                <c:pt idx="5">
                  <c:v>7.2214016084030854</c:v>
                </c:pt>
                <c:pt idx="6">
                  <c:v>5.2027269465374957</c:v>
                </c:pt>
                <c:pt idx="7">
                  <c:v>9.5307917888563054</c:v>
                </c:pt>
                <c:pt idx="8">
                  <c:v>5.7480167567113982</c:v>
                </c:pt>
              </c:numCache>
            </c:numRef>
          </c:val>
        </c:ser>
        <c:ser>
          <c:idx val="3"/>
          <c:order val="3"/>
          <c:tx>
            <c:strRef>
              <c:f>'Fetal, neonatal and perinatal'!$A$8</c:f>
              <c:strCache>
                <c:ptCount val="1"/>
                <c:pt idx="0">
                  <c:v>2014 </c:v>
                </c:pt>
              </c:strCache>
            </c:strRef>
          </c:tx>
          <c:spPr>
            <a:solidFill>
              <a:srgbClr val="78A22F"/>
            </a:solidFill>
            <a:ln>
              <a:solidFill>
                <a:srgbClr val="78A22F"/>
              </a:solidFill>
            </a:ln>
          </c:spPr>
          <c:invertIfNegative val="0"/>
          <c:cat>
            <c:strRef>
              <c:f>'Fetal, neonatal and perinatal'!$B$2:$J$2</c:f>
              <c:strCache>
                <c:ptCount val="9"/>
                <c:pt idx="0">
                  <c:v>NSW</c:v>
                </c:pt>
                <c:pt idx="1">
                  <c:v>Vic</c:v>
                </c:pt>
                <c:pt idx="2">
                  <c:v>Qld</c:v>
                </c:pt>
                <c:pt idx="3">
                  <c:v>WA</c:v>
                </c:pt>
                <c:pt idx="4">
                  <c:v>SA</c:v>
                </c:pt>
                <c:pt idx="5">
                  <c:v>Tas</c:v>
                </c:pt>
                <c:pt idx="6">
                  <c:v>ACT</c:v>
                </c:pt>
                <c:pt idx="7">
                  <c:v>NT</c:v>
                </c:pt>
                <c:pt idx="8">
                  <c:v>Aust</c:v>
                </c:pt>
              </c:strCache>
            </c:strRef>
          </c:cat>
          <c:val>
            <c:numRef>
              <c:f>'Fetal, neonatal and perinatal'!$B$8:$J$8</c:f>
              <c:numCache>
                <c:formatCode>###\ ###\ ##0.0;\-###\ ###\ ##0.0;"–"</c:formatCode>
                <c:ptCount val="9"/>
                <c:pt idx="0">
                  <c:v>4.4272455973502121</c:v>
                </c:pt>
                <c:pt idx="1">
                  <c:v>5.3868624876048559</c:v>
                </c:pt>
                <c:pt idx="2">
                  <c:v>6.6782170420538662</c:v>
                </c:pt>
                <c:pt idx="3">
                  <c:v>6.6778900112233446</c:v>
                </c:pt>
                <c:pt idx="4">
                  <c:v>4.2985541227041812</c:v>
                </c:pt>
                <c:pt idx="5">
                  <c:v>11.492338441039307</c:v>
                </c:pt>
                <c:pt idx="6">
                  <c:v>7.6854334226988383</c:v>
                </c:pt>
                <c:pt idx="7">
                  <c:v>7.1516646115906291</c:v>
                </c:pt>
                <c:pt idx="8">
                  <c:v>5.6338028169014089</c:v>
                </c:pt>
              </c:numCache>
            </c:numRef>
          </c:val>
        </c:ser>
        <c:ser>
          <c:idx val="4"/>
          <c:order val="4"/>
          <c:tx>
            <c:strRef>
              <c:f>'Fetal, neonatal and perinatal'!$A$9</c:f>
              <c:strCache>
                <c:ptCount val="1"/>
                <c:pt idx="0">
                  <c:v>2015 </c:v>
                </c:pt>
              </c:strCache>
            </c:strRef>
          </c:tx>
          <c:spPr>
            <a:solidFill>
              <a:srgbClr val="265A9A"/>
            </a:solidFill>
            <a:ln>
              <a:solidFill>
                <a:srgbClr val="265A9A"/>
              </a:solidFill>
            </a:ln>
          </c:spPr>
          <c:invertIfNegative val="0"/>
          <c:cat>
            <c:strRef>
              <c:f>'Fetal, neonatal and perinatal'!$B$2:$J$2</c:f>
              <c:strCache>
                <c:ptCount val="9"/>
                <c:pt idx="0">
                  <c:v>NSW</c:v>
                </c:pt>
                <c:pt idx="1">
                  <c:v>Vic</c:v>
                </c:pt>
                <c:pt idx="2">
                  <c:v>Qld</c:v>
                </c:pt>
                <c:pt idx="3">
                  <c:v>WA</c:v>
                </c:pt>
                <c:pt idx="4">
                  <c:v>SA</c:v>
                </c:pt>
                <c:pt idx="5">
                  <c:v>Tas</c:v>
                </c:pt>
                <c:pt idx="6">
                  <c:v>ACT</c:v>
                </c:pt>
                <c:pt idx="7">
                  <c:v>NT</c:v>
                </c:pt>
                <c:pt idx="8">
                  <c:v>Aust</c:v>
                </c:pt>
              </c:strCache>
            </c:strRef>
          </c:cat>
          <c:val>
            <c:numRef>
              <c:f>'Fetal, neonatal and perinatal'!$B$9:$J$9</c:f>
              <c:numCache>
                <c:formatCode>###\ ###\ ##0.0;\-###\ ###\ ##0.0;"–"</c:formatCode>
                <c:ptCount val="9"/>
                <c:pt idx="0">
                  <c:v>5.3667796340651366</c:v>
                </c:pt>
                <c:pt idx="1">
                  <c:v>4.7080469722387575</c:v>
                </c:pt>
                <c:pt idx="2">
                  <c:v>6.4365596588623388</c:v>
                </c:pt>
                <c:pt idx="3">
                  <c:v>6.8406026514402019</c:v>
                </c:pt>
                <c:pt idx="4">
                  <c:v>4.2702455391184992</c:v>
                </c:pt>
                <c:pt idx="5">
                  <c:v>6.64568030779993</c:v>
                </c:pt>
                <c:pt idx="6">
                  <c:v>5.0269299820466786</c:v>
                </c:pt>
                <c:pt idx="7">
                  <c:v>9.4012864918357248</c:v>
                </c:pt>
                <c:pt idx="8">
                  <c:v>5.5943418344752134</c:v>
                </c:pt>
              </c:numCache>
            </c:numRef>
          </c:val>
        </c:ser>
        <c:dLbls>
          <c:showLegendKey val="0"/>
          <c:showVal val="0"/>
          <c:showCatName val="0"/>
          <c:showSerName val="0"/>
          <c:showPercent val="0"/>
          <c:showBubbleSize val="0"/>
        </c:dLbls>
        <c:gapWidth val="150"/>
        <c:axId val="49268608"/>
        <c:axId val="49270144"/>
      </c:barChart>
      <c:catAx>
        <c:axId val="49268608"/>
        <c:scaling>
          <c:orientation val="minMax"/>
        </c:scaling>
        <c:delete val="0"/>
        <c:axPos val="b"/>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49270144"/>
        <c:crosses val="autoZero"/>
        <c:auto val="1"/>
        <c:lblAlgn val="ctr"/>
        <c:lblOffset val="100"/>
        <c:noMultiLvlLbl val="0"/>
      </c:catAx>
      <c:valAx>
        <c:axId val="49270144"/>
        <c:scaling>
          <c:orientation val="minMax"/>
          <c:max val="14"/>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Deaths/'000 total births</a:t>
                </a:r>
              </a:p>
            </c:rich>
          </c:tx>
          <c:layout>
            <c:manualLayout>
              <c:xMode val="edge"/>
              <c:yMode val="edge"/>
              <c:x val="1.5625903234824469E-2"/>
              <c:y val="0.12714636752136751"/>
            </c:manualLayout>
          </c:layout>
          <c:overlay val="0"/>
        </c:title>
        <c:numFmt formatCode="General"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49268608"/>
        <c:crosses val="autoZero"/>
        <c:crossBetween val="between"/>
        <c:majorUnit val="2"/>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b="1" i="0">
                <a:latin typeface="Arial"/>
              </a:defRPr>
            </a:pPr>
            <a:r>
              <a:rPr lang="en-AU" sz="900" b="1" i="0">
                <a:latin typeface="Arial"/>
              </a:rPr>
              <a:t>Neonatal</a:t>
            </a:r>
            <a:r>
              <a:rPr lang="en-AU" sz="900" b="1" i="0" baseline="0">
                <a:latin typeface="Arial"/>
              </a:rPr>
              <a:t> death rate</a:t>
            </a:r>
            <a:endParaRPr lang="en-AU" sz="900" b="1" i="0">
              <a:latin typeface="Arial"/>
            </a:endParaRPr>
          </a:p>
        </c:rich>
      </c:tx>
      <c:layout/>
      <c:overlay val="0"/>
    </c:title>
    <c:autoTitleDeleted val="0"/>
    <c:plotArea>
      <c:layout>
        <c:manualLayout>
          <c:layoutTarget val="inner"/>
          <c:xMode val="edge"/>
          <c:yMode val="edge"/>
          <c:x val="9.4083877051083412E-2"/>
          <c:y val="0.13724465811965811"/>
          <c:w val="0.88004567702928727"/>
          <c:h val="0.70229222222222221"/>
        </c:manualLayout>
      </c:layout>
      <c:barChart>
        <c:barDir val="col"/>
        <c:grouping val="clustered"/>
        <c:varyColors val="0"/>
        <c:ser>
          <c:idx val="0"/>
          <c:order val="0"/>
          <c:tx>
            <c:strRef>
              <c:f>'Fetal, neonatal and perinatal'!$A$13</c:f>
              <c:strCache>
                <c:ptCount val="1"/>
                <c:pt idx="0">
                  <c:v>2011 </c:v>
                </c:pt>
              </c:strCache>
            </c:strRef>
          </c:tx>
          <c:spPr>
            <a:solidFill>
              <a:srgbClr val="78A22F"/>
            </a:solidFill>
            <a:ln>
              <a:solidFill>
                <a:srgbClr val="78A22F"/>
              </a:solidFill>
            </a:ln>
          </c:spPr>
          <c:invertIfNegative val="0"/>
          <c:cat>
            <c:strRef>
              <c:f>'Fetal, neonatal and perinatal'!$B$2:$J$2</c:f>
              <c:strCache>
                <c:ptCount val="9"/>
                <c:pt idx="0">
                  <c:v>NSW</c:v>
                </c:pt>
                <c:pt idx="1">
                  <c:v>Vic</c:v>
                </c:pt>
                <c:pt idx="2">
                  <c:v>Qld</c:v>
                </c:pt>
                <c:pt idx="3">
                  <c:v>WA</c:v>
                </c:pt>
                <c:pt idx="4">
                  <c:v>SA</c:v>
                </c:pt>
                <c:pt idx="5">
                  <c:v>Tas</c:v>
                </c:pt>
                <c:pt idx="6">
                  <c:v>ACT</c:v>
                </c:pt>
                <c:pt idx="7">
                  <c:v>NT</c:v>
                </c:pt>
                <c:pt idx="8">
                  <c:v>Aust</c:v>
                </c:pt>
              </c:strCache>
            </c:strRef>
          </c:cat>
          <c:val>
            <c:numRef>
              <c:f>'Fetal, neonatal and perinatal'!$B$13:$J$13</c:f>
              <c:numCache>
                <c:formatCode>###\ ###\ ##0.0;\-###\ ###\ ##0.0;"–"</c:formatCode>
                <c:ptCount val="9"/>
                <c:pt idx="0">
                  <c:v>2.8671229834231835</c:v>
                </c:pt>
                <c:pt idx="1">
                  <c:v>2.5894406808129444</c:v>
                </c:pt>
                <c:pt idx="2">
                  <c:v>3.1460958373515879</c:v>
                </c:pt>
                <c:pt idx="3">
                  <c:v>1.9529433646424255</c:v>
                </c:pt>
                <c:pt idx="4">
                  <c:v>1.5081439774783834</c:v>
                </c:pt>
                <c:pt idx="5">
                  <c:v>2.7239709443099271</c:v>
                </c:pt>
                <c:pt idx="6">
                  <c:v>1.7574692442882249</c:v>
                </c:pt>
                <c:pt idx="7">
                  <c:v>4.2994436014162876</c:v>
                </c:pt>
                <c:pt idx="8">
                  <c:v>2.6689477052022927</c:v>
                </c:pt>
              </c:numCache>
            </c:numRef>
          </c:val>
        </c:ser>
        <c:ser>
          <c:idx val="1"/>
          <c:order val="1"/>
          <c:tx>
            <c:strRef>
              <c:f>'Fetal, neonatal and perinatal'!$A$14</c:f>
              <c:strCache>
                <c:ptCount val="1"/>
                <c:pt idx="0">
                  <c:v>2012 </c:v>
                </c:pt>
              </c:strCache>
            </c:strRef>
          </c:tx>
          <c:spPr>
            <a:solidFill>
              <a:srgbClr val="78A22F"/>
            </a:solidFill>
            <a:ln>
              <a:solidFill>
                <a:srgbClr val="78A22F"/>
              </a:solidFill>
            </a:ln>
          </c:spPr>
          <c:invertIfNegative val="0"/>
          <c:cat>
            <c:strRef>
              <c:f>'Fetal, neonatal and perinatal'!$B$2:$J$2</c:f>
              <c:strCache>
                <c:ptCount val="9"/>
                <c:pt idx="0">
                  <c:v>NSW</c:v>
                </c:pt>
                <c:pt idx="1">
                  <c:v>Vic</c:v>
                </c:pt>
                <c:pt idx="2">
                  <c:v>Qld</c:v>
                </c:pt>
                <c:pt idx="3">
                  <c:v>WA</c:v>
                </c:pt>
                <c:pt idx="4">
                  <c:v>SA</c:v>
                </c:pt>
                <c:pt idx="5">
                  <c:v>Tas</c:v>
                </c:pt>
                <c:pt idx="6">
                  <c:v>ACT</c:v>
                </c:pt>
                <c:pt idx="7">
                  <c:v>NT</c:v>
                </c:pt>
                <c:pt idx="8">
                  <c:v>Aust</c:v>
                </c:pt>
              </c:strCache>
            </c:strRef>
          </c:cat>
          <c:val>
            <c:numRef>
              <c:f>'Fetal, neonatal and perinatal'!$B$14:$J$14</c:f>
              <c:numCache>
                <c:formatCode>###\ ###\ ##0.0;\-###\ ###\ ##0.0;"–"</c:formatCode>
                <c:ptCount val="9"/>
                <c:pt idx="0">
                  <c:v>2.3246842896008446</c:v>
                </c:pt>
                <c:pt idx="1">
                  <c:v>2.1187261804792974</c:v>
                </c:pt>
                <c:pt idx="2">
                  <c:v>2.9763303413380955</c:v>
                </c:pt>
                <c:pt idx="3">
                  <c:v>1.3679483748178547</c:v>
                </c:pt>
                <c:pt idx="4">
                  <c:v>2.398081534772182</c:v>
                </c:pt>
                <c:pt idx="5">
                  <c:v>2.9182879377431905</c:v>
                </c:pt>
                <c:pt idx="6">
                  <c:v>2.5636330342428124</c:v>
                </c:pt>
                <c:pt idx="7">
                  <c:v>3.8986354775828458</c:v>
                </c:pt>
                <c:pt idx="8">
                  <c:v>2.3450975831928211</c:v>
                </c:pt>
              </c:numCache>
            </c:numRef>
          </c:val>
        </c:ser>
        <c:ser>
          <c:idx val="2"/>
          <c:order val="2"/>
          <c:tx>
            <c:strRef>
              <c:f>'Fetal, neonatal and perinatal'!$A$15</c:f>
              <c:strCache>
                <c:ptCount val="1"/>
                <c:pt idx="0">
                  <c:v>2013 </c:v>
                </c:pt>
              </c:strCache>
            </c:strRef>
          </c:tx>
          <c:spPr>
            <a:solidFill>
              <a:srgbClr val="78A22F"/>
            </a:solidFill>
            <a:ln>
              <a:solidFill>
                <a:srgbClr val="78A22F"/>
              </a:solidFill>
            </a:ln>
          </c:spPr>
          <c:invertIfNegative val="0"/>
          <c:cat>
            <c:strRef>
              <c:f>'Fetal, neonatal and perinatal'!$B$2:$J$2</c:f>
              <c:strCache>
                <c:ptCount val="9"/>
                <c:pt idx="0">
                  <c:v>NSW</c:v>
                </c:pt>
                <c:pt idx="1">
                  <c:v>Vic</c:v>
                </c:pt>
                <c:pt idx="2">
                  <c:v>Qld</c:v>
                </c:pt>
                <c:pt idx="3">
                  <c:v>WA</c:v>
                </c:pt>
                <c:pt idx="4">
                  <c:v>SA</c:v>
                </c:pt>
                <c:pt idx="5">
                  <c:v>Tas</c:v>
                </c:pt>
                <c:pt idx="6">
                  <c:v>ACT</c:v>
                </c:pt>
                <c:pt idx="7">
                  <c:v>NT</c:v>
                </c:pt>
                <c:pt idx="8">
                  <c:v>Aust</c:v>
                </c:pt>
              </c:strCache>
            </c:strRef>
          </c:cat>
          <c:val>
            <c:numRef>
              <c:f>'Fetal, neonatal and perinatal'!$B$15:$J$15</c:f>
              <c:numCache>
                <c:formatCode>###\ ###\ ##0.0;\-###\ ###\ ##0.0;"–"</c:formatCode>
                <c:ptCount val="9"/>
                <c:pt idx="0">
                  <c:v>2.5581812028428659</c:v>
                </c:pt>
                <c:pt idx="1">
                  <c:v>2.149549135448634</c:v>
                </c:pt>
                <c:pt idx="2">
                  <c:v>3.1884332480979891</c:v>
                </c:pt>
                <c:pt idx="3">
                  <c:v>1.5644918298759996</c:v>
                </c:pt>
                <c:pt idx="4">
                  <c:v>2.3394723743155796</c:v>
                </c:pt>
                <c:pt idx="5">
                  <c:v>2.3144321375433954</c:v>
                </c:pt>
                <c:pt idx="6">
                  <c:v>1.8034265103697023</c:v>
                </c:pt>
                <c:pt idx="7">
                  <c:v>4.9346163335800641</c:v>
                </c:pt>
                <c:pt idx="8">
                  <c:v>2.4767500365182675</c:v>
                </c:pt>
              </c:numCache>
            </c:numRef>
          </c:val>
        </c:ser>
        <c:ser>
          <c:idx val="3"/>
          <c:order val="3"/>
          <c:tx>
            <c:strRef>
              <c:f>'Fetal, neonatal and perinatal'!$A$16</c:f>
              <c:strCache>
                <c:ptCount val="1"/>
                <c:pt idx="0">
                  <c:v>2014 </c:v>
                </c:pt>
              </c:strCache>
            </c:strRef>
          </c:tx>
          <c:spPr>
            <a:solidFill>
              <a:srgbClr val="78A22F"/>
            </a:solidFill>
            <a:ln>
              <a:solidFill>
                <a:srgbClr val="78A22F"/>
              </a:solidFill>
            </a:ln>
          </c:spPr>
          <c:invertIfNegative val="0"/>
          <c:cat>
            <c:strRef>
              <c:f>'Fetal, neonatal and perinatal'!$B$2:$J$2</c:f>
              <c:strCache>
                <c:ptCount val="9"/>
                <c:pt idx="0">
                  <c:v>NSW</c:v>
                </c:pt>
                <c:pt idx="1">
                  <c:v>Vic</c:v>
                </c:pt>
                <c:pt idx="2">
                  <c:v>Qld</c:v>
                </c:pt>
                <c:pt idx="3">
                  <c:v>WA</c:v>
                </c:pt>
                <c:pt idx="4">
                  <c:v>SA</c:v>
                </c:pt>
                <c:pt idx="5">
                  <c:v>Tas</c:v>
                </c:pt>
                <c:pt idx="6">
                  <c:v>ACT</c:v>
                </c:pt>
                <c:pt idx="7">
                  <c:v>NT</c:v>
                </c:pt>
                <c:pt idx="8">
                  <c:v>Aust</c:v>
                </c:pt>
              </c:strCache>
            </c:strRef>
          </c:cat>
          <c:val>
            <c:numRef>
              <c:f>'Fetal, neonatal and perinatal'!$B$16:$J$16</c:f>
              <c:numCache>
                <c:formatCode>###\ ###\ ##0.0;\-###\ ###\ ##0.0;"–"</c:formatCode>
                <c:ptCount val="9"/>
                <c:pt idx="0">
                  <c:v>2.58031930078837</c:v>
                </c:pt>
                <c:pt idx="1">
                  <c:v>1.9804914852338864</c:v>
                </c:pt>
                <c:pt idx="2">
                  <c:v>3.1078552627406211</c:v>
                </c:pt>
                <c:pt idx="3">
                  <c:v>1.4405558850944835</c:v>
                </c:pt>
                <c:pt idx="4">
                  <c:v>1.6189167974882261</c:v>
                </c:pt>
                <c:pt idx="5">
                  <c:v>4.0438079191238412</c:v>
                </c:pt>
                <c:pt idx="6">
                  <c:v>1.9812680115273775</c:v>
                </c:pt>
                <c:pt idx="7">
                  <c:v>4.2225534028812719</c:v>
                </c:pt>
                <c:pt idx="8">
                  <c:v>2.3824062302925952</c:v>
                </c:pt>
              </c:numCache>
            </c:numRef>
          </c:val>
        </c:ser>
        <c:ser>
          <c:idx val="4"/>
          <c:order val="4"/>
          <c:tx>
            <c:strRef>
              <c:f>'Fetal, neonatal and perinatal'!$A$17</c:f>
              <c:strCache>
                <c:ptCount val="1"/>
                <c:pt idx="0">
                  <c:v>2015 </c:v>
                </c:pt>
              </c:strCache>
            </c:strRef>
          </c:tx>
          <c:spPr>
            <a:solidFill>
              <a:srgbClr val="265A9A"/>
            </a:solidFill>
            <a:ln>
              <a:solidFill>
                <a:srgbClr val="265A9A"/>
              </a:solidFill>
            </a:ln>
          </c:spPr>
          <c:invertIfNegative val="0"/>
          <c:cat>
            <c:strRef>
              <c:f>'Fetal, neonatal and perinatal'!$B$2:$J$2</c:f>
              <c:strCache>
                <c:ptCount val="9"/>
                <c:pt idx="0">
                  <c:v>NSW</c:v>
                </c:pt>
                <c:pt idx="1">
                  <c:v>Vic</c:v>
                </c:pt>
                <c:pt idx="2">
                  <c:v>Qld</c:v>
                </c:pt>
                <c:pt idx="3">
                  <c:v>WA</c:v>
                </c:pt>
                <c:pt idx="4">
                  <c:v>SA</c:v>
                </c:pt>
                <c:pt idx="5">
                  <c:v>Tas</c:v>
                </c:pt>
                <c:pt idx="6">
                  <c:v>ACT</c:v>
                </c:pt>
                <c:pt idx="7">
                  <c:v>NT</c:v>
                </c:pt>
                <c:pt idx="8">
                  <c:v>Aust</c:v>
                </c:pt>
              </c:strCache>
            </c:strRef>
          </c:cat>
          <c:val>
            <c:numRef>
              <c:f>'Fetal, neonatal and perinatal'!$B$17:$J$17</c:f>
              <c:numCache>
                <c:formatCode>###\ ###\ ##0.0;\-###\ ###\ ##0.0;"–"</c:formatCode>
                <c:ptCount val="9"/>
                <c:pt idx="0">
                  <c:v>2.4680502403101547</c:v>
                </c:pt>
                <c:pt idx="1">
                  <c:v>1.6719225750326228</c:v>
                </c:pt>
                <c:pt idx="2">
                  <c:v>3.0447809539233948</c:v>
                </c:pt>
                <c:pt idx="3">
                  <c:v>1.5369289881884163</c:v>
                </c:pt>
                <c:pt idx="4">
                  <c:v>2.2349773962513333</c:v>
                </c:pt>
                <c:pt idx="5">
                  <c:v>2.992957746478873</c:v>
                </c:pt>
                <c:pt idx="6">
                  <c:v>2.5261638397690365</c:v>
                </c:pt>
                <c:pt idx="7">
                  <c:v>4.7452547452547451</c:v>
                </c:pt>
                <c:pt idx="8">
                  <c:v>2.3151710836114052</c:v>
                </c:pt>
              </c:numCache>
            </c:numRef>
          </c:val>
        </c:ser>
        <c:dLbls>
          <c:showLegendKey val="0"/>
          <c:showVal val="0"/>
          <c:showCatName val="0"/>
          <c:showSerName val="0"/>
          <c:showPercent val="0"/>
          <c:showBubbleSize val="0"/>
        </c:dLbls>
        <c:gapWidth val="150"/>
        <c:axId val="50162688"/>
        <c:axId val="50164480"/>
      </c:barChart>
      <c:catAx>
        <c:axId val="50162688"/>
        <c:scaling>
          <c:orientation val="minMax"/>
        </c:scaling>
        <c:delete val="0"/>
        <c:axPos val="b"/>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50164480"/>
        <c:crosses val="autoZero"/>
        <c:auto val="1"/>
        <c:lblAlgn val="ctr"/>
        <c:lblOffset val="100"/>
        <c:noMultiLvlLbl val="0"/>
      </c:catAx>
      <c:valAx>
        <c:axId val="50164480"/>
        <c:scaling>
          <c:orientation val="minMax"/>
          <c:max val="6"/>
          <c:min val="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b="1" i="0" baseline="0">
                    <a:effectLst/>
                    <a:latin typeface="arial"/>
                    <a:ea typeface="arial"/>
                    <a:cs typeface="arial"/>
                  </a:defRPr>
                </a:pPr>
                <a:r>
                  <a:rPr lang="en-AU"/>
                  <a:t>Deaths/'000 live births</a:t>
                </a:r>
              </a:p>
            </c:rich>
          </c:tx>
          <c:layout>
            <c:manualLayout>
              <c:xMode val="edge"/>
              <c:yMode val="edge"/>
              <c:x val="1.8045080005875468E-2"/>
              <c:y val="0.13382852564102563"/>
            </c:manualLayout>
          </c:layout>
          <c:overlay val="0"/>
        </c:title>
        <c:numFmt formatCode="General"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50162688"/>
        <c:crosses val="autoZero"/>
        <c:crossBetween val="between"/>
        <c:majorUnit val="1"/>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b="1" i="0">
                <a:latin typeface="Arial"/>
              </a:defRPr>
            </a:pPr>
            <a:r>
              <a:rPr lang="en-US" sz="900" b="1" i="0">
                <a:latin typeface="Arial"/>
              </a:rPr>
              <a:t>Perinatal death rate</a:t>
            </a:r>
          </a:p>
        </c:rich>
      </c:tx>
      <c:layout/>
      <c:overlay val="0"/>
    </c:title>
    <c:autoTitleDeleted val="0"/>
    <c:plotArea>
      <c:layout>
        <c:manualLayout>
          <c:layoutTarget val="inner"/>
          <c:xMode val="edge"/>
          <c:yMode val="edge"/>
          <c:x val="9.6490923822655617E-2"/>
          <c:y val="0.15081277777777777"/>
          <c:w val="0.87763863025771516"/>
          <c:h val="0.70229222222222221"/>
        </c:manualLayout>
      </c:layout>
      <c:barChart>
        <c:barDir val="col"/>
        <c:grouping val="clustered"/>
        <c:varyColors val="0"/>
        <c:ser>
          <c:idx val="0"/>
          <c:order val="0"/>
          <c:tx>
            <c:strRef>
              <c:f>'Fetal, neonatal and perinatal'!$A$21</c:f>
              <c:strCache>
                <c:ptCount val="1"/>
                <c:pt idx="0">
                  <c:v>2011 </c:v>
                </c:pt>
              </c:strCache>
            </c:strRef>
          </c:tx>
          <c:spPr>
            <a:solidFill>
              <a:srgbClr val="78A22F"/>
            </a:solidFill>
            <a:ln>
              <a:solidFill>
                <a:srgbClr val="78A22F"/>
              </a:solidFill>
            </a:ln>
          </c:spPr>
          <c:invertIfNegative val="0"/>
          <c:cat>
            <c:strRef>
              <c:f>'Fetal, neonatal and perinatal'!$B$2:$J$2</c:f>
              <c:strCache>
                <c:ptCount val="9"/>
                <c:pt idx="0">
                  <c:v>NSW</c:v>
                </c:pt>
                <c:pt idx="1">
                  <c:v>Vic</c:v>
                </c:pt>
                <c:pt idx="2">
                  <c:v>Qld</c:v>
                </c:pt>
                <c:pt idx="3">
                  <c:v>WA</c:v>
                </c:pt>
                <c:pt idx="4">
                  <c:v>SA</c:v>
                </c:pt>
                <c:pt idx="5">
                  <c:v>Tas</c:v>
                </c:pt>
                <c:pt idx="6">
                  <c:v>ACT</c:v>
                </c:pt>
                <c:pt idx="7">
                  <c:v>NT</c:v>
                </c:pt>
                <c:pt idx="8">
                  <c:v>Aust</c:v>
                </c:pt>
              </c:strCache>
            </c:strRef>
          </c:cat>
          <c:val>
            <c:numRef>
              <c:f>'Fetal, neonatal and perinatal'!$B$21:$J$21</c:f>
              <c:numCache>
                <c:formatCode>###\ ###\ ##0.0;\-###\ ###\ ##0.0;"–"</c:formatCode>
                <c:ptCount val="9"/>
                <c:pt idx="0">
                  <c:v>8.0046601785732232</c:v>
                </c:pt>
                <c:pt idx="1">
                  <c:v>8.142642391849007</c:v>
                </c:pt>
                <c:pt idx="2">
                  <c:v>9.0523338048090523</c:v>
                </c:pt>
                <c:pt idx="3">
                  <c:v>9.7499461753760048</c:v>
                </c:pt>
                <c:pt idx="4">
                  <c:v>5.9556578749812319</c:v>
                </c:pt>
                <c:pt idx="5">
                  <c:v>10.064593660808173</c:v>
                </c:pt>
                <c:pt idx="6">
                  <c:v>7.1858613322975335</c:v>
                </c:pt>
                <c:pt idx="7">
                  <c:v>12.788365095285856</c:v>
                </c:pt>
                <c:pt idx="8">
                  <c:v>8.4156049643169109</c:v>
                </c:pt>
              </c:numCache>
            </c:numRef>
          </c:val>
        </c:ser>
        <c:ser>
          <c:idx val="1"/>
          <c:order val="1"/>
          <c:tx>
            <c:strRef>
              <c:f>'Fetal, neonatal and perinatal'!$A$22</c:f>
              <c:strCache>
                <c:ptCount val="1"/>
                <c:pt idx="0">
                  <c:v>2012 </c:v>
                </c:pt>
              </c:strCache>
            </c:strRef>
          </c:tx>
          <c:spPr>
            <a:solidFill>
              <a:srgbClr val="78A22F"/>
            </a:solidFill>
            <a:ln>
              <a:solidFill>
                <a:srgbClr val="78A22F"/>
              </a:solidFill>
            </a:ln>
          </c:spPr>
          <c:invertIfNegative val="0"/>
          <c:cat>
            <c:strRef>
              <c:f>'Fetal, neonatal and perinatal'!$B$2:$J$2</c:f>
              <c:strCache>
                <c:ptCount val="9"/>
                <c:pt idx="0">
                  <c:v>NSW</c:v>
                </c:pt>
                <c:pt idx="1">
                  <c:v>Vic</c:v>
                </c:pt>
                <c:pt idx="2">
                  <c:v>Qld</c:v>
                </c:pt>
                <c:pt idx="3">
                  <c:v>WA</c:v>
                </c:pt>
                <c:pt idx="4">
                  <c:v>SA</c:v>
                </c:pt>
                <c:pt idx="5">
                  <c:v>Tas</c:v>
                </c:pt>
                <c:pt idx="6">
                  <c:v>ACT</c:v>
                </c:pt>
                <c:pt idx="7">
                  <c:v>NT</c:v>
                </c:pt>
                <c:pt idx="8">
                  <c:v>Aust</c:v>
                </c:pt>
              </c:strCache>
            </c:strRef>
          </c:cat>
          <c:val>
            <c:numRef>
              <c:f>'Fetal, neonatal and perinatal'!$B$22:$J$22</c:f>
              <c:numCache>
                <c:formatCode>###\ ###\ ##0.0;\-###\ ###\ ##0.0;"–"</c:formatCode>
                <c:ptCount val="9"/>
                <c:pt idx="0">
                  <c:v>7.5334511486998235</c:v>
                </c:pt>
                <c:pt idx="1">
                  <c:v>7.695272353545735</c:v>
                </c:pt>
                <c:pt idx="2">
                  <c:v>9.9861562631243288</c:v>
                </c:pt>
                <c:pt idx="3">
                  <c:v>8.4155199905509956</c:v>
                </c:pt>
                <c:pt idx="4">
                  <c:v>5.852516582130316</c:v>
                </c:pt>
                <c:pt idx="5">
                  <c:v>10.140028971511347</c:v>
                </c:pt>
                <c:pt idx="6">
                  <c:v>9.9963649581970184</c:v>
                </c:pt>
                <c:pt idx="7">
                  <c:v>9.4499636539859448</c:v>
                </c:pt>
                <c:pt idx="8">
                  <c:v>8.2141457994823615</c:v>
                </c:pt>
              </c:numCache>
            </c:numRef>
          </c:val>
        </c:ser>
        <c:ser>
          <c:idx val="2"/>
          <c:order val="2"/>
          <c:tx>
            <c:strRef>
              <c:f>'Fetal, neonatal and perinatal'!$A$23</c:f>
              <c:strCache>
                <c:ptCount val="1"/>
                <c:pt idx="0">
                  <c:v>2013 </c:v>
                </c:pt>
              </c:strCache>
            </c:strRef>
          </c:tx>
          <c:spPr>
            <a:solidFill>
              <a:srgbClr val="78A22F"/>
            </a:solidFill>
            <a:ln>
              <a:solidFill>
                <a:srgbClr val="78A22F"/>
              </a:solidFill>
            </a:ln>
          </c:spPr>
          <c:invertIfNegative val="0"/>
          <c:cat>
            <c:strRef>
              <c:f>'Fetal, neonatal and perinatal'!$B$2:$J$2</c:f>
              <c:strCache>
                <c:ptCount val="9"/>
                <c:pt idx="0">
                  <c:v>NSW</c:v>
                </c:pt>
                <c:pt idx="1">
                  <c:v>Vic</c:v>
                </c:pt>
                <c:pt idx="2">
                  <c:v>Qld</c:v>
                </c:pt>
                <c:pt idx="3">
                  <c:v>WA</c:v>
                </c:pt>
                <c:pt idx="4">
                  <c:v>SA</c:v>
                </c:pt>
                <c:pt idx="5">
                  <c:v>Tas</c:v>
                </c:pt>
                <c:pt idx="6">
                  <c:v>ACT</c:v>
                </c:pt>
                <c:pt idx="7">
                  <c:v>NT</c:v>
                </c:pt>
                <c:pt idx="8">
                  <c:v>Aust</c:v>
                </c:pt>
              </c:strCache>
            </c:strRef>
          </c:cat>
          <c:val>
            <c:numRef>
              <c:f>'Fetal, neonatal and perinatal'!$B$23:$J$23</c:f>
              <c:numCache>
                <c:formatCode>###\ ###\ ##0.0;\-###\ ###\ ##0.0;"–"</c:formatCode>
                <c:ptCount val="9"/>
                <c:pt idx="0">
                  <c:v>8.097165991902834</c:v>
                </c:pt>
                <c:pt idx="1">
                  <c:v>8.1833940257192381</c:v>
                </c:pt>
                <c:pt idx="2">
                  <c:v>9.0695120037658867</c:v>
                </c:pt>
                <c:pt idx="3">
                  <c:v>7.4594625730825728</c:v>
                </c:pt>
                <c:pt idx="4">
                  <c:v>6.1486586998562007</c:v>
                </c:pt>
                <c:pt idx="5">
                  <c:v>9.5191203019858843</c:v>
                </c:pt>
                <c:pt idx="6">
                  <c:v>6.9967707212055972</c:v>
                </c:pt>
                <c:pt idx="7">
                  <c:v>14.418377321603128</c:v>
                </c:pt>
                <c:pt idx="8">
                  <c:v>8.2105303925175726</c:v>
                </c:pt>
              </c:numCache>
            </c:numRef>
          </c:val>
        </c:ser>
        <c:ser>
          <c:idx val="3"/>
          <c:order val="3"/>
          <c:tx>
            <c:strRef>
              <c:f>'Fetal, neonatal and perinatal'!$A$24</c:f>
              <c:strCache>
                <c:ptCount val="1"/>
                <c:pt idx="0">
                  <c:v>2014 </c:v>
                </c:pt>
              </c:strCache>
            </c:strRef>
          </c:tx>
          <c:spPr>
            <a:solidFill>
              <a:srgbClr val="78A22F"/>
            </a:solidFill>
            <a:ln>
              <a:solidFill>
                <a:srgbClr val="78A22F"/>
              </a:solidFill>
            </a:ln>
          </c:spPr>
          <c:invertIfNegative val="0"/>
          <c:cat>
            <c:strRef>
              <c:f>'Fetal, neonatal and perinatal'!$B$2:$J$2</c:f>
              <c:strCache>
                <c:ptCount val="9"/>
                <c:pt idx="0">
                  <c:v>NSW</c:v>
                </c:pt>
                <c:pt idx="1">
                  <c:v>Vic</c:v>
                </c:pt>
                <c:pt idx="2">
                  <c:v>Qld</c:v>
                </c:pt>
                <c:pt idx="3">
                  <c:v>WA</c:v>
                </c:pt>
                <c:pt idx="4">
                  <c:v>SA</c:v>
                </c:pt>
                <c:pt idx="5">
                  <c:v>Tas</c:v>
                </c:pt>
                <c:pt idx="6">
                  <c:v>ACT</c:v>
                </c:pt>
                <c:pt idx="7">
                  <c:v>NT</c:v>
                </c:pt>
                <c:pt idx="8">
                  <c:v>Aust</c:v>
                </c:pt>
              </c:strCache>
            </c:strRef>
          </c:cat>
          <c:val>
            <c:numRef>
              <c:f>'Fetal, neonatal and perinatal'!$B$24:$J$24</c:f>
              <c:numCache>
                <c:formatCode>###\ ###\ ##0.0;\-###\ ###\ ##0.0;"–"</c:formatCode>
                <c:ptCount val="9"/>
                <c:pt idx="0">
                  <c:v>6.9961411908744084</c:v>
                </c:pt>
                <c:pt idx="1">
                  <c:v>7.3566853375499157</c:v>
                </c:pt>
                <c:pt idx="2">
                  <c:v>9.7653173728146161</c:v>
                </c:pt>
                <c:pt idx="3">
                  <c:v>8.1088664421997763</c:v>
                </c:pt>
                <c:pt idx="4">
                  <c:v>5.9105119187182495</c:v>
                </c:pt>
                <c:pt idx="5">
                  <c:v>15.489673550966023</c:v>
                </c:pt>
                <c:pt idx="6">
                  <c:v>9.6514745308311003</c:v>
                </c:pt>
                <c:pt idx="7">
                  <c:v>11.344019728729965</c:v>
                </c:pt>
                <c:pt idx="8">
                  <c:v>8.0027870402627777</c:v>
                </c:pt>
              </c:numCache>
            </c:numRef>
          </c:val>
        </c:ser>
        <c:ser>
          <c:idx val="4"/>
          <c:order val="4"/>
          <c:tx>
            <c:strRef>
              <c:f>'Fetal, neonatal and perinatal'!$A$25</c:f>
              <c:strCache>
                <c:ptCount val="1"/>
                <c:pt idx="0">
                  <c:v>2015 </c:v>
                </c:pt>
              </c:strCache>
            </c:strRef>
          </c:tx>
          <c:spPr>
            <a:solidFill>
              <a:srgbClr val="265A9A"/>
            </a:solidFill>
            <a:ln>
              <a:solidFill>
                <a:srgbClr val="265A9A"/>
              </a:solidFill>
            </a:ln>
          </c:spPr>
          <c:invertIfNegative val="0"/>
          <c:cat>
            <c:strRef>
              <c:f>'Fetal, neonatal and perinatal'!$B$2:$J$2</c:f>
              <c:strCache>
                <c:ptCount val="9"/>
                <c:pt idx="0">
                  <c:v>NSW</c:v>
                </c:pt>
                <c:pt idx="1">
                  <c:v>Vic</c:v>
                </c:pt>
                <c:pt idx="2">
                  <c:v>Qld</c:v>
                </c:pt>
                <c:pt idx="3">
                  <c:v>WA</c:v>
                </c:pt>
                <c:pt idx="4">
                  <c:v>SA</c:v>
                </c:pt>
                <c:pt idx="5">
                  <c:v>Tas</c:v>
                </c:pt>
                <c:pt idx="6">
                  <c:v>ACT</c:v>
                </c:pt>
                <c:pt idx="7">
                  <c:v>NT</c:v>
                </c:pt>
                <c:pt idx="8">
                  <c:v>Aust</c:v>
                </c:pt>
              </c:strCache>
            </c:strRef>
          </c:cat>
          <c:val>
            <c:numRef>
              <c:f>'Fetal, neonatal and perinatal'!$B$25:$J$25</c:f>
              <c:numCache>
                <c:formatCode>###\ ###\ ##0.0;\-###\ ###\ ##0.0;"–"</c:formatCode>
                <c:ptCount val="9"/>
                <c:pt idx="0">
                  <c:v>7.8215843926097461</c:v>
                </c:pt>
                <c:pt idx="1">
                  <c:v>6.3720980572541803</c:v>
                </c:pt>
                <c:pt idx="2">
                  <c:v>9.4617426985276367</c:v>
                </c:pt>
                <c:pt idx="3">
                  <c:v>8.3670181191169402</c:v>
                </c:pt>
                <c:pt idx="4">
                  <c:v>6.5070408215139031</c:v>
                </c:pt>
                <c:pt idx="5">
                  <c:v>9.618747813920951</c:v>
                </c:pt>
                <c:pt idx="6">
                  <c:v>7.5403949730700175</c:v>
                </c:pt>
                <c:pt idx="7">
                  <c:v>14.101929737753586</c:v>
                </c:pt>
                <c:pt idx="8">
                  <c:v>7.8965535207231614</c:v>
                </c:pt>
              </c:numCache>
            </c:numRef>
          </c:val>
        </c:ser>
        <c:dLbls>
          <c:showLegendKey val="0"/>
          <c:showVal val="0"/>
          <c:showCatName val="0"/>
          <c:showSerName val="0"/>
          <c:showPercent val="0"/>
          <c:showBubbleSize val="0"/>
        </c:dLbls>
        <c:gapWidth val="150"/>
        <c:axId val="50200960"/>
        <c:axId val="50202496"/>
      </c:barChart>
      <c:catAx>
        <c:axId val="50200960"/>
        <c:scaling>
          <c:orientation val="minMax"/>
        </c:scaling>
        <c:delete val="0"/>
        <c:axPos val="b"/>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50202496"/>
        <c:crosses val="autoZero"/>
        <c:auto val="1"/>
        <c:lblAlgn val="ctr"/>
        <c:lblOffset val="100"/>
        <c:noMultiLvlLbl val="0"/>
      </c:catAx>
      <c:valAx>
        <c:axId val="50202496"/>
        <c:scaling>
          <c:orientation val="minMax"/>
          <c:max val="18"/>
          <c:min val="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b="1" i="0" baseline="0">
                    <a:effectLst/>
                    <a:latin typeface="arial"/>
                    <a:ea typeface="arial"/>
                    <a:cs typeface="arial"/>
                  </a:defRPr>
                </a:pPr>
                <a:r>
                  <a:rPr lang="en-AU"/>
                  <a:t>Deaths/'000 total births</a:t>
                </a:r>
              </a:p>
            </c:rich>
          </c:tx>
          <c:layout>
            <c:manualLayout>
              <c:xMode val="edge"/>
              <c:yMode val="edge"/>
              <c:x val="1.0811809691680052E-2"/>
              <c:y val="0.13332318376068375"/>
            </c:manualLayout>
          </c:layout>
          <c:overlay val="0"/>
        </c:title>
        <c:numFmt formatCode="General"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50200960"/>
        <c:crosses val="autoZero"/>
        <c:crossBetween val="between"/>
        <c:majorUnit val="2"/>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878222222222222"/>
          <c:y val="0.15020937500000001"/>
          <c:w val="0.43255944302967059"/>
          <c:h val="0.79450729166666667"/>
        </c:manualLayout>
      </c:layout>
      <c:barChart>
        <c:barDir val="col"/>
        <c:grouping val="clustered"/>
        <c:varyColors val="0"/>
        <c:ser>
          <c:idx val="0"/>
          <c:order val="0"/>
          <c:tx>
            <c:strRef>
              <c:f>'Fetal, neonatal and perinatal'!$A$66:$K$66</c:f>
              <c:strCache>
                <c:ptCount val="1"/>
                <c:pt idx="0">
                  <c:v>2011 to 2014</c:v>
                </c:pt>
              </c:strCache>
            </c:strRef>
          </c:tx>
          <c:spPr>
            <a:solidFill>
              <a:srgbClr val="78A22F"/>
            </a:solidFill>
            <a:ln>
              <a:noFill/>
            </a:ln>
          </c:spPr>
          <c:invertIfNegative val="0"/>
          <c:val>
            <c:numRef>
              <c:f>'Fetal, neonatal and perinatal'!$B$66:$K$66</c:f>
              <c:numCache>
                <c:formatCode>General</c:formatCode>
                <c:ptCount val="10"/>
              </c:numCache>
            </c:numRef>
          </c:val>
        </c:ser>
        <c:ser>
          <c:idx val="1"/>
          <c:order val="1"/>
          <c:tx>
            <c:strRef>
              <c:f>'Fetal, neonatal and perinatal'!$A$67</c:f>
              <c:strCache>
                <c:ptCount val="1"/>
                <c:pt idx="0">
                  <c:v>2012</c:v>
                </c:pt>
              </c:strCache>
            </c:strRef>
          </c:tx>
          <c:spPr>
            <a:solidFill>
              <a:srgbClr val="000000"/>
            </a:solidFill>
            <a:ln>
              <a:noFill/>
            </a:ln>
          </c:spPr>
          <c:invertIfNegative val="0"/>
          <c:val>
            <c:numRef>
              <c:f>'Fetal, neonatal and perinatal'!$B$67:$K$67</c:f>
              <c:numCache>
                <c:formatCode>General</c:formatCode>
                <c:ptCount val="10"/>
              </c:numCache>
            </c:numRef>
          </c:val>
        </c:ser>
        <c:ser>
          <c:idx val="2"/>
          <c:order val="2"/>
          <c:tx>
            <c:strRef>
              <c:f>'Fetal, neonatal and perinatal'!$A$68</c:f>
              <c:strCache>
                <c:ptCount val="1"/>
                <c:pt idx="0">
                  <c:v>2013</c:v>
                </c:pt>
              </c:strCache>
            </c:strRef>
          </c:tx>
          <c:spPr>
            <a:solidFill>
              <a:srgbClr val="B2D673"/>
            </a:solidFill>
          </c:spPr>
          <c:invertIfNegative val="0"/>
          <c:val>
            <c:numRef>
              <c:f>'Fetal, neonatal and perinatal'!$B$68:$K$68</c:f>
              <c:numCache>
                <c:formatCode>General</c:formatCode>
                <c:ptCount val="10"/>
              </c:numCache>
            </c:numRef>
          </c:val>
        </c:ser>
        <c:ser>
          <c:idx val="3"/>
          <c:order val="3"/>
          <c:tx>
            <c:strRef>
              <c:f>'Fetal, neonatal and perinatal'!$A$69</c:f>
              <c:strCache>
                <c:ptCount val="1"/>
                <c:pt idx="0">
                  <c:v>2014</c:v>
                </c:pt>
              </c:strCache>
            </c:strRef>
          </c:tx>
          <c:spPr>
            <a:solidFill>
              <a:srgbClr val="265A9A"/>
            </a:solidFill>
            <a:ln>
              <a:noFill/>
            </a:ln>
          </c:spPr>
          <c:invertIfNegative val="0"/>
          <c:val>
            <c:numRef>
              <c:f>'Fetal, neonatal and perinatal'!$B$69:$K$69</c:f>
              <c:numCache>
                <c:formatCode>General</c:formatCode>
                <c:ptCount val="10"/>
              </c:numCache>
            </c:numRef>
          </c:val>
        </c:ser>
        <c:ser>
          <c:idx val="4"/>
          <c:order val="4"/>
          <c:tx>
            <c:strRef>
              <c:f>'Fetal, neonatal and perinatal'!$A$70</c:f>
              <c:strCache>
                <c:ptCount val="1"/>
                <c:pt idx="0">
                  <c:v>2015</c:v>
                </c:pt>
              </c:strCache>
            </c:strRef>
          </c:tx>
          <c:spPr>
            <a:solidFill>
              <a:srgbClr val="265A9A"/>
            </a:solidFill>
            <a:ln>
              <a:noFill/>
            </a:ln>
          </c:spPr>
          <c:invertIfNegative val="0"/>
          <c:val>
            <c:numRef>
              <c:f>'Fetal, neonatal and perinatal'!$B$70:$K$70</c:f>
              <c:numCache>
                <c:formatCode>General</c:formatCode>
                <c:ptCount val="10"/>
              </c:numCache>
            </c:numRef>
          </c:val>
        </c:ser>
        <c:dLbls>
          <c:showLegendKey val="0"/>
          <c:showVal val="0"/>
          <c:showCatName val="0"/>
          <c:showSerName val="0"/>
          <c:showPercent val="0"/>
          <c:showBubbleSize val="0"/>
        </c:dLbls>
        <c:gapWidth val="150"/>
        <c:axId val="50222976"/>
        <c:axId val="50224512"/>
      </c:barChart>
      <c:catAx>
        <c:axId val="50222976"/>
        <c:scaling>
          <c:orientation val="minMax"/>
        </c:scaling>
        <c:delete val="1"/>
        <c:axPos val="b"/>
        <c:numFmt formatCode="General" sourceLinked="1"/>
        <c:majorTickMark val="out"/>
        <c:minorTickMark val="none"/>
        <c:tickLblPos val="nextTo"/>
        <c:crossAx val="50224512"/>
        <c:crosses val="autoZero"/>
        <c:auto val="1"/>
        <c:lblAlgn val="ctr"/>
        <c:lblOffset val="100"/>
        <c:noMultiLvlLbl val="0"/>
      </c:catAx>
      <c:valAx>
        <c:axId val="50224512"/>
        <c:scaling>
          <c:orientation val="minMax"/>
        </c:scaling>
        <c:delete val="1"/>
        <c:axPos val="l"/>
        <c:numFmt formatCode="General" sourceLinked="1"/>
        <c:majorTickMark val="out"/>
        <c:minorTickMark val="none"/>
        <c:tickLblPos val="nextTo"/>
        <c:crossAx val="50222976"/>
        <c:crosses val="autoZero"/>
        <c:crossBetween val="between"/>
      </c:valAx>
      <c:spPr>
        <a:noFill/>
        <a:ln w="25400">
          <a:noFill/>
        </a:ln>
      </c:spPr>
    </c:plotArea>
    <c:legend>
      <c:legendPos val="t"/>
      <c:legendEntry>
        <c:idx val="1"/>
        <c:delete val="1"/>
      </c:legendEntry>
      <c:legendEntry>
        <c:idx val="2"/>
        <c:delete val="1"/>
      </c:legendEntry>
      <c:legendEntry>
        <c:idx val="3"/>
        <c:delete val="1"/>
      </c:legendEntry>
      <c:layout>
        <c:manualLayout>
          <c:xMode val="edge"/>
          <c:yMode val="edge"/>
          <c:x val="0.18864684541478102"/>
          <c:y val="0.21166554180727409"/>
          <c:w val="0.67605193391474228"/>
          <c:h val="0.65002774653168349"/>
        </c:manualLayout>
      </c:layout>
      <c:overlay val="0"/>
      <c:spPr>
        <a:ln>
          <a:no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430037037037037"/>
          <c:y val="3.2925925925925928E-2"/>
          <c:w val="0.85982925925925924"/>
          <c:h val="0.76985000000000003"/>
        </c:manualLayout>
      </c:layout>
      <c:barChart>
        <c:barDir val="col"/>
        <c:grouping val="clustered"/>
        <c:varyColors val="0"/>
        <c:ser>
          <c:idx val="0"/>
          <c:order val="0"/>
          <c:tx>
            <c:strRef>
              <c:f>'FTE employed MP'!$C$4</c:f>
              <c:strCache>
                <c:ptCount val="1"/>
                <c:pt idx="0">
                  <c:v>2011 to 2014 </c:v>
                </c:pt>
              </c:strCache>
            </c:strRef>
          </c:tx>
          <c:spPr>
            <a:solidFill>
              <a:srgbClr val="78A22F"/>
            </a:solidFill>
            <a:ln>
              <a:solidFill>
                <a:srgbClr val="78A22F"/>
              </a:solidFill>
            </a:ln>
          </c:spPr>
          <c:invertIfNegative val="0"/>
          <c:cat>
            <c:strRef>
              <c:f>'FTE employed MP'!$D$2:$L$2</c:f>
              <c:strCache>
                <c:ptCount val="9"/>
                <c:pt idx="0">
                  <c:v>NSW</c:v>
                </c:pt>
                <c:pt idx="1">
                  <c:v>Vic</c:v>
                </c:pt>
                <c:pt idx="2">
                  <c:v>Qld</c:v>
                </c:pt>
                <c:pt idx="3">
                  <c:v>WA</c:v>
                </c:pt>
                <c:pt idx="4">
                  <c:v>SA</c:v>
                </c:pt>
                <c:pt idx="5">
                  <c:v>Tas</c:v>
                </c:pt>
                <c:pt idx="6">
                  <c:v>ACT</c:v>
                </c:pt>
                <c:pt idx="7">
                  <c:v>NT</c:v>
                </c:pt>
                <c:pt idx="8">
                  <c:v>Aust</c:v>
                </c:pt>
              </c:strCache>
            </c:strRef>
          </c:cat>
          <c:val>
            <c:numRef>
              <c:f>'FTE employed MP'!$D$4:$L$4</c:f>
              <c:numCache>
                <c:formatCode>###\ ###\ ##0.0;\-###\ ###\ ##0.0;"–"</c:formatCode>
                <c:ptCount val="9"/>
                <c:pt idx="0">
                  <c:v>385.50272319999999</c:v>
                </c:pt>
                <c:pt idx="1">
                  <c:v>375.2530218</c:v>
                </c:pt>
                <c:pt idx="2">
                  <c:v>378.3528991</c:v>
                </c:pt>
                <c:pt idx="3">
                  <c:v>349.00066409999999</c:v>
                </c:pt>
                <c:pt idx="4">
                  <c:v>408.95060580000001</c:v>
                </c:pt>
                <c:pt idx="5">
                  <c:v>374.94413300000002</c:v>
                </c:pt>
                <c:pt idx="6">
                  <c:v>468.09188419999998</c:v>
                </c:pt>
                <c:pt idx="7">
                  <c:v>462.7764287</c:v>
                </c:pt>
                <c:pt idx="8">
                  <c:v>381.44637269999998</c:v>
                </c:pt>
              </c:numCache>
            </c:numRef>
          </c:val>
        </c:ser>
        <c:ser>
          <c:idx val="1"/>
          <c:order val="1"/>
          <c:tx>
            <c:strRef>
              <c:f>'FTE employed MP'!$C$5</c:f>
              <c:strCache>
                <c:ptCount val="1"/>
                <c:pt idx="0">
                  <c:v>2012</c:v>
                </c:pt>
              </c:strCache>
            </c:strRef>
          </c:tx>
          <c:spPr>
            <a:solidFill>
              <a:srgbClr val="78A22F"/>
            </a:solidFill>
            <a:ln>
              <a:solidFill>
                <a:srgbClr val="78A22F"/>
              </a:solidFill>
            </a:ln>
          </c:spPr>
          <c:invertIfNegative val="0"/>
          <c:cat>
            <c:strRef>
              <c:f>'FTE employed MP'!$D$2:$L$2</c:f>
              <c:strCache>
                <c:ptCount val="9"/>
                <c:pt idx="0">
                  <c:v>NSW</c:v>
                </c:pt>
                <c:pt idx="1">
                  <c:v>Vic</c:v>
                </c:pt>
                <c:pt idx="2">
                  <c:v>Qld</c:v>
                </c:pt>
                <c:pt idx="3">
                  <c:v>WA</c:v>
                </c:pt>
                <c:pt idx="4">
                  <c:v>SA</c:v>
                </c:pt>
                <c:pt idx="5">
                  <c:v>Tas</c:v>
                </c:pt>
                <c:pt idx="6">
                  <c:v>ACT</c:v>
                </c:pt>
                <c:pt idx="7">
                  <c:v>NT</c:v>
                </c:pt>
                <c:pt idx="8">
                  <c:v>Aust</c:v>
                </c:pt>
              </c:strCache>
            </c:strRef>
          </c:cat>
          <c:val>
            <c:numRef>
              <c:f>'FTE employed MP'!$D$5:$L$5</c:f>
              <c:numCache>
                <c:formatCode>###\ ###\ ##0.0;\-###\ ###\ ##0.0;"–"</c:formatCode>
                <c:ptCount val="9"/>
                <c:pt idx="0">
                  <c:v>378.03177140000003</c:v>
                </c:pt>
                <c:pt idx="1">
                  <c:v>366.45144260000001</c:v>
                </c:pt>
                <c:pt idx="2">
                  <c:v>373.20020460000001</c:v>
                </c:pt>
                <c:pt idx="3">
                  <c:v>343.56420220000001</c:v>
                </c:pt>
                <c:pt idx="4">
                  <c:v>401.1065309</c:v>
                </c:pt>
                <c:pt idx="5">
                  <c:v>359.22274920000001</c:v>
                </c:pt>
                <c:pt idx="6">
                  <c:v>454.07160149999999</c:v>
                </c:pt>
                <c:pt idx="7">
                  <c:v>466.10281400000002</c:v>
                </c:pt>
                <c:pt idx="8">
                  <c:v>373.92751010000001</c:v>
                </c:pt>
              </c:numCache>
            </c:numRef>
          </c:val>
        </c:ser>
        <c:ser>
          <c:idx val="2"/>
          <c:order val="2"/>
          <c:tx>
            <c:strRef>
              <c:f>'FTE employed MP'!$C$6</c:f>
              <c:strCache>
                <c:ptCount val="1"/>
                <c:pt idx="0">
                  <c:v>2013</c:v>
                </c:pt>
              </c:strCache>
            </c:strRef>
          </c:tx>
          <c:spPr>
            <a:solidFill>
              <a:srgbClr val="78A22F"/>
            </a:solidFill>
            <a:ln>
              <a:solidFill>
                <a:srgbClr val="78A22F"/>
              </a:solidFill>
            </a:ln>
          </c:spPr>
          <c:invertIfNegative val="0"/>
          <c:cat>
            <c:strRef>
              <c:f>'FTE employed MP'!$D$2:$L$2</c:f>
              <c:strCache>
                <c:ptCount val="9"/>
                <c:pt idx="0">
                  <c:v>NSW</c:v>
                </c:pt>
                <c:pt idx="1">
                  <c:v>Vic</c:v>
                </c:pt>
                <c:pt idx="2">
                  <c:v>Qld</c:v>
                </c:pt>
                <c:pt idx="3">
                  <c:v>WA</c:v>
                </c:pt>
                <c:pt idx="4">
                  <c:v>SA</c:v>
                </c:pt>
                <c:pt idx="5">
                  <c:v>Tas</c:v>
                </c:pt>
                <c:pt idx="6">
                  <c:v>ACT</c:v>
                </c:pt>
                <c:pt idx="7">
                  <c:v>NT</c:v>
                </c:pt>
                <c:pt idx="8">
                  <c:v>Aust</c:v>
                </c:pt>
              </c:strCache>
            </c:strRef>
          </c:cat>
          <c:val>
            <c:numRef>
              <c:f>'FTE employed MP'!$D$6:$L$6</c:f>
              <c:numCache>
                <c:formatCode>###\ ###\ ##0.0;\-###\ ###\ ##0.0;"–"</c:formatCode>
                <c:ptCount val="9"/>
                <c:pt idx="0">
                  <c:v>390.43553179999998</c:v>
                </c:pt>
                <c:pt idx="1">
                  <c:v>373.02170319999999</c:v>
                </c:pt>
                <c:pt idx="2">
                  <c:v>373.48392239999998</c:v>
                </c:pt>
                <c:pt idx="3">
                  <c:v>349.00779999999997</c:v>
                </c:pt>
                <c:pt idx="4">
                  <c:v>412.99989169999998</c:v>
                </c:pt>
                <c:pt idx="5">
                  <c:v>374.88458830000002</c:v>
                </c:pt>
                <c:pt idx="6">
                  <c:v>478.57124629999998</c:v>
                </c:pt>
                <c:pt idx="7">
                  <c:v>454.06066750000002</c:v>
                </c:pt>
                <c:pt idx="8">
                  <c:v>381.71669320000001</c:v>
                </c:pt>
              </c:numCache>
            </c:numRef>
          </c:val>
        </c:ser>
        <c:ser>
          <c:idx val="3"/>
          <c:order val="3"/>
          <c:tx>
            <c:strRef>
              <c:f>'FTE employed MP'!$C$7</c:f>
              <c:strCache>
                <c:ptCount val="1"/>
                <c:pt idx="0">
                  <c:v>2014</c:v>
                </c:pt>
              </c:strCache>
            </c:strRef>
          </c:tx>
          <c:spPr>
            <a:solidFill>
              <a:srgbClr val="78A22F"/>
            </a:solidFill>
            <a:ln>
              <a:solidFill>
                <a:srgbClr val="78A22F"/>
              </a:solidFill>
            </a:ln>
          </c:spPr>
          <c:invertIfNegative val="0"/>
          <c:cat>
            <c:strRef>
              <c:f>'FTE employed MP'!$D$2:$L$2</c:f>
              <c:strCache>
                <c:ptCount val="9"/>
                <c:pt idx="0">
                  <c:v>NSW</c:v>
                </c:pt>
                <c:pt idx="1">
                  <c:v>Vic</c:v>
                </c:pt>
                <c:pt idx="2">
                  <c:v>Qld</c:v>
                </c:pt>
                <c:pt idx="3">
                  <c:v>WA</c:v>
                </c:pt>
                <c:pt idx="4">
                  <c:v>SA</c:v>
                </c:pt>
                <c:pt idx="5">
                  <c:v>Tas</c:v>
                </c:pt>
                <c:pt idx="6">
                  <c:v>ACT</c:v>
                </c:pt>
                <c:pt idx="7">
                  <c:v>NT</c:v>
                </c:pt>
                <c:pt idx="8">
                  <c:v>Aust</c:v>
                </c:pt>
              </c:strCache>
            </c:strRef>
          </c:cat>
          <c:val>
            <c:numRef>
              <c:f>'FTE employed MP'!$D$7:$L$7</c:f>
              <c:numCache>
                <c:formatCode>###\ ###\ ##0.0;\-###\ ###\ ##0.0;"–"</c:formatCode>
                <c:ptCount val="9"/>
                <c:pt idx="0">
                  <c:v>392.03090479999997</c:v>
                </c:pt>
                <c:pt idx="1">
                  <c:v>379.97457309999999</c:v>
                </c:pt>
                <c:pt idx="2">
                  <c:v>383.82470430000001</c:v>
                </c:pt>
                <c:pt idx="3">
                  <c:v>358.46583170000002</c:v>
                </c:pt>
                <c:pt idx="4">
                  <c:v>414.65032550000001</c:v>
                </c:pt>
                <c:pt idx="5">
                  <c:v>380.65927579999999</c:v>
                </c:pt>
                <c:pt idx="6">
                  <c:v>468.62556389999997</c:v>
                </c:pt>
                <c:pt idx="7">
                  <c:v>480.06639089999999</c:v>
                </c:pt>
                <c:pt idx="8">
                  <c:v>387.39147179999998</c:v>
                </c:pt>
              </c:numCache>
            </c:numRef>
          </c:val>
        </c:ser>
        <c:ser>
          <c:idx val="4"/>
          <c:order val="4"/>
          <c:tx>
            <c:strRef>
              <c:f>'FTE employed MP'!$C$8</c:f>
              <c:strCache>
                <c:ptCount val="1"/>
                <c:pt idx="0">
                  <c:v>2015</c:v>
                </c:pt>
              </c:strCache>
            </c:strRef>
          </c:tx>
          <c:spPr>
            <a:solidFill>
              <a:srgbClr val="265A9A"/>
            </a:solidFill>
            <a:ln>
              <a:solidFill>
                <a:srgbClr val="265A9A"/>
              </a:solidFill>
            </a:ln>
          </c:spPr>
          <c:invertIfNegative val="0"/>
          <c:cat>
            <c:strRef>
              <c:f>'FTE employed MP'!$D$2:$L$2</c:f>
              <c:strCache>
                <c:ptCount val="9"/>
                <c:pt idx="0">
                  <c:v>NSW</c:v>
                </c:pt>
                <c:pt idx="1">
                  <c:v>Vic</c:v>
                </c:pt>
                <c:pt idx="2">
                  <c:v>Qld</c:v>
                </c:pt>
                <c:pt idx="3">
                  <c:v>WA</c:v>
                </c:pt>
                <c:pt idx="4">
                  <c:v>SA</c:v>
                </c:pt>
                <c:pt idx="5">
                  <c:v>Tas</c:v>
                </c:pt>
                <c:pt idx="6">
                  <c:v>ACT</c:v>
                </c:pt>
                <c:pt idx="7">
                  <c:v>NT</c:v>
                </c:pt>
                <c:pt idx="8">
                  <c:v>Aust</c:v>
                </c:pt>
              </c:strCache>
            </c:strRef>
          </c:cat>
          <c:val>
            <c:numRef>
              <c:f>'FTE employed MP'!$D$8:$L$8</c:f>
              <c:numCache>
                <c:formatCode>###\ ###\ ##0.0;\-###\ ###\ ##0.0;"–"</c:formatCode>
                <c:ptCount val="9"/>
                <c:pt idx="0">
                  <c:v>394.27427890000001</c:v>
                </c:pt>
                <c:pt idx="1">
                  <c:v>386.45386539999998</c:v>
                </c:pt>
                <c:pt idx="2">
                  <c:v>392.601584</c:v>
                </c:pt>
                <c:pt idx="3">
                  <c:v>362.93297089999999</c:v>
                </c:pt>
                <c:pt idx="4">
                  <c:v>412.28472879999998</c:v>
                </c:pt>
                <c:pt idx="5">
                  <c:v>382.35914589999999</c:v>
                </c:pt>
                <c:pt idx="6">
                  <c:v>481.65102419999999</c:v>
                </c:pt>
                <c:pt idx="7">
                  <c:v>498.72802680000001</c:v>
                </c:pt>
                <c:pt idx="8">
                  <c:v>392.25518169999998</c:v>
                </c:pt>
              </c:numCache>
            </c:numRef>
          </c:val>
        </c:ser>
        <c:dLbls>
          <c:showLegendKey val="0"/>
          <c:showVal val="0"/>
          <c:showCatName val="0"/>
          <c:showSerName val="0"/>
          <c:showPercent val="0"/>
          <c:showBubbleSize val="0"/>
        </c:dLbls>
        <c:gapWidth val="150"/>
        <c:axId val="50240896"/>
        <c:axId val="50250880"/>
      </c:barChart>
      <c:catAx>
        <c:axId val="50240896"/>
        <c:scaling>
          <c:orientation val="minMax"/>
        </c:scaling>
        <c:delete val="0"/>
        <c:axPos val="b"/>
        <c:numFmt formatCode="General" sourceLinked="1"/>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50250880"/>
        <c:crosses val="autoZero"/>
        <c:auto val="1"/>
        <c:lblAlgn val="ctr"/>
        <c:lblOffset val="100"/>
        <c:noMultiLvlLbl val="0"/>
      </c:catAx>
      <c:valAx>
        <c:axId val="50250880"/>
        <c:scaling>
          <c:orientation val="minMax"/>
          <c:max val="600"/>
          <c:min val="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FTE</a:t>
                </a:r>
                <a:r>
                  <a:rPr lang="en-AU" baseline="0"/>
                  <a:t> </a:t>
                </a:r>
                <a:r>
                  <a:rPr lang="en-AU"/>
                  <a:t>Practitioners/100 000 people</a:t>
                </a:r>
              </a:p>
            </c:rich>
          </c:tx>
          <c:layout>
            <c:manualLayout>
              <c:xMode val="edge"/>
              <c:yMode val="edge"/>
              <c:x val="1.6095745407361878E-2"/>
              <c:y val="4.2671481481481498E-2"/>
            </c:manualLayout>
          </c:layout>
          <c:overlay val="0"/>
        </c:title>
        <c:numFmt formatCode="General"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50240896"/>
        <c:crosses val="autoZero"/>
        <c:crossBetween val="between"/>
        <c:majorUnit val="10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legendEntry>
        <c:idx val="1"/>
        <c:delete val="1"/>
      </c:legendEntry>
      <c:legendEntry>
        <c:idx val="2"/>
        <c:delete val="1"/>
      </c:legendEntry>
      <c:legendEntry>
        <c:idx val="3"/>
        <c:delete val="1"/>
      </c:legendEntry>
      <c:layout/>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884771600253911"/>
          <c:y val="3.2925925925925928E-2"/>
          <c:w val="0.84528190222553135"/>
          <c:h val="0.76985000000000003"/>
        </c:manualLayout>
      </c:layout>
      <c:barChart>
        <c:barDir val="col"/>
        <c:grouping val="clustered"/>
        <c:varyColors val="0"/>
        <c:ser>
          <c:idx val="0"/>
          <c:order val="0"/>
          <c:tx>
            <c:strRef>
              <c:f>'FTE employed nurses and MW'!$C$4</c:f>
              <c:strCache>
                <c:ptCount val="1"/>
                <c:pt idx="0">
                  <c:v>2011 to 2014</c:v>
                </c:pt>
              </c:strCache>
            </c:strRef>
          </c:tx>
          <c:spPr>
            <a:solidFill>
              <a:srgbClr val="78A22F"/>
            </a:solidFill>
            <a:ln>
              <a:solidFill>
                <a:srgbClr val="78A22F"/>
              </a:solidFill>
            </a:ln>
          </c:spPr>
          <c:invertIfNegative val="0"/>
          <c:cat>
            <c:strRef>
              <c:f>'FTE employed nurses and MW'!$D$2:$L$2</c:f>
              <c:strCache>
                <c:ptCount val="9"/>
                <c:pt idx="0">
                  <c:v>NSW</c:v>
                </c:pt>
                <c:pt idx="1">
                  <c:v>Vic</c:v>
                </c:pt>
                <c:pt idx="2">
                  <c:v>Qld</c:v>
                </c:pt>
                <c:pt idx="3">
                  <c:v>WA</c:v>
                </c:pt>
                <c:pt idx="4">
                  <c:v>SA</c:v>
                </c:pt>
                <c:pt idx="5">
                  <c:v>Tas</c:v>
                </c:pt>
                <c:pt idx="6">
                  <c:v>ACT</c:v>
                </c:pt>
                <c:pt idx="7">
                  <c:v>NT</c:v>
                </c:pt>
                <c:pt idx="8">
                  <c:v>Aust</c:v>
                </c:pt>
              </c:strCache>
            </c:strRef>
          </c:cat>
          <c:val>
            <c:numRef>
              <c:f>'FTE employed nurses and MW'!$D$4:$L$4</c:f>
              <c:numCache>
                <c:formatCode>###\ ###\ ##0.0;\-###\ ###\ ##0.0;"–"</c:formatCode>
                <c:ptCount val="9"/>
                <c:pt idx="0">
                  <c:v>992.9</c:v>
                </c:pt>
                <c:pt idx="1">
                  <c:v>1182.0999999999999</c:v>
                </c:pt>
                <c:pt idx="2">
                  <c:v>1091.2</c:v>
                </c:pt>
                <c:pt idx="3">
                  <c:v>1036.5</c:v>
                </c:pt>
                <c:pt idx="4">
                  <c:v>1387.9</c:v>
                </c:pt>
                <c:pt idx="5">
                  <c:v>1239.4000000000001</c:v>
                </c:pt>
                <c:pt idx="6">
                  <c:v>1163.5999999999999</c:v>
                </c:pt>
                <c:pt idx="7">
                  <c:v>1503.8</c:v>
                </c:pt>
                <c:pt idx="8">
                  <c:v>1106.8</c:v>
                </c:pt>
              </c:numCache>
            </c:numRef>
          </c:val>
        </c:ser>
        <c:ser>
          <c:idx val="1"/>
          <c:order val="1"/>
          <c:tx>
            <c:strRef>
              <c:f>'FTE employed nurses and MW'!$C$5</c:f>
              <c:strCache>
                <c:ptCount val="1"/>
                <c:pt idx="0">
                  <c:v>2012</c:v>
                </c:pt>
              </c:strCache>
            </c:strRef>
          </c:tx>
          <c:spPr>
            <a:solidFill>
              <a:srgbClr val="78A22F"/>
            </a:solidFill>
            <a:ln>
              <a:solidFill>
                <a:srgbClr val="78A22F"/>
              </a:solidFill>
            </a:ln>
          </c:spPr>
          <c:invertIfNegative val="0"/>
          <c:cat>
            <c:strRef>
              <c:f>'FTE employed nurses and MW'!$D$2:$L$2</c:f>
              <c:strCache>
                <c:ptCount val="9"/>
                <c:pt idx="0">
                  <c:v>NSW</c:v>
                </c:pt>
                <c:pt idx="1">
                  <c:v>Vic</c:v>
                </c:pt>
                <c:pt idx="2">
                  <c:v>Qld</c:v>
                </c:pt>
                <c:pt idx="3">
                  <c:v>WA</c:v>
                </c:pt>
                <c:pt idx="4">
                  <c:v>SA</c:v>
                </c:pt>
                <c:pt idx="5">
                  <c:v>Tas</c:v>
                </c:pt>
                <c:pt idx="6">
                  <c:v>ACT</c:v>
                </c:pt>
                <c:pt idx="7">
                  <c:v>NT</c:v>
                </c:pt>
                <c:pt idx="8">
                  <c:v>Aust</c:v>
                </c:pt>
              </c:strCache>
            </c:strRef>
          </c:cat>
          <c:val>
            <c:numRef>
              <c:f>'FTE employed nurses and MW'!$D$5:$L$5</c:f>
              <c:numCache>
                <c:formatCode>###\ ###\ ##0.0;\-###\ ###\ ##0.0;"–"</c:formatCode>
                <c:ptCount val="9"/>
                <c:pt idx="0">
                  <c:v>1013.3</c:v>
                </c:pt>
                <c:pt idx="1">
                  <c:v>1188.3</c:v>
                </c:pt>
                <c:pt idx="2">
                  <c:v>1106.5999999999999</c:v>
                </c:pt>
                <c:pt idx="3">
                  <c:v>1061.5999999999999</c:v>
                </c:pt>
                <c:pt idx="4">
                  <c:v>1416.3</c:v>
                </c:pt>
                <c:pt idx="5">
                  <c:v>1179</c:v>
                </c:pt>
                <c:pt idx="6">
                  <c:v>1182.0999999999999</c:v>
                </c:pt>
                <c:pt idx="7">
                  <c:v>1609.8</c:v>
                </c:pt>
                <c:pt idx="8">
                  <c:v>1122.5999999999999</c:v>
                </c:pt>
              </c:numCache>
            </c:numRef>
          </c:val>
        </c:ser>
        <c:ser>
          <c:idx val="2"/>
          <c:order val="2"/>
          <c:tx>
            <c:strRef>
              <c:f>'FTE employed nurses and MW'!$C$6</c:f>
              <c:strCache>
                <c:ptCount val="1"/>
                <c:pt idx="0">
                  <c:v>2013</c:v>
                </c:pt>
              </c:strCache>
            </c:strRef>
          </c:tx>
          <c:spPr>
            <a:solidFill>
              <a:srgbClr val="78A22F"/>
            </a:solidFill>
            <a:ln>
              <a:solidFill>
                <a:srgbClr val="78A22F"/>
              </a:solidFill>
            </a:ln>
          </c:spPr>
          <c:invertIfNegative val="0"/>
          <c:cat>
            <c:strRef>
              <c:f>'FTE employed nurses and MW'!$D$2:$L$2</c:f>
              <c:strCache>
                <c:ptCount val="9"/>
                <c:pt idx="0">
                  <c:v>NSW</c:v>
                </c:pt>
                <c:pt idx="1">
                  <c:v>Vic</c:v>
                </c:pt>
                <c:pt idx="2">
                  <c:v>Qld</c:v>
                </c:pt>
                <c:pt idx="3">
                  <c:v>WA</c:v>
                </c:pt>
                <c:pt idx="4">
                  <c:v>SA</c:v>
                </c:pt>
                <c:pt idx="5">
                  <c:v>Tas</c:v>
                </c:pt>
                <c:pt idx="6">
                  <c:v>ACT</c:v>
                </c:pt>
                <c:pt idx="7">
                  <c:v>NT</c:v>
                </c:pt>
                <c:pt idx="8">
                  <c:v>Aust</c:v>
                </c:pt>
              </c:strCache>
            </c:strRef>
          </c:cat>
          <c:val>
            <c:numRef>
              <c:f>'FTE employed nurses and MW'!$D$6:$L$6</c:f>
              <c:numCache>
                <c:formatCode>###\ ###\ ##0.0;\-###\ ###\ ##0.0;"–"</c:formatCode>
                <c:ptCount val="9"/>
                <c:pt idx="0">
                  <c:v>1062.0999999999999</c:v>
                </c:pt>
                <c:pt idx="1">
                  <c:v>1211.0999999999999</c:v>
                </c:pt>
                <c:pt idx="2">
                  <c:v>1122.5</c:v>
                </c:pt>
                <c:pt idx="3">
                  <c:v>1094.2</c:v>
                </c:pt>
                <c:pt idx="4">
                  <c:v>1443.4</c:v>
                </c:pt>
                <c:pt idx="5">
                  <c:v>1256.9000000000001</c:v>
                </c:pt>
                <c:pt idx="6">
                  <c:v>1213.0999999999999</c:v>
                </c:pt>
                <c:pt idx="7">
                  <c:v>1633.5</c:v>
                </c:pt>
                <c:pt idx="8">
                  <c:v>1155.0999999999999</c:v>
                </c:pt>
              </c:numCache>
            </c:numRef>
          </c:val>
        </c:ser>
        <c:ser>
          <c:idx val="3"/>
          <c:order val="3"/>
          <c:tx>
            <c:strRef>
              <c:f>'FTE employed nurses and MW'!$C$7</c:f>
              <c:strCache>
                <c:ptCount val="1"/>
                <c:pt idx="0">
                  <c:v>2014</c:v>
                </c:pt>
              </c:strCache>
            </c:strRef>
          </c:tx>
          <c:spPr>
            <a:solidFill>
              <a:srgbClr val="78A22F"/>
            </a:solidFill>
            <a:ln>
              <a:solidFill>
                <a:srgbClr val="78A22F"/>
              </a:solidFill>
            </a:ln>
          </c:spPr>
          <c:invertIfNegative val="0"/>
          <c:cat>
            <c:strRef>
              <c:f>'FTE employed nurses and MW'!$D$2:$L$2</c:f>
              <c:strCache>
                <c:ptCount val="9"/>
                <c:pt idx="0">
                  <c:v>NSW</c:v>
                </c:pt>
                <c:pt idx="1">
                  <c:v>Vic</c:v>
                </c:pt>
                <c:pt idx="2">
                  <c:v>Qld</c:v>
                </c:pt>
                <c:pt idx="3">
                  <c:v>WA</c:v>
                </c:pt>
                <c:pt idx="4">
                  <c:v>SA</c:v>
                </c:pt>
                <c:pt idx="5">
                  <c:v>Tas</c:v>
                </c:pt>
                <c:pt idx="6">
                  <c:v>ACT</c:v>
                </c:pt>
                <c:pt idx="7">
                  <c:v>NT</c:v>
                </c:pt>
                <c:pt idx="8">
                  <c:v>Aust</c:v>
                </c:pt>
              </c:strCache>
            </c:strRef>
          </c:cat>
          <c:val>
            <c:numRef>
              <c:f>'FTE employed nurses and MW'!$D$7:$L$7</c:f>
              <c:numCache>
                <c:formatCode>###\ ###\ ##0.0;\-###\ ###\ ##0.0;"–"</c:formatCode>
                <c:ptCount val="9"/>
                <c:pt idx="0">
                  <c:v>1044.3996554</c:v>
                </c:pt>
                <c:pt idx="1">
                  <c:v>1189.116321</c:v>
                </c:pt>
                <c:pt idx="2">
                  <c:v>1111.4241102000001</c:v>
                </c:pt>
                <c:pt idx="3">
                  <c:v>1064.4868180999999</c:v>
                </c:pt>
                <c:pt idx="4">
                  <c:v>1401.4451203000001</c:v>
                </c:pt>
                <c:pt idx="5">
                  <c:v>1239.5130234999999</c:v>
                </c:pt>
                <c:pt idx="6">
                  <c:v>1208.1537995000001</c:v>
                </c:pt>
                <c:pt idx="7">
                  <c:v>1611.4908508000001</c:v>
                </c:pt>
                <c:pt idx="8">
                  <c:v>1134.60933</c:v>
                </c:pt>
              </c:numCache>
            </c:numRef>
          </c:val>
        </c:ser>
        <c:ser>
          <c:idx val="4"/>
          <c:order val="4"/>
          <c:tx>
            <c:strRef>
              <c:f>'FTE employed nurses and MW'!$C$8</c:f>
              <c:strCache>
                <c:ptCount val="1"/>
                <c:pt idx="0">
                  <c:v>2015</c:v>
                </c:pt>
              </c:strCache>
            </c:strRef>
          </c:tx>
          <c:spPr>
            <a:solidFill>
              <a:srgbClr val="265A9A"/>
            </a:solidFill>
            <a:ln>
              <a:solidFill>
                <a:srgbClr val="265A9A"/>
              </a:solidFill>
            </a:ln>
          </c:spPr>
          <c:invertIfNegative val="0"/>
          <c:cat>
            <c:strRef>
              <c:f>'FTE employed nurses and MW'!$D$2:$L$2</c:f>
              <c:strCache>
                <c:ptCount val="9"/>
                <c:pt idx="0">
                  <c:v>NSW</c:v>
                </c:pt>
                <c:pt idx="1">
                  <c:v>Vic</c:v>
                </c:pt>
                <c:pt idx="2">
                  <c:v>Qld</c:v>
                </c:pt>
                <c:pt idx="3">
                  <c:v>WA</c:v>
                </c:pt>
                <c:pt idx="4">
                  <c:v>SA</c:v>
                </c:pt>
                <c:pt idx="5">
                  <c:v>Tas</c:v>
                </c:pt>
                <c:pt idx="6">
                  <c:v>ACT</c:v>
                </c:pt>
                <c:pt idx="7">
                  <c:v>NT</c:v>
                </c:pt>
                <c:pt idx="8">
                  <c:v>Aust</c:v>
                </c:pt>
              </c:strCache>
            </c:strRef>
          </c:cat>
          <c:val>
            <c:numRef>
              <c:f>'FTE employed nurses and MW'!$D$8:$L$8</c:f>
              <c:numCache>
                <c:formatCode>###\ ###\ ##0.0;\-###\ ###\ ##0.0;"–"</c:formatCode>
                <c:ptCount val="9"/>
                <c:pt idx="0">
                  <c:v>1035.5968324</c:v>
                </c:pt>
                <c:pt idx="1">
                  <c:v>1190.7623404000001</c:v>
                </c:pt>
                <c:pt idx="2">
                  <c:v>1143.6612094</c:v>
                </c:pt>
                <c:pt idx="3">
                  <c:v>1070.2392262000001</c:v>
                </c:pt>
                <c:pt idx="4">
                  <c:v>1385.2809267</c:v>
                </c:pt>
                <c:pt idx="5">
                  <c:v>1260.4536209</c:v>
                </c:pt>
                <c:pt idx="6">
                  <c:v>1192.3126103</c:v>
                </c:pt>
                <c:pt idx="7">
                  <c:v>1534.7113724999999</c:v>
                </c:pt>
                <c:pt idx="8">
                  <c:v>1137.4211762</c:v>
                </c:pt>
              </c:numCache>
            </c:numRef>
          </c:val>
        </c:ser>
        <c:dLbls>
          <c:showLegendKey val="0"/>
          <c:showVal val="0"/>
          <c:showCatName val="0"/>
          <c:showSerName val="0"/>
          <c:showPercent val="0"/>
          <c:showBubbleSize val="0"/>
        </c:dLbls>
        <c:gapWidth val="150"/>
        <c:axId val="57243136"/>
        <c:axId val="57244672"/>
      </c:barChart>
      <c:catAx>
        <c:axId val="57243136"/>
        <c:scaling>
          <c:orientation val="minMax"/>
        </c:scaling>
        <c:delete val="0"/>
        <c:axPos val="b"/>
        <c:numFmt formatCode="General" sourceLinked="1"/>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57244672"/>
        <c:crosses val="autoZero"/>
        <c:auto val="1"/>
        <c:lblAlgn val="ctr"/>
        <c:lblOffset val="100"/>
        <c:noMultiLvlLbl val="0"/>
      </c:catAx>
      <c:valAx>
        <c:axId val="57244672"/>
        <c:scaling>
          <c:orientation val="minMax"/>
          <c:max val="1800"/>
          <c:min val="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FTE</a:t>
                </a:r>
                <a:r>
                  <a:rPr lang="en-AU" baseline="0"/>
                  <a:t> </a:t>
                </a:r>
                <a:r>
                  <a:rPr lang="en-AU"/>
                  <a:t>Practitioners/100 000 people</a:t>
                </a:r>
              </a:p>
            </c:rich>
          </c:tx>
          <c:layout>
            <c:manualLayout>
              <c:xMode val="edge"/>
              <c:yMode val="edge"/>
              <c:x val="2.0799444444444443E-2"/>
              <c:y val="5.207888888888889E-2"/>
            </c:manualLayout>
          </c:layout>
          <c:overlay val="0"/>
        </c:title>
        <c:numFmt formatCode="General"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57243136"/>
        <c:crosses val="autoZero"/>
        <c:crossBetween val="between"/>
        <c:majorUnit val="30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legendEntry>
        <c:idx val="1"/>
        <c:delete val="1"/>
      </c:legendEntry>
      <c:legendEntry>
        <c:idx val="2"/>
        <c:delete val="1"/>
      </c:legendEntry>
      <c:legendEntry>
        <c:idx val="3"/>
        <c:delete val="1"/>
      </c:legendEntry>
      <c:layout/>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878222222222222"/>
          <c:y val="0.15020937500000001"/>
          <c:w val="0.53784740740740733"/>
          <c:h val="0.79450729166666667"/>
        </c:manualLayout>
      </c:layout>
      <c:barChart>
        <c:barDir val="col"/>
        <c:grouping val="clustered"/>
        <c:varyColors val="0"/>
        <c:ser>
          <c:idx val="0"/>
          <c:order val="0"/>
          <c:tx>
            <c:strRef>
              <c:f>'Access health services'!$A$61</c:f>
              <c:strCache>
                <c:ptCount val="1"/>
                <c:pt idx="0">
                  <c:v>Excellent/very good/good</c:v>
                </c:pt>
              </c:strCache>
            </c:strRef>
          </c:tx>
          <c:spPr>
            <a:solidFill>
              <a:srgbClr val="265A9A"/>
            </a:solidFill>
            <a:ln>
              <a:noFill/>
            </a:ln>
          </c:spPr>
          <c:invertIfNegative val="0"/>
          <c:val>
            <c:numRef>
              <c:f>'Access health services'!$B$61:$K$61</c:f>
              <c:numCache>
                <c:formatCode>General</c:formatCode>
                <c:ptCount val="10"/>
              </c:numCache>
            </c:numRef>
          </c:val>
        </c:ser>
        <c:ser>
          <c:idx val="1"/>
          <c:order val="1"/>
          <c:tx>
            <c:strRef>
              <c:f>'Access health services'!$A$62</c:f>
              <c:strCache>
                <c:ptCount val="1"/>
                <c:pt idx="0">
                  <c:v>Fair/poor</c:v>
                </c:pt>
              </c:strCache>
            </c:strRef>
          </c:tx>
          <c:spPr>
            <a:solidFill>
              <a:srgbClr val="78A22F"/>
            </a:solidFill>
            <a:ln>
              <a:noFill/>
            </a:ln>
          </c:spPr>
          <c:invertIfNegative val="0"/>
          <c:val>
            <c:numRef>
              <c:f>'Access health services'!$B$62:$K$62</c:f>
              <c:numCache>
                <c:formatCode>General</c:formatCode>
                <c:ptCount val="10"/>
              </c:numCache>
            </c:numRef>
          </c:val>
        </c:ser>
        <c:dLbls>
          <c:showLegendKey val="0"/>
          <c:showVal val="0"/>
          <c:showCatName val="0"/>
          <c:showSerName val="0"/>
          <c:showPercent val="0"/>
          <c:showBubbleSize val="0"/>
        </c:dLbls>
        <c:gapWidth val="150"/>
        <c:axId val="139621504"/>
        <c:axId val="139623040"/>
      </c:barChart>
      <c:catAx>
        <c:axId val="139621504"/>
        <c:scaling>
          <c:orientation val="minMax"/>
        </c:scaling>
        <c:delete val="1"/>
        <c:axPos val="b"/>
        <c:numFmt formatCode="General" sourceLinked="1"/>
        <c:majorTickMark val="out"/>
        <c:minorTickMark val="none"/>
        <c:tickLblPos val="nextTo"/>
        <c:crossAx val="139623040"/>
        <c:crosses val="autoZero"/>
        <c:auto val="1"/>
        <c:lblAlgn val="ctr"/>
        <c:lblOffset val="100"/>
        <c:noMultiLvlLbl val="0"/>
      </c:catAx>
      <c:valAx>
        <c:axId val="139623040"/>
        <c:scaling>
          <c:orientation val="minMax"/>
        </c:scaling>
        <c:delete val="1"/>
        <c:axPos val="l"/>
        <c:numFmt formatCode="General" sourceLinked="1"/>
        <c:majorTickMark val="out"/>
        <c:minorTickMark val="none"/>
        <c:tickLblPos val="nextTo"/>
        <c:crossAx val="139621504"/>
        <c:crosses val="autoZero"/>
        <c:crossBetween val="between"/>
      </c:valAx>
      <c:spPr>
        <a:noFill/>
        <a:ln w="25400">
          <a:noFill/>
        </a:ln>
      </c:spPr>
    </c:plotArea>
    <c:legend>
      <c:legendPos val="t"/>
      <c:layout>
        <c:manualLayout>
          <c:xMode val="edge"/>
          <c:yMode val="edge"/>
          <c:x val="1.5736568171878951E-2"/>
          <c:y val="0.21166666666666667"/>
          <c:w val="0.95770031401114619"/>
          <c:h val="0.60195277777777778"/>
        </c:manualLayout>
      </c:layout>
      <c:overlay val="0"/>
      <c:spPr>
        <a:ln>
          <a:solidFill>
            <a:sysClr val="window" lastClr="FFFFFF"/>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lgn="r">
              <a:defRPr sz="900" b="1" i="0">
                <a:latin typeface="Arial"/>
              </a:defRPr>
            </a:pPr>
            <a:r>
              <a:rPr lang="en-AU" sz="900" b="1" i="0">
                <a:latin typeface="Arial"/>
              </a:rPr>
              <a:t>Admitted to hospital</a:t>
            </a:r>
          </a:p>
        </c:rich>
      </c:tx>
      <c:layout>
        <c:manualLayout>
          <c:xMode val="edge"/>
          <c:yMode val="edge"/>
          <c:x val="0.41710888888888886"/>
          <c:y val="2.9006172839506173E-2"/>
        </c:manualLayout>
      </c:layout>
      <c:overlay val="0"/>
    </c:title>
    <c:autoTitleDeleted val="0"/>
    <c:plotArea>
      <c:layout>
        <c:manualLayout>
          <c:layoutTarget val="inner"/>
          <c:xMode val="edge"/>
          <c:yMode val="edge"/>
          <c:x val="9.7098148148148142E-2"/>
          <c:y val="0.13670138888888889"/>
          <c:w val="0.87703148148148147"/>
          <c:h val="0.7093477777777778"/>
        </c:manualLayout>
      </c:layout>
      <c:barChart>
        <c:barDir val="col"/>
        <c:grouping val="clustered"/>
        <c:varyColors val="0"/>
        <c:ser>
          <c:idx val="0"/>
          <c:order val="0"/>
          <c:tx>
            <c:strRef>
              <c:f>'Access health services'!$A$5</c:f>
              <c:strCache>
                <c:ptCount val="1"/>
                <c:pt idx="0">
                  <c:v>Excellent/very good/good</c:v>
                </c:pt>
              </c:strCache>
            </c:strRef>
          </c:tx>
          <c:spPr>
            <a:solidFill>
              <a:srgbClr val="265A9A"/>
            </a:solidFill>
            <a:ln>
              <a:solidFill>
                <a:srgbClr val="265A9A"/>
              </a:solidFill>
            </a:ln>
          </c:spPr>
          <c:invertIfNegative val="0"/>
          <c:errBars>
            <c:errBarType val="both"/>
            <c:errValType val="cust"/>
            <c:noEndCap val="0"/>
            <c:plus>
              <c:numRef>
                <c:f>'Access health services'!$C$8:$K$8</c:f>
                <c:numCache>
                  <c:formatCode>General</c:formatCode>
                  <c:ptCount val="9"/>
                  <c:pt idx="0">
                    <c:v>1.4</c:v>
                  </c:pt>
                  <c:pt idx="1">
                    <c:v>1.1000000000000001</c:v>
                  </c:pt>
                  <c:pt idx="2">
                    <c:v>1.5</c:v>
                  </c:pt>
                  <c:pt idx="3">
                    <c:v>1.6</c:v>
                  </c:pt>
                  <c:pt idx="4">
                    <c:v>1.7</c:v>
                  </c:pt>
                  <c:pt idx="5">
                    <c:v>1.9</c:v>
                  </c:pt>
                  <c:pt idx="6">
                    <c:v>1.9</c:v>
                  </c:pt>
                  <c:pt idx="7">
                    <c:v>3.8</c:v>
                  </c:pt>
                  <c:pt idx="8">
                    <c:v>0.7</c:v>
                  </c:pt>
                </c:numCache>
              </c:numRef>
            </c:plus>
            <c:minus>
              <c:numRef>
                <c:f>'Access health services'!$C$8:$K$8</c:f>
                <c:numCache>
                  <c:formatCode>General</c:formatCode>
                  <c:ptCount val="9"/>
                  <c:pt idx="0">
                    <c:v>1.4</c:v>
                  </c:pt>
                  <c:pt idx="1">
                    <c:v>1.1000000000000001</c:v>
                  </c:pt>
                  <c:pt idx="2">
                    <c:v>1.5</c:v>
                  </c:pt>
                  <c:pt idx="3">
                    <c:v>1.6</c:v>
                  </c:pt>
                  <c:pt idx="4">
                    <c:v>1.7</c:v>
                  </c:pt>
                  <c:pt idx="5">
                    <c:v>1.9</c:v>
                  </c:pt>
                  <c:pt idx="6">
                    <c:v>1.9</c:v>
                  </c:pt>
                  <c:pt idx="7">
                    <c:v>3.8</c:v>
                  </c:pt>
                  <c:pt idx="8">
                    <c:v>0.7</c:v>
                  </c:pt>
                </c:numCache>
              </c:numRef>
            </c:minus>
            <c:spPr>
              <a:ln>
                <a:solidFill>
                  <a:srgbClr val="BFBFBF"/>
                </a:solidFill>
              </a:ln>
            </c:spPr>
          </c:errBars>
          <c:cat>
            <c:strRef>
              <c:f>'Access health services'!$C$2:$K$2</c:f>
              <c:strCache>
                <c:ptCount val="9"/>
                <c:pt idx="0">
                  <c:v>NSW</c:v>
                </c:pt>
                <c:pt idx="1">
                  <c:v>Vic</c:v>
                </c:pt>
                <c:pt idx="2">
                  <c:v>Qld</c:v>
                </c:pt>
                <c:pt idx="3">
                  <c:v>WA</c:v>
                </c:pt>
                <c:pt idx="4">
                  <c:v>SA</c:v>
                </c:pt>
                <c:pt idx="5">
                  <c:v>Tas</c:v>
                </c:pt>
                <c:pt idx="6">
                  <c:v>ACT</c:v>
                </c:pt>
                <c:pt idx="7">
                  <c:v>NT</c:v>
                </c:pt>
                <c:pt idx="8">
                  <c:v>Aust</c:v>
                </c:pt>
              </c:strCache>
            </c:strRef>
          </c:cat>
          <c:val>
            <c:numRef>
              <c:f>'Access health services'!$C$5:$K$5</c:f>
              <c:numCache>
                <c:formatCode>###\ ###\ ##0.0;\-###\ ###\ ##0.0;"–"</c:formatCode>
                <c:ptCount val="9"/>
                <c:pt idx="0">
                  <c:v>10.4</c:v>
                </c:pt>
                <c:pt idx="1">
                  <c:v>9.5</c:v>
                </c:pt>
                <c:pt idx="2">
                  <c:v>11.1</c:v>
                </c:pt>
                <c:pt idx="3">
                  <c:v>9.6999999999999993</c:v>
                </c:pt>
                <c:pt idx="4">
                  <c:v>12.2</c:v>
                </c:pt>
                <c:pt idx="5">
                  <c:v>12.5</c:v>
                </c:pt>
                <c:pt idx="6">
                  <c:v>10.1</c:v>
                </c:pt>
                <c:pt idx="7">
                  <c:v>11.8</c:v>
                </c:pt>
                <c:pt idx="8">
                  <c:v>10.4</c:v>
                </c:pt>
              </c:numCache>
            </c:numRef>
          </c:val>
        </c:ser>
        <c:ser>
          <c:idx val="1"/>
          <c:order val="1"/>
          <c:tx>
            <c:strRef>
              <c:f>'Access health services'!$A$6</c:f>
              <c:strCache>
                <c:ptCount val="1"/>
                <c:pt idx="0">
                  <c:v>Fair/poor</c:v>
                </c:pt>
              </c:strCache>
            </c:strRef>
          </c:tx>
          <c:spPr>
            <a:solidFill>
              <a:srgbClr val="78A22F"/>
            </a:solidFill>
            <a:ln>
              <a:solidFill>
                <a:srgbClr val="78A22F"/>
              </a:solidFill>
            </a:ln>
          </c:spPr>
          <c:invertIfNegative val="0"/>
          <c:errBars>
            <c:errBarType val="both"/>
            <c:errValType val="cust"/>
            <c:noEndCap val="0"/>
            <c:plus>
              <c:numRef>
                <c:f>'Access health services'!$C$9:$K$9</c:f>
                <c:numCache>
                  <c:formatCode>General</c:formatCode>
                  <c:ptCount val="9"/>
                  <c:pt idx="0">
                    <c:v>6</c:v>
                  </c:pt>
                  <c:pt idx="1">
                    <c:v>5.4</c:v>
                  </c:pt>
                  <c:pt idx="2">
                    <c:v>5.6</c:v>
                  </c:pt>
                  <c:pt idx="3">
                    <c:v>6.6</c:v>
                  </c:pt>
                  <c:pt idx="4">
                    <c:v>6.3</c:v>
                  </c:pt>
                  <c:pt idx="5">
                    <c:v>10.6</c:v>
                  </c:pt>
                  <c:pt idx="6">
                    <c:v>5.8</c:v>
                  </c:pt>
                  <c:pt idx="7">
                    <c:v>12.1</c:v>
                  </c:pt>
                  <c:pt idx="8">
                    <c:v>2.7</c:v>
                  </c:pt>
                </c:numCache>
              </c:numRef>
            </c:plus>
            <c:minus>
              <c:numRef>
                <c:f>'Access health services'!$C$9:$K$9</c:f>
                <c:numCache>
                  <c:formatCode>General</c:formatCode>
                  <c:ptCount val="9"/>
                  <c:pt idx="0">
                    <c:v>6</c:v>
                  </c:pt>
                  <c:pt idx="1">
                    <c:v>5.4</c:v>
                  </c:pt>
                  <c:pt idx="2">
                    <c:v>5.6</c:v>
                  </c:pt>
                  <c:pt idx="3">
                    <c:v>6.6</c:v>
                  </c:pt>
                  <c:pt idx="4">
                    <c:v>6.3</c:v>
                  </c:pt>
                  <c:pt idx="5">
                    <c:v>10.6</c:v>
                  </c:pt>
                  <c:pt idx="6">
                    <c:v>5.8</c:v>
                  </c:pt>
                  <c:pt idx="7">
                    <c:v>12.1</c:v>
                  </c:pt>
                  <c:pt idx="8">
                    <c:v>2.7</c:v>
                  </c:pt>
                </c:numCache>
              </c:numRef>
            </c:minus>
            <c:spPr>
              <a:ln>
                <a:solidFill>
                  <a:srgbClr val="BFBFBF"/>
                </a:solidFill>
              </a:ln>
            </c:spPr>
          </c:errBars>
          <c:cat>
            <c:strRef>
              <c:f>'Access health services'!$C$2:$K$2</c:f>
              <c:strCache>
                <c:ptCount val="9"/>
                <c:pt idx="0">
                  <c:v>NSW</c:v>
                </c:pt>
                <c:pt idx="1">
                  <c:v>Vic</c:v>
                </c:pt>
                <c:pt idx="2">
                  <c:v>Qld</c:v>
                </c:pt>
                <c:pt idx="3">
                  <c:v>WA</c:v>
                </c:pt>
                <c:pt idx="4">
                  <c:v>SA</c:v>
                </c:pt>
                <c:pt idx="5">
                  <c:v>Tas</c:v>
                </c:pt>
                <c:pt idx="6">
                  <c:v>ACT</c:v>
                </c:pt>
                <c:pt idx="7">
                  <c:v>NT</c:v>
                </c:pt>
                <c:pt idx="8">
                  <c:v>Aust</c:v>
                </c:pt>
              </c:strCache>
            </c:strRef>
          </c:cat>
          <c:val>
            <c:numRef>
              <c:f>'Access health services'!$C$6:$K$6</c:f>
              <c:numCache>
                <c:formatCode>###\ ###\ ##0.0;\-###\ ###\ ##0.0;"–"</c:formatCode>
                <c:ptCount val="9"/>
                <c:pt idx="0">
                  <c:v>23.1</c:v>
                </c:pt>
                <c:pt idx="1">
                  <c:v>25.3</c:v>
                </c:pt>
                <c:pt idx="2">
                  <c:v>24.7</c:v>
                </c:pt>
                <c:pt idx="3">
                  <c:v>24.2</c:v>
                </c:pt>
                <c:pt idx="4">
                  <c:v>26.6</c:v>
                </c:pt>
                <c:pt idx="5">
                  <c:v>26.1</c:v>
                </c:pt>
                <c:pt idx="6">
                  <c:v>15.5</c:v>
                </c:pt>
                <c:pt idx="7">
                  <c:v>22.8</c:v>
                </c:pt>
                <c:pt idx="8">
                  <c:v>23.8</c:v>
                </c:pt>
              </c:numCache>
            </c:numRef>
          </c:val>
        </c:ser>
        <c:dLbls>
          <c:showLegendKey val="0"/>
          <c:showVal val="0"/>
          <c:showCatName val="0"/>
          <c:showSerName val="0"/>
          <c:showPercent val="0"/>
          <c:showBubbleSize val="0"/>
        </c:dLbls>
        <c:gapWidth val="150"/>
        <c:axId val="141033856"/>
        <c:axId val="141035392"/>
      </c:barChart>
      <c:catAx>
        <c:axId val="141033856"/>
        <c:scaling>
          <c:orientation val="minMax"/>
        </c:scaling>
        <c:delete val="0"/>
        <c:axPos val="b"/>
        <c:numFmt formatCode="General" sourceLinked="0"/>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141035392"/>
        <c:crosses val="autoZero"/>
        <c:auto val="1"/>
        <c:lblAlgn val="ctr"/>
        <c:lblOffset val="100"/>
        <c:noMultiLvlLbl val="0"/>
      </c:catAx>
      <c:valAx>
        <c:axId val="141035392"/>
        <c:scaling>
          <c:orientation val="minMax"/>
          <c:max val="60"/>
          <c:min val="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Per cent</a:t>
                </a:r>
              </a:p>
            </c:rich>
          </c:tx>
          <c:layout>
            <c:manualLayout>
              <c:xMode val="edge"/>
              <c:yMode val="edge"/>
              <c:x val="2.0439259259259258E-2"/>
              <c:y val="0.35055235042735045"/>
            </c:manualLayout>
          </c:layout>
          <c:overlay val="0"/>
        </c:title>
        <c:numFmt formatCode="General"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141033856"/>
        <c:crosses val="autoZero"/>
        <c:crossBetween val="between"/>
        <c:majorUnit val="15"/>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b="1" i="0">
                <a:latin typeface="Arial"/>
              </a:defRPr>
            </a:pPr>
            <a:r>
              <a:rPr lang="en-AU" sz="900" b="1" i="0">
                <a:latin typeface="Arial"/>
              </a:rPr>
              <a:t>Consulted a doctor</a:t>
            </a:r>
          </a:p>
        </c:rich>
      </c:tx>
      <c:layout/>
      <c:overlay val="0"/>
    </c:title>
    <c:autoTitleDeleted val="0"/>
    <c:plotArea>
      <c:layout>
        <c:manualLayout>
          <c:layoutTarget val="inner"/>
          <c:xMode val="edge"/>
          <c:yMode val="edge"/>
          <c:x val="9.239444444444446E-2"/>
          <c:y val="0.15081303418803418"/>
          <c:w val="0.87467962962962964"/>
          <c:h val="0.70229222222222221"/>
        </c:manualLayout>
      </c:layout>
      <c:barChart>
        <c:barDir val="col"/>
        <c:grouping val="clustered"/>
        <c:varyColors val="0"/>
        <c:ser>
          <c:idx val="0"/>
          <c:order val="0"/>
          <c:tx>
            <c:strRef>
              <c:f>'Access health services'!$A$13</c:f>
              <c:strCache>
                <c:ptCount val="1"/>
                <c:pt idx="0">
                  <c:v>Excellent/very good/good</c:v>
                </c:pt>
              </c:strCache>
            </c:strRef>
          </c:tx>
          <c:spPr>
            <a:solidFill>
              <a:srgbClr val="265A9A"/>
            </a:solidFill>
            <a:ln>
              <a:solidFill>
                <a:srgbClr val="265A9A"/>
              </a:solidFill>
            </a:ln>
          </c:spPr>
          <c:invertIfNegative val="0"/>
          <c:errBars>
            <c:errBarType val="both"/>
            <c:errValType val="cust"/>
            <c:noEndCap val="0"/>
            <c:plus>
              <c:numRef>
                <c:f>'Access health services'!$C$16:$K$16</c:f>
                <c:numCache>
                  <c:formatCode>General</c:formatCode>
                  <c:ptCount val="9"/>
                  <c:pt idx="0">
                    <c:v>1.5</c:v>
                  </c:pt>
                  <c:pt idx="1">
                    <c:v>1.7</c:v>
                  </c:pt>
                  <c:pt idx="2">
                    <c:v>1.4</c:v>
                  </c:pt>
                  <c:pt idx="3">
                    <c:v>1.7</c:v>
                  </c:pt>
                  <c:pt idx="4">
                    <c:v>1.4</c:v>
                  </c:pt>
                  <c:pt idx="5">
                    <c:v>2.2000000000000002</c:v>
                  </c:pt>
                  <c:pt idx="6">
                    <c:v>2</c:v>
                  </c:pt>
                  <c:pt idx="7">
                    <c:v>3</c:v>
                  </c:pt>
                  <c:pt idx="8">
                    <c:v>0.8</c:v>
                  </c:pt>
                </c:numCache>
              </c:numRef>
            </c:plus>
            <c:minus>
              <c:numRef>
                <c:f>'Access health services'!$C$16:$K$16</c:f>
                <c:numCache>
                  <c:formatCode>General</c:formatCode>
                  <c:ptCount val="9"/>
                  <c:pt idx="0">
                    <c:v>1.5</c:v>
                  </c:pt>
                  <c:pt idx="1">
                    <c:v>1.7</c:v>
                  </c:pt>
                  <c:pt idx="2">
                    <c:v>1.4</c:v>
                  </c:pt>
                  <c:pt idx="3">
                    <c:v>1.7</c:v>
                  </c:pt>
                  <c:pt idx="4">
                    <c:v>1.4</c:v>
                  </c:pt>
                  <c:pt idx="5">
                    <c:v>2.2000000000000002</c:v>
                  </c:pt>
                  <c:pt idx="6">
                    <c:v>2</c:v>
                  </c:pt>
                  <c:pt idx="7">
                    <c:v>3</c:v>
                  </c:pt>
                  <c:pt idx="8">
                    <c:v>0.8</c:v>
                  </c:pt>
                </c:numCache>
              </c:numRef>
            </c:minus>
            <c:spPr>
              <a:ln>
                <a:solidFill>
                  <a:srgbClr val="BFBFBF"/>
                </a:solidFill>
              </a:ln>
            </c:spPr>
          </c:errBars>
          <c:cat>
            <c:strRef>
              <c:f>'Access health services'!$C$2:$K$2</c:f>
              <c:strCache>
                <c:ptCount val="9"/>
                <c:pt idx="0">
                  <c:v>NSW</c:v>
                </c:pt>
                <c:pt idx="1">
                  <c:v>Vic</c:v>
                </c:pt>
                <c:pt idx="2">
                  <c:v>Qld</c:v>
                </c:pt>
                <c:pt idx="3">
                  <c:v>WA</c:v>
                </c:pt>
                <c:pt idx="4">
                  <c:v>SA</c:v>
                </c:pt>
                <c:pt idx="5">
                  <c:v>Tas</c:v>
                </c:pt>
                <c:pt idx="6">
                  <c:v>ACT</c:v>
                </c:pt>
                <c:pt idx="7">
                  <c:v>NT</c:v>
                </c:pt>
                <c:pt idx="8">
                  <c:v>Aust</c:v>
                </c:pt>
              </c:strCache>
            </c:strRef>
          </c:cat>
          <c:val>
            <c:numRef>
              <c:f>'Access health services'!$C$13:$K$13</c:f>
              <c:numCache>
                <c:formatCode>###\ ###\ ##0.0;\-###\ ###\ ##0.0;"–"</c:formatCode>
                <c:ptCount val="9"/>
                <c:pt idx="0">
                  <c:v>85.5</c:v>
                </c:pt>
                <c:pt idx="1">
                  <c:v>86.5</c:v>
                </c:pt>
                <c:pt idx="2">
                  <c:v>84.7</c:v>
                </c:pt>
                <c:pt idx="3">
                  <c:v>83.6</c:v>
                </c:pt>
                <c:pt idx="4">
                  <c:v>87.4</c:v>
                </c:pt>
                <c:pt idx="5">
                  <c:v>85.1</c:v>
                </c:pt>
                <c:pt idx="6">
                  <c:v>86.6</c:v>
                </c:pt>
                <c:pt idx="7">
                  <c:v>81.2</c:v>
                </c:pt>
                <c:pt idx="8">
                  <c:v>85.5</c:v>
                </c:pt>
              </c:numCache>
            </c:numRef>
          </c:val>
        </c:ser>
        <c:ser>
          <c:idx val="1"/>
          <c:order val="1"/>
          <c:tx>
            <c:strRef>
              <c:f>'Access health services'!$A$14</c:f>
              <c:strCache>
                <c:ptCount val="1"/>
                <c:pt idx="0">
                  <c:v>Fair/poor</c:v>
                </c:pt>
              </c:strCache>
            </c:strRef>
          </c:tx>
          <c:spPr>
            <a:solidFill>
              <a:srgbClr val="78A22F"/>
            </a:solidFill>
            <a:ln>
              <a:solidFill>
                <a:srgbClr val="78A22F"/>
              </a:solidFill>
            </a:ln>
          </c:spPr>
          <c:invertIfNegative val="0"/>
          <c:errBars>
            <c:errBarType val="both"/>
            <c:errValType val="cust"/>
            <c:noEndCap val="0"/>
            <c:plus>
              <c:numRef>
                <c:f>'Access health services'!$C$17:$K$17</c:f>
                <c:numCache>
                  <c:formatCode>General</c:formatCode>
                  <c:ptCount val="9"/>
                  <c:pt idx="0">
                    <c:v>4.8</c:v>
                  </c:pt>
                  <c:pt idx="1">
                    <c:v>1.5</c:v>
                  </c:pt>
                  <c:pt idx="2">
                    <c:v>5</c:v>
                  </c:pt>
                  <c:pt idx="3">
                    <c:v>5.0999999999999996</c:v>
                  </c:pt>
                  <c:pt idx="4">
                    <c:v>3.3</c:v>
                  </c:pt>
                  <c:pt idx="5">
                    <c:v>4.2</c:v>
                  </c:pt>
                  <c:pt idx="6">
                    <c:v>4.7</c:v>
                  </c:pt>
                  <c:pt idx="7">
                    <c:v>5.9</c:v>
                  </c:pt>
                  <c:pt idx="8">
                    <c:v>2.1</c:v>
                  </c:pt>
                </c:numCache>
              </c:numRef>
            </c:plus>
            <c:minus>
              <c:numRef>
                <c:f>'Access health services'!$C$17:$K$17</c:f>
                <c:numCache>
                  <c:formatCode>General</c:formatCode>
                  <c:ptCount val="9"/>
                  <c:pt idx="0">
                    <c:v>4.8</c:v>
                  </c:pt>
                  <c:pt idx="1">
                    <c:v>1.5</c:v>
                  </c:pt>
                  <c:pt idx="2">
                    <c:v>5</c:v>
                  </c:pt>
                  <c:pt idx="3">
                    <c:v>5.0999999999999996</c:v>
                  </c:pt>
                  <c:pt idx="4">
                    <c:v>3.3</c:v>
                  </c:pt>
                  <c:pt idx="5">
                    <c:v>4.2</c:v>
                  </c:pt>
                  <c:pt idx="6">
                    <c:v>4.7</c:v>
                  </c:pt>
                  <c:pt idx="7">
                    <c:v>5.9</c:v>
                  </c:pt>
                  <c:pt idx="8">
                    <c:v>2.1</c:v>
                  </c:pt>
                </c:numCache>
              </c:numRef>
            </c:minus>
            <c:spPr>
              <a:ln>
                <a:solidFill>
                  <a:srgbClr val="BFBFBF"/>
                </a:solidFill>
              </a:ln>
            </c:spPr>
          </c:errBars>
          <c:cat>
            <c:strRef>
              <c:f>'Access health services'!$C$2:$K$2</c:f>
              <c:strCache>
                <c:ptCount val="9"/>
                <c:pt idx="0">
                  <c:v>NSW</c:v>
                </c:pt>
                <c:pt idx="1">
                  <c:v>Vic</c:v>
                </c:pt>
                <c:pt idx="2">
                  <c:v>Qld</c:v>
                </c:pt>
                <c:pt idx="3">
                  <c:v>WA</c:v>
                </c:pt>
                <c:pt idx="4">
                  <c:v>SA</c:v>
                </c:pt>
                <c:pt idx="5">
                  <c:v>Tas</c:v>
                </c:pt>
                <c:pt idx="6">
                  <c:v>ACT</c:v>
                </c:pt>
                <c:pt idx="7">
                  <c:v>NT</c:v>
                </c:pt>
                <c:pt idx="8">
                  <c:v>Aust</c:v>
                </c:pt>
              </c:strCache>
            </c:strRef>
          </c:cat>
          <c:val>
            <c:numRef>
              <c:f>'Access health services'!$C$14:$K$14</c:f>
              <c:numCache>
                <c:formatCode>###\ ###\ ##0.0;\-###\ ###\ ##0.0;"–"</c:formatCode>
                <c:ptCount val="9"/>
                <c:pt idx="0">
                  <c:v>93.4</c:v>
                </c:pt>
                <c:pt idx="1">
                  <c:v>90.3</c:v>
                </c:pt>
                <c:pt idx="2">
                  <c:v>92.9</c:v>
                </c:pt>
                <c:pt idx="3">
                  <c:v>93.8</c:v>
                </c:pt>
                <c:pt idx="4">
                  <c:v>93.5</c:v>
                </c:pt>
                <c:pt idx="5">
                  <c:v>96.3</c:v>
                </c:pt>
                <c:pt idx="6">
                  <c:v>94</c:v>
                </c:pt>
                <c:pt idx="7">
                  <c:v>91.6</c:v>
                </c:pt>
                <c:pt idx="8">
                  <c:v>93.1</c:v>
                </c:pt>
              </c:numCache>
            </c:numRef>
          </c:val>
        </c:ser>
        <c:dLbls>
          <c:showLegendKey val="0"/>
          <c:showVal val="0"/>
          <c:showCatName val="0"/>
          <c:showSerName val="0"/>
          <c:showPercent val="0"/>
          <c:showBubbleSize val="0"/>
        </c:dLbls>
        <c:gapWidth val="150"/>
        <c:axId val="141058432"/>
        <c:axId val="141059968"/>
      </c:barChart>
      <c:catAx>
        <c:axId val="141058432"/>
        <c:scaling>
          <c:orientation val="minMax"/>
        </c:scaling>
        <c:delete val="0"/>
        <c:axPos val="b"/>
        <c:numFmt formatCode="General" sourceLinked="0"/>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141059968"/>
        <c:crosses val="autoZero"/>
        <c:auto val="1"/>
        <c:lblAlgn val="ctr"/>
        <c:lblOffset val="100"/>
        <c:noMultiLvlLbl val="0"/>
      </c:catAx>
      <c:valAx>
        <c:axId val="141059968"/>
        <c:scaling>
          <c:orientation val="minMax"/>
          <c:max val="100"/>
          <c:min val="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b="1" i="0" baseline="0">
                    <a:effectLst/>
                    <a:latin typeface="arial"/>
                    <a:ea typeface="arial"/>
                    <a:cs typeface="arial"/>
                  </a:defRPr>
                </a:pPr>
                <a:r>
                  <a:rPr lang="en-AU"/>
                  <a:t>Per cent</a:t>
                </a:r>
              </a:p>
            </c:rich>
          </c:tx>
          <c:layout>
            <c:manualLayout>
              <c:xMode val="edge"/>
              <c:yMode val="edge"/>
              <c:x val="1.3383703703703701E-2"/>
              <c:y val="0.34078365384615383"/>
            </c:manualLayout>
          </c:layout>
          <c:overlay val="0"/>
        </c:title>
        <c:numFmt formatCode="General"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141058432"/>
        <c:crosses val="autoZero"/>
        <c:crossBetween val="between"/>
        <c:majorUnit val="2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ExpendPerPerson!$A$41</c:f>
              <c:strCache>
                <c:ptCount val="1"/>
                <c:pt idx="0">
                  <c:v>Government</c:v>
                </c:pt>
              </c:strCache>
            </c:strRef>
          </c:tx>
          <c:spPr>
            <a:solidFill>
              <a:srgbClr val="265A9A"/>
            </a:solidFill>
            <a:ln>
              <a:solidFill>
                <a:srgbClr val="265A9A"/>
              </a:solidFill>
            </a:ln>
          </c:spPr>
          <c:invertIfNegative val="0"/>
          <c:cat>
            <c:strRef>
              <c:f>ExpendPerPerson!$D$40:$L$40</c:f>
              <c:strCache>
                <c:ptCount val="9"/>
                <c:pt idx="0">
                  <c:v>NSW</c:v>
                </c:pt>
                <c:pt idx="1">
                  <c:v>Vic</c:v>
                </c:pt>
                <c:pt idx="2">
                  <c:v>Qld</c:v>
                </c:pt>
                <c:pt idx="3">
                  <c:v>WA</c:v>
                </c:pt>
                <c:pt idx="4">
                  <c:v>SA</c:v>
                </c:pt>
                <c:pt idx="5">
                  <c:v>Tas</c:v>
                </c:pt>
                <c:pt idx="6">
                  <c:v>ACT</c:v>
                </c:pt>
                <c:pt idx="7">
                  <c:v>NT</c:v>
                </c:pt>
                <c:pt idx="8">
                  <c:v>Aust</c:v>
                </c:pt>
              </c:strCache>
            </c:strRef>
          </c:cat>
          <c:val>
            <c:numRef>
              <c:f>ExpendPerPerson!$D$41:$L$41</c:f>
              <c:numCache>
                <c:formatCode>###\ ###\ ##0;\-###\ ###\ ##0;"–"</c:formatCode>
                <c:ptCount val="9"/>
                <c:pt idx="0">
                  <c:v>4313.6814275999996</c:v>
                </c:pt>
                <c:pt idx="1">
                  <c:v>4047.5624256999999</c:v>
                </c:pt>
                <c:pt idx="2">
                  <c:v>4591.7035164999998</c:v>
                </c:pt>
                <c:pt idx="3">
                  <c:v>4406.9179946000004</c:v>
                </c:pt>
                <c:pt idx="4">
                  <c:v>4802.6004727999998</c:v>
                </c:pt>
                <c:pt idx="5">
                  <c:v>4355.3398058000002</c:v>
                </c:pt>
                <c:pt idx="6">
                  <c:v>5582.4742268</c:v>
                </c:pt>
                <c:pt idx="7">
                  <c:v>6967.0781893000003</c:v>
                </c:pt>
                <c:pt idx="8">
                  <c:v>4397.653636</c:v>
                </c:pt>
              </c:numCache>
            </c:numRef>
          </c:val>
        </c:ser>
        <c:ser>
          <c:idx val="1"/>
          <c:order val="1"/>
          <c:tx>
            <c:strRef>
              <c:f>ExpendPerPerson!$A$42</c:f>
              <c:strCache>
                <c:ptCount val="1"/>
                <c:pt idx="0">
                  <c:v>Non-government</c:v>
                </c:pt>
              </c:strCache>
            </c:strRef>
          </c:tx>
          <c:spPr>
            <a:solidFill>
              <a:srgbClr val="78A22F"/>
            </a:solidFill>
            <a:ln>
              <a:solidFill>
                <a:srgbClr val="78A22F"/>
              </a:solidFill>
            </a:ln>
          </c:spPr>
          <c:invertIfNegative val="0"/>
          <c:cat>
            <c:strRef>
              <c:f>ExpendPerPerson!$D$40:$L$40</c:f>
              <c:strCache>
                <c:ptCount val="9"/>
                <c:pt idx="0">
                  <c:v>NSW</c:v>
                </c:pt>
                <c:pt idx="1">
                  <c:v>Vic</c:v>
                </c:pt>
                <c:pt idx="2">
                  <c:v>Qld</c:v>
                </c:pt>
                <c:pt idx="3">
                  <c:v>WA</c:v>
                </c:pt>
                <c:pt idx="4">
                  <c:v>SA</c:v>
                </c:pt>
                <c:pt idx="5">
                  <c:v>Tas</c:v>
                </c:pt>
                <c:pt idx="6">
                  <c:v>ACT</c:v>
                </c:pt>
                <c:pt idx="7">
                  <c:v>NT</c:v>
                </c:pt>
                <c:pt idx="8">
                  <c:v>Aust</c:v>
                </c:pt>
              </c:strCache>
            </c:strRef>
          </c:cat>
          <c:val>
            <c:numRef>
              <c:f>ExpendPerPerson!$D$42:$L$42</c:f>
              <c:numCache>
                <c:formatCode>###\ ###\ ##0;\-###\ ###\ ##0;"–"</c:formatCode>
                <c:ptCount val="9"/>
                <c:pt idx="0">
                  <c:v>2037.1447455</c:v>
                </c:pt>
                <c:pt idx="1">
                  <c:v>2230.1681671000001</c:v>
                </c:pt>
                <c:pt idx="2">
                  <c:v>1903.9797851999999</c:v>
                </c:pt>
                <c:pt idx="3">
                  <c:v>2112.7089000999999</c:v>
                </c:pt>
                <c:pt idx="4">
                  <c:v>1875.2955082999999</c:v>
                </c:pt>
                <c:pt idx="5">
                  <c:v>2038.8349515</c:v>
                </c:pt>
                <c:pt idx="6">
                  <c:v>1682.9896907</c:v>
                </c:pt>
                <c:pt idx="7">
                  <c:v>1390.9465021000001</c:v>
                </c:pt>
                <c:pt idx="8">
                  <c:v>2042.7766719000001</c:v>
                </c:pt>
              </c:numCache>
            </c:numRef>
          </c:val>
        </c:ser>
        <c:dLbls>
          <c:showLegendKey val="0"/>
          <c:showVal val="0"/>
          <c:showCatName val="0"/>
          <c:showSerName val="0"/>
          <c:showPercent val="0"/>
          <c:showBubbleSize val="0"/>
        </c:dLbls>
        <c:gapWidth val="150"/>
        <c:axId val="148343808"/>
        <c:axId val="148370560"/>
      </c:barChart>
      <c:catAx>
        <c:axId val="148343808"/>
        <c:scaling>
          <c:orientation val="minMax"/>
        </c:scaling>
        <c:delete val="0"/>
        <c:axPos val="b"/>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148370560"/>
        <c:crosses val="autoZero"/>
        <c:auto val="1"/>
        <c:lblAlgn val="ctr"/>
        <c:lblOffset val="100"/>
        <c:noMultiLvlLbl val="0"/>
      </c:catAx>
      <c:valAx>
        <c:axId val="148370560"/>
        <c:scaling>
          <c:orientation val="minMax"/>
          <c:max val="7000"/>
          <c:min val="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$/person</a:t>
                </a:r>
              </a:p>
            </c:rich>
          </c:tx>
          <c:layout>
            <c:manualLayout>
              <c:xMode val="edge"/>
              <c:yMode val="edge"/>
              <c:x val="1.4111111111111111E-2"/>
              <c:y val="0.26847296296296297"/>
            </c:manualLayout>
          </c:layout>
          <c:overlay val="0"/>
        </c:title>
        <c:numFmt formatCode="###\ ###\ ##0;\-###\ ###\ ##0;&quot;0&quot;"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148343808"/>
        <c:crosses val="autoZero"/>
        <c:crossBetween val="between"/>
        <c:majorUnit val="100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layout/>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b="1" i="0">
                <a:latin typeface="Arial"/>
              </a:defRPr>
            </a:pPr>
            <a:r>
              <a:rPr lang="en-AU" sz="900" b="1" i="0">
                <a:latin typeface="Arial"/>
              </a:rPr>
              <a:t>Consulted other</a:t>
            </a:r>
            <a:r>
              <a:rPr lang="en-AU" sz="900" b="1" i="0" baseline="0">
                <a:latin typeface="Arial"/>
              </a:rPr>
              <a:t> health professionals</a:t>
            </a:r>
            <a:endParaRPr lang="en-AU" sz="900" b="1" i="0">
              <a:latin typeface="Arial"/>
            </a:endParaRPr>
          </a:p>
        </c:rich>
      </c:tx>
      <c:layout/>
      <c:overlay val="0"/>
    </c:title>
    <c:autoTitleDeleted val="0"/>
    <c:plotArea>
      <c:layout>
        <c:manualLayout>
          <c:layoutTarget val="inner"/>
          <c:xMode val="edge"/>
          <c:yMode val="edge"/>
          <c:x val="9.239444444444446E-2"/>
          <c:y val="0.15081277777777777"/>
          <c:w val="0.88173518518518523"/>
          <c:h val="0.70229222222222221"/>
        </c:manualLayout>
      </c:layout>
      <c:barChart>
        <c:barDir val="col"/>
        <c:grouping val="clustered"/>
        <c:varyColors val="0"/>
        <c:ser>
          <c:idx val="0"/>
          <c:order val="0"/>
          <c:tx>
            <c:strRef>
              <c:f>'Access health services'!$A$21</c:f>
              <c:strCache>
                <c:ptCount val="1"/>
                <c:pt idx="0">
                  <c:v>Excellent/very good/good</c:v>
                </c:pt>
              </c:strCache>
            </c:strRef>
          </c:tx>
          <c:spPr>
            <a:solidFill>
              <a:srgbClr val="265A9A"/>
            </a:solidFill>
            <a:ln>
              <a:solidFill>
                <a:srgbClr val="265A9A"/>
              </a:solidFill>
            </a:ln>
          </c:spPr>
          <c:invertIfNegative val="0"/>
          <c:errBars>
            <c:errBarType val="both"/>
            <c:errValType val="cust"/>
            <c:noEndCap val="0"/>
            <c:plus>
              <c:numRef>
                <c:f>'Access health services'!$C$24:$K$24</c:f>
                <c:numCache>
                  <c:formatCode>General</c:formatCode>
                  <c:ptCount val="9"/>
                  <c:pt idx="0">
                    <c:v>2.1</c:v>
                  </c:pt>
                  <c:pt idx="1">
                    <c:v>2.7</c:v>
                  </c:pt>
                  <c:pt idx="2">
                    <c:v>1.6</c:v>
                  </c:pt>
                  <c:pt idx="3">
                    <c:v>2.7</c:v>
                  </c:pt>
                  <c:pt idx="4">
                    <c:v>2.4</c:v>
                  </c:pt>
                  <c:pt idx="5">
                    <c:v>2.8</c:v>
                  </c:pt>
                  <c:pt idx="6">
                    <c:v>3</c:v>
                  </c:pt>
                  <c:pt idx="7">
                    <c:v>3.7</c:v>
                  </c:pt>
                  <c:pt idx="8">
                    <c:v>1.1000000000000001</c:v>
                  </c:pt>
                </c:numCache>
              </c:numRef>
            </c:plus>
            <c:minus>
              <c:numRef>
                <c:f>'Access health services'!$C$24:$K$24</c:f>
                <c:numCache>
                  <c:formatCode>General</c:formatCode>
                  <c:ptCount val="9"/>
                  <c:pt idx="0">
                    <c:v>2.1</c:v>
                  </c:pt>
                  <c:pt idx="1">
                    <c:v>2.7</c:v>
                  </c:pt>
                  <c:pt idx="2">
                    <c:v>1.6</c:v>
                  </c:pt>
                  <c:pt idx="3">
                    <c:v>2.7</c:v>
                  </c:pt>
                  <c:pt idx="4">
                    <c:v>2.4</c:v>
                  </c:pt>
                  <c:pt idx="5">
                    <c:v>2.8</c:v>
                  </c:pt>
                  <c:pt idx="6">
                    <c:v>3</c:v>
                  </c:pt>
                  <c:pt idx="7">
                    <c:v>3.7</c:v>
                  </c:pt>
                  <c:pt idx="8">
                    <c:v>1.1000000000000001</c:v>
                  </c:pt>
                </c:numCache>
              </c:numRef>
            </c:minus>
            <c:spPr>
              <a:ln>
                <a:solidFill>
                  <a:srgbClr val="BFBFBF"/>
                </a:solidFill>
              </a:ln>
            </c:spPr>
          </c:errBars>
          <c:cat>
            <c:strRef>
              <c:f>'Access health services'!$C$2:$K$2</c:f>
              <c:strCache>
                <c:ptCount val="9"/>
                <c:pt idx="0">
                  <c:v>NSW</c:v>
                </c:pt>
                <c:pt idx="1">
                  <c:v>Vic</c:v>
                </c:pt>
                <c:pt idx="2">
                  <c:v>Qld</c:v>
                </c:pt>
                <c:pt idx="3">
                  <c:v>WA</c:v>
                </c:pt>
                <c:pt idx="4">
                  <c:v>SA</c:v>
                </c:pt>
                <c:pt idx="5">
                  <c:v>Tas</c:v>
                </c:pt>
                <c:pt idx="6">
                  <c:v>ACT</c:v>
                </c:pt>
                <c:pt idx="7">
                  <c:v>NT</c:v>
                </c:pt>
                <c:pt idx="8">
                  <c:v>Aust</c:v>
                </c:pt>
              </c:strCache>
            </c:strRef>
          </c:cat>
          <c:val>
            <c:numRef>
              <c:f>'Access health services'!$C$21:$K$21</c:f>
              <c:numCache>
                <c:formatCode>###\ ###\ ##0.0;\-###\ ###\ ##0.0;"–"</c:formatCode>
                <c:ptCount val="9"/>
                <c:pt idx="0">
                  <c:v>26.3</c:v>
                </c:pt>
                <c:pt idx="1">
                  <c:v>28.4</c:v>
                </c:pt>
                <c:pt idx="2">
                  <c:v>27.4</c:v>
                </c:pt>
                <c:pt idx="3">
                  <c:v>26.5</c:v>
                </c:pt>
                <c:pt idx="4">
                  <c:v>25.6</c:v>
                </c:pt>
                <c:pt idx="5">
                  <c:v>30.3</c:v>
                </c:pt>
                <c:pt idx="6">
                  <c:v>33.1</c:v>
                </c:pt>
                <c:pt idx="7">
                  <c:v>22.1</c:v>
                </c:pt>
                <c:pt idx="8">
                  <c:v>27.1</c:v>
                </c:pt>
              </c:numCache>
            </c:numRef>
          </c:val>
        </c:ser>
        <c:ser>
          <c:idx val="1"/>
          <c:order val="1"/>
          <c:tx>
            <c:strRef>
              <c:f>'Access health services'!$A$22</c:f>
              <c:strCache>
                <c:ptCount val="1"/>
                <c:pt idx="0">
                  <c:v>Fair/poor</c:v>
                </c:pt>
              </c:strCache>
            </c:strRef>
          </c:tx>
          <c:spPr>
            <a:solidFill>
              <a:srgbClr val="78A22F"/>
            </a:solidFill>
            <a:ln>
              <a:solidFill>
                <a:srgbClr val="78A22F"/>
              </a:solidFill>
            </a:ln>
          </c:spPr>
          <c:invertIfNegative val="0"/>
          <c:errBars>
            <c:errBarType val="both"/>
            <c:errValType val="cust"/>
            <c:noEndCap val="0"/>
            <c:plus>
              <c:numRef>
                <c:f>'Access health services'!$C$25:$K$25</c:f>
                <c:numCache>
                  <c:formatCode>General</c:formatCode>
                  <c:ptCount val="9"/>
                  <c:pt idx="0">
                    <c:v>7.2</c:v>
                  </c:pt>
                  <c:pt idx="1">
                    <c:v>5.7</c:v>
                  </c:pt>
                  <c:pt idx="2">
                    <c:v>6.9</c:v>
                  </c:pt>
                  <c:pt idx="3">
                    <c:v>8.4</c:v>
                  </c:pt>
                  <c:pt idx="4">
                    <c:v>7.1</c:v>
                  </c:pt>
                  <c:pt idx="5">
                    <c:v>10.4</c:v>
                  </c:pt>
                  <c:pt idx="6">
                    <c:v>5.2</c:v>
                  </c:pt>
                  <c:pt idx="7">
                    <c:v>13</c:v>
                  </c:pt>
                  <c:pt idx="8">
                    <c:v>3</c:v>
                  </c:pt>
                </c:numCache>
              </c:numRef>
            </c:plus>
            <c:minus>
              <c:numRef>
                <c:f>'Access health services'!$C$25:$K$25</c:f>
                <c:numCache>
                  <c:formatCode>General</c:formatCode>
                  <c:ptCount val="9"/>
                  <c:pt idx="0">
                    <c:v>7.2</c:v>
                  </c:pt>
                  <c:pt idx="1">
                    <c:v>5.7</c:v>
                  </c:pt>
                  <c:pt idx="2">
                    <c:v>6.9</c:v>
                  </c:pt>
                  <c:pt idx="3">
                    <c:v>8.4</c:v>
                  </c:pt>
                  <c:pt idx="4">
                    <c:v>7.1</c:v>
                  </c:pt>
                  <c:pt idx="5">
                    <c:v>10.4</c:v>
                  </c:pt>
                  <c:pt idx="6">
                    <c:v>5.2</c:v>
                  </c:pt>
                  <c:pt idx="7">
                    <c:v>13</c:v>
                  </c:pt>
                  <c:pt idx="8">
                    <c:v>3</c:v>
                  </c:pt>
                </c:numCache>
              </c:numRef>
            </c:minus>
            <c:spPr>
              <a:ln>
                <a:solidFill>
                  <a:srgbClr val="BFBFBF"/>
                </a:solidFill>
              </a:ln>
            </c:spPr>
          </c:errBars>
          <c:cat>
            <c:strRef>
              <c:f>'Access health services'!$C$2:$K$2</c:f>
              <c:strCache>
                <c:ptCount val="9"/>
                <c:pt idx="0">
                  <c:v>NSW</c:v>
                </c:pt>
                <c:pt idx="1">
                  <c:v>Vic</c:v>
                </c:pt>
                <c:pt idx="2">
                  <c:v>Qld</c:v>
                </c:pt>
                <c:pt idx="3">
                  <c:v>WA</c:v>
                </c:pt>
                <c:pt idx="4">
                  <c:v>SA</c:v>
                </c:pt>
                <c:pt idx="5">
                  <c:v>Tas</c:v>
                </c:pt>
                <c:pt idx="6">
                  <c:v>ACT</c:v>
                </c:pt>
                <c:pt idx="7">
                  <c:v>NT</c:v>
                </c:pt>
                <c:pt idx="8">
                  <c:v>Aust</c:v>
                </c:pt>
              </c:strCache>
            </c:strRef>
          </c:cat>
          <c:val>
            <c:numRef>
              <c:f>'Access health services'!$C$22:$K$22</c:f>
              <c:numCache>
                <c:formatCode>###\ ###\ ##0.0;\-###\ ###\ ##0.0;"–"</c:formatCode>
                <c:ptCount val="9"/>
                <c:pt idx="0">
                  <c:v>43.8</c:v>
                </c:pt>
                <c:pt idx="1">
                  <c:v>48.1</c:v>
                </c:pt>
                <c:pt idx="2">
                  <c:v>50</c:v>
                </c:pt>
                <c:pt idx="3">
                  <c:v>44.8</c:v>
                </c:pt>
                <c:pt idx="4">
                  <c:v>37.9</c:v>
                </c:pt>
                <c:pt idx="5">
                  <c:v>52.4</c:v>
                </c:pt>
                <c:pt idx="6">
                  <c:v>46.4</c:v>
                </c:pt>
                <c:pt idx="7">
                  <c:v>43.5</c:v>
                </c:pt>
                <c:pt idx="8">
                  <c:v>45.6</c:v>
                </c:pt>
              </c:numCache>
            </c:numRef>
          </c:val>
        </c:ser>
        <c:dLbls>
          <c:showLegendKey val="0"/>
          <c:showVal val="0"/>
          <c:showCatName val="0"/>
          <c:showSerName val="0"/>
          <c:showPercent val="0"/>
          <c:showBubbleSize val="0"/>
        </c:dLbls>
        <c:gapWidth val="150"/>
        <c:axId val="141082624"/>
        <c:axId val="141084160"/>
      </c:barChart>
      <c:catAx>
        <c:axId val="141082624"/>
        <c:scaling>
          <c:orientation val="minMax"/>
        </c:scaling>
        <c:delete val="0"/>
        <c:axPos val="b"/>
        <c:numFmt formatCode="General" sourceLinked="0"/>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141084160"/>
        <c:crosses val="autoZero"/>
        <c:auto val="1"/>
        <c:lblAlgn val="ctr"/>
        <c:lblOffset val="100"/>
        <c:noMultiLvlLbl val="0"/>
      </c:catAx>
      <c:valAx>
        <c:axId val="141084160"/>
        <c:scaling>
          <c:orientation val="minMax"/>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b="1" i="0" baseline="0">
                    <a:effectLst/>
                    <a:latin typeface="arial"/>
                    <a:ea typeface="arial"/>
                    <a:cs typeface="arial"/>
                  </a:defRPr>
                </a:pPr>
                <a:r>
                  <a:rPr lang="en-AU"/>
                  <a:t>Per cent</a:t>
                </a:r>
              </a:p>
            </c:rich>
          </c:tx>
          <c:layout>
            <c:manualLayout>
              <c:xMode val="edge"/>
              <c:yMode val="edge"/>
              <c:x val="1.5735555555555551E-2"/>
              <c:y val="0.35435202991452991"/>
            </c:manualLayout>
          </c:layout>
          <c:overlay val="0"/>
        </c:title>
        <c:numFmt formatCode="General"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141082624"/>
        <c:crosses val="autoZero"/>
        <c:crossBetween val="between"/>
        <c:majorUnit val="15"/>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BirthWeight!$C$4</c:f>
              <c:strCache>
                <c:ptCount val="1"/>
                <c:pt idx="0">
                  <c:v>Aboriginal and Torres Strait Islander mothers</c:v>
                </c:pt>
              </c:strCache>
            </c:strRef>
          </c:tx>
          <c:spPr>
            <a:solidFill>
              <a:srgbClr val="265A9A"/>
            </a:solidFill>
            <a:ln>
              <a:solidFill>
                <a:srgbClr val="265A9A"/>
              </a:solidFill>
            </a:ln>
          </c:spPr>
          <c:invertIfNegative val="0"/>
          <c:cat>
            <c:strRef>
              <c:f>BirthWeight!$E$2:$M$2</c:f>
              <c:strCache>
                <c:ptCount val="9"/>
                <c:pt idx="0">
                  <c:v>NSW</c:v>
                </c:pt>
                <c:pt idx="1">
                  <c:v>Vic</c:v>
                </c:pt>
                <c:pt idx="2">
                  <c:v>Qld</c:v>
                </c:pt>
                <c:pt idx="3">
                  <c:v>WA</c:v>
                </c:pt>
                <c:pt idx="4">
                  <c:v>SA</c:v>
                </c:pt>
                <c:pt idx="5">
                  <c:v>Tas</c:v>
                </c:pt>
                <c:pt idx="6">
                  <c:v>ACT</c:v>
                </c:pt>
                <c:pt idx="7">
                  <c:v>NT</c:v>
                </c:pt>
                <c:pt idx="8">
                  <c:v>Aust</c:v>
                </c:pt>
              </c:strCache>
            </c:strRef>
          </c:cat>
          <c:val>
            <c:numRef>
              <c:f>BirthWeight!$E$4:$M$4</c:f>
              <c:numCache>
                <c:formatCode>###\ ###\ ##0.0;\-###\ ###\ ##0.0;"–"</c:formatCode>
                <c:ptCount val="9"/>
                <c:pt idx="0">
                  <c:v>10.8</c:v>
                </c:pt>
                <c:pt idx="1">
                  <c:v>12.7</c:v>
                </c:pt>
                <c:pt idx="2">
                  <c:v>10.5</c:v>
                </c:pt>
                <c:pt idx="3">
                  <c:v>13</c:v>
                </c:pt>
                <c:pt idx="4">
                  <c:v>14.8</c:v>
                </c:pt>
                <c:pt idx="5">
                  <c:v>0</c:v>
                </c:pt>
                <c:pt idx="6">
                  <c:v>0</c:v>
                </c:pt>
                <c:pt idx="7">
                  <c:v>14</c:v>
                </c:pt>
                <c:pt idx="8">
                  <c:v>11.8</c:v>
                </c:pt>
              </c:numCache>
            </c:numRef>
          </c:val>
        </c:ser>
        <c:ser>
          <c:idx val="1"/>
          <c:order val="1"/>
          <c:tx>
            <c:strRef>
              <c:f>BirthWeight!$C$5</c:f>
              <c:strCache>
                <c:ptCount val="1"/>
                <c:pt idx="0">
                  <c:v>Other mothers</c:v>
                </c:pt>
              </c:strCache>
            </c:strRef>
          </c:tx>
          <c:spPr>
            <a:solidFill>
              <a:srgbClr val="78A22F"/>
            </a:solidFill>
            <a:ln>
              <a:solidFill>
                <a:srgbClr val="78A22F"/>
              </a:solidFill>
            </a:ln>
          </c:spPr>
          <c:invertIfNegative val="0"/>
          <c:cat>
            <c:strRef>
              <c:f>BirthWeight!$E$2:$M$2</c:f>
              <c:strCache>
                <c:ptCount val="9"/>
                <c:pt idx="0">
                  <c:v>NSW</c:v>
                </c:pt>
                <c:pt idx="1">
                  <c:v>Vic</c:v>
                </c:pt>
                <c:pt idx="2">
                  <c:v>Qld</c:v>
                </c:pt>
                <c:pt idx="3">
                  <c:v>WA</c:v>
                </c:pt>
                <c:pt idx="4">
                  <c:v>SA</c:v>
                </c:pt>
                <c:pt idx="5">
                  <c:v>Tas</c:v>
                </c:pt>
                <c:pt idx="6">
                  <c:v>ACT</c:v>
                </c:pt>
                <c:pt idx="7">
                  <c:v>NT</c:v>
                </c:pt>
                <c:pt idx="8">
                  <c:v>Aust</c:v>
                </c:pt>
              </c:strCache>
            </c:strRef>
          </c:cat>
          <c:val>
            <c:numRef>
              <c:f>BirthWeight!$E$5:$M$5</c:f>
              <c:numCache>
                <c:formatCode>###\ ###\ ##0.0;\-###\ ###\ ##0.0;"–"</c:formatCode>
                <c:ptCount val="9"/>
                <c:pt idx="0">
                  <c:v>5.9</c:v>
                </c:pt>
                <c:pt idx="1">
                  <c:v>6.5</c:v>
                </c:pt>
                <c:pt idx="2">
                  <c:v>6.5</c:v>
                </c:pt>
                <c:pt idx="3">
                  <c:v>6.4</c:v>
                </c:pt>
                <c:pt idx="4">
                  <c:v>6.6</c:v>
                </c:pt>
                <c:pt idx="5">
                  <c:v>7.7</c:v>
                </c:pt>
                <c:pt idx="6">
                  <c:v>7.5</c:v>
                </c:pt>
                <c:pt idx="7">
                  <c:v>8.6</c:v>
                </c:pt>
                <c:pt idx="8">
                  <c:v>6.4</c:v>
                </c:pt>
              </c:numCache>
            </c:numRef>
          </c:val>
        </c:ser>
        <c:dLbls>
          <c:showLegendKey val="0"/>
          <c:showVal val="0"/>
          <c:showCatName val="0"/>
          <c:showSerName val="0"/>
          <c:showPercent val="0"/>
          <c:showBubbleSize val="0"/>
        </c:dLbls>
        <c:gapWidth val="150"/>
        <c:axId val="168388096"/>
        <c:axId val="168390016"/>
      </c:barChart>
      <c:catAx>
        <c:axId val="168388096"/>
        <c:scaling>
          <c:orientation val="minMax"/>
        </c:scaling>
        <c:delete val="0"/>
        <c:axPos val="b"/>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168390016"/>
        <c:crosses val="autoZero"/>
        <c:auto val="1"/>
        <c:lblAlgn val="ctr"/>
        <c:lblOffset val="100"/>
        <c:noMultiLvlLbl val="0"/>
      </c:catAx>
      <c:valAx>
        <c:axId val="168390016"/>
        <c:scaling>
          <c:orientation val="minMax"/>
          <c:max val="15"/>
          <c:min val="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Per cent</a:t>
                </a:r>
              </a:p>
            </c:rich>
          </c:tx>
          <c:layout/>
          <c:overlay val="0"/>
        </c:title>
        <c:numFmt formatCode="General"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168388096"/>
        <c:crosses val="autoZero"/>
        <c:crossBetween val="between"/>
        <c:majorUnit val="3"/>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layout/>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252925925925926"/>
          <c:y val="6.2333473566119756E-2"/>
          <c:w val="0.87160037037037041"/>
          <c:h val="0.75543226756415649"/>
        </c:manualLayout>
      </c:layout>
      <c:barChart>
        <c:barDir val="col"/>
        <c:grouping val="clustered"/>
        <c:varyColors val="0"/>
        <c:ser>
          <c:idx val="0"/>
          <c:order val="0"/>
          <c:tx>
            <c:strRef>
              <c:f>BMI!$A$5</c:f>
              <c:strCache>
                <c:ptCount val="1"/>
                <c:pt idx="0">
                  <c:v>Underweight</c:v>
                </c:pt>
              </c:strCache>
            </c:strRef>
          </c:tx>
          <c:spPr>
            <a:solidFill>
              <a:srgbClr val="000000"/>
            </a:solidFill>
            <a:ln>
              <a:solidFill>
                <a:srgbClr val="000000"/>
              </a:solidFill>
            </a:ln>
          </c:spPr>
          <c:invertIfNegative val="0"/>
          <c:errBars>
            <c:errBarType val="both"/>
            <c:errValType val="cust"/>
            <c:noEndCap val="0"/>
            <c:plus>
              <c:numRef>
                <c:f>BMI!$C$6:$K$6</c:f>
                <c:numCache>
                  <c:formatCode>General</c:formatCode>
                  <c:ptCount val="9"/>
                  <c:pt idx="0">
                    <c:v>0.7</c:v>
                  </c:pt>
                  <c:pt idx="1">
                    <c:v>0.6</c:v>
                  </c:pt>
                  <c:pt idx="2">
                    <c:v>0.5</c:v>
                  </c:pt>
                  <c:pt idx="3">
                    <c:v>0.6</c:v>
                  </c:pt>
                  <c:pt idx="4">
                    <c:v>0.7</c:v>
                  </c:pt>
                  <c:pt idx="5">
                    <c:v>0.9</c:v>
                  </c:pt>
                  <c:pt idx="6">
                    <c:v>0.8</c:v>
                  </c:pt>
                  <c:pt idx="7">
                    <c:v>1.4</c:v>
                  </c:pt>
                  <c:pt idx="8">
                    <c:v>0.3</c:v>
                  </c:pt>
                </c:numCache>
              </c:numRef>
            </c:plus>
            <c:minus>
              <c:numRef>
                <c:f>BMI!$C$6:$K$6</c:f>
                <c:numCache>
                  <c:formatCode>General</c:formatCode>
                  <c:ptCount val="9"/>
                  <c:pt idx="0">
                    <c:v>0.7</c:v>
                  </c:pt>
                  <c:pt idx="1">
                    <c:v>0.6</c:v>
                  </c:pt>
                  <c:pt idx="2">
                    <c:v>0.5</c:v>
                  </c:pt>
                  <c:pt idx="3">
                    <c:v>0.6</c:v>
                  </c:pt>
                  <c:pt idx="4">
                    <c:v>0.7</c:v>
                  </c:pt>
                  <c:pt idx="5">
                    <c:v>0.9</c:v>
                  </c:pt>
                  <c:pt idx="6">
                    <c:v>0.8</c:v>
                  </c:pt>
                  <c:pt idx="7">
                    <c:v>1.4</c:v>
                  </c:pt>
                  <c:pt idx="8">
                    <c:v>0.3</c:v>
                  </c:pt>
                </c:numCache>
              </c:numRef>
            </c:minus>
            <c:spPr>
              <a:ln>
                <a:solidFill>
                  <a:srgbClr val="BFBFBF"/>
                </a:solidFill>
              </a:ln>
            </c:spPr>
          </c:errBars>
          <c:cat>
            <c:strRef>
              <c:f>BMI!$C$2:$K$2</c:f>
              <c:strCache>
                <c:ptCount val="9"/>
                <c:pt idx="0">
                  <c:v>NSW</c:v>
                </c:pt>
                <c:pt idx="1">
                  <c:v>Vic</c:v>
                </c:pt>
                <c:pt idx="2">
                  <c:v>Qld</c:v>
                </c:pt>
                <c:pt idx="3">
                  <c:v>WA</c:v>
                </c:pt>
                <c:pt idx="4">
                  <c:v>SA</c:v>
                </c:pt>
                <c:pt idx="5">
                  <c:v>Tas</c:v>
                </c:pt>
                <c:pt idx="6">
                  <c:v>ACT</c:v>
                </c:pt>
                <c:pt idx="7">
                  <c:v>NT</c:v>
                </c:pt>
                <c:pt idx="8">
                  <c:v>Aust</c:v>
                </c:pt>
              </c:strCache>
            </c:strRef>
          </c:cat>
          <c:val>
            <c:numRef>
              <c:f>BMI!$C$5:$K$5</c:f>
              <c:numCache>
                <c:formatCode>###\ ###\ ##0.0;\-###\ ###\ ##0.0;"–"</c:formatCode>
                <c:ptCount val="9"/>
                <c:pt idx="0">
                  <c:v>1.8</c:v>
                </c:pt>
                <c:pt idx="1">
                  <c:v>2.1</c:v>
                </c:pt>
                <c:pt idx="2">
                  <c:v>1.2</c:v>
                </c:pt>
                <c:pt idx="3">
                  <c:v>1.8</c:v>
                </c:pt>
                <c:pt idx="4">
                  <c:v>1.4</c:v>
                </c:pt>
                <c:pt idx="5">
                  <c:v>1.6</c:v>
                </c:pt>
                <c:pt idx="6">
                  <c:v>1.1000000000000001</c:v>
                </c:pt>
                <c:pt idx="7">
                  <c:v>1.9</c:v>
                </c:pt>
                <c:pt idx="8">
                  <c:v>1.7</c:v>
                </c:pt>
              </c:numCache>
            </c:numRef>
          </c:val>
        </c:ser>
        <c:ser>
          <c:idx val="2"/>
          <c:order val="1"/>
          <c:tx>
            <c:strRef>
              <c:f>BMI!$A$7</c:f>
              <c:strCache>
                <c:ptCount val="1"/>
                <c:pt idx="0">
                  <c:v>Normal weight</c:v>
                </c:pt>
              </c:strCache>
            </c:strRef>
          </c:tx>
          <c:spPr>
            <a:solidFill>
              <a:srgbClr val="B2D673"/>
            </a:solidFill>
            <a:ln>
              <a:solidFill>
                <a:srgbClr val="B2D673"/>
              </a:solidFill>
            </a:ln>
          </c:spPr>
          <c:invertIfNegative val="0"/>
          <c:errBars>
            <c:errBarType val="both"/>
            <c:errValType val="cust"/>
            <c:noEndCap val="0"/>
            <c:plus>
              <c:numRef>
                <c:f>BMI!$C$8:$K$8</c:f>
                <c:numCache>
                  <c:formatCode>General</c:formatCode>
                  <c:ptCount val="9"/>
                  <c:pt idx="0">
                    <c:v>2.5</c:v>
                  </c:pt>
                  <c:pt idx="1">
                    <c:v>1.9</c:v>
                  </c:pt>
                  <c:pt idx="2">
                    <c:v>2.2000000000000002</c:v>
                  </c:pt>
                  <c:pt idx="3">
                    <c:v>2.7</c:v>
                  </c:pt>
                  <c:pt idx="4">
                    <c:v>2.4</c:v>
                  </c:pt>
                  <c:pt idx="5">
                    <c:v>2.5</c:v>
                  </c:pt>
                  <c:pt idx="6">
                    <c:v>2.7</c:v>
                  </c:pt>
                  <c:pt idx="7">
                    <c:v>3.8</c:v>
                  </c:pt>
                  <c:pt idx="8">
                    <c:v>1.1000000000000001</c:v>
                  </c:pt>
                </c:numCache>
              </c:numRef>
            </c:plus>
            <c:minus>
              <c:numRef>
                <c:f>BMI!$C$8:$K$8</c:f>
                <c:numCache>
                  <c:formatCode>General</c:formatCode>
                  <c:ptCount val="9"/>
                  <c:pt idx="0">
                    <c:v>2.5</c:v>
                  </c:pt>
                  <c:pt idx="1">
                    <c:v>1.9</c:v>
                  </c:pt>
                  <c:pt idx="2">
                    <c:v>2.2000000000000002</c:v>
                  </c:pt>
                  <c:pt idx="3">
                    <c:v>2.7</c:v>
                  </c:pt>
                  <c:pt idx="4">
                    <c:v>2.4</c:v>
                  </c:pt>
                  <c:pt idx="5">
                    <c:v>2.5</c:v>
                  </c:pt>
                  <c:pt idx="6">
                    <c:v>2.7</c:v>
                  </c:pt>
                  <c:pt idx="7">
                    <c:v>3.8</c:v>
                  </c:pt>
                  <c:pt idx="8">
                    <c:v>1.1000000000000001</c:v>
                  </c:pt>
                </c:numCache>
              </c:numRef>
            </c:minus>
            <c:spPr>
              <a:ln>
                <a:solidFill>
                  <a:srgbClr val="78A22F"/>
                </a:solidFill>
              </a:ln>
            </c:spPr>
          </c:errBars>
          <c:cat>
            <c:strRef>
              <c:f>BMI!$C$2:$K$2</c:f>
              <c:strCache>
                <c:ptCount val="9"/>
                <c:pt idx="0">
                  <c:v>NSW</c:v>
                </c:pt>
                <c:pt idx="1">
                  <c:v>Vic</c:v>
                </c:pt>
                <c:pt idx="2">
                  <c:v>Qld</c:v>
                </c:pt>
                <c:pt idx="3">
                  <c:v>WA</c:v>
                </c:pt>
                <c:pt idx="4">
                  <c:v>SA</c:v>
                </c:pt>
                <c:pt idx="5">
                  <c:v>Tas</c:v>
                </c:pt>
                <c:pt idx="6">
                  <c:v>ACT</c:v>
                </c:pt>
                <c:pt idx="7">
                  <c:v>NT</c:v>
                </c:pt>
                <c:pt idx="8">
                  <c:v>Aust</c:v>
                </c:pt>
              </c:strCache>
            </c:strRef>
          </c:cat>
          <c:val>
            <c:numRef>
              <c:f>BMI!$C$7:$K$7</c:f>
              <c:numCache>
                <c:formatCode>###\ ###\ ##0.0;\-###\ ###\ ##0.0;"–"</c:formatCode>
                <c:ptCount val="9"/>
                <c:pt idx="0">
                  <c:v>35.4</c:v>
                </c:pt>
                <c:pt idx="1">
                  <c:v>34.9</c:v>
                </c:pt>
                <c:pt idx="2">
                  <c:v>35.6</c:v>
                </c:pt>
                <c:pt idx="3">
                  <c:v>37.9</c:v>
                </c:pt>
                <c:pt idx="4">
                  <c:v>34</c:v>
                </c:pt>
                <c:pt idx="5">
                  <c:v>32.200000000000003</c:v>
                </c:pt>
                <c:pt idx="6">
                  <c:v>34.799999999999997</c:v>
                </c:pt>
                <c:pt idx="7">
                  <c:v>35.5</c:v>
                </c:pt>
                <c:pt idx="8">
                  <c:v>35.5</c:v>
                </c:pt>
              </c:numCache>
            </c:numRef>
          </c:val>
        </c:ser>
        <c:ser>
          <c:idx val="4"/>
          <c:order val="2"/>
          <c:tx>
            <c:strRef>
              <c:f>BMI!$A$9</c:f>
              <c:strCache>
                <c:ptCount val="1"/>
                <c:pt idx="0">
                  <c:v>Overweight</c:v>
                </c:pt>
              </c:strCache>
            </c:strRef>
          </c:tx>
          <c:spPr>
            <a:solidFill>
              <a:srgbClr val="265A9A"/>
            </a:solidFill>
            <a:ln>
              <a:solidFill>
                <a:srgbClr val="265A9A"/>
              </a:solidFill>
            </a:ln>
          </c:spPr>
          <c:invertIfNegative val="0"/>
          <c:errBars>
            <c:errBarType val="both"/>
            <c:errValType val="cust"/>
            <c:noEndCap val="0"/>
            <c:plus>
              <c:numRef>
                <c:f>BMI!$C$10:$K$10</c:f>
                <c:numCache>
                  <c:formatCode>General</c:formatCode>
                  <c:ptCount val="9"/>
                  <c:pt idx="0">
                    <c:v>2</c:v>
                  </c:pt>
                  <c:pt idx="1">
                    <c:v>2</c:v>
                  </c:pt>
                  <c:pt idx="2">
                    <c:v>2</c:v>
                  </c:pt>
                  <c:pt idx="3">
                    <c:v>2.7</c:v>
                  </c:pt>
                  <c:pt idx="4">
                    <c:v>2.6</c:v>
                  </c:pt>
                  <c:pt idx="5">
                    <c:v>3</c:v>
                  </c:pt>
                  <c:pt idx="6">
                    <c:v>2.7</c:v>
                  </c:pt>
                  <c:pt idx="7">
                    <c:v>3.5</c:v>
                  </c:pt>
                  <c:pt idx="8">
                    <c:v>1</c:v>
                  </c:pt>
                </c:numCache>
              </c:numRef>
            </c:plus>
            <c:minus>
              <c:numRef>
                <c:f>BMI!$C$10:$K$10</c:f>
                <c:numCache>
                  <c:formatCode>General</c:formatCode>
                  <c:ptCount val="9"/>
                  <c:pt idx="0">
                    <c:v>2</c:v>
                  </c:pt>
                  <c:pt idx="1">
                    <c:v>2</c:v>
                  </c:pt>
                  <c:pt idx="2">
                    <c:v>2</c:v>
                  </c:pt>
                  <c:pt idx="3">
                    <c:v>2.7</c:v>
                  </c:pt>
                  <c:pt idx="4">
                    <c:v>2.6</c:v>
                  </c:pt>
                  <c:pt idx="5">
                    <c:v>3</c:v>
                  </c:pt>
                  <c:pt idx="6">
                    <c:v>2.7</c:v>
                  </c:pt>
                  <c:pt idx="7">
                    <c:v>3.5</c:v>
                  </c:pt>
                  <c:pt idx="8">
                    <c:v>1</c:v>
                  </c:pt>
                </c:numCache>
              </c:numRef>
            </c:minus>
            <c:spPr>
              <a:ln>
                <a:solidFill>
                  <a:srgbClr val="BFBFBF"/>
                </a:solidFill>
              </a:ln>
            </c:spPr>
          </c:errBars>
          <c:cat>
            <c:strRef>
              <c:f>BMI!$C$2:$K$2</c:f>
              <c:strCache>
                <c:ptCount val="9"/>
                <c:pt idx="0">
                  <c:v>NSW</c:v>
                </c:pt>
                <c:pt idx="1">
                  <c:v>Vic</c:v>
                </c:pt>
                <c:pt idx="2">
                  <c:v>Qld</c:v>
                </c:pt>
                <c:pt idx="3">
                  <c:v>WA</c:v>
                </c:pt>
                <c:pt idx="4">
                  <c:v>SA</c:v>
                </c:pt>
                <c:pt idx="5">
                  <c:v>Tas</c:v>
                </c:pt>
                <c:pt idx="6">
                  <c:v>ACT</c:v>
                </c:pt>
                <c:pt idx="7">
                  <c:v>NT</c:v>
                </c:pt>
                <c:pt idx="8">
                  <c:v>Aust</c:v>
                </c:pt>
              </c:strCache>
            </c:strRef>
          </c:cat>
          <c:val>
            <c:numRef>
              <c:f>BMI!$C$9:$K$9</c:f>
              <c:numCache>
                <c:formatCode>###\ ###\ ##0.0;\-###\ ###\ ##0.0;"–"</c:formatCode>
                <c:ptCount val="9"/>
                <c:pt idx="0">
                  <c:v>34.799999999999997</c:v>
                </c:pt>
                <c:pt idx="1">
                  <c:v>37</c:v>
                </c:pt>
                <c:pt idx="2">
                  <c:v>33.299999999999997</c:v>
                </c:pt>
                <c:pt idx="3">
                  <c:v>36.1</c:v>
                </c:pt>
                <c:pt idx="4">
                  <c:v>35.200000000000003</c:v>
                </c:pt>
                <c:pt idx="5">
                  <c:v>34.5</c:v>
                </c:pt>
                <c:pt idx="6">
                  <c:v>39.1</c:v>
                </c:pt>
                <c:pt idx="7">
                  <c:v>34.9</c:v>
                </c:pt>
                <c:pt idx="8">
                  <c:v>35.299999999999997</c:v>
                </c:pt>
              </c:numCache>
            </c:numRef>
          </c:val>
        </c:ser>
        <c:ser>
          <c:idx val="6"/>
          <c:order val="3"/>
          <c:tx>
            <c:strRef>
              <c:f>BMI!$A$11</c:f>
              <c:strCache>
                <c:ptCount val="1"/>
                <c:pt idx="0">
                  <c:v>Obese</c:v>
                </c:pt>
              </c:strCache>
            </c:strRef>
          </c:tx>
          <c:spPr>
            <a:solidFill>
              <a:srgbClr val="78A22F"/>
            </a:solidFill>
            <a:ln>
              <a:solidFill>
                <a:srgbClr val="78A22F"/>
              </a:solidFill>
            </a:ln>
          </c:spPr>
          <c:invertIfNegative val="0"/>
          <c:errBars>
            <c:errBarType val="both"/>
            <c:errValType val="cust"/>
            <c:noEndCap val="0"/>
            <c:plus>
              <c:numRef>
                <c:f>BMI!$C$12:$K$12</c:f>
                <c:numCache>
                  <c:formatCode>General</c:formatCode>
                  <c:ptCount val="9"/>
                  <c:pt idx="0">
                    <c:v>2.2000000000000002</c:v>
                  </c:pt>
                  <c:pt idx="1">
                    <c:v>1.7</c:v>
                  </c:pt>
                  <c:pt idx="2">
                    <c:v>2.4</c:v>
                  </c:pt>
                  <c:pt idx="3">
                    <c:v>2</c:v>
                  </c:pt>
                  <c:pt idx="4">
                    <c:v>2.7</c:v>
                  </c:pt>
                  <c:pt idx="5">
                    <c:v>2.5</c:v>
                  </c:pt>
                  <c:pt idx="6">
                    <c:v>2.2999999999999998</c:v>
                  </c:pt>
                  <c:pt idx="7">
                    <c:v>4</c:v>
                  </c:pt>
                  <c:pt idx="8">
                    <c:v>1</c:v>
                  </c:pt>
                </c:numCache>
              </c:numRef>
            </c:plus>
            <c:minus>
              <c:numRef>
                <c:f>BMI!$C$12:$K$12</c:f>
                <c:numCache>
                  <c:formatCode>General</c:formatCode>
                  <c:ptCount val="9"/>
                  <c:pt idx="0">
                    <c:v>2.2000000000000002</c:v>
                  </c:pt>
                  <c:pt idx="1">
                    <c:v>1.7</c:v>
                  </c:pt>
                  <c:pt idx="2">
                    <c:v>2.4</c:v>
                  </c:pt>
                  <c:pt idx="3">
                    <c:v>2</c:v>
                  </c:pt>
                  <c:pt idx="4">
                    <c:v>2.7</c:v>
                  </c:pt>
                  <c:pt idx="5">
                    <c:v>2.5</c:v>
                  </c:pt>
                  <c:pt idx="6">
                    <c:v>2.2999999999999998</c:v>
                  </c:pt>
                  <c:pt idx="7">
                    <c:v>4</c:v>
                  </c:pt>
                  <c:pt idx="8">
                    <c:v>1</c:v>
                  </c:pt>
                </c:numCache>
              </c:numRef>
            </c:minus>
            <c:spPr>
              <a:ln>
                <a:solidFill>
                  <a:srgbClr val="BFBFBF"/>
                </a:solidFill>
              </a:ln>
            </c:spPr>
          </c:errBars>
          <c:cat>
            <c:strRef>
              <c:f>BMI!$C$2:$K$2</c:f>
              <c:strCache>
                <c:ptCount val="9"/>
                <c:pt idx="0">
                  <c:v>NSW</c:v>
                </c:pt>
                <c:pt idx="1">
                  <c:v>Vic</c:v>
                </c:pt>
                <c:pt idx="2">
                  <c:v>Qld</c:v>
                </c:pt>
                <c:pt idx="3">
                  <c:v>WA</c:v>
                </c:pt>
                <c:pt idx="4">
                  <c:v>SA</c:v>
                </c:pt>
                <c:pt idx="5">
                  <c:v>Tas</c:v>
                </c:pt>
                <c:pt idx="6">
                  <c:v>ACT</c:v>
                </c:pt>
                <c:pt idx="7">
                  <c:v>NT</c:v>
                </c:pt>
                <c:pt idx="8">
                  <c:v>Aust</c:v>
                </c:pt>
              </c:strCache>
            </c:strRef>
          </c:cat>
          <c:val>
            <c:numRef>
              <c:f>BMI!$C$11:$K$11</c:f>
              <c:numCache>
                <c:formatCode>###\ ###\ ##0.0;\-###\ ###\ ##0.0;"–"</c:formatCode>
                <c:ptCount val="9"/>
                <c:pt idx="0">
                  <c:v>28</c:v>
                </c:pt>
                <c:pt idx="1">
                  <c:v>26.1</c:v>
                </c:pt>
                <c:pt idx="2">
                  <c:v>30</c:v>
                </c:pt>
                <c:pt idx="3">
                  <c:v>24.3</c:v>
                </c:pt>
                <c:pt idx="4">
                  <c:v>29.2</c:v>
                </c:pt>
                <c:pt idx="5">
                  <c:v>31.5</c:v>
                </c:pt>
                <c:pt idx="6">
                  <c:v>24.1</c:v>
                </c:pt>
                <c:pt idx="7">
                  <c:v>30</c:v>
                </c:pt>
                <c:pt idx="8">
                  <c:v>27.5</c:v>
                </c:pt>
              </c:numCache>
            </c:numRef>
          </c:val>
        </c:ser>
        <c:dLbls>
          <c:showLegendKey val="0"/>
          <c:showVal val="0"/>
          <c:showCatName val="0"/>
          <c:showSerName val="0"/>
          <c:showPercent val="0"/>
          <c:showBubbleSize val="0"/>
        </c:dLbls>
        <c:gapWidth val="150"/>
        <c:axId val="217870720"/>
        <c:axId val="217872640"/>
      </c:barChart>
      <c:catAx>
        <c:axId val="217870720"/>
        <c:scaling>
          <c:orientation val="minMax"/>
        </c:scaling>
        <c:delete val="0"/>
        <c:axPos val="b"/>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217872640"/>
        <c:crosses val="autoZero"/>
        <c:auto val="1"/>
        <c:lblAlgn val="ctr"/>
        <c:lblOffset val="100"/>
        <c:noMultiLvlLbl val="0"/>
      </c:catAx>
      <c:valAx>
        <c:axId val="217872640"/>
        <c:scaling>
          <c:orientation val="minMax"/>
          <c:max val="50"/>
          <c:min val="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Per cent</a:t>
                </a:r>
              </a:p>
            </c:rich>
          </c:tx>
          <c:layout>
            <c:manualLayout>
              <c:xMode val="edge"/>
              <c:yMode val="edge"/>
              <c:x val="2.1166666666666667E-2"/>
              <c:y val="0.33300481481481481"/>
            </c:manualLayout>
          </c:layout>
          <c:overlay val="0"/>
        </c:title>
        <c:numFmt formatCode="General"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217870720"/>
        <c:crosses val="autoZero"/>
        <c:crossBetween val="between"/>
        <c:majorUnit val="1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layout/>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783715261643311"/>
          <c:y val="6.2333472931215973E-2"/>
          <c:w val="0.87160037037037041"/>
          <c:h val="0.75543226756415649"/>
        </c:manualLayout>
      </c:layout>
      <c:barChart>
        <c:barDir val="col"/>
        <c:grouping val="clustered"/>
        <c:varyColors val="0"/>
        <c:ser>
          <c:idx val="0"/>
          <c:order val="0"/>
          <c:tx>
            <c:strRef>
              <c:f>Acohol!$A$33</c:f>
              <c:strCache>
                <c:ptCount val="1"/>
                <c:pt idx="0">
                  <c:v>Major cities</c:v>
                </c:pt>
              </c:strCache>
            </c:strRef>
          </c:tx>
          <c:spPr>
            <a:solidFill>
              <a:srgbClr val="000000"/>
            </a:solidFill>
            <a:ln>
              <a:solidFill>
                <a:srgbClr val="000000"/>
              </a:solidFill>
            </a:ln>
          </c:spPr>
          <c:invertIfNegative val="0"/>
          <c:errBars>
            <c:errBarType val="both"/>
            <c:errValType val="cust"/>
            <c:noEndCap val="0"/>
            <c:plus>
              <c:numRef>
                <c:f>Acohol!$C$34:$K$34</c:f>
                <c:numCache>
                  <c:formatCode>General</c:formatCode>
                  <c:ptCount val="9"/>
                  <c:pt idx="0">
                    <c:v>2.1</c:v>
                  </c:pt>
                  <c:pt idx="1">
                    <c:v>1.8</c:v>
                  </c:pt>
                  <c:pt idx="2">
                    <c:v>2.1</c:v>
                  </c:pt>
                  <c:pt idx="3">
                    <c:v>2.6</c:v>
                  </c:pt>
                  <c:pt idx="4">
                    <c:v>2.2000000000000002</c:v>
                  </c:pt>
                  <c:pt idx="5">
                    <c:v>0</c:v>
                  </c:pt>
                  <c:pt idx="6">
                    <c:v>2.2000000000000002</c:v>
                  </c:pt>
                  <c:pt idx="7">
                    <c:v>0</c:v>
                  </c:pt>
                  <c:pt idx="8">
                    <c:v>1.1000000000000001</c:v>
                  </c:pt>
                </c:numCache>
              </c:numRef>
            </c:plus>
            <c:minus>
              <c:numRef>
                <c:f>Acohol!$C$34:$K$34</c:f>
                <c:numCache>
                  <c:formatCode>General</c:formatCode>
                  <c:ptCount val="9"/>
                  <c:pt idx="0">
                    <c:v>2.1</c:v>
                  </c:pt>
                  <c:pt idx="1">
                    <c:v>1.8</c:v>
                  </c:pt>
                  <c:pt idx="2">
                    <c:v>2.1</c:v>
                  </c:pt>
                  <c:pt idx="3">
                    <c:v>2.6</c:v>
                  </c:pt>
                  <c:pt idx="4">
                    <c:v>2.2000000000000002</c:v>
                  </c:pt>
                  <c:pt idx="5">
                    <c:v>0</c:v>
                  </c:pt>
                  <c:pt idx="6">
                    <c:v>2.2000000000000002</c:v>
                  </c:pt>
                  <c:pt idx="7">
                    <c:v>0</c:v>
                  </c:pt>
                  <c:pt idx="8">
                    <c:v>1.1000000000000001</c:v>
                  </c:pt>
                </c:numCache>
              </c:numRef>
            </c:minus>
            <c:spPr>
              <a:ln>
                <a:solidFill>
                  <a:srgbClr val="BFBFBF"/>
                </a:solidFill>
              </a:ln>
            </c:spPr>
          </c:errBars>
          <c:cat>
            <c:strRef>
              <c:f>Acohol!$C$2:$K$2</c:f>
              <c:strCache>
                <c:ptCount val="9"/>
                <c:pt idx="0">
                  <c:v>NSW</c:v>
                </c:pt>
                <c:pt idx="1">
                  <c:v>Vic</c:v>
                </c:pt>
                <c:pt idx="2">
                  <c:v>Qld</c:v>
                </c:pt>
                <c:pt idx="3">
                  <c:v>WA</c:v>
                </c:pt>
                <c:pt idx="4">
                  <c:v>SA</c:v>
                </c:pt>
                <c:pt idx="5">
                  <c:v>Tas</c:v>
                </c:pt>
                <c:pt idx="6">
                  <c:v>ACT</c:v>
                </c:pt>
                <c:pt idx="7">
                  <c:v>NT</c:v>
                </c:pt>
                <c:pt idx="8">
                  <c:v>Aust</c:v>
                </c:pt>
              </c:strCache>
            </c:strRef>
          </c:cat>
          <c:val>
            <c:numRef>
              <c:f>Acohol!$C$33:$K$33</c:f>
              <c:numCache>
                <c:formatCode>###\ ###\ ##0.0;\-###\ ###\ ##0.0;"–"</c:formatCode>
                <c:ptCount val="9"/>
                <c:pt idx="0">
                  <c:v>16.100000000000001</c:v>
                </c:pt>
                <c:pt idx="1">
                  <c:v>14.4</c:v>
                </c:pt>
                <c:pt idx="2">
                  <c:v>17.7</c:v>
                </c:pt>
                <c:pt idx="3">
                  <c:v>19.7</c:v>
                </c:pt>
                <c:pt idx="4">
                  <c:v>16.399999999999999</c:v>
                </c:pt>
                <c:pt idx="5">
                  <c:v>0</c:v>
                </c:pt>
                <c:pt idx="6">
                  <c:v>15.9</c:v>
                </c:pt>
                <c:pt idx="7">
                  <c:v>0</c:v>
                </c:pt>
                <c:pt idx="8">
                  <c:v>16.3</c:v>
                </c:pt>
              </c:numCache>
            </c:numRef>
          </c:val>
        </c:ser>
        <c:ser>
          <c:idx val="2"/>
          <c:order val="1"/>
          <c:tx>
            <c:strRef>
              <c:f>Acohol!$A$35</c:f>
              <c:strCache>
                <c:ptCount val="1"/>
                <c:pt idx="0">
                  <c:v>Inner regional</c:v>
                </c:pt>
              </c:strCache>
            </c:strRef>
          </c:tx>
          <c:spPr>
            <a:solidFill>
              <a:srgbClr val="B2D673"/>
            </a:solidFill>
            <a:ln>
              <a:solidFill>
                <a:srgbClr val="B2D673"/>
              </a:solidFill>
            </a:ln>
          </c:spPr>
          <c:invertIfNegative val="0"/>
          <c:errBars>
            <c:errBarType val="both"/>
            <c:errValType val="cust"/>
            <c:noEndCap val="0"/>
            <c:plus>
              <c:numRef>
                <c:f>Acohol!$C$36:$K$36</c:f>
                <c:numCache>
                  <c:formatCode>General</c:formatCode>
                  <c:ptCount val="9"/>
                  <c:pt idx="0">
                    <c:v>5.3</c:v>
                  </c:pt>
                  <c:pt idx="1">
                    <c:v>4.5999999999999996</c:v>
                  </c:pt>
                  <c:pt idx="2">
                    <c:v>4.2</c:v>
                  </c:pt>
                  <c:pt idx="3">
                    <c:v>12.4</c:v>
                  </c:pt>
                  <c:pt idx="4">
                    <c:v>7.3</c:v>
                  </c:pt>
                  <c:pt idx="5">
                    <c:v>2.8</c:v>
                  </c:pt>
                  <c:pt idx="6">
                    <c:v>0</c:v>
                  </c:pt>
                  <c:pt idx="7">
                    <c:v>0</c:v>
                  </c:pt>
                  <c:pt idx="8">
                    <c:v>1.9</c:v>
                  </c:pt>
                </c:numCache>
              </c:numRef>
            </c:plus>
            <c:minus>
              <c:numRef>
                <c:f>Acohol!$C$36:$K$36</c:f>
                <c:numCache>
                  <c:formatCode>General</c:formatCode>
                  <c:ptCount val="9"/>
                  <c:pt idx="0">
                    <c:v>5.3</c:v>
                  </c:pt>
                  <c:pt idx="1">
                    <c:v>4.5999999999999996</c:v>
                  </c:pt>
                  <c:pt idx="2">
                    <c:v>4.2</c:v>
                  </c:pt>
                  <c:pt idx="3">
                    <c:v>12.4</c:v>
                  </c:pt>
                  <c:pt idx="4">
                    <c:v>7.3</c:v>
                  </c:pt>
                  <c:pt idx="5">
                    <c:v>2.8</c:v>
                  </c:pt>
                  <c:pt idx="6">
                    <c:v>0</c:v>
                  </c:pt>
                  <c:pt idx="7">
                    <c:v>0</c:v>
                  </c:pt>
                  <c:pt idx="8">
                    <c:v>1.9</c:v>
                  </c:pt>
                </c:numCache>
              </c:numRef>
            </c:minus>
            <c:spPr>
              <a:ln>
                <a:solidFill>
                  <a:srgbClr val="78A22F"/>
                </a:solidFill>
              </a:ln>
            </c:spPr>
          </c:errBars>
          <c:cat>
            <c:strRef>
              <c:f>Acohol!$C$2:$K$2</c:f>
              <c:strCache>
                <c:ptCount val="9"/>
                <c:pt idx="0">
                  <c:v>NSW</c:v>
                </c:pt>
                <c:pt idx="1">
                  <c:v>Vic</c:v>
                </c:pt>
                <c:pt idx="2">
                  <c:v>Qld</c:v>
                </c:pt>
                <c:pt idx="3">
                  <c:v>WA</c:v>
                </c:pt>
                <c:pt idx="4">
                  <c:v>SA</c:v>
                </c:pt>
                <c:pt idx="5">
                  <c:v>Tas</c:v>
                </c:pt>
                <c:pt idx="6">
                  <c:v>ACT</c:v>
                </c:pt>
                <c:pt idx="7">
                  <c:v>NT</c:v>
                </c:pt>
                <c:pt idx="8">
                  <c:v>Aust</c:v>
                </c:pt>
              </c:strCache>
            </c:strRef>
          </c:cat>
          <c:val>
            <c:numRef>
              <c:f>Acohol!$C$35:$K$35</c:f>
              <c:numCache>
                <c:formatCode>###\ ###\ ##0.0;\-###\ ###\ ##0.0;"–"</c:formatCode>
                <c:ptCount val="9"/>
                <c:pt idx="0">
                  <c:v>20.399999999999999</c:v>
                </c:pt>
                <c:pt idx="1">
                  <c:v>17.899999999999999</c:v>
                </c:pt>
                <c:pt idx="2">
                  <c:v>15.7</c:v>
                </c:pt>
                <c:pt idx="3">
                  <c:v>22</c:v>
                </c:pt>
                <c:pt idx="4">
                  <c:v>16.2</c:v>
                </c:pt>
                <c:pt idx="5">
                  <c:v>19.3</c:v>
                </c:pt>
                <c:pt idx="6">
                  <c:v>0</c:v>
                </c:pt>
                <c:pt idx="7">
                  <c:v>0</c:v>
                </c:pt>
                <c:pt idx="8">
                  <c:v>18.3</c:v>
                </c:pt>
              </c:numCache>
            </c:numRef>
          </c:val>
        </c:ser>
        <c:ser>
          <c:idx val="4"/>
          <c:order val="2"/>
          <c:tx>
            <c:strRef>
              <c:f>Acohol!$A$37</c:f>
              <c:strCache>
                <c:ptCount val="1"/>
                <c:pt idx="0">
                  <c:v>Outer regional</c:v>
                </c:pt>
              </c:strCache>
            </c:strRef>
          </c:tx>
          <c:spPr>
            <a:solidFill>
              <a:srgbClr val="265A9A"/>
            </a:solidFill>
            <a:ln>
              <a:solidFill>
                <a:srgbClr val="265A9A"/>
              </a:solidFill>
            </a:ln>
          </c:spPr>
          <c:invertIfNegative val="0"/>
          <c:errBars>
            <c:errBarType val="both"/>
            <c:errValType val="cust"/>
            <c:noEndCap val="0"/>
            <c:plus>
              <c:numRef>
                <c:f>Acohol!$C$38:$K$38</c:f>
                <c:numCache>
                  <c:formatCode>General</c:formatCode>
                  <c:ptCount val="9"/>
                  <c:pt idx="0">
                    <c:v>0</c:v>
                  </c:pt>
                  <c:pt idx="1">
                    <c:v>0</c:v>
                  </c:pt>
                  <c:pt idx="2">
                    <c:v>0</c:v>
                  </c:pt>
                  <c:pt idx="3">
                    <c:v>0</c:v>
                  </c:pt>
                  <c:pt idx="4">
                    <c:v>0</c:v>
                  </c:pt>
                  <c:pt idx="5">
                    <c:v>0</c:v>
                  </c:pt>
                  <c:pt idx="6">
                    <c:v>0</c:v>
                  </c:pt>
                  <c:pt idx="7">
                    <c:v>0</c:v>
                  </c:pt>
                  <c:pt idx="8">
                    <c:v>3.9</c:v>
                  </c:pt>
                </c:numCache>
              </c:numRef>
            </c:plus>
            <c:minus>
              <c:numRef>
                <c:f>Acohol!$C$38:$K$38</c:f>
                <c:numCache>
                  <c:formatCode>General</c:formatCode>
                  <c:ptCount val="9"/>
                  <c:pt idx="0">
                    <c:v>0</c:v>
                  </c:pt>
                  <c:pt idx="1">
                    <c:v>0</c:v>
                  </c:pt>
                  <c:pt idx="2">
                    <c:v>0</c:v>
                  </c:pt>
                  <c:pt idx="3">
                    <c:v>0</c:v>
                  </c:pt>
                  <c:pt idx="4">
                    <c:v>0</c:v>
                  </c:pt>
                  <c:pt idx="5">
                    <c:v>0</c:v>
                  </c:pt>
                  <c:pt idx="6">
                    <c:v>0</c:v>
                  </c:pt>
                  <c:pt idx="7">
                    <c:v>0</c:v>
                  </c:pt>
                  <c:pt idx="8">
                    <c:v>3.9</c:v>
                  </c:pt>
                </c:numCache>
              </c:numRef>
            </c:minus>
            <c:spPr>
              <a:ln>
                <a:solidFill>
                  <a:srgbClr val="BFBFBF"/>
                </a:solidFill>
              </a:ln>
            </c:spPr>
          </c:errBars>
          <c:cat>
            <c:strRef>
              <c:f>Acohol!$C$2:$K$2</c:f>
              <c:strCache>
                <c:ptCount val="9"/>
                <c:pt idx="0">
                  <c:v>NSW</c:v>
                </c:pt>
                <c:pt idx="1">
                  <c:v>Vic</c:v>
                </c:pt>
                <c:pt idx="2">
                  <c:v>Qld</c:v>
                </c:pt>
                <c:pt idx="3">
                  <c:v>WA</c:v>
                </c:pt>
                <c:pt idx="4">
                  <c:v>SA</c:v>
                </c:pt>
                <c:pt idx="5">
                  <c:v>Tas</c:v>
                </c:pt>
                <c:pt idx="6">
                  <c:v>ACT</c:v>
                </c:pt>
                <c:pt idx="7">
                  <c:v>NT</c:v>
                </c:pt>
                <c:pt idx="8">
                  <c:v>Aust</c:v>
                </c:pt>
              </c:strCache>
            </c:strRef>
          </c:cat>
          <c:val>
            <c:numRef>
              <c:f>Acohol!$C$37:$K$37</c:f>
              <c:numCache>
                <c:formatCode>###\ ###\ ##0.0;\-###\ ###\ ##0.0;"–"</c:formatCode>
                <c:ptCount val="9"/>
                <c:pt idx="0">
                  <c:v>0</c:v>
                </c:pt>
                <c:pt idx="1">
                  <c:v>0</c:v>
                </c:pt>
                <c:pt idx="2">
                  <c:v>0</c:v>
                </c:pt>
                <c:pt idx="3">
                  <c:v>0</c:v>
                </c:pt>
                <c:pt idx="4">
                  <c:v>0</c:v>
                </c:pt>
                <c:pt idx="5">
                  <c:v>0</c:v>
                </c:pt>
                <c:pt idx="6">
                  <c:v>0</c:v>
                </c:pt>
                <c:pt idx="7">
                  <c:v>0</c:v>
                </c:pt>
                <c:pt idx="8">
                  <c:v>24.2</c:v>
                </c:pt>
              </c:numCache>
            </c:numRef>
          </c:val>
        </c:ser>
        <c:ser>
          <c:idx val="6"/>
          <c:order val="3"/>
          <c:tx>
            <c:strRef>
              <c:f>Acohol!$A$39</c:f>
              <c:strCache>
                <c:ptCount val="1"/>
                <c:pt idx="0">
                  <c:v>Remote </c:v>
                </c:pt>
              </c:strCache>
            </c:strRef>
          </c:tx>
          <c:spPr>
            <a:solidFill>
              <a:srgbClr val="78A22F"/>
            </a:solidFill>
            <a:ln>
              <a:solidFill>
                <a:srgbClr val="78A22F"/>
              </a:solidFill>
            </a:ln>
          </c:spPr>
          <c:invertIfNegative val="0"/>
          <c:errBars>
            <c:errBarType val="both"/>
            <c:errValType val="cust"/>
            <c:noEndCap val="0"/>
            <c:plus>
              <c:numRef>
                <c:f>Acohol!$C$40:$K$40</c:f>
                <c:numCache>
                  <c:formatCode>General</c:formatCode>
                  <c:ptCount val="9"/>
                  <c:pt idx="0">
                    <c:v>0</c:v>
                  </c:pt>
                  <c:pt idx="1">
                    <c:v>0</c:v>
                  </c:pt>
                  <c:pt idx="2">
                    <c:v>0</c:v>
                  </c:pt>
                  <c:pt idx="3">
                    <c:v>0</c:v>
                  </c:pt>
                  <c:pt idx="4">
                    <c:v>0</c:v>
                  </c:pt>
                  <c:pt idx="5">
                    <c:v>0</c:v>
                  </c:pt>
                  <c:pt idx="6">
                    <c:v>0</c:v>
                  </c:pt>
                  <c:pt idx="7">
                    <c:v>0</c:v>
                  </c:pt>
                  <c:pt idx="8">
                    <c:v>7.5</c:v>
                  </c:pt>
                </c:numCache>
              </c:numRef>
            </c:plus>
            <c:minus>
              <c:numRef>
                <c:f>Acohol!$C$40:$K$40</c:f>
                <c:numCache>
                  <c:formatCode>General</c:formatCode>
                  <c:ptCount val="9"/>
                  <c:pt idx="0">
                    <c:v>0</c:v>
                  </c:pt>
                  <c:pt idx="1">
                    <c:v>0</c:v>
                  </c:pt>
                  <c:pt idx="2">
                    <c:v>0</c:v>
                  </c:pt>
                  <c:pt idx="3">
                    <c:v>0</c:v>
                  </c:pt>
                  <c:pt idx="4">
                    <c:v>0</c:v>
                  </c:pt>
                  <c:pt idx="5">
                    <c:v>0</c:v>
                  </c:pt>
                  <c:pt idx="6">
                    <c:v>0</c:v>
                  </c:pt>
                  <c:pt idx="7">
                    <c:v>0</c:v>
                  </c:pt>
                  <c:pt idx="8">
                    <c:v>7.5</c:v>
                  </c:pt>
                </c:numCache>
              </c:numRef>
            </c:minus>
            <c:spPr>
              <a:ln>
                <a:solidFill>
                  <a:srgbClr val="BFBFBF"/>
                </a:solidFill>
              </a:ln>
            </c:spPr>
          </c:errBars>
          <c:cat>
            <c:strRef>
              <c:f>Acohol!$C$2:$K$2</c:f>
              <c:strCache>
                <c:ptCount val="9"/>
                <c:pt idx="0">
                  <c:v>NSW</c:v>
                </c:pt>
                <c:pt idx="1">
                  <c:v>Vic</c:v>
                </c:pt>
                <c:pt idx="2">
                  <c:v>Qld</c:v>
                </c:pt>
                <c:pt idx="3">
                  <c:v>WA</c:v>
                </c:pt>
                <c:pt idx="4">
                  <c:v>SA</c:v>
                </c:pt>
                <c:pt idx="5">
                  <c:v>Tas</c:v>
                </c:pt>
                <c:pt idx="6">
                  <c:v>ACT</c:v>
                </c:pt>
                <c:pt idx="7">
                  <c:v>NT</c:v>
                </c:pt>
                <c:pt idx="8">
                  <c:v>Aust</c:v>
                </c:pt>
              </c:strCache>
            </c:strRef>
          </c:cat>
          <c:val>
            <c:numRef>
              <c:f>Acohol!$C$39:$K$39</c:f>
              <c:numCache>
                <c:formatCode>###\ ###\ ##0.0;\-###\ ###\ ##0.0;"–"</c:formatCode>
                <c:ptCount val="9"/>
                <c:pt idx="0">
                  <c:v>0</c:v>
                </c:pt>
                <c:pt idx="1">
                  <c:v>0</c:v>
                </c:pt>
                <c:pt idx="2">
                  <c:v>0</c:v>
                </c:pt>
                <c:pt idx="3">
                  <c:v>0</c:v>
                </c:pt>
                <c:pt idx="4">
                  <c:v>0</c:v>
                </c:pt>
                <c:pt idx="5">
                  <c:v>0</c:v>
                </c:pt>
                <c:pt idx="6">
                  <c:v>0</c:v>
                </c:pt>
                <c:pt idx="7">
                  <c:v>0</c:v>
                </c:pt>
                <c:pt idx="8">
                  <c:v>22.2</c:v>
                </c:pt>
              </c:numCache>
            </c:numRef>
          </c:val>
        </c:ser>
        <c:dLbls>
          <c:showLegendKey val="0"/>
          <c:showVal val="0"/>
          <c:showCatName val="0"/>
          <c:showSerName val="0"/>
          <c:showPercent val="0"/>
          <c:showBubbleSize val="0"/>
        </c:dLbls>
        <c:gapWidth val="150"/>
        <c:axId val="319984000"/>
        <c:axId val="319985920"/>
      </c:barChart>
      <c:catAx>
        <c:axId val="319984000"/>
        <c:scaling>
          <c:orientation val="minMax"/>
        </c:scaling>
        <c:delete val="0"/>
        <c:axPos val="b"/>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319985920"/>
        <c:crosses val="autoZero"/>
        <c:auto val="1"/>
        <c:lblAlgn val="ctr"/>
        <c:lblOffset val="100"/>
        <c:noMultiLvlLbl val="0"/>
      </c:catAx>
      <c:valAx>
        <c:axId val="319985920"/>
        <c:scaling>
          <c:orientation val="minMax"/>
          <c:max val="40"/>
          <c:min val="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Per cent</a:t>
                </a:r>
              </a:p>
            </c:rich>
          </c:tx>
          <c:layout/>
          <c:overlay val="0"/>
        </c:title>
        <c:numFmt formatCode="General"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319984000"/>
        <c:crosses val="autoZero"/>
        <c:crossBetween val="between"/>
        <c:majorUnit val="1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layout/>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430037037037037"/>
          <c:y val="6.1148148148148146E-2"/>
          <c:w val="0.85982925925925924"/>
          <c:h val="0.74162777777777777"/>
        </c:manualLayout>
      </c:layout>
      <c:barChart>
        <c:barDir val="col"/>
        <c:grouping val="clustered"/>
        <c:varyColors val="0"/>
        <c:ser>
          <c:idx val="0"/>
          <c:order val="0"/>
          <c:tx>
            <c:strRef>
              <c:f>CancerCht!$C$4</c:f>
              <c:strCache>
                <c:ptCount val="1"/>
                <c:pt idx="0">
                  <c:v>Bowel cancer </c:v>
                </c:pt>
              </c:strCache>
            </c:strRef>
          </c:tx>
          <c:spPr>
            <a:solidFill>
              <a:srgbClr val="000000"/>
            </a:solidFill>
            <a:ln>
              <a:solidFill>
                <a:srgbClr val="000000"/>
              </a:solidFill>
            </a:ln>
          </c:spPr>
          <c:invertIfNegative val="0"/>
          <c:cat>
            <c:strRef>
              <c:f>CancerCht!$E$2:$M$2</c:f>
              <c:strCache>
                <c:ptCount val="9"/>
                <c:pt idx="0">
                  <c:v>NSW</c:v>
                </c:pt>
                <c:pt idx="1">
                  <c:v>Vic</c:v>
                </c:pt>
                <c:pt idx="2">
                  <c:v>Qld</c:v>
                </c:pt>
                <c:pt idx="3">
                  <c:v>WA</c:v>
                </c:pt>
                <c:pt idx="4">
                  <c:v>SA</c:v>
                </c:pt>
                <c:pt idx="5">
                  <c:v>Tas</c:v>
                </c:pt>
                <c:pt idx="6">
                  <c:v>ACT</c:v>
                </c:pt>
                <c:pt idx="7">
                  <c:v>NT</c:v>
                </c:pt>
                <c:pt idx="8">
                  <c:v>Aust</c:v>
                </c:pt>
              </c:strCache>
            </c:strRef>
          </c:cat>
          <c:val>
            <c:numRef>
              <c:f>CancerCht!$E$4:$M$4</c:f>
              <c:numCache>
                <c:formatCode>###\ ###\ ##0.0;\-###\ ###\ ##0.0;"–"</c:formatCode>
                <c:ptCount val="9"/>
                <c:pt idx="0">
                  <c:v>0</c:v>
                </c:pt>
                <c:pt idx="1">
                  <c:v>56.651899999999998</c:v>
                </c:pt>
                <c:pt idx="2">
                  <c:v>58.454599999999999</c:v>
                </c:pt>
                <c:pt idx="3">
                  <c:v>50.1434</c:v>
                </c:pt>
                <c:pt idx="4">
                  <c:v>57.365400000000001</c:v>
                </c:pt>
                <c:pt idx="5">
                  <c:v>63.384099999999997</c:v>
                </c:pt>
                <c:pt idx="6">
                  <c:v>49.780099999999997</c:v>
                </c:pt>
                <c:pt idx="7">
                  <c:v>49.077199999999998</c:v>
                </c:pt>
                <c:pt idx="8">
                  <c:v>56.315399999999997</c:v>
                </c:pt>
              </c:numCache>
            </c:numRef>
          </c:val>
        </c:ser>
        <c:ser>
          <c:idx val="1"/>
          <c:order val="1"/>
          <c:tx>
            <c:strRef>
              <c:f>CancerCht!$C$5</c:f>
              <c:strCache>
                <c:ptCount val="1"/>
                <c:pt idx="0">
                  <c:v>Lung cancer </c:v>
                </c:pt>
              </c:strCache>
            </c:strRef>
          </c:tx>
          <c:spPr>
            <a:solidFill>
              <a:srgbClr val="B2D673"/>
            </a:solidFill>
            <a:ln>
              <a:solidFill>
                <a:srgbClr val="B2D673"/>
              </a:solidFill>
            </a:ln>
          </c:spPr>
          <c:invertIfNegative val="0"/>
          <c:cat>
            <c:strRef>
              <c:f>CancerCht!$E$2:$M$2</c:f>
              <c:strCache>
                <c:ptCount val="9"/>
                <c:pt idx="0">
                  <c:v>NSW</c:v>
                </c:pt>
                <c:pt idx="1">
                  <c:v>Vic</c:v>
                </c:pt>
                <c:pt idx="2">
                  <c:v>Qld</c:v>
                </c:pt>
                <c:pt idx="3">
                  <c:v>WA</c:v>
                </c:pt>
                <c:pt idx="4">
                  <c:v>SA</c:v>
                </c:pt>
                <c:pt idx="5">
                  <c:v>Tas</c:v>
                </c:pt>
                <c:pt idx="6">
                  <c:v>ACT</c:v>
                </c:pt>
                <c:pt idx="7">
                  <c:v>NT</c:v>
                </c:pt>
                <c:pt idx="8">
                  <c:v>Aust</c:v>
                </c:pt>
              </c:strCache>
            </c:strRef>
          </c:cat>
          <c:val>
            <c:numRef>
              <c:f>CancerCht!$E$5:$M$5</c:f>
              <c:numCache>
                <c:formatCode>###\ ###\ ##0.0;\-###\ ###\ ##0.0;"–"</c:formatCode>
                <c:ptCount val="9"/>
                <c:pt idx="0">
                  <c:v>0</c:v>
                </c:pt>
                <c:pt idx="1">
                  <c:v>41.112200000000001</c:v>
                </c:pt>
                <c:pt idx="2">
                  <c:v>45.100499999999997</c:v>
                </c:pt>
                <c:pt idx="3">
                  <c:v>40.918799999999997</c:v>
                </c:pt>
                <c:pt idx="4">
                  <c:v>38.206699999999998</c:v>
                </c:pt>
                <c:pt idx="5">
                  <c:v>43.434800000000003</c:v>
                </c:pt>
                <c:pt idx="6">
                  <c:v>30.8565</c:v>
                </c:pt>
                <c:pt idx="7">
                  <c:v>43.819200000000002</c:v>
                </c:pt>
                <c:pt idx="8">
                  <c:v>41.829099999999997</c:v>
                </c:pt>
              </c:numCache>
            </c:numRef>
          </c:val>
        </c:ser>
        <c:ser>
          <c:idx val="3"/>
          <c:order val="2"/>
          <c:tx>
            <c:strRef>
              <c:f>CancerCht!$C$7</c:f>
              <c:strCache>
                <c:ptCount val="1"/>
                <c:pt idx="0">
                  <c:v>Female breast cancer </c:v>
                </c:pt>
              </c:strCache>
            </c:strRef>
          </c:tx>
          <c:spPr>
            <a:solidFill>
              <a:srgbClr val="265A9A"/>
            </a:solidFill>
            <a:ln>
              <a:solidFill>
                <a:srgbClr val="265A9A"/>
              </a:solidFill>
            </a:ln>
          </c:spPr>
          <c:invertIfNegative val="0"/>
          <c:cat>
            <c:strRef>
              <c:f>CancerCht!$E$2:$M$2</c:f>
              <c:strCache>
                <c:ptCount val="9"/>
                <c:pt idx="0">
                  <c:v>NSW</c:v>
                </c:pt>
                <c:pt idx="1">
                  <c:v>Vic</c:v>
                </c:pt>
                <c:pt idx="2">
                  <c:v>Qld</c:v>
                </c:pt>
                <c:pt idx="3">
                  <c:v>WA</c:v>
                </c:pt>
                <c:pt idx="4">
                  <c:v>SA</c:v>
                </c:pt>
                <c:pt idx="5">
                  <c:v>Tas</c:v>
                </c:pt>
                <c:pt idx="6">
                  <c:v>ACT</c:v>
                </c:pt>
                <c:pt idx="7">
                  <c:v>NT</c:v>
                </c:pt>
                <c:pt idx="8">
                  <c:v>Aust</c:v>
                </c:pt>
              </c:strCache>
            </c:strRef>
          </c:cat>
          <c:val>
            <c:numRef>
              <c:f>CancerCht!$E$7:$M$7</c:f>
              <c:numCache>
                <c:formatCode>###\ ###\ ##0.0;\-###\ ###\ ##0.0;"–"</c:formatCode>
                <c:ptCount val="9"/>
                <c:pt idx="0">
                  <c:v>0</c:v>
                </c:pt>
                <c:pt idx="1">
                  <c:v>125.065</c:v>
                </c:pt>
                <c:pt idx="2">
                  <c:v>128.55000000000001</c:v>
                </c:pt>
                <c:pt idx="3">
                  <c:v>119.738</c:v>
                </c:pt>
                <c:pt idx="4">
                  <c:v>128.99</c:v>
                </c:pt>
                <c:pt idx="5">
                  <c:v>130.70500000000001</c:v>
                </c:pt>
                <c:pt idx="6">
                  <c:v>130.202</c:v>
                </c:pt>
                <c:pt idx="7">
                  <c:v>116.111</c:v>
                </c:pt>
                <c:pt idx="8">
                  <c:v>125.962</c:v>
                </c:pt>
              </c:numCache>
            </c:numRef>
          </c:val>
        </c:ser>
        <c:ser>
          <c:idx val="4"/>
          <c:order val="3"/>
          <c:tx>
            <c:strRef>
              <c:f>CancerCht!$C$8</c:f>
              <c:strCache>
                <c:ptCount val="1"/>
                <c:pt idx="0">
                  <c:v>Cervical cancer </c:v>
                </c:pt>
              </c:strCache>
            </c:strRef>
          </c:tx>
          <c:spPr>
            <a:solidFill>
              <a:srgbClr val="78A22F"/>
            </a:solidFill>
            <a:ln>
              <a:solidFill>
                <a:srgbClr val="78A22F"/>
              </a:solidFill>
            </a:ln>
          </c:spPr>
          <c:invertIfNegative val="0"/>
          <c:cat>
            <c:strRef>
              <c:f>CancerCht!$E$2:$M$2</c:f>
              <c:strCache>
                <c:ptCount val="9"/>
                <c:pt idx="0">
                  <c:v>NSW</c:v>
                </c:pt>
                <c:pt idx="1">
                  <c:v>Vic</c:v>
                </c:pt>
                <c:pt idx="2">
                  <c:v>Qld</c:v>
                </c:pt>
                <c:pt idx="3">
                  <c:v>WA</c:v>
                </c:pt>
                <c:pt idx="4">
                  <c:v>SA</c:v>
                </c:pt>
                <c:pt idx="5">
                  <c:v>Tas</c:v>
                </c:pt>
                <c:pt idx="6">
                  <c:v>ACT</c:v>
                </c:pt>
                <c:pt idx="7">
                  <c:v>NT</c:v>
                </c:pt>
                <c:pt idx="8">
                  <c:v>Aust</c:v>
                </c:pt>
              </c:strCache>
            </c:strRef>
          </c:cat>
          <c:val>
            <c:numRef>
              <c:f>CancerCht!$E$8:$M$8</c:f>
              <c:numCache>
                <c:formatCode>###\ ###\ ##0.0;\-###\ ###\ ##0.0;"–"</c:formatCode>
                <c:ptCount val="9"/>
                <c:pt idx="0">
                  <c:v>0</c:v>
                </c:pt>
                <c:pt idx="1">
                  <c:v>5.5595699999999999</c:v>
                </c:pt>
                <c:pt idx="2">
                  <c:v>7.9817400000000003</c:v>
                </c:pt>
                <c:pt idx="3">
                  <c:v>6.1520700000000001</c:v>
                </c:pt>
                <c:pt idx="4">
                  <c:v>7.2868300000000001</c:v>
                </c:pt>
                <c:pt idx="5">
                  <c:v>8.4680199999999992</c:v>
                </c:pt>
                <c:pt idx="6">
                  <c:v>5.5097899999999997</c:v>
                </c:pt>
                <c:pt idx="7">
                  <c:v>17.665500000000002</c:v>
                </c:pt>
                <c:pt idx="8">
                  <c:v>6.7128500000000004</c:v>
                </c:pt>
              </c:numCache>
            </c:numRef>
          </c:val>
        </c:ser>
        <c:dLbls>
          <c:showLegendKey val="0"/>
          <c:showVal val="0"/>
          <c:showCatName val="0"/>
          <c:showSerName val="0"/>
          <c:showPercent val="0"/>
          <c:showBubbleSize val="0"/>
        </c:dLbls>
        <c:gapWidth val="150"/>
        <c:axId val="377425280"/>
        <c:axId val="377480704"/>
      </c:barChart>
      <c:catAx>
        <c:axId val="377425280"/>
        <c:scaling>
          <c:orientation val="minMax"/>
        </c:scaling>
        <c:delete val="0"/>
        <c:axPos val="b"/>
        <c:numFmt formatCode="General" sourceLinked="1"/>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377480704"/>
        <c:crosses val="autoZero"/>
        <c:auto val="1"/>
        <c:lblAlgn val="ctr"/>
        <c:lblOffset val="100"/>
        <c:noMultiLvlLbl val="0"/>
      </c:catAx>
      <c:valAx>
        <c:axId val="377480704"/>
        <c:scaling>
          <c:orientation val="minMax"/>
          <c:max val="150"/>
          <c:min val="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Incidence/100 000 people</a:t>
                </a:r>
              </a:p>
            </c:rich>
          </c:tx>
          <c:layout>
            <c:manualLayout>
              <c:xMode val="edge"/>
              <c:yMode val="edge"/>
              <c:x val="1.4111111111111111E-2"/>
              <c:y val="0.14842259259259261"/>
            </c:manualLayout>
          </c:layout>
          <c:overlay val="0"/>
        </c:title>
        <c:numFmt formatCode="General"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377425280"/>
        <c:crosses val="autoZero"/>
        <c:crossBetween val="between"/>
        <c:majorUnit val="3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layout/>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'Avoidable deaths'!$C$5</c:f>
              <c:strCache>
                <c:ptCount val="1"/>
                <c:pt idx="0">
                  <c:v>Aboriginal and Torres Strait Islander people</c:v>
                </c:pt>
              </c:strCache>
            </c:strRef>
          </c:tx>
          <c:spPr>
            <a:solidFill>
              <a:srgbClr val="265A9A"/>
            </a:solidFill>
            <a:ln>
              <a:solidFill>
                <a:srgbClr val="265A9A"/>
              </a:solidFill>
            </a:ln>
          </c:spPr>
          <c:invertIfNegative val="0"/>
          <c:cat>
            <c:strRef>
              <c:f>'Avoidable deaths'!$E$2:$J$2</c:f>
              <c:strCache>
                <c:ptCount val="6"/>
                <c:pt idx="0">
                  <c:v>NSW</c:v>
                </c:pt>
                <c:pt idx="1">
                  <c:v>Qld</c:v>
                </c:pt>
                <c:pt idx="2">
                  <c:v>WA</c:v>
                </c:pt>
                <c:pt idx="3">
                  <c:v>SA</c:v>
                </c:pt>
                <c:pt idx="4">
                  <c:v>NT</c:v>
                </c:pt>
                <c:pt idx="5">
                  <c:v>Total</c:v>
                </c:pt>
              </c:strCache>
            </c:strRef>
          </c:cat>
          <c:val>
            <c:numRef>
              <c:f>'Avoidable deaths'!$E$5:$J$5</c:f>
              <c:numCache>
                <c:formatCode>###\ ###\ ##0.0;\-###\ ###\ ##0.0;"–"</c:formatCode>
                <c:ptCount val="6"/>
                <c:pt idx="0">
                  <c:v>243.8</c:v>
                </c:pt>
                <c:pt idx="1">
                  <c:v>303.39999999999998</c:v>
                </c:pt>
                <c:pt idx="2">
                  <c:v>467.5</c:v>
                </c:pt>
                <c:pt idx="3">
                  <c:v>346.1</c:v>
                </c:pt>
                <c:pt idx="4">
                  <c:v>629.29999999999995</c:v>
                </c:pt>
                <c:pt idx="5">
                  <c:v>345.2</c:v>
                </c:pt>
              </c:numCache>
            </c:numRef>
          </c:val>
        </c:ser>
        <c:ser>
          <c:idx val="1"/>
          <c:order val="1"/>
          <c:tx>
            <c:strRef>
              <c:f>'Avoidable deaths'!$C$8</c:f>
              <c:strCache>
                <c:ptCount val="1"/>
                <c:pt idx="0">
                  <c:v>Other Australians </c:v>
                </c:pt>
              </c:strCache>
            </c:strRef>
          </c:tx>
          <c:spPr>
            <a:solidFill>
              <a:srgbClr val="78A22F"/>
            </a:solidFill>
            <a:ln>
              <a:solidFill>
                <a:srgbClr val="78A22F"/>
              </a:solidFill>
            </a:ln>
          </c:spPr>
          <c:invertIfNegative val="0"/>
          <c:errBars>
            <c:errBarType val="both"/>
            <c:errValType val="cust"/>
            <c:noEndCap val="0"/>
            <c:plus>
              <c:numRef>
                <c:f>#REF!$Z$18:$AH$18</c:f>
                <c:numCache>
                  <c:formatCode>General</c:formatCode>
                  <c:ptCount val="1"/>
                  <c:pt idx="0">
                    <c:v>1</c:v>
                  </c:pt>
                </c:numCache>
              </c:numRef>
            </c:plus>
            <c:minus>
              <c:numRef>
                <c:f>#REF!$P$18:$X$18</c:f>
                <c:numCache>
                  <c:formatCode>General</c:formatCode>
                  <c:ptCount val="1"/>
                  <c:pt idx="0">
                    <c:v>1</c:v>
                  </c:pt>
                </c:numCache>
              </c:numRef>
            </c:minus>
            <c:spPr>
              <a:ln>
                <a:solidFill>
                  <a:srgbClr val="BFBFBF"/>
                </a:solidFill>
              </a:ln>
            </c:spPr>
          </c:errBars>
          <c:cat>
            <c:strRef>
              <c:f>'Avoidable deaths'!$E$2:$J$2</c:f>
              <c:strCache>
                <c:ptCount val="6"/>
                <c:pt idx="0">
                  <c:v>NSW</c:v>
                </c:pt>
                <c:pt idx="1">
                  <c:v>Qld</c:v>
                </c:pt>
                <c:pt idx="2">
                  <c:v>WA</c:v>
                </c:pt>
                <c:pt idx="3">
                  <c:v>SA</c:v>
                </c:pt>
                <c:pt idx="4">
                  <c:v>NT</c:v>
                </c:pt>
                <c:pt idx="5">
                  <c:v>Total</c:v>
                </c:pt>
              </c:strCache>
            </c:strRef>
          </c:cat>
          <c:val>
            <c:numRef>
              <c:f>'Avoidable deaths'!$E$8:$J$8</c:f>
              <c:numCache>
                <c:formatCode>###\ ###\ ##0.0;\-###\ ###\ ##0.0;"–"</c:formatCode>
                <c:ptCount val="6"/>
                <c:pt idx="0">
                  <c:v>104.4</c:v>
                </c:pt>
                <c:pt idx="1">
                  <c:v>110.5</c:v>
                </c:pt>
                <c:pt idx="2">
                  <c:v>96.2</c:v>
                </c:pt>
                <c:pt idx="3">
                  <c:v>106.4</c:v>
                </c:pt>
                <c:pt idx="4">
                  <c:v>128.9</c:v>
                </c:pt>
                <c:pt idx="5">
                  <c:v>105.4</c:v>
                </c:pt>
              </c:numCache>
            </c:numRef>
          </c:val>
        </c:ser>
        <c:dLbls>
          <c:showLegendKey val="0"/>
          <c:showVal val="0"/>
          <c:showCatName val="0"/>
          <c:showSerName val="0"/>
          <c:showPercent val="0"/>
          <c:showBubbleSize val="0"/>
        </c:dLbls>
        <c:gapWidth val="150"/>
        <c:axId val="445833216"/>
        <c:axId val="501981568"/>
      </c:barChart>
      <c:catAx>
        <c:axId val="445833216"/>
        <c:scaling>
          <c:orientation val="minMax"/>
        </c:scaling>
        <c:delete val="0"/>
        <c:axPos val="b"/>
        <c:numFmt formatCode="General" sourceLinked="1"/>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501981568"/>
        <c:crosses val="autoZero"/>
        <c:auto val="1"/>
        <c:lblAlgn val="ctr"/>
        <c:lblOffset val="100"/>
        <c:noMultiLvlLbl val="0"/>
      </c:catAx>
      <c:valAx>
        <c:axId val="501981568"/>
        <c:scaling>
          <c:orientation val="minMax"/>
          <c:max val="800"/>
          <c:min val="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Rate/100 000 people</a:t>
                </a:r>
              </a:p>
            </c:rich>
          </c:tx>
          <c:layout>
            <c:manualLayout>
              <c:xMode val="edge"/>
              <c:yMode val="edge"/>
              <c:x val="1.1759259259259259E-2"/>
              <c:y val="0.20259740740740742"/>
            </c:manualLayout>
          </c:layout>
          <c:overlay val="0"/>
        </c:title>
        <c:numFmt formatCode="General"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445833216"/>
        <c:crosses val="autoZero"/>
        <c:crossBetween val="between"/>
        <c:majorUnit val="20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layout/>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2"/>
          <c:order val="0"/>
          <c:tx>
            <c:strRef>
              <c:f>'Life exp'!$A$3</c:f>
              <c:strCache>
                <c:ptCount val="1"/>
                <c:pt idx="0">
                  <c:v>Males</c:v>
                </c:pt>
              </c:strCache>
            </c:strRef>
          </c:tx>
          <c:spPr>
            <a:solidFill>
              <a:srgbClr val="265A9A"/>
            </a:solidFill>
            <a:ln>
              <a:solidFill>
                <a:srgbClr val="265A9A"/>
              </a:solidFill>
            </a:ln>
          </c:spPr>
          <c:invertIfNegative val="0"/>
          <c:cat>
            <c:strRef>
              <c:f>'Life exp'!$D$2:$L$2</c:f>
              <c:strCache>
                <c:ptCount val="9"/>
                <c:pt idx="0">
                  <c:v>NSW</c:v>
                </c:pt>
                <c:pt idx="1">
                  <c:v>Vic</c:v>
                </c:pt>
                <c:pt idx="2">
                  <c:v>Qld</c:v>
                </c:pt>
                <c:pt idx="3">
                  <c:v>WA</c:v>
                </c:pt>
                <c:pt idx="4">
                  <c:v>SA</c:v>
                </c:pt>
                <c:pt idx="5">
                  <c:v>Tas</c:v>
                </c:pt>
                <c:pt idx="6">
                  <c:v>ACT</c:v>
                </c:pt>
                <c:pt idx="7">
                  <c:v>NT</c:v>
                </c:pt>
                <c:pt idx="8">
                  <c:v>Aust</c:v>
                </c:pt>
              </c:strCache>
            </c:strRef>
          </c:cat>
          <c:val>
            <c:numRef>
              <c:f>'Life exp'!$D$13:$L$13</c:f>
              <c:numCache>
                <c:formatCode>###\ ###\ ##0.0;\-###\ ###\ ##0.0;"–"</c:formatCode>
                <c:ptCount val="9"/>
                <c:pt idx="0">
                  <c:v>80.400000000000006</c:v>
                </c:pt>
                <c:pt idx="1">
                  <c:v>81.099999999999994</c:v>
                </c:pt>
                <c:pt idx="2">
                  <c:v>80</c:v>
                </c:pt>
                <c:pt idx="3">
                  <c:v>80.5</c:v>
                </c:pt>
                <c:pt idx="4">
                  <c:v>80.3</c:v>
                </c:pt>
                <c:pt idx="5">
                  <c:v>78.900000000000006</c:v>
                </c:pt>
                <c:pt idx="6">
                  <c:v>81.2</c:v>
                </c:pt>
                <c:pt idx="7">
                  <c:v>75.7</c:v>
                </c:pt>
                <c:pt idx="8">
                  <c:v>80.400000000000006</c:v>
                </c:pt>
              </c:numCache>
            </c:numRef>
          </c:val>
        </c:ser>
        <c:ser>
          <c:idx val="3"/>
          <c:order val="1"/>
          <c:tx>
            <c:strRef>
              <c:f>'Life exp'!$A$14</c:f>
              <c:strCache>
                <c:ptCount val="1"/>
                <c:pt idx="0">
                  <c:v>Females</c:v>
                </c:pt>
              </c:strCache>
            </c:strRef>
          </c:tx>
          <c:spPr>
            <a:solidFill>
              <a:srgbClr val="78A22F"/>
            </a:solidFill>
            <a:ln>
              <a:solidFill>
                <a:srgbClr val="78A22F"/>
              </a:solidFill>
            </a:ln>
          </c:spPr>
          <c:invertIfNegative val="0"/>
          <c:cat>
            <c:strRef>
              <c:f>'Life exp'!$D$2:$L$2</c:f>
              <c:strCache>
                <c:ptCount val="9"/>
                <c:pt idx="0">
                  <c:v>NSW</c:v>
                </c:pt>
                <c:pt idx="1">
                  <c:v>Vic</c:v>
                </c:pt>
                <c:pt idx="2">
                  <c:v>Qld</c:v>
                </c:pt>
                <c:pt idx="3">
                  <c:v>WA</c:v>
                </c:pt>
                <c:pt idx="4">
                  <c:v>SA</c:v>
                </c:pt>
                <c:pt idx="5">
                  <c:v>Tas</c:v>
                </c:pt>
                <c:pt idx="6">
                  <c:v>ACT</c:v>
                </c:pt>
                <c:pt idx="7">
                  <c:v>NT</c:v>
                </c:pt>
                <c:pt idx="8">
                  <c:v>Aust</c:v>
                </c:pt>
              </c:strCache>
            </c:strRef>
          </c:cat>
          <c:val>
            <c:numRef>
              <c:f>'Life exp'!$D$24:$L$24</c:f>
              <c:numCache>
                <c:formatCode>###\ ###\ ##0.0;\-###\ ###\ ##0.0;"–"</c:formatCode>
                <c:ptCount val="9"/>
                <c:pt idx="0">
                  <c:v>84.6</c:v>
                </c:pt>
                <c:pt idx="1">
                  <c:v>84.7</c:v>
                </c:pt>
                <c:pt idx="2">
                  <c:v>84.3</c:v>
                </c:pt>
                <c:pt idx="3">
                  <c:v>85</c:v>
                </c:pt>
                <c:pt idx="4">
                  <c:v>84.4</c:v>
                </c:pt>
                <c:pt idx="5">
                  <c:v>82.8</c:v>
                </c:pt>
                <c:pt idx="6">
                  <c:v>85.3</c:v>
                </c:pt>
                <c:pt idx="7">
                  <c:v>78.5</c:v>
                </c:pt>
                <c:pt idx="8">
                  <c:v>84.5</c:v>
                </c:pt>
              </c:numCache>
            </c:numRef>
          </c:val>
        </c:ser>
        <c:dLbls>
          <c:showLegendKey val="0"/>
          <c:showVal val="0"/>
          <c:showCatName val="0"/>
          <c:showSerName val="0"/>
          <c:showPercent val="0"/>
          <c:showBubbleSize val="0"/>
        </c:dLbls>
        <c:gapWidth val="150"/>
        <c:axId val="502307072"/>
        <c:axId val="502665216"/>
      </c:barChart>
      <c:catAx>
        <c:axId val="502307072"/>
        <c:scaling>
          <c:orientation val="minMax"/>
        </c:scaling>
        <c:delete val="0"/>
        <c:axPos val="b"/>
        <c:numFmt formatCode="General" sourceLinked="1"/>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502665216"/>
        <c:crosses val="autoZero"/>
        <c:auto val="1"/>
        <c:lblAlgn val="ctr"/>
        <c:lblOffset val="100"/>
        <c:noMultiLvlLbl val="0"/>
      </c:catAx>
      <c:valAx>
        <c:axId val="502665216"/>
        <c:scaling>
          <c:orientation val="minMax"/>
          <c:max val="100"/>
          <c:min val="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Age</a:t>
                </a:r>
                <a:r>
                  <a:rPr lang="en-AU" baseline="0"/>
                  <a:t> in years</a:t>
                </a:r>
                <a:endParaRPr lang="en-AU"/>
              </a:p>
            </c:rich>
          </c:tx>
          <c:layout>
            <c:manualLayout>
              <c:xMode val="edge"/>
              <c:yMode val="edge"/>
              <c:x val="1.1759259259259259E-2"/>
              <c:y val="0.20259740740740742"/>
            </c:manualLayout>
          </c:layout>
          <c:overlay val="0"/>
        </c:title>
        <c:numFmt formatCode="General"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502307072"/>
        <c:crosses val="autoZero"/>
        <c:crossBetween val="between"/>
        <c:majorUnit val="2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layout/>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430037037037037"/>
          <c:y val="3.2925925925925928E-2"/>
          <c:w val="0.85982925925925924"/>
          <c:h val="0.71125366256735323"/>
        </c:manualLayout>
      </c:layout>
      <c:barChart>
        <c:barDir val="col"/>
        <c:grouping val="clustered"/>
        <c:varyColors val="0"/>
        <c:ser>
          <c:idx val="0"/>
          <c:order val="0"/>
          <c:tx>
            <c:strRef>
              <c:f>'Median age'!$A$4</c:f>
              <c:strCache>
                <c:ptCount val="1"/>
                <c:pt idx="0">
                  <c:v>Aboriginal and Torres Strait Islander males</c:v>
                </c:pt>
              </c:strCache>
            </c:strRef>
          </c:tx>
          <c:spPr>
            <a:solidFill>
              <a:srgbClr val="000000"/>
            </a:solidFill>
            <a:ln>
              <a:solidFill>
                <a:srgbClr val="000000"/>
              </a:solidFill>
            </a:ln>
          </c:spPr>
          <c:invertIfNegative val="0"/>
          <c:cat>
            <c:strRef>
              <c:f>'Median age'!$D$2:$L$2</c:f>
              <c:strCache>
                <c:ptCount val="9"/>
                <c:pt idx="0">
                  <c:v>NSW</c:v>
                </c:pt>
                <c:pt idx="1">
                  <c:v>Vic</c:v>
                </c:pt>
                <c:pt idx="2">
                  <c:v>Qld</c:v>
                </c:pt>
                <c:pt idx="3">
                  <c:v>WA</c:v>
                </c:pt>
                <c:pt idx="4">
                  <c:v>SA</c:v>
                </c:pt>
                <c:pt idx="5">
                  <c:v>Tas</c:v>
                </c:pt>
                <c:pt idx="6">
                  <c:v>ACT</c:v>
                </c:pt>
                <c:pt idx="7">
                  <c:v>NT</c:v>
                </c:pt>
                <c:pt idx="8">
                  <c:v>Aust</c:v>
                </c:pt>
              </c:strCache>
            </c:strRef>
          </c:cat>
          <c:val>
            <c:numRef>
              <c:f>'Median age'!$D$14:$L$14</c:f>
              <c:numCache>
                <c:formatCode>###\ ###\ ##0.0;\-###\ ###\ ##0.0;"–"</c:formatCode>
                <c:ptCount val="9"/>
                <c:pt idx="0">
                  <c:v>58</c:v>
                </c:pt>
                <c:pt idx="1">
                  <c:v>0</c:v>
                </c:pt>
                <c:pt idx="2">
                  <c:v>55.7</c:v>
                </c:pt>
                <c:pt idx="3">
                  <c:v>51.5</c:v>
                </c:pt>
                <c:pt idx="4">
                  <c:v>53.4</c:v>
                </c:pt>
                <c:pt idx="5">
                  <c:v>0</c:v>
                </c:pt>
                <c:pt idx="6">
                  <c:v>0</c:v>
                </c:pt>
                <c:pt idx="7">
                  <c:v>53</c:v>
                </c:pt>
                <c:pt idx="8">
                  <c:v>54.9</c:v>
                </c:pt>
              </c:numCache>
            </c:numRef>
          </c:val>
        </c:ser>
        <c:ser>
          <c:idx val="1"/>
          <c:order val="1"/>
          <c:tx>
            <c:strRef>
              <c:f>'Median age'!$A$15:$E$15</c:f>
              <c:strCache>
                <c:ptCount val="1"/>
                <c:pt idx="0">
                  <c:v>Aboriginal and Torres Strait Islander females</c:v>
                </c:pt>
              </c:strCache>
            </c:strRef>
          </c:tx>
          <c:spPr>
            <a:solidFill>
              <a:srgbClr val="B2D673"/>
            </a:solidFill>
            <a:ln>
              <a:solidFill>
                <a:srgbClr val="B2D673"/>
              </a:solidFill>
            </a:ln>
          </c:spPr>
          <c:invertIfNegative val="0"/>
          <c:cat>
            <c:strRef>
              <c:f>'Median age'!$D$2:$L$2</c:f>
              <c:strCache>
                <c:ptCount val="9"/>
                <c:pt idx="0">
                  <c:v>NSW</c:v>
                </c:pt>
                <c:pt idx="1">
                  <c:v>Vic</c:v>
                </c:pt>
                <c:pt idx="2">
                  <c:v>Qld</c:v>
                </c:pt>
                <c:pt idx="3">
                  <c:v>WA</c:v>
                </c:pt>
                <c:pt idx="4">
                  <c:v>SA</c:v>
                </c:pt>
                <c:pt idx="5">
                  <c:v>Tas</c:v>
                </c:pt>
                <c:pt idx="6">
                  <c:v>ACT</c:v>
                </c:pt>
                <c:pt idx="7">
                  <c:v>NT</c:v>
                </c:pt>
                <c:pt idx="8">
                  <c:v>Aust</c:v>
                </c:pt>
              </c:strCache>
            </c:strRef>
          </c:cat>
          <c:val>
            <c:numRef>
              <c:f>'Median age'!$D$25:$L$25</c:f>
              <c:numCache>
                <c:formatCode>###\ ###\ ##0.0;\-###\ ###\ ##0.0;"–"</c:formatCode>
                <c:ptCount val="9"/>
                <c:pt idx="0">
                  <c:v>65.2</c:v>
                </c:pt>
                <c:pt idx="1">
                  <c:v>0</c:v>
                </c:pt>
                <c:pt idx="2">
                  <c:v>62.6</c:v>
                </c:pt>
                <c:pt idx="3">
                  <c:v>58.5</c:v>
                </c:pt>
                <c:pt idx="4">
                  <c:v>60.1</c:v>
                </c:pt>
                <c:pt idx="5">
                  <c:v>0</c:v>
                </c:pt>
                <c:pt idx="6">
                  <c:v>0</c:v>
                </c:pt>
                <c:pt idx="7">
                  <c:v>58.1</c:v>
                </c:pt>
                <c:pt idx="8">
                  <c:v>61.5</c:v>
                </c:pt>
              </c:numCache>
            </c:numRef>
          </c:val>
        </c:ser>
        <c:ser>
          <c:idx val="2"/>
          <c:order val="2"/>
          <c:tx>
            <c:strRef>
              <c:f>'Median age'!$A$27:$B$27</c:f>
              <c:strCache>
                <c:ptCount val="1"/>
                <c:pt idx="0">
                  <c:v>Other Australians males</c:v>
                </c:pt>
              </c:strCache>
            </c:strRef>
          </c:tx>
          <c:spPr>
            <a:solidFill>
              <a:srgbClr val="265A9A"/>
            </a:solidFill>
            <a:ln>
              <a:solidFill>
                <a:srgbClr val="265A9A"/>
              </a:solidFill>
            </a:ln>
          </c:spPr>
          <c:invertIfNegative val="0"/>
          <c:cat>
            <c:strRef>
              <c:f>'Median age'!$D$2:$L$2</c:f>
              <c:strCache>
                <c:ptCount val="9"/>
                <c:pt idx="0">
                  <c:v>NSW</c:v>
                </c:pt>
                <c:pt idx="1">
                  <c:v>Vic</c:v>
                </c:pt>
                <c:pt idx="2">
                  <c:v>Qld</c:v>
                </c:pt>
                <c:pt idx="3">
                  <c:v>WA</c:v>
                </c:pt>
                <c:pt idx="4">
                  <c:v>SA</c:v>
                </c:pt>
                <c:pt idx="5">
                  <c:v>Tas</c:v>
                </c:pt>
                <c:pt idx="6">
                  <c:v>ACT</c:v>
                </c:pt>
                <c:pt idx="7">
                  <c:v>NT</c:v>
                </c:pt>
                <c:pt idx="8">
                  <c:v>Aust</c:v>
                </c:pt>
              </c:strCache>
            </c:strRef>
          </c:cat>
          <c:val>
            <c:numRef>
              <c:f>'Median age'!$D$37:$L$37</c:f>
              <c:numCache>
                <c:formatCode>###\ ###\ ##0.0;\-###\ ###\ ##0.0;"–"</c:formatCode>
                <c:ptCount val="9"/>
                <c:pt idx="0">
                  <c:v>79.099999999999994</c:v>
                </c:pt>
                <c:pt idx="1">
                  <c:v>0</c:v>
                </c:pt>
                <c:pt idx="2">
                  <c:v>77.599999999999994</c:v>
                </c:pt>
                <c:pt idx="3">
                  <c:v>78</c:v>
                </c:pt>
                <c:pt idx="4">
                  <c:v>80.099999999999994</c:v>
                </c:pt>
                <c:pt idx="5">
                  <c:v>0</c:v>
                </c:pt>
                <c:pt idx="6">
                  <c:v>0</c:v>
                </c:pt>
                <c:pt idx="7">
                  <c:v>68.8</c:v>
                </c:pt>
                <c:pt idx="8">
                  <c:v>78.599999999999994</c:v>
                </c:pt>
              </c:numCache>
            </c:numRef>
          </c:val>
        </c:ser>
        <c:ser>
          <c:idx val="3"/>
          <c:order val="3"/>
          <c:tx>
            <c:strRef>
              <c:f>'Median age'!$A$38</c:f>
              <c:strCache>
                <c:ptCount val="1"/>
                <c:pt idx="0">
                  <c:v>Other Australians females</c:v>
                </c:pt>
              </c:strCache>
            </c:strRef>
          </c:tx>
          <c:spPr>
            <a:solidFill>
              <a:srgbClr val="78A22F"/>
            </a:solidFill>
            <a:ln>
              <a:solidFill>
                <a:srgbClr val="78A22F"/>
              </a:solidFill>
            </a:ln>
          </c:spPr>
          <c:invertIfNegative val="0"/>
          <c:cat>
            <c:strRef>
              <c:f>'Median age'!$D$2:$L$2</c:f>
              <c:strCache>
                <c:ptCount val="9"/>
                <c:pt idx="0">
                  <c:v>NSW</c:v>
                </c:pt>
                <c:pt idx="1">
                  <c:v>Vic</c:v>
                </c:pt>
                <c:pt idx="2">
                  <c:v>Qld</c:v>
                </c:pt>
                <c:pt idx="3">
                  <c:v>WA</c:v>
                </c:pt>
                <c:pt idx="4">
                  <c:v>SA</c:v>
                </c:pt>
                <c:pt idx="5">
                  <c:v>Tas</c:v>
                </c:pt>
                <c:pt idx="6">
                  <c:v>ACT</c:v>
                </c:pt>
                <c:pt idx="7">
                  <c:v>NT</c:v>
                </c:pt>
                <c:pt idx="8">
                  <c:v>Aust</c:v>
                </c:pt>
              </c:strCache>
            </c:strRef>
          </c:cat>
          <c:val>
            <c:numRef>
              <c:f>'Median age'!$D$48:$L$48</c:f>
              <c:numCache>
                <c:formatCode>###\ ###\ ##0.0;\-###\ ###\ ##0.0;"–"</c:formatCode>
                <c:ptCount val="9"/>
                <c:pt idx="0">
                  <c:v>85.2</c:v>
                </c:pt>
                <c:pt idx="1">
                  <c:v>0</c:v>
                </c:pt>
                <c:pt idx="2">
                  <c:v>84.2</c:v>
                </c:pt>
                <c:pt idx="3">
                  <c:v>84.4</c:v>
                </c:pt>
                <c:pt idx="4">
                  <c:v>85.7</c:v>
                </c:pt>
                <c:pt idx="5">
                  <c:v>0</c:v>
                </c:pt>
                <c:pt idx="6">
                  <c:v>0</c:v>
                </c:pt>
                <c:pt idx="7">
                  <c:v>71.099999999999994</c:v>
                </c:pt>
                <c:pt idx="8">
                  <c:v>84.9</c:v>
                </c:pt>
              </c:numCache>
            </c:numRef>
          </c:val>
        </c:ser>
        <c:dLbls>
          <c:showLegendKey val="0"/>
          <c:showVal val="0"/>
          <c:showCatName val="0"/>
          <c:showSerName val="0"/>
          <c:showPercent val="0"/>
          <c:showBubbleSize val="0"/>
        </c:dLbls>
        <c:gapWidth val="150"/>
        <c:axId val="48222976"/>
        <c:axId val="48224512"/>
      </c:barChart>
      <c:catAx>
        <c:axId val="48222976"/>
        <c:scaling>
          <c:orientation val="minMax"/>
        </c:scaling>
        <c:delete val="0"/>
        <c:axPos val="b"/>
        <c:numFmt formatCode="General" sourceLinked="1"/>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48224512"/>
        <c:crosses val="autoZero"/>
        <c:auto val="1"/>
        <c:lblAlgn val="ctr"/>
        <c:lblOffset val="100"/>
        <c:noMultiLvlLbl val="0"/>
      </c:catAx>
      <c:valAx>
        <c:axId val="48224512"/>
        <c:scaling>
          <c:orientation val="minMax"/>
          <c:max val="100"/>
          <c:min val="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Median age at death</a:t>
                </a:r>
              </a:p>
            </c:rich>
          </c:tx>
          <c:layout>
            <c:manualLayout>
              <c:xMode val="edge"/>
              <c:yMode val="edge"/>
              <c:x val="1.1759259259259259E-2"/>
              <c:y val="0.20259740740740742"/>
            </c:manualLayout>
          </c:layout>
          <c:overlay val="0"/>
        </c:title>
        <c:numFmt formatCode="General"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48222976"/>
        <c:crosses val="autoZero"/>
        <c:crossBetween val="between"/>
        <c:majorUnit val="2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layout>
        <c:manualLayout>
          <c:xMode val="edge"/>
          <c:yMode val="edge"/>
          <c:x val="8.1172065018696768E-2"/>
          <c:y val="0.85472686972193257"/>
          <c:w val="0.89424962962962962"/>
          <c:h val="0.14285497269042474"/>
        </c:manualLayout>
      </c:layout>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5.xml><?xml version="1.0" encoding="utf-8"?>
<a:themeOverride xmlns:a="http://schemas.openxmlformats.org/drawingml/2006/main">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6.xml><?xml version="1.0" encoding="utf-8"?>
<a:themeOverride xmlns:a="http://schemas.openxmlformats.org/drawingml/2006/main">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7.xml><?xml version="1.0" encoding="utf-8"?>
<a:themeOverride xmlns:a="http://schemas.openxmlformats.org/drawingml/2006/main">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8.xml><?xml version="1.0" encoding="utf-8"?>
<a:themeOverride xmlns:a="http://schemas.openxmlformats.org/drawingml/2006/main">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9.xml><?xml version="1.0" encoding="utf-8"?>
<a:themeOverride xmlns:a="http://schemas.openxmlformats.org/drawingml/2006/main">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0.xml><?xml version="1.0" encoding="utf-8"?>
<a:themeOverride xmlns:a="http://schemas.openxmlformats.org/drawingml/2006/main">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1B5687-B289-40D0-9449-BB8964BF3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305</TotalTime>
  <Pages>27</Pages>
  <Words>7051</Words>
  <Characters>39596</Characters>
  <Application>Microsoft Office Word</Application>
  <DocSecurity>0</DocSecurity>
  <Lines>329</Lines>
  <Paragraphs>93</Paragraphs>
  <ScaleCrop>false</ScaleCrop>
  <HeadingPairs>
    <vt:vector size="2" baseType="variant">
      <vt:variant>
        <vt:lpstr>Title</vt:lpstr>
      </vt:variant>
      <vt:variant>
        <vt:i4>1</vt:i4>
      </vt:variant>
    </vt:vector>
  </HeadingPairs>
  <TitlesOfParts>
    <vt:vector size="1" baseType="lpstr">
      <vt:lpstr>Sector Overview E - Health - Report on Government Services 2017</vt:lpstr>
    </vt:vector>
  </TitlesOfParts>
  <Company>Productivity Commission</Company>
  <LinksUpToDate>false</LinksUpToDate>
  <CharactersWithSpaces>46554</CharactersWithSpaces>
  <SharedDoc>false</SharedDoc>
  <HLinks>
    <vt:vector size="36" baseType="variant">
      <vt:variant>
        <vt:i4>1638452</vt:i4>
      </vt:variant>
      <vt:variant>
        <vt:i4>32</vt:i4>
      </vt:variant>
      <vt:variant>
        <vt:i4>0</vt:i4>
      </vt:variant>
      <vt:variant>
        <vt:i4>5</vt:i4>
      </vt:variant>
      <vt:variant>
        <vt:lpwstr/>
      </vt:variant>
      <vt:variant>
        <vt:lpwstr>_Toc306790890</vt:lpwstr>
      </vt:variant>
      <vt:variant>
        <vt:i4>1572916</vt:i4>
      </vt:variant>
      <vt:variant>
        <vt:i4>26</vt:i4>
      </vt:variant>
      <vt:variant>
        <vt:i4>0</vt:i4>
      </vt:variant>
      <vt:variant>
        <vt:i4>5</vt:i4>
      </vt:variant>
      <vt:variant>
        <vt:lpwstr/>
      </vt:variant>
      <vt:variant>
        <vt:lpwstr>_Toc306790889</vt:lpwstr>
      </vt:variant>
      <vt:variant>
        <vt:i4>1572916</vt:i4>
      </vt:variant>
      <vt:variant>
        <vt:i4>20</vt:i4>
      </vt:variant>
      <vt:variant>
        <vt:i4>0</vt:i4>
      </vt:variant>
      <vt:variant>
        <vt:i4>5</vt:i4>
      </vt:variant>
      <vt:variant>
        <vt:lpwstr/>
      </vt:variant>
      <vt:variant>
        <vt:lpwstr>_Toc306790888</vt:lpwstr>
      </vt:variant>
      <vt:variant>
        <vt:i4>1572916</vt:i4>
      </vt:variant>
      <vt:variant>
        <vt:i4>14</vt:i4>
      </vt:variant>
      <vt:variant>
        <vt:i4>0</vt:i4>
      </vt:variant>
      <vt:variant>
        <vt:i4>5</vt:i4>
      </vt:variant>
      <vt:variant>
        <vt:lpwstr/>
      </vt:variant>
      <vt:variant>
        <vt:lpwstr>_Toc306790887</vt:lpwstr>
      </vt:variant>
      <vt:variant>
        <vt:i4>1572916</vt:i4>
      </vt:variant>
      <vt:variant>
        <vt:i4>8</vt:i4>
      </vt:variant>
      <vt:variant>
        <vt:i4>0</vt:i4>
      </vt:variant>
      <vt:variant>
        <vt:i4>5</vt:i4>
      </vt:variant>
      <vt:variant>
        <vt:lpwstr/>
      </vt:variant>
      <vt:variant>
        <vt:lpwstr>_Toc306790886</vt:lpwstr>
      </vt:variant>
      <vt:variant>
        <vt:i4>1572916</vt:i4>
      </vt:variant>
      <vt:variant>
        <vt:i4>2</vt:i4>
      </vt:variant>
      <vt:variant>
        <vt:i4>0</vt:i4>
      </vt:variant>
      <vt:variant>
        <vt:i4>5</vt:i4>
      </vt:variant>
      <vt:variant>
        <vt:lpwstr/>
      </vt:variant>
      <vt:variant>
        <vt:lpwstr>_Toc306790885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Sector Overview E - Health - Report on Government Services 2017</dc:title>
  <dc:creator>Steering Committee for the Review of Government Service Provision</dc:creator>
  <cp:lastModifiedBy>Frech, Tanya</cp:lastModifiedBy>
  <cp:revision>66</cp:revision>
  <cp:lastPrinted>2017-01-04T00:58:00Z</cp:lastPrinted>
  <dcterms:created xsi:type="dcterms:W3CDTF">2016-11-28T00:37:00Z</dcterms:created>
  <dcterms:modified xsi:type="dcterms:W3CDTF">2017-01-04T00:58:00Z</dcterms:modified>
</cp:coreProperties>
</file>