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7466B9" w:rsidRDefault="00301A58" w:rsidP="00301A58">
      <w:pPr>
        <w:pStyle w:val="Heading1"/>
      </w:pPr>
      <w:bookmarkStart w:id="0" w:name="ChapterNumber"/>
      <w:bookmarkStart w:id="1" w:name="_Toc465172594"/>
      <w:bookmarkStart w:id="2" w:name="_Toc469467565"/>
      <w:bookmarkStart w:id="3" w:name="_Toc470106063"/>
      <w:r>
        <w:t>14</w:t>
      </w:r>
      <w:bookmarkEnd w:id="0"/>
      <w:r>
        <w:tab/>
      </w:r>
      <w:bookmarkStart w:id="4" w:name="ChapterTitle"/>
      <w:r>
        <w:t>Aged care services</w:t>
      </w:r>
      <w:bookmarkEnd w:id="4"/>
      <w:bookmarkEnd w:id="1"/>
      <w:bookmarkEnd w:id="2"/>
      <w:bookmarkEnd w:id="3"/>
    </w:p>
    <w:p w:rsidR="00571C59" w:rsidRDefault="00187CE7" w:rsidP="00D76218">
      <w:pPr>
        <w:pStyle w:val="Heading4"/>
        <w:rPr>
          <w:noProof/>
        </w:rPr>
      </w:pPr>
      <w:bookmarkStart w:id="5" w:name="begin"/>
      <w:bookmarkEnd w:id="5"/>
      <w:r w:rsidRPr="00425EA1">
        <w:t>CONTENTS</w:t>
      </w:r>
    </w:p>
    <w:p w:rsidR="00571C59" w:rsidRDefault="00571C59">
      <w:pPr>
        <w:pStyle w:val="TOC2"/>
        <w:tabs>
          <w:tab w:val="left" w:pos="132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Profile of aged care services</w:t>
      </w:r>
      <w:r>
        <w:rPr>
          <w:noProof/>
        </w:rPr>
        <w:tab/>
        <w:t>14.</w:t>
      </w:r>
      <w:r w:rsidR="00662F0E">
        <w:rPr>
          <w:noProof/>
        </w:rPr>
        <w:t>1</w:t>
      </w:r>
    </w:p>
    <w:p w:rsidR="00571C59" w:rsidRDefault="00571C59">
      <w:pPr>
        <w:pStyle w:val="TOC2"/>
        <w:tabs>
          <w:tab w:val="left" w:pos="132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Framework of performance indicators</w:t>
      </w:r>
      <w:r>
        <w:rPr>
          <w:noProof/>
        </w:rPr>
        <w:tab/>
        <w:t>14.</w:t>
      </w:r>
      <w:r w:rsidR="00662F0E">
        <w:rPr>
          <w:noProof/>
        </w:rPr>
        <w:t>8</w:t>
      </w:r>
    </w:p>
    <w:p w:rsidR="00571C59" w:rsidRDefault="00571C59">
      <w:pPr>
        <w:pStyle w:val="TOC2"/>
        <w:tabs>
          <w:tab w:val="left" w:pos="132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Key performance indicator results</w:t>
      </w:r>
      <w:r>
        <w:rPr>
          <w:noProof/>
        </w:rPr>
        <w:tab/>
        <w:t>14.</w:t>
      </w:r>
      <w:r w:rsidR="00662F0E">
        <w:rPr>
          <w:noProof/>
        </w:rPr>
        <w:t>9</w:t>
      </w:r>
    </w:p>
    <w:p w:rsidR="00571C59" w:rsidRDefault="00571C59">
      <w:pPr>
        <w:pStyle w:val="TOC2"/>
        <w:tabs>
          <w:tab w:val="left" w:pos="132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Definitions of key terms</w:t>
      </w:r>
      <w:r>
        <w:rPr>
          <w:noProof/>
        </w:rPr>
        <w:tab/>
        <w:t>14.</w:t>
      </w:r>
      <w:r w:rsidR="00662F0E">
        <w:rPr>
          <w:noProof/>
        </w:rPr>
        <w:t>28</w:t>
      </w:r>
    </w:p>
    <w:p w:rsidR="00571C59" w:rsidRDefault="00571C59" w:rsidP="00023A62">
      <w:pPr>
        <w:pStyle w:val="TOC2"/>
        <w:tabs>
          <w:tab w:val="left" w:pos="132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 xml:space="preserve"> References</w:t>
      </w:r>
      <w:r>
        <w:rPr>
          <w:noProof/>
        </w:rPr>
        <w:tab/>
        <w:t>14.</w:t>
      </w:r>
      <w:r w:rsidR="00662F0E">
        <w:rPr>
          <w:noProof/>
        </w:rPr>
        <w:t>30</w:t>
      </w:r>
    </w:p>
    <w:p w:rsidR="00EE0CC8" w:rsidRDefault="00EE0CC8" w:rsidP="00187CE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0CC8" w:rsidTr="000F6E9B">
        <w:tc>
          <w:tcPr>
            <w:tcW w:w="8771" w:type="dxa"/>
            <w:tcBorders>
              <w:top w:val="single" w:sz="6" w:space="0" w:color="78A22F"/>
              <w:left w:val="nil"/>
              <w:bottom w:val="nil"/>
              <w:right w:val="nil"/>
            </w:tcBorders>
            <w:shd w:val="clear" w:color="auto" w:fill="F2F2F2"/>
          </w:tcPr>
          <w:p w:rsidR="00EE0CC8" w:rsidRPr="00EE0CC8" w:rsidRDefault="00EE0CC8">
            <w:pPr>
              <w:pStyle w:val="BoxTitle"/>
            </w:pPr>
            <w:r w:rsidRPr="00EE0CC8">
              <w:t>Attachment tables</w:t>
            </w:r>
          </w:p>
        </w:tc>
      </w:tr>
      <w:tr w:rsidR="00EE0CC8" w:rsidTr="000F6E9B">
        <w:trPr>
          <w:cantSplit/>
        </w:trPr>
        <w:tc>
          <w:tcPr>
            <w:tcW w:w="8771" w:type="dxa"/>
            <w:tcBorders>
              <w:top w:val="nil"/>
              <w:left w:val="nil"/>
              <w:bottom w:val="nil"/>
              <w:right w:val="nil"/>
            </w:tcBorders>
            <w:shd w:val="clear" w:color="auto" w:fill="F2F2F2"/>
          </w:tcPr>
          <w:p w:rsidR="00EE0CC8" w:rsidRDefault="004F3E0D" w:rsidP="00995E5D">
            <w:pPr>
              <w:pStyle w:val="Box"/>
            </w:pPr>
            <w:r w:rsidRPr="004F3E0D">
              <w:t>Attachment tables are identified in ref</w:t>
            </w:r>
            <w:r>
              <w:t>erences throughout this chapter</w:t>
            </w:r>
            <w:r w:rsidRPr="004F3E0D">
              <w:t xml:space="preserve"> by a ‘</w:t>
            </w:r>
            <w:proofErr w:type="spellStart"/>
            <w:r w:rsidR="00992217">
              <w:t>14</w:t>
            </w:r>
            <w:r w:rsidRPr="004F3E0D">
              <w:t>A</w:t>
            </w:r>
            <w:proofErr w:type="spellEnd"/>
            <w:r w:rsidRPr="004F3E0D">
              <w:t>’ prefix (for example, table</w:t>
            </w:r>
            <w:r w:rsidR="00E75264">
              <w:t> </w:t>
            </w:r>
            <w:proofErr w:type="spellStart"/>
            <w:r w:rsidR="00992217">
              <w:t>14</w:t>
            </w:r>
            <w:r w:rsidRPr="004F3E0D">
              <w:t>A.</w:t>
            </w:r>
            <w:r w:rsidR="003F1442">
              <w:t>1</w:t>
            </w:r>
            <w:proofErr w:type="spellEnd"/>
            <w:r w:rsidRPr="004F3E0D">
              <w:t>)</w:t>
            </w:r>
            <w:r w:rsidR="00995E5D">
              <w:t xml:space="preserve"> and </w:t>
            </w:r>
            <w:r w:rsidRPr="004F3E0D">
              <w:t xml:space="preserve">are available </w:t>
            </w:r>
            <w:r w:rsidR="00992217">
              <w:t>from</w:t>
            </w:r>
            <w:r w:rsidRPr="004F3E0D">
              <w:t xml:space="preserve"> the website </w:t>
            </w:r>
            <w:proofErr w:type="spellStart"/>
            <w:r w:rsidRPr="004F3E0D">
              <w:t>www.pc.gov.au</w:t>
            </w:r>
            <w:proofErr w:type="spellEnd"/>
            <w:r w:rsidRPr="004F3E0D">
              <w:t>/</w:t>
            </w:r>
            <w:proofErr w:type="spellStart"/>
            <w:r w:rsidRPr="004F3E0D">
              <w:t>rogs</w:t>
            </w:r>
            <w:proofErr w:type="spellEnd"/>
            <w:r w:rsidRPr="004F3E0D">
              <w:t>/201</w:t>
            </w:r>
            <w:r w:rsidR="009D361B">
              <w:t>7</w:t>
            </w:r>
            <w:r w:rsidRPr="004F3E0D">
              <w:t>.</w:t>
            </w:r>
          </w:p>
        </w:tc>
      </w:tr>
      <w:tr w:rsidR="00EE0CC8" w:rsidTr="000F6E9B">
        <w:trPr>
          <w:cantSplit/>
        </w:trPr>
        <w:tc>
          <w:tcPr>
            <w:tcW w:w="8771" w:type="dxa"/>
            <w:tcBorders>
              <w:top w:val="nil"/>
              <w:left w:val="nil"/>
              <w:bottom w:val="single" w:sz="6" w:space="0" w:color="78A22F"/>
              <w:right w:val="nil"/>
            </w:tcBorders>
            <w:shd w:val="clear" w:color="auto" w:fill="F2F2F2"/>
          </w:tcPr>
          <w:p w:rsidR="00EE0CC8" w:rsidRDefault="00EE0CC8">
            <w:pPr>
              <w:pStyle w:val="Box"/>
              <w:spacing w:before="0" w:line="120" w:lineRule="exact"/>
            </w:pPr>
          </w:p>
        </w:tc>
      </w:tr>
      <w:tr w:rsidR="00EE0CC8" w:rsidRPr="000863A5" w:rsidTr="000F6E9B">
        <w:tc>
          <w:tcPr>
            <w:tcW w:w="8771" w:type="dxa"/>
            <w:tcBorders>
              <w:top w:val="single" w:sz="6" w:space="0" w:color="78A22F"/>
              <w:left w:val="nil"/>
              <w:bottom w:val="nil"/>
              <w:right w:val="nil"/>
            </w:tcBorders>
          </w:tcPr>
          <w:p w:rsidR="00EE0CC8" w:rsidRPr="00626D32" w:rsidRDefault="00EE0CC8" w:rsidP="000F6E9B">
            <w:pPr>
              <w:pStyle w:val="BoxSpaceBelow"/>
            </w:pPr>
          </w:p>
        </w:tc>
      </w:tr>
    </w:tbl>
    <w:p w:rsidR="00666E02" w:rsidRDefault="00246A6C" w:rsidP="00120072">
      <w:pPr>
        <w:pStyle w:val="BodyText"/>
      </w:pPr>
      <w:r w:rsidRPr="00246A6C">
        <w:t xml:space="preserve">This chapter focuses on government </w:t>
      </w:r>
      <w:r w:rsidR="000E44EB">
        <w:t>funded</w:t>
      </w:r>
      <w:r w:rsidRPr="00246A6C">
        <w:t xml:space="preserve"> care and support services</w:t>
      </w:r>
      <w:r w:rsidR="007B42C9" w:rsidRPr="007B42C9">
        <w:t xml:space="preserve"> </w:t>
      </w:r>
      <w:r w:rsidR="007B42C9" w:rsidRPr="00246A6C">
        <w:t xml:space="preserve">for older people and their </w:t>
      </w:r>
      <w:proofErr w:type="spellStart"/>
      <w:r w:rsidR="007B42C9" w:rsidRPr="00246A6C">
        <w:t>carers</w:t>
      </w:r>
      <w:proofErr w:type="spellEnd"/>
      <w:r w:rsidR="004864AB">
        <w:t xml:space="preserve">, which </w:t>
      </w:r>
      <w:r w:rsidR="00D83F93">
        <w:t xml:space="preserve">are </w:t>
      </w:r>
      <w:r w:rsidRPr="00246A6C">
        <w:t xml:space="preserve">provided </w:t>
      </w:r>
      <w:r w:rsidR="007B42C9">
        <w:t>at</w:t>
      </w:r>
      <w:r w:rsidRPr="00246A6C">
        <w:t xml:space="preserve"> home and in residential care</w:t>
      </w:r>
      <w:r w:rsidR="00102B27">
        <w:t xml:space="preserve"> facilities</w:t>
      </w:r>
      <w:r w:rsidRPr="00246A6C">
        <w:t>.</w:t>
      </w:r>
      <w:r w:rsidR="00B603A6" w:rsidRPr="00B603A6">
        <w:t xml:space="preserve"> </w:t>
      </w:r>
    </w:p>
    <w:p w:rsidR="00E20DF4" w:rsidRDefault="00E20DF4" w:rsidP="004B2BE8">
      <w:pPr>
        <w:pStyle w:val="BodyText"/>
      </w:pPr>
      <w:r w:rsidRPr="00E20DF4">
        <w:t>All abbreviations used in this Report are available in a complete list in volume A: Approach to performance reporting.</w:t>
      </w:r>
    </w:p>
    <w:p w:rsidR="00B603A6" w:rsidRDefault="00B603A6" w:rsidP="00B603A6">
      <w:pPr>
        <w:pStyle w:val="Heading2"/>
      </w:pPr>
      <w:bookmarkStart w:id="6" w:name="_Toc470106064"/>
      <w:r>
        <w:t>1</w:t>
      </w:r>
      <w:r w:rsidR="00CE6E19">
        <w:t>4</w:t>
      </w:r>
      <w:r>
        <w:t>.</w:t>
      </w:r>
      <w:r w:rsidR="00CA1F6E">
        <w:rPr>
          <w:noProof/>
        </w:rPr>
        <w:t>1</w:t>
      </w:r>
      <w:r>
        <w:tab/>
      </w:r>
      <w:r w:rsidRPr="00B603A6">
        <w:t>Profile of aged care services</w:t>
      </w:r>
      <w:bookmarkEnd w:id="6"/>
    </w:p>
    <w:p w:rsidR="00B603A6" w:rsidRPr="0053213A" w:rsidRDefault="00B603A6" w:rsidP="0053213A">
      <w:pPr>
        <w:pStyle w:val="Heading3"/>
      </w:pPr>
      <w:r w:rsidRPr="0053213A">
        <w:t>Service overview</w:t>
      </w:r>
    </w:p>
    <w:p w:rsidR="00B603A6" w:rsidRPr="00B603A6" w:rsidRDefault="0025389B" w:rsidP="00B603A6">
      <w:pPr>
        <w:pStyle w:val="BodyText"/>
      </w:pPr>
      <w:r>
        <w:t xml:space="preserve">Government </w:t>
      </w:r>
      <w:r w:rsidR="000E44EB">
        <w:t>funded</w:t>
      </w:r>
      <w:r w:rsidR="004864AB">
        <w:t xml:space="preserve"> </w:t>
      </w:r>
      <w:r>
        <w:t>a</w:t>
      </w:r>
      <w:r w:rsidR="00102B27" w:rsidRPr="00102B27">
        <w:t xml:space="preserve">ged care services </w:t>
      </w:r>
      <w:r w:rsidR="00B603A6">
        <w:t>are provided on the basis of frailty or disability</w:t>
      </w:r>
      <w:r w:rsidR="001833D1">
        <w:t>.</w:t>
      </w:r>
      <w:r w:rsidR="000E44EB">
        <w:t xml:space="preserve"> </w:t>
      </w:r>
      <w:r w:rsidR="001833D1" w:rsidRPr="001833D1">
        <w:t>Servi</w:t>
      </w:r>
      <w:r w:rsidR="001833D1">
        <w:t>ces covered are</w:t>
      </w:r>
      <w:r w:rsidR="00B603A6">
        <w:t>:</w:t>
      </w:r>
    </w:p>
    <w:p w:rsidR="000E44EB" w:rsidRDefault="000E44EB" w:rsidP="0025389B">
      <w:pPr>
        <w:pStyle w:val="ListBullet"/>
      </w:pPr>
      <w:r>
        <w:t xml:space="preserve">information and assessment services </w:t>
      </w:r>
    </w:p>
    <w:p w:rsidR="00B603A6" w:rsidRDefault="00626C1B" w:rsidP="0025389B">
      <w:pPr>
        <w:pStyle w:val="ListBullet"/>
      </w:pPr>
      <w:r>
        <w:t>home care and support</w:t>
      </w:r>
      <w:r w:rsidR="00B603A6" w:rsidRPr="00090256">
        <w:t xml:space="preserve"> services</w:t>
      </w:r>
      <w:r w:rsidR="00BE6F0E">
        <w:t xml:space="preserve"> </w:t>
      </w:r>
    </w:p>
    <w:p w:rsidR="00283E47" w:rsidRDefault="00283E47" w:rsidP="005072C7">
      <w:pPr>
        <w:pStyle w:val="ListBullet"/>
        <w:shd w:val="clear" w:color="auto" w:fill="FFFFFF" w:themeFill="background1"/>
      </w:pPr>
      <w:r>
        <w:t xml:space="preserve">residential care services </w:t>
      </w:r>
    </w:p>
    <w:p w:rsidR="004864AB" w:rsidRDefault="00283E47" w:rsidP="00C37A27">
      <w:pPr>
        <w:pStyle w:val="ListBullet"/>
        <w:shd w:val="clear" w:color="auto" w:fill="FFFFFF" w:themeFill="background1"/>
      </w:pPr>
      <w:r>
        <w:t>flexible care services</w:t>
      </w:r>
      <w:r w:rsidR="00280561">
        <w:t>.</w:t>
      </w:r>
      <w:r w:rsidR="00507F7F">
        <w:t xml:space="preserve"> </w:t>
      </w:r>
    </w:p>
    <w:p w:rsidR="00507F7F" w:rsidRDefault="00BE6F0E" w:rsidP="000E44EB">
      <w:pPr>
        <w:pStyle w:val="BodyText"/>
        <w:widowControl w:val="0"/>
      </w:pPr>
      <w:r w:rsidRPr="00BE6F0E">
        <w:t>The Australian Government also funds</w:t>
      </w:r>
      <w:r w:rsidR="00515A90">
        <w:t xml:space="preserve"> </w:t>
      </w:r>
      <w:r w:rsidRPr="00BE6F0E">
        <w:t xml:space="preserve">activities related to workforce and </w:t>
      </w:r>
      <w:r w:rsidR="00084F55">
        <w:t xml:space="preserve">service </w:t>
      </w:r>
      <w:r w:rsidRPr="00BE6F0E">
        <w:t>quality</w:t>
      </w:r>
      <w:r w:rsidR="008552A6">
        <w:t>,</w:t>
      </w:r>
      <w:r w:rsidRPr="00BE6F0E">
        <w:t xml:space="preserve"> and ageing and service improvement</w:t>
      </w:r>
      <w:r>
        <w:t>.</w:t>
      </w:r>
      <w:r w:rsidRPr="00BE6F0E">
        <w:t xml:space="preserve"> </w:t>
      </w:r>
    </w:p>
    <w:p w:rsidR="00E20DF4" w:rsidRDefault="004864AB" w:rsidP="00515A90">
      <w:pPr>
        <w:pStyle w:val="BodyText"/>
      </w:pPr>
      <w:r>
        <w:lastRenderedPageBreak/>
        <w:t>G</w:t>
      </w:r>
      <w:r w:rsidR="00A26F91">
        <w:t>overnment</w:t>
      </w:r>
      <w:r w:rsidR="00B603A6">
        <w:t xml:space="preserve"> </w:t>
      </w:r>
      <w:r w:rsidR="000E44EB">
        <w:t>funded</w:t>
      </w:r>
      <w:r w:rsidR="00B603A6">
        <w:t xml:space="preserve"> </w:t>
      </w:r>
      <w:r>
        <w:t xml:space="preserve">aged care </w:t>
      </w:r>
      <w:r w:rsidR="00B603A6">
        <w:t xml:space="preserve">services </w:t>
      </w:r>
      <w:r w:rsidR="00515A90">
        <w:t>represent</w:t>
      </w:r>
      <w:r w:rsidR="00B603A6">
        <w:t xml:space="preserve"> </w:t>
      </w:r>
      <w:r w:rsidR="005D5909" w:rsidRPr="009D44D7">
        <w:rPr>
          <w:shd w:val="clear" w:color="auto" w:fill="FFFFFF" w:themeFill="background1"/>
        </w:rPr>
        <w:t>around one</w:t>
      </w:r>
      <w:r w:rsidR="00664BA5">
        <w:rPr>
          <w:shd w:val="clear" w:color="auto" w:fill="FFFFFF" w:themeFill="background1"/>
        </w:rPr>
        <w:noBreakHyphen/>
      </w:r>
      <w:r w:rsidR="005D5909" w:rsidRPr="009D44D7">
        <w:rPr>
          <w:shd w:val="clear" w:color="auto" w:fill="FFFFFF" w:themeFill="background1"/>
        </w:rPr>
        <w:t>quarter of the total assistance provided to older people</w:t>
      </w:r>
      <w:r w:rsidR="00190D14" w:rsidRPr="009D44D7">
        <w:rPr>
          <w:shd w:val="clear" w:color="auto" w:fill="FFFFFF" w:themeFill="background1"/>
        </w:rPr>
        <w:t xml:space="preserve"> with around three</w:t>
      </w:r>
      <w:r w:rsidR="00664BA5">
        <w:rPr>
          <w:shd w:val="clear" w:color="auto" w:fill="FFFFFF" w:themeFill="background1"/>
        </w:rPr>
        <w:noBreakHyphen/>
      </w:r>
      <w:r w:rsidR="00190D14" w:rsidRPr="009D44D7">
        <w:rPr>
          <w:shd w:val="clear" w:color="auto" w:fill="FFFFFF" w:themeFill="background1"/>
        </w:rPr>
        <w:t xml:space="preserve">quarters </w:t>
      </w:r>
      <w:r w:rsidR="007D1532" w:rsidRPr="009D44D7">
        <w:rPr>
          <w:shd w:val="clear" w:color="auto" w:fill="FFFFFF" w:themeFill="background1"/>
        </w:rPr>
        <w:t>coming</w:t>
      </w:r>
      <w:r w:rsidR="005D5909" w:rsidRPr="009D44D7">
        <w:rPr>
          <w:shd w:val="clear" w:color="auto" w:fill="FFFFFF" w:themeFill="background1"/>
        </w:rPr>
        <w:t xml:space="preserve"> from informal providers </w:t>
      </w:r>
      <w:r w:rsidR="007D1532" w:rsidRPr="009D44D7">
        <w:rPr>
          <w:shd w:val="clear" w:color="auto" w:fill="FFFFFF" w:themeFill="background1"/>
        </w:rPr>
        <w:br/>
      </w:r>
      <w:r w:rsidR="005D5909" w:rsidRPr="009D44D7">
        <w:rPr>
          <w:shd w:val="clear" w:color="auto" w:fill="FFFFFF" w:themeFill="background1"/>
        </w:rPr>
        <w:t>(ABS 2016)</w:t>
      </w:r>
      <w:r w:rsidR="00B603A6" w:rsidRPr="009D44D7">
        <w:rPr>
          <w:shd w:val="clear" w:color="auto" w:fill="FFFFFF" w:themeFill="background1"/>
        </w:rPr>
        <w:t xml:space="preserve">. </w:t>
      </w:r>
      <w:r w:rsidR="005D5909" w:rsidRPr="009D44D7">
        <w:rPr>
          <w:shd w:val="clear" w:color="auto" w:fill="FFFFFF" w:themeFill="background1"/>
        </w:rPr>
        <w:t xml:space="preserve">A spouse, partner or other family member </w:t>
      </w:r>
      <w:r w:rsidR="00515A90" w:rsidRPr="009D44D7">
        <w:rPr>
          <w:shd w:val="clear" w:color="auto" w:fill="FFFFFF" w:themeFill="background1"/>
        </w:rPr>
        <w:t>are</w:t>
      </w:r>
      <w:r w:rsidR="00B603A6" w:rsidRPr="009D44D7">
        <w:rPr>
          <w:shd w:val="clear" w:color="auto" w:fill="FFFFFF" w:themeFill="background1"/>
        </w:rPr>
        <w:t xml:space="preserve"> the largest source of </w:t>
      </w:r>
      <w:r w:rsidRPr="009D44D7">
        <w:rPr>
          <w:shd w:val="clear" w:color="auto" w:fill="FFFFFF" w:themeFill="background1"/>
        </w:rPr>
        <w:t>care and</w:t>
      </w:r>
      <w:r w:rsidR="00B603A6" w:rsidRPr="009D44D7">
        <w:rPr>
          <w:shd w:val="clear" w:color="auto" w:fill="FFFFFF" w:themeFill="background1"/>
        </w:rPr>
        <w:t xml:space="preserve"> support for older people</w:t>
      </w:r>
      <w:r w:rsidR="005D5909" w:rsidRPr="009D44D7">
        <w:rPr>
          <w:shd w:val="clear" w:color="auto" w:fill="FFFFFF" w:themeFill="background1"/>
        </w:rPr>
        <w:t xml:space="preserve"> (ABS 2016)</w:t>
      </w:r>
      <w:r w:rsidR="00B603A6" w:rsidRPr="009D44D7">
        <w:rPr>
          <w:shd w:val="clear" w:color="auto" w:fill="FFFFFF" w:themeFill="background1"/>
        </w:rPr>
        <w:t>.</w:t>
      </w:r>
      <w:r w:rsidR="00B603A6">
        <w:t xml:space="preserve"> </w:t>
      </w:r>
      <w:r>
        <w:t xml:space="preserve">Older people </w:t>
      </w:r>
      <w:r w:rsidR="00515A90">
        <w:t xml:space="preserve">can </w:t>
      </w:r>
      <w:r>
        <w:t>also purchase care and support services in the private market.</w:t>
      </w:r>
    </w:p>
    <w:p w:rsidR="00374172" w:rsidRDefault="00374172" w:rsidP="00AD2365">
      <w:pPr>
        <w:pStyle w:val="Heading3"/>
        <w:spacing w:before="480"/>
      </w:pPr>
      <w:r w:rsidRPr="00374172">
        <w:t>Roles and responsibilities</w:t>
      </w:r>
      <w:r w:rsidR="009F72C5" w:rsidRPr="009F72C5">
        <w:t xml:space="preserve"> </w:t>
      </w:r>
    </w:p>
    <w:p w:rsidR="005A37F7" w:rsidRDefault="001A3F50" w:rsidP="00A26F91">
      <w:pPr>
        <w:pStyle w:val="BodyText"/>
        <w:shd w:val="clear" w:color="auto" w:fill="FFFFFF" w:themeFill="background1"/>
      </w:pPr>
      <w:r>
        <w:t xml:space="preserve">The funding, regulation and policy oversight of aged care services are predominantly the role of the Australian Government. </w:t>
      </w:r>
      <w:r w:rsidR="005A37F7">
        <w:t xml:space="preserve">The </w:t>
      </w:r>
      <w:r w:rsidR="005A37F7" w:rsidRPr="00683F2B">
        <w:rPr>
          <w:i/>
        </w:rPr>
        <w:t>Aged Care Act 1997</w:t>
      </w:r>
      <w:r w:rsidR="005A37F7">
        <w:t xml:space="preserve">, together with the accompanying </w:t>
      </w:r>
      <w:r w:rsidR="005A37F7" w:rsidRPr="00F25D62">
        <w:t>Aged Care Principles,</w:t>
      </w:r>
      <w:r w:rsidR="005A37F7">
        <w:t xml:space="preserve"> are the main regulatory instruments establishing the aged care framework, although some services are provided outside of the Act. Key provisions covered include service planning, user rights, eligibility for care, funding, quality assurance and accountability. </w:t>
      </w:r>
    </w:p>
    <w:p w:rsidR="007D544D" w:rsidRDefault="005A37F7" w:rsidP="00A26F91">
      <w:pPr>
        <w:pStyle w:val="BodyText"/>
        <w:shd w:val="clear" w:color="auto" w:fill="FFFFFF" w:themeFill="background1"/>
      </w:pPr>
      <w:r>
        <w:t xml:space="preserve">State, Territory and local governments </w:t>
      </w:r>
      <w:r w:rsidR="00A26F91">
        <w:t>fund and</w:t>
      </w:r>
      <w:r w:rsidR="0025389B">
        <w:t>/or</w:t>
      </w:r>
      <w:r w:rsidR="00A26F91">
        <w:t xml:space="preserve"> </w:t>
      </w:r>
      <w:r>
        <w:t xml:space="preserve">deliver some aged care services. </w:t>
      </w:r>
      <w:r w:rsidR="001968AA">
        <w:t xml:space="preserve">State and Territory </w:t>
      </w:r>
      <w:r w:rsidR="00306089">
        <w:t>governments</w:t>
      </w:r>
      <w:r w:rsidR="00B849DD">
        <w:t>’</w:t>
      </w:r>
      <w:r w:rsidR="00306089">
        <w:t xml:space="preserve"> </w:t>
      </w:r>
      <w:r w:rsidR="0060133A">
        <w:t xml:space="preserve">main areas of involvement are </w:t>
      </w:r>
      <w:r w:rsidR="000C7D1B">
        <w:t xml:space="preserve">in </w:t>
      </w:r>
      <w:r w:rsidR="0060133A">
        <w:t xml:space="preserve">the </w:t>
      </w:r>
      <w:r w:rsidR="00306089">
        <w:t>day</w:t>
      </w:r>
      <w:r w:rsidR="00306089">
        <w:noBreakHyphen/>
        <w:t>to</w:t>
      </w:r>
      <w:r w:rsidR="00306089">
        <w:noBreakHyphen/>
        <w:t>day operation and administration of Aged Care Assessment Teams</w:t>
      </w:r>
      <w:r w:rsidR="00D7190E">
        <w:t xml:space="preserve"> </w:t>
      </w:r>
      <w:r w:rsidR="005E70A1">
        <w:t>(</w:t>
      </w:r>
      <w:proofErr w:type="spellStart"/>
      <w:r w:rsidR="005E70A1">
        <w:t>ACATs</w:t>
      </w:r>
      <w:proofErr w:type="spellEnd"/>
      <w:r w:rsidR="005E70A1">
        <w:t xml:space="preserve">) </w:t>
      </w:r>
      <w:r w:rsidR="00D7190E">
        <w:t xml:space="preserve">and </w:t>
      </w:r>
      <w:r w:rsidR="0025389B">
        <w:t>with the Australian Government</w:t>
      </w:r>
      <w:r w:rsidR="005E70A1">
        <w:t>,</w:t>
      </w:r>
      <w:r w:rsidR="0025389B">
        <w:t xml:space="preserve"> </w:t>
      </w:r>
      <w:r w:rsidR="0060133A">
        <w:t xml:space="preserve">the </w:t>
      </w:r>
      <w:r w:rsidR="00306089">
        <w:t>joint administ</w:t>
      </w:r>
      <w:r w:rsidR="0060133A">
        <w:t>ration</w:t>
      </w:r>
      <w:r w:rsidR="00306089">
        <w:t xml:space="preserve"> and/or fund</w:t>
      </w:r>
      <w:r w:rsidR="0060133A">
        <w:t>ing of</w:t>
      </w:r>
      <w:r w:rsidR="00306089">
        <w:t xml:space="preserve"> </w:t>
      </w:r>
      <w:r w:rsidR="00E77D4F">
        <w:t>H</w:t>
      </w:r>
      <w:r w:rsidR="006371D9">
        <w:t>ome and Community Care (</w:t>
      </w:r>
      <w:proofErr w:type="spellStart"/>
      <w:r w:rsidR="006371D9">
        <w:t>H</w:t>
      </w:r>
      <w:r w:rsidR="00E77D4F">
        <w:t>ACC</w:t>
      </w:r>
      <w:proofErr w:type="spellEnd"/>
      <w:r w:rsidR="006371D9">
        <w:t>)</w:t>
      </w:r>
      <w:r w:rsidR="00E77D4F">
        <w:t xml:space="preserve"> </w:t>
      </w:r>
      <w:r w:rsidR="007D544D" w:rsidRPr="00A26F91">
        <w:rPr>
          <w:shd w:val="clear" w:color="auto" w:fill="FFFFFF" w:themeFill="background1"/>
        </w:rPr>
        <w:t xml:space="preserve">services </w:t>
      </w:r>
      <w:r w:rsidR="002D7BE6" w:rsidRPr="00A26F91">
        <w:rPr>
          <w:shd w:val="clear" w:color="auto" w:fill="FFFFFF" w:themeFill="background1"/>
        </w:rPr>
        <w:t>in Victoria and WA</w:t>
      </w:r>
      <w:r w:rsidR="00A965E4">
        <w:rPr>
          <w:shd w:val="clear" w:color="auto" w:fill="FFFFFF" w:themeFill="background1"/>
        </w:rPr>
        <w:t xml:space="preserve"> (for older and younger clients)</w:t>
      </w:r>
      <w:r w:rsidR="00C37A27">
        <w:rPr>
          <w:shd w:val="clear" w:color="auto" w:fill="FFFFFF" w:themeFill="background1"/>
        </w:rPr>
        <w:t xml:space="preserve">, and </w:t>
      </w:r>
      <w:r w:rsidR="0025389B">
        <w:rPr>
          <w:shd w:val="clear" w:color="auto" w:fill="FFFFFF" w:themeFill="background1"/>
        </w:rPr>
        <w:t xml:space="preserve">the </w:t>
      </w:r>
      <w:r w:rsidR="002D7BE6" w:rsidRPr="00A26F91">
        <w:rPr>
          <w:shd w:val="clear" w:color="auto" w:fill="FFFFFF" w:themeFill="background1"/>
        </w:rPr>
        <w:t>Transition Care and Multi</w:t>
      </w:r>
      <w:r w:rsidR="00E75264">
        <w:rPr>
          <w:shd w:val="clear" w:color="auto" w:fill="FFFFFF" w:themeFill="background1"/>
        </w:rPr>
        <w:noBreakHyphen/>
      </w:r>
      <w:r w:rsidR="002D7BE6" w:rsidRPr="00A26F91">
        <w:rPr>
          <w:shd w:val="clear" w:color="auto" w:fill="FFFFFF" w:themeFill="background1"/>
        </w:rPr>
        <w:t>Purpose Services</w:t>
      </w:r>
      <w:r w:rsidR="0025389B">
        <w:rPr>
          <w:shd w:val="clear" w:color="auto" w:fill="FFFFFF" w:themeFill="background1"/>
        </w:rPr>
        <w:t xml:space="preserve"> </w:t>
      </w:r>
      <w:r w:rsidR="005E70A1">
        <w:rPr>
          <w:shd w:val="clear" w:color="auto" w:fill="FFFFFF" w:themeFill="background1"/>
        </w:rPr>
        <w:t xml:space="preserve">(MPS) </w:t>
      </w:r>
      <w:r w:rsidR="0025389B">
        <w:rPr>
          <w:shd w:val="clear" w:color="auto" w:fill="FFFFFF" w:themeFill="background1"/>
        </w:rPr>
        <w:t>programs</w:t>
      </w:r>
      <w:r w:rsidR="002D7BE6" w:rsidRPr="00A26F91">
        <w:rPr>
          <w:shd w:val="clear" w:color="auto" w:fill="FFFFFF" w:themeFill="background1"/>
        </w:rPr>
        <w:t>.</w:t>
      </w:r>
      <w:r w:rsidR="002D7BE6" w:rsidRPr="004B2BE8">
        <w:t xml:space="preserve"> </w:t>
      </w:r>
    </w:p>
    <w:p w:rsidR="00D717CE" w:rsidRDefault="007D544D" w:rsidP="00D717CE">
      <w:pPr>
        <w:pStyle w:val="BodyText"/>
        <w:shd w:val="clear" w:color="auto" w:fill="FFFFFF" w:themeFill="background1"/>
      </w:pPr>
      <w:r>
        <w:t>Services are largely delivered by non</w:t>
      </w:r>
      <w:r>
        <w:noBreakHyphen/>
        <w:t xml:space="preserve">government </w:t>
      </w:r>
      <w:r w:rsidR="00D717CE">
        <w:t>providers (tables</w:t>
      </w:r>
      <w:r w:rsidR="00664BA5">
        <w:t> </w:t>
      </w:r>
      <w:proofErr w:type="spellStart"/>
      <w:r w:rsidR="00D717CE">
        <w:t>1</w:t>
      </w:r>
      <w:r w:rsidR="00184502">
        <w:t>4</w:t>
      </w:r>
      <w:r w:rsidR="00D717CE">
        <w:t>A.1</w:t>
      </w:r>
      <w:r w:rsidR="00970C7E">
        <w:t>0</w:t>
      </w:r>
      <w:proofErr w:type="spellEnd"/>
      <w:r w:rsidR="004A3CAD">
        <w:t>−</w:t>
      </w:r>
      <w:r w:rsidR="00D717CE">
        <w:t>1</w:t>
      </w:r>
      <w:r w:rsidR="00970C7E">
        <w:t>1</w:t>
      </w:r>
      <w:r w:rsidR="006371D9">
        <w:t>)</w:t>
      </w:r>
      <w:r w:rsidR="00D717CE">
        <w:t xml:space="preserve"> such as religious, community</w:t>
      </w:r>
      <w:r w:rsidR="00664BA5">
        <w:noBreakHyphen/>
      </w:r>
      <w:r w:rsidR="00D717CE">
        <w:t>based and charitable</w:t>
      </w:r>
      <w:r w:rsidR="00D717CE" w:rsidRPr="00D717CE">
        <w:t xml:space="preserve"> </w:t>
      </w:r>
      <w:r w:rsidR="00D717CE">
        <w:t>organisations</w:t>
      </w:r>
      <w:r w:rsidR="008A57A7" w:rsidRPr="008A57A7">
        <w:t>.</w:t>
      </w:r>
      <w:r w:rsidR="00DA66F7">
        <w:t xml:space="preserve"> Governments </w:t>
      </w:r>
      <w:r w:rsidR="000E44EB">
        <w:t>subsidise</w:t>
      </w:r>
      <w:r w:rsidR="00821466">
        <w:t xml:space="preserve"> </w:t>
      </w:r>
      <w:r w:rsidR="00DA66F7">
        <w:t>only a portion of the cost of care, with c</w:t>
      </w:r>
      <w:r w:rsidR="00DA66F7" w:rsidRPr="00DA66F7">
        <w:t xml:space="preserve">lients and residents </w:t>
      </w:r>
      <w:r w:rsidR="000E44EB">
        <w:t xml:space="preserve">also </w:t>
      </w:r>
      <w:r w:rsidR="00DA66F7">
        <w:t>contributing through</w:t>
      </w:r>
      <w:r w:rsidR="00DA66F7" w:rsidRPr="00DA66F7">
        <w:t xml:space="preserve"> fees and payments</w:t>
      </w:r>
      <w:r w:rsidR="00DA66F7">
        <w:t xml:space="preserve">. </w:t>
      </w:r>
      <w:r w:rsidR="000E44EB">
        <w:t>C</w:t>
      </w:r>
      <w:r w:rsidR="00DA66F7" w:rsidRPr="00DA66F7">
        <w:t>haritable sources and donations</w:t>
      </w:r>
      <w:r w:rsidR="000E44EB" w:rsidRPr="000E44EB">
        <w:t xml:space="preserve"> </w:t>
      </w:r>
      <w:r w:rsidR="000E44EB">
        <w:t>can also be a source of revenue for providers</w:t>
      </w:r>
      <w:r w:rsidR="00DA66F7" w:rsidRPr="00DA66F7">
        <w:t>.</w:t>
      </w:r>
    </w:p>
    <w:p w:rsidR="00D717CE" w:rsidRPr="00864C90" w:rsidRDefault="00821466" w:rsidP="00D717CE">
      <w:pPr>
        <w:pStyle w:val="Heading3"/>
        <w:spacing w:before="480"/>
      </w:pPr>
      <w:r>
        <w:t>Government expenditure</w:t>
      </w:r>
    </w:p>
    <w:p w:rsidR="00CD5831" w:rsidRDefault="00193A6D" w:rsidP="00851ED1">
      <w:pPr>
        <w:pStyle w:val="BodyText"/>
      </w:pPr>
      <w:r>
        <w:t xml:space="preserve">Government </w:t>
      </w:r>
      <w:r w:rsidR="00CD5831">
        <w:t xml:space="preserve">recurrent </w:t>
      </w:r>
      <w:r>
        <w:t xml:space="preserve">expenditure on aged care services </w:t>
      </w:r>
      <w:r w:rsidR="003166EA" w:rsidRPr="00864C90">
        <w:t>was $</w:t>
      </w:r>
      <w:r w:rsidR="00970C7E" w:rsidRPr="009D44D7">
        <w:rPr>
          <w:shd w:val="clear" w:color="auto" w:fill="FFFFFF" w:themeFill="background1"/>
        </w:rPr>
        <w:t>16.</w:t>
      </w:r>
      <w:r w:rsidR="009E2685" w:rsidRPr="009D44D7">
        <w:rPr>
          <w:shd w:val="clear" w:color="auto" w:fill="FFFFFF" w:themeFill="background1"/>
        </w:rPr>
        <w:t>8</w:t>
      </w:r>
      <w:r w:rsidR="00F214FF" w:rsidRPr="009D44D7">
        <w:rPr>
          <w:shd w:val="clear" w:color="auto" w:fill="FFFFFF" w:themeFill="background1"/>
        </w:rPr>
        <w:t xml:space="preserve"> </w:t>
      </w:r>
      <w:r w:rsidR="003166EA" w:rsidRPr="009D44D7">
        <w:rPr>
          <w:shd w:val="clear" w:color="auto" w:fill="FFFFFF" w:themeFill="background1"/>
        </w:rPr>
        <w:t>billion in 201</w:t>
      </w:r>
      <w:r w:rsidRPr="009D44D7">
        <w:rPr>
          <w:shd w:val="clear" w:color="auto" w:fill="FFFFFF" w:themeFill="background1"/>
        </w:rPr>
        <w:t>5</w:t>
      </w:r>
      <w:r w:rsidR="00D57DEC" w:rsidRPr="009D44D7">
        <w:rPr>
          <w:shd w:val="clear" w:color="auto" w:fill="FFFFFF" w:themeFill="background1"/>
        </w:rPr>
        <w:noBreakHyphen/>
      </w:r>
      <w:r w:rsidR="003166EA" w:rsidRPr="009D44D7">
        <w:rPr>
          <w:shd w:val="clear" w:color="auto" w:fill="FFFFFF" w:themeFill="background1"/>
        </w:rPr>
        <w:t>1</w:t>
      </w:r>
      <w:r w:rsidRPr="009D44D7">
        <w:rPr>
          <w:shd w:val="clear" w:color="auto" w:fill="FFFFFF" w:themeFill="background1"/>
        </w:rPr>
        <w:t>6</w:t>
      </w:r>
      <w:r w:rsidR="00643ADD" w:rsidRPr="009D44D7">
        <w:rPr>
          <w:shd w:val="clear" w:color="auto" w:fill="FFFFFF" w:themeFill="background1"/>
        </w:rPr>
        <w:t xml:space="preserve"> or $</w:t>
      </w:r>
      <w:r w:rsidR="00970C7E" w:rsidRPr="009D44D7">
        <w:rPr>
          <w:shd w:val="clear" w:color="auto" w:fill="FFFFFF" w:themeFill="background1"/>
        </w:rPr>
        <w:t>44</w:t>
      </w:r>
      <w:r w:rsidR="009E2685" w:rsidRPr="009D44D7">
        <w:rPr>
          <w:shd w:val="clear" w:color="auto" w:fill="FFFFFF" w:themeFill="background1"/>
        </w:rPr>
        <w:t>53</w:t>
      </w:r>
      <w:r w:rsidR="00643ADD" w:rsidRPr="009D44D7">
        <w:rPr>
          <w:shd w:val="clear" w:color="auto" w:fill="FFFFFF" w:themeFill="background1"/>
        </w:rPr>
        <w:t xml:space="preserve"> per</w:t>
      </w:r>
      <w:r w:rsidR="00E300A0" w:rsidRPr="009D44D7">
        <w:rPr>
          <w:shd w:val="clear" w:color="auto" w:fill="FFFFFF" w:themeFill="background1"/>
        </w:rPr>
        <w:t xml:space="preserve"> older</w:t>
      </w:r>
      <w:r w:rsidR="00643ADD" w:rsidRPr="009D44D7">
        <w:rPr>
          <w:shd w:val="clear" w:color="auto" w:fill="FFFFFF" w:themeFill="background1"/>
        </w:rPr>
        <w:t xml:space="preserve"> </w:t>
      </w:r>
      <w:r w:rsidR="00E23E55" w:rsidRPr="009D44D7">
        <w:rPr>
          <w:shd w:val="clear" w:color="auto" w:fill="FFFFFF" w:themeFill="background1"/>
        </w:rPr>
        <w:t xml:space="preserve">person </w:t>
      </w:r>
      <w:r w:rsidR="003166EA" w:rsidRPr="009D44D7">
        <w:rPr>
          <w:shd w:val="clear" w:color="auto" w:fill="FFFFFF" w:themeFill="background1"/>
        </w:rPr>
        <w:t>(</w:t>
      </w:r>
      <w:r w:rsidR="004F2D2F" w:rsidRPr="009D44D7">
        <w:rPr>
          <w:shd w:val="clear" w:color="auto" w:fill="FFFFFF" w:themeFill="background1"/>
        </w:rPr>
        <w:t>table</w:t>
      </w:r>
      <w:r w:rsidR="00664BA5">
        <w:rPr>
          <w:shd w:val="clear" w:color="auto" w:fill="FFFFFF" w:themeFill="background1"/>
        </w:rPr>
        <w:t> </w:t>
      </w:r>
      <w:proofErr w:type="spellStart"/>
      <w:r w:rsidR="004F2D2F" w:rsidRPr="009D44D7">
        <w:rPr>
          <w:shd w:val="clear" w:color="auto" w:fill="FFFFFF" w:themeFill="background1"/>
        </w:rPr>
        <w:t>14A.3</w:t>
      </w:r>
      <w:proofErr w:type="spellEnd"/>
      <w:r w:rsidR="004F2D2F" w:rsidRPr="009D44D7">
        <w:rPr>
          <w:shd w:val="clear" w:color="auto" w:fill="FFFFFF" w:themeFill="background1"/>
        </w:rPr>
        <w:t xml:space="preserve"> and </w:t>
      </w:r>
      <w:r w:rsidR="00821466" w:rsidRPr="009D44D7">
        <w:rPr>
          <w:shd w:val="clear" w:color="auto" w:fill="FFFFFF" w:themeFill="background1"/>
        </w:rPr>
        <w:t>figure</w:t>
      </w:r>
      <w:r w:rsidR="000C7D1B" w:rsidRPr="009D44D7">
        <w:rPr>
          <w:shd w:val="clear" w:color="auto" w:fill="FFFFFF" w:themeFill="background1"/>
        </w:rPr>
        <w:t> </w:t>
      </w:r>
      <w:r w:rsidR="00821466" w:rsidRPr="009D44D7">
        <w:rPr>
          <w:shd w:val="clear" w:color="auto" w:fill="FFFFFF" w:themeFill="background1"/>
        </w:rPr>
        <w:t>1</w:t>
      </w:r>
      <w:r w:rsidR="00184502" w:rsidRPr="009D44D7">
        <w:rPr>
          <w:shd w:val="clear" w:color="auto" w:fill="FFFFFF" w:themeFill="background1"/>
        </w:rPr>
        <w:t>4</w:t>
      </w:r>
      <w:r w:rsidR="00821466" w:rsidRPr="009D44D7">
        <w:rPr>
          <w:shd w:val="clear" w:color="auto" w:fill="FFFFFF" w:themeFill="background1"/>
        </w:rPr>
        <w:t>.1</w:t>
      </w:r>
      <w:r w:rsidR="003166EA" w:rsidRPr="009D44D7">
        <w:rPr>
          <w:shd w:val="clear" w:color="auto" w:fill="FFFFFF" w:themeFill="background1"/>
        </w:rPr>
        <w:t xml:space="preserve">). </w:t>
      </w:r>
      <w:r w:rsidR="000E44EB" w:rsidRPr="009D44D7">
        <w:rPr>
          <w:shd w:val="clear" w:color="auto" w:fill="FFFFFF" w:themeFill="background1"/>
        </w:rPr>
        <w:t>R</w:t>
      </w:r>
      <w:r w:rsidR="00035AF4" w:rsidRPr="009D44D7">
        <w:rPr>
          <w:shd w:val="clear" w:color="auto" w:fill="FFFFFF" w:themeFill="background1"/>
        </w:rPr>
        <w:t xml:space="preserve">esidential aged care </w:t>
      </w:r>
      <w:r w:rsidR="00346BB3" w:rsidRPr="009D44D7">
        <w:rPr>
          <w:shd w:val="clear" w:color="auto" w:fill="FFFFFF" w:themeFill="background1"/>
        </w:rPr>
        <w:t xml:space="preserve">services </w:t>
      </w:r>
      <w:r w:rsidR="00035AF4" w:rsidRPr="009D44D7">
        <w:rPr>
          <w:shd w:val="clear" w:color="auto" w:fill="FFFFFF" w:themeFill="background1"/>
        </w:rPr>
        <w:t xml:space="preserve">accounted for the largest proportion of </w:t>
      </w:r>
      <w:r w:rsidR="0012778A" w:rsidRPr="009D44D7">
        <w:rPr>
          <w:shd w:val="clear" w:color="auto" w:fill="FFFFFF" w:themeFill="background1"/>
        </w:rPr>
        <w:t>expenditure in 2015</w:t>
      </w:r>
      <w:r w:rsidR="00664BA5">
        <w:rPr>
          <w:shd w:val="clear" w:color="auto" w:fill="FFFFFF" w:themeFill="background1"/>
        </w:rPr>
        <w:noBreakHyphen/>
      </w:r>
      <w:r w:rsidR="0012778A" w:rsidRPr="009D44D7">
        <w:rPr>
          <w:shd w:val="clear" w:color="auto" w:fill="FFFFFF" w:themeFill="background1"/>
        </w:rPr>
        <w:t>16</w:t>
      </w:r>
      <w:r w:rsidR="00035AF4" w:rsidRPr="009D44D7">
        <w:rPr>
          <w:shd w:val="clear" w:color="auto" w:fill="FFFFFF" w:themeFill="background1"/>
        </w:rPr>
        <w:t xml:space="preserve"> (</w:t>
      </w:r>
      <w:r w:rsidR="000E44EB" w:rsidRPr="009D44D7">
        <w:rPr>
          <w:shd w:val="clear" w:color="auto" w:fill="FFFFFF" w:themeFill="background1"/>
        </w:rPr>
        <w:t>$</w:t>
      </w:r>
      <w:r w:rsidR="00970C7E" w:rsidRPr="009D44D7">
        <w:rPr>
          <w:shd w:val="clear" w:color="auto" w:fill="FFFFFF" w:themeFill="background1"/>
        </w:rPr>
        <w:t>1</w:t>
      </w:r>
      <w:r w:rsidR="000743E2" w:rsidRPr="009D44D7">
        <w:rPr>
          <w:shd w:val="clear" w:color="auto" w:fill="FFFFFF" w:themeFill="background1"/>
        </w:rPr>
        <w:t>1</w:t>
      </w:r>
      <w:r w:rsidR="00970C7E" w:rsidRPr="009D44D7">
        <w:rPr>
          <w:shd w:val="clear" w:color="auto" w:fill="FFFFFF" w:themeFill="background1"/>
        </w:rPr>
        <w:t>.</w:t>
      </w:r>
      <w:r w:rsidR="004F2D2F" w:rsidRPr="009D44D7">
        <w:rPr>
          <w:shd w:val="clear" w:color="auto" w:fill="FFFFFF" w:themeFill="background1"/>
        </w:rPr>
        <w:t>5</w:t>
      </w:r>
      <w:r w:rsidR="000E44EB" w:rsidRPr="009D44D7">
        <w:rPr>
          <w:shd w:val="clear" w:color="auto" w:fill="FFFFFF" w:themeFill="background1"/>
        </w:rPr>
        <w:t> billion</w:t>
      </w:r>
      <w:r w:rsidR="00346BB3" w:rsidRPr="009D44D7">
        <w:rPr>
          <w:shd w:val="clear" w:color="auto" w:fill="FFFFFF" w:themeFill="background1"/>
        </w:rPr>
        <w:t>, or</w:t>
      </w:r>
      <w:r w:rsidR="000E44EB" w:rsidRPr="009D44D7">
        <w:rPr>
          <w:shd w:val="clear" w:color="auto" w:fill="FFFFFF" w:themeFill="background1"/>
        </w:rPr>
        <w:t xml:space="preserve"> </w:t>
      </w:r>
      <w:r w:rsidR="000743E2" w:rsidRPr="009D44D7">
        <w:rPr>
          <w:shd w:val="clear" w:color="auto" w:fill="FFFFFF" w:themeFill="background1"/>
        </w:rPr>
        <w:t>6</w:t>
      </w:r>
      <w:r w:rsidR="004F2D2F" w:rsidRPr="009D44D7">
        <w:rPr>
          <w:shd w:val="clear" w:color="auto" w:fill="FFFFFF" w:themeFill="background1"/>
        </w:rPr>
        <w:t>8</w:t>
      </w:r>
      <w:r w:rsidR="000743E2" w:rsidRPr="009D44D7">
        <w:rPr>
          <w:shd w:val="clear" w:color="auto" w:fill="FFFFFF" w:themeFill="background1"/>
        </w:rPr>
        <w:t>.</w:t>
      </w:r>
      <w:r w:rsidR="009E2685" w:rsidRPr="009D44D7">
        <w:rPr>
          <w:shd w:val="clear" w:color="auto" w:fill="FFFFFF" w:themeFill="background1"/>
        </w:rPr>
        <w:t>7</w:t>
      </w:r>
      <w:r w:rsidR="00035AF4" w:rsidRPr="009D44D7">
        <w:rPr>
          <w:shd w:val="clear" w:color="auto" w:fill="FFFFFF" w:themeFill="background1"/>
        </w:rPr>
        <w:t xml:space="preserve"> per cent).</w:t>
      </w:r>
      <w:r w:rsidR="00346BB3" w:rsidRPr="009D44D7">
        <w:rPr>
          <w:shd w:val="clear" w:color="auto" w:fill="FFFFFF" w:themeFill="background1"/>
        </w:rPr>
        <w:t xml:space="preserve"> H</w:t>
      </w:r>
      <w:r w:rsidR="00035AF4" w:rsidRPr="009D44D7">
        <w:rPr>
          <w:shd w:val="clear" w:color="auto" w:fill="FFFFFF" w:themeFill="background1"/>
        </w:rPr>
        <w:t>ome care and support services accounted for much of the remainder ($</w:t>
      </w:r>
      <w:r w:rsidR="000743E2" w:rsidRPr="009D44D7">
        <w:rPr>
          <w:shd w:val="clear" w:color="auto" w:fill="FFFFFF" w:themeFill="background1"/>
        </w:rPr>
        <w:t>4.3</w:t>
      </w:r>
      <w:r w:rsidR="00035AF4" w:rsidRPr="009D44D7">
        <w:rPr>
          <w:shd w:val="clear" w:color="auto" w:fill="FFFFFF" w:themeFill="background1"/>
        </w:rPr>
        <w:t xml:space="preserve"> billion), which included expenditure of $</w:t>
      </w:r>
      <w:r w:rsidR="000743E2" w:rsidRPr="009D44D7">
        <w:rPr>
          <w:shd w:val="clear" w:color="auto" w:fill="FFFFFF" w:themeFill="background1"/>
        </w:rPr>
        <w:t>1.6</w:t>
      </w:r>
      <w:r w:rsidR="006548E4" w:rsidRPr="009D44D7">
        <w:rPr>
          <w:shd w:val="clear" w:color="auto" w:fill="FFFFFF" w:themeFill="background1"/>
        </w:rPr>
        <w:t xml:space="preserve"> </w:t>
      </w:r>
      <w:r w:rsidR="00035AF4" w:rsidRPr="009D44D7">
        <w:rPr>
          <w:shd w:val="clear" w:color="auto" w:fill="FFFFFF" w:themeFill="background1"/>
        </w:rPr>
        <w:t xml:space="preserve">billion on </w:t>
      </w:r>
      <w:r w:rsidR="006548E4" w:rsidRPr="009D44D7">
        <w:rPr>
          <w:shd w:val="clear" w:color="auto" w:fill="FFFFFF" w:themeFill="background1"/>
        </w:rPr>
        <w:t>Home Support</w:t>
      </w:r>
      <w:r w:rsidR="00A66D5D">
        <w:rPr>
          <w:rStyle w:val="FootnoteReference"/>
        </w:rPr>
        <w:footnoteReference w:id="1"/>
      </w:r>
      <w:r w:rsidR="00A66D5D">
        <w:t>,</w:t>
      </w:r>
      <w:r w:rsidR="006548E4">
        <w:t xml:space="preserve"> </w:t>
      </w:r>
      <w:r w:rsidR="000743E2">
        <w:t xml:space="preserve">$1.0 billion on </w:t>
      </w:r>
      <w:proofErr w:type="spellStart"/>
      <w:r w:rsidR="00944C99">
        <w:t>HACC</w:t>
      </w:r>
      <w:proofErr w:type="spellEnd"/>
      <w:r w:rsidR="006548E4">
        <w:t xml:space="preserve"> (Victoria and WA</w:t>
      </w:r>
      <w:r w:rsidR="000743E2">
        <w:t xml:space="preserve"> only</w:t>
      </w:r>
      <w:r w:rsidR="006548E4">
        <w:t>)</w:t>
      </w:r>
      <w:r w:rsidR="00035AF4" w:rsidRPr="00070340">
        <w:t>, $</w:t>
      </w:r>
      <w:r w:rsidR="000743E2">
        <w:t>1.5</w:t>
      </w:r>
      <w:r w:rsidR="00035AF4">
        <w:t xml:space="preserve"> </w:t>
      </w:r>
      <w:r w:rsidR="00035AF4" w:rsidRPr="00070340">
        <w:t>billion on Home Care and $</w:t>
      </w:r>
      <w:r w:rsidR="000743E2">
        <w:t>233</w:t>
      </w:r>
      <w:r w:rsidR="005D6139">
        <w:t> </w:t>
      </w:r>
      <w:r w:rsidR="00035AF4" w:rsidRPr="00070340">
        <w:t xml:space="preserve">million on </w:t>
      </w:r>
      <w:r w:rsidR="00035AF4">
        <w:t xml:space="preserve">the </w:t>
      </w:r>
      <w:r w:rsidR="00035AF4" w:rsidRPr="00FA2792">
        <w:t>Department of Veterans’ Affairs (</w:t>
      </w:r>
      <w:proofErr w:type="spellStart"/>
      <w:r w:rsidR="00035AF4" w:rsidRPr="00FA2792">
        <w:t>DVA</w:t>
      </w:r>
      <w:proofErr w:type="spellEnd"/>
      <w:r w:rsidR="00035AF4" w:rsidRPr="00FA2792">
        <w:t xml:space="preserve">) </w:t>
      </w:r>
      <w:r w:rsidR="006371D9" w:rsidRPr="006276B7">
        <w:rPr>
          <w:shd w:val="clear" w:color="auto" w:fill="FFFFFF" w:themeFill="background1"/>
        </w:rPr>
        <w:t>C</w:t>
      </w:r>
      <w:r w:rsidR="00035AF4" w:rsidRPr="006276B7">
        <w:rPr>
          <w:shd w:val="clear" w:color="auto" w:fill="FFFFFF" w:themeFill="background1"/>
        </w:rPr>
        <w:t xml:space="preserve">ommunity </w:t>
      </w:r>
      <w:r w:rsidR="006371D9" w:rsidRPr="006276B7">
        <w:rPr>
          <w:shd w:val="clear" w:color="auto" w:fill="FFFFFF" w:themeFill="background1"/>
        </w:rPr>
        <w:t>N</w:t>
      </w:r>
      <w:r w:rsidR="00035AF4" w:rsidRPr="006276B7">
        <w:rPr>
          <w:shd w:val="clear" w:color="auto" w:fill="FFFFFF" w:themeFill="background1"/>
        </w:rPr>
        <w:t>ursing</w:t>
      </w:r>
      <w:r w:rsidR="006371D9" w:rsidRPr="006276B7">
        <w:rPr>
          <w:shd w:val="clear" w:color="auto" w:fill="FFFFFF" w:themeFill="background1"/>
        </w:rPr>
        <w:t xml:space="preserve"> Program</w:t>
      </w:r>
      <w:r w:rsidR="00035AF4" w:rsidRPr="006276B7">
        <w:rPr>
          <w:shd w:val="clear" w:color="auto" w:fill="FFFFFF" w:themeFill="background1"/>
        </w:rPr>
        <w:t xml:space="preserve"> a</w:t>
      </w:r>
      <w:r w:rsidR="00035AF4" w:rsidRPr="00070340">
        <w:t>nd Veterans’ Home Care</w:t>
      </w:r>
      <w:r w:rsidR="00035AF4">
        <w:t xml:space="preserve"> (</w:t>
      </w:r>
      <w:proofErr w:type="spellStart"/>
      <w:r w:rsidR="00035AF4">
        <w:t>VHC</w:t>
      </w:r>
      <w:proofErr w:type="spellEnd"/>
      <w:r w:rsidR="00035AF4">
        <w:t>)</w:t>
      </w:r>
      <w:r w:rsidR="00035AF4" w:rsidRPr="00070340">
        <w:t xml:space="preserve"> (table </w:t>
      </w:r>
      <w:proofErr w:type="spellStart"/>
      <w:r w:rsidR="00035AF4" w:rsidRPr="00070340">
        <w:t>1</w:t>
      </w:r>
      <w:r w:rsidR="00184502">
        <w:t>4</w:t>
      </w:r>
      <w:r w:rsidR="00035AF4">
        <w:t>A</w:t>
      </w:r>
      <w:r w:rsidR="00035AF4" w:rsidRPr="00070340">
        <w:t>.</w:t>
      </w:r>
      <w:r w:rsidR="00970C7E">
        <w:t>3</w:t>
      </w:r>
      <w:proofErr w:type="spellEnd"/>
      <w:r w:rsidR="00035AF4" w:rsidRPr="00070340">
        <w:t xml:space="preserve">). </w:t>
      </w:r>
    </w:p>
    <w:p w:rsidR="00BF5490" w:rsidRDefault="00BF5490" w:rsidP="00CD5831">
      <w:pPr>
        <w:pStyle w:val="BodyText"/>
      </w:pPr>
      <w:r>
        <w:lastRenderedPageBreak/>
        <w:t>T</w:t>
      </w:r>
      <w:r w:rsidRPr="007F34D5">
        <w:t xml:space="preserve">he Australian Government provides most of </w:t>
      </w:r>
      <w:r>
        <w:t xml:space="preserve">the government </w:t>
      </w:r>
      <w:r w:rsidRPr="007F34D5">
        <w:t xml:space="preserve">funding for aged care services </w:t>
      </w:r>
      <w:r>
        <w:t>(</w:t>
      </w:r>
      <w:r w:rsidR="005D6139">
        <w:t>around</w:t>
      </w:r>
      <w:r>
        <w:t xml:space="preserve"> 95 per cent). </w:t>
      </w:r>
      <w:r w:rsidRPr="007F34D5">
        <w:t xml:space="preserve">State and Territory governments </w:t>
      </w:r>
      <w:r>
        <w:t xml:space="preserve">fund the remainder, with the largest contribution being from the Victorian and WA governments who with the Australian Government jointly fund </w:t>
      </w:r>
      <w:proofErr w:type="spellStart"/>
      <w:r>
        <w:t>HACC</w:t>
      </w:r>
      <w:proofErr w:type="spellEnd"/>
      <w:r>
        <w:t xml:space="preserve"> services</w:t>
      </w:r>
      <w:r w:rsidRPr="007F34D5">
        <w:t xml:space="preserve"> </w:t>
      </w:r>
      <w:r>
        <w:t xml:space="preserve">in these jurisdictions </w:t>
      </w:r>
      <w:r w:rsidRPr="007F34D5">
        <w:t>(table</w:t>
      </w:r>
      <w:r>
        <w:t> </w:t>
      </w:r>
      <w:proofErr w:type="spellStart"/>
      <w:r>
        <w:t>14A.</w:t>
      </w:r>
      <w:r w:rsidR="000743E2">
        <w:t>3</w:t>
      </w:r>
      <w:proofErr w:type="spellEnd"/>
      <w:r>
        <w:t>). Further detailed expenditure data by program are contained in tables </w:t>
      </w:r>
      <w:proofErr w:type="spellStart"/>
      <w:r>
        <w:t>14A.</w:t>
      </w:r>
      <w:r w:rsidR="000743E2">
        <w:t>3</w:t>
      </w:r>
      <w:proofErr w:type="spellEnd"/>
      <w:r>
        <w:sym w:font="Symbol" w:char="F02D"/>
      </w:r>
      <w:r w:rsidR="000743E2">
        <w:t>8</w:t>
      </w:r>
      <w:r>
        <w:t>.</w:t>
      </w:r>
    </w:p>
    <w:p w:rsidR="001248F2" w:rsidRPr="00664BA5" w:rsidRDefault="001248F2" w:rsidP="00797A3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1248F2" w:rsidTr="00797A33">
        <w:trPr>
          <w:tblHeader/>
        </w:trPr>
        <w:tc>
          <w:tcPr>
            <w:tcW w:w="8771" w:type="dxa"/>
            <w:tcBorders>
              <w:top w:val="single" w:sz="6" w:space="0" w:color="78A22F"/>
              <w:left w:val="nil"/>
              <w:bottom w:val="nil"/>
              <w:right w:val="nil"/>
            </w:tcBorders>
            <w:shd w:val="clear" w:color="auto" w:fill="auto"/>
          </w:tcPr>
          <w:p w:rsidR="001248F2" w:rsidRPr="00176D3F" w:rsidRDefault="001248F2" w:rsidP="00E300A0">
            <w:pPr>
              <w:pStyle w:val="FigureTitle"/>
            </w:pPr>
            <w:r w:rsidRPr="00784A05">
              <w:rPr>
                <w:b w:val="0"/>
              </w:rPr>
              <w:t xml:space="preserve">Figure </w:t>
            </w:r>
            <w:r>
              <w:rPr>
                <w:b w:val="0"/>
              </w:rPr>
              <w:t>14.</w:t>
            </w:r>
            <w:r w:rsidR="00662F0E">
              <w:rPr>
                <w:b w:val="0"/>
                <w:noProof/>
              </w:rPr>
              <w:t>1</w:t>
            </w:r>
            <w:r>
              <w:tab/>
            </w:r>
            <w:r w:rsidR="00035AF4">
              <w:t>Re</w:t>
            </w:r>
            <w:r w:rsidR="00E300A0">
              <w:t>al recurrent</w:t>
            </w:r>
            <w:r w:rsidR="00035AF4">
              <w:t xml:space="preserve"> expenditure on aged care services </w:t>
            </w:r>
            <w:r w:rsidR="00CD5831" w:rsidRPr="00CD5831">
              <w:t xml:space="preserve">per </w:t>
            </w:r>
            <w:r w:rsidR="00E300A0">
              <w:t>older person</w:t>
            </w:r>
            <w:r w:rsidR="005D6139" w:rsidRPr="005D6139">
              <w:rPr>
                <w:rStyle w:val="NoteLabel"/>
                <w:b/>
              </w:rPr>
              <w:t>a</w:t>
            </w:r>
            <w:r w:rsidR="00E300A0">
              <w:t xml:space="preserve"> </w:t>
            </w:r>
          </w:p>
        </w:tc>
      </w:tr>
      <w:tr w:rsidR="001248F2" w:rsidTr="00797A3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1248F2" w:rsidRPr="00B1465D" w:rsidTr="00674D21">
              <w:trPr>
                <w:trHeight w:val="4195"/>
                <w:tblHeader/>
                <w:jc w:val="center"/>
              </w:trPr>
              <w:tc>
                <w:tcPr>
                  <w:tcW w:w="5000" w:type="pct"/>
                  <w:tcBorders>
                    <w:top w:val="nil"/>
                    <w:bottom w:val="nil"/>
                  </w:tcBorders>
                </w:tcPr>
                <w:p w:rsidR="001248F2" w:rsidRPr="00B1465D" w:rsidRDefault="00FE70DC" w:rsidP="00797A33">
                  <w:pPr>
                    <w:pStyle w:val="Figure"/>
                    <w:spacing w:before="60" w:after="60"/>
                    <w:rPr>
                      <w:rFonts w:ascii="Arial" w:hAnsi="Arial" w:cs="Arial"/>
                      <w:sz w:val="18"/>
                      <w:szCs w:val="18"/>
                    </w:rPr>
                  </w:pPr>
                  <w:r>
                    <w:rPr>
                      <w:rFonts w:ascii="Arial" w:hAnsi="Arial" w:cs="Arial"/>
                      <w:noProof/>
                      <w:sz w:val="18"/>
                      <w:szCs w:val="18"/>
                    </w:rPr>
                    <w:drawing>
                      <wp:inline distT="0" distB="0" distL="0" distR="0">
                        <wp:extent cx="5379720" cy="2707640"/>
                        <wp:effectExtent l="0" t="0" r="0" b="0"/>
                        <wp:docPr id="1" name="Picture 1" descr="Figure 14.1 Real recurrent expenditure on aged care services per older pers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9720" cy="2707640"/>
                                </a:xfrm>
                                <a:prstGeom prst="rect">
                                  <a:avLst/>
                                </a:prstGeom>
                                <a:noFill/>
                                <a:ln>
                                  <a:noFill/>
                                </a:ln>
                              </pic:spPr>
                            </pic:pic>
                          </a:graphicData>
                        </a:graphic>
                      </wp:inline>
                    </w:drawing>
                  </w:r>
                </w:p>
              </w:tc>
            </w:tr>
          </w:tbl>
          <w:p w:rsidR="001248F2" w:rsidRDefault="001248F2" w:rsidP="00797A33">
            <w:pPr>
              <w:pStyle w:val="Figure"/>
            </w:pPr>
          </w:p>
        </w:tc>
      </w:tr>
      <w:tr w:rsidR="00CD5831" w:rsidRPr="00176D3F" w:rsidTr="00797A33">
        <w:tc>
          <w:tcPr>
            <w:tcW w:w="8771" w:type="dxa"/>
            <w:tcBorders>
              <w:top w:val="nil"/>
              <w:left w:val="nil"/>
              <w:bottom w:val="nil"/>
              <w:right w:val="nil"/>
            </w:tcBorders>
            <w:shd w:val="clear" w:color="auto" w:fill="auto"/>
          </w:tcPr>
          <w:p w:rsidR="00CD5831" w:rsidRDefault="00CD5831" w:rsidP="00973DAF">
            <w:pPr>
              <w:pStyle w:val="Note"/>
              <w:rPr>
                <w:i/>
              </w:rPr>
            </w:pPr>
            <w:r w:rsidRPr="00CB5752">
              <w:rPr>
                <w:rStyle w:val="NoteLabel"/>
              </w:rPr>
              <w:t>a</w:t>
            </w:r>
            <w:r w:rsidRPr="004B2BE8">
              <w:t xml:space="preserve"> </w:t>
            </w:r>
            <w:r w:rsidRPr="00FF5329">
              <w:t>See table</w:t>
            </w:r>
            <w:r>
              <w:t> </w:t>
            </w:r>
            <w:r w:rsidRPr="00FF5329">
              <w:t>1</w:t>
            </w:r>
            <w:r w:rsidR="00973DAF">
              <w:t>4</w:t>
            </w:r>
            <w:r w:rsidRPr="00FF5329">
              <w:t>A.</w:t>
            </w:r>
            <w:r>
              <w:t>4</w:t>
            </w:r>
            <w:r w:rsidRPr="00FF5329">
              <w:t xml:space="preserve"> for detailed footnotes and caveats.</w:t>
            </w:r>
            <w:r w:rsidRPr="004B2BE8" w:rsidDel="005C6C6B">
              <w:t xml:space="preserve"> </w:t>
            </w:r>
          </w:p>
        </w:tc>
      </w:tr>
      <w:tr w:rsidR="00CD5831" w:rsidRPr="00176D3F" w:rsidTr="00797A33">
        <w:tc>
          <w:tcPr>
            <w:tcW w:w="8771" w:type="dxa"/>
            <w:tcBorders>
              <w:top w:val="nil"/>
              <w:left w:val="nil"/>
              <w:bottom w:val="nil"/>
              <w:right w:val="nil"/>
            </w:tcBorders>
            <w:shd w:val="clear" w:color="auto" w:fill="auto"/>
          </w:tcPr>
          <w:p w:rsidR="00CD5831" w:rsidRDefault="00CD5831" w:rsidP="00674D21">
            <w:pPr>
              <w:pStyle w:val="Source"/>
            </w:pPr>
            <w:r>
              <w:rPr>
                <w:i/>
              </w:rPr>
              <w:t>Source</w:t>
            </w:r>
            <w:r w:rsidRPr="00167F06">
              <w:t xml:space="preserve">: </w:t>
            </w:r>
            <w:r w:rsidR="00674D21">
              <w:t>Department of Health</w:t>
            </w:r>
            <w:r>
              <w:t xml:space="preserve"> (unpublished); DVA (unpublished); State and Territory governments (unpublished); table 1</w:t>
            </w:r>
            <w:r w:rsidR="00973DAF">
              <w:t>4</w:t>
            </w:r>
            <w:r>
              <w:t>A.4.</w:t>
            </w:r>
          </w:p>
        </w:tc>
      </w:tr>
      <w:tr w:rsidR="00CD5831" w:rsidTr="00797A33">
        <w:tc>
          <w:tcPr>
            <w:tcW w:w="8771" w:type="dxa"/>
            <w:tcBorders>
              <w:top w:val="nil"/>
              <w:left w:val="nil"/>
              <w:bottom w:val="single" w:sz="6" w:space="0" w:color="78A22F"/>
              <w:right w:val="nil"/>
            </w:tcBorders>
            <w:shd w:val="clear" w:color="auto" w:fill="auto"/>
          </w:tcPr>
          <w:p w:rsidR="00CD5831" w:rsidRDefault="00CD5831" w:rsidP="00797A33">
            <w:pPr>
              <w:pStyle w:val="Figurespace"/>
            </w:pPr>
          </w:p>
        </w:tc>
      </w:tr>
      <w:tr w:rsidR="00CD5831" w:rsidRPr="000863A5" w:rsidTr="00797A33">
        <w:tc>
          <w:tcPr>
            <w:tcW w:w="8771" w:type="dxa"/>
            <w:tcBorders>
              <w:top w:val="single" w:sz="6" w:space="0" w:color="78A22F"/>
              <w:left w:val="nil"/>
              <w:bottom w:val="nil"/>
              <w:right w:val="nil"/>
            </w:tcBorders>
          </w:tcPr>
          <w:p w:rsidR="00CD5831" w:rsidRPr="00664BA5" w:rsidRDefault="00CD5831" w:rsidP="00797A33">
            <w:pPr>
              <w:pStyle w:val="BoxSpaceBelow"/>
            </w:pPr>
          </w:p>
        </w:tc>
      </w:tr>
    </w:tbl>
    <w:p w:rsidR="003A1DB8" w:rsidRPr="00AD2365" w:rsidRDefault="003A1DB8" w:rsidP="00CD5831">
      <w:pPr>
        <w:pStyle w:val="Heading3"/>
        <w:spacing w:before="480"/>
      </w:pPr>
      <w:r w:rsidRPr="00AD2365">
        <w:t>Size and scope of sector</w:t>
      </w:r>
    </w:p>
    <w:p w:rsidR="003A1DB8" w:rsidRPr="00B53C16" w:rsidRDefault="009009F3" w:rsidP="00461693">
      <w:pPr>
        <w:pStyle w:val="Heading4"/>
      </w:pPr>
      <w:r>
        <w:t>Aged care target population</w:t>
      </w:r>
    </w:p>
    <w:p w:rsidR="000E44EB" w:rsidRDefault="009009F3" w:rsidP="00AF4557">
      <w:pPr>
        <w:pStyle w:val="BodyText"/>
      </w:pPr>
      <w:r w:rsidRPr="00B53C16">
        <w:t xml:space="preserve">The demand for aged care services is driven by the size and health of </w:t>
      </w:r>
      <w:r>
        <w:t xml:space="preserve">the </w:t>
      </w:r>
      <w:r w:rsidR="00180966">
        <w:t>older</w:t>
      </w:r>
      <w:r>
        <w:t xml:space="preserve"> population</w:t>
      </w:r>
      <w:r w:rsidRPr="00D25C58">
        <w:t xml:space="preserve">. </w:t>
      </w:r>
      <w:r w:rsidR="003000E5" w:rsidRPr="00B53C16">
        <w:t>The Australian population is ageing</w:t>
      </w:r>
      <w:r w:rsidR="003000E5">
        <w:t xml:space="preserve"> rapidly, </w:t>
      </w:r>
      <w:r w:rsidR="00180966">
        <w:t xml:space="preserve">with </w:t>
      </w:r>
      <w:r w:rsidR="003000E5">
        <w:t>t</w:t>
      </w:r>
      <w:r w:rsidR="003A1DB8" w:rsidRPr="00B53C16">
        <w:t xml:space="preserve">he proportion of people </w:t>
      </w:r>
      <w:r w:rsidR="00AB192F">
        <w:t>aged 65 years or over</w:t>
      </w:r>
      <w:r w:rsidR="003A1DB8" w:rsidRPr="00B53C16">
        <w:t xml:space="preserve"> </w:t>
      </w:r>
      <w:r w:rsidR="003000E5">
        <w:t xml:space="preserve">in the total population </w:t>
      </w:r>
      <w:r w:rsidR="00180966">
        <w:t>p</w:t>
      </w:r>
      <w:r w:rsidR="003000E5">
        <w:t xml:space="preserve">rojected to increase </w:t>
      </w:r>
      <w:r w:rsidR="00AF4557">
        <w:t xml:space="preserve">from </w:t>
      </w:r>
      <w:r w:rsidR="000743E2" w:rsidRPr="009D44D7">
        <w:rPr>
          <w:shd w:val="clear" w:color="auto" w:fill="FFFFFF" w:themeFill="background1"/>
        </w:rPr>
        <w:t>15.</w:t>
      </w:r>
      <w:r w:rsidR="00F10787" w:rsidRPr="009D44D7">
        <w:rPr>
          <w:shd w:val="clear" w:color="auto" w:fill="FFFFFF" w:themeFill="background1"/>
        </w:rPr>
        <w:t>1</w:t>
      </w:r>
      <w:r w:rsidR="00AF4557" w:rsidRPr="009D44D7">
        <w:rPr>
          <w:shd w:val="clear" w:color="auto" w:fill="FFFFFF" w:themeFill="background1"/>
        </w:rPr>
        <w:t xml:space="preserve"> per cent in 2016 (table</w:t>
      </w:r>
      <w:r w:rsidR="00664BA5">
        <w:rPr>
          <w:shd w:val="clear" w:color="auto" w:fill="FFFFFF" w:themeFill="background1"/>
        </w:rPr>
        <w:t> </w:t>
      </w:r>
      <w:r w:rsidR="00AF4557" w:rsidRPr="009D44D7">
        <w:rPr>
          <w:shd w:val="clear" w:color="auto" w:fill="FFFFFF" w:themeFill="background1"/>
        </w:rPr>
        <w:t>14A.</w:t>
      </w:r>
      <w:r w:rsidR="00F10787" w:rsidRPr="009D44D7">
        <w:rPr>
          <w:shd w:val="clear" w:color="auto" w:fill="FFFFFF" w:themeFill="background1"/>
        </w:rPr>
        <w:t>1</w:t>
      </w:r>
      <w:r w:rsidR="00AF4557" w:rsidRPr="009D44D7">
        <w:rPr>
          <w:shd w:val="clear" w:color="auto" w:fill="FFFFFF" w:themeFill="background1"/>
        </w:rPr>
        <w:t>)</w:t>
      </w:r>
      <w:r w:rsidR="00AF4557">
        <w:t xml:space="preserve"> to </w:t>
      </w:r>
      <w:r w:rsidR="00D25C58">
        <w:t>21.8</w:t>
      </w:r>
      <w:r w:rsidR="00AF4557">
        <w:t xml:space="preserve"> per cent in </w:t>
      </w:r>
      <w:r w:rsidR="00D25C58">
        <w:t>2056</w:t>
      </w:r>
      <w:r w:rsidR="00AF4557">
        <w:t xml:space="preserve"> (ABS 2013)</w:t>
      </w:r>
      <w:r w:rsidR="003A1DB8" w:rsidRPr="00B53C16">
        <w:t xml:space="preserve">. </w:t>
      </w:r>
      <w:r w:rsidR="006548E4" w:rsidRPr="006548E4">
        <w:t>Although the Aboriginal and Torres Strait Isl</w:t>
      </w:r>
      <w:r w:rsidR="003000E5">
        <w:t>ander population is also ageing,</w:t>
      </w:r>
      <w:r w:rsidR="006548E4" w:rsidRPr="006548E4">
        <w:t xml:space="preserve"> </w:t>
      </w:r>
      <w:r w:rsidR="003000E5">
        <w:t>l</w:t>
      </w:r>
      <w:r w:rsidR="006548E4" w:rsidRPr="006548E4">
        <w:t xml:space="preserve">ife expectancy at birth </w:t>
      </w:r>
      <w:r w:rsidR="003000E5">
        <w:t>for</w:t>
      </w:r>
      <w:r w:rsidR="006548E4" w:rsidRPr="006548E4">
        <w:t xml:space="preserve"> Aboriginal and Torres Strait Islander </w:t>
      </w:r>
      <w:r w:rsidR="00AB192F">
        <w:t xml:space="preserve">people </w:t>
      </w:r>
      <w:r w:rsidR="006548E4" w:rsidRPr="006548E4">
        <w:t xml:space="preserve">is </w:t>
      </w:r>
      <w:r w:rsidR="000C7D1B">
        <w:t xml:space="preserve">lower </w:t>
      </w:r>
      <w:r w:rsidR="000C7D1B" w:rsidRPr="006548E4">
        <w:t xml:space="preserve">when compared with the total Australian population </w:t>
      </w:r>
      <w:r w:rsidR="000C7D1B">
        <w:t>(</w:t>
      </w:r>
      <w:r w:rsidR="006548E4" w:rsidRPr="006548E4">
        <w:t>10.6 years less for males and 9.5 years less for females</w:t>
      </w:r>
      <w:r w:rsidR="000C7D1B">
        <w:t>)</w:t>
      </w:r>
      <w:r w:rsidR="006548E4" w:rsidRPr="006548E4">
        <w:t xml:space="preserve"> (ABS 2013)</w:t>
      </w:r>
      <w:r w:rsidR="003000E5">
        <w:t>.</w:t>
      </w:r>
      <w:r w:rsidR="003000E5" w:rsidRPr="003000E5">
        <w:t xml:space="preserve"> </w:t>
      </w:r>
      <w:r w:rsidR="009F2430">
        <w:t xml:space="preserve">In </w:t>
      </w:r>
      <w:r w:rsidR="000A741B">
        <w:t>2016, only 4.2</w:t>
      </w:r>
      <w:r w:rsidR="009F2430">
        <w:t> </w:t>
      </w:r>
      <w:r w:rsidR="000A741B">
        <w:t xml:space="preserve">per cent of the </w:t>
      </w:r>
      <w:r w:rsidR="000A741B" w:rsidRPr="006548E4">
        <w:t>Aboriginal and Torres Strait Isl</w:t>
      </w:r>
      <w:r w:rsidR="000A741B">
        <w:t>ander population was aged 65 years or over</w:t>
      </w:r>
      <w:r w:rsidR="009F2430">
        <w:t xml:space="preserve"> (table</w:t>
      </w:r>
      <w:r w:rsidR="00664BA5">
        <w:t> </w:t>
      </w:r>
      <w:r w:rsidR="009F2430">
        <w:t>2A.14)</w:t>
      </w:r>
      <w:r w:rsidR="000A741B">
        <w:t>.</w:t>
      </w:r>
    </w:p>
    <w:p w:rsidR="00180966" w:rsidRDefault="00346BB3" w:rsidP="000E44EB">
      <w:pPr>
        <w:pStyle w:val="BodyText"/>
      </w:pPr>
      <w:r>
        <w:t>The</w:t>
      </w:r>
      <w:r w:rsidR="000E44EB" w:rsidRPr="000E44EB">
        <w:t xml:space="preserve"> aged care target population </w:t>
      </w:r>
      <w:r>
        <w:t xml:space="preserve">is defined </w:t>
      </w:r>
      <w:r w:rsidR="000E44EB" w:rsidRPr="000E44EB">
        <w:t>as all people aged 65 years or over and Aboriginal and Torres Strait Islander Australians aged 50–64 years</w:t>
      </w:r>
      <w:r>
        <w:t xml:space="preserve"> (this </w:t>
      </w:r>
      <w:r w:rsidRPr="000E44EB">
        <w:t>align</w:t>
      </w:r>
      <w:r>
        <w:t>s</w:t>
      </w:r>
      <w:r w:rsidRPr="000E44EB">
        <w:t xml:space="preserve"> with the </w:t>
      </w:r>
      <w:r w:rsidRPr="000E44EB">
        <w:lastRenderedPageBreak/>
        <w:t>funding arrangements as specified under the National Health Reform Agreement</w:t>
      </w:r>
      <w:r>
        <w:t>)</w:t>
      </w:r>
      <w:r w:rsidR="000E44EB" w:rsidRPr="000E44EB">
        <w:t xml:space="preserve">. This aged care target population differs </w:t>
      </w:r>
      <w:r w:rsidR="006371D9">
        <w:t>from</w:t>
      </w:r>
      <w:r w:rsidR="000E44EB" w:rsidRPr="000E44EB">
        <w:t xml:space="preserve"> the Australian Government’s a</w:t>
      </w:r>
      <w:r w:rsidR="000C7D1B">
        <w:t xml:space="preserve">ged care ‘planning population’ of </w:t>
      </w:r>
      <w:r w:rsidR="000E44EB" w:rsidRPr="000E44EB">
        <w:t>people aged 70 years or over</w:t>
      </w:r>
      <w:r w:rsidR="000C7D1B">
        <w:t xml:space="preserve"> which is </w:t>
      </w:r>
      <w:r w:rsidR="000C7D1B" w:rsidRPr="000E44EB">
        <w:t>used</w:t>
      </w:r>
      <w:r w:rsidR="000C7D1B">
        <w:t>, along</w:t>
      </w:r>
      <w:r w:rsidR="000E44EB" w:rsidRPr="000E44EB">
        <w:t xml:space="preserve"> </w:t>
      </w:r>
      <w:r w:rsidR="000C7D1B">
        <w:t xml:space="preserve">with </w:t>
      </w:r>
      <w:r w:rsidR="000C7D1B" w:rsidRPr="000E44EB">
        <w:t xml:space="preserve">the population of Aboriginal and Torres Strait Islander Australians aged 50–69 years </w:t>
      </w:r>
      <w:r w:rsidR="000C7D1B">
        <w:t>in some case</w:t>
      </w:r>
      <w:r w:rsidR="006371D9">
        <w:t>s</w:t>
      </w:r>
      <w:r w:rsidR="000C7D1B">
        <w:t xml:space="preserve">, </w:t>
      </w:r>
      <w:r w:rsidR="000E44EB" w:rsidRPr="000E44EB">
        <w:t xml:space="preserve">to allocate places for residential care and Home Care under the </w:t>
      </w:r>
      <w:r w:rsidR="000E44EB" w:rsidRPr="00F821B8">
        <w:rPr>
          <w:i/>
        </w:rPr>
        <w:t>Aged Care Act 1997</w:t>
      </w:r>
      <w:r w:rsidR="000E44EB" w:rsidRPr="000E44EB">
        <w:t>.</w:t>
      </w:r>
    </w:p>
    <w:p w:rsidR="00030F93" w:rsidRDefault="001C2D0B" w:rsidP="006548E4">
      <w:pPr>
        <w:pStyle w:val="Heading4"/>
      </w:pPr>
      <w:r w:rsidRPr="00E7094A">
        <w:t xml:space="preserve">Aged </w:t>
      </w:r>
      <w:r w:rsidR="00030F93" w:rsidRPr="00E7094A">
        <w:t>care service</w:t>
      </w:r>
      <w:r w:rsidR="007734F1" w:rsidRPr="00E7094A">
        <w:t>s</w:t>
      </w:r>
    </w:p>
    <w:p w:rsidR="001C2D0B" w:rsidRPr="00E7094A" w:rsidRDefault="00372FF3" w:rsidP="00247541">
      <w:pPr>
        <w:pStyle w:val="Heading5"/>
      </w:pPr>
      <w:r w:rsidRPr="00E7094A">
        <w:t>Information and a</w:t>
      </w:r>
      <w:r w:rsidR="001C2D0B" w:rsidRPr="00E7094A">
        <w:t>ssessment</w:t>
      </w:r>
      <w:r w:rsidR="00AC1B62" w:rsidRPr="00E7094A">
        <w:t xml:space="preserve"> services</w:t>
      </w:r>
    </w:p>
    <w:p w:rsidR="00C45F7B" w:rsidRDefault="009A5D39" w:rsidP="00247541">
      <w:pPr>
        <w:pStyle w:val="BodyText"/>
      </w:pPr>
      <w:r w:rsidRPr="009A5D39">
        <w:t xml:space="preserve">Information services provide older people, their families and carers </w:t>
      </w:r>
      <w:r>
        <w:t xml:space="preserve">with the </w:t>
      </w:r>
      <w:r w:rsidRPr="009A5D39">
        <w:t>information they need to ensure timely and appropriate access to care</w:t>
      </w:r>
      <w:r w:rsidR="006371D9">
        <w:t>. F</w:t>
      </w:r>
      <w:r w:rsidR="000C7D1B">
        <w:t>or example,</w:t>
      </w:r>
      <w:r w:rsidR="009F0940" w:rsidRPr="00E7094A">
        <w:t xml:space="preserve"> My Aged Care assists older people and </w:t>
      </w:r>
      <w:r w:rsidR="000C7D1B" w:rsidRPr="00E7094A">
        <w:t xml:space="preserve">their </w:t>
      </w:r>
      <w:r w:rsidR="000C7D1B">
        <w:t>c</w:t>
      </w:r>
      <w:r w:rsidR="009F0940" w:rsidRPr="00E7094A">
        <w:t>arers to access aged care information, and find Australian Government funded aged care services in their local area</w:t>
      </w:r>
      <w:r w:rsidR="0095527E">
        <w:t>.</w:t>
      </w:r>
      <w:r w:rsidR="0095527E" w:rsidRPr="0095527E">
        <w:t xml:space="preserve"> </w:t>
      </w:r>
    </w:p>
    <w:p w:rsidR="00C06393" w:rsidRDefault="00180966" w:rsidP="00247541">
      <w:pPr>
        <w:pStyle w:val="BodyText"/>
      </w:pPr>
      <w:r>
        <w:t xml:space="preserve">Assessment services determine </w:t>
      </w:r>
      <w:r w:rsidR="0070173E">
        <w:t xml:space="preserve">the </w:t>
      </w:r>
      <w:r w:rsidR="000C7D1B">
        <w:t xml:space="preserve">need and </w:t>
      </w:r>
      <w:r>
        <w:t>eligibility for government subsidised aged care services.</w:t>
      </w:r>
      <w:r w:rsidR="003A5971" w:rsidRPr="003A5971">
        <w:t xml:space="preserve"> </w:t>
      </w:r>
      <w:r w:rsidR="009A5D39">
        <w:t>A</w:t>
      </w:r>
      <w:r w:rsidR="00346BB3">
        <w:t xml:space="preserve"> comprehensive </w:t>
      </w:r>
      <w:r w:rsidR="00D44F78">
        <w:t xml:space="preserve">assessment </w:t>
      </w:r>
      <w:r w:rsidR="00346BB3">
        <w:t>and approval by an</w:t>
      </w:r>
      <w:r w:rsidR="00346BB3" w:rsidRPr="00051FFD">
        <w:t xml:space="preserve"> </w:t>
      </w:r>
      <w:r w:rsidR="00A03F2C">
        <w:t>ACAT</w:t>
      </w:r>
      <w:r w:rsidR="00346BB3">
        <w:t xml:space="preserve">, or </w:t>
      </w:r>
      <w:r w:rsidR="00346BB3" w:rsidRPr="003A5971">
        <w:t>A</w:t>
      </w:r>
      <w:r w:rsidR="00346BB3">
        <w:t xml:space="preserve">ged </w:t>
      </w:r>
      <w:r w:rsidR="00346BB3" w:rsidRPr="003A5971">
        <w:t>C</w:t>
      </w:r>
      <w:r w:rsidR="00346BB3">
        <w:t xml:space="preserve">are </w:t>
      </w:r>
      <w:r w:rsidR="00346BB3" w:rsidRPr="003A5971">
        <w:t>A</w:t>
      </w:r>
      <w:r w:rsidR="00346BB3">
        <w:t xml:space="preserve">ssessment </w:t>
      </w:r>
      <w:r w:rsidR="00346BB3" w:rsidRPr="003A5971">
        <w:t>S</w:t>
      </w:r>
      <w:r w:rsidR="00346BB3">
        <w:t xml:space="preserve">ervices </w:t>
      </w:r>
      <w:r w:rsidR="00346BB3" w:rsidRPr="003A5971">
        <w:t>in Victoria</w:t>
      </w:r>
      <w:r w:rsidR="00346BB3">
        <w:t xml:space="preserve">, </w:t>
      </w:r>
      <w:r w:rsidR="00372FF3" w:rsidRPr="00051FFD">
        <w:t xml:space="preserve">is mandatory for admission to </w:t>
      </w:r>
      <w:r w:rsidR="00BF5490">
        <w:t>residential care</w:t>
      </w:r>
      <w:r w:rsidR="00372FF3" w:rsidRPr="00051FFD">
        <w:t xml:space="preserve">, to receive </w:t>
      </w:r>
      <w:r w:rsidR="00434512">
        <w:t>H</w:t>
      </w:r>
      <w:r w:rsidR="00185332" w:rsidRPr="00051FFD">
        <w:t xml:space="preserve">ome </w:t>
      </w:r>
      <w:r w:rsidR="00434512">
        <w:t>C</w:t>
      </w:r>
      <w:r w:rsidR="00185332" w:rsidRPr="00051FFD">
        <w:t xml:space="preserve">are </w:t>
      </w:r>
      <w:r w:rsidR="00372FF3" w:rsidRPr="00051FFD">
        <w:t xml:space="preserve">or enter </w:t>
      </w:r>
      <w:r w:rsidR="009A5D39">
        <w:t>Transition Care</w:t>
      </w:r>
      <w:r w:rsidR="00372FF3" w:rsidRPr="00051FFD">
        <w:t>.</w:t>
      </w:r>
      <w:r w:rsidR="00E7094A" w:rsidRPr="00051FFD">
        <w:t xml:space="preserve"> </w:t>
      </w:r>
      <w:r w:rsidR="003A0C1F">
        <w:t>ACATs also make recommendations regarding the most appropriate long</w:t>
      </w:r>
      <w:r w:rsidR="00664BA5">
        <w:noBreakHyphen/>
      </w:r>
      <w:r w:rsidR="003A0C1F">
        <w:t>term care arrangements for clients (table</w:t>
      </w:r>
      <w:r w:rsidR="00664BA5">
        <w:t> </w:t>
      </w:r>
      <w:r w:rsidR="003A0C1F">
        <w:t>14A.</w:t>
      </w:r>
      <w:r w:rsidR="004548EB">
        <w:t>2</w:t>
      </w:r>
      <w:r w:rsidR="003A0C1F">
        <w:t xml:space="preserve">9). </w:t>
      </w:r>
      <w:r w:rsidR="00E7094A" w:rsidRPr="00051FFD">
        <w:t xml:space="preserve">Assessments for other </w:t>
      </w:r>
      <w:r w:rsidR="00DB687E">
        <w:t xml:space="preserve">aged care </w:t>
      </w:r>
      <w:r w:rsidR="00E7094A" w:rsidRPr="00051FFD">
        <w:t>programs</w:t>
      </w:r>
      <w:r w:rsidR="00441ED3">
        <w:t xml:space="preserve"> </w:t>
      </w:r>
      <w:r w:rsidR="009A5D39">
        <w:t>are</w:t>
      </w:r>
      <w:r w:rsidR="00E7094A" w:rsidRPr="00051FFD">
        <w:t xml:space="preserve"> conducted by other agencies</w:t>
      </w:r>
      <w:r w:rsidR="00C45F7B">
        <w:t xml:space="preserve">, </w:t>
      </w:r>
      <w:r w:rsidR="00441ED3">
        <w:t xml:space="preserve">such </w:t>
      </w:r>
      <w:r w:rsidR="00441ED3" w:rsidRPr="00441ED3">
        <w:t xml:space="preserve">as </w:t>
      </w:r>
      <w:r w:rsidR="007922DF">
        <w:t>Regional Assessment Services</w:t>
      </w:r>
      <w:r w:rsidR="00E7094A" w:rsidRPr="00051FFD">
        <w:t>.</w:t>
      </w:r>
      <w:r w:rsidR="00041C6A">
        <w:t xml:space="preserve"> </w:t>
      </w:r>
    </w:p>
    <w:p w:rsidR="002805D0" w:rsidRPr="006276B7" w:rsidRDefault="00441ED3" w:rsidP="009D44D7">
      <w:pPr>
        <w:pStyle w:val="BodyText"/>
        <w:shd w:val="clear" w:color="auto" w:fill="FFFFFF" w:themeFill="background1"/>
        <w:rPr>
          <w:rFonts w:ascii="Book Antiqua" w:hAnsi="Book Antiqua"/>
          <w:strike/>
          <w:sz w:val="22"/>
        </w:rPr>
      </w:pPr>
      <w:r w:rsidRPr="009D7127">
        <w:t>Some ACAT assessments will not result in an approval for care</w:t>
      </w:r>
      <w:r w:rsidR="00D867D6" w:rsidRPr="009D7127">
        <w:t xml:space="preserve">, </w:t>
      </w:r>
      <w:r w:rsidR="00086CE5" w:rsidRPr="009D7127">
        <w:t>whilst some</w:t>
      </w:r>
      <w:r w:rsidR="005D3F77" w:rsidRPr="009D7127">
        <w:t xml:space="preserve"> client</w:t>
      </w:r>
      <w:r w:rsidR="00086CE5" w:rsidRPr="009D7127">
        <w:t>s</w:t>
      </w:r>
      <w:r w:rsidR="005D3F77" w:rsidRPr="009D7127">
        <w:t xml:space="preserve"> can be approved for more than one type of care</w:t>
      </w:r>
      <w:r w:rsidR="00233B88" w:rsidRPr="009D7127">
        <w:t>.</w:t>
      </w:r>
      <w:r w:rsidR="005D3F77" w:rsidRPr="009D7127">
        <w:t xml:space="preserve"> </w:t>
      </w:r>
      <w:r w:rsidR="00233B88" w:rsidRPr="009D7127">
        <w:t>In 201</w:t>
      </w:r>
      <w:r w:rsidR="00C45F7B" w:rsidRPr="009D7127">
        <w:t>4</w:t>
      </w:r>
      <w:r w:rsidR="00233B88" w:rsidRPr="009D7127">
        <w:noBreakHyphen/>
        <w:t>1</w:t>
      </w:r>
      <w:r w:rsidR="00C45F7B" w:rsidRPr="009D7127">
        <w:t>5</w:t>
      </w:r>
      <w:r w:rsidR="00233B88" w:rsidRPr="009D7127">
        <w:t>, t</w:t>
      </w:r>
      <w:r w:rsidR="00D867D6" w:rsidRPr="009D7127">
        <w:t>here were</w:t>
      </w:r>
      <w:r w:rsidR="009F707B" w:rsidRPr="009D7127">
        <w:t xml:space="preserve"> </w:t>
      </w:r>
      <w:r w:rsidR="00E3486F" w:rsidRPr="009D44D7">
        <w:rPr>
          <w:shd w:val="clear" w:color="auto" w:fill="FFFFFF" w:themeFill="background1"/>
        </w:rPr>
        <w:t>175</w:t>
      </w:r>
      <w:r w:rsidR="004875BB" w:rsidRPr="009D44D7">
        <w:rPr>
          <w:shd w:val="clear" w:color="auto" w:fill="FFFFFF" w:themeFill="background1"/>
        </w:rPr>
        <w:t> </w:t>
      </w:r>
      <w:r w:rsidR="00E3486F" w:rsidRPr="009D44D7">
        <w:rPr>
          <w:shd w:val="clear" w:color="auto" w:fill="FFFFFF" w:themeFill="background1"/>
        </w:rPr>
        <w:t>267</w:t>
      </w:r>
      <w:r w:rsidR="00F821B8" w:rsidRPr="009D44D7">
        <w:rPr>
          <w:shd w:val="clear" w:color="auto" w:fill="FFFFFF" w:themeFill="background1"/>
        </w:rPr>
        <w:t xml:space="preserve"> ACAT assessments undertaken </w:t>
      </w:r>
      <w:r w:rsidR="00E3486F" w:rsidRPr="009D44D7">
        <w:rPr>
          <w:shd w:val="clear" w:color="auto" w:fill="FFFFFF" w:themeFill="background1"/>
        </w:rPr>
        <w:t>for older people in the target population (equivalent to 48.0 per 1000 older people)</w:t>
      </w:r>
      <w:r w:rsidR="00E3486F">
        <w:t xml:space="preserve"> </w:t>
      </w:r>
      <w:r w:rsidR="00F821B8" w:rsidRPr="009D7127">
        <w:t xml:space="preserve">and </w:t>
      </w:r>
      <w:r w:rsidR="006F5BDD" w:rsidRPr="009D7127">
        <w:t>218</w:t>
      </w:r>
      <w:r w:rsidR="00865A0F">
        <w:t> </w:t>
      </w:r>
      <w:r w:rsidR="006F5BDD" w:rsidRPr="009D7127">
        <w:t xml:space="preserve">569 </w:t>
      </w:r>
      <w:r w:rsidR="00D867D6" w:rsidRPr="009D7127">
        <w:t xml:space="preserve">approvals </w:t>
      </w:r>
      <w:r w:rsidR="005D3F77" w:rsidRPr="009D7127">
        <w:t>for people a</w:t>
      </w:r>
      <w:r w:rsidR="00233B88" w:rsidRPr="009D7127">
        <w:t>ged</w:t>
      </w:r>
      <w:r w:rsidR="005D3F77" w:rsidRPr="009D7127">
        <w:t xml:space="preserve"> 65</w:t>
      </w:r>
      <w:r w:rsidR="00233B88" w:rsidRPr="009D7127">
        <w:t> </w:t>
      </w:r>
      <w:r w:rsidR="005D3F77" w:rsidRPr="009D7127">
        <w:t xml:space="preserve">years or over </w:t>
      </w:r>
      <w:r w:rsidR="00390FA7" w:rsidRPr="009D7127">
        <w:t>(table</w:t>
      </w:r>
      <w:r w:rsidR="00E75264" w:rsidRPr="009D7127">
        <w:t> </w:t>
      </w:r>
      <w:r w:rsidR="00390FA7" w:rsidRPr="009D7127">
        <w:t>1</w:t>
      </w:r>
      <w:r w:rsidR="00C45F7B" w:rsidRPr="009D7127">
        <w:t>4</w:t>
      </w:r>
      <w:r w:rsidR="00390FA7" w:rsidRPr="009D7127">
        <w:t>A.</w:t>
      </w:r>
      <w:r w:rsidR="000743E2" w:rsidRPr="009D7127">
        <w:t>2</w:t>
      </w:r>
      <w:r w:rsidR="00DB78DE" w:rsidRPr="009D7127">
        <w:t>3</w:t>
      </w:r>
      <w:r w:rsidR="00E3486F">
        <w:t xml:space="preserve"> and </w:t>
      </w:r>
      <w:r w:rsidR="00E3486F" w:rsidRPr="009D44D7">
        <w:rPr>
          <w:shd w:val="clear" w:color="auto" w:fill="FFFFFF" w:themeFill="background1"/>
        </w:rPr>
        <w:t>Department of Health (unpublished)</w:t>
      </w:r>
      <w:r w:rsidR="00390FA7" w:rsidRPr="009D7127">
        <w:t>)</w:t>
      </w:r>
      <w:r w:rsidRPr="009D7127">
        <w:t>.</w:t>
      </w:r>
      <w:r w:rsidR="002805D0" w:rsidRPr="009D7127">
        <w:t xml:space="preserve"> ACAT </w:t>
      </w:r>
      <w:r w:rsidR="00D867D6" w:rsidRPr="009D7127">
        <w:t xml:space="preserve">approvals </w:t>
      </w:r>
      <w:r w:rsidR="002805D0" w:rsidRPr="009D7127">
        <w:t xml:space="preserve">rates </w:t>
      </w:r>
      <w:r w:rsidR="00D867D6" w:rsidRPr="009D7127">
        <w:t xml:space="preserve">for </w:t>
      </w:r>
      <w:r w:rsidR="002805D0" w:rsidRPr="009D7127">
        <w:t xml:space="preserve">Home Care and residential aged care </w:t>
      </w:r>
      <w:r w:rsidR="00797A33" w:rsidRPr="009D7127">
        <w:t xml:space="preserve">significantly increase </w:t>
      </w:r>
      <w:r w:rsidR="00346BB3" w:rsidRPr="009D7127">
        <w:t>with age</w:t>
      </w:r>
      <w:r w:rsidR="005C5B68" w:rsidRPr="009D7127">
        <w:t xml:space="preserve"> </w:t>
      </w:r>
      <w:r w:rsidR="00346BB3" w:rsidRPr="009D7127">
        <w:t>(</w:t>
      </w:r>
      <w:r w:rsidR="005C5B68" w:rsidRPr="009D7127">
        <w:t>figure</w:t>
      </w:r>
      <w:r w:rsidR="00E75264" w:rsidRPr="009D7127">
        <w:t> </w:t>
      </w:r>
      <w:r w:rsidR="005C5B68" w:rsidRPr="009D7127">
        <w:t>1</w:t>
      </w:r>
      <w:r w:rsidR="00277FF9" w:rsidRPr="009D7127">
        <w:t>4</w:t>
      </w:r>
      <w:r w:rsidR="005C5B68" w:rsidRPr="009D7127">
        <w:t>.</w:t>
      </w:r>
      <w:r w:rsidR="00277FF9" w:rsidRPr="009D7127">
        <w:t>2</w:t>
      </w:r>
      <w:r w:rsidR="00346BB3" w:rsidRPr="009D7127">
        <w:t>)</w:t>
      </w:r>
      <w:r w:rsidR="002805D0" w:rsidRPr="009D7127">
        <w:t>.</w:t>
      </w:r>
    </w:p>
    <w:p w:rsidR="00033A05" w:rsidRPr="00664BA5" w:rsidRDefault="00033A05" w:rsidP="00C0639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3A05" w:rsidRPr="00070BD9" w:rsidTr="00647BAB">
        <w:tc>
          <w:tcPr>
            <w:tcW w:w="8771" w:type="dxa"/>
            <w:tcBorders>
              <w:top w:val="single" w:sz="6" w:space="0" w:color="78A22F"/>
              <w:left w:val="nil"/>
              <w:bottom w:val="nil"/>
              <w:right w:val="nil"/>
            </w:tcBorders>
            <w:shd w:val="clear" w:color="auto" w:fill="auto"/>
          </w:tcPr>
          <w:p w:rsidR="00033A05" w:rsidRPr="002763E2" w:rsidRDefault="00033A05" w:rsidP="00346BB3">
            <w:pPr>
              <w:pStyle w:val="FigureTitle"/>
              <w:shd w:val="clear" w:color="auto" w:fill="FFFFFF" w:themeFill="background1"/>
            </w:pPr>
            <w:r w:rsidRPr="002763E2">
              <w:rPr>
                <w:b w:val="0"/>
              </w:rPr>
              <w:t xml:space="preserve">Figure </w:t>
            </w:r>
            <w:r w:rsidR="00641FE6">
              <w:rPr>
                <w:b w:val="0"/>
              </w:rPr>
              <w:t>14.</w:t>
            </w:r>
            <w:r w:rsidR="00662F0E">
              <w:rPr>
                <w:b w:val="0"/>
                <w:noProof/>
              </w:rPr>
              <w:t>2</w:t>
            </w:r>
            <w:r w:rsidRPr="002763E2">
              <w:tab/>
            </w:r>
            <w:proofErr w:type="spellStart"/>
            <w:r w:rsidR="00C06393">
              <w:t>ACAT</w:t>
            </w:r>
            <w:proofErr w:type="spellEnd"/>
            <w:r w:rsidRPr="002763E2">
              <w:t xml:space="preserve"> assessment </w:t>
            </w:r>
            <w:r w:rsidR="00755FE9" w:rsidRPr="002763E2">
              <w:t>age</w:t>
            </w:r>
            <w:r w:rsidR="00E75264">
              <w:noBreakHyphen/>
            </w:r>
            <w:r w:rsidR="00755FE9" w:rsidRPr="002763E2">
              <w:t>specific</w:t>
            </w:r>
            <w:r w:rsidR="002805D0" w:rsidRPr="002763E2">
              <w:t xml:space="preserve"> approval</w:t>
            </w:r>
            <w:r w:rsidR="00755FE9" w:rsidRPr="002763E2">
              <w:t xml:space="preserve"> </w:t>
            </w:r>
            <w:r w:rsidRPr="002763E2">
              <w:t>rates, 201</w:t>
            </w:r>
            <w:r w:rsidR="00346BB3">
              <w:t>4</w:t>
            </w:r>
            <w:r w:rsidR="007734F1" w:rsidRPr="002763E2">
              <w:noBreakHyphen/>
            </w:r>
            <w:r w:rsidRPr="002763E2">
              <w:t>1</w:t>
            </w:r>
            <w:r w:rsidR="00346BB3">
              <w:t>5</w:t>
            </w:r>
            <w:r w:rsidRPr="002763E2">
              <w:rPr>
                <w:rStyle w:val="NoteLabel"/>
                <w:b/>
              </w:rPr>
              <w:t>a</w:t>
            </w:r>
            <w:r w:rsidR="008D00AD">
              <w:rPr>
                <w:rStyle w:val="NoteLabel"/>
                <w:b/>
              </w:rPr>
              <w:t xml:space="preserve"> </w:t>
            </w:r>
          </w:p>
        </w:tc>
      </w:tr>
      <w:tr w:rsidR="00033A05" w:rsidRPr="00070BD9" w:rsidTr="00647BAB">
        <w:tc>
          <w:tcPr>
            <w:tcW w:w="8771" w:type="dxa"/>
            <w:tcBorders>
              <w:top w:val="nil"/>
              <w:left w:val="nil"/>
              <w:bottom w:val="nil"/>
              <w:right w:val="nil"/>
            </w:tcBorders>
            <w:shd w:val="clear" w:color="auto" w:fill="auto"/>
            <w:tcMar>
              <w:top w:w="28" w:type="dxa"/>
              <w:bottom w:w="28" w:type="dxa"/>
            </w:tcMar>
          </w:tcPr>
          <w:tbl>
            <w:tblPr>
              <w:tblW w:w="8789"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407"/>
              <w:gridCol w:w="4382"/>
            </w:tblGrid>
            <w:tr w:rsidR="00944C99" w:rsidRPr="00070BD9" w:rsidTr="004D529E">
              <w:tc>
                <w:tcPr>
                  <w:tcW w:w="2507" w:type="pct"/>
                  <w:tcBorders>
                    <w:top w:val="nil"/>
                    <w:bottom w:val="nil"/>
                  </w:tcBorders>
                </w:tcPr>
                <w:p w:rsidR="00944C99" w:rsidRPr="00755FE9" w:rsidRDefault="00944C99" w:rsidP="004B2BE8">
                  <w:pPr>
                    <w:pStyle w:val="TableBodyText"/>
                    <w:shd w:val="clear" w:color="auto" w:fill="FFFFFF" w:themeFill="background1"/>
                    <w:jc w:val="center"/>
                    <w:rPr>
                      <w:b/>
                    </w:rPr>
                  </w:pPr>
                  <w:r>
                    <w:rPr>
                      <w:b/>
                    </w:rPr>
                    <w:t>Home care</w:t>
                  </w:r>
                </w:p>
              </w:tc>
              <w:tc>
                <w:tcPr>
                  <w:tcW w:w="2493" w:type="pct"/>
                  <w:tcBorders>
                    <w:top w:val="nil"/>
                    <w:bottom w:val="nil"/>
                  </w:tcBorders>
                </w:tcPr>
                <w:p w:rsidR="00944C99" w:rsidRPr="00755FE9" w:rsidRDefault="00944C99" w:rsidP="004B2BE8">
                  <w:pPr>
                    <w:pStyle w:val="TableBodyText"/>
                    <w:shd w:val="clear" w:color="auto" w:fill="FFFFFF" w:themeFill="background1"/>
                    <w:jc w:val="center"/>
                    <w:rPr>
                      <w:b/>
                    </w:rPr>
                  </w:pPr>
                  <w:r w:rsidRPr="00755FE9">
                    <w:rPr>
                      <w:b/>
                    </w:rPr>
                    <w:t>Residential aged care</w:t>
                  </w:r>
                </w:p>
              </w:tc>
            </w:tr>
            <w:tr w:rsidR="00944C99" w:rsidRPr="00070BD9" w:rsidTr="004D529E">
              <w:trPr>
                <w:trHeight w:val="4252"/>
              </w:trPr>
              <w:tc>
                <w:tcPr>
                  <w:tcW w:w="2507" w:type="pct"/>
                  <w:tcBorders>
                    <w:top w:val="nil"/>
                    <w:bottom w:val="nil"/>
                    <w:right w:val="nil"/>
                  </w:tcBorders>
                </w:tcPr>
                <w:p w:rsidR="00944C99" w:rsidRPr="00E34043" w:rsidRDefault="00FE70DC" w:rsidP="004B2BE8">
                  <w:pPr>
                    <w:pStyle w:val="TableBodyText"/>
                    <w:shd w:val="clear" w:color="auto" w:fill="FFFFFF" w:themeFill="background1"/>
                    <w:jc w:val="center"/>
                  </w:pPr>
                  <w:r>
                    <w:rPr>
                      <w:noProof/>
                    </w:rPr>
                    <w:drawing>
                      <wp:inline distT="0" distB="0" distL="0" distR="0">
                        <wp:extent cx="2660015" cy="2683510"/>
                        <wp:effectExtent l="0" t="0" r="6985" b="2540"/>
                        <wp:docPr id="2" name="Picture 2" descr="Figure 14.2 ACAT assessment age-specific approval rates, 2014-15&#10;&#10;Home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0015" cy="2683510"/>
                                </a:xfrm>
                                <a:prstGeom prst="rect">
                                  <a:avLst/>
                                </a:prstGeom>
                                <a:noFill/>
                                <a:ln>
                                  <a:noFill/>
                                </a:ln>
                              </pic:spPr>
                            </pic:pic>
                          </a:graphicData>
                        </a:graphic>
                      </wp:inline>
                    </w:drawing>
                  </w:r>
                </w:p>
              </w:tc>
              <w:tc>
                <w:tcPr>
                  <w:tcW w:w="2493" w:type="pct"/>
                  <w:tcBorders>
                    <w:top w:val="nil"/>
                    <w:left w:val="nil"/>
                    <w:bottom w:val="nil"/>
                    <w:right w:val="nil"/>
                  </w:tcBorders>
                </w:tcPr>
                <w:p w:rsidR="00944C99" w:rsidRPr="00E34043" w:rsidRDefault="00FE70DC" w:rsidP="004B2BE8">
                  <w:pPr>
                    <w:pStyle w:val="TableBodyText"/>
                    <w:shd w:val="clear" w:color="auto" w:fill="FFFFFF" w:themeFill="background1"/>
                    <w:jc w:val="center"/>
                  </w:pPr>
                  <w:r>
                    <w:rPr>
                      <w:noProof/>
                    </w:rPr>
                    <w:drawing>
                      <wp:inline distT="0" distB="0" distL="0" distR="0">
                        <wp:extent cx="2576830" cy="2683510"/>
                        <wp:effectExtent l="0" t="0" r="0" b="2540"/>
                        <wp:docPr id="3" name="Picture 3" descr="Figure 14.2 ACAT assessment age-specific approval rates, 2014-15&#10;&#10;Residential aged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6830" cy="2683510"/>
                                </a:xfrm>
                                <a:prstGeom prst="rect">
                                  <a:avLst/>
                                </a:prstGeom>
                                <a:noFill/>
                                <a:ln>
                                  <a:noFill/>
                                </a:ln>
                              </pic:spPr>
                            </pic:pic>
                          </a:graphicData>
                        </a:graphic>
                      </wp:inline>
                    </w:drawing>
                  </w:r>
                </w:p>
              </w:tc>
            </w:tr>
          </w:tbl>
          <w:p w:rsidR="00033A05" w:rsidRPr="00070BD9" w:rsidRDefault="00033A05" w:rsidP="004B2BE8">
            <w:pPr>
              <w:pStyle w:val="Figure"/>
              <w:shd w:val="clear" w:color="auto" w:fill="FFFFFF" w:themeFill="background1"/>
              <w:rPr>
                <w:color w:val="FF0000"/>
              </w:rPr>
            </w:pPr>
          </w:p>
        </w:tc>
      </w:tr>
      <w:tr w:rsidR="00033A05" w:rsidRPr="00191509" w:rsidTr="00647BAB">
        <w:tc>
          <w:tcPr>
            <w:tcW w:w="8771" w:type="dxa"/>
            <w:tcBorders>
              <w:top w:val="nil"/>
              <w:left w:val="nil"/>
              <w:bottom w:val="nil"/>
              <w:right w:val="nil"/>
            </w:tcBorders>
            <w:shd w:val="clear" w:color="auto" w:fill="auto"/>
          </w:tcPr>
          <w:p w:rsidR="00033A05" w:rsidRPr="004B2BE8" w:rsidRDefault="005C6C6B" w:rsidP="00370EEC">
            <w:pPr>
              <w:pStyle w:val="Note"/>
              <w:shd w:val="clear" w:color="auto" w:fill="FFFFFF" w:themeFill="background1"/>
            </w:pPr>
            <w:r w:rsidRPr="004B2BE8">
              <w:rPr>
                <w:rStyle w:val="NoteLabel"/>
              </w:rPr>
              <w:t xml:space="preserve">a </w:t>
            </w:r>
            <w:r w:rsidR="00390FA7" w:rsidRPr="00390FA7">
              <w:t>See table</w:t>
            </w:r>
            <w:r w:rsidR="00E75264">
              <w:t> </w:t>
            </w:r>
            <w:r w:rsidR="00390FA7" w:rsidRPr="00390FA7">
              <w:t>1</w:t>
            </w:r>
            <w:r w:rsidR="00944C99">
              <w:t>4</w:t>
            </w:r>
            <w:r w:rsidR="00390FA7" w:rsidRPr="00390FA7">
              <w:t>A.</w:t>
            </w:r>
            <w:r w:rsidR="00370EEC">
              <w:t>2</w:t>
            </w:r>
            <w:r w:rsidR="00390FA7">
              <w:t>4</w:t>
            </w:r>
            <w:r w:rsidR="00390FA7" w:rsidRPr="00390FA7">
              <w:t xml:space="preserve"> for detailed footnotes and caveats</w:t>
            </w:r>
            <w:r w:rsidRPr="004B2BE8">
              <w:t>.</w:t>
            </w:r>
          </w:p>
        </w:tc>
      </w:tr>
      <w:tr w:rsidR="00033A05" w:rsidRPr="00070BD9" w:rsidTr="00647BAB">
        <w:tc>
          <w:tcPr>
            <w:tcW w:w="8771" w:type="dxa"/>
            <w:tcBorders>
              <w:top w:val="nil"/>
              <w:left w:val="nil"/>
              <w:bottom w:val="nil"/>
              <w:right w:val="nil"/>
            </w:tcBorders>
            <w:shd w:val="clear" w:color="auto" w:fill="auto"/>
          </w:tcPr>
          <w:p w:rsidR="00033A05" w:rsidRPr="002763E2" w:rsidRDefault="007734F1" w:rsidP="00370EEC">
            <w:pPr>
              <w:pStyle w:val="Source"/>
              <w:shd w:val="clear" w:color="auto" w:fill="FFFFFF" w:themeFill="background1"/>
              <w:rPr>
                <w:i/>
              </w:rPr>
            </w:pPr>
            <w:r w:rsidRPr="002763E2">
              <w:rPr>
                <w:i/>
              </w:rPr>
              <w:t>Source</w:t>
            </w:r>
            <w:r w:rsidRPr="002763E2">
              <w:t>:</w:t>
            </w:r>
            <w:r w:rsidRPr="002763E2">
              <w:rPr>
                <w:i/>
              </w:rPr>
              <w:t xml:space="preserve"> </w:t>
            </w:r>
            <w:r w:rsidR="00390FA7" w:rsidRPr="00390FA7">
              <w:t>D</w:t>
            </w:r>
            <w:r w:rsidR="00393A4E">
              <w:t>epartment of Health</w:t>
            </w:r>
            <w:r w:rsidR="00390FA7" w:rsidRPr="00390FA7">
              <w:t xml:space="preserve"> (unpublished)</w:t>
            </w:r>
            <w:r w:rsidRPr="002763E2">
              <w:t>; table</w:t>
            </w:r>
            <w:r w:rsidR="009551A0" w:rsidRPr="002763E2">
              <w:t> </w:t>
            </w:r>
            <w:r w:rsidRPr="002763E2">
              <w:t>1</w:t>
            </w:r>
            <w:r w:rsidR="00944C99">
              <w:t>4</w:t>
            </w:r>
            <w:r w:rsidRPr="002763E2">
              <w:t>A.</w:t>
            </w:r>
            <w:r w:rsidR="00370EEC">
              <w:t>2</w:t>
            </w:r>
            <w:r w:rsidR="00E12838">
              <w:t>4</w:t>
            </w:r>
            <w:r w:rsidRPr="002763E2">
              <w:t>.</w:t>
            </w:r>
          </w:p>
        </w:tc>
      </w:tr>
      <w:tr w:rsidR="00033A05" w:rsidRPr="00070BD9" w:rsidTr="00647BAB">
        <w:tc>
          <w:tcPr>
            <w:tcW w:w="8771" w:type="dxa"/>
            <w:tcBorders>
              <w:top w:val="nil"/>
              <w:left w:val="nil"/>
              <w:bottom w:val="single" w:sz="6" w:space="0" w:color="78A22F"/>
              <w:right w:val="nil"/>
            </w:tcBorders>
            <w:shd w:val="clear" w:color="auto" w:fill="auto"/>
          </w:tcPr>
          <w:p w:rsidR="00033A05" w:rsidRPr="00E12838" w:rsidRDefault="00033A05" w:rsidP="004B2BE8">
            <w:pPr>
              <w:pStyle w:val="Figurespace"/>
              <w:shd w:val="clear" w:color="auto" w:fill="FFFFFF" w:themeFill="background1"/>
            </w:pPr>
          </w:p>
        </w:tc>
      </w:tr>
      <w:tr w:rsidR="00033A05" w:rsidRPr="00070BD9" w:rsidTr="00647BAB">
        <w:tc>
          <w:tcPr>
            <w:tcW w:w="8771" w:type="dxa"/>
            <w:tcBorders>
              <w:top w:val="single" w:sz="6" w:space="0" w:color="78A22F"/>
              <w:left w:val="nil"/>
              <w:bottom w:val="nil"/>
              <w:right w:val="nil"/>
            </w:tcBorders>
          </w:tcPr>
          <w:p w:rsidR="00033A05" w:rsidRPr="00E12838" w:rsidRDefault="00033A05" w:rsidP="004B2BE8">
            <w:pPr>
              <w:pStyle w:val="BoxSpaceBelow"/>
              <w:shd w:val="clear" w:color="auto" w:fill="FFFFFF" w:themeFill="background1"/>
            </w:pPr>
          </w:p>
        </w:tc>
      </w:tr>
    </w:tbl>
    <w:p w:rsidR="00AC1B62" w:rsidRDefault="00626C1B" w:rsidP="004B2BE8">
      <w:pPr>
        <w:pStyle w:val="Heading5"/>
        <w:shd w:val="clear" w:color="auto" w:fill="FFFFFF" w:themeFill="background1"/>
      </w:pPr>
      <w:r>
        <w:t>Home</w:t>
      </w:r>
      <w:r w:rsidR="005C5B68">
        <w:t xml:space="preserve"> care</w:t>
      </w:r>
      <w:r>
        <w:t xml:space="preserve"> and support</w:t>
      </w:r>
    </w:p>
    <w:p w:rsidR="00634625" w:rsidRDefault="005C5B68" w:rsidP="004B2BE8">
      <w:pPr>
        <w:pStyle w:val="BodyText"/>
        <w:shd w:val="clear" w:color="auto" w:fill="FFFFFF" w:themeFill="background1"/>
      </w:pPr>
      <w:r w:rsidRPr="008C0DA4">
        <w:t xml:space="preserve">Home </w:t>
      </w:r>
      <w:r w:rsidR="00D149E4" w:rsidRPr="008C0DA4">
        <w:t xml:space="preserve">care </w:t>
      </w:r>
      <w:r w:rsidR="00626C1B">
        <w:t xml:space="preserve">and support </w:t>
      </w:r>
      <w:r w:rsidR="00D149E4" w:rsidRPr="008C0DA4">
        <w:t>services provide</w:t>
      </w:r>
      <w:r w:rsidRPr="008C0DA4">
        <w:t xml:space="preserve"> assistance to help older people remain, or return to, living independently in their home as long as possible, or provide </w:t>
      </w:r>
      <w:r w:rsidR="00B27812" w:rsidRPr="008C0DA4">
        <w:t xml:space="preserve">respite </w:t>
      </w:r>
      <w:r w:rsidRPr="008C0DA4">
        <w:t>support to carers</w:t>
      </w:r>
      <w:r w:rsidR="00B27812" w:rsidRPr="008C0DA4">
        <w:t xml:space="preserve">. </w:t>
      </w:r>
      <w:r w:rsidR="00DA53F1">
        <w:t>Most services were provided under the following</w:t>
      </w:r>
      <w:r w:rsidR="00B27812" w:rsidRPr="008C0DA4">
        <w:t xml:space="preserve"> </w:t>
      </w:r>
      <w:r w:rsidR="00C52111">
        <w:t xml:space="preserve">programs </w:t>
      </w:r>
      <w:r w:rsidR="008E1157">
        <w:t>in 2015</w:t>
      </w:r>
      <w:r w:rsidR="00664BA5">
        <w:noBreakHyphen/>
      </w:r>
      <w:r w:rsidR="008E1157">
        <w:t>16</w:t>
      </w:r>
      <w:r w:rsidR="00634625">
        <w:t>:</w:t>
      </w:r>
    </w:p>
    <w:p w:rsidR="00CC536E" w:rsidRPr="00864C90" w:rsidRDefault="00DA53F1" w:rsidP="00995E5D">
      <w:pPr>
        <w:pStyle w:val="ListBullet"/>
      </w:pPr>
      <w:r>
        <w:t>CHSP</w:t>
      </w:r>
      <w:r w:rsidR="00A66D5D">
        <w:t xml:space="preserve"> </w:t>
      </w:r>
      <w:r w:rsidR="006F1A94">
        <w:t>(</w:t>
      </w:r>
      <w:r w:rsidR="00A66D5D">
        <w:t>all jurisdictions except Victoria and WA</w:t>
      </w:r>
      <w:r>
        <w:t>) and</w:t>
      </w:r>
      <w:r w:rsidRPr="008E1157">
        <w:t xml:space="preserve"> </w:t>
      </w:r>
      <w:r w:rsidRPr="008C0DA4">
        <w:t>HACC</w:t>
      </w:r>
      <w:r>
        <w:t xml:space="preserve"> (Victoria and WA only) </w:t>
      </w:r>
      <w:r w:rsidR="00797A33">
        <w:t xml:space="preserve">provide </w:t>
      </w:r>
      <w:r>
        <w:t>b</w:t>
      </w:r>
      <w:r w:rsidRPr="008C0DA4">
        <w:t>asic maintenance and support services for people in the community whose independence is at risk</w:t>
      </w:r>
      <w:r w:rsidR="00AD10ED">
        <w:t xml:space="preserve"> —</w:t>
      </w:r>
      <w:r w:rsidRPr="008C0DA4">
        <w:t xml:space="preserve"> </w:t>
      </w:r>
      <w:r w:rsidR="00AD10ED">
        <w:t>c</w:t>
      </w:r>
      <w:r w:rsidR="00F539C1">
        <w:t>entre</w:t>
      </w:r>
      <w:r w:rsidR="00F539C1">
        <w:noBreakHyphen/>
        <w:t xml:space="preserve">based day care, domestic assistance and social support are </w:t>
      </w:r>
      <w:r w:rsidR="006F1A94">
        <w:t xml:space="preserve">some of the </w:t>
      </w:r>
      <w:r w:rsidR="00F539C1">
        <w:t>service types (table</w:t>
      </w:r>
      <w:r w:rsidR="006F1A94">
        <w:t>s</w:t>
      </w:r>
      <w:r w:rsidR="00F539C1">
        <w:t> </w:t>
      </w:r>
      <w:r w:rsidR="00F539C1" w:rsidRPr="00AE5AD4">
        <w:rPr>
          <w:shd w:val="clear" w:color="auto" w:fill="FFFFFF" w:themeFill="background1"/>
        </w:rPr>
        <w:t>14A.2</w:t>
      </w:r>
      <w:r w:rsidR="00C61030" w:rsidRPr="00AE5AD4">
        <w:rPr>
          <w:shd w:val="clear" w:color="auto" w:fill="FFFFFF" w:themeFill="background1"/>
        </w:rPr>
        <w:t>1</w:t>
      </w:r>
      <w:r w:rsidR="004A3CAD">
        <w:rPr>
          <w:shd w:val="clear" w:color="auto" w:fill="FFFFFF" w:themeFill="background1"/>
        </w:rPr>
        <w:t>−</w:t>
      </w:r>
      <w:r w:rsidR="000C7D1B" w:rsidRPr="00AE5AD4">
        <w:rPr>
          <w:shd w:val="clear" w:color="auto" w:fill="FFFFFF" w:themeFill="background1"/>
        </w:rPr>
        <w:t>2</w:t>
      </w:r>
      <w:r w:rsidR="00C61030" w:rsidRPr="00AE5AD4">
        <w:rPr>
          <w:shd w:val="clear" w:color="auto" w:fill="FFFFFF" w:themeFill="background1"/>
        </w:rPr>
        <w:t>2</w:t>
      </w:r>
      <w:r w:rsidR="00F539C1">
        <w:t>).</w:t>
      </w:r>
      <w:r w:rsidR="00CC536E">
        <w:t xml:space="preserve"> </w:t>
      </w:r>
    </w:p>
    <w:p w:rsidR="00634625" w:rsidRDefault="00B27812" w:rsidP="006F1A94">
      <w:pPr>
        <w:pStyle w:val="ListBullet"/>
      </w:pPr>
      <w:r w:rsidRPr="008C0DA4">
        <w:t>Home Care</w:t>
      </w:r>
      <w:r w:rsidR="00634625">
        <w:t xml:space="preserve"> —</w:t>
      </w:r>
      <w:r w:rsidR="00F539C1">
        <w:t xml:space="preserve"> </w:t>
      </w:r>
      <w:r w:rsidR="00DA53F1">
        <w:t>packages of</w:t>
      </w:r>
      <w:r w:rsidR="00634625" w:rsidRPr="009F5492">
        <w:t xml:space="preserve"> </w:t>
      </w:r>
      <w:r w:rsidR="00DA53F1">
        <w:t>care</w:t>
      </w:r>
      <w:r w:rsidR="00DA53F1" w:rsidRPr="009F5492">
        <w:t xml:space="preserve"> tailored to client needs</w:t>
      </w:r>
      <w:r w:rsidR="00DA53F1">
        <w:t>,</w:t>
      </w:r>
      <w:r w:rsidR="00DA53F1" w:rsidRPr="009F5492">
        <w:t xml:space="preserve"> </w:t>
      </w:r>
      <w:r w:rsidR="00DA53F1">
        <w:t>at</w:t>
      </w:r>
      <w:r w:rsidR="00634625" w:rsidRPr="009F5492">
        <w:t xml:space="preserve"> basic to low </w:t>
      </w:r>
      <w:r w:rsidR="00634625">
        <w:t xml:space="preserve">levels </w:t>
      </w:r>
      <w:r w:rsidR="00DA53F1">
        <w:t>(</w:t>
      </w:r>
      <w:r w:rsidR="00634625">
        <w:t>1</w:t>
      </w:r>
      <w:r w:rsidR="004A3CAD">
        <w:t>−</w:t>
      </w:r>
      <w:r w:rsidR="00634625">
        <w:t xml:space="preserve">2) or </w:t>
      </w:r>
      <w:r w:rsidR="00634625" w:rsidRPr="009F5492">
        <w:t xml:space="preserve">intermediate to high </w:t>
      </w:r>
      <w:r w:rsidR="006548E4">
        <w:t xml:space="preserve">levels </w:t>
      </w:r>
      <w:r w:rsidR="00634625">
        <w:t>(3</w:t>
      </w:r>
      <w:r w:rsidR="004A3CAD">
        <w:t>−</w:t>
      </w:r>
      <w:r w:rsidR="00797A33">
        <w:t>4), which can</w:t>
      </w:r>
      <w:r w:rsidR="00634625" w:rsidRPr="004500A2">
        <w:t xml:space="preserve"> include </w:t>
      </w:r>
      <w:r w:rsidR="00634625">
        <w:t>personal care (such as showering), support services (such as cleaning) and clin</w:t>
      </w:r>
      <w:r w:rsidR="00AD10ED">
        <w:t>ical care (such as nursing and allied</w:t>
      </w:r>
      <w:r w:rsidR="00634625">
        <w:t xml:space="preserve"> health support).</w:t>
      </w:r>
      <w:r w:rsidR="00DA53F1" w:rsidRPr="00DA53F1">
        <w:t xml:space="preserve"> </w:t>
      </w:r>
      <w:r w:rsidR="00797A33" w:rsidRPr="009F6BBD">
        <w:t>At</w:t>
      </w:r>
      <w:r w:rsidR="00797A33">
        <w:t> </w:t>
      </w:r>
      <w:r w:rsidR="00797A33" w:rsidRPr="009F6BBD">
        <w:t>June</w:t>
      </w:r>
      <w:r w:rsidR="00797A33">
        <w:t> </w:t>
      </w:r>
      <w:r w:rsidR="00797A33" w:rsidRPr="009F6BBD">
        <w:t>201</w:t>
      </w:r>
      <w:r w:rsidR="00797A33">
        <w:t>6</w:t>
      </w:r>
      <w:r w:rsidR="00797A33" w:rsidRPr="009F6BBD">
        <w:t xml:space="preserve">, the total number of </w:t>
      </w:r>
      <w:r w:rsidR="00797A33">
        <w:t>Home Care</w:t>
      </w:r>
      <w:r w:rsidR="00797A33" w:rsidRPr="009F6BBD">
        <w:t xml:space="preserve"> operational places available was </w:t>
      </w:r>
      <w:r w:rsidR="006F1A94" w:rsidRPr="006F1A94">
        <w:t>79 819</w:t>
      </w:r>
      <w:r w:rsidR="00797A33">
        <w:t xml:space="preserve"> (comprising </w:t>
      </w:r>
      <w:r w:rsidR="006F1A94">
        <w:t>2.8</w:t>
      </w:r>
      <w:r w:rsidR="00797A33">
        <w:t xml:space="preserve"> per cent at level 1, </w:t>
      </w:r>
      <w:r w:rsidR="006F1A94">
        <w:t>66.7</w:t>
      </w:r>
      <w:r w:rsidR="00797A33">
        <w:t xml:space="preserve"> per cent at level 2, </w:t>
      </w:r>
      <w:r w:rsidR="006F1A94">
        <w:t>9.2</w:t>
      </w:r>
      <w:r w:rsidR="00797A33">
        <w:t xml:space="preserve"> </w:t>
      </w:r>
      <w:r w:rsidR="00797A33" w:rsidRPr="004E1AD3">
        <w:t>per cent at level</w:t>
      </w:r>
      <w:r w:rsidR="00797A33">
        <w:t xml:space="preserve"> 3 and </w:t>
      </w:r>
      <w:r w:rsidR="006F1A94">
        <w:t>21.2</w:t>
      </w:r>
      <w:r w:rsidR="00797A33">
        <w:t> </w:t>
      </w:r>
      <w:r w:rsidR="00797A33" w:rsidRPr="004E1AD3">
        <w:t>per cent at level</w:t>
      </w:r>
      <w:r w:rsidR="006F1A94">
        <w:t xml:space="preserve"> 4) (table 14A.9</w:t>
      </w:r>
      <w:r w:rsidR="00797A33">
        <w:t>)</w:t>
      </w:r>
      <w:r w:rsidR="00797A33" w:rsidRPr="009F6BBD">
        <w:t>.</w:t>
      </w:r>
      <w:r w:rsidR="00452D13" w:rsidRPr="00452D13">
        <w:t xml:space="preserve"> </w:t>
      </w:r>
      <w:r w:rsidR="006F1A94">
        <w:t>U</w:t>
      </w:r>
      <w:r w:rsidR="00452D13" w:rsidRPr="00327932">
        <w:t xml:space="preserve">sage rates </w:t>
      </w:r>
      <w:r w:rsidR="006F1A94" w:rsidRPr="00327932">
        <w:t xml:space="preserve">for Home Care </w:t>
      </w:r>
      <w:r w:rsidR="006F1A94">
        <w:t>increase with age (</w:t>
      </w:r>
      <w:r w:rsidR="00452D13" w:rsidRPr="00327932">
        <w:t>table 1</w:t>
      </w:r>
      <w:r w:rsidR="00452D13">
        <w:t>4</w:t>
      </w:r>
      <w:r w:rsidR="00452D13" w:rsidRPr="00327932">
        <w:t>A.</w:t>
      </w:r>
      <w:r w:rsidR="006F1A94">
        <w:t>19)</w:t>
      </w:r>
      <w:r w:rsidR="00452D13" w:rsidRPr="00327932">
        <w:t>.</w:t>
      </w:r>
    </w:p>
    <w:p w:rsidR="00B27812" w:rsidRPr="006F5BDD" w:rsidRDefault="00944C99" w:rsidP="006F1A94">
      <w:pPr>
        <w:pStyle w:val="ListBullet"/>
      </w:pPr>
      <w:r>
        <w:t xml:space="preserve">DVA </w:t>
      </w:r>
      <w:r w:rsidR="00797A33">
        <w:t xml:space="preserve">community care for eligible veterans </w:t>
      </w:r>
      <w:r w:rsidR="007F1006">
        <w:t>—</w:t>
      </w:r>
      <w:r w:rsidR="006276B7">
        <w:t xml:space="preserve"> </w:t>
      </w:r>
      <w:r w:rsidR="00797A33">
        <w:t>VHC</w:t>
      </w:r>
      <w:r w:rsidR="00F821B8" w:rsidRPr="004C0DFD">
        <w:t xml:space="preserve"> </w:t>
      </w:r>
      <w:r w:rsidR="00F821B8">
        <w:t>s</w:t>
      </w:r>
      <w:r w:rsidR="00F821B8" w:rsidRPr="004C0DFD">
        <w:t xml:space="preserve">ervices </w:t>
      </w:r>
      <w:r w:rsidR="00F821B8">
        <w:t xml:space="preserve">are designed for those with </w:t>
      </w:r>
      <w:r w:rsidR="00F821B8" w:rsidRPr="004C0DFD">
        <w:t>low care needs</w:t>
      </w:r>
      <w:r w:rsidR="00F821B8">
        <w:t xml:space="preserve">, such as for </w:t>
      </w:r>
      <w:r w:rsidR="00F821B8" w:rsidRPr="004C0DFD">
        <w:t>domestic assistance</w:t>
      </w:r>
      <w:r w:rsidR="00BF5490">
        <w:t>,</w:t>
      </w:r>
      <w:r w:rsidR="00F821B8" w:rsidRPr="004C0DFD">
        <w:t xml:space="preserve"> home and garden maintenance, and respite care</w:t>
      </w:r>
      <w:r w:rsidR="00F821B8">
        <w:t xml:space="preserve">; while </w:t>
      </w:r>
      <w:r w:rsidR="00797A33">
        <w:t xml:space="preserve">DVA </w:t>
      </w:r>
      <w:r w:rsidR="00F821B8">
        <w:t>c</w:t>
      </w:r>
      <w:r w:rsidR="00F821B8" w:rsidRPr="004C0DFD">
        <w:t xml:space="preserve">ommunity nursing services </w:t>
      </w:r>
      <w:r w:rsidR="00F821B8">
        <w:t xml:space="preserve">are designed </w:t>
      </w:r>
      <w:r w:rsidR="00F821B8" w:rsidRPr="00FD5824">
        <w:t xml:space="preserve">for those with </w:t>
      </w:r>
      <w:r w:rsidR="00F821B8" w:rsidRPr="0001680C">
        <w:t>high level personal care needs</w:t>
      </w:r>
      <w:r w:rsidR="00F821B8">
        <w:t xml:space="preserve"> or disability, such as for </w:t>
      </w:r>
      <w:r w:rsidR="00F821B8" w:rsidRPr="004C0DFD">
        <w:t>acute/post</w:t>
      </w:r>
      <w:r w:rsidR="00F821B8" w:rsidRPr="004C0DFD">
        <w:noBreakHyphen/>
        <w:t>acute support and maintenance and palliative care.</w:t>
      </w:r>
      <w:r w:rsidR="007F1006" w:rsidRPr="007F1006">
        <w:t xml:space="preserve"> </w:t>
      </w:r>
      <w:r w:rsidR="00797A33" w:rsidRPr="004C0DFD">
        <w:t xml:space="preserve">There were </w:t>
      </w:r>
      <w:r w:rsidR="006F1A94">
        <w:t>53</w:t>
      </w:r>
      <w:r w:rsidR="00D10BDA">
        <w:t> </w:t>
      </w:r>
      <w:r w:rsidR="006F1A94">
        <w:t>595</w:t>
      </w:r>
      <w:r w:rsidR="00D10BDA">
        <w:t> </w:t>
      </w:r>
      <w:r w:rsidR="00797A33">
        <w:t>older clients</w:t>
      </w:r>
      <w:r w:rsidR="00797A33" w:rsidRPr="004C0DFD">
        <w:t xml:space="preserve"> </w:t>
      </w:r>
      <w:r w:rsidR="00797A33">
        <w:t>(</w:t>
      </w:r>
      <w:r w:rsidR="00797A33" w:rsidRPr="00FF6F85">
        <w:t xml:space="preserve">aged 65 years or </w:t>
      </w:r>
      <w:r w:rsidR="00797A33" w:rsidRPr="00FF6F85">
        <w:lastRenderedPageBreak/>
        <w:t>over</w:t>
      </w:r>
      <w:r w:rsidR="00797A33">
        <w:t>)</w:t>
      </w:r>
      <w:r w:rsidR="00797A33" w:rsidRPr="00FF6F85">
        <w:t xml:space="preserve"> </w:t>
      </w:r>
      <w:r w:rsidR="00797A33" w:rsidRPr="004C0DFD">
        <w:t xml:space="preserve">approved for VHC services in </w:t>
      </w:r>
      <w:r w:rsidR="00797A33" w:rsidRPr="006F5BDD">
        <w:t>2015</w:t>
      </w:r>
      <w:r w:rsidR="00797A33" w:rsidRPr="006F5BDD">
        <w:noBreakHyphen/>
        <w:t xml:space="preserve">16 and </w:t>
      </w:r>
      <w:r w:rsidR="00A63B61" w:rsidRPr="006F5BDD">
        <w:t>20</w:t>
      </w:r>
      <w:r w:rsidR="00D10BDA">
        <w:t> </w:t>
      </w:r>
      <w:r w:rsidR="00A63B61" w:rsidRPr="006F5BDD">
        <w:t>843</w:t>
      </w:r>
      <w:r w:rsidR="00D10BDA">
        <w:t> </w:t>
      </w:r>
      <w:r w:rsidR="00797A33" w:rsidRPr="006F5BDD">
        <w:t xml:space="preserve">older clients received community nursing services, representing </w:t>
      </w:r>
      <w:r w:rsidR="00A63B61" w:rsidRPr="009D44D7">
        <w:rPr>
          <w:shd w:val="clear" w:color="auto" w:fill="FFFFFF" w:themeFill="background1"/>
        </w:rPr>
        <w:t>3</w:t>
      </w:r>
      <w:r w:rsidR="007B04FB" w:rsidRPr="009D44D7">
        <w:rPr>
          <w:shd w:val="clear" w:color="auto" w:fill="FFFFFF" w:themeFill="background1"/>
        </w:rPr>
        <w:t>63</w:t>
      </w:r>
      <w:r w:rsidR="006F5BDD" w:rsidRPr="009D44D7">
        <w:rPr>
          <w:shd w:val="clear" w:color="auto" w:fill="FFFFFF" w:themeFill="background1"/>
        </w:rPr>
        <w:t>.</w:t>
      </w:r>
      <w:r w:rsidR="007B04FB" w:rsidRPr="009D44D7">
        <w:rPr>
          <w:shd w:val="clear" w:color="auto" w:fill="FFFFFF" w:themeFill="background1"/>
        </w:rPr>
        <w:t>2</w:t>
      </w:r>
      <w:r w:rsidR="006F5BDD" w:rsidRPr="009D44D7">
        <w:rPr>
          <w:shd w:val="clear" w:color="auto" w:fill="FFFFFF" w:themeFill="background1"/>
        </w:rPr>
        <w:t xml:space="preserve"> </w:t>
      </w:r>
      <w:r w:rsidR="00797A33" w:rsidRPr="006F5BDD">
        <w:t xml:space="preserve">and </w:t>
      </w:r>
      <w:r w:rsidR="006F5BDD" w:rsidRPr="006F5BDD">
        <w:t>141.3</w:t>
      </w:r>
      <w:r w:rsidR="00797A33" w:rsidRPr="006F5BDD">
        <w:t xml:space="preserve"> per 1000 older eligible veterans respectively </w:t>
      </w:r>
      <w:r w:rsidR="00E348CE" w:rsidRPr="006F5BDD">
        <w:t>(table</w:t>
      </w:r>
      <w:r w:rsidR="00FB576D">
        <w:t>s</w:t>
      </w:r>
      <w:r w:rsidR="00E348CE" w:rsidRPr="006F5BDD">
        <w:t> 14A.</w:t>
      </w:r>
      <w:r w:rsidR="006F1A94" w:rsidRPr="006F5BDD">
        <w:t>7</w:t>
      </w:r>
      <w:r w:rsidR="00D10BDA">
        <w:t>−</w:t>
      </w:r>
      <w:r w:rsidR="00A63B61" w:rsidRPr="006F5BDD">
        <w:t>8</w:t>
      </w:r>
      <w:r w:rsidR="00E348CE" w:rsidRPr="006F5BDD">
        <w:t>)</w:t>
      </w:r>
      <w:r w:rsidR="00797A33" w:rsidRPr="006F5BDD">
        <w:t>.</w:t>
      </w:r>
    </w:p>
    <w:p w:rsidR="005E1D64" w:rsidRDefault="000E7ADB" w:rsidP="00101C35">
      <w:pPr>
        <w:pStyle w:val="BodyText"/>
        <w:shd w:val="clear" w:color="auto" w:fill="FFFFFF" w:themeFill="background1"/>
      </w:pPr>
      <w:r w:rsidRPr="000E7ADB">
        <w:t xml:space="preserve">During 2015-16, the number of older clients who used HACC and Home Care was 76.0 and 24.2 per 1000 older people respectively (figure 14.3). </w:t>
      </w:r>
      <w:proofErr w:type="spellStart"/>
      <w:r w:rsidR="00AF1F37" w:rsidRPr="00AF1F37">
        <w:t>CHSP</w:t>
      </w:r>
      <w:proofErr w:type="spellEnd"/>
      <w:r w:rsidR="00AF1F37" w:rsidRPr="00AF1F37">
        <w:t xml:space="preserve"> client and activity data were not provided for this report</w:t>
      </w:r>
      <w:r w:rsidR="00AF1F37">
        <w:t xml:space="preserve"> d</w:t>
      </w:r>
      <w:r w:rsidR="00AF1F37" w:rsidRPr="00AF1F37">
        <w:t>ue to under-reporting and a new data capturing system</w:t>
      </w:r>
      <w:r w:rsidRPr="000E7ADB">
        <w:t xml:space="preserve">. </w:t>
      </w:r>
    </w:p>
    <w:p w:rsidR="008D00AD" w:rsidRPr="00132650" w:rsidRDefault="008D00AD" w:rsidP="004B2BE8">
      <w:pPr>
        <w:pStyle w:val="BoxSpaceAbove"/>
        <w:shd w:val="clear" w:color="auto" w:fill="FFFFFF" w:themeFill="background1"/>
        <w:rPr>
          <w:vanish/>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00AD" w:rsidTr="004B2BE8">
        <w:tc>
          <w:tcPr>
            <w:tcW w:w="8771" w:type="dxa"/>
            <w:tcBorders>
              <w:top w:val="single" w:sz="6" w:space="0" w:color="78A22F"/>
              <w:left w:val="nil"/>
              <w:bottom w:val="nil"/>
              <w:right w:val="nil"/>
            </w:tcBorders>
            <w:shd w:val="clear" w:color="auto" w:fill="FFFFFF" w:themeFill="background1"/>
          </w:tcPr>
          <w:p w:rsidR="008D00AD" w:rsidRPr="00176D3F" w:rsidRDefault="008D00AD" w:rsidP="002C1A8F">
            <w:pPr>
              <w:pStyle w:val="FigureTitle"/>
              <w:shd w:val="clear" w:color="auto" w:fill="FFFFFF" w:themeFill="background1"/>
            </w:pPr>
            <w:r w:rsidRPr="00784A05">
              <w:rPr>
                <w:b w:val="0"/>
              </w:rPr>
              <w:t xml:space="preserve">Figure </w:t>
            </w:r>
            <w:r w:rsidR="005E4468">
              <w:rPr>
                <w:b w:val="0"/>
              </w:rPr>
              <w:t>14.</w:t>
            </w:r>
            <w:r w:rsidR="00662F0E">
              <w:rPr>
                <w:b w:val="0"/>
                <w:noProof/>
              </w:rPr>
              <w:t>3</w:t>
            </w:r>
            <w:r>
              <w:tab/>
            </w:r>
            <w:r w:rsidRPr="004C0DFD">
              <w:t xml:space="preserve">Older clients of </w:t>
            </w:r>
            <w:r w:rsidR="00145517">
              <w:t>HACC</w:t>
            </w:r>
            <w:r w:rsidR="00145517" w:rsidRPr="00626C1B">
              <w:t xml:space="preserve"> </w:t>
            </w:r>
            <w:r w:rsidR="00C52111" w:rsidRPr="00626C1B">
              <w:t xml:space="preserve">and home care </w:t>
            </w:r>
            <w:r w:rsidRPr="004C0DFD">
              <w:t>services per 1000 older people, by program, 201</w:t>
            </w:r>
            <w:r w:rsidR="005E4468">
              <w:t>5</w:t>
            </w:r>
            <w:r w:rsidRPr="004C0DFD">
              <w:noBreakHyphen/>
              <w:t>1</w:t>
            </w:r>
            <w:r w:rsidR="005E4468">
              <w:t>6</w:t>
            </w:r>
            <w:r w:rsidR="005C6C6B" w:rsidRPr="004B2BE8">
              <w:rPr>
                <w:rStyle w:val="NoteLabel"/>
                <w:b/>
                <w:szCs w:val="20"/>
              </w:rPr>
              <w:t>a</w:t>
            </w:r>
            <w:r w:rsidR="002470BA">
              <w:rPr>
                <w:rStyle w:val="NoteLabel"/>
                <w:b/>
                <w:szCs w:val="20"/>
              </w:rPr>
              <w:t>, b</w:t>
            </w:r>
            <w:r w:rsidR="00E75264">
              <w:t xml:space="preserve"> </w:t>
            </w:r>
          </w:p>
        </w:tc>
      </w:tr>
      <w:tr w:rsidR="008D00AD" w:rsidTr="004B2BE8">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D00AD" w:rsidTr="00101C35">
              <w:trPr>
                <w:trHeight w:val="4252"/>
                <w:jc w:val="center"/>
              </w:trPr>
              <w:tc>
                <w:tcPr>
                  <w:tcW w:w="5000" w:type="pct"/>
                  <w:tcBorders>
                    <w:top w:val="nil"/>
                    <w:bottom w:val="nil"/>
                    <w:right w:val="nil"/>
                  </w:tcBorders>
                  <w:shd w:val="clear" w:color="auto" w:fill="FFFFFF" w:themeFill="background1"/>
                </w:tcPr>
                <w:p w:rsidR="008D00AD" w:rsidRDefault="00FE70DC" w:rsidP="004B2BE8">
                  <w:pPr>
                    <w:pStyle w:val="Figure"/>
                    <w:shd w:val="clear" w:color="auto" w:fill="FFFFFF" w:themeFill="background1"/>
                    <w:spacing w:before="60" w:after="60"/>
                    <w:rPr>
                      <w:szCs w:val="24"/>
                    </w:rPr>
                  </w:pPr>
                  <w:r>
                    <w:rPr>
                      <w:noProof/>
                      <w:szCs w:val="24"/>
                    </w:rPr>
                    <w:drawing>
                      <wp:inline distT="0" distB="0" distL="0" distR="0">
                        <wp:extent cx="5355590" cy="2695575"/>
                        <wp:effectExtent l="0" t="0" r="0" b="9525"/>
                        <wp:docPr id="4" name="Picture 4" descr="Figure 14.3 Older clients of HACC and home care services per 1000 older people, by program,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55590" cy="2695575"/>
                                </a:xfrm>
                                <a:prstGeom prst="rect">
                                  <a:avLst/>
                                </a:prstGeom>
                                <a:noFill/>
                                <a:ln>
                                  <a:noFill/>
                                </a:ln>
                              </pic:spPr>
                            </pic:pic>
                          </a:graphicData>
                        </a:graphic>
                      </wp:inline>
                    </w:drawing>
                  </w:r>
                </w:p>
              </w:tc>
            </w:tr>
          </w:tbl>
          <w:p w:rsidR="008D00AD" w:rsidRDefault="008D00AD" w:rsidP="004B2BE8">
            <w:pPr>
              <w:pStyle w:val="Figure"/>
              <w:shd w:val="clear" w:color="auto" w:fill="FFFFFF" w:themeFill="background1"/>
              <w:rPr>
                <w:szCs w:val="24"/>
              </w:rPr>
            </w:pPr>
          </w:p>
        </w:tc>
      </w:tr>
      <w:tr w:rsidR="008D00AD" w:rsidRPr="00176D3F" w:rsidTr="004B2BE8">
        <w:tc>
          <w:tcPr>
            <w:tcW w:w="8771" w:type="dxa"/>
            <w:tcBorders>
              <w:top w:val="nil"/>
              <w:left w:val="nil"/>
              <w:bottom w:val="nil"/>
              <w:right w:val="nil"/>
            </w:tcBorders>
            <w:shd w:val="clear" w:color="auto" w:fill="FFFFFF" w:themeFill="background1"/>
          </w:tcPr>
          <w:p w:rsidR="008D00AD" w:rsidRPr="003E4701" w:rsidRDefault="005C6C6B" w:rsidP="005E1D64">
            <w:pPr>
              <w:pStyle w:val="Note"/>
              <w:shd w:val="clear" w:color="auto" w:fill="FFFFFF" w:themeFill="background1"/>
            </w:pPr>
            <w:r>
              <w:rPr>
                <w:rStyle w:val="NoteLabel"/>
              </w:rPr>
              <w:t>a</w:t>
            </w:r>
            <w:r w:rsidRPr="00CB5752" w:rsidDel="001E742F">
              <w:t xml:space="preserve"> </w:t>
            </w:r>
            <w:r w:rsidRPr="00CB5752">
              <w:t>See table</w:t>
            </w:r>
            <w:r w:rsidR="00E75264">
              <w:t> </w:t>
            </w:r>
            <w:r w:rsidRPr="00CB5752">
              <w:t>1</w:t>
            </w:r>
            <w:r w:rsidR="000A5672">
              <w:t>4</w:t>
            </w:r>
            <w:r w:rsidRPr="00CB5752">
              <w:t>A.</w:t>
            </w:r>
            <w:r w:rsidR="00FB576D">
              <w:t>2</w:t>
            </w:r>
            <w:r>
              <w:t xml:space="preserve"> </w:t>
            </w:r>
            <w:r w:rsidR="00D832E4">
              <w:t xml:space="preserve">for </w:t>
            </w:r>
            <w:r w:rsidR="00D832E4" w:rsidRPr="00D832E4">
              <w:t>detailed footnotes and caveats</w:t>
            </w:r>
            <w:r w:rsidRPr="00563155">
              <w:rPr>
                <w:shd w:val="clear" w:color="auto" w:fill="FFFFFF" w:themeFill="background1"/>
              </w:rPr>
              <w:t>.</w:t>
            </w:r>
            <w:r w:rsidR="002470BA" w:rsidRPr="00563155">
              <w:rPr>
                <w:shd w:val="clear" w:color="auto" w:fill="FFFFFF" w:themeFill="background1"/>
              </w:rPr>
              <w:t xml:space="preserve"> </w:t>
            </w:r>
            <w:r w:rsidR="002470BA" w:rsidRPr="00563155">
              <w:rPr>
                <w:rStyle w:val="NoteLabel"/>
                <w:shd w:val="clear" w:color="auto" w:fill="FFFFFF" w:themeFill="background1"/>
              </w:rPr>
              <w:t>b</w:t>
            </w:r>
            <w:r w:rsidR="003E4701">
              <w:t xml:space="preserve"> HACC is only </w:t>
            </w:r>
            <w:r w:rsidR="00E01F00">
              <w:t>applicable in</w:t>
            </w:r>
            <w:r w:rsidR="003E4701">
              <w:t xml:space="preserve"> Victoria and WA.</w:t>
            </w:r>
          </w:p>
        </w:tc>
      </w:tr>
      <w:tr w:rsidR="008D00AD" w:rsidRPr="00176D3F" w:rsidTr="004B2BE8">
        <w:tc>
          <w:tcPr>
            <w:tcW w:w="8771" w:type="dxa"/>
            <w:tcBorders>
              <w:top w:val="nil"/>
              <w:left w:val="nil"/>
              <w:bottom w:val="nil"/>
              <w:right w:val="nil"/>
            </w:tcBorders>
            <w:shd w:val="clear" w:color="auto" w:fill="FFFFFF" w:themeFill="background1"/>
          </w:tcPr>
          <w:p w:rsidR="008D00AD" w:rsidRPr="00176D3F" w:rsidRDefault="008D00AD" w:rsidP="00FB576D">
            <w:pPr>
              <w:pStyle w:val="Source"/>
              <w:shd w:val="clear" w:color="auto" w:fill="FFFFFF" w:themeFill="background1"/>
            </w:pPr>
            <w:r w:rsidRPr="008D00AD">
              <w:rPr>
                <w:i/>
              </w:rPr>
              <w:t>Source</w:t>
            </w:r>
            <w:r w:rsidRPr="008D00AD">
              <w:t>:</w:t>
            </w:r>
            <w:r w:rsidRPr="008D00AD">
              <w:rPr>
                <w:i/>
              </w:rPr>
              <w:t xml:space="preserve"> </w:t>
            </w:r>
            <w:r w:rsidR="00393A4E">
              <w:t>Department of Health</w:t>
            </w:r>
            <w:r w:rsidRPr="008D00AD">
              <w:t xml:space="preserve"> (unpublished); table 1</w:t>
            </w:r>
            <w:r w:rsidR="000A5672">
              <w:t>4</w:t>
            </w:r>
            <w:r w:rsidRPr="008D00AD">
              <w:t>A.</w:t>
            </w:r>
            <w:r w:rsidR="00FB576D">
              <w:t>2</w:t>
            </w:r>
            <w:r w:rsidRPr="008D00AD">
              <w:t xml:space="preserve">. </w:t>
            </w:r>
          </w:p>
        </w:tc>
      </w:tr>
      <w:tr w:rsidR="008D00AD" w:rsidTr="004B2BE8">
        <w:tc>
          <w:tcPr>
            <w:tcW w:w="8771" w:type="dxa"/>
            <w:tcBorders>
              <w:top w:val="nil"/>
              <w:left w:val="nil"/>
              <w:bottom w:val="single" w:sz="6" w:space="0" w:color="78A22F"/>
              <w:right w:val="nil"/>
            </w:tcBorders>
            <w:shd w:val="clear" w:color="auto" w:fill="FFFFFF" w:themeFill="background1"/>
          </w:tcPr>
          <w:p w:rsidR="008D00AD" w:rsidRDefault="008D00AD" w:rsidP="004B2BE8">
            <w:pPr>
              <w:pStyle w:val="Figurespace"/>
              <w:shd w:val="clear" w:color="auto" w:fill="FFFFFF" w:themeFill="background1"/>
              <w:rPr>
                <w:szCs w:val="24"/>
              </w:rPr>
            </w:pPr>
          </w:p>
        </w:tc>
      </w:tr>
      <w:tr w:rsidR="008D00AD" w:rsidRPr="000863A5" w:rsidTr="004B2BE8">
        <w:tc>
          <w:tcPr>
            <w:tcW w:w="8771" w:type="dxa"/>
            <w:tcBorders>
              <w:top w:val="single" w:sz="6" w:space="0" w:color="78A22F"/>
              <w:left w:val="nil"/>
              <w:bottom w:val="nil"/>
              <w:right w:val="nil"/>
            </w:tcBorders>
            <w:shd w:val="clear" w:color="auto" w:fill="FFFFFF" w:themeFill="background1"/>
          </w:tcPr>
          <w:p w:rsidR="008D00AD" w:rsidRPr="00664BA5" w:rsidRDefault="008D00AD" w:rsidP="004B2BE8">
            <w:pPr>
              <w:pStyle w:val="BoxSpaceBelow"/>
              <w:shd w:val="clear" w:color="auto" w:fill="FFFFFF" w:themeFill="background1"/>
              <w:rPr>
                <w:szCs w:val="24"/>
              </w:rPr>
            </w:pPr>
          </w:p>
        </w:tc>
      </w:tr>
    </w:tbl>
    <w:p w:rsidR="005C5B68" w:rsidRPr="00D167B5" w:rsidRDefault="005C5B68" w:rsidP="005C5B68">
      <w:pPr>
        <w:pStyle w:val="Heading5"/>
      </w:pPr>
      <w:r w:rsidRPr="00D167B5">
        <w:t>Residential and flexible care services</w:t>
      </w:r>
    </w:p>
    <w:p w:rsidR="008C0DA4" w:rsidRPr="00D167B5" w:rsidRDefault="005C5B68" w:rsidP="004B2BE8">
      <w:pPr>
        <w:pStyle w:val="BodyText"/>
        <w:shd w:val="clear" w:color="auto" w:fill="FFFFFF" w:themeFill="background1"/>
      </w:pPr>
      <w:r w:rsidRPr="00D167B5">
        <w:t xml:space="preserve">Residential care services provide permanent care and respite care </w:t>
      </w:r>
      <w:r w:rsidR="009F5492">
        <w:t>(</w:t>
      </w:r>
      <w:r w:rsidRPr="00D167B5">
        <w:t>on a planned or emergency basis</w:t>
      </w:r>
      <w:r w:rsidR="009F5492">
        <w:t>).</w:t>
      </w:r>
      <w:r w:rsidR="00D85A00">
        <w:t xml:space="preserve"> The types of s</w:t>
      </w:r>
      <w:r w:rsidRPr="00D167B5">
        <w:t xml:space="preserve">ervices </w:t>
      </w:r>
      <w:r w:rsidR="00D85A00">
        <w:t xml:space="preserve">provided </w:t>
      </w:r>
      <w:r w:rsidRPr="00D167B5">
        <w:t>depend</w:t>
      </w:r>
      <w:r w:rsidR="006D07BB" w:rsidRPr="00D167B5">
        <w:t xml:space="preserve"> on the needs of the resident. All residents receive accommodation, support services (cleaning, laundry and meals) and personal care services</w:t>
      </w:r>
      <w:r w:rsidR="006F116F" w:rsidRPr="00D167B5">
        <w:t>,</w:t>
      </w:r>
      <w:r w:rsidR="006D07BB" w:rsidRPr="00D167B5">
        <w:t xml:space="preserve"> and </w:t>
      </w:r>
      <w:r w:rsidR="008C0DA4" w:rsidRPr="00D167B5">
        <w:t xml:space="preserve">those </w:t>
      </w:r>
      <w:r w:rsidR="006D07BB" w:rsidRPr="00D167B5">
        <w:t>with greater needs might also receive nursing care, continence aids, basic medical and pharmaceutical supplies and therapy services.</w:t>
      </w:r>
      <w:r w:rsidR="008C0DA4" w:rsidRPr="00D167B5">
        <w:t xml:space="preserve"> </w:t>
      </w:r>
    </w:p>
    <w:p w:rsidR="008C0DA4" w:rsidRPr="00D167B5" w:rsidRDefault="008C0DA4" w:rsidP="00F34E4E">
      <w:pPr>
        <w:pStyle w:val="BodyText"/>
        <w:widowControl w:val="0"/>
        <w:shd w:val="clear" w:color="auto" w:fill="FFFFFF" w:themeFill="background1"/>
      </w:pPr>
      <w:r w:rsidRPr="00D167B5">
        <w:t>T</w:t>
      </w:r>
      <w:r w:rsidR="006D07BB" w:rsidRPr="00D167B5">
        <w:t xml:space="preserve">he </w:t>
      </w:r>
      <w:r w:rsidR="00EC6D54">
        <w:t>Aged Care Funding Instrument (</w:t>
      </w:r>
      <w:r w:rsidR="00A34B70">
        <w:t>ACFI</w:t>
      </w:r>
      <w:r w:rsidR="00EC6D54">
        <w:t>)</w:t>
      </w:r>
      <w:r w:rsidR="00A34B70">
        <w:t xml:space="preserve"> </w:t>
      </w:r>
      <w:r w:rsidR="006D07BB" w:rsidRPr="00D167B5">
        <w:t xml:space="preserve">is used to appraise a </w:t>
      </w:r>
      <w:r w:rsidRPr="00D167B5">
        <w:t xml:space="preserve">permanent </w:t>
      </w:r>
      <w:r w:rsidR="006D07BB" w:rsidRPr="00D167B5">
        <w:t>resident’s needs</w:t>
      </w:r>
      <w:r w:rsidR="00D167B5" w:rsidRPr="00D167B5">
        <w:t>.</w:t>
      </w:r>
      <w:r w:rsidR="00D167B5">
        <w:t xml:space="preserve"> </w:t>
      </w:r>
      <w:r w:rsidRPr="00D167B5">
        <w:t xml:space="preserve">The ACFI measures </w:t>
      </w:r>
      <w:r w:rsidR="000C7D1B">
        <w:t>need based on the</w:t>
      </w:r>
      <w:r w:rsidR="0015191D">
        <w:t xml:space="preserve"> level of dependency</w:t>
      </w:r>
      <w:r w:rsidRPr="00D167B5">
        <w:t xml:space="preserve"> in each of three domains: Activities of Daily Living, Behaviours and Complex Health Care. </w:t>
      </w:r>
      <w:r w:rsidR="0015191D" w:rsidRPr="00D167B5">
        <w:t>The Australian Government</w:t>
      </w:r>
      <w:r w:rsidR="00640509">
        <w:t>’s</w:t>
      </w:r>
      <w:r w:rsidR="0015191D" w:rsidRPr="00D167B5">
        <w:t xml:space="preserve"> annual subsidy varies according to clients’ level of </w:t>
      </w:r>
      <w:r w:rsidR="0015191D">
        <w:t xml:space="preserve">overall </w:t>
      </w:r>
      <w:r w:rsidR="0015191D" w:rsidRPr="00D167B5">
        <w:t>dependency.</w:t>
      </w:r>
      <w:r w:rsidR="0015191D">
        <w:t xml:space="preserve"> </w:t>
      </w:r>
      <w:r w:rsidR="00AD10ED" w:rsidRPr="00D167B5">
        <w:t xml:space="preserve">Residents’ care needs may change and residents are reappraised using the ACFI as required. </w:t>
      </w:r>
      <w:r w:rsidR="005E4468">
        <w:t>R</w:t>
      </w:r>
      <w:r w:rsidR="00F34E4E" w:rsidRPr="00640509">
        <w:t xml:space="preserve">espite residents </w:t>
      </w:r>
      <w:r w:rsidR="005E4468">
        <w:t>are</w:t>
      </w:r>
      <w:r w:rsidR="00F34E4E" w:rsidRPr="00640509">
        <w:t xml:space="preserve"> not appraised under the ACFI</w:t>
      </w:r>
      <w:r w:rsidR="00F34E4E">
        <w:t xml:space="preserve"> but</w:t>
      </w:r>
      <w:r w:rsidR="00F34E4E" w:rsidRPr="00640509">
        <w:t xml:space="preserve"> </w:t>
      </w:r>
      <w:r w:rsidR="005E4468">
        <w:t>are</w:t>
      </w:r>
      <w:r w:rsidR="00F34E4E">
        <w:t xml:space="preserve"> </w:t>
      </w:r>
      <w:r w:rsidR="00F34E4E" w:rsidRPr="00640509">
        <w:t xml:space="preserve">classified as high or low care based on their ACAT approval. </w:t>
      </w:r>
    </w:p>
    <w:p w:rsidR="00082F9E" w:rsidRDefault="00640509" w:rsidP="007441E9">
      <w:pPr>
        <w:pStyle w:val="BodyText"/>
        <w:shd w:val="clear" w:color="auto" w:fill="FFFFFF" w:themeFill="background1"/>
      </w:pPr>
      <w:r w:rsidRPr="00640509">
        <w:lastRenderedPageBreak/>
        <w:t>During 201</w:t>
      </w:r>
      <w:r w:rsidR="00AD10ED">
        <w:t>5</w:t>
      </w:r>
      <w:r w:rsidRPr="00640509">
        <w:noBreakHyphen/>
        <w:t>1</w:t>
      </w:r>
      <w:r w:rsidR="00AD10ED">
        <w:t>6</w:t>
      </w:r>
      <w:r w:rsidRPr="00640509">
        <w:t xml:space="preserve">, the number of older clients who </w:t>
      </w:r>
      <w:r w:rsidR="007441E9">
        <w:t>were in</w:t>
      </w:r>
      <w:r w:rsidRPr="00640509">
        <w:t xml:space="preserve"> residential aged care </w:t>
      </w:r>
      <w:r w:rsidR="006A4D09" w:rsidRPr="00640509">
        <w:t xml:space="preserve">nationally </w:t>
      </w:r>
      <w:r w:rsidRPr="00640509">
        <w:t xml:space="preserve">was </w:t>
      </w:r>
      <w:r w:rsidR="009D7127" w:rsidRPr="009D7127">
        <w:t>227</w:t>
      </w:r>
      <w:r w:rsidR="00FB576D">
        <w:t> </w:t>
      </w:r>
      <w:r w:rsidR="009D7127" w:rsidRPr="009D7127">
        <w:t>819</w:t>
      </w:r>
      <w:r w:rsidR="0020370B">
        <w:t xml:space="preserve"> </w:t>
      </w:r>
      <w:r w:rsidRPr="00640509">
        <w:t xml:space="preserve">for permanent care and </w:t>
      </w:r>
      <w:r w:rsidR="009D7127" w:rsidRPr="009D7127">
        <w:t>55</w:t>
      </w:r>
      <w:r w:rsidR="00FB576D">
        <w:t> </w:t>
      </w:r>
      <w:r w:rsidR="009D7127" w:rsidRPr="009D7127">
        <w:t>146</w:t>
      </w:r>
      <w:r w:rsidR="0020370B">
        <w:t xml:space="preserve"> </w:t>
      </w:r>
      <w:r w:rsidR="00C93484">
        <w:t>for respite care</w:t>
      </w:r>
      <w:r w:rsidR="008016A7">
        <w:t xml:space="preserve">, </w:t>
      </w:r>
      <w:r w:rsidR="00C93484">
        <w:t xml:space="preserve">representing </w:t>
      </w:r>
      <w:r w:rsidR="009D7127">
        <w:t xml:space="preserve">60.4 </w:t>
      </w:r>
      <w:r w:rsidR="00C93484">
        <w:t xml:space="preserve">and </w:t>
      </w:r>
      <w:r w:rsidR="009D7127">
        <w:t>14.6</w:t>
      </w:r>
      <w:r w:rsidR="0020370B">
        <w:t> </w:t>
      </w:r>
      <w:r w:rsidR="00C93484">
        <w:t xml:space="preserve">older clients per 1000 </w:t>
      </w:r>
      <w:r w:rsidR="00EC6D54">
        <w:t xml:space="preserve">older </w:t>
      </w:r>
      <w:r w:rsidR="00C93484">
        <w:t xml:space="preserve">people </w:t>
      </w:r>
      <w:r w:rsidR="00FB576D">
        <w:t xml:space="preserve">respectively </w:t>
      </w:r>
      <w:r w:rsidR="00082F9E">
        <w:t>(figure</w:t>
      </w:r>
      <w:r w:rsidR="00E75264">
        <w:t> </w:t>
      </w:r>
      <w:r w:rsidR="00082F9E">
        <w:t>1</w:t>
      </w:r>
      <w:r w:rsidR="005E4468">
        <w:t>4</w:t>
      </w:r>
      <w:r w:rsidR="00082F9E">
        <w:t>.</w:t>
      </w:r>
      <w:r w:rsidR="005E4468">
        <w:t>4</w:t>
      </w:r>
      <w:r w:rsidR="00082F9E">
        <w:t>)</w:t>
      </w:r>
      <w:r w:rsidRPr="00640509">
        <w:t xml:space="preserve">. </w:t>
      </w:r>
      <w:r w:rsidR="00C93484">
        <w:t xml:space="preserve">At </w:t>
      </w:r>
      <w:r w:rsidR="0069003E">
        <w:t>30 </w:t>
      </w:r>
      <w:r w:rsidR="00C93484">
        <w:t>June</w:t>
      </w:r>
      <w:r w:rsidR="00E75264">
        <w:t xml:space="preserve"> </w:t>
      </w:r>
      <w:r w:rsidR="00C93484">
        <w:t>201</w:t>
      </w:r>
      <w:r w:rsidR="00AD10ED">
        <w:t>6</w:t>
      </w:r>
      <w:r w:rsidR="00C93484">
        <w:t>, the total number of residential aged care operational places available</w:t>
      </w:r>
      <w:r w:rsidR="00D85A00">
        <w:t xml:space="preserve"> in mainstream services </w:t>
      </w:r>
      <w:r w:rsidR="00C93484">
        <w:t xml:space="preserve">was </w:t>
      </w:r>
      <w:r w:rsidR="009D7127" w:rsidRPr="009D7127">
        <w:t>195</w:t>
      </w:r>
      <w:r w:rsidR="00510241">
        <w:t> </w:t>
      </w:r>
      <w:r w:rsidR="009D7127" w:rsidRPr="009D7127">
        <w:t>825</w:t>
      </w:r>
      <w:r w:rsidR="00AE3A3E">
        <w:t xml:space="preserve"> </w:t>
      </w:r>
      <w:r w:rsidR="00AE3A3E" w:rsidRPr="009D44D7">
        <w:rPr>
          <w:shd w:val="clear" w:color="auto" w:fill="FFFFFF" w:themeFill="background1"/>
        </w:rPr>
        <w:t>(table</w:t>
      </w:r>
      <w:r w:rsidR="00E75264" w:rsidRPr="009D44D7">
        <w:rPr>
          <w:shd w:val="clear" w:color="auto" w:fill="FFFFFF" w:themeFill="background1"/>
        </w:rPr>
        <w:t> </w:t>
      </w:r>
      <w:r w:rsidR="00AE3A3E" w:rsidRPr="009D44D7">
        <w:rPr>
          <w:shd w:val="clear" w:color="auto" w:fill="FFFFFF" w:themeFill="background1"/>
        </w:rPr>
        <w:t>1</w:t>
      </w:r>
      <w:r w:rsidR="005E4468" w:rsidRPr="009D44D7">
        <w:rPr>
          <w:shd w:val="clear" w:color="auto" w:fill="FFFFFF" w:themeFill="background1"/>
        </w:rPr>
        <w:t>4</w:t>
      </w:r>
      <w:r w:rsidR="00AE3A3E" w:rsidRPr="009D44D7">
        <w:rPr>
          <w:shd w:val="clear" w:color="auto" w:fill="FFFFFF" w:themeFill="background1"/>
        </w:rPr>
        <w:t>A.</w:t>
      </w:r>
      <w:r w:rsidR="00CC6058" w:rsidRPr="009D44D7">
        <w:rPr>
          <w:shd w:val="clear" w:color="auto" w:fill="FFFFFF" w:themeFill="background1"/>
        </w:rPr>
        <w:t>13</w:t>
      </w:r>
      <w:r w:rsidR="00AE3A3E" w:rsidRPr="009D44D7">
        <w:rPr>
          <w:shd w:val="clear" w:color="auto" w:fill="FFFFFF" w:themeFill="background1"/>
        </w:rPr>
        <w:t>)</w:t>
      </w:r>
      <w:r w:rsidR="00153E2A" w:rsidRPr="009D44D7">
        <w:rPr>
          <w:shd w:val="clear" w:color="auto" w:fill="FFFFFF" w:themeFill="background1"/>
        </w:rPr>
        <w:t>; including</w:t>
      </w:r>
      <w:r w:rsidR="00A81B8E" w:rsidRPr="009D44D7">
        <w:rPr>
          <w:shd w:val="clear" w:color="auto" w:fill="FFFFFF" w:themeFill="background1"/>
        </w:rPr>
        <w:t xml:space="preserve"> flexible places</w:t>
      </w:r>
      <w:r w:rsidR="002225FC" w:rsidRPr="009D44D7">
        <w:rPr>
          <w:shd w:val="clear" w:color="auto" w:fill="FFFFFF" w:themeFill="background1"/>
        </w:rPr>
        <w:t>,</w:t>
      </w:r>
      <w:r w:rsidR="00A81B8E" w:rsidRPr="009D44D7">
        <w:rPr>
          <w:shd w:val="clear" w:color="auto" w:fill="FFFFFF" w:themeFill="background1"/>
        </w:rPr>
        <w:t xml:space="preserve"> </w:t>
      </w:r>
      <w:r w:rsidR="00153E2A" w:rsidRPr="009D44D7">
        <w:rPr>
          <w:shd w:val="clear" w:color="auto" w:fill="FFFFFF" w:themeFill="background1"/>
        </w:rPr>
        <w:t>it</w:t>
      </w:r>
      <w:r w:rsidR="00A81B8E" w:rsidRPr="009D44D7">
        <w:rPr>
          <w:shd w:val="clear" w:color="auto" w:fill="FFFFFF" w:themeFill="background1"/>
        </w:rPr>
        <w:t xml:space="preserve"> was </w:t>
      </w:r>
      <w:r w:rsidR="00FB576D" w:rsidRPr="009D44D7">
        <w:rPr>
          <w:shd w:val="clear" w:color="auto" w:fill="FFFFFF" w:themeFill="background1"/>
        </w:rPr>
        <w:t xml:space="preserve">199 449 </w:t>
      </w:r>
      <w:r w:rsidR="00A81B8E" w:rsidRPr="009D44D7">
        <w:rPr>
          <w:shd w:val="clear" w:color="auto" w:fill="FFFFFF" w:themeFill="background1"/>
        </w:rPr>
        <w:t>(table</w:t>
      </w:r>
      <w:r w:rsidR="00E75264" w:rsidRPr="009D44D7">
        <w:rPr>
          <w:shd w:val="clear" w:color="auto" w:fill="FFFFFF" w:themeFill="background1"/>
        </w:rPr>
        <w:t> </w:t>
      </w:r>
      <w:r w:rsidR="00A81B8E" w:rsidRPr="009D44D7">
        <w:rPr>
          <w:shd w:val="clear" w:color="auto" w:fill="FFFFFF" w:themeFill="background1"/>
        </w:rPr>
        <w:t>1</w:t>
      </w:r>
      <w:r w:rsidR="005E4468" w:rsidRPr="009D44D7">
        <w:rPr>
          <w:shd w:val="clear" w:color="auto" w:fill="FFFFFF" w:themeFill="background1"/>
        </w:rPr>
        <w:t>4</w:t>
      </w:r>
      <w:r w:rsidR="00A81B8E" w:rsidRPr="009D44D7">
        <w:rPr>
          <w:shd w:val="clear" w:color="auto" w:fill="FFFFFF" w:themeFill="background1"/>
        </w:rPr>
        <w:t>A.1</w:t>
      </w:r>
      <w:r w:rsidR="009D7127" w:rsidRPr="009D44D7">
        <w:rPr>
          <w:shd w:val="clear" w:color="auto" w:fill="FFFFFF" w:themeFill="background1"/>
        </w:rPr>
        <w:t>0</w:t>
      </w:r>
      <w:r w:rsidR="00A81B8E" w:rsidRPr="009D44D7">
        <w:rPr>
          <w:shd w:val="clear" w:color="auto" w:fill="FFFFFF" w:themeFill="background1"/>
        </w:rPr>
        <w:t>)</w:t>
      </w:r>
      <w:r w:rsidR="00C93484" w:rsidRPr="009D44D7">
        <w:rPr>
          <w:shd w:val="clear" w:color="auto" w:fill="FFFFFF" w:themeFill="background1"/>
        </w:rPr>
        <w:t xml:space="preserve">. </w:t>
      </w:r>
      <w:r w:rsidR="00082F9E" w:rsidRPr="009D44D7">
        <w:rPr>
          <w:shd w:val="clear" w:color="auto" w:fill="FFFFFF" w:themeFill="background1"/>
        </w:rPr>
        <w:t>Age</w:t>
      </w:r>
      <w:r w:rsidR="00082F9E" w:rsidRPr="009D44D7">
        <w:rPr>
          <w:shd w:val="clear" w:color="auto" w:fill="FFFFFF" w:themeFill="background1"/>
        </w:rPr>
        <w:noBreakHyphen/>
        <w:t>specific usage rates for permanent residential aged care</w:t>
      </w:r>
      <w:r w:rsidR="00CC6058" w:rsidRPr="009D44D7">
        <w:rPr>
          <w:shd w:val="clear" w:color="auto" w:fill="FFFFFF" w:themeFill="background1"/>
        </w:rPr>
        <w:t xml:space="preserve"> increase</w:t>
      </w:r>
      <w:r w:rsidR="004875BB" w:rsidRPr="009D44D7">
        <w:rPr>
          <w:shd w:val="clear" w:color="auto" w:fill="FFFFFF" w:themeFill="background1"/>
        </w:rPr>
        <w:t>d</w:t>
      </w:r>
      <w:r w:rsidR="00CC6058" w:rsidRPr="009D44D7">
        <w:rPr>
          <w:shd w:val="clear" w:color="auto" w:fill="FFFFFF" w:themeFill="background1"/>
        </w:rPr>
        <w:t xml:space="preserve"> with age</w:t>
      </w:r>
      <w:r w:rsidR="007D1532" w:rsidRPr="009D44D7">
        <w:rPr>
          <w:shd w:val="clear" w:color="auto" w:fill="FFFFFF" w:themeFill="background1"/>
        </w:rPr>
        <w:t xml:space="preserve"> for both males and females, but </w:t>
      </w:r>
      <w:r w:rsidR="004875BB" w:rsidRPr="009D44D7">
        <w:rPr>
          <w:shd w:val="clear" w:color="auto" w:fill="FFFFFF" w:themeFill="background1"/>
        </w:rPr>
        <w:t>more so</w:t>
      </w:r>
      <w:r w:rsidR="007D1532" w:rsidRPr="009D44D7">
        <w:rPr>
          <w:shd w:val="clear" w:color="auto" w:fill="FFFFFF" w:themeFill="background1"/>
        </w:rPr>
        <w:t xml:space="preserve"> </w:t>
      </w:r>
      <w:r w:rsidR="00CC6058" w:rsidRPr="009D44D7">
        <w:rPr>
          <w:shd w:val="clear" w:color="auto" w:fill="FFFFFF" w:themeFill="background1"/>
        </w:rPr>
        <w:t>for females</w:t>
      </w:r>
      <w:r w:rsidR="00CC6058" w:rsidRPr="00CC6058">
        <w:t xml:space="preserve"> </w:t>
      </w:r>
      <w:r w:rsidR="00CC6058">
        <w:t>(</w:t>
      </w:r>
      <w:r w:rsidR="007441E9">
        <w:t>table</w:t>
      </w:r>
      <w:r w:rsidR="00082F9E" w:rsidRPr="00C93484">
        <w:t> 1</w:t>
      </w:r>
      <w:r w:rsidR="005E4468">
        <w:t>4</w:t>
      </w:r>
      <w:r w:rsidR="00082F9E" w:rsidRPr="00C93484">
        <w:t>A.</w:t>
      </w:r>
      <w:r w:rsidR="009D7127">
        <w:t>19</w:t>
      </w:r>
      <w:r w:rsidR="00CC6058">
        <w:t>)</w:t>
      </w:r>
      <w:r w:rsidR="00082F9E" w:rsidRPr="00C93484">
        <w:t xml:space="preserve">. </w:t>
      </w:r>
    </w:p>
    <w:p w:rsidR="00B80551" w:rsidRPr="00664BA5" w:rsidRDefault="00B80551" w:rsidP="004B2BE8">
      <w:pPr>
        <w:pStyle w:val="BoxSpaceAbove"/>
        <w:shd w:val="clear" w:color="auto" w:fill="FFFFFF" w:themeFill="background1"/>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0551" w:rsidTr="004B2BE8">
        <w:tc>
          <w:tcPr>
            <w:tcW w:w="8771" w:type="dxa"/>
            <w:tcBorders>
              <w:top w:val="single" w:sz="6" w:space="0" w:color="78A22F"/>
              <w:left w:val="nil"/>
              <w:bottom w:val="nil"/>
              <w:right w:val="nil"/>
            </w:tcBorders>
            <w:shd w:val="clear" w:color="auto" w:fill="FFFFFF" w:themeFill="background1"/>
          </w:tcPr>
          <w:p w:rsidR="00B80551" w:rsidRPr="00176D3F" w:rsidRDefault="00B80551" w:rsidP="00AD10ED">
            <w:pPr>
              <w:pStyle w:val="FigureTitle"/>
              <w:shd w:val="clear" w:color="auto" w:fill="FFFFFF" w:themeFill="background1"/>
            </w:pPr>
            <w:r w:rsidRPr="00784A05">
              <w:rPr>
                <w:b w:val="0"/>
              </w:rPr>
              <w:t xml:space="preserve">Figure </w:t>
            </w:r>
            <w:r w:rsidR="005E4468">
              <w:rPr>
                <w:b w:val="0"/>
              </w:rPr>
              <w:t>14.</w:t>
            </w:r>
            <w:r w:rsidR="00662F0E">
              <w:rPr>
                <w:b w:val="0"/>
                <w:noProof/>
              </w:rPr>
              <w:t>4</w:t>
            </w:r>
            <w:r>
              <w:tab/>
              <w:t>O</w:t>
            </w:r>
            <w:r w:rsidRPr="00B80551">
              <w:t xml:space="preserve">lder </w:t>
            </w:r>
            <w:r>
              <w:t xml:space="preserve">permanent and respite residential aged care </w:t>
            </w:r>
            <w:r w:rsidR="00082F9E">
              <w:t>clients</w:t>
            </w:r>
            <w:r>
              <w:t xml:space="preserve"> per 1000 older people</w:t>
            </w:r>
            <w:r w:rsidR="00082F9E">
              <w:t>, 201</w:t>
            </w:r>
            <w:r w:rsidR="00AD10ED">
              <w:t>5</w:t>
            </w:r>
            <w:r w:rsidR="00E75264">
              <w:noBreakHyphen/>
            </w:r>
            <w:r w:rsidR="00082F9E">
              <w:t>1</w:t>
            </w:r>
            <w:r w:rsidR="00AD10ED">
              <w:t>6</w:t>
            </w:r>
            <w:r w:rsidR="00EC179A" w:rsidRPr="004B2BE8">
              <w:rPr>
                <w:rStyle w:val="NoteLabel"/>
                <w:b/>
                <w:szCs w:val="20"/>
              </w:rPr>
              <w:t>a</w:t>
            </w:r>
          </w:p>
        </w:tc>
      </w:tr>
      <w:tr w:rsidR="00B80551" w:rsidTr="004B2BE8">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80551" w:rsidTr="00674D21">
              <w:trPr>
                <w:trHeight w:val="4252"/>
                <w:jc w:val="center"/>
              </w:trPr>
              <w:tc>
                <w:tcPr>
                  <w:tcW w:w="5000" w:type="pct"/>
                  <w:tcBorders>
                    <w:top w:val="nil"/>
                    <w:bottom w:val="nil"/>
                  </w:tcBorders>
                </w:tcPr>
                <w:p w:rsidR="00B80551" w:rsidRDefault="00FE70DC" w:rsidP="004B2BE8">
                  <w:pPr>
                    <w:pStyle w:val="Figure"/>
                    <w:shd w:val="clear" w:color="auto" w:fill="FFFFFF" w:themeFill="background1"/>
                    <w:spacing w:before="60" w:after="60"/>
                    <w:rPr>
                      <w:szCs w:val="24"/>
                    </w:rPr>
                  </w:pPr>
                  <w:r>
                    <w:rPr>
                      <w:noProof/>
                      <w:szCs w:val="24"/>
                    </w:rPr>
                    <w:drawing>
                      <wp:inline distT="0" distB="0" distL="0" distR="0">
                        <wp:extent cx="5379720" cy="2707640"/>
                        <wp:effectExtent l="0" t="0" r="0" b="0"/>
                        <wp:docPr id="6" name="Picture 6" descr="Figure 14.4 Older permanent and respite residential aged care clients per 1000 older people,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9720" cy="2707640"/>
                                </a:xfrm>
                                <a:prstGeom prst="rect">
                                  <a:avLst/>
                                </a:prstGeom>
                                <a:noFill/>
                                <a:ln>
                                  <a:noFill/>
                                </a:ln>
                              </pic:spPr>
                            </pic:pic>
                          </a:graphicData>
                        </a:graphic>
                      </wp:inline>
                    </w:drawing>
                  </w:r>
                </w:p>
              </w:tc>
            </w:tr>
          </w:tbl>
          <w:p w:rsidR="00B80551" w:rsidRDefault="00B80551" w:rsidP="004B2BE8">
            <w:pPr>
              <w:pStyle w:val="Figure"/>
              <w:shd w:val="clear" w:color="auto" w:fill="FFFFFF" w:themeFill="background1"/>
            </w:pPr>
          </w:p>
        </w:tc>
      </w:tr>
      <w:tr w:rsidR="00B80551" w:rsidRPr="00176D3F" w:rsidTr="004B2BE8">
        <w:tc>
          <w:tcPr>
            <w:tcW w:w="8771" w:type="dxa"/>
            <w:tcBorders>
              <w:top w:val="nil"/>
              <w:left w:val="nil"/>
              <w:bottom w:val="nil"/>
              <w:right w:val="nil"/>
            </w:tcBorders>
            <w:shd w:val="clear" w:color="auto" w:fill="FFFFFF" w:themeFill="background1"/>
          </w:tcPr>
          <w:p w:rsidR="00B80551" w:rsidRPr="00176D3F" w:rsidRDefault="00D953E5" w:rsidP="00370EEC">
            <w:pPr>
              <w:pStyle w:val="Note"/>
              <w:shd w:val="clear" w:color="auto" w:fill="FFFFFF" w:themeFill="background1"/>
              <w:rPr>
                <w:szCs w:val="24"/>
              </w:rPr>
            </w:pPr>
            <w:r w:rsidRPr="00D953E5">
              <w:rPr>
                <w:rStyle w:val="NoteLabel"/>
              </w:rPr>
              <w:t xml:space="preserve">a </w:t>
            </w:r>
            <w:r w:rsidR="00EC179A">
              <w:t>See table</w:t>
            </w:r>
            <w:r w:rsidR="00E75264">
              <w:t> </w:t>
            </w:r>
            <w:r w:rsidRPr="004B2BE8">
              <w:t>1</w:t>
            </w:r>
            <w:r w:rsidR="000A5672">
              <w:t>4</w:t>
            </w:r>
            <w:r w:rsidRPr="004B2BE8">
              <w:t>A.</w:t>
            </w:r>
            <w:r w:rsidR="00370EEC">
              <w:t>2</w:t>
            </w:r>
            <w:r w:rsidRPr="004B2BE8">
              <w:t xml:space="preserve"> for detailed </w:t>
            </w:r>
            <w:r w:rsidR="00FF6F85">
              <w:t xml:space="preserve">footnotes and </w:t>
            </w:r>
            <w:r w:rsidRPr="004B2BE8">
              <w:t>caveats.</w:t>
            </w:r>
          </w:p>
        </w:tc>
      </w:tr>
      <w:tr w:rsidR="00B80551" w:rsidRPr="00176D3F" w:rsidTr="004B2BE8">
        <w:tc>
          <w:tcPr>
            <w:tcW w:w="8771" w:type="dxa"/>
            <w:tcBorders>
              <w:top w:val="nil"/>
              <w:left w:val="nil"/>
              <w:bottom w:val="nil"/>
              <w:right w:val="nil"/>
            </w:tcBorders>
            <w:shd w:val="clear" w:color="auto" w:fill="FFFFFF" w:themeFill="background1"/>
          </w:tcPr>
          <w:p w:rsidR="00B80551" w:rsidRPr="00176D3F" w:rsidRDefault="00082F9E" w:rsidP="00370EEC">
            <w:pPr>
              <w:pStyle w:val="Source"/>
              <w:shd w:val="clear" w:color="auto" w:fill="FFFFFF" w:themeFill="background1"/>
            </w:pPr>
            <w:r w:rsidRPr="008D00AD">
              <w:rPr>
                <w:i/>
              </w:rPr>
              <w:t>Source</w:t>
            </w:r>
            <w:r w:rsidRPr="008D00AD">
              <w:t>:</w:t>
            </w:r>
            <w:r w:rsidRPr="008D00AD">
              <w:rPr>
                <w:i/>
              </w:rPr>
              <w:t xml:space="preserve"> </w:t>
            </w:r>
            <w:r w:rsidR="00393A4E">
              <w:t>Department of Health</w:t>
            </w:r>
            <w:r w:rsidRPr="008D00AD">
              <w:t xml:space="preserve"> (unpublished); table 1</w:t>
            </w:r>
            <w:r w:rsidR="000A5672">
              <w:t>4</w:t>
            </w:r>
            <w:r w:rsidRPr="008D00AD">
              <w:t>A.</w:t>
            </w:r>
            <w:r w:rsidR="00370EEC">
              <w:t>2</w:t>
            </w:r>
            <w:r w:rsidRPr="008D00AD">
              <w:t>.</w:t>
            </w:r>
          </w:p>
        </w:tc>
      </w:tr>
      <w:tr w:rsidR="00B80551" w:rsidTr="004B2BE8">
        <w:tc>
          <w:tcPr>
            <w:tcW w:w="8771" w:type="dxa"/>
            <w:tcBorders>
              <w:top w:val="nil"/>
              <w:left w:val="nil"/>
              <w:bottom w:val="single" w:sz="6" w:space="0" w:color="78A22F"/>
              <w:right w:val="nil"/>
            </w:tcBorders>
            <w:shd w:val="clear" w:color="auto" w:fill="FFFFFF" w:themeFill="background1"/>
          </w:tcPr>
          <w:p w:rsidR="00B80551" w:rsidRDefault="00B80551" w:rsidP="004B2BE8">
            <w:pPr>
              <w:pStyle w:val="Figurespace"/>
              <w:shd w:val="clear" w:color="auto" w:fill="FFFFFF" w:themeFill="background1"/>
              <w:rPr>
                <w:szCs w:val="24"/>
              </w:rPr>
            </w:pPr>
          </w:p>
        </w:tc>
      </w:tr>
      <w:tr w:rsidR="00B80551" w:rsidRPr="000863A5" w:rsidTr="004B2BE8">
        <w:tc>
          <w:tcPr>
            <w:tcW w:w="8771" w:type="dxa"/>
            <w:tcBorders>
              <w:top w:val="single" w:sz="6" w:space="0" w:color="78A22F"/>
              <w:left w:val="nil"/>
              <w:bottom w:val="nil"/>
              <w:right w:val="nil"/>
            </w:tcBorders>
            <w:shd w:val="clear" w:color="auto" w:fill="FFFFFF" w:themeFill="background1"/>
          </w:tcPr>
          <w:p w:rsidR="00B80551" w:rsidRPr="00664BA5" w:rsidRDefault="00B80551" w:rsidP="004B2BE8">
            <w:pPr>
              <w:pStyle w:val="BoxSpaceBelow"/>
              <w:shd w:val="clear" w:color="auto" w:fill="FFFFFF" w:themeFill="background1"/>
              <w:rPr>
                <w:szCs w:val="24"/>
              </w:rPr>
            </w:pPr>
          </w:p>
        </w:tc>
      </w:tr>
    </w:tbl>
    <w:p w:rsidR="004116F7" w:rsidRDefault="008016A7" w:rsidP="00457598">
      <w:pPr>
        <w:pStyle w:val="BodyText"/>
        <w:shd w:val="clear" w:color="auto" w:fill="FFFFFF" w:themeFill="background1"/>
      </w:pPr>
      <w:r w:rsidRPr="008016A7">
        <w:t xml:space="preserve">Flexible care services </w:t>
      </w:r>
      <w:r>
        <w:t xml:space="preserve">address the needs of care recipients in ways other than that provided through mainstream residential </w:t>
      </w:r>
      <w:r w:rsidR="00626C1B">
        <w:t xml:space="preserve">and home </w:t>
      </w:r>
      <w:r>
        <w:t xml:space="preserve">care. </w:t>
      </w:r>
    </w:p>
    <w:p w:rsidR="004116F7" w:rsidRDefault="005E70A1" w:rsidP="009D7127">
      <w:pPr>
        <w:pStyle w:val="ListBullet"/>
      </w:pPr>
      <w:r>
        <w:t>Transition Care</w:t>
      </w:r>
      <w:r w:rsidR="008016A7" w:rsidRPr="008016A7">
        <w:t xml:space="preserve"> assist</w:t>
      </w:r>
      <w:r w:rsidR="007753D2">
        <w:t>s</w:t>
      </w:r>
      <w:r w:rsidR="008016A7" w:rsidRPr="008016A7">
        <w:t xml:space="preserve"> older people in regaining physical and psychosocial functioning followi</w:t>
      </w:r>
      <w:r w:rsidR="00457598">
        <w:t xml:space="preserve">ng an episode of inpatient </w:t>
      </w:r>
      <w:r w:rsidR="00995E5D">
        <w:t xml:space="preserve">hospital </w:t>
      </w:r>
      <w:r w:rsidR="00457598">
        <w:t xml:space="preserve">care </w:t>
      </w:r>
      <w:r w:rsidR="008016A7" w:rsidRPr="008016A7">
        <w:t xml:space="preserve">to </w:t>
      </w:r>
      <w:r w:rsidR="00E8584D">
        <w:t xml:space="preserve">help </w:t>
      </w:r>
      <w:r w:rsidR="008016A7" w:rsidRPr="008016A7">
        <w:t>maximise independence and avoid premature entry to residential aged care.</w:t>
      </w:r>
      <w:r w:rsidR="008016A7">
        <w:t xml:space="preserve"> During 201</w:t>
      </w:r>
      <w:r w:rsidR="008F32FD">
        <w:t>5</w:t>
      </w:r>
      <w:r w:rsidR="00E75264">
        <w:noBreakHyphen/>
      </w:r>
      <w:r w:rsidR="008016A7">
        <w:t>1</w:t>
      </w:r>
      <w:r w:rsidR="008F32FD">
        <w:t>6</w:t>
      </w:r>
      <w:r w:rsidR="008016A7">
        <w:t xml:space="preserve">, there were </w:t>
      </w:r>
      <w:r w:rsidR="009D7127" w:rsidRPr="009D7127">
        <w:t>23</w:t>
      </w:r>
      <w:r w:rsidR="00715612">
        <w:t> </w:t>
      </w:r>
      <w:r w:rsidR="009D7127" w:rsidRPr="009D7127">
        <w:t>796</w:t>
      </w:r>
      <w:r w:rsidR="008016A7">
        <w:t xml:space="preserve"> </w:t>
      </w:r>
      <w:r w:rsidR="00DC7255">
        <w:t xml:space="preserve">older </w:t>
      </w:r>
      <w:r w:rsidR="008016A7">
        <w:t>clients of Transition Care</w:t>
      </w:r>
      <w:r w:rsidR="00C93484">
        <w:t xml:space="preserve"> </w:t>
      </w:r>
      <w:r w:rsidR="00457598">
        <w:t>(table</w:t>
      </w:r>
      <w:r w:rsidR="00E75264">
        <w:t> </w:t>
      </w:r>
      <w:r w:rsidR="00457598">
        <w:t>1</w:t>
      </w:r>
      <w:r w:rsidR="005E4468">
        <w:t>4</w:t>
      </w:r>
      <w:r w:rsidR="00457598">
        <w:t>A.</w:t>
      </w:r>
      <w:r w:rsidR="009D7127">
        <w:t>2</w:t>
      </w:r>
      <w:r w:rsidR="00457598">
        <w:t xml:space="preserve">) </w:t>
      </w:r>
      <w:r w:rsidR="00C93484">
        <w:t>across</w:t>
      </w:r>
      <w:r w:rsidR="008016A7">
        <w:t xml:space="preserve"> the 4000 operational places</w:t>
      </w:r>
      <w:r w:rsidR="005513A9">
        <w:t xml:space="preserve"> (table</w:t>
      </w:r>
      <w:r w:rsidR="00E75264">
        <w:t> </w:t>
      </w:r>
      <w:r w:rsidR="005513A9">
        <w:t>1</w:t>
      </w:r>
      <w:r w:rsidR="000A5672">
        <w:t>4</w:t>
      </w:r>
      <w:r w:rsidR="005513A9">
        <w:t>A.</w:t>
      </w:r>
      <w:r w:rsidR="008A3FC7">
        <w:t>46</w:t>
      </w:r>
      <w:r w:rsidR="00AD10ED">
        <w:t>)</w:t>
      </w:r>
      <w:r w:rsidR="008016A7" w:rsidRPr="008016A7">
        <w:t>.</w:t>
      </w:r>
      <w:r w:rsidR="00457598">
        <w:t xml:space="preserve"> </w:t>
      </w:r>
    </w:p>
    <w:p w:rsidR="008016A7" w:rsidRPr="00545A91" w:rsidRDefault="008016A7" w:rsidP="00545A91">
      <w:pPr>
        <w:pStyle w:val="ListBullet"/>
      </w:pPr>
      <w:r>
        <w:t xml:space="preserve">The MPS </w:t>
      </w:r>
      <w:r w:rsidR="00760D08">
        <w:t xml:space="preserve">program </w:t>
      </w:r>
      <w:r w:rsidRPr="008016A7">
        <w:t>deliver</w:t>
      </w:r>
      <w:r w:rsidR="00B0495A">
        <w:t>s</w:t>
      </w:r>
      <w:r w:rsidRPr="008016A7">
        <w:t xml:space="preserve"> flexible and integrated health and aged care services to small rural and remote communities</w:t>
      </w:r>
      <w:r w:rsidR="00C93484">
        <w:t>. In 201</w:t>
      </w:r>
      <w:r w:rsidR="00AD10ED">
        <w:t>5</w:t>
      </w:r>
      <w:r w:rsidR="00E75264">
        <w:noBreakHyphen/>
      </w:r>
      <w:r w:rsidR="00C93484">
        <w:t>1</w:t>
      </w:r>
      <w:r w:rsidR="00AD10ED">
        <w:t>6</w:t>
      </w:r>
      <w:r w:rsidR="00C93484">
        <w:t>, t</w:t>
      </w:r>
      <w:r w:rsidR="00C93484" w:rsidRPr="00C93484">
        <w:t xml:space="preserve">here </w:t>
      </w:r>
      <w:r w:rsidR="00C93484">
        <w:t xml:space="preserve">was a </w:t>
      </w:r>
      <w:r w:rsidR="00C93484" w:rsidRPr="00C93484">
        <w:t xml:space="preserve">total of </w:t>
      </w:r>
      <w:r w:rsidR="00545A91" w:rsidRPr="00545A91">
        <w:t>3592</w:t>
      </w:r>
      <w:r w:rsidR="00C93484" w:rsidRPr="00545A91">
        <w:t xml:space="preserve"> </w:t>
      </w:r>
      <w:r w:rsidR="00C93484" w:rsidRPr="00864C90">
        <w:t xml:space="preserve">operational </w:t>
      </w:r>
      <w:r w:rsidR="00AC11D4" w:rsidRPr="00864C90">
        <w:t>MPS program</w:t>
      </w:r>
      <w:r w:rsidR="00C93484" w:rsidRPr="00864C90">
        <w:t xml:space="preserve"> places</w:t>
      </w:r>
      <w:r w:rsidR="00C93484" w:rsidRPr="00C93484">
        <w:t xml:space="preserve"> (includes residential and </w:t>
      </w:r>
      <w:r w:rsidR="00626C1B">
        <w:t>home care</w:t>
      </w:r>
      <w:r w:rsidR="00AB7CF7" w:rsidRPr="00AB7CF7">
        <w:t xml:space="preserve"> </w:t>
      </w:r>
      <w:r w:rsidR="00C93484" w:rsidRPr="00C93484">
        <w:t>places)</w:t>
      </w:r>
      <w:r w:rsidR="007D1532">
        <w:t xml:space="preserve"> </w:t>
      </w:r>
      <w:r w:rsidR="007D1532" w:rsidRPr="009D44D7">
        <w:rPr>
          <w:shd w:val="clear" w:color="auto" w:fill="FFFFFF" w:themeFill="background1"/>
        </w:rPr>
        <w:t>(Department of Health unpublished).</w:t>
      </w:r>
      <w:r w:rsidR="009D7127">
        <w:t xml:space="preserve"> </w:t>
      </w:r>
    </w:p>
    <w:p w:rsidR="008016A7" w:rsidRPr="00545A91" w:rsidRDefault="00AB7CF7" w:rsidP="009D7127">
      <w:pPr>
        <w:pStyle w:val="ListBullet"/>
      </w:pPr>
      <w:r w:rsidRPr="00545A91">
        <w:t xml:space="preserve">The National Aboriginal and Torres Strait Islander Flexible Aged Care Program provides culturally appropriate aged care to older Aboriginal and Torres Strait Islander people close to home and </w:t>
      </w:r>
      <w:r w:rsidR="00B0495A" w:rsidRPr="00545A91">
        <w:t xml:space="preserve">their </w:t>
      </w:r>
      <w:r w:rsidRPr="00545A91">
        <w:t>communit</w:t>
      </w:r>
      <w:r w:rsidR="00B0495A" w:rsidRPr="00545A91">
        <w:t>ies</w:t>
      </w:r>
      <w:r w:rsidR="007753D2" w:rsidRPr="00545A91">
        <w:t xml:space="preserve"> and</w:t>
      </w:r>
      <w:r w:rsidRPr="00545A91">
        <w:t xml:space="preserve"> </w:t>
      </w:r>
      <w:r w:rsidR="007753D2" w:rsidRPr="00545A91">
        <w:t>delivers</w:t>
      </w:r>
      <w:r w:rsidRPr="00545A91">
        <w:t xml:space="preserve"> a mix of residential and </w:t>
      </w:r>
      <w:r w:rsidR="00626C1B" w:rsidRPr="00545A91">
        <w:t xml:space="preserve">home </w:t>
      </w:r>
      <w:r w:rsidR="00626C1B" w:rsidRPr="00545A91">
        <w:lastRenderedPageBreak/>
        <w:t>care</w:t>
      </w:r>
      <w:r w:rsidRPr="00545A91">
        <w:t xml:space="preserve"> services. At 30</w:t>
      </w:r>
      <w:r w:rsidR="00E75264" w:rsidRPr="00545A91">
        <w:t> </w:t>
      </w:r>
      <w:r w:rsidRPr="00545A91">
        <w:t>June 201</w:t>
      </w:r>
      <w:r w:rsidR="000A5672" w:rsidRPr="00545A91">
        <w:t>6</w:t>
      </w:r>
      <w:r w:rsidRPr="00545A91">
        <w:t xml:space="preserve">, there were </w:t>
      </w:r>
      <w:r w:rsidR="00545A91">
        <w:t>820</w:t>
      </w:r>
      <w:r w:rsidRPr="00545A91">
        <w:t xml:space="preserve"> </w:t>
      </w:r>
      <w:r w:rsidR="00AC11D4" w:rsidRPr="00545A91">
        <w:t xml:space="preserve">operational </w:t>
      </w:r>
      <w:r w:rsidRPr="00545A91">
        <w:t>flexible aged care places under this program (</w:t>
      </w:r>
      <w:r w:rsidR="00393A4E" w:rsidRPr="00545A91">
        <w:t>Department of Health</w:t>
      </w:r>
      <w:r w:rsidRPr="00545A91">
        <w:t xml:space="preserve"> unpublished). </w:t>
      </w:r>
    </w:p>
    <w:p w:rsidR="00F43306" w:rsidRDefault="00F43306" w:rsidP="00F43306">
      <w:pPr>
        <w:pStyle w:val="Heading2"/>
      </w:pPr>
      <w:bookmarkStart w:id="7" w:name="_Toc470106065"/>
      <w:r>
        <w:t>1</w:t>
      </w:r>
      <w:r w:rsidR="00CE6E19">
        <w:t>4</w:t>
      </w:r>
      <w:r>
        <w:t>.</w:t>
      </w:r>
      <w:r w:rsidR="00CA1F6E">
        <w:rPr>
          <w:noProof/>
        </w:rPr>
        <w:t>2</w:t>
      </w:r>
      <w:r>
        <w:tab/>
        <w:t>Framework of performance indicators</w:t>
      </w:r>
      <w:bookmarkEnd w:id="7"/>
    </w:p>
    <w:p w:rsidR="00E3774A" w:rsidRPr="009747BF" w:rsidRDefault="00F43306" w:rsidP="00E3774A">
      <w:pPr>
        <w:pStyle w:val="BodyText"/>
      </w:pPr>
      <w:r>
        <w:t xml:space="preserve">The framework </w:t>
      </w:r>
      <w:r w:rsidR="003F1442">
        <w:t xml:space="preserve">of performance indicators </w:t>
      </w:r>
      <w:r>
        <w:t xml:space="preserve">for aged care services is based on </w:t>
      </w:r>
      <w:r w:rsidR="000A741B">
        <w:t>governments’</w:t>
      </w:r>
      <w:r>
        <w:t xml:space="preserve"> objectives </w:t>
      </w:r>
      <w:r w:rsidR="003F1442">
        <w:t>for the</w:t>
      </w:r>
      <w:r>
        <w:t xml:space="preserve"> aged care sector (box</w:t>
      </w:r>
      <w:r w:rsidR="009551A0">
        <w:t> </w:t>
      </w:r>
      <w:r>
        <w:t>1</w:t>
      </w:r>
      <w:r w:rsidR="00987F03">
        <w:t>4</w:t>
      </w:r>
      <w:r>
        <w:t>.</w:t>
      </w:r>
      <w:r w:rsidR="00987F03">
        <w:t>1</w:t>
      </w:r>
      <w:r>
        <w:t xml:space="preserve">). </w:t>
      </w:r>
    </w:p>
    <w:p w:rsidR="00AE3A3E" w:rsidRPr="00664BA5" w:rsidRDefault="00AE3A3E" w:rsidP="007F1006">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E3A3E" w:rsidTr="001D20C3">
        <w:tc>
          <w:tcPr>
            <w:tcW w:w="8771" w:type="dxa"/>
            <w:tcBorders>
              <w:top w:val="single" w:sz="6" w:space="0" w:color="78A22F"/>
              <w:left w:val="nil"/>
              <w:bottom w:val="nil"/>
              <w:right w:val="nil"/>
            </w:tcBorders>
            <w:shd w:val="clear" w:color="auto" w:fill="F2F2F2"/>
          </w:tcPr>
          <w:p w:rsidR="00AE3A3E" w:rsidRDefault="00AE3A3E" w:rsidP="00AE3A3E">
            <w:pPr>
              <w:pStyle w:val="BoxTitle"/>
            </w:pPr>
            <w:r>
              <w:rPr>
                <w:b w:val="0"/>
              </w:rPr>
              <w:t xml:space="preserve">Box </w:t>
            </w:r>
            <w:r w:rsidR="00301A58">
              <w:rPr>
                <w:b w:val="0"/>
              </w:rPr>
              <w:t>14.</w:t>
            </w:r>
            <w:r w:rsidR="00662F0E">
              <w:rPr>
                <w:b w:val="0"/>
                <w:noProof/>
              </w:rPr>
              <w:t>1</w:t>
            </w:r>
            <w:r>
              <w:tab/>
            </w:r>
            <w:r w:rsidRPr="00F43306">
              <w:t>Objectives for aged care services</w:t>
            </w:r>
          </w:p>
        </w:tc>
      </w:tr>
      <w:tr w:rsidR="00AE3A3E" w:rsidTr="001D20C3">
        <w:trPr>
          <w:cantSplit/>
        </w:trPr>
        <w:tc>
          <w:tcPr>
            <w:tcW w:w="8771" w:type="dxa"/>
            <w:tcBorders>
              <w:top w:val="nil"/>
              <w:left w:val="nil"/>
              <w:bottom w:val="nil"/>
              <w:right w:val="nil"/>
            </w:tcBorders>
            <w:shd w:val="clear" w:color="auto" w:fill="F2F2F2"/>
          </w:tcPr>
          <w:p w:rsidR="00A15607" w:rsidRPr="00D424E2" w:rsidRDefault="00A15607" w:rsidP="00A15607">
            <w:pPr>
              <w:keepNext/>
              <w:spacing w:before="120" w:line="260" w:lineRule="atLeast"/>
              <w:jc w:val="both"/>
              <w:rPr>
                <w:rFonts w:ascii="Arial" w:hAnsi="Arial"/>
                <w:sz w:val="20"/>
                <w:szCs w:val="20"/>
              </w:rPr>
            </w:pPr>
            <w:r w:rsidRPr="00D424E2">
              <w:rPr>
                <w:rFonts w:ascii="Arial" w:hAnsi="Arial"/>
                <w:sz w:val="20"/>
                <w:szCs w:val="20"/>
              </w:rPr>
              <w:t>The aged care system aims to promote the wellbeing and independence of older people (and their carers), by enabling them to stay in their own homes or by assisting them in residential care. Governments seek to achieve this aim by subsidising aged care services that are:</w:t>
            </w:r>
          </w:p>
          <w:p w:rsidR="00A15607" w:rsidRPr="00D424E2" w:rsidRDefault="00A15607" w:rsidP="00A15607">
            <w:pPr>
              <w:keepNext/>
              <w:numPr>
                <w:ilvl w:val="0"/>
                <w:numId w:val="1"/>
              </w:numPr>
              <w:spacing w:before="100" w:line="260" w:lineRule="atLeast"/>
              <w:jc w:val="both"/>
              <w:rPr>
                <w:rFonts w:ascii="Arial" w:hAnsi="Arial"/>
                <w:sz w:val="20"/>
                <w:szCs w:val="20"/>
              </w:rPr>
            </w:pPr>
            <w:r w:rsidRPr="00D424E2">
              <w:rPr>
                <w:rFonts w:ascii="Arial" w:hAnsi="Arial"/>
                <w:sz w:val="20"/>
                <w:szCs w:val="20"/>
              </w:rPr>
              <w:t xml:space="preserve">accessible </w:t>
            </w:r>
            <w:r w:rsidRPr="00D424E2">
              <w:rPr>
                <w:rFonts w:ascii="Calibri" w:hAnsi="Calibri"/>
                <w:sz w:val="20"/>
                <w:szCs w:val="20"/>
              </w:rPr>
              <w:t>—</w:t>
            </w:r>
            <w:r w:rsidRPr="00D424E2">
              <w:rPr>
                <w:rFonts w:ascii="Arial" w:hAnsi="Arial"/>
                <w:sz w:val="20"/>
                <w:szCs w:val="20"/>
              </w:rPr>
              <w:t xml:space="preserve"> including, timely and affordable</w:t>
            </w:r>
          </w:p>
          <w:p w:rsidR="00A15607" w:rsidRPr="00D424E2" w:rsidRDefault="00A15607" w:rsidP="00A15607">
            <w:pPr>
              <w:keepNext/>
              <w:numPr>
                <w:ilvl w:val="0"/>
                <w:numId w:val="1"/>
              </w:numPr>
              <w:spacing w:before="100" w:line="260" w:lineRule="atLeast"/>
              <w:jc w:val="both"/>
              <w:rPr>
                <w:rFonts w:ascii="Arial" w:hAnsi="Arial"/>
                <w:sz w:val="20"/>
                <w:szCs w:val="20"/>
              </w:rPr>
            </w:pPr>
            <w:r w:rsidRPr="00D424E2">
              <w:rPr>
                <w:rFonts w:ascii="Arial" w:hAnsi="Arial"/>
                <w:sz w:val="20"/>
                <w:szCs w:val="20"/>
              </w:rPr>
              <w:t xml:space="preserve">planned effectively </w:t>
            </w:r>
            <w:r w:rsidRPr="00D424E2">
              <w:rPr>
                <w:rFonts w:ascii="Calibri" w:hAnsi="Calibri"/>
                <w:sz w:val="20"/>
                <w:szCs w:val="20"/>
              </w:rPr>
              <w:t>—</w:t>
            </w:r>
            <w:r w:rsidRPr="00D424E2">
              <w:rPr>
                <w:rFonts w:ascii="Arial" w:hAnsi="Arial"/>
                <w:sz w:val="20"/>
                <w:szCs w:val="20"/>
              </w:rPr>
              <w:t xml:space="preserve"> targeted to areas of need and integrated with other services</w:t>
            </w:r>
          </w:p>
          <w:p w:rsidR="00A15607" w:rsidRPr="00D424E2" w:rsidRDefault="00A15607" w:rsidP="00A15607">
            <w:pPr>
              <w:keepNext/>
              <w:numPr>
                <w:ilvl w:val="0"/>
                <w:numId w:val="1"/>
              </w:numPr>
              <w:spacing w:before="100" w:line="260" w:lineRule="atLeast"/>
              <w:jc w:val="both"/>
              <w:rPr>
                <w:rFonts w:ascii="Arial" w:hAnsi="Arial"/>
                <w:sz w:val="20"/>
                <w:szCs w:val="20"/>
              </w:rPr>
            </w:pPr>
            <w:r w:rsidRPr="00D424E2">
              <w:rPr>
                <w:rFonts w:ascii="Arial" w:hAnsi="Arial"/>
                <w:sz w:val="20"/>
                <w:szCs w:val="20"/>
              </w:rPr>
              <w:t xml:space="preserve">appropriate to meet the needs of the recipients and their carers </w:t>
            </w:r>
            <w:r w:rsidRPr="00D424E2">
              <w:rPr>
                <w:rFonts w:ascii="Calibri" w:hAnsi="Calibri"/>
                <w:sz w:val="20"/>
                <w:szCs w:val="20"/>
              </w:rPr>
              <w:t>—</w:t>
            </w:r>
            <w:r w:rsidRPr="00D424E2">
              <w:rPr>
                <w:rFonts w:ascii="Arial" w:hAnsi="Arial"/>
                <w:sz w:val="20"/>
                <w:szCs w:val="20"/>
              </w:rPr>
              <w:t xml:space="preserve"> with an emphasis on ageing in place and restorative approaches</w:t>
            </w:r>
          </w:p>
          <w:p w:rsidR="00A15607" w:rsidRPr="00D424E2" w:rsidRDefault="00A15607" w:rsidP="00A15607">
            <w:pPr>
              <w:keepNext/>
              <w:numPr>
                <w:ilvl w:val="0"/>
                <w:numId w:val="1"/>
              </w:numPr>
              <w:spacing w:before="100" w:line="260" w:lineRule="atLeast"/>
              <w:jc w:val="both"/>
              <w:rPr>
                <w:rFonts w:ascii="Arial" w:hAnsi="Arial"/>
                <w:sz w:val="20"/>
                <w:szCs w:val="20"/>
              </w:rPr>
            </w:pPr>
            <w:r w:rsidRPr="00D424E2">
              <w:rPr>
                <w:rFonts w:ascii="Arial" w:hAnsi="Arial"/>
                <w:sz w:val="20"/>
                <w:szCs w:val="20"/>
              </w:rPr>
              <w:t>person</w:t>
            </w:r>
            <w:r w:rsidR="00664BA5">
              <w:rPr>
                <w:rFonts w:ascii="Arial" w:hAnsi="Arial"/>
                <w:sz w:val="20"/>
                <w:szCs w:val="20"/>
              </w:rPr>
              <w:noBreakHyphen/>
            </w:r>
            <w:r w:rsidRPr="00D424E2">
              <w:rPr>
                <w:rFonts w:ascii="Arial" w:hAnsi="Arial"/>
                <w:sz w:val="20"/>
                <w:szCs w:val="20"/>
              </w:rPr>
              <w:t xml:space="preserve">centred, taking into account individual goals, preferences and choices </w:t>
            </w:r>
          </w:p>
          <w:p w:rsidR="00A15607" w:rsidRPr="00D424E2" w:rsidRDefault="00A15607" w:rsidP="00A15607">
            <w:pPr>
              <w:keepNext/>
              <w:numPr>
                <w:ilvl w:val="0"/>
                <w:numId w:val="1"/>
              </w:numPr>
              <w:spacing w:before="100" w:line="260" w:lineRule="atLeast"/>
              <w:jc w:val="both"/>
              <w:rPr>
                <w:rFonts w:ascii="Arial" w:hAnsi="Arial"/>
                <w:sz w:val="20"/>
                <w:szCs w:val="20"/>
              </w:rPr>
            </w:pPr>
            <w:r w:rsidRPr="00D424E2">
              <w:rPr>
                <w:rFonts w:ascii="Arial" w:hAnsi="Arial"/>
                <w:sz w:val="20"/>
                <w:szCs w:val="20"/>
              </w:rPr>
              <w:t xml:space="preserve">high quality. </w:t>
            </w:r>
          </w:p>
          <w:p w:rsidR="00AE3A3E" w:rsidRDefault="00A15607" w:rsidP="00A15607">
            <w:pPr>
              <w:pStyle w:val="Box"/>
            </w:pPr>
            <w:r w:rsidRPr="00D424E2">
              <w:t xml:space="preserve">Governments aim for </w:t>
            </w:r>
            <w:r>
              <w:t>a</w:t>
            </w:r>
            <w:r w:rsidRPr="00D424E2">
              <w:t>ged care services to meet these objectives in an equitable and efficient manner.</w:t>
            </w:r>
          </w:p>
        </w:tc>
      </w:tr>
      <w:tr w:rsidR="00AE3A3E" w:rsidTr="001D20C3">
        <w:trPr>
          <w:cantSplit/>
        </w:trPr>
        <w:tc>
          <w:tcPr>
            <w:tcW w:w="8771" w:type="dxa"/>
            <w:tcBorders>
              <w:top w:val="nil"/>
              <w:left w:val="nil"/>
              <w:bottom w:val="single" w:sz="6" w:space="0" w:color="78A22F"/>
              <w:right w:val="nil"/>
            </w:tcBorders>
            <w:shd w:val="clear" w:color="auto" w:fill="F2F2F2"/>
          </w:tcPr>
          <w:p w:rsidR="00AE3A3E" w:rsidRDefault="00AE3A3E">
            <w:pPr>
              <w:pStyle w:val="Box"/>
              <w:spacing w:before="0" w:line="120" w:lineRule="exact"/>
            </w:pPr>
          </w:p>
        </w:tc>
      </w:tr>
      <w:tr w:rsidR="00AE3A3E" w:rsidRPr="000863A5" w:rsidTr="001D20C3">
        <w:tc>
          <w:tcPr>
            <w:tcW w:w="8771" w:type="dxa"/>
            <w:tcBorders>
              <w:top w:val="single" w:sz="6" w:space="0" w:color="78A22F"/>
              <w:left w:val="nil"/>
              <w:bottom w:val="nil"/>
              <w:right w:val="nil"/>
            </w:tcBorders>
          </w:tcPr>
          <w:p w:rsidR="00AE3A3E" w:rsidRPr="00664BA5" w:rsidRDefault="00AE3A3E" w:rsidP="001D20C3">
            <w:pPr>
              <w:pStyle w:val="BoxSpaceBelow"/>
            </w:pPr>
          </w:p>
        </w:tc>
      </w:tr>
    </w:tbl>
    <w:p w:rsidR="00452D13" w:rsidRDefault="00F43306" w:rsidP="00F43306">
      <w:pPr>
        <w:pStyle w:val="BodyText"/>
      </w:pPr>
      <w:r w:rsidRPr="00F43306">
        <w:t>The performance indicator framework provides information on equity, efficiency and effectiveness, and distinguishes the outputs and outcomes of aged care services (figure</w:t>
      </w:r>
      <w:r w:rsidR="0097726B">
        <w:t> </w:t>
      </w:r>
      <w:r w:rsidRPr="00F43306">
        <w:t>1</w:t>
      </w:r>
      <w:r w:rsidR="00452D13">
        <w:t>4</w:t>
      </w:r>
      <w:r w:rsidRPr="00F43306">
        <w:t>.</w:t>
      </w:r>
      <w:r w:rsidR="00452D13">
        <w:t>5</w:t>
      </w:r>
      <w:r w:rsidRPr="00F43306">
        <w:t xml:space="preserve">). </w:t>
      </w:r>
    </w:p>
    <w:p w:rsidR="00452D13" w:rsidRPr="00F43306" w:rsidRDefault="00F43306" w:rsidP="00452D13">
      <w:pPr>
        <w:pStyle w:val="BodyText"/>
      </w:pPr>
      <w:r w:rsidRPr="00F43306">
        <w:t xml:space="preserve">The performance indicator framework shows which data are complete and comparable in the </w:t>
      </w:r>
      <w:r w:rsidR="00610594" w:rsidRPr="00F43306">
        <w:t>201</w:t>
      </w:r>
      <w:r w:rsidR="0070173E">
        <w:t>7</w:t>
      </w:r>
      <w:r w:rsidR="00610594" w:rsidRPr="00F43306">
        <w:t xml:space="preserve"> </w:t>
      </w:r>
      <w:r w:rsidRPr="00F43306">
        <w:t>Report. For data that are not considered directly comparable, text includes relevant caveats and supporting commentary. Chapter</w:t>
      </w:r>
      <w:r w:rsidR="009551A0">
        <w:t> </w:t>
      </w:r>
      <w:r w:rsidRPr="00F43306">
        <w:t>1 discusses data comparability</w:t>
      </w:r>
      <w:r w:rsidR="00C70618">
        <w:rPr>
          <w:shd w:val="clear" w:color="auto" w:fill="FFFFFF" w:themeFill="background1"/>
        </w:rPr>
        <w:t>,</w:t>
      </w:r>
      <w:r w:rsidR="00A16164" w:rsidRPr="00CC56A6">
        <w:rPr>
          <w:shd w:val="clear" w:color="auto" w:fill="FFFFFF" w:themeFill="background1"/>
        </w:rPr>
        <w:t xml:space="preserve"> </w:t>
      </w:r>
      <w:r w:rsidR="00416F90">
        <w:rPr>
          <w:shd w:val="clear" w:color="auto" w:fill="FFFFFF" w:themeFill="background1"/>
        </w:rPr>
        <w:t xml:space="preserve">data </w:t>
      </w:r>
      <w:r w:rsidR="00A16164" w:rsidRPr="00CC56A6">
        <w:rPr>
          <w:shd w:val="clear" w:color="auto" w:fill="FFFFFF" w:themeFill="background1"/>
        </w:rPr>
        <w:t>completeness</w:t>
      </w:r>
      <w:r w:rsidR="00A16164" w:rsidRPr="00A16164">
        <w:t xml:space="preserve"> </w:t>
      </w:r>
      <w:r w:rsidR="00C70618" w:rsidRPr="00CC56A6">
        <w:rPr>
          <w:shd w:val="clear" w:color="auto" w:fill="FFFFFF" w:themeFill="background1"/>
        </w:rPr>
        <w:t>and</w:t>
      </w:r>
      <w:r w:rsidR="00C70618" w:rsidRPr="00F43306">
        <w:t xml:space="preserve"> </w:t>
      </w:r>
      <w:r w:rsidR="00C70618" w:rsidRPr="00C70618">
        <w:t xml:space="preserve">information on data quality </w:t>
      </w:r>
      <w:r w:rsidRPr="00F43306">
        <w:t>from a Report wide perspective.</w:t>
      </w:r>
      <w:r w:rsidR="00DF277B">
        <w:t xml:space="preserve"> </w:t>
      </w:r>
      <w:r w:rsidR="00452D13">
        <w:t>In addition to section 14.1, t</w:t>
      </w:r>
      <w:r w:rsidR="00452D13" w:rsidRPr="00F43306">
        <w:t>he Report’s statistical context chapter (chapter</w:t>
      </w:r>
      <w:r w:rsidR="00452D13">
        <w:t> </w:t>
      </w:r>
      <w:r w:rsidR="00452D13" w:rsidRPr="00F43306">
        <w:t>2)</w:t>
      </w:r>
      <w:r w:rsidR="00452D13">
        <w:t xml:space="preserve"> </w:t>
      </w:r>
      <w:r w:rsidR="00452D13" w:rsidRPr="00F43306">
        <w:t xml:space="preserve">contains data that may assist in interpreting the performance indicators presented in this chapter. </w:t>
      </w:r>
    </w:p>
    <w:p w:rsidR="000A5672" w:rsidRDefault="000A5672" w:rsidP="00F43306">
      <w:pPr>
        <w:pStyle w:val="BodyText"/>
      </w:pPr>
      <w:r w:rsidRPr="000A5672">
        <w:t xml:space="preserve">Improvements to performance reporting for </w:t>
      </w:r>
      <w:r w:rsidR="006371D9">
        <w:t>a</w:t>
      </w:r>
      <w:r w:rsidR="00452D13">
        <w:t>ged care services</w:t>
      </w:r>
      <w:r w:rsidRPr="000A5672">
        <w:t xml:space="preserve"> are ongoing and will include identifying indicators to fill gaps in reporting against key objectives, improving the comparability and completeness of data and reviewing proxy indicators to see if more direct measures can be developed.</w:t>
      </w:r>
    </w:p>
    <w:p w:rsidR="00BB093A" w:rsidRDefault="00BB093A" w:rsidP="003E2F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B093A" w:rsidTr="003E2FEC">
        <w:tc>
          <w:tcPr>
            <w:tcW w:w="8771" w:type="dxa"/>
            <w:tcBorders>
              <w:top w:val="single" w:sz="6" w:space="0" w:color="78A22F"/>
              <w:left w:val="nil"/>
              <w:bottom w:val="nil"/>
              <w:right w:val="nil"/>
            </w:tcBorders>
            <w:shd w:val="clear" w:color="auto" w:fill="auto"/>
          </w:tcPr>
          <w:p w:rsidR="00BB093A" w:rsidRPr="00176D3F" w:rsidRDefault="00BB093A" w:rsidP="00AB7CF7">
            <w:pPr>
              <w:pStyle w:val="FigureTitle"/>
            </w:pPr>
            <w:r w:rsidRPr="00784A05">
              <w:rPr>
                <w:b w:val="0"/>
              </w:rPr>
              <w:t xml:space="preserve">Figure </w:t>
            </w:r>
            <w:r w:rsidR="00452D13">
              <w:rPr>
                <w:b w:val="0"/>
              </w:rPr>
              <w:t>14.</w:t>
            </w:r>
            <w:r w:rsidR="00662F0E">
              <w:rPr>
                <w:b w:val="0"/>
                <w:noProof/>
              </w:rPr>
              <w:t>5</w:t>
            </w:r>
            <w:r>
              <w:tab/>
            </w:r>
            <w:r w:rsidRPr="00BB093A">
              <w:t>Aged care services performance indicator framework</w:t>
            </w:r>
          </w:p>
        </w:tc>
      </w:tr>
      <w:tr w:rsidR="00BB093A" w:rsidTr="003E2FE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B093A" w:rsidTr="00FD33F1">
              <w:tc>
                <w:tcPr>
                  <w:tcW w:w="5000" w:type="pct"/>
                  <w:tcBorders>
                    <w:top w:val="nil"/>
                    <w:bottom w:val="nil"/>
                  </w:tcBorders>
                </w:tcPr>
                <w:p w:rsidR="00BB093A" w:rsidRDefault="00415966" w:rsidP="003E2FEC">
                  <w:pPr>
                    <w:pStyle w:val="Figure"/>
                    <w:spacing w:before="60" w:after="60"/>
                  </w:pPr>
                  <w:r>
                    <w:rPr>
                      <w:noProof/>
                    </w:rPr>
                    <w:drawing>
                      <wp:inline distT="0" distB="0" distL="0" distR="0" wp14:anchorId="73834C07" wp14:editId="0F08A766">
                        <wp:extent cx="5381625" cy="5705475"/>
                        <wp:effectExtent l="0" t="0" r="9525" b="9525"/>
                        <wp:docPr id="5" name="Picture 5" descr="Figure 14.5 Aged car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1625" cy="5705475"/>
                                </a:xfrm>
                                <a:prstGeom prst="rect">
                                  <a:avLst/>
                                </a:prstGeom>
                                <a:noFill/>
                                <a:ln>
                                  <a:noFill/>
                                </a:ln>
                              </pic:spPr>
                            </pic:pic>
                          </a:graphicData>
                        </a:graphic>
                      </wp:inline>
                    </w:drawing>
                  </w:r>
                </w:p>
              </w:tc>
            </w:tr>
          </w:tbl>
          <w:p w:rsidR="00BB093A" w:rsidRDefault="00BB093A" w:rsidP="003E2FEC">
            <w:pPr>
              <w:pStyle w:val="Figure"/>
            </w:pPr>
          </w:p>
        </w:tc>
      </w:tr>
      <w:tr w:rsidR="00BB093A" w:rsidTr="003E2FEC">
        <w:tc>
          <w:tcPr>
            <w:tcW w:w="8771" w:type="dxa"/>
            <w:tcBorders>
              <w:top w:val="nil"/>
              <w:left w:val="nil"/>
              <w:bottom w:val="single" w:sz="6" w:space="0" w:color="78A22F"/>
              <w:right w:val="nil"/>
            </w:tcBorders>
            <w:shd w:val="clear" w:color="auto" w:fill="auto"/>
          </w:tcPr>
          <w:p w:rsidR="00BB093A" w:rsidRDefault="00BB093A" w:rsidP="003E2FEC">
            <w:pPr>
              <w:pStyle w:val="Figurespace"/>
            </w:pPr>
          </w:p>
        </w:tc>
      </w:tr>
      <w:tr w:rsidR="00BB093A" w:rsidRPr="000863A5" w:rsidTr="003E2FEC">
        <w:tc>
          <w:tcPr>
            <w:tcW w:w="8771" w:type="dxa"/>
            <w:tcBorders>
              <w:top w:val="single" w:sz="6" w:space="0" w:color="78A22F"/>
              <w:left w:val="nil"/>
              <w:bottom w:val="nil"/>
              <w:right w:val="nil"/>
            </w:tcBorders>
          </w:tcPr>
          <w:p w:rsidR="00BB093A" w:rsidRPr="00626D32" w:rsidRDefault="00BB093A" w:rsidP="003E2FEC">
            <w:pPr>
              <w:pStyle w:val="BoxSpaceBelow"/>
            </w:pPr>
          </w:p>
        </w:tc>
      </w:tr>
    </w:tbl>
    <w:p w:rsidR="00F43306" w:rsidRDefault="00BB093A" w:rsidP="00AE3A3E">
      <w:pPr>
        <w:pStyle w:val="Heading2"/>
        <w:keepNext w:val="0"/>
        <w:widowControl w:val="0"/>
      </w:pPr>
      <w:bookmarkStart w:id="8" w:name="_Toc470106066"/>
      <w:r>
        <w:t>1</w:t>
      </w:r>
      <w:r w:rsidR="00CE6E19">
        <w:t>4</w:t>
      </w:r>
      <w:r>
        <w:t>.</w:t>
      </w:r>
      <w:r w:rsidR="00CA1F6E">
        <w:rPr>
          <w:noProof/>
        </w:rPr>
        <w:t>3</w:t>
      </w:r>
      <w:r>
        <w:tab/>
      </w:r>
      <w:r w:rsidRPr="00BB093A">
        <w:t>Key performance indicator results</w:t>
      </w:r>
      <w:bookmarkEnd w:id="8"/>
    </w:p>
    <w:p w:rsidR="00BB093A" w:rsidRDefault="00BB093A" w:rsidP="00AE3A3E">
      <w:pPr>
        <w:pStyle w:val="BodyText"/>
        <w:widowControl w:val="0"/>
      </w:pPr>
      <w:r>
        <w:t xml:space="preserve">Different delivery contexts, locations and types of client may affect the effectiveness and efficiency of aged care services. </w:t>
      </w:r>
    </w:p>
    <w:p w:rsidR="00BB093A" w:rsidRDefault="00BB093A" w:rsidP="00BB093A">
      <w:pPr>
        <w:pStyle w:val="Heading3"/>
      </w:pPr>
      <w:r>
        <w:lastRenderedPageBreak/>
        <w:t>Outputs</w:t>
      </w:r>
    </w:p>
    <w:p w:rsidR="00BB093A" w:rsidRDefault="00BB093A" w:rsidP="00BB093A">
      <w:pPr>
        <w:pStyle w:val="BodyText"/>
      </w:pPr>
      <w:r>
        <w:t>Outputs are the services delivered (while outcomes are the impact of these services on the status of an individual or group) (see chapter</w:t>
      </w:r>
      <w:r w:rsidR="009551A0">
        <w:t> </w:t>
      </w:r>
      <w:r>
        <w:t>1).</w:t>
      </w:r>
      <w:r w:rsidR="00021E8C" w:rsidRPr="00021E8C">
        <w:t xml:space="preserve"> Output information is also critical for equitable, efficient and effective management of government services.</w:t>
      </w:r>
    </w:p>
    <w:p w:rsidR="00FF4BFB" w:rsidRDefault="00BB093A" w:rsidP="00FF4BFB">
      <w:pPr>
        <w:pStyle w:val="Heading3"/>
      </w:pPr>
      <w:r>
        <w:t xml:space="preserve">Equity </w:t>
      </w:r>
    </w:p>
    <w:p w:rsidR="004F3E0D" w:rsidRDefault="0086351C" w:rsidP="00B6113E">
      <w:pPr>
        <w:pStyle w:val="Heading4"/>
      </w:pPr>
      <w:r>
        <w:t xml:space="preserve">Access – </w:t>
      </w:r>
      <w:r w:rsidR="004F3E0D">
        <w:t>Use by different groups</w:t>
      </w:r>
    </w:p>
    <w:p w:rsidR="004F3E0D" w:rsidRDefault="004F3E0D" w:rsidP="004F3E0D">
      <w:pPr>
        <w:pStyle w:val="BodyText"/>
      </w:pPr>
      <w:r>
        <w:t xml:space="preserve">‘Use by different groups’ is an indicator of governments’ objective to provide </w:t>
      </w:r>
      <w:r w:rsidR="00A71BE0">
        <w:t xml:space="preserve">aged care services </w:t>
      </w:r>
      <w:r w:rsidR="00452D13">
        <w:t xml:space="preserve">in an equitable manner </w:t>
      </w:r>
      <w:r>
        <w:t>(box 1</w:t>
      </w:r>
      <w:r w:rsidR="00452D13">
        <w:t>4</w:t>
      </w:r>
      <w:r>
        <w:t>.</w:t>
      </w:r>
      <w:r w:rsidR="00452D13">
        <w:t>2</w:t>
      </w:r>
      <w:r>
        <w:t xml:space="preserve">). </w:t>
      </w:r>
    </w:p>
    <w:p w:rsidR="004F3E0D" w:rsidRPr="00664BA5" w:rsidRDefault="004F3E0D" w:rsidP="004F3E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E0D" w:rsidTr="005C72D9">
        <w:tc>
          <w:tcPr>
            <w:tcW w:w="8771" w:type="dxa"/>
            <w:tcBorders>
              <w:top w:val="single" w:sz="6" w:space="0" w:color="78A22F"/>
              <w:left w:val="nil"/>
              <w:bottom w:val="nil"/>
              <w:right w:val="nil"/>
            </w:tcBorders>
            <w:shd w:val="clear" w:color="auto" w:fill="F2F2F2" w:themeFill="background1" w:themeFillShade="F2"/>
          </w:tcPr>
          <w:p w:rsidR="004F3E0D" w:rsidRDefault="004F3E0D" w:rsidP="005C72D9">
            <w:pPr>
              <w:pStyle w:val="BoxTitle"/>
            </w:pPr>
            <w:r>
              <w:rPr>
                <w:b w:val="0"/>
              </w:rPr>
              <w:t xml:space="preserve">Box </w:t>
            </w:r>
            <w:bookmarkStart w:id="9" w:name="OLE_LINK13"/>
            <w:r w:rsidR="00452D13">
              <w:rPr>
                <w:b w:val="0"/>
              </w:rPr>
              <w:t>14.</w:t>
            </w:r>
            <w:r w:rsidR="00662F0E">
              <w:rPr>
                <w:b w:val="0"/>
                <w:noProof/>
              </w:rPr>
              <w:t>2</w:t>
            </w:r>
            <w:bookmarkEnd w:id="9"/>
            <w:r>
              <w:tab/>
            </w:r>
            <w:r w:rsidRPr="00BB093A">
              <w:t>Use by different groups</w:t>
            </w:r>
          </w:p>
        </w:tc>
      </w:tr>
      <w:tr w:rsidR="004F3E0D" w:rsidTr="005C72D9">
        <w:trPr>
          <w:cantSplit/>
        </w:trPr>
        <w:tc>
          <w:tcPr>
            <w:tcW w:w="8771" w:type="dxa"/>
            <w:tcBorders>
              <w:top w:val="nil"/>
              <w:left w:val="nil"/>
              <w:bottom w:val="nil"/>
              <w:right w:val="nil"/>
            </w:tcBorders>
            <w:shd w:val="clear" w:color="auto" w:fill="F2F2F2" w:themeFill="background1" w:themeFillShade="F2"/>
          </w:tcPr>
          <w:p w:rsidR="00AE3A3E" w:rsidRPr="00864C90" w:rsidRDefault="004F3E0D" w:rsidP="00A67FF4">
            <w:pPr>
              <w:pStyle w:val="Box"/>
            </w:pPr>
            <w:r>
              <w:t xml:space="preserve">‘Use by different groups’ </w:t>
            </w:r>
            <w:r w:rsidR="00A67FF4">
              <w:t xml:space="preserve">is </w:t>
            </w:r>
            <w:r>
              <w:t xml:space="preserve">defined as the proportion of </w:t>
            </w:r>
            <w:r w:rsidR="00B51B91">
              <w:t xml:space="preserve">service </w:t>
            </w:r>
            <w:r>
              <w:t xml:space="preserve">clients who are from a special needs group, compared with the </w:t>
            </w:r>
            <w:r w:rsidRPr="000B38AA">
              <w:t xml:space="preserve">proportion of </w:t>
            </w:r>
            <w:r>
              <w:t xml:space="preserve">the aged care target population </w:t>
            </w:r>
            <w:r w:rsidRPr="000B38AA">
              <w:t xml:space="preserve">who are from </w:t>
            </w:r>
            <w:r w:rsidR="00A71BE0">
              <w:t>that</w:t>
            </w:r>
            <w:r w:rsidRPr="000B38AA">
              <w:t xml:space="preserve"> special needs group</w:t>
            </w:r>
            <w:r>
              <w:t xml:space="preserve">. Data are reported </w:t>
            </w:r>
            <w:r w:rsidR="00DF277B">
              <w:t>for</w:t>
            </w:r>
            <w:r>
              <w:t xml:space="preserve"> </w:t>
            </w:r>
            <w:r w:rsidR="00A67FF4">
              <w:t>two</w:t>
            </w:r>
            <w:r>
              <w:t xml:space="preserve"> special needs groups (Aboriginal and Torres Strait Islander </w:t>
            </w:r>
            <w:r w:rsidRPr="00382E90">
              <w:t>Australians</w:t>
            </w:r>
            <w:r w:rsidR="00E91F2F">
              <w:t xml:space="preserve"> and</w:t>
            </w:r>
            <w:r>
              <w:t xml:space="preserve"> people </w:t>
            </w:r>
            <w:r w:rsidR="00021E8C">
              <w:t xml:space="preserve">from </w:t>
            </w:r>
            <w:r w:rsidR="00F65C59">
              <w:t xml:space="preserve">Culturally </w:t>
            </w:r>
            <w:r w:rsidR="00E8584D">
              <w:t>and Linguistically Diverse (</w:t>
            </w:r>
            <w:r>
              <w:t>CaLD</w:t>
            </w:r>
            <w:r w:rsidR="00E8584D">
              <w:t>)</w:t>
            </w:r>
            <w:r>
              <w:t xml:space="preserve"> backgrounds</w:t>
            </w:r>
            <w:r w:rsidR="00E91F2F">
              <w:t>)</w:t>
            </w:r>
            <w:r>
              <w:t xml:space="preserve">. People from CaLD backgrounds are </w:t>
            </w:r>
            <w:r w:rsidR="00BB5B41">
              <w:t xml:space="preserve">defined as </w:t>
            </w:r>
            <w:r w:rsidR="00B51B91">
              <w:t>those</w:t>
            </w:r>
            <w:r>
              <w:t xml:space="preserve"> born overseas from countries other than the </w:t>
            </w:r>
            <w:r w:rsidRPr="00181C9D">
              <w:t>U</w:t>
            </w:r>
            <w:r w:rsidR="009B3493">
              <w:t xml:space="preserve">nited </w:t>
            </w:r>
            <w:r w:rsidR="009B3493" w:rsidRPr="00181C9D">
              <w:t>K</w:t>
            </w:r>
            <w:r w:rsidR="009B3493">
              <w:t>ingdom</w:t>
            </w:r>
            <w:r w:rsidRPr="00181C9D">
              <w:t>, Ireland, N</w:t>
            </w:r>
            <w:r w:rsidR="009B3493">
              <w:t xml:space="preserve">ew </w:t>
            </w:r>
            <w:r w:rsidRPr="00181C9D">
              <w:t>Z</w:t>
            </w:r>
            <w:r w:rsidR="009B3493">
              <w:t>ealand</w:t>
            </w:r>
            <w:r w:rsidRPr="00181C9D">
              <w:t>, Canada, South Africa and the U</w:t>
            </w:r>
            <w:r w:rsidR="009B3493">
              <w:t xml:space="preserve">nited </w:t>
            </w:r>
            <w:r w:rsidRPr="00181C9D">
              <w:t>S</w:t>
            </w:r>
            <w:r w:rsidR="009B3493">
              <w:t xml:space="preserve">tates of </w:t>
            </w:r>
            <w:r w:rsidRPr="00181C9D">
              <w:t>A</w:t>
            </w:r>
            <w:r w:rsidR="009B3493">
              <w:t>merica</w:t>
            </w:r>
            <w:r>
              <w:t>.</w:t>
            </w:r>
            <w:r w:rsidR="00664BA5">
              <w:t xml:space="preserve"> </w:t>
            </w:r>
          </w:p>
          <w:p w:rsidR="00A77A56" w:rsidRDefault="00A67FF4" w:rsidP="00A67FF4">
            <w:pPr>
              <w:pStyle w:val="Box"/>
            </w:pPr>
            <w:r>
              <w:t>T</w:t>
            </w:r>
            <w:r w:rsidR="00A77A56">
              <w:t>he proportion of service clients who are from a particular special needs group should be broadly similar to the proportion of the aged care target population who are from that special needs group.</w:t>
            </w:r>
          </w:p>
          <w:p w:rsidR="00A67FF4" w:rsidRDefault="00A67FF4" w:rsidP="00C64669">
            <w:pPr>
              <w:pStyle w:val="Box"/>
              <w:widowControl w:val="0"/>
            </w:pPr>
            <w:r>
              <w:t xml:space="preserve">There are nine </w:t>
            </w:r>
            <w:r w:rsidR="00F30CBD">
              <w:t xml:space="preserve">special needs </w:t>
            </w:r>
            <w:r>
              <w:t xml:space="preserve">groups identified by the </w:t>
            </w:r>
            <w:r w:rsidRPr="00A217C8">
              <w:rPr>
                <w:i/>
              </w:rPr>
              <w:t>Aged Care Act 1997</w:t>
            </w:r>
            <w:r>
              <w:t xml:space="preserve"> and its principles</w:t>
            </w:r>
            <w:r w:rsidR="00A11133">
              <w:t xml:space="preserve"> (see section</w:t>
            </w:r>
            <w:r w:rsidR="00664BA5">
              <w:t> </w:t>
            </w:r>
            <w:r w:rsidR="00A11133">
              <w:t>14.4 for details)</w:t>
            </w:r>
            <w:r>
              <w:t xml:space="preserve">. Measures are </w:t>
            </w:r>
            <w:r w:rsidR="00F30CBD">
              <w:t>reported</w:t>
            </w:r>
            <w:r>
              <w:t xml:space="preserve"> for only two of these special needs groups. Measures for </w:t>
            </w:r>
            <w:r w:rsidRPr="00CA1F6E">
              <w:t>people who live in rural or remote areas</w:t>
            </w:r>
            <w:r>
              <w:t xml:space="preserve">, </w:t>
            </w:r>
            <w:r w:rsidRPr="00CA1F6E">
              <w:t>veterans (including widows and</w:t>
            </w:r>
            <w:r>
              <w:t xml:space="preserve"> widowers of veterans) and financially and socially disadvantaged are currently under development</w:t>
            </w:r>
            <w:r w:rsidR="00F30CBD">
              <w:t xml:space="preserve"> (</w:t>
            </w:r>
            <w:r w:rsidR="00C64669">
              <w:t xml:space="preserve">although </w:t>
            </w:r>
            <w:r w:rsidR="00F30CBD">
              <w:t xml:space="preserve">data are available on the proportion of </w:t>
            </w:r>
            <w:r w:rsidR="00C64669">
              <w:t xml:space="preserve">all permanent residents’ care days used by </w:t>
            </w:r>
            <w:r w:rsidR="00C64669" w:rsidRPr="00C64669">
              <w:t>financially</w:t>
            </w:r>
            <w:r w:rsidR="00C64669">
              <w:t xml:space="preserve"> disadvantaged, see table</w:t>
            </w:r>
            <w:r w:rsidR="00664BA5">
              <w:t> </w:t>
            </w:r>
            <w:r w:rsidR="00C64669">
              <w:t>14A.2</w:t>
            </w:r>
            <w:r w:rsidR="00016307">
              <w:t>0</w:t>
            </w:r>
            <w:r w:rsidR="00C64669">
              <w:t>)</w:t>
            </w:r>
            <w:r>
              <w:t xml:space="preserve">. Data are not available for reporting on </w:t>
            </w:r>
            <w:r w:rsidR="00A11133">
              <w:t>the remaining special needs groups</w:t>
            </w:r>
            <w:r w:rsidRPr="00CA1F6E">
              <w:t>.</w:t>
            </w:r>
            <w:r>
              <w:t xml:space="preserve"> </w:t>
            </w:r>
          </w:p>
          <w:p w:rsidR="00BF5490" w:rsidRDefault="00BF5490" w:rsidP="00BF5490">
            <w:pPr>
              <w:pStyle w:val="Box"/>
              <w:keepNext w:val="0"/>
              <w:widowControl w:val="0"/>
            </w:pPr>
            <w:r>
              <w:t xml:space="preserve">Several factors </w:t>
            </w:r>
            <w:r w:rsidR="00E8584D">
              <w:t>should</w:t>
            </w:r>
            <w:r>
              <w:t xml:space="preserve"> be considered </w:t>
            </w:r>
            <w:r w:rsidR="00E8584D">
              <w:t xml:space="preserve">when interpreting </w:t>
            </w:r>
            <w:r>
              <w:t xml:space="preserve">the results for these measures: </w:t>
            </w:r>
          </w:p>
          <w:p w:rsidR="00BF5490" w:rsidRDefault="00BF5490" w:rsidP="00BF5490">
            <w:pPr>
              <w:pStyle w:val="BoxListBullet"/>
            </w:pPr>
            <w:r>
              <w:t xml:space="preserve">Higher disability rates can </w:t>
            </w:r>
            <w:r w:rsidR="00E8584D">
              <w:t xml:space="preserve">increase </w:t>
            </w:r>
            <w:r w:rsidR="00F30CBD">
              <w:t>the use of services by</w:t>
            </w:r>
            <w:r>
              <w:t xml:space="preserve"> different special needs groups. To account for higher disability rates, lower life expectancy and</w:t>
            </w:r>
            <w:r w:rsidRPr="004A0CC2">
              <w:t xml:space="preserve"> </w:t>
            </w:r>
            <w:r>
              <w:t xml:space="preserve">an increased </w:t>
            </w:r>
            <w:r w:rsidRPr="004A0CC2">
              <w:t>likelihood of requiring aged care services</w:t>
            </w:r>
            <w:r>
              <w:t xml:space="preserve"> at a younger age, the target population for </w:t>
            </w:r>
            <w:r w:rsidRPr="004A0CC2">
              <w:t xml:space="preserve">Aboriginal and Torres Strait Islander Australians </w:t>
            </w:r>
            <w:r>
              <w:t xml:space="preserve">is people </w:t>
            </w:r>
            <w:r w:rsidRPr="004A0CC2">
              <w:t>aged 50</w:t>
            </w:r>
            <w:r>
              <w:t> </w:t>
            </w:r>
            <w:r w:rsidRPr="004A0CC2">
              <w:t xml:space="preserve">years or over, compared to </w:t>
            </w:r>
            <w:r>
              <w:t>people aged 65 years or over for other population groups</w:t>
            </w:r>
            <w:r w:rsidRPr="004A0CC2">
              <w:t>.</w:t>
            </w:r>
          </w:p>
          <w:p w:rsidR="000E3E49" w:rsidRDefault="00BF5490" w:rsidP="000E3E49">
            <w:pPr>
              <w:pStyle w:val="BoxListBullet"/>
              <w:keepNext w:val="0"/>
              <w:widowControl w:val="0"/>
            </w:pPr>
            <w:r>
              <w:t xml:space="preserve">Cultural differences and the availability of informal care and support can </w:t>
            </w:r>
            <w:r w:rsidR="00BE53A7">
              <w:t xml:space="preserve">also </w:t>
            </w:r>
            <w:r>
              <w:t>affect the use of services across different population groups. Stronger informal support networks can reduce the need for formal aged care services, or for particular service types.</w:t>
            </w:r>
          </w:p>
        </w:tc>
      </w:tr>
      <w:tr w:rsidR="004F3E0D" w:rsidTr="005C72D9">
        <w:trPr>
          <w:cantSplit/>
        </w:trPr>
        <w:tc>
          <w:tcPr>
            <w:tcW w:w="8771" w:type="dxa"/>
            <w:tcBorders>
              <w:top w:val="nil"/>
              <w:left w:val="nil"/>
              <w:bottom w:val="nil"/>
              <w:right w:val="nil"/>
            </w:tcBorders>
            <w:shd w:val="clear" w:color="auto" w:fill="F2F2F2" w:themeFill="background1" w:themeFillShade="F2"/>
          </w:tcPr>
          <w:p w:rsidR="004F3E0D" w:rsidRPr="003008BF" w:rsidRDefault="004F3E0D" w:rsidP="003008BF">
            <w:pPr>
              <w:pStyle w:val="Continued"/>
            </w:pPr>
            <w:r w:rsidRPr="003008BF">
              <w:t>(continued next page)</w:t>
            </w:r>
          </w:p>
        </w:tc>
      </w:tr>
      <w:tr w:rsidR="004F3E0D" w:rsidTr="005C72D9">
        <w:trPr>
          <w:cantSplit/>
        </w:trPr>
        <w:tc>
          <w:tcPr>
            <w:tcW w:w="8771" w:type="dxa"/>
            <w:tcBorders>
              <w:top w:val="nil"/>
              <w:left w:val="nil"/>
              <w:bottom w:val="single" w:sz="6" w:space="0" w:color="78A22F"/>
              <w:right w:val="nil"/>
            </w:tcBorders>
            <w:shd w:val="clear" w:color="auto" w:fill="F2F2F2" w:themeFill="background1" w:themeFillShade="F2"/>
          </w:tcPr>
          <w:p w:rsidR="004F3E0D" w:rsidRDefault="004F3E0D" w:rsidP="005C72D9">
            <w:pPr>
              <w:pStyle w:val="Box"/>
              <w:spacing w:before="0" w:line="120" w:lineRule="exact"/>
            </w:pPr>
          </w:p>
        </w:tc>
      </w:tr>
      <w:tr w:rsidR="004F3E0D" w:rsidRPr="000863A5" w:rsidTr="005C72D9">
        <w:tc>
          <w:tcPr>
            <w:tcW w:w="8771" w:type="dxa"/>
            <w:tcBorders>
              <w:top w:val="single" w:sz="6" w:space="0" w:color="78A22F"/>
              <w:left w:val="nil"/>
              <w:bottom w:val="nil"/>
              <w:right w:val="nil"/>
            </w:tcBorders>
          </w:tcPr>
          <w:p w:rsidR="004F3E0D" w:rsidRPr="00664BA5" w:rsidRDefault="004F3E0D" w:rsidP="005C72D9">
            <w:pPr>
              <w:pStyle w:val="BoxSpaceBelow"/>
            </w:pPr>
          </w:p>
        </w:tc>
      </w:tr>
    </w:tbl>
    <w:p w:rsidR="004F3E0D" w:rsidRPr="00664BA5" w:rsidRDefault="004F3E0D" w:rsidP="004F3E0D">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E0D" w:rsidTr="005C72D9">
        <w:tc>
          <w:tcPr>
            <w:tcW w:w="8771" w:type="dxa"/>
            <w:tcBorders>
              <w:top w:val="single" w:sz="6" w:space="0" w:color="78A22F"/>
              <w:left w:val="nil"/>
              <w:bottom w:val="nil"/>
              <w:right w:val="nil"/>
            </w:tcBorders>
            <w:shd w:val="clear" w:color="auto" w:fill="F2F2F2" w:themeFill="background1" w:themeFillShade="F2"/>
          </w:tcPr>
          <w:p w:rsidR="004F3E0D" w:rsidRDefault="004F3E0D" w:rsidP="009747BF">
            <w:pPr>
              <w:pStyle w:val="BoxTitle"/>
            </w:pPr>
            <w:r>
              <w:rPr>
                <w:b w:val="0"/>
              </w:rPr>
              <w:t xml:space="preserve">Box </w:t>
            </w:r>
            <w:r w:rsidR="00101707">
              <w:rPr>
                <w:b w:val="0"/>
              </w:rPr>
              <w:t>1</w:t>
            </w:r>
            <w:r w:rsidR="00CE6E19">
              <w:rPr>
                <w:b w:val="0"/>
              </w:rPr>
              <w:t>4</w:t>
            </w:r>
            <w:r w:rsidR="00101707">
              <w:rPr>
                <w:b w:val="0"/>
              </w:rPr>
              <w:t>.</w:t>
            </w:r>
            <w:r w:rsidR="009747BF">
              <w:rPr>
                <w:b w:val="0"/>
              </w:rPr>
              <w:t>2</w:t>
            </w:r>
            <w:r>
              <w:tab/>
            </w:r>
            <w:r w:rsidRPr="00851ED1">
              <w:rPr>
                <w:rStyle w:val="Continuedintitle"/>
              </w:rPr>
              <w:t>(continued)</w:t>
            </w:r>
          </w:p>
        </w:tc>
      </w:tr>
      <w:tr w:rsidR="004F3E0D" w:rsidTr="005C72D9">
        <w:trPr>
          <w:cantSplit/>
        </w:trPr>
        <w:tc>
          <w:tcPr>
            <w:tcW w:w="8771" w:type="dxa"/>
            <w:tcBorders>
              <w:top w:val="nil"/>
              <w:left w:val="nil"/>
              <w:bottom w:val="nil"/>
              <w:right w:val="nil"/>
            </w:tcBorders>
            <w:shd w:val="clear" w:color="auto" w:fill="F2F2F2" w:themeFill="background1" w:themeFillShade="F2"/>
          </w:tcPr>
          <w:p w:rsidR="004F3E0D" w:rsidRDefault="004F3E0D" w:rsidP="005C72D9">
            <w:pPr>
              <w:pStyle w:val="Box"/>
              <w:keepNext w:val="0"/>
              <w:widowControl w:val="0"/>
            </w:pPr>
            <w:r>
              <w:t>Data reported for this indicator are:</w:t>
            </w:r>
          </w:p>
          <w:p w:rsidR="004F3E0D" w:rsidRPr="00864C90" w:rsidRDefault="004F3E0D" w:rsidP="005D5AA5">
            <w:pPr>
              <w:pStyle w:val="BoxListBullet"/>
            </w:pPr>
            <w:r>
              <w:t xml:space="preserve">comparable (subject to caveats) across jurisdictions </w:t>
            </w:r>
            <w:r w:rsidRPr="00864C90">
              <w:t xml:space="preserve">and over time </w:t>
            </w:r>
          </w:p>
          <w:p w:rsidR="004F3E0D" w:rsidRDefault="002470BA" w:rsidP="005E1D64">
            <w:pPr>
              <w:pStyle w:val="BoxListBullet"/>
              <w:keepNext w:val="0"/>
              <w:widowControl w:val="0"/>
            </w:pPr>
            <w:r w:rsidRPr="00101C35">
              <w:rPr>
                <w:shd w:val="clear" w:color="auto" w:fill="F2F2F2" w:themeFill="background1" w:themeFillShade="F2"/>
              </w:rPr>
              <w:t>in</w:t>
            </w:r>
            <w:r w:rsidR="004F3E0D" w:rsidRPr="00101C35">
              <w:rPr>
                <w:shd w:val="clear" w:color="auto" w:fill="F2F2F2" w:themeFill="background1" w:themeFillShade="F2"/>
              </w:rPr>
              <w:t xml:space="preserve">complete for the current reporting period. All required </w:t>
            </w:r>
            <w:r w:rsidR="003E4701" w:rsidRPr="00101C35">
              <w:rPr>
                <w:shd w:val="clear" w:color="auto" w:fill="F2F2F2" w:themeFill="background1" w:themeFillShade="F2"/>
              </w:rPr>
              <w:t>2015</w:t>
            </w:r>
            <w:r w:rsidR="00664BA5" w:rsidRPr="00101C35">
              <w:rPr>
                <w:shd w:val="clear" w:color="auto" w:fill="F2F2F2" w:themeFill="background1" w:themeFillShade="F2"/>
              </w:rPr>
              <w:noBreakHyphen/>
            </w:r>
            <w:r w:rsidR="003E4701" w:rsidRPr="00101C35">
              <w:rPr>
                <w:shd w:val="clear" w:color="auto" w:fill="F2F2F2" w:themeFill="background1" w:themeFillShade="F2"/>
              </w:rPr>
              <w:t>16</w:t>
            </w:r>
            <w:r w:rsidR="004F3E0D" w:rsidRPr="00101C35">
              <w:rPr>
                <w:shd w:val="clear" w:color="auto" w:fill="F2F2F2" w:themeFill="background1" w:themeFillShade="F2"/>
              </w:rPr>
              <w:t xml:space="preserve"> data </w:t>
            </w:r>
            <w:r w:rsidR="005E1D64" w:rsidRPr="00101C35">
              <w:rPr>
                <w:shd w:val="clear" w:color="auto" w:fill="F2F2F2" w:themeFill="background1" w:themeFillShade="F2"/>
              </w:rPr>
              <w:t>were</w:t>
            </w:r>
            <w:r w:rsidR="004F3E0D" w:rsidRPr="00101C35">
              <w:rPr>
                <w:shd w:val="clear" w:color="auto" w:fill="F2F2F2" w:themeFill="background1" w:themeFillShade="F2"/>
              </w:rPr>
              <w:t xml:space="preserve"> </w:t>
            </w:r>
            <w:r w:rsidRPr="00101C35">
              <w:rPr>
                <w:shd w:val="clear" w:color="auto" w:fill="F2F2F2" w:themeFill="background1" w:themeFillShade="F2"/>
              </w:rPr>
              <w:t xml:space="preserve">not </w:t>
            </w:r>
            <w:r w:rsidR="005E1D64" w:rsidRPr="00101C35">
              <w:rPr>
                <w:shd w:val="clear" w:color="auto" w:fill="F2F2F2" w:themeFill="background1" w:themeFillShade="F2"/>
              </w:rPr>
              <w:t>provided</w:t>
            </w:r>
            <w:r w:rsidR="00A67FF4" w:rsidRPr="00101C35">
              <w:rPr>
                <w:shd w:val="clear" w:color="auto" w:fill="F2F2F2" w:themeFill="background1" w:themeFillShade="F2"/>
              </w:rPr>
              <w:t xml:space="preserve"> for </w:t>
            </w:r>
            <w:proofErr w:type="spellStart"/>
            <w:r w:rsidRPr="00101C35">
              <w:rPr>
                <w:shd w:val="clear" w:color="auto" w:fill="F2F2F2" w:themeFill="background1" w:themeFillShade="F2"/>
              </w:rPr>
              <w:t>CHSP</w:t>
            </w:r>
            <w:proofErr w:type="spellEnd"/>
            <w:r w:rsidR="00A67FF4" w:rsidRPr="00101C35">
              <w:rPr>
                <w:shd w:val="clear" w:color="auto" w:fill="F2F2F2" w:themeFill="background1" w:themeFillShade="F2"/>
              </w:rPr>
              <w:t>.</w:t>
            </w:r>
          </w:p>
        </w:tc>
      </w:tr>
      <w:tr w:rsidR="004F3E0D" w:rsidTr="005C72D9">
        <w:trPr>
          <w:cantSplit/>
        </w:trPr>
        <w:tc>
          <w:tcPr>
            <w:tcW w:w="8771" w:type="dxa"/>
            <w:tcBorders>
              <w:top w:val="nil"/>
              <w:left w:val="nil"/>
              <w:bottom w:val="single" w:sz="6" w:space="0" w:color="78A22F"/>
              <w:right w:val="nil"/>
            </w:tcBorders>
            <w:shd w:val="clear" w:color="auto" w:fill="F2F2F2" w:themeFill="background1" w:themeFillShade="F2"/>
          </w:tcPr>
          <w:p w:rsidR="004F3E0D" w:rsidRDefault="004F3E0D" w:rsidP="005C72D9">
            <w:pPr>
              <w:pStyle w:val="Box"/>
              <w:keepNext w:val="0"/>
              <w:widowControl w:val="0"/>
              <w:spacing w:before="0" w:line="120" w:lineRule="exact"/>
            </w:pPr>
          </w:p>
        </w:tc>
      </w:tr>
      <w:tr w:rsidR="004F3E0D" w:rsidRPr="000863A5" w:rsidTr="005C72D9">
        <w:tc>
          <w:tcPr>
            <w:tcW w:w="8771" w:type="dxa"/>
            <w:tcBorders>
              <w:top w:val="single" w:sz="6" w:space="0" w:color="78A22F"/>
              <w:left w:val="nil"/>
              <w:bottom w:val="nil"/>
              <w:right w:val="nil"/>
            </w:tcBorders>
          </w:tcPr>
          <w:p w:rsidR="004F3E0D" w:rsidRPr="00664BA5" w:rsidRDefault="004F3E0D" w:rsidP="005C72D9">
            <w:pPr>
              <w:pStyle w:val="BoxSpaceBelow"/>
              <w:widowControl w:val="0"/>
            </w:pPr>
          </w:p>
        </w:tc>
      </w:tr>
    </w:tbl>
    <w:p w:rsidR="004F3E0D" w:rsidRPr="00BC30B5" w:rsidRDefault="00DF277B" w:rsidP="004F3E0D">
      <w:pPr>
        <w:pStyle w:val="BodyText"/>
      </w:pPr>
      <w:r>
        <w:t>Differences in the representation</w:t>
      </w:r>
      <w:r w:rsidR="007950B7">
        <w:t xml:space="preserve"> </w:t>
      </w:r>
      <w:r>
        <w:t>of a special needs group</w:t>
      </w:r>
      <w:r w:rsidR="007950B7">
        <w:t xml:space="preserve"> </w:t>
      </w:r>
      <w:r>
        <w:t xml:space="preserve">in services </w:t>
      </w:r>
      <w:r w:rsidR="00ED542D">
        <w:t xml:space="preserve">compared </w:t>
      </w:r>
      <w:r w:rsidR="007950B7">
        <w:t>to</w:t>
      </w:r>
      <w:r w:rsidR="007950B7" w:rsidRPr="008818BC">
        <w:t xml:space="preserve"> </w:t>
      </w:r>
      <w:r w:rsidR="004F3E0D">
        <w:t>the</w:t>
      </w:r>
      <w:r>
        <w:t>ir representation</w:t>
      </w:r>
      <w:r w:rsidR="004F3E0D">
        <w:t xml:space="preserve"> </w:t>
      </w:r>
      <w:r>
        <w:t>in</w:t>
      </w:r>
      <w:r w:rsidR="004F3E0D">
        <w:t xml:space="preserve"> the aged care target population varied across service types </w:t>
      </w:r>
      <w:r>
        <w:t>and groups</w:t>
      </w:r>
      <w:r w:rsidR="003321C1">
        <w:t>. Nationally</w:t>
      </w:r>
      <w:r w:rsidR="00BE53A7">
        <w:t>:</w:t>
      </w:r>
      <w:r>
        <w:t xml:space="preserve"> </w:t>
      </w:r>
    </w:p>
    <w:p w:rsidR="004F3E0D" w:rsidRPr="00FB6561" w:rsidRDefault="004F3E0D" w:rsidP="00E47D07">
      <w:pPr>
        <w:pStyle w:val="ListBullet"/>
      </w:pPr>
      <w:r>
        <w:t xml:space="preserve">Aboriginal and </w:t>
      </w:r>
      <w:r w:rsidRPr="0062110F">
        <w:t xml:space="preserve">Torres Strait Islander </w:t>
      </w:r>
      <w:r w:rsidRPr="00FB6561">
        <w:t xml:space="preserve">Australians were </w:t>
      </w:r>
      <w:r w:rsidR="0026598B" w:rsidRPr="00FB6561">
        <w:t>overrepresented in clients of Home Care levels 1</w:t>
      </w:r>
      <w:r w:rsidR="00BA2C40" w:rsidRPr="00FB6561">
        <w:sym w:font="Symbol" w:char="F02D"/>
      </w:r>
      <w:r w:rsidR="00FB6561">
        <w:t>2</w:t>
      </w:r>
      <w:r w:rsidR="00115C91" w:rsidRPr="009D44D7">
        <w:rPr>
          <w:shd w:val="clear" w:color="auto" w:fill="FFFFFF" w:themeFill="background1"/>
        </w:rPr>
        <w:t>,</w:t>
      </w:r>
      <w:r w:rsidR="008B7796" w:rsidRPr="009D44D7">
        <w:rPr>
          <w:shd w:val="clear" w:color="auto" w:fill="FFFFFF" w:themeFill="background1"/>
        </w:rPr>
        <w:t xml:space="preserve"> but </w:t>
      </w:r>
      <w:r w:rsidRPr="009D44D7">
        <w:rPr>
          <w:shd w:val="clear" w:color="auto" w:fill="FFFFFF" w:themeFill="background1"/>
        </w:rPr>
        <w:t xml:space="preserve">underrepresented in </w:t>
      </w:r>
      <w:r w:rsidR="003354AD" w:rsidRPr="009D44D7">
        <w:rPr>
          <w:shd w:val="clear" w:color="auto" w:fill="FFFFFF" w:themeFill="background1"/>
        </w:rPr>
        <w:t xml:space="preserve">clients of </w:t>
      </w:r>
      <w:r w:rsidR="008B7796" w:rsidRPr="009D44D7">
        <w:rPr>
          <w:shd w:val="clear" w:color="auto" w:fill="FFFFFF" w:themeFill="background1"/>
        </w:rPr>
        <w:t>all other service types</w:t>
      </w:r>
      <w:r w:rsidR="00664BA5">
        <w:rPr>
          <w:shd w:val="clear" w:color="auto" w:fill="BFBFBF" w:themeFill="background1" w:themeFillShade="BF"/>
        </w:rPr>
        <w:t xml:space="preserve"> </w:t>
      </w:r>
    </w:p>
    <w:p w:rsidR="003354AD" w:rsidRDefault="004F3E0D" w:rsidP="008B7796">
      <w:pPr>
        <w:pStyle w:val="ListBullet"/>
      </w:pPr>
      <w:r>
        <w:t xml:space="preserve">people from CaLD backgrounds were </w:t>
      </w:r>
      <w:r w:rsidR="00F06E9D" w:rsidRPr="00864C90">
        <w:t>over</w:t>
      </w:r>
      <w:r w:rsidR="00F92039" w:rsidRPr="00864C90">
        <w:t xml:space="preserve">represented in </w:t>
      </w:r>
      <w:r w:rsidR="00B3061E" w:rsidRPr="00864C90">
        <w:t xml:space="preserve">clients receiving </w:t>
      </w:r>
      <w:r w:rsidR="00223571" w:rsidRPr="00864C90">
        <w:t>H</w:t>
      </w:r>
      <w:r w:rsidRPr="00864C90">
        <w:t xml:space="preserve">ome </w:t>
      </w:r>
      <w:r w:rsidR="00223571" w:rsidRPr="00864C90">
        <w:t>C</w:t>
      </w:r>
      <w:r w:rsidRPr="00864C90">
        <w:t>are levels 1</w:t>
      </w:r>
      <w:r w:rsidR="00BA2C40">
        <w:sym w:font="Symbol" w:char="F02D"/>
      </w:r>
      <w:r w:rsidR="008B7796">
        <w:t>2 and</w:t>
      </w:r>
      <w:r w:rsidR="00F65C59">
        <w:t xml:space="preserve"> </w:t>
      </w:r>
      <w:r w:rsidR="00223571" w:rsidRPr="00864C90">
        <w:t>H</w:t>
      </w:r>
      <w:r w:rsidRPr="00864C90">
        <w:t xml:space="preserve">ome </w:t>
      </w:r>
      <w:r w:rsidR="00223571" w:rsidRPr="00864C90">
        <w:t>C</w:t>
      </w:r>
      <w:r w:rsidRPr="00864C90">
        <w:t>are levels 3</w:t>
      </w:r>
      <w:r w:rsidR="00BA2C40">
        <w:sym w:font="Symbol" w:char="F02D"/>
      </w:r>
      <w:r w:rsidRPr="00864C90">
        <w:t>4</w:t>
      </w:r>
      <w:r w:rsidR="00F65C59" w:rsidRPr="009D44D7">
        <w:rPr>
          <w:shd w:val="clear" w:color="auto" w:fill="FFFFFF" w:themeFill="background1"/>
        </w:rPr>
        <w:t xml:space="preserve">, </w:t>
      </w:r>
      <w:r w:rsidR="009747BF" w:rsidRPr="009D44D7">
        <w:rPr>
          <w:shd w:val="clear" w:color="auto" w:fill="FFFFFF" w:themeFill="background1"/>
        </w:rPr>
        <w:t xml:space="preserve">but </w:t>
      </w:r>
      <w:r w:rsidR="008B7796" w:rsidRPr="009D44D7">
        <w:rPr>
          <w:shd w:val="clear" w:color="auto" w:fill="FFFFFF" w:themeFill="background1"/>
        </w:rPr>
        <w:t>underrepresented in clients of all other service types</w:t>
      </w:r>
      <w:r w:rsidR="008B7796">
        <w:t xml:space="preserve"> </w:t>
      </w:r>
      <w:r w:rsidR="0008758F" w:rsidRPr="00F65C59">
        <w:t>(table 1</w:t>
      </w:r>
      <w:r w:rsidR="00A424A8" w:rsidRPr="00F65C59">
        <w:t>4</w:t>
      </w:r>
      <w:r w:rsidR="0008758F" w:rsidRPr="00F65C59">
        <w:t>.</w:t>
      </w:r>
      <w:r w:rsidR="00A424A8" w:rsidRPr="00F65C59">
        <w:t>1</w:t>
      </w:r>
      <w:r w:rsidR="0008758F" w:rsidRPr="00F65C59">
        <w:t>)</w:t>
      </w:r>
      <w:r w:rsidR="00F06E9D" w:rsidRPr="00F65C59">
        <w:t>.</w:t>
      </w:r>
    </w:p>
    <w:p w:rsidR="00514579" w:rsidRPr="00664BA5" w:rsidRDefault="00514579" w:rsidP="00A8563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14579" w:rsidTr="00A8563B">
        <w:tc>
          <w:tcPr>
            <w:tcW w:w="8771" w:type="dxa"/>
            <w:tcBorders>
              <w:top w:val="single" w:sz="6" w:space="0" w:color="78A22F"/>
              <w:left w:val="nil"/>
              <w:bottom w:val="nil"/>
              <w:right w:val="nil"/>
            </w:tcBorders>
            <w:shd w:val="clear" w:color="auto" w:fill="auto"/>
          </w:tcPr>
          <w:p w:rsidR="00514579" w:rsidRPr="00784A05" w:rsidRDefault="00514579" w:rsidP="005E1D64">
            <w:pPr>
              <w:pStyle w:val="TableTitle"/>
            </w:pPr>
            <w:r>
              <w:rPr>
                <w:b w:val="0"/>
              </w:rPr>
              <w:t>Table 14.</w:t>
            </w:r>
            <w:r w:rsidR="00662F0E">
              <w:rPr>
                <w:b w:val="0"/>
                <w:noProof/>
              </w:rPr>
              <w:t>1</w:t>
            </w:r>
            <w:r>
              <w:tab/>
              <w:t xml:space="preserve">Representation of special needs groups in the </w:t>
            </w:r>
            <w:r w:rsidRPr="00884BAA">
              <w:t xml:space="preserve">aged care target population, compared with </w:t>
            </w:r>
            <w:r>
              <w:t xml:space="preserve">their </w:t>
            </w:r>
            <w:r w:rsidRPr="009D44D7">
              <w:rPr>
                <w:shd w:val="clear" w:color="auto" w:fill="FFFFFF" w:themeFill="background1"/>
              </w:rPr>
              <w:t xml:space="preserve">representation in older clients of </w:t>
            </w:r>
            <w:r>
              <w:t xml:space="preserve">aged care services </w:t>
            </w:r>
            <w:r w:rsidRPr="00884BAA">
              <w:t>(per cent)</w:t>
            </w:r>
            <w:r w:rsidRPr="00FF6F85">
              <w:rPr>
                <w:rStyle w:val="NoteLabel"/>
                <w:b/>
              </w:rPr>
              <w:t>a</w:t>
            </w:r>
          </w:p>
        </w:tc>
      </w:tr>
      <w:tr w:rsidR="00514579" w:rsidTr="00A8563B">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11"/>
              <w:gridCol w:w="697"/>
              <w:gridCol w:w="697"/>
              <w:gridCol w:w="698"/>
              <w:gridCol w:w="698"/>
              <w:gridCol w:w="698"/>
              <w:gridCol w:w="698"/>
              <w:gridCol w:w="698"/>
              <w:gridCol w:w="698"/>
              <w:gridCol w:w="694"/>
            </w:tblGrid>
            <w:tr w:rsidR="00514579" w:rsidTr="00514579">
              <w:tc>
                <w:tcPr>
                  <w:tcW w:w="1303" w:type="pct"/>
                  <w:tcBorders>
                    <w:top w:val="single" w:sz="6" w:space="0" w:color="BFBFBF"/>
                    <w:bottom w:val="single" w:sz="6" w:space="0" w:color="BFBFBF"/>
                  </w:tcBorders>
                  <w:shd w:val="clear" w:color="auto" w:fill="auto"/>
                  <w:tcMar>
                    <w:top w:w="28" w:type="dxa"/>
                  </w:tcMar>
                </w:tcPr>
                <w:p w:rsidR="00514579" w:rsidRDefault="00514579" w:rsidP="00A8563B">
                  <w:pPr>
                    <w:pStyle w:val="TableColumnHeading"/>
                    <w:jc w:val="left"/>
                  </w:pPr>
                </w:p>
              </w:tc>
              <w:tc>
                <w:tcPr>
                  <w:tcW w:w="411" w:type="pct"/>
                  <w:tcBorders>
                    <w:top w:val="single" w:sz="6" w:space="0" w:color="BFBFBF"/>
                    <w:bottom w:val="single" w:sz="6" w:space="0" w:color="BFBFBF"/>
                  </w:tcBorders>
                  <w:shd w:val="clear" w:color="auto" w:fill="auto"/>
                </w:tcPr>
                <w:p w:rsidR="00514579" w:rsidRPr="003354AD" w:rsidRDefault="00514579" w:rsidP="00A8563B">
                  <w:pPr>
                    <w:pStyle w:val="TableColumnHeading"/>
                    <w:rPr>
                      <w:szCs w:val="18"/>
                    </w:rPr>
                  </w:pPr>
                  <w:r w:rsidRPr="003354AD">
                    <w:rPr>
                      <w:szCs w:val="18"/>
                    </w:rPr>
                    <w:t>NSW</w:t>
                  </w:r>
                </w:p>
              </w:tc>
              <w:tc>
                <w:tcPr>
                  <w:tcW w:w="411" w:type="pct"/>
                  <w:tcBorders>
                    <w:top w:val="single" w:sz="6" w:space="0" w:color="BFBFBF"/>
                    <w:bottom w:val="single" w:sz="6" w:space="0" w:color="BFBFBF"/>
                  </w:tcBorders>
                  <w:shd w:val="clear" w:color="auto" w:fill="auto"/>
                </w:tcPr>
                <w:p w:rsidR="00514579" w:rsidRPr="003354AD" w:rsidRDefault="00514579" w:rsidP="00A8563B">
                  <w:pPr>
                    <w:pStyle w:val="TableColumnHeading"/>
                    <w:rPr>
                      <w:szCs w:val="18"/>
                    </w:rPr>
                  </w:pPr>
                  <w:r w:rsidRPr="003354AD">
                    <w:rPr>
                      <w:szCs w:val="18"/>
                    </w:rPr>
                    <w:t>Vic</w:t>
                  </w:r>
                </w:p>
              </w:tc>
              <w:tc>
                <w:tcPr>
                  <w:tcW w:w="411" w:type="pct"/>
                  <w:tcBorders>
                    <w:top w:val="single" w:sz="6" w:space="0" w:color="BFBFBF"/>
                    <w:bottom w:val="single" w:sz="6" w:space="0" w:color="BFBFBF"/>
                  </w:tcBorders>
                  <w:shd w:val="clear" w:color="auto" w:fill="auto"/>
                  <w:tcMar>
                    <w:top w:w="28" w:type="dxa"/>
                  </w:tcMar>
                </w:tcPr>
                <w:p w:rsidR="00514579" w:rsidRPr="003354AD" w:rsidRDefault="00514579" w:rsidP="00A8563B">
                  <w:pPr>
                    <w:pStyle w:val="TableColumnHeading"/>
                    <w:rPr>
                      <w:szCs w:val="18"/>
                    </w:rPr>
                  </w:pPr>
                  <w:r w:rsidRPr="003354AD">
                    <w:rPr>
                      <w:szCs w:val="18"/>
                    </w:rPr>
                    <w:t>Qld</w:t>
                  </w:r>
                </w:p>
              </w:tc>
              <w:tc>
                <w:tcPr>
                  <w:tcW w:w="411" w:type="pct"/>
                  <w:tcBorders>
                    <w:top w:val="single" w:sz="6" w:space="0" w:color="BFBFBF"/>
                    <w:bottom w:val="single" w:sz="6" w:space="0" w:color="BFBFBF"/>
                  </w:tcBorders>
                  <w:shd w:val="clear" w:color="auto" w:fill="auto"/>
                </w:tcPr>
                <w:p w:rsidR="00514579" w:rsidRPr="003354AD" w:rsidRDefault="00514579" w:rsidP="00A8563B">
                  <w:pPr>
                    <w:pStyle w:val="TableColumnHeading"/>
                    <w:rPr>
                      <w:szCs w:val="18"/>
                    </w:rPr>
                  </w:pPr>
                  <w:r w:rsidRPr="003354AD">
                    <w:rPr>
                      <w:szCs w:val="18"/>
                    </w:rPr>
                    <w:t>WA</w:t>
                  </w:r>
                </w:p>
              </w:tc>
              <w:tc>
                <w:tcPr>
                  <w:tcW w:w="411" w:type="pct"/>
                  <w:tcBorders>
                    <w:top w:val="single" w:sz="6" w:space="0" w:color="BFBFBF"/>
                    <w:bottom w:val="single" w:sz="6" w:space="0" w:color="BFBFBF"/>
                  </w:tcBorders>
                  <w:shd w:val="clear" w:color="auto" w:fill="auto"/>
                </w:tcPr>
                <w:p w:rsidR="00514579" w:rsidRPr="003354AD" w:rsidRDefault="00514579" w:rsidP="00A8563B">
                  <w:pPr>
                    <w:pStyle w:val="TableColumnHeading"/>
                    <w:rPr>
                      <w:szCs w:val="18"/>
                    </w:rPr>
                  </w:pPr>
                  <w:r w:rsidRPr="003354AD">
                    <w:rPr>
                      <w:szCs w:val="18"/>
                    </w:rPr>
                    <w:t>SA</w:t>
                  </w:r>
                </w:p>
              </w:tc>
              <w:tc>
                <w:tcPr>
                  <w:tcW w:w="411" w:type="pct"/>
                  <w:tcBorders>
                    <w:top w:val="single" w:sz="6" w:space="0" w:color="BFBFBF"/>
                    <w:bottom w:val="single" w:sz="6" w:space="0" w:color="BFBFBF"/>
                  </w:tcBorders>
                  <w:shd w:val="clear" w:color="auto" w:fill="auto"/>
                  <w:tcMar>
                    <w:top w:w="28" w:type="dxa"/>
                  </w:tcMar>
                </w:tcPr>
                <w:p w:rsidR="00514579" w:rsidRPr="003354AD" w:rsidRDefault="00514579" w:rsidP="00A8563B">
                  <w:pPr>
                    <w:pStyle w:val="TableColumnHeading"/>
                    <w:rPr>
                      <w:szCs w:val="18"/>
                    </w:rPr>
                  </w:pPr>
                  <w:r w:rsidRPr="003354AD">
                    <w:rPr>
                      <w:szCs w:val="18"/>
                    </w:rPr>
                    <w:t>Tas</w:t>
                  </w:r>
                </w:p>
              </w:tc>
              <w:tc>
                <w:tcPr>
                  <w:tcW w:w="411" w:type="pct"/>
                  <w:tcBorders>
                    <w:top w:val="single" w:sz="6" w:space="0" w:color="BFBFBF"/>
                    <w:bottom w:val="single" w:sz="6" w:space="0" w:color="BFBFBF"/>
                  </w:tcBorders>
                  <w:shd w:val="clear" w:color="auto" w:fill="auto"/>
                </w:tcPr>
                <w:p w:rsidR="00514579" w:rsidRPr="003354AD" w:rsidRDefault="00514579" w:rsidP="00A8563B">
                  <w:pPr>
                    <w:pStyle w:val="TableColumnHeading"/>
                    <w:rPr>
                      <w:szCs w:val="18"/>
                    </w:rPr>
                  </w:pPr>
                  <w:r w:rsidRPr="003354AD">
                    <w:rPr>
                      <w:szCs w:val="18"/>
                    </w:rPr>
                    <w:t>ACT</w:t>
                  </w:r>
                </w:p>
              </w:tc>
              <w:tc>
                <w:tcPr>
                  <w:tcW w:w="411" w:type="pct"/>
                  <w:tcBorders>
                    <w:top w:val="single" w:sz="6" w:space="0" w:color="BFBFBF"/>
                    <w:bottom w:val="single" w:sz="6" w:space="0" w:color="BFBFBF"/>
                  </w:tcBorders>
                  <w:shd w:val="clear" w:color="auto" w:fill="auto"/>
                </w:tcPr>
                <w:p w:rsidR="00514579" w:rsidRPr="003354AD" w:rsidRDefault="00514579" w:rsidP="00A8563B">
                  <w:pPr>
                    <w:pStyle w:val="TableColumnHeading"/>
                    <w:rPr>
                      <w:szCs w:val="18"/>
                    </w:rPr>
                  </w:pPr>
                  <w:r w:rsidRPr="003354AD">
                    <w:rPr>
                      <w:szCs w:val="18"/>
                    </w:rPr>
                    <w:t>NT</w:t>
                  </w:r>
                </w:p>
              </w:tc>
              <w:tc>
                <w:tcPr>
                  <w:tcW w:w="409" w:type="pct"/>
                  <w:tcBorders>
                    <w:top w:val="single" w:sz="6" w:space="0" w:color="BFBFBF"/>
                    <w:bottom w:val="single" w:sz="6" w:space="0" w:color="BFBFBF"/>
                  </w:tcBorders>
                  <w:shd w:val="clear" w:color="auto" w:fill="auto"/>
                </w:tcPr>
                <w:p w:rsidR="00514579" w:rsidRPr="003354AD" w:rsidRDefault="00514579" w:rsidP="00514579">
                  <w:pPr>
                    <w:pStyle w:val="TableColumnHeading"/>
                    <w:ind w:right="28"/>
                    <w:rPr>
                      <w:szCs w:val="18"/>
                    </w:rPr>
                  </w:pPr>
                  <w:r w:rsidRPr="003354AD">
                    <w:rPr>
                      <w:szCs w:val="18"/>
                    </w:rPr>
                    <w:t>Aust</w:t>
                  </w:r>
                </w:p>
              </w:tc>
            </w:tr>
            <w:tr w:rsidR="00514579" w:rsidTr="000A2BE0">
              <w:tc>
                <w:tcPr>
                  <w:tcW w:w="5000" w:type="pct"/>
                  <w:gridSpan w:val="10"/>
                  <w:tcBorders>
                    <w:top w:val="single" w:sz="6" w:space="0" w:color="BFBFBF"/>
                  </w:tcBorders>
                </w:tcPr>
                <w:p w:rsidR="00514579" w:rsidRDefault="00514579" w:rsidP="00514579">
                  <w:pPr>
                    <w:pStyle w:val="TableUnitsRow"/>
                    <w:ind w:right="28"/>
                    <w:jc w:val="left"/>
                  </w:pPr>
                  <w:r w:rsidRPr="003354AD">
                    <w:rPr>
                      <w:b/>
                      <w:szCs w:val="18"/>
                    </w:rPr>
                    <w:t>Aboriginal and Torres Strait Islander people</w:t>
                  </w:r>
                </w:p>
              </w:tc>
            </w:tr>
            <w:tr w:rsidR="00514579" w:rsidTr="000A2BE0">
              <w:tc>
                <w:tcPr>
                  <w:tcW w:w="1303" w:type="pct"/>
                </w:tcPr>
                <w:p w:rsidR="00514579" w:rsidRPr="003354AD" w:rsidRDefault="00514579" w:rsidP="00572E2C">
                  <w:pPr>
                    <w:pStyle w:val="TableBodyText"/>
                    <w:ind w:left="113" w:hanging="22"/>
                    <w:jc w:val="left"/>
                    <w:rPr>
                      <w:i/>
                      <w:szCs w:val="18"/>
                    </w:rPr>
                  </w:pPr>
                  <w:r w:rsidRPr="003354AD">
                    <w:rPr>
                      <w:i/>
                      <w:szCs w:val="18"/>
                    </w:rPr>
                    <w:t>Aged care target population, June 201</w:t>
                  </w:r>
                  <w:r>
                    <w:rPr>
                      <w:i/>
                      <w:szCs w:val="18"/>
                    </w:rPr>
                    <w:t>6</w:t>
                  </w:r>
                </w:p>
              </w:tc>
              <w:tc>
                <w:tcPr>
                  <w:tcW w:w="411" w:type="pct"/>
                </w:tcPr>
                <w:p w:rsidR="00514579" w:rsidRPr="00753C07" w:rsidRDefault="00664BA5" w:rsidP="002470BA">
                  <w:pPr>
                    <w:pStyle w:val="TableBodyText"/>
                  </w:pPr>
                  <w:r>
                    <w:t xml:space="preserve"> </w:t>
                  </w:r>
                  <w:r w:rsidR="00514579" w:rsidRPr="00753C07">
                    <w:t>3.0</w:t>
                  </w:r>
                </w:p>
              </w:tc>
              <w:tc>
                <w:tcPr>
                  <w:tcW w:w="411" w:type="pct"/>
                </w:tcPr>
                <w:p w:rsidR="00514579" w:rsidRPr="00753C07" w:rsidRDefault="00664BA5" w:rsidP="002470BA">
                  <w:pPr>
                    <w:pStyle w:val="TableBodyText"/>
                  </w:pPr>
                  <w:r>
                    <w:t xml:space="preserve"> </w:t>
                  </w:r>
                  <w:r w:rsidR="00514579" w:rsidRPr="00753C07">
                    <w:t>0.8</w:t>
                  </w:r>
                </w:p>
              </w:tc>
              <w:tc>
                <w:tcPr>
                  <w:tcW w:w="411" w:type="pct"/>
                </w:tcPr>
                <w:p w:rsidR="00514579" w:rsidRPr="00753C07" w:rsidRDefault="00664BA5" w:rsidP="002470BA">
                  <w:pPr>
                    <w:pStyle w:val="TableBodyText"/>
                  </w:pPr>
                  <w:r>
                    <w:t xml:space="preserve"> </w:t>
                  </w:r>
                  <w:r w:rsidR="00514579" w:rsidRPr="00753C07">
                    <w:t>4.1</w:t>
                  </w:r>
                </w:p>
              </w:tc>
              <w:tc>
                <w:tcPr>
                  <w:tcW w:w="411" w:type="pct"/>
                </w:tcPr>
                <w:p w:rsidR="00514579" w:rsidRPr="00753C07" w:rsidRDefault="00664BA5" w:rsidP="002470BA">
                  <w:pPr>
                    <w:pStyle w:val="TableBodyText"/>
                  </w:pPr>
                  <w:r>
                    <w:t xml:space="preserve"> </w:t>
                  </w:r>
                  <w:r w:rsidR="00514579" w:rsidRPr="00753C07">
                    <w:t>3.9</w:t>
                  </w:r>
                </w:p>
              </w:tc>
              <w:tc>
                <w:tcPr>
                  <w:tcW w:w="411" w:type="pct"/>
                </w:tcPr>
                <w:p w:rsidR="00514579" w:rsidRPr="00753C07" w:rsidRDefault="00664BA5" w:rsidP="002470BA">
                  <w:pPr>
                    <w:pStyle w:val="TableBodyText"/>
                  </w:pPr>
                  <w:r>
                    <w:t xml:space="preserve"> </w:t>
                  </w:r>
                  <w:r w:rsidR="00514579" w:rsidRPr="00753C07">
                    <w:t>2.0</w:t>
                  </w:r>
                </w:p>
              </w:tc>
              <w:tc>
                <w:tcPr>
                  <w:tcW w:w="411" w:type="pct"/>
                </w:tcPr>
                <w:p w:rsidR="00514579" w:rsidRPr="00753C07" w:rsidRDefault="00664BA5" w:rsidP="002470BA">
                  <w:pPr>
                    <w:pStyle w:val="TableBodyText"/>
                  </w:pPr>
                  <w:r>
                    <w:t xml:space="preserve"> </w:t>
                  </w:r>
                  <w:r w:rsidR="00514579" w:rsidRPr="00753C07">
                    <w:t>4.5</w:t>
                  </w:r>
                </w:p>
              </w:tc>
              <w:tc>
                <w:tcPr>
                  <w:tcW w:w="411" w:type="pct"/>
                </w:tcPr>
                <w:p w:rsidR="00514579" w:rsidRPr="00753C07" w:rsidRDefault="00664BA5" w:rsidP="002470BA">
                  <w:pPr>
                    <w:pStyle w:val="TableBodyText"/>
                  </w:pPr>
                  <w:r>
                    <w:t xml:space="preserve"> </w:t>
                  </w:r>
                  <w:r w:rsidR="00514579" w:rsidRPr="00753C07">
                    <w:t>1.7</w:t>
                  </w:r>
                </w:p>
              </w:tc>
              <w:tc>
                <w:tcPr>
                  <w:tcW w:w="411" w:type="pct"/>
                </w:tcPr>
                <w:p w:rsidR="00514579" w:rsidRPr="00753C07" w:rsidRDefault="00E11BD5" w:rsidP="002470BA">
                  <w:pPr>
                    <w:pStyle w:val="TableBodyText"/>
                  </w:pPr>
                  <w:r w:rsidRPr="00E11BD5">
                    <w:t xml:space="preserve">  42.9</w:t>
                  </w:r>
                </w:p>
              </w:tc>
              <w:tc>
                <w:tcPr>
                  <w:tcW w:w="409" w:type="pct"/>
                </w:tcPr>
                <w:p w:rsidR="00514579" w:rsidRDefault="00664BA5" w:rsidP="002470BA">
                  <w:pPr>
                    <w:pStyle w:val="TableBodyText"/>
                    <w:ind w:right="28"/>
                  </w:pPr>
                  <w:r>
                    <w:t xml:space="preserve"> </w:t>
                  </w:r>
                  <w:r w:rsidR="00514579" w:rsidRPr="00753C07">
                    <w:t>3.0</w:t>
                  </w:r>
                </w:p>
              </w:tc>
            </w:tr>
            <w:tr w:rsidR="00514579" w:rsidTr="002470BA">
              <w:tc>
                <w:tcPr>
                  <w:tcW w:w="1303" w:type="pct"/>
                </w:tcPr>
                <w:p w:rsidR="00514579" w:rsidRPr="003354AD" w:rsidRDefault="00514579" w:rsidP="00572E2C">
                  <w:pPr>
                    <w:pStyle w:val="TableBodyText"/>
                    <w:ind w:left="113" w:hanging="22"/>
                    <w:jc w:val="left"/>
                    <w:rPr>
                      <w:szCs w:val="18"/>
                    </w:rPr>
                  </w:pPr>
                  <w:r w:rsidRPr="003354AD">
                    <w:rPr>
                      <w:szCs w:val="18"/>
                    </w:rPr>
                    <w:t>ACAT assessments, 201</w:t>
                  </w:r>
                  <w:r>
                    <w:rPr>
                      <w:szCs w:val="18"/>
                    </w:rPr>
                    <w:t>4</w:t>
                  </w:r>
                  <w:r>
                    <w:rPr>
                      <w:szCs w:val="18"/>
                    </w:rPr>
                    <w:noBreakHyphen/>
                  </w:r>
                  <w:r w:rsidRPr="003354AD">
                    <w:rPr>
                      <w:szCs w:val="18"/>
                    </w:rPr>
                    <w:t>1</w:t>
                  </w:r>
                  <w:r>
                    <w:rPr>
                      <w:szCs w:val="18"/>
                    </w:rPr>
                    <w:t>5</w:t>
                  </w:r>
                </w:p>
              </w:tc>
              <w:tc>
                <w:tcPr>
                  <w:tcW w:w="411" w:type="pct"/>
                </w:tcPr>
                <w:p w:rsidR="00514579" w:rsidRPr="0073613D" w:rsidRDefault="00664BA5" w:rsidP="002470BA">
                  <w:pPr>
                    <w:pStyle w:val="TableBodyText"/>
                  </w:pPr>
                  <w:r>
                    <w:t xml:space="preserve"> </w:t>
                  </w:r>
                  <w:r w:rsidR="00514579" w:rsidRPr="0073613D">
                    <w:t>1.2</w:t>
                  </w:r>
                </w:p>
              </w:tc>
              <w:tc>
                <w:tcPr>
                  <w:tcW w:w="411" w:type="pct"/>
                </w:tcPr>
                <w:p w:rsidR="00514579" w:rsidRPr="0073613D" w:rsidRDefault="00664BA5" w:rsidP="002470BA">
                  <w:pPr>
                    <w:pStyle w:val="TableBodyText"/>
                  </w:pPr>
                  <w:r>
                    <w:t xml:space="preserve"> </w:t>
                  </w:r>
                  <w:r w:rsidR="00514579" w:rsidRPr="0073613D">
                    <w:t>0.5</w:t>
                  </w:r>
                </w:p>
              </w:tc>
              <w:tc>
                <w:tcPr>
                  <w:tcW w:w="411" w:type="pct"/>
                </w:tcPr>
                <w:p w:rsidR="00514579" w:rsidRPr="0073613D" w:rsidRDefault="00664BA5" w:rsidP="002470BA">
                  <w:pPr>
                    <w:pStyle w:val="TableBodyText"/>
                  </w:pPr>
                  <w:r>
                    <w:t xml:space="preserve"> </w:t>
                  </w:r>
                  <w:r w:rsidR="00514579" w:rsidRPr="0073613D">
                    <w:t>1.8</w:t>
                  </w:r>
                </w:p>
              </w:tc>
              <w:tc>
                <w:tcPr>
                  <w:tcW w:w="411" w:type="pct"/>
                </w:tcPr>
                <w:p w:rsidR="00514579" w:rsidRPr="0073613D" w:rsidRDefault="00664BA5" w:rsidP="002470BA">
                  <w:pPr>
                    <w:pStyle w:val="TableBodyText"/>
                  </w:pPr>
                  <w:r>
                    <w:t xml:space="preserve"> </w:t>
                  </w:r>
                  <w:r w:rsidR="00514579" w:rsidRPr="0073613D">
                    <w:t>2.0</w:t>
                  </w:r>
                </w:p>
              </w:tc>
              <w:tc>
                <w:tcPr>
                  <w:tcW w:w="411" w:type="pct"/>
                </w:tcPr>
                <w:p w:rsidR="00514579" w:rsidRPr="0073613D" w:rsidRDefault="00664BA5" w:rsidP="002470BA">
                  <w:pPr>
                    <w:pStyle w:val="TableBodyText"/>
                  </w:pPr>
                  <w:r>
                    <w:t xml:space="preserve"> </w:t>
                  </w:r>
                  <w:r w:rsidR="00514579" w:rsidRPr="0073613D">
                    <w:t>1.0</w:t>
                  </w:r>
                </w:p>
              </w:tc>
              <w:tc>
                <w:tcPr>
                  <w:tcW w:w="411" w:type="pct"/>
                </w:tcPr>
                <w:p w:rsidR="00514579" w:rsidRPr="0073613D" w:rsidRDefault="00664BA5" w:rsidP="002470BA">
                  <w:pPr>
                    <w:pStyle w:val="TableBodyText"/>
                  </w:pPr>
                  <w:r>
                    <w:t xml:space="preserve"> </w:t>
                  </w:r>
                  <w:r w:rsidR="00514579" w:rsidRPr="0073613D">
                    <w:t>0.9</w:t>
                  </w:r>
                </w:p>
              </w:tc>
              <w:tc>
                <w:tcPr>
                  <w:tcW w:w="411" w:type="pct"/>
                </w:tcPr>
                <w:p w:rsidR="00514579" w:rsidRPr="0073613D" w:rsidRDefault="00664BA5" w:rsidP="002470BA">
                  <w:pPr>
                    <w:pStyle w:val="TableBodyText"/>
                  </w:pPr>
                  <w:r>
                    <w:t xml:space="preserve"> </w:t>
                  </w:r>
                  <w:r w:rsidR="00514579" w:rsidRPr="0073613D">
                    <w:t>0.9</w:t>
                  </w:r>
                </w:p>
              </w:tc>
              <w:tc>
                <w:tcPr>
                  <w:tcW w:w="411" w:type="pct"/>
                </w:tcPr>
                <w:p w:rsidR="00514579" w:rsidRPr="0073613D" w:rsidRDefault="00514579" w:rsidP="002470BA">
                  <w:pPr>
                    <w:pStyle w:val="TableBodyText"/>
                  </w:pPr>
                  <w:r w:rsidRPr="0073613D">
                    <w:t xml:space="preserve">  40.1</w:t>
                  </w:r>
                </w:p>
              </w:tc>
              <w:tc>
                <w:tcPr>
                  <w:tcW w:w="409" w:type="pct"/>
                </w:tcPr>
                <w:p w:rsidR="00514579" w:rsidRPr="0073613D" w:rsidRDefault="00514579" w:rsidP="002470BA">
                  <w:pPr>
                    <w:pStyle w:val="TableBodyText"/>
                    <w:ind w:right="28"/>
                  </w:pPr>
                  <w:r w:rsidRPr="0073613D">
                    <w:t xml:space="preserve">  1.4</w:t>
                  </w:r>
                </w:p>
              </w:tc>
            </w:tr>
            <w:tr w:rsidR="00514579" w:rsidTr="002470BA">
              <w:tc>
                <w:tcPr>
                  <w:tcW w:w="1303" w:type="pct"/>
                </w:tcPr>
                <w:p w:rsidR="00514579" w:rsidRPr="003354AD" w:rsidRDefault="00514579" w:rsidP="00572E2C">
                  <w:pPr>
                    <w:pStyle w:val="TableBodyText"/>
                    <w:ind w:left="113" w:hanging="22"/>
                    <w:jc w:val="left"/>
                    <w:rPr>
                      <w:szCs w:val="18"/>
                    </w:rPr>
                  </w:pPr>
                  <w:r w:rsidRPr="003354AD">
                    <w:rPr>
                      <w:szCs w:val="18"/>
                    </w:rPr>
                    <w:t>Residential aged care, at 30</w:t>
                  </w:r>
                  <w:r>
                    <w:rPr>
                      <w:szCs w:val="18"/>
                    </w:rPr>
                    <w:t> </w:t>
                  </w:r>
                  <w:r w:rsidRPr="003354AD">
                    <w:rPr>
                      <w:szCs w:val="18"/>
                    </w:rPr>
                    <w:t>June 201</w:t>
                  </w:r>
                  <w:r>
                    <w:rPr>
                      <w:szCs w:val="18"/>
                    </w:rPr>
                    <w:t>6</w:t>
                  </w:r>
                </w:p>
              </w:tc>
              <w:tc>
                <w:tcPr>
                  <w:tcW w:w="411" w:type="pct"/>
                </w:tcPr>
                <w:p w:rsidR="00514579" w:rsidRPr="0073613D" w:rsidRDefault="00514579" w:rsidP="002470BA">
                  <w:pPr>
                    <w:pStyle w:val="TableBodyText"/>
                  </w:pPr>
                  <w:r w:rsidRPr="0073613D">
                    <w:t xml:space="preserve">  0.7</w:t>
                  </w:r>
                </w:p>
              </w:tc>
              <w:tc>
                <w:tcPr>
                  <w:tcW w:w="411" w:type="pct"/>
                </w:tcPr>
                <w:p w:rsidR="00514579" w:rsidRPr="0073613D" w:rsidRDefault="00514579" w:rsidP="002470BA">
                  <w:pPr>
                    <w:pStyle w:val="TableBodyText"/>
                  </w:pPr>
                  <w:r w:rsidRPr="0073613D">
                    <w:t xml:space="preserve">  0.2</w:t>
                  </w:r>
                </w:p>
              </w:tc>
              <w:tc>
                <w:tcPr>
                  <w:tcW w:w="411" w:type="pct"/>
                </w:tcPr>
                <w:p w:rsidR="00514579" w:rsidRPr="0073613D" w:rsidRDefault="00514579" w:rsidP="002470BA">
                  <w:pPr>
                    <w:pStyle w:val="TableBodyText"/>
                  </w:pPr>
                  <w:r w:rsidRPr="0073613D">
                    <w:t xml:space="preserve">  1.5</w:t>
                  </w:r>
                </w:p>
              </w:tc>
              <w:tc>
                <w:tcPr>
                  <w:tcW w:w="411" w:type="pct"/>
                </w:tcPr>
                <w:p w:rsidR="00514579" w:rsidRPr="0073613D" w:rsidRDefault="00514579" w:rsidP="002470BA">
                  <w:pPr>
                    <w:pStyle w:val="TableBodyText"/>
                  </w:pPr>
                  <w:r w:rsidRPr="0073613D">
                    <w:t xml:space="preserve">  1.8</w:t>
                  </w:r>
                </w:p>
              </w:tc>
              <w:tc>
                <w:tcPr>
                  <w:tcW w:w="411" w:type="pct"/>
                </w:tcPr>
                <w:p w:rsidR="00514579" w:rsidRPr="0073613D" w:rsidRDefault="00514579" w:rsidP="002470BA">
                  <w:pPr>
                    <w:pStyle w:val="TableBodyText"/>
                  </w:pPr>
                  <w:r w:rsidRPr="0073613D">
                    <w:t xml:space="preserve">  0.5</w:t>
                  </w:r>
                </w:p>
              </w:tc>
              <w:tc>
                <w:tcPr>
                  <w:tcW w:w="411" w:type="pct"/>
                </w:tcPr>
                <w:p w:rsidR="00514579" w:rsidRPr="0073613D" w:rsidRDefault="00514579" w:rsidP="002470BA">
                  <w:pPr>
                    <w:pStyle w:val="TableBodyText"/>
                  </w:pPr>
                  <w:r w:rsidRPr="0073613D">
                    <w:t xml:space="preserve">  0.6</w:t>
                  </w:r>
                </w:p>
              </w:tc>
              <w:tc>
                <w:tcPr>
                  <w:tcW w:w="411" w:type="pct"/>
                </w:tcPr>
                <w:p w:rsidR="00514579" w:rsidRPr="0073613D" w:rsidRDefault="00514579" w:rsidP="002470BA">
                  <w:pPr>
                    <w:pStyle w:val="TableBodyText"/>
                  </w:pPr>
                  <w:r w:rsidRPr="0073613D">
                    <w:t xml:space="preserve">  0.5</w:t>
                  </w:r>
                </w:p>
              </w:tc>
              <w:tc>
                <w:tcPr>
                  <w:tcW w:w="411" w:type="pct"/>
                </w:tcPr>
                <w:p w:rsidR="00514579" w:rsidRPr="0073613D" w:rsidRDefault="00514579" w:rsidP="002470BA">
                  <w:pPr>
                    <w:pStyle w:val="TableBodyText"/>
                  </w:pPr>
                  <w:r w:rsidRPr="0073613D">
                    <w:t xml:space="preserve">  38.9</w:t>
                  </w:r>
                </w:p>
              </w:tc>
              <w:tc>
                <w:tcPr>
                  <w:tcW w:w="409" w:type="pct"/>
                </w:tcPr>
                <w:p w:rsidR="00514579" w:rsidRPr="0073613D" w:rsidRDefault="00514579" w:rsidP="002470BA">
                  <w:pPr>
                    <w:pStyle w:val="TableBodyText"/>
                    <w:ind w:right="28"/>
                  </w:pPr>
                  <w:r w:rsidRPr="0073613D">
                    <w:t xml:space="preserve">  0.9</w:t>
                  </w:r>
                </w:p>
              </w:tc>
            </w:tr>
            <w:tr w:rsidR="00514579" w:rsidTr="002470BA">
              <w:tc>
                <w:tcPr>
                  <w:tcW w:w="1303" w:type="pct"/>
                </w:tcPr>
                <w:p w:rsidR="00514579" w:rsidRPr="003354AD" w:rsidRDefault="00514579" w:rsidP="00572E2C">
                  <w:pPr>
                    <w:pStyle w:val="TableBodyText"/>
                    <w:ind w:left="113" w:hanging="22"/>
                    <w:jc w:val="left"/>
                    <w:rPr>
                      <w:szCs w:val="18"/>
                    </w:rPr>
                  </w:pPr>
                  <w:r>
                    <w:rPr>
                      <w:szCs w:val="18"/>
                    </w:rPr>
                    <w:t>Home care levels 1‒2,</w:t>
                  </w:r>
                  <w:r w:rsidRPr="003354AD">
                    <w:rPr>
                      <w:szCs w:val="18"/>
                    </w:rPr>
                    <w:t xml:space="preserve"> 30</w:t>
                  </w:r>
                  <w:r>
                    <w:rPr>
                      <w:szCs w:val="18"/>
                    </w:rPr>
                    <w:t> </w:t>
                  </w:r>
                  <w:r w:rsidRPr="003354AD">
                    <w:rPr>
                      <w:szCs w:val="18"/>
                    </w:rPr>
                    <w:t>June 201</w:t>
                  </w:r>
                  <w:r>
                    <w:rPr>
                      <w:szCs w:val="18"/>
                    </w:rPr>
                    <w:t>6</w:t>
                  </w:r>
                </w:p>
              </w:tc>
              <w:tc>
                <w:tcPr>
                  <w:tcW w:w="411" w:type="pct"/>
                </w:tcPr>
                <w:p w:rsidR="00514579" w:rsidRPr="00BF5520" w:rsidRDefault="00514579" w:rsidP="002470BA">
                  <w:pPr>
                    <w:pStyle w:val="TableBodyText"/>
                  </w:pPr>
                  <w:r w:rsidRPr="00BF5520">
                    <w:t xml:space="preserve">  3.8</w:t>
                  </w:r>
                </w:p>
              </w:tc>
              <w:tc>
                <w:tcPr>
                  <w:tcW w:w="411" w:type="pct"/>
                </w:tcPr>
                <w:p w:rsidR="00514579" w:rsidRPr="00BF5520" w:rsidRDefault="00514579" w:rsidP="002470BA">
                  <w:pPr>
                    <w:pStyle w:val="TableBodyText"/>
                  </w:pPr>
                  <w:r w:rsidRPr="00BF5520">
                    <w:t xml:space="preserve">  4.1</w:t>
                  </w:r>
                </w:p>
              </w:tc>
              <w:tc>
                <w:tcPr>
                  <w:tcW w:w="411" w:type="pct"/>
                </w:tcPr>
                <w:p w:rsidR="00514579" w:rsidRPr="00BF5520" w:rsidRDefault="00514579" w:rsidP="002470BA">
                  <w:pPr>
                    <w:pStyle w:val="TableBodyText"/>
                  </w:pPr>
                  <w:r w:rsidRPr="00BF5520">
                    <w:t xml:space="preserve">  5.6</w:t>
                  </w:r>
                </w:p>
              </w:tc>
              <w:tc>
                <w:tcPr>
                  <w:tcW w:w="411" w:type="pct"/>
                </w:tcPr>
                <w:p w:rsidR="00514579" w:rsidRPr="00BF5520" w:rsidRDefault="00514579" w:rsidP="002470BA">
                  <w:pPr>
                    <w:pStyle w:val="TableBodyText"/>
                  </w:pPr>
                  <w:r w:rsidRPr="00BF5520">
                    <w:t xml:space="preserve">  6.7</w:t>
                  </w:r>
                </w:p>
              </w:tc>
              <w:tc>
                <w:tcPr>
                  <w:tcW w:w="411" w:type="pct"/>
                </w:tcPr>
                <w:p w:rsidR="00514579" w:rsidRPr="00BF5520" w:rsidRDefault="00514579" w:rsidP="002470BA">
                  <w:pPr>
                    <w:pStyle w:val="TableBodyText"/>
                  </w:pPr>
                  <w:r w:rsidRPr="00BF5520">
                    <w:t xml:space="preserve">  2.5</w:t>
                  </w:r>
                </w:p>
              </w:tc>
              <w:tc>
                <w:tcPr>
                  <w:tcW w:w="411" w:type="pct"/>
                </w:tcPr>
                <w:p w:rsidR="00514579" w:rsidRPr="00BF5520" w:rsidRDefault="00514579" w:rsidP="002470BA">
                  <w:pPr>
                    <w:pStyle w:val="TableBodyText"/>
                  </w:pPr>
                  <w:r w:rsidRPr="00BF5520">
                    <w:t xml:space="preserve">  2.4</w:t>
                  </w:r>
                </w:p>
              </w:tc>
              <w:tc>
                <w:tcPr>
                  <w:tcW w:w="411" w:type="pct"/>
                </w:tcPr>
                <w:p w:rsidR="00514579" w:rsidRPr="00BF5520" w:rsidRDefault="00514579" w:rsidP="002470BA">
                  <w:pPr>
                    <w:pStyle w:val="TableBodyText"/>
                  </w:pPr>
                  <w:r w:rsidRPr="00BF5520">
                    <w:t xml:space="preserve">  7.8</w:t>
                  </w:r>
                </w:p>
              </w:tc>
              <w:tc>
                <w:tcPr>
                  <w:tcW w:w="411" w:type="pct"/>
                </w:tcPr>
                <w:p w:rsidR="00514579" w:rsidRPr="00BF5520" w:rsidRDefault="00514579" w:rsidP="002470BA">
                  <w:pPr>
                    <w:pStyle w:val="TableBodyText"/>
                  </w:pPr>
                  <w:r w:rsidRPr="00BF5520">
                    <w:t xml:space="preserve">  67.0</w:t>
                  </w:r>
                </w:p>
              </w:tc>
              <w:tc>
                <w:tcPr>
                  <w:tcW w:w="409" w:type="pct"/>
                </w:tcPr>
                <w:p w:rsidR="00514579" w:rsidRPr="00BF5520" w:rsidRDefault="00514579" w:rsidP="002470BA">
                  <w:pPr>
                    <w:pStyle w:val="TableBodyText"/>
                    <w:ind w:right="28"/>
                  </w:pPr>
                  <w:r w:rsidRPr="00BF5520">
                    <w:t xml:space="preserve">  5.3</w:t>
                  </w:r>
                </w:p>
              </w:tc>
            </w:tr>
            <w:tr w:rsidR="00514579" w:rsidTr="002470BA">
              <w:tc>
                <w:tcPr>
                  <w:tcW w:w="1303" w:type="pct"/>
                </w:tcPr>
                <w:p w:rsidR="00514579" w:rsidRPr="003354AD" w:rsidRDefault="00514579" w:rsidP="00572E2C">
                  <w:pPr>
                    <w:pStyle w:val="TableBodyText"/>
                    <w:spacing w:before="40"/>
                    <w:ind w:left="113" w:hanging="23"/>
                    <w:jc w:val="left"/>
                    <w:rPr>
                      <w:szCs w:val="18"/>
                    </w:rPr>
                  </w:pPr>
                  <w:r w:rsidRPr="003354AD">
                    <w:rPr>
                      <w:szCs w:val="18"/>
                    </w:rPr>
                    <w:t>Home care levels 3‒4, 30</w:t>
                  </w:r>
                  <w:r>
                    <w:rPr>
                      <w:szCs w:val="18"/>
                    </w:rPr>
                    <w:t> </w:t>
                  </w:r>
                  <w:r w:rsidRPr="003354AD">
                    <w:rPr>
                      <w:szCs w:val="18"/>
                    </w:rPr>
                    <w:t>June 201</w:t>
                  </w:r>
                  <w:r>
                    <w:rPr>
                      <w:szCs w:val="18"/>
                    </w:rPr>
                    <w:t>6</w:t>
                  </w:r>
                </w:p>
              </w:tc>
              <w:tc>
                <w:tcPr>
                  <w:tcW w:w="411" w:type="pct"/>
                </w:tcPr>
                <w:p w:rsidR="00514579" w:rsidRPr="006D4371" w:rsidRDefault="00514579" w:rsidP="002470BA">
                  <w:pPr>
                    <w:pStyle w:val="TableBodyText"/>
                  </w:pPr>
                  <w:r w:rsidRPr="006D4371">
                    <w:t xml:space="preserve">  1.6</w:t>
                  </w:r>
                </w:p>
              </w:tc>
              <w:tc>
                <w:tcPr>
                  <w:tcW w:w="411" w:type="pct"/>
                </w:tcPr>
                <w:p w:rsidR="00514579" w:rsidRPr="006D4371" w:rsidRDefault="00514579" w:rsidP="002470BA">
                  <w:pPr>
                    <w:pStyle w:val="TableBodyText"/>
                  </w:pPr>
                  <w:r w:rsidRPr="006D4371">
                    <w:t xml:space="preserve">  1.8</w:t>
                  </w:r>
                </w:p>
              </w:tc>
              <w:tc>
                <w:tcPr>
                  <w:tcW w:w="411" w:type="pct"/>
                </w:tcPr>
                <w:p w:rsidR="00514579" w:rsidRPr="006D4371" w:rsidRDefault="00514579" w:rsidP="002470BA">
                  <w:pPr>
                    <w:pStyle w:val="TableBodyText"/>
                  </w:pPr>
                  <w:r w:rsidRPr="006D4371">
                    <w:t xml:space="preserve">  2.5</w:t>
                  </w:r>
                </w:p>
              </w:tc>
              <w:tc>
                <w:tcPr>
                  <w:tcW w:w="411" w:type="pct"/>
                </w:tcPr>
                <w:p w:rsidR="00514579" w:rsidRPr="006D4371" w:rsidRDefault="00514579" w:rsidP="002470BA">
                  <w:pPr>
                    <w:pStyle w:val="TableBodyText"/>
                  </w:pPr>
                  <w:r w:rsidRPr="006D4371">
                    <w:t xml:space="preserve">  2.4</w:t>
                  </w:r>
                </w:p>
              </w:tc>
              <w:tc>
                <w:tcPr>
                  <w:tcW w:w="411" w:type="pct"/>
                </w:tcPr>
                <w:p w:rsidR="00514579" w:rsidRPr="006D4371" w:rsidRDefault="00514579" w:rsidP="002470BA">
                  <w:pPr>
                    <w:pStyle w:val="TableBodyText"/>
                  </w:pPr>
                  <w:r w:rsidRPr="006D4371">
                    <w:t xml:space="preserve">  1.5</w:t>
                  </w:r>
                </w:p>
              </w:tc>
              <w:tc>
                <w:tcPr>
                  <w:tcW w:w="411" w:type="pct"/>
                </w:tcPr>
                <w:p w:rsidR="00514579" w:rsidRPr="006D4371" w:rsidRDefault="00514579" w:rsidP="002470BA">
                  <w:pPr>
                    <w:pStyle w:val="TableBodyText"/>
                  </w:pPr>
                  <w:r w:rsidRPr="006D4371">
                    <w:t xml:space="preserve">  1.2</w:t>
                  </w:r>
                </w:p>
              </w:tc>
              <w:tc>
                <w:tcPr>
                  <w:tcW w:w="411" w:type="pct"/>
                </w:tcPr>
                <w:p w:rsidR="00514579" w:rsidRPr="006D4371" w:rsidRDefault="00514579" w:rsidP="002470BA">
                  <w:pPr>
                    <w:pStyle w:val="TableBodyText"/>
                  </w:pPr>
                  <w:r w:rsidRPr="006D4371">
                    <w:t xml:space="preserve">  0.3</w:t>
                  </w:r>
                </w:p>
              </w:tc>
              <w:tc>
                <w:tcPr>
                  <w:tcW w:w="411" w:type="pct"/>
                </w:tcPr>
                <w:p w:rsidR="00514579" w:rsidRPr="006D4371" w:rsidRDefault="00514579" w:rsidP="002470BA">
                  <w:pPr>
                    <w:pStyle w:val="TableBodyText"/>
                  </w:pPr>
                  <w:r w:rsidRPr="006D4371">
                    <w:t xml:space="preserve">  27.8</w:t>
                  </w:r>
                </w:p>
              </w:tc>
              <w:tc>
                <w:tcPr>
                  <w:tcW w:w="409" w:type="pct"/>
                </w:tcPr>
                <w:p w:rsidR="00514579" w:rsidRDefault="00514579" w:rsidP="002470BA">
                  <w:pPr>
                    <w:pStyle w:val="TableBodyText"/>
                    <w:ind w:right="28"/>
                  </w:pPr>
                  <w:r w:rsidRPr="006D4371">
                    <w:t xml:space="preserve">  2.1</w:t>
                  </w:r>
                </w:p>
              </w:tc>
            </w:tr>
            <w:tr w:rsidR="00641381" w:rsidTr="00101C35">
              <w:tc>
                <w:tcPr>
                  <w:tcW w:w="1303" w:type="pct"/>
                  <w:shd w:val="clear" w:color="auto" w:fill="FFFFFF" w:themeFill="background1"/>
                </w:tcPr>
                <w:p w:rsidR="00641381" w:rsidRPr="00101C35" w:rsidRDefault="00641381" w:rsidP="00572E2C">
                  <w:pPr>
                    <w:pStyle w:val="TableBodyText"/>
                    <w:ind w:left="113" w:hanging="22"/>
                    <w:jc w:val="left"/>
                    <w:rPr>
                      <w:szCs w:val="18"/>
                    </w:rPr>
                  </w:pPr>
                  <w:proofErr w:type="spellStart"/>
                  <w:r w:rsidRPr="00101C35">
                    <w:rPr>
                      <w:szCs w:val="18"/>
                    </w:rPr>
                    <w:t>CHSP</w:t>
                  </w:r>
                  <w:proofErr w:type="spellEnd"/>
                  <w:r w:rsidRPr="00101C35">
                    <w:rPr>
                      <w:szCs w:val="18"/>
                    </w:rPr>
                    <w:t>, 2015-16</w:t>
                  </w:r>
                </w:p>
              </w:tc>
              <w:tc>
                <w:tcPr>
                  <w:tcW w:w="411" w:type="pct"/>
                  <w:shd w:val="clear" w:color="auto" w:fill="FFFFFF" w:themeFill="background1"/>
                </w:tcPr>
                <w:p w:rsidR="00641381" w:rsidRPr="00101C35" w:rsidRDefault="00641381" w:rsidP="002470BA">
                  <w:pPr>
                    <w:pStyle w:val="TableBodyText"/>
                  </w:pPr>
                  <w:r w:rsidRPr="00101C35">
                    <w:t>np</w:t>
                  </w:r>
                </w:p>
              </w:tc>
              <w:tc>
                <w:tcPr>
                  <w:tcW w:w="411" w:type="pct"/>
                  <w:shd w:val="clear" w:color="auto" w:fill="FFFFFF" w:themeFill="background1"/>
                </w:tcPr>
                <w:p w:rsidR="00641381" w:rsidRPr="00101C35" w:rsidRDefault="00641381" w:rsidP="002470BA">
                  <w:pPr>
                    <w:pStyle w:val="TableBodyText"/>
                  </w:pPr>
                  <w:r w:rsidRPr="00101C35">
                    <w:t>np</w:t>
                  </w:r>
                </w:p>
              </w:tc>
              <w:tc>
                <w:tcPr>
                  <w:tcW w:w="411" w:type="pct"/>
                  <w:shd w:val="clear" w:color="auto" w:fill="FFFFFF" w:themeFill="background1"/>
                </w:tcPr>
                <w:p w:rsidR="00641381" w:rsidRPr="00101C35" w:rsidRDefault="00641381" w:rsidP="002470BA">
                  <w:pPr>
                    <w:pStyle w:val="TableBodyText"/>
                  </w:pPr>
                  <w:r w:rsidRPr="00101C35">
                    <w:t>np</w:t>
                  </w:r>
                </w:p>
              </w:tc>
              <w:tc>
                <w:tcPr>
                  <w:tcW w:w="411" w:type="pct"/>
                  <w:shd w:val="clear" w:color="auto" w:fill="FFFFFF" w:themeFill="background1"/>
                </w:tcPr>
                <w:p w:rsidR="00641381" w:rsidRPr="00101C35" w:rsidRDefault="00641381" w:rsidP="002470BA">
                  <w:pPr>
                    <w:pStyle w:val="TableBodyText"/>
                  </w:pPr>
                  <w:r w:rsidRPr="00101C35">
                    <w:t>np</w:t>
                  </w:r>
                </w:p>
              </w:tc>
              <w:tc>
                <w:tcPr>
                  <w:tcW w:w="411" w:type="pct"/>
                  <w:shd w:val="clear" w:color="auto" w:fill="FFFFFF" w:themeFill="background1"/>
                </w:tcPr>
                <w:p w:rsidR="00641381" w:rsidRPr="00101C35" w:rsidRDefault="00641381" w:rsidP="002470BA">
                  <w:pPr>
                    <w:pStyle w:val="TableBodyText"/>
                  </w:pPr>
                  <w:r w:rsidRPr="00101C35">
                    <w:t>np</w:t>
                  </w:r>
                </w:p>
              </w:tc>
              <w:tc>
                <w:tcPr>
                  <w:tcW w:w="411" w:type="pct"/>
                  <w:shd w:val="clear" w:color="auto" w:fill="FFFFFF" w:themeFill="background1"/>
                </w:tcPr>
                <w:p w:rsidR="00641381" w:rsidRPr="00101C35" w:rsidRDefault="00641381" w:rsidP="002470BA">
                  <w:pPr>
                    <w:pStyle w:val="TableBodyText"/>
                  </w:pPr>
                  <w:r w:rsidRPr="00101C35">
                    <w:t>np</w:t>
                  </w:r>
                </w:p>
              </w:tc>
              <w:tc>
                <w:tcPr>
                  <w:tcW w:w="411" w:type="pct"/>
                  <w:shd w:val="clear" w:color="auto" w:fill="FFFFFF" w:themeFill="background1"/>
                </w:tcPr>
                <w:p w:rsidR="00641381" w:rsidRPr="00101C35" w:rsidRDefault="00641381" w:rsidP="002470BA">
                  <w:pPr>
                    <w:pStyle w:val="TableBodyText"/>
                  </w:pPr>
                  <w:r w:rsidRPr="00101C35">
                    <w:t>np</w:t>
                  </w:r>
                </w:p>
              </w:tc>
              <w:tc>
                <w:tcPr>
                  <w:tcW w:w="411" w:type="pct"/>
                  <w:shd w:val="clear" w:color="auto" w:fill="FFFFFF" w:themeFill="background1"/>
                </w:tcPr>
                <w:p w:rsidR="00641381" w:rsidRPr="00101C35" w:rsidRDefault="00641381" w:rsidP="002470BA">
                  <w:pPr>
                    <w:pStyle w:val="TableBodyText"/>
                  </w:pPr>
                  <w:r w:rsidRPr="00101C35">
                    <w:t>np</w:t>
                  </w:r>
                </w:p>
              </w:tc>
              <w:tc>
                <w:tcPr>
                  <w:tcW w:w="409" w:type="pct"/>
                  <w:shd w:val="clear" w:color="auto" w:fill="FFFFFF" w:themeFill="background1"/>
                </w:tcPr>
                <w:p w:rsidR="00641381" w:rsidRPr="00101C35" w:rsidRDefault="00641381" w:rsidP="002470BA">
                  <w:pPr>
                    <w:pStyle w:val="TableBodyText"/>
                    <w:ind w:right="28"/>
                  </w:pPr>
                  <w:r w:rsidRPr="00101C35">
                    <w:t>np</w:t>
                  </w:r>
                </w:p>
              </w:tc>
            </w:tr>
            <w:tr w:rsidR="00514579" w:rsidTr="00101C35">
              <w:tc>
                <w:tcPr>
                  <w:tcW w:w="1303" w:type="pct"/>
                  <w:shd w:val="clear" w:color="auto" w:fill="FFFFFF" w:themeFill="background1"/>
                </w:tcPr>
                <w:p w:rsidR="00514579" w:rsidRDefault="00514579" w:rsidP="00572E2C">
                  <w:pPr>
                    <w:pStyle w:val="TableBodyText"/>
                    <w:ind w:left="113" w:hanging="22"/>
                    <w:jc w:val="left"/>
                    <w:rPr>
                      <w:szCs w:val="18"/>
                    </w:rPr>
                  </w:pPr>
                  <w:proofErr w:type="spellStart"/>
                  <w:r w:rsidRPr="00CB0771">
                    <w:rPr>
                      <w:szCs w:val="18"/>
                    </w:rPr>
                    <w:t>HACC</w:t>
                  </w:r>
                  <w:proofErr w:type="spellEnd"/>
                  <w:r w:rsidRPr="00CB0771">
                    <w:rPr>
                      <w:szCs w:val="18"/>
                    </w:rPr>
                    <w:t xml:space="preserve">, </w:t>
                  </w:r>
                  <w:r w:rsidRPr="003354AD">
                    <w:rPr>
                      <w:szCs w:val="18"/>
                    </w:rPr>
                    <w:t>201</w:t>
                  </w:r>
                  <w:r>
                    <w:rPr>
                      <w:szCs w:val="18"/>
                    </w:rPr>
                    <w:t>5</w:t>
                  </w:r>
                  <w:r>
                    <w:rPr>
                      <w:szCs w:val="18"/>
                    </w:rPr>
                    <w:noBreakHyphen/>
                  </w:r>
                  <w:r w:rsidRPr="003354AD">
                    <w:rPr>
                      <w:szCs w:val="18"/>
                    </w:rPr>
                    <w:t>1</w:t>
                  </w:r>
                  <w:r>
                    <w:rPr>
                      <w:szCs w:val="18"/>
                    </w:rPr>
                    <w:t>6</w:t>
                  </w:r>
                </w:p>
              </w:tc>
              <w:tc>
                <w:tcPr>
                  <w:tcW w:w="411" w:type="pct"/>
                  <w:shd w:val="clear" w:color="auto" w:fill="FFFFFF" w:themeFill="background1"/>
                </w:tcPr>
                <w:p w:rsidR="00514579" w:rsidRPr="00B84942" w:rsidRDefault="00514579" w:rsidP="002470BA">
                  <w:pPr>
                    <w:pStyle w:val="TableBodyText"/>
                  </w:pPr>
                  <w:r w:rsidRPr="00B84942">
                    <w:t>..</w:t>
                  </w:r>
                </w:p>
              </w:tc>
              <w:tc>
                <w:tcPr>
                  <w:tcW w:w="411" w:type="pct"/>
                  <w:shd w:val="clear" w:color="auto" w:fill="FFFFFF" w:themeFill="background1"/>
                </w:tcPr>
                <w:p w:rsidR="00514579" w:rsidRPr="00B84942" w:rsidRDefault="00514579" w:rsidP="002470BA">
                  <w:pPr>
                    <w:pStyle w:val="TableBodyText"/>
                  </w:pPr>
                  <w:r w:rsidRPr="00B84942">
                    <w:t xml:space="preserve">  1.</w:t>
                  </w:r>
                  <w:r>
                    <w:t>0</w:t>
                  </w:r>
                </w:p>
              </w:tc>
              <w:tc>
                <w:tcPr>
                  <w:tcW w:w="411" w:type="pct"/>
                  <w:shd w:val="clear" w:color="auto" w:fill="FFFFFF" w:themeFill="background1"/>
                </w:tcPr>
                <w:p w:rsidR="00514579" w:rsidRPr="00B84942" w:rsidRDefault="00514579" w:rsidP="002470BA">
                  <w:pPr>
                    <w:pStyle w:val="TableBodyText"/>
                  </w:pPr>
                  <w:r w:rsidRPr="00B84942">
                    <w:t>..</w:t>
                  </w:r>
                </w:p>
              </w:tc>
              <w:tc>
                <w:tcPr>
                  <w:tcW w:w="411" w:type="pct"/>
                  <w:shd w:val="clear" w:color="auto" w:fill="FFFFFF" w:themeFill="background1"/>
                </w:tcPr>
                <w:p w:rsidR="00514579" w:rsidRPr="00B84942" w:rsidRDefault="00514579" w:rsidP="002470BA">
                  <w:pPr>
                    <w:pStyle w:val="TableBodyText"/>
                  </w:pPr>
                  <w:r w:rsidRPr="00B84942">
                    <w:t xml:space="preserve">  3.0</w:t>
                  </w:r>
                </w:p>
              </w:tc>
              <w:tc>
                <w:tcPr>
                  <w:tcW w:w="411" w:type="pct"/>
                  <w:shd w:val="clear" w:color="auto" w:fill="FFFFFF" w:themeFill="background1"/>
                </w:tcPr>
                <w:p w:rsidR="00514579" w:rsidRPr="00B84942" w:rsidRDefault="00514579" w:rsidP="002470BA">
                  <w:pPr>
                    <w:pStyle w:val="TableBodyText"/>
                  </w:pPr>
                  <w:r w:rsidRPr="00B84942">
                    <w:t>..</w:t>
                  </w:r>
                </w:p>
              </w:tc>
              <w:tc>
                <w:tcPr>
                  <w:tcW w:w="411" w:type="pct"/>
                  <w:shd w:val="clear" w:color="auto" w:fill="FFFFFF" w:themeFill="background1"/>
                </w:tcPr>
                <w:p w:rsidR="00514579" w:rsidRPr="00B84942" w:rsidRDefault="00514579" w:rsidP="002470BA">
                  <w:pPr>
                    <w:pStyle w:val="TableBodyText"/>
                  </w:pPr>
                  <w:r w:rsidRPr="00B84942">
                    <w:t>..</w:t>
                  </w:r>
                </w:p>
              </w:tc>
              <w:tc>
                <w:tcPr>
                  <w:tcW w:w="411" w:type="pct"/>
                  <w:shd w:val="clear" w:color="auto" w:fill="FFFFFF" w:themeFill="background1"/>
                </w:tcPr>
                <w:p w:rsidR="00514579" w:rsidRPr="00B84942" w:rsidRDefault="00514579" w:rsidP="002470BA">
                  <w:pPr>
                    <w:pStyle w:val="TableBodyText"/>
                  </w:pPr>
                  <w:r w:rsidRPr="00B84942">
                    <w:t>..</w:t>
                  </w:r>
                </w:p>
              </w:tc>
              <w:tc>
                <w:tcPr>
                  <w:tcW w:w="411" w:type="pct"/>
                  <w:shd w:val="clear" w:color="auto" w:fill="FFFFFF" w:themeFill="background1"/>
                </w:tcPr>
                <w:p w:rsidR="00514579" w:rsidRPr="00B84942" w:rsidRDefault="00514579" w:rsidP="002470BA">
                  <w:pPr>
                    <w:pStyle w:val="TableBodyText"/>
                  </w:pPr>
                  <w:r w:rsidRPr="00B84942">
                    <w:t>..</w:t>
                  </w:r>
                </w:p>
              </w:tc>
              <w:tc>
                <w:tcPr>
                  <w:tcW w:w="409" w:type="pct"/>
                  <w:shd w:val="clear" w:color="auto" w:fill="FFFFFF" w:themeFill="background1"/>
                </w:tcPr>
                <w:p w:rsidR="00514579" w:rsidRDefault="00514579" w:rsidP="002470BA">
                  <w:pPr>
                    <w:pStyle w:val="TableBodyText"/>
                    <w:ind w:right="28"/>
                  </w:pPr>
                  <w:r>
                    <w:t>..</w:t>
                  </w:r>
                </w:p>
              </w:tc>
            </w:tr>
            <w:tr w:rsidR="00514579" w:rsidTr="00101C35">
              <w:tc>
                <w:tcPr>
                  <w:tcW w:w="1303" w:type="pct"/>
                  <w:tcBorders>
                    <w:bottom w:val="single" w:sz="6" w:space="0" w:color="BFBFBF"/>
                  </w:tcBorders>
                  <w:shd w:val="clear" w:color="auto" w:fill="FFFFFF" w:themeFill="background1"/>
                  <w:vAlign w:val="center"/>
                </w:tcPr>
                <w:p w:rsidR="00514579" w:rsidRPr="00573256" w:rsidRDefault="00514579" w:rsidP="00572E2C">
                  <w:pPr>
                    <w:pStyle w:val="TableBodyText"/>
                    <w:ind w:left="113" w:hanging="22"/>
                    <w:jc w:val="left"/>
                  </w:pPr>
                  <w:r w:rsidRPr="00573256">
                    <w:t xml:space="preserve">Transition </w:t>
                  </w:r>
                  <w:r w:rsidRPr="00514579">
                    <w:rPr>
                      <w:szCs w:val="18"/>
                    </w:rPr>
                    <w:t>Care</w:t>
                  </w:r>
                  <w:r w:rsidRPr="00573256">
                    <w:t>, 2015</w:t>
                  </w:r>
                  <w:r w:rsidRPr="00573256">
                    <w:noBreakHyphen/>
                    <w:t>16</w:t>
                  </w:r>
                </w:p>
              </w:tc>
              <w:tc>
                <w:tcPr>
                  <w:tcW w:w="411" w:type="pct"/>
                  <w:tcBorders>
                    <w:bottom w:val="single" w:sz="6" w:space="0" w:color="BFBFBF"/>
                  </w:tcBorders>
                  <w:shd w:val="clear" w:color="auto" w:fill="FFFFFF" w:themeFill="background1"/>
                </w:tcPr>
                <w:p w:rsidR="00514579" w:rsidRPr="00573256" w:rsidRDefault="00514579" w:rsidP="002470BA">
                  <w:pPr>
                    <w:pStyle w:val="TableBodyText"/>
                  </w:pPr>
                  <w:r w:rsidRPr="00573256">
                    <w:t xml:space="preserve">  0.8</w:t>
                  </w:r>
                </w:p>
              </w:tc>
              <w:tc>
                <w:tcPr>
                  <w:tcW w:w="411" w:type="pct"/>
                  <w:tcBorders>
                    <w:bottom w:val="single" w:sz="6" w:space="0" w:color="BFBFBF"/>
                  </w:tcBorders>
                  <w:shd w:val="clear" w:color="auto" w:fill="FFFFFF" w:themeFill="background1"/>
                </w:tcPr>
                <w:p w:rsidR="00514579" w:rsidRPr="00573256" w:rsidRDefault="00514579" w:rsidP="002470BA">
                  <w:pPr>
                    <w:pStyle w:val="TableBodyText"/>
                  </w:pPr>
                  <w:r w:rsidRPr="00573256">
                    <w:t xml:space="preserve">  0.1</w:t>
                  </w:r>
                </w:p>
              </w:tc>
              <w:tc>
                <w:tcPr>
                  <w:tcW w:w="411" w:type="pct"/>
                  <w:tcBorders>
                    <w:bottom w:val="single" w:sz="6" w:space="0" w:color="BFBFBF"/>
                  </w:tcBorders>
                  <w:shd w:val="clear" w:color="auto" w:fill="FFFFFF" w:themeFill="background1"/>
                </w:tcPr>
                <w:p w:rsidR="00514579" w:rsidRPr="00573256" w:rsidRDefault="00514579" w:rsidP="002470BA">
                  <w:pPr>
                    <w:pStyle w:val="TableBodyText"/>
                  </w:pPr>
                  <w:r w:rsidRPr="00573256">
                    <w:t xml:space="preserve">  1.9</w:t>
                  </w:r>
                </w:p>
              </w:tc>
              <w:tc>
                <w:tcPr>
                  <w:tcW w:w="411" w:type="pct"/>
                  <w:tcBorders>
                    <w:bottom w:val="single" w:sz="6" w:space="0" w:color="BFBFBF"/>
                  </w:tcBorders>
                  <w:shd w:val="clear" w:color="auto" w:fill="FFFFFF" w:themeFill="background1"/>
                </w:tcPr>
                <w:p w:rsidR="00514579" w:rsidRPr="00573256" w:rsidRDefault="00514579" w:rsidP="002470BA">
                  <w:pPr>
                    <w:pStyle w:val="TableBodyText"/>
                  </w:pPr>
                  <w:r w:rsidRPr="00573256">
                    <w:t xml:space="preserve">  1.7</w:t>
                  </w:r>
                </w:p>
              </w:tc>
              <w:tc>
                <w:tcPr>
                  <w:tcW w:w="411" w:type="pct"/>
                  <w:tcBorders>
                    <w:bottom w:val="single" w:sz="6" w:space="0" w:color="BFBFBF"/>
                  </w:tcBorders>
                  <w:shd w:val="clear" w:color="auto" w:fill="FFFFFF" w:themeFill="background1"/>
                </w:tcPr>
                <w:p w:rsidR="00514579" w:rsidRPr="00573256" w:rsidRDefault="00514579" w:rsidP="002470BA">
                  <w:pPr>
                    <w:pStyle w:val="TableBodyText"/>
                  </w:pPr>
                  <w:r w:rsidRPr="00573256">
                    <w:t xml:space="preserve">  0.6</w:t>
                  </w:r>
                </w:p>
              </w:tc>
              <w:tc>
                <w:tcPr>
                  <w:tcW w:w="411" w:type="pct"/>
                  <w:tcBorders>
                    <w:bottom w:val="single" w:sz="6" w:space="0" w:color="BFBFBF"/>
                  </w:tcBorders>
                  <w:shd w:val="clear" w:color="auto" w:fill="FFFFFF" w:themeFill="background1"/>
                </w:tcPr>
                <w:p w:rsidR="00514579" w:rsidRPr="00573256" w:rsidRDefault="00514579" w:rsidP="002470BA">
                  <w:pPr>
                    <w:pStyle w:val="TableBodyText"/>
                  </w:pPr>
                  <w:r w:rsidRPr="00573256">
                    <w:t xml:space="preserve">  1.3</w:t>
                  </w:r>
                </w:p>
              </w:tc>
              <w:tc>
                <w:tcPr>
                  <w:tcW w:w="411" w:type="pct"/>
                  <w:tcBorders>
                    <w:bottom w:val="single" w:sz="6" w:space="0" w:color="BFBFBF"/>
                  </w:tcBorders>
                  <w:shd w:val="clear" w:color="auto" w:fill="FFFFFF" w:themeFill="background1"/>
                </w:tcPr>
                <w:p w:rsidR="00514579" w:rsidRPr="00573256" w:rsidRDefault="00514579" w:rsidP="002470BA">
                  <w:pPr>
                    <w:pStyle w:val="TableBodyText"/>
                  </w:pPr>
                  <w:r w:rsidRPr="00573256">
                    <w:t xml:space="preserve">  1.7</w:t>
                  </w:r>
                </w:p>
              </w:tc>
              <w:tc>
                <w:tcPr>
                  <w:tcW w:w="411" w:type="pct"/>
                  <w:tcBorders>
                    <w:bottom w:val="single" w:sz="6" w:space="0" w:color="BFBFBF"/>
                  </w:tcBorders>
                  <w:shd w:val="clear" w:color="auto" w:fill="FFFFFF" w:themeFill="background1"/>
                </w:tcPr>
                <w:p w:rsidR="00514579" w:rsidRPr="00573256" w:rsidRDefault="00514579" w:rsidP="002470BA">
                  <w:pPr>
                    <w:pStyle w:val="TableBodyText"/>
                  </w:pPr>
                  <w:r w:rsidRPr="00573256">
                    <w:t xml:space="preserve">  21.1</w:t>
                  </w:r>
                </w:p>
              </w:tc>
              <w:tc>
                <w:tcPr>
                  <w:tcW w:w="409" w:type="pct"/>
                  <w:tcBorders>
                    <w:bottom w:val="single" w:sz="6" w:space="0" w:color="BFBFBF"/>
                  </w:tcBorders>
                  <w:shd w:val="clear" w:color="auto" w:fill="FFFFFF" w:themeFill="background1"/>
                </w:tcPr>
                <w:p w:rsidR="00514579" w:rsidRPr="00573256" w:rsidRDefault="00514579" w:rsidP="002470BA">
                  <w:pPr>
                    <w:pStyle w:val="TableBodyText"/>
                    <w:ind w:right="28"/>
                  </w:pPr>
                  <w:r w:rsidRPr="00573256">
                    <w:t xml:space="preserve">  1.1</w:t>
                  </w:r>
                </w:p>
              </w:tc>
            </w:tr>
          </w:tbl>
          <w:p w:rsidR="00514579" w:rsidRDefault="00514579" w:rsidP="00A8563B">
            <w:pPr>
              <w:pStyle w:val="Box"/>
            </w:pPr>
          </w:p>
        </w:tc>
      </w:tr>
      <w:tr w:rsidR="00514579" w:rsidTr="00A8563B">
        <w:trPr>
          <w:cantSplit/>
        </w:trPr>
        <w:tc>
          <w:tcPr>
            <w:tcW w:w="8771" w:type="dxa"/>
            <w:tcBorders>
              <w:top w:val="nil"/>
              <w:left w:val="nil"/>
              <w:bottom w:val="nil"/>
              <w:right w:val="nil"/>
            </w:tcBorders>
            <w:shd w:val="clear" w:color="auto" w:fill="auto"/>
          </w:tcPr>
          <w:p w:rsidR="00514579" w:rsidRDefault="00514579" w:rsidP="00773EF8">
            <w:pPr>
              <w:pStyle w:val="Continued"/>
            </w:pPr>
            <w:r>
              <w:t>(continued next page)</w:t>
            </w:r>
          </w:p>
        </w:tc>
      </w:tr>
      <w:tr w:rsidR="00514579" w:rsidTr="00A8563B">
        <w:trPr>
          <w:cantSplit/>
        </w:trPr>
        <w:tc>
          <w:tcPr>
            <w:tcW w:w="8771" w:type="dxa"/>
            <w:tcBorders>
              <w:top w:val="nil"/>
              <w:left w:val="nil"/>
              <w:bottom w:val="single" w:sz="6" w:space="0" w:color="78A22F"/>
              <w:right w:val="nil"/>
            </w:tcBorders>
            <w:shd w:val="clear" w:color="auto" w:fill="auto"/>
          </w:tcPr>
          <w:p w:rsidR="00514579" w:rsidRDefault="00514579" w:rsidP="00A8563B">
            <w:pPr>
              <w:pStyle w:val="Box"/>
              <w:spacing w:before="0" w:line="120" w:lineRule="exact"/>
            </w:pPr>
          </w:p>
        </w:tc>
      </w:tr>
      <w:tr w:rsidR="00514579" w:rsidRPr="000863A5" w:rsidTr="00A8563B">
        <w:tc>
          <w:tcPr>
            <w:tcW w:w="8771" w:type="dxa"/>
            <w:tcBorders>
              <w:top w:val="single" w:sz="6" w:space="0" w:color="78A22F"/>
              <w:left w:val="nil"/>
              <w:bottom w:val="nil"/>
              <w:right w:val="nil"/>
            </w:tcBorders>
          </w:tcPr>
          <w:p w:rsidR="00514579" w:rsidRPr="00664BA5" w:rsidRDefault="00514579" w:rsidP="00A8563B">
            <w:pPr>
              <w:pStyle w:val="BoxSpaceBelow"/>
            </w:pPr>
          </w:p>
        </w:tc>
      </w:tr>
    </w:tbl>
    <w:p w:rsidR="00773EF8" w:rsidRPr="00773EF8" w:rsidRDefault="00773EF8" w:rsidP="005F19E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138"/>
      </w:tblGrid>
      <w:tr w:rsidR="00773EF8" w:rsidRPr="00784A05" w:rsidTr="00EE4D91">
        <w:trPr>
          <w:gridAfter w:val="1"/>
          <w:wAfter w:w="138" w:type="dxa"/>
        </w:trPr>
        <w:tc>
          <w:tcPr>
            <w:tcW w:w="8771" w:type="dxa"/>
            <w:tcBorders>
              <w:top w:val="single" w:sz="6" w:space="0" w:color="78A22F"/>
              <w:left w:val="nil"/>
              <w:bottom w:val="nil"/>
              <w:right w:val="nil"/>
            </w:tcBorders>
            <w:shd w:val="clear" w:color="auto" w:fill="auto"/>
          </w:tcPr>
          <w:p w:rsidR="00773EF8" w:rsidRPr="00784A05" w:rsidRDefault="00773EF8" w:rsidP="00BE387D">
            <w:pPr>
              <w:pStyle w:val="TableTitle"/>
            </w:pPr>
            <w:r>
              <w:rPr>
                <w:b w:val="0"/>
              </w:rPr>
              <w:t xml:space="preserve">Table </w:t>
            </w:r>
            <w:r w:rsidR="00BE387D">
              <w:rPr>
                <w:b w:val="0"/>
              </w:rPr>
              <w:t>14.1</w:t>
            </w:r>
            <w:r>
              <w:tab/>
            </w:r>
            <w:r w:rsidR="00A0640D" w:rsidRPr="00A0640D">
              <w:rPr>
                <w:rStyle w:val="Continuedintitle"/>
              </w:rPr>
              <w:t>(</w:t>
            </w:r>
            <w:r w:rsidR="00A0640D">
              <w:rPr>
                <w:rStyle w:val="Continuedintitle"/>
              </w:rPr>
              <w:t>c</w:t>
            </w:r>
            <w:r w:rsidR="00A0640D" w:rsidRPr="00A0640D">
              <w:rPr>
                <w:rStyle w:val="Continuedintitle"/>
              </w:rPr>
              <w:t>ontinued)</w:t>
            </w:r>
          </w:p>
        </w:tc>
      </w:tr>
      <w:tr w:rsidR="00773EF8" w:rsidTr="00EE4D91">
        <w:trPr>
          <w:gridAfter w:val="1"/>
          <w:wAfter w:w="138" w:type="dxa"/>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379"/>
              <w:gridCol w:w="530"/>
              <w:gridCol w:w="10"/>
              <w:gridCol w:w="687"/>
              <w:gridCol w:w="7"/>
              <w:gridCol w:w="694"/>
              <w:gridCol w:w="699"/>
              <w:gridCol w:w="698"/>
              <w:gridCol w:w="698"/>
              <w:gridCol w:w="698"/>
              <w:gridCol w:w="698"/>
              <w:gridCol w:w="689"/>
            </w:tblGrid>
            <w:tr w:rsidR="00773EF8" w:rsidTr="007216FF">
              <w:tc>
                <w:tcPr>
                  <w:tcW w:w="1402" w:type="pct"/>
                  <w:tcBorders>
                    <w:top w:val="single" w:sz="6" w:space="0" w:color="BFBFBF"/>
                    <w:bottom w:val="single" w:sz="6" w:space="0" w:color="BFBFBF"/>
                  </w:tcBorders>
                  <w:shd w:val="clear" w:color="auto" w:fill="auto"/>
                  <w:tcMar>
                    <w:top w:w="28" w:type="dxa"/>
                  </w:tcMar>
                </w:tcPr>
                <w:p w:rsidR="00773EF8" w:rsidRDefault="00773EF8" w:rsidP="00EE4D91">
                  <w:pPr>
                    <w:pStyle w:val="TableColumnHeading"/>
                    <w:jc w:val="left"/>
                  </w:pPr>
                </w:p>
              </w:tc>
              <w:tc>
                <w:tcPr>
                  <w:tcW w:w="318" w:type="pct"/>
                  <w:gridSpan w:val="2"/>
                  <w:tcBorders>
                    <w:top w:val="single" w:sz="6" w:space="0" w:color="BFBFBF"/>
                    <w:bottom w:val="single" w:sz="6" w:space="0" w:color="BFBFBF"/>
                  </w:tcBorders>
                  <w:shd w:val="clear" w:color="auto" w:fill="auto"/>
                </w:tcPr>
                <w:p w:rsidR="00773EF8" w:rsidRPr="003354AD" w:rsidRDefault="00773EF8" w:rsidP="00EE4D91">
                  <w:pPr>
                    <w:pStyle w:val="TableColumnHeading"/>
                    <w:rPr>
                      <w:szCs w:val="18"/>
                    </w:rPr>
                  </w:pPr>
                  <w:r w:rsidRPr="003354AD">
                    <w:rPr>
                      <w:szCs w:val="18"/>
                    </w:rPr>
                    <w:t>NSW</w:t>
                  </w:r>
                </w:p>
              </w:tc>
              <w:tc>
                <w:tcPr>
                  <w:tcW w:w="409" w:type="pct"/>
                  <w:gridSpan w:val="2"/>
                  <w:tcBorders>
                    <w:top w:val="single" w:sz="6" w:space="0" w:color="BFBFBF"/>
                    <w:bottom w:val="single" w:sz="6" w:space="0" w:color="BFBFBF"/>
                  </w:tcBorders>
                  <w:shd w:val="clear" w:color="auto" w:fill="auto"/>
                </w:tcPr>
                <w:p w:rsidR="00773EF8" w:rsidRPr="003354AD" w:rsidRDefault="00773EF8" w:rsidP="00EE4D91">
                  <w:pPr>
                    <w:pStyle w:val="TableColumnHeading"/>
                    <w:rPr>
                      <w:szCs w:val="18"/>
                    </w:rPr>
                  </w:pPr>
                  <w:r w:rsidRPr="003354AD">
                    <w:rPr>
                      <w:szCs w:val="18"/>
                    </w:rPr>
                    <w:t>Vic</w:t>
                  </w:r>
                </w:p>
              </w:tc>
              <w:tc>
                <w:tcPr>
                  <w:tcW w:w="409" w:type="pct"/>
                  <w:tcBorders>
                    <w:top w:val="single" w:sz="6" w:space="0" w:color="BFBFBF"/>
                    <w:bottom w:val="single" w:sz="6" w:space="0" w:color="BFBFBF"/>
                  </w:tcBorders>
                  <w:shd w:val="clear" w:color="auto" w:fill="auto"/>
                  <w:tcMar>
                    <w:top w:w="28" w:type="dxa"/>
                  </w:tcMar>
                </w:tcPr>
                <w:p w:rsidR="00773EF8" w:rsidRPr="003354AD" w:rsidRDefault="00773EF8" w:rsidP="00EE4D91">
                  <w:pPr>
                    <w:pStyle w:val="TableColumnHeading"/>
                    <w:rPr>
                      <w:szCs w:val="18"/>
                    </w:rPr>
                  </w:pPr>
                  <w:r w:rsidRPr="003354AD">
                    <w:rPr>
                      <w:szCs w:val="18"/>
                    </w:rPr>
                    <w:t>Qld</w:t>
                  </w:r>
                </w:p>
              </w:tc>
              <w:tc>
                <w:tcPr>
                  <w:tcW w:w="412" w:type="pct"/>
                  <w:tcBorders>
                    <w:top w:val="single" w:sz="6" w:space="0" w:color="BFBFBF"/>
                    <w:bottom w:val="single" w:sz="6" w:space="0" w:color="BFBFBF"/>
                  </w:tcBorders>
                  <w:shd w:val="clear" w:color="auto" w:fill="auto"/>
                </w:tcPr>
                <w:p w:rsidR="00773EF8" w:rsidRPr="003354AD" w:rsidRDefault="00773EF8" w:rsidP="00EE4D91">
                  <w:pPr>
                    <w:pStyle w:val="TableColumnHeading"/>
                    <w:rPr>
                      <w:szCs w:val="18"/>
                    </w:rPr>
                  </w:pPr>
                  <w:r w:rsidRPr="003354AD">
                    <w:rPr>
                      <w:szCs w:val="18"/>
                    </w:rPr>
                    <w:t>WA</w:t>
                  </w:r>
                </w:p>
              </w:tc>
              <w:tc>
                <w:tcPr>
                  <w:tcW w:w="411" w:type="pct"/>
                  <w:tcBorders>
                    <w:top w:val="single" w:sz="6" w:space="0" w:color="BFBFBF"/>
                    <w:bottom w:val="single" w:sz="6" w:space="0" w:color="BFBFBF"/>
                  </w:tcBorders>
                  <w:shd w:val="clear" w:color="auto" w:fill="auto"/>
                </w:tcPr>
                <w:p w:rsidR="00773EF8" w:rsidRPr="003354AD" w:rsidRDefault="00773EF8" w:rsidP="00EE4D91">
                  <w:pPr>
                    <w:pStyle w:val="TableColumnHeading"/>
                    <w:rPr>
                      <w:szCs w:val="18"/>
                    </w:rPr>
                  </w:pPr>
                  <w:r w:rsidRPr="003354AD">
                    <w:rPr>
                      <w:szCs w:val="18"/>
                    </w:rPr>
                    <w:t>SA</w:t>
                  </w:r>
                </w:p>
              </w:tc>
              <w:tc>
                <w:tcPr>
                  <w:tcW w:w="411" w:type="pct"/>
                  <w:tcBorders>
                    <w:top w:val="single" w:sz="6" w:space="0" w:color="BFBFBF"/>
                    <w:bottom w:val="single" w:sz="6" w:space="0" w:color="BFBFBF"/>
                  </w:tcBorders>
                  <w:shd w:val="clear" w:color="auto" w:fill="auto"/>
                  <w:tcMar>
                    <w:top w:w="28" w:type="dxa"/>
                  </w:tcMar>
                </w:tcPr>
                <w:p w:rsidR="00773EF8" w:rsidRPr="003354AD" w:rsidRDefault="00773EF8" w:rsidP="00EE4D91">
                  <w:pPr>
                    <w:pStyle w:val="TableColumnHeading"/>
                    <w:rPr>
                      <w:szCs w:val="18"/>
                    </w:rPr>
                  </w:pPr>
                  <w:r w:rsidRPr="003354AD">
                    <w:rPr>
                      <w:szCs w:val="18"/>
                    </w:rPr>
                    <w:t>Tas</w:t>
                  </w:r>
                </w:p>
              </w:tc>
              <w:tc>
                <w:tcPr>
                  <w:tcW w:w="411" w:type="pct"/>
                  <w:tcBorders>
                    <w:top w:val="single" w:sz="6" w:space="0" w:color="BFBFBF"/>
                    <w:bottom w:val="single" w:sz="6" w:space="0" w:color="BFBFBF"/>
                  </w:tcBorders>
                  <w:shd w:val="clear" w:color="auto" w:fill="auto"/>
                </w:tcPr>
                <w:p w:rsidR="00773EF8" w:rsidRPr="003354AD" w:rsidRDefault="00773EF8" w:rsidP="00EE4D91">
                  <w:pPr>
                    <w:pStyle w:val="TableColumnHeading"/>
                    <w:rPr>
                      <w:szCs w:val="18"/>
                    </w:rPr>
                  </w:pPr>
                  <w:r w:rsidRPr="003354AD">
                    <w:rPr>
                      <w:szCs w:val="18"/>
                    </w:rPr>
                    <w:t>ACT</w:t>
                  </w:r>
                </w:p>
              </w:tc>
              <w:tc>
                <w:tcPr>
                  <w:tcW w:w="411" w:type="pct"/>
                  <w:tcBorders>
                    <w:top w:val="single" w:sz="6" w:space="0" w:color="BFBFBF"/>
                    <w:bottom w:val="single" w:sz="6" w:space="0" w:color="BFBFBF"/>
                  </w:tcBorders>
                  <w:shd w:val="clear" w:color="auto" w:fill="auto"/>
                </w:tcPr>
                <w:p w:rsidR="00773EF8" w:rsidRPr="003354AD" w:rsidRDefault="00773EF8" w:rsidP="00EE4D91">
                  <w:pPr>
                    <w:pStyle w:val="TableColumnHeading"/>
                    <w:rPr>
                      <w:szCs w:val="18"/>
                    </w:rPr>
                  </w:pPr>
                  <w:r w:rsidRPr="003354AD">
                    <w:rPr>
                      <w:szCs w:val="18"/>
                    </w:rPr>
                    <w:t>NT</w:t>
                  </w:r>
                </w:p>
              </w:tc>
              <w:tc>
                <w:tcPr>
                  <w:tcW w:w="406" w:type="pct"/>
                  <w:tcBorders>
                    <w:top w:val="single" w:sz="6" w:space="0" w:color="BFBFBF"/>
                    <w:bottom w:val="single" w:sz="6" w:space="0" w:color="BFBFBF"/>
                  </w:tcBorders>
                  <w:shd w:val="clear" w:color="auto" w:fill="auto"/>
                </w:tcPr>
                <w:p w:rsidR="00773EF8" w:rsidRPr="003354AD" w:rsidRDefault="00773EF8" w:rsidP="00EE4D91">
                  <w:pPr>
                    <w:pStyle w:val="TableColumnHeading"/>
                    <w:ind w:right="28"/>
                    <w:rPr>
                      <w:szCs w:val="18"/>
                    </w:rPr>
                  </w:pPr>
                  <w:r w:rsidRPr="003354AD">
                    <w:rPr>
                      <w:szCs w:val="18"/>
                    </w:rPr>
                    <w:t>Aust</w:t>
                  </w:r>
                </w:p>
              </w:tc>
            </w:tr>
            <w:tr w:rsidR="00773EF8" w:rsidTr="000A2BE0">
              <w:tc>
                <w:tcPr>
                  <w:tcW w:w="5000" w:type="pct"/>
                  <w:gridSpan w:val="12"/>
                  <w:tcBorders>
                    <w:top w:val="single" w:sz="6" w:space="0" w:color="BFBFBF"/>
                  </w:tcBorders>
                </w:tcPr>
                <w:p w:rsidR="00773EF8" w:rsidRDefault="00773EF8" w:rsidP="00EE4D91">
                  <w:pPr>
                    <w:pStyle w:val="TableUnitsRow"/>
                    <w:ind w:right="28"/>
                    <w:jc w:val="left"/>
                  </w:pPr>
                  <w:r w:rsidRPr="003354AD">
                    <w:rPr>
                      <w:b/>
                      <w:szCs w:val="18"/>
                    </w:rPr>
                    <w:t>CaLD backgrounds</w:t>
                  </w:r>
                </w:p>
              </w:tc>
            </w:tr>
            <w:tr w:rsidR="00773EF8" w:rsidTr="007216FF">
              <w:tc>
                <w:tcPr>
                  <w:tcW w:w="1402" w:type="pct"/>
                </w:tcPr>
                <w:p w:rsidR="00773EF8" w:rsidRPr="002470BA" w:rsidRDefault="00773EF8" w:rsidP="002470BA">
                  <w:pPr>
                    <w:pStyle w:val="TableBodyText"/>
                    <w:ind w:left="113"/>
                    <w:jc w:val="left"/>
                    <w:rPr>
                      <w:i/>
                    </w:rPr>
                  </w:pPr>
                  <w:r w:rsidRPr="002470BA">
                    <w:rPr>
                      <w:i/>
                    </w:rPr>
                    <w:t xml:space="preserve">Aged care target population, June 2011 </w:t>
                  </w:r>
                </w:p>
              </w:tc>
              <w:tc>
                <w:tcPr>
                  <w:tcW w:w="318" w:type="pct"/>
                  <w:gridSpan w:val="2"/>
                </w:tcPr>
                <w:p w:rsidR="00773EF8" w:rsidRPr="00341DD3" w:rsidRDefault="00773EF8" w:rsidP="00341DD3">
                  <w:pPr>
                    <w:pStyle w:val="TableBodyText"/>
                  </w:pPr>
                  <w:r w:rsidRPr="00341DD3">
                    <w:t>24.6</w:t>
                  </w:r>
                </w:p>
              </w:tc>
              <w:tc>
                <w:tcPr>
                  <w:tcW w:w="409" w:type="pct"/>
                  <w:gridSpan w:val="2"/>
                </w:tcPr>
                <w:p w:rsidR="00773EF8" w:rsidRPr="00341DD3" w:rsidRDefault="00773EF8" w:rsidP="00341DD3">
                  <w:pPr>
                    <w:pStyle w:val="TableBodyText"/>
                  </w:pPr>
                  <w:r w:rsidRPr="00341DD3">
                    <w:t>30.6</w:t>
                  </w:r>
                </w:p>
              </w:tc>
              <w:tc>
                <w:tcPr>
                  <w:tcW w:w="409" w:type="pct"/>
                </w:tcPr>
                <w:p w:rsidR="00773EF8" w:rsidRPr="00341DD3" w:rsidRDefault="00773EF8" w:rsidP="00341DD3">
                  <w:pPr>
                    <w:pStyle w:val="TableBodyText"/>
                  </w:pPr>
                  <w:r w:rsidRPr="00341DD3">
                    <w:t>12.1</w:t>
                  </w:r>
                </w:p>
              </w:tc>
              <w:tc>
                <w:tcPr>
                  <w:tcW w:w="412" w:type="pct"/>
                </w:tcPr>
                <w:p w:rsidR="00773EF8" w:rsidRPr="00341DD3" w:rsidRDefault="00773EF8" w:rsidP="00341DD3">
                  <w:pPr>
                    <w:pStyle w:val="TableBodyText"/>
                  </w:pPr>
                  <w:r w:rsidRPr="00341DD3">
                    <w:t>20.3</w:t>
                  </w:r>
                </w:p>
              </w:tc>
              <w:tc>
                <w:tcPr>
                  <w:tcW w:w="411" w:type="pct"/>
                </w:tcPr>
                <w:p w:rsidR="00773EF8" w:rsidRPr="00341DD3" w:rsidRDefault="00773EF8" w:rsidP="00341DD3">
                  <w:pPr>
                    <w:pStyle w:val="TableBodyText"/>
                  </w:pPr>
                  <w:r w:rsidRPr="00341DD3">
                    <w:t>20.3</w:t>
                  </w:r>
                </w:p>
              </w:tc>
              <w:tc>
                <w:tcPr>
                  <w:tcW w:w="411" w:type="pct"/>
                </w:tcPr>
                <w:p w:rsidR="00773EF8" w:rsidRPr="00341DD3" w:rsidRDefault="00773EF8" w:rsidP="00341DD3">
                  <w:pPr>
                    <w:pStyle w:val="TableBodyText"/>
                  </w:pPr>
                  <w:r w:rsidRPr="00341DD3">
                    <w:t>8.0</w:t>
                  </w:r>
                </w:p>
              </w:tc>
              <w:tc>
                <w:tcPr>
                  <w:tcW w:w="411" w:type="pct"/>
                </w:tcPr>
                <w:p w:rsidR="00773EF8" w:rsidRPr="00341DD3" w:rsidRDefault="00773EF8" w:rsidP="00341DD3">
                  <w:pPr>
                    <w:pStyle w:val="TableBodyText"/>
                  </w:pPr>
                  <w:r w:rsidRPr="00341DD3">
                    <w:t>26.0</w:t>
                  </w:r>
                </w:p>
              </w:tc>
              <w:tc>
                <w:tcPr>
                  <w:tcW w:w="411" w:type="pct"/>
                </w:tcPr>
                <w:p w:rsidR="00773EF8" w:rsidRPr="00341DD3" w:rsidRDefault="00773EF8" w:rsidP="00341DD3">
                  <w:pPr>
                    <w:pStyle w:val="TableBodyText"/>
                  </w:pPr>
                  <w:r w:rsidRPr="00341DD3">
                    <w:t>20.4</w:t>
                  </w:r>
                </w:p>
              </w:tc>
              <w:tc>
                <w:tcPr>
                  <w:tcW w:w="406" w:type="pct"/>
                </w:tcPr>
                <w:p w:rsidR="00773EF8" w:rsidRPr="00341DD3" w:rsidRDefault="00773EF8" w:rsidP="002470BA">
                  <w:pPr>
                    <w:pStyle w:val="TableBodyText"/>
                    <w:ind w:right="28"/>
                  </w:pPr>
                  <w:r w:rsidRPr="00341DD3">
                    <w:t>22.6</w:t>
                  </w:r>
                </w:p>
              </w:tc>
            </w:tr>
            <w:tr w:rsidR="00773EF8" w:rsidTr="007216FF">
              <w:tc>
                <w:tcPr>
                  <w:tcW w:w="1402" w:type="pct"/>
                </w:tcPr>
                <w:p w:rsidR="00773EF8" w:rsidRPr="003354AD" w:rsidRDefault="00773EF8" w:rsidP="002470BA">
                  <w:pPr>
                    <w:pStyle w:val="TableBodyText"/>
                    <w:ind w:left="113"/>
                    <w:jc w:val="left"/>
                  </w:pPr>
                  <w:r w:rsidRPr="003354AD">
                    <w:t>ACAT assessments, 201</w:t>
                  </w:r>
                  <w:r>
                    <w:t>4</w:t>
                  </w:r>
                  <w:r>
                    <w:noBreakHyphen/>
                  </w:r>
                  <w:r w:rsidRPr="003354AD">
                    <w:t>1</w:t>
                  </w:r>
                  <w:r>
                    <w:t>5</w:t>
                  </w:r>
                </w:p>
              </w:tc>
              <w:tc>
                <w:tcPr>
                  <w:tcW w:w="318" w:type="pct"/>
                  <w:gridSpan w:val="2"/>
                </w:tcPr>
                <w:p w:rsidR="00773EF8" w:rsidRPr="00573256" w:rsidRDefault="00773EF8" w:rsidP="00341DD3">
                  <w:pPr>
                    <w:pStyle w:val="TableBodyText"/>
                  </w:pPr>
                  <w:r w:rsidRPr="00573256">
                    <w:t>20.3</w:t>
                  </w:r>
                </w:p>
              </w:tc>
              <w:tc>
                <w:tcPr>
                  <w:tcW w:w="409" w:type="pct"/>
                  <w:gridSpan w:val="2"/>
                </w:tcPr>
                <w:p w:rsidR="00773EF8" w:rsidRPr="00573256" w:rsidRDefault="00773EF8" w:rsidP="00341DD3">
                  <w:pPr>
                    <w:pStyle w:val="TableBodyText"/>
                  </w:pPr>
                  <w:r w:rsidRPr="00573256">
                    <w:t>28.6</w:t>
                  </w:r>
                </w:p>
              </w:tc>
              <w:tc>
                <w:tcPr>
                  <w:tcW w:w="409" w:type="pct"/>
                </w:tcPr>
                <w:p w:rsidR="00773EF8" w:rsidRPr="00573256" w:rsidRDefault="00773EF8" w:rsidP="00341DD3">
                  <w:pPr>
                    <w:pStyle w:val="TableBodyText"/>
                  </w:pPr>
                  <w:r w:rsidRPr="00573256">
                    <w:t>11.0</w:t>
                  </w:r>
                </w:p>
              </w:tc>
              <w:tc>
                <w:tcPr>
                  <w:tcW w:w="412" w:type="pct"/>
                </w:tcPr>
                <w:p w:rsidR="00773EF8" w:rsidRPr="00573256" w:rsidRDefault="00773EF8" w:rsidP="00341DD3">
                  <w:pPr>
                    <w:pStyle w:val="TableBodyText"/>
                  </w:pPr>
                  <w:r w:rsidRPr="00573256">
                    <w:t>20.6</w:t>
                  </w:r>
                </w:p>
              </w:tc>
              <w:tc>
                <w:tcPr>
                  <w:tcW w:w="411" w:type="pct"/>
                </w:tcPr>
                <w:p w:rsidR="00773EF8" w:rsidRPr="00573256" w:rsidRDefault="00773EF8" w:rsidP="00341DD3">
                  <w:pPr>
                    <w:pStyle w:val="TableBodyText"/>
                  </w:pPr>
                  <w:r w:rsidRPr="00573256">
                    <w:t>18.6</w:t>
                  </w:r>
                </w:p>
              </w:tc>
              <w:tc>
                <w:tcPr>
                  <w:tcW w:w="411" w:type="pct"/>
                </w:tcPr>
                <w:p w:rsidR="00773EF8" w:rsidRPr="00573256" w:rsidRDefault="00773EF8" w:rsidP="00341DD3">
                  <w:pPr>
                    <w:pStyle w:val="TableBodyText"/>
                  </w:pPr>
                  <w:r w:rsidRPr="00573256">
                    <w:t>8.8</w:t>
                  </w:r>
                </w:p>
              </w:tc>
              <w:tc>
                <w:tcPr>
                  <w:tcW w:w="411" w:type="pct"/>
                </w:tcPr>
                <w:p w:rsidR="00773EF8" w:rsidRPr="00573256" w:rsidRDefault="00773EF8" w:rsidP="00341DD3">
                  <w:pPr>
                    <w:pStyle w:val="TableBodyText"/>
                  </w:pPr>
                  <w:r w:rsidRPr="00573256">
                    <w:t>22.8</w:t>
                  </w:r>
                </w:p>
              </w:tc>
              <w:tc>
                <w:tcPr>
                  <w:tcW w:w="411" w:type="pct"/>
                </w:tcPr>
                <w:p w:rsidR="00773EF8" w:rsidRPr="00573256" w:rsidRDefault="00773EF8" w:rsidP="00341DD3">
                  <w:pPr>
                    <w:pStyle w:val="TableBodyText"/>
                  </w:pPr>
                  <w:r w:rsidRPr="00573256">
                    <w:t>17.3</w:t>
                  </w:r>
                </w:p>
              </w:tc>
              <w:tc>
                <w:tcPr>
                  <w:tcW w:w="406" w:type="pct"/>
                </w:tcPr>
                <w:p w:rsidR="00773EF8" w:rsidRPr="00573256" w:rsidRDefault="00773EF8" w:rsidP="002470BA">
                  <w:pPr>
                    <w:pStyle w:val="TableBodyText"/>
                    <w:ind w:right="28"/>
                  </w:pPr>
                  <w:r w:rsidRPr="00573256">
                    <w:t>20.7</w:t>
                  </w:r>
                </w:p>
              </w:tc>
            </w:tr>
            <w:tr w:rsidR="00773EF8" w:rsidTr="007216FF">
              <w:tc>
                <w:tcPr>
                  <w:tcW w:w="1402" w:type="pct"/>
                </w:tcPr>
                <w:p w:rsidR="00773EF8" w:rsidRPr="003354AD" w:rsidRDefault="00773EF8" w:rsidP="002470BA">
                  <w:pPr>
                    <w:pStyle w:val="TableBodyText"/>
                    <w:ind w:left="113"/>
                    <w:jc w:val="left"/>
                  </w:pPr>
                  <w:r w:rsidRPr="003354AD">
                    <w:t xml:space="preserve">Residential aged care, </w:t>
                  </w:r>
                  <w:r w:rsidRPr="00BA3272">
                    <w:t>30</w:t>
                  </w:r>
                  <w:r>
                    <w:t> </w:t>
                  </w:r>
                  <w:r w:rsidRPr="003354AD">
                    <w:t>June 201</w:t>
                  </w:r>
                  <w:r>
                    <w:t>6</w:t>
                  </w:r>
                </w:p>
              </w:tc>
              <w:tc>
                <w:tcPr>
                  <w:tcW w:w="318" w:type="pct"/>
                  <w:gridSpan w:val="2"/>
                </w:tcPr>
                <w:p w:rsidR="00773EF8" w:rsidRPr="00573256" w:rsidRDefault="00773EF8" w:rsidP="00341DD3">
                  <w:pPr>
                    <w:pStyle w:val="TableBodyText"/>
                  </w:pPr>
                  <w:r w:rsidRPr="00573256">
                    <w:t xml:space="preserve"> 20.5</w:t>
                  </w:r>
                </w:p>
              </w:tc>
              <w:tc>
                <w:tcPr>
                  <w:tcW w:w="409" w:type="pct"/>
                  <w:gridSpan w:val="2"/>
                </w:tcPr>
                <w:p w:rsidR="00773EF8" w:rsidRPr="00573256" w:rsidRDefault="00773EF8" w:rsidP="00341DD3">
                  <w:pPr>
                    <w:pStyle w:val="TableBodyText"/>
                  </w:pPr>
                  <w:r w:rsidRPr="00573256">
                    <w:t xml:space="preserve">  24.9</w:t>
                  </w:r>
                </w:p>
              </w:tc>
              <w:tc>
                <w:tcPr>
                  <w:tcW w:w="409" w:type="pct"/>
                </w:tcPr>
                <w:p w:rsidR="00773EF8" w:rsidRPr="00573256" w:rsidRDefault="00773EF8" w:rsidP="00341DD3">
                  <w:pPr>
                    <w:pStyle w:val="TableBodyText"/>
                  </w:pPr>
                  <w:r w:rsidRPr="00573256">
                    <w:t xml:space="preserve">  10.4</w:t>
                  </w:r>
                </w:p>
              </w:tc>
              <w:tc>
                <w:tcPr>
                  <w:tcW w:w="412" w:type="pct"/>
                </w:tcPr>
                <w:p w:rsidR="00773EF8" w:rsidRPr="00573256" w:rsidRDefault="00773EF8" w:rsidP="00341DD3">
                  <w:pPr>
                    <w:pStyle w:val="TableBodyText"/>
                  </w:pPr>
                  <w:r w:rsidRPr="00573256">
                    <w:t xml:space="preserve">  18.4</w:t>
                  </w:r>
                </w:p>
              </w:tc>
              <w:tc>
                <w:tcPr>
                  <w:tcW w:w="411" w:type="pct"/>
                </w:tcPr>
                <w:p w:rsidR="00773EF8" w:rsidRPr="00573256" w:rsidRDefault="00773EF8" w:rsidP="00341DD3">
                  <w:pPr>
                    <w:pStyle w:val="TableBodyText"/>
                  </w:pPr>
                  <w:r w:rsidRPr="00573256">
                    <w:t xml:space="preserve">  17.5</w:t>
                  </w:r>
                </w:p>
              </w:tc>
              <w:tc>
                <w:tcPr>
                  <w:tcW w:w="411" w:type="pct"/>
                </w:tcPr>
                <w:p w:rsidR="00773EF8" w:rsidRPr="00573256" w:rsidRDefault="00773EF8" w:rsidP="00341DD3">
                  <w:pPr>
                    <w:pStyle w:val="TableBodyText"/>
                  </w:pPr>
                  <w:r w:rsidRPr="00573256">
                    <w:t xml:space="preserve">  6.6</w:t>
                  </w:r>
                </w:p>
              </w:tc>
              <w:tc>
                <w:tcPr>
                  <w:tcW w:w="411" w:type="pct"/>
                </w:tcPr>
                <w:p w:rsidR="00773EF8" w:rsidRPr="00573256" w:rsidRDefault="00773EF8" w:rsidP="00341DD3">
                  <w:pPr>
                    <w:pStyle w:val="TableBodyText"/>
                  </w:pPr>
                  <w:r w:rsidRPr="00573256">
                    <w:t xml:space="preserve">  21.6</w:t>
                  </w:r>
                </w:p>
              </w:tc>
              <w:tc>
                <w:tcPr>
                  <w:tcW w:w="411" w:type="pct"/>
                </w:tcPr>
                <w:p w:rsidR="00773EF8" w:rsidRPr="00573256" w:rsidRDefault="00773EF8" w:rsidP="00341DD3">
                  <w:pPr>
                    <w:pStyle w:val="TableBodyText"/>
                  </w:pPr>
                  <w:r w:rsidRPr="00573256">
                    <w:t xml:space="preserve">  15.0</w:t>
                  </w:r>
                </w:p>
              </w:tc>
              <w:tc>
                <w:tcPr>
                  <w:tcW w:w="406" w:type="pct"/>
                </w:tcPr>
                <w:p w:rsidR="00773EF8" w:rsidRPr="00573256" w:rsidRDefault="00773EF8" w:rsidP="002470BA">
                  <w:pPr>
                    <w:pStyle w:val="TableBodyText"/>
                    <w:ind w:right="28"/>
                  </w:pPr>
                  <w:r w:rsidRPr="00573256">
                    <w:t xml:space="preserve"> 19.0</w:t>
                  </w:r>
                </w:p>
              </w:tc>
            </w:tr>
            <w:tr w:rsidR="00773EF8" w:rsidTr="007216FF">
              <w:trPr>
                <w:trHeight w:val="396"/>
              </w:trPr>
              <w:tc>
                <w:tcPr>
                  <w:tcW w:w="1402" w:type="pct"/>
                </w:tcPr>
                <w:p w:rsidR="00773EF8" w:rsidRPr="003354AD" w:rsidRDefault="00773EF8" w:rsidP="002470BA">
                  <w:pPr>
                    <w:pStyle w:val="TableBodyText"/>
                    <w:ind w:left="113"/>
                    <w:jc w:val="left"/>
                  </w:pPr>
                  <w:r w:rsidRPr="003354AD">
                    <w:t>Home care levels 1‒2, 30</w:t>
                  </w:r>
                  <w:r>
                    <w:t> </w:t>
                  </w:r>
                  <w:r w:rsidRPr="003354AD">
                    <w:t xml:space="preserve">June </w:t>
                  </w:r>
                  <w:r w:rsidRPr="00573256">
                    <w:t>2016</w:t>
                  </w:r>
                </w:p>
              </w:tc>
              <w:tc>
                <w:tcPr>
                  <w:tcW w:w="318" w:type="pct"/>
                  <w:gridSpan w:val="2"/>
                </w:tcPr>
                <w:p w:rsidR="00773EF8" w:rsidRPr="00115C91" w:rsidRDefault="00773EF8" w:rsidP="00341DD3">
                  <w:pPr>
                    <w:pStyle w:val="TableBodyText"/>
                  </w:pPr>
                  <w:r w:rsidRPr="00115C91">
                    <w:t>27.2</w:t>
                  </w:r>
                </w:p>
              </w:tc>
              <w:tc>
                <w:tcPr>
                  <w:tcW w:w="409" w:type="pct"/>
                  <w:gridSpan w:val="2"/>
                </w:tcPr>
                <w:p w:rsidR="00773EF8" w:rsidRPr="00115C91" w:rsidRDefault="00773EF8" w:rsidP="00341DD3">
                  <w:pPr>
                    <w:pStyle w:val="TableBodyText"/>
                  </w:pPr>
                  <w:r w:rsidRPr="00115C91">
                    <w:t>36.0</w:t>
                  </w:r>
                </w:p>
              </w:tc>
              <w:tc>
                <w:tcPr>
                  <w:tcW w:w="409" w:type="pct"/>
                </w:tcPr>
                <w:p w:rsidR="00773EF8" w:rsidRPr="00115C91" w:rsidRDefault="00773EF8" w:rsidP="00341DD3">
                  <w:pPr>
                    <w:pStyle w:val="TableBodyText"/>
                  </w:pPr>
                  <w:r w:rsidRPr="00115C91">
                    <w:t>16.3</w:t>
                  </w:r>
                </w:p>
              </w:tc>
              <w:tc>
                <w:tcPr>
                  <w:tcW w:w="412" w:type="pct"/>
                </w:tcPr>
                <w:p w:rsidR="00773EF8" w:rsidRPr="00115C91" w:rsidRDefault="00773EF8" w:rsidP="00341DD3">
                  <w:pPr>
                    <w:pStyle w:val="TableBodyText"/>
                  </w:pPr>
                  <w:r w:rsidRPr="00115C91">
                    <w:t>27.6</w:t>
                  </w:r>
                </w:p>
              </w:tc>
              <w:tc>
                <w:tcPr>
                  <w:tcW w:w="411" w:type="pct"/>
                </w:tcPr>
                <w:p w:rsidR="00773EF8" w:rsidRPr="00115C91" w:rsidRDefault="00773EF8" w:rsidP="00341DD3">
                  <w:pPr>
                    <w:pStyle w:val="TableBodyText"/>
                  </w:pPr>
                  <w:r w:rsidRPr="00115C91">
                    <w:t>24.0</w:t>
                  </w:r>
                </w:p>
              </w:tc>
              <w:tc>
                <w:tcPr>
                  <w:tcW w:w="411" w:type="pct"/>
                </w:tcPr>
                <w:p w:rsidR="00773EF8" w:rsidRPr="00115C91" w:rsidRDefault="00773EF8" w:rsidP="00341DD3">
                  <w:pPr>
                    <w:pStyle w:val="TableBodyText"/>
                  </w:pPr>
                  <w:r w:rsidRPr="00115C91">
                    <w:t>12.4</w:t>
                  </w:r>
                </w:p>
              </w:tc>
              <w:tc>
                <w:tcPr>
                  <w:tcW w:w="411" w:type="pct"/>
                </w:tcPr>
                <w:p w:rsidR="00773EF8" w:rsidRPr="00115C91" w:rsidRDefault="00773EF8" w:rsidP="00341DD3">
                  <w:pPr>
                    <w:pStyle w:val="TableBodyText"/>
                  </w:pPr>
                  <w:r w:rsidRPr="00115C91">
                    <w:t>20.2</w:t>
                  </w:r>
                </w:p>
              </w:tc>
              <w:tc>
                <w:tcPr>
                  <w:tcW w:w="411" w:type="pct"/>
                </w:tcPr>
                <w:p w:rsidR="00773EF8" w:rsidRPr="00115C91" w:rsidRDefault="00773EF8" w:rsidP="00341DD3">
                  <w:pPr>
                    <w:pStyle w:val="TableBodyText"/>
                  </w:pPr>
                  <w:r w:rsidRPr="00115C91">
                    <w:t>15.9</w:t>
                  </w:r>
                </w:p>
              </w:tc>
              <w:tc>
                <w:tcPr>
                  <w:tcW w:w="406" w:type="pct"/>
                </w:tcPr>
                <w:p w:rsidR="00773EF8" w:rsidRPr="00115C91" w:rsidRDefault="00773EF8" w:rsidP="002470BA">
                  <w:pPr>
                    <w:pStyle w:val="TableBodyText"/>
                    <w:ind w:right="28"/>
                  </w:pPr>
                  <w:r w:rsidRPr="00115C91">
                    <w:t>27.0</w:t>
                  </w:r>
                </w:p>
              </w:tc>
            </w:tr>
            <w:tr w:rsidR="00773EF8" w:rsidTr="007216FF">
              <w:tc>
                <w:tcPr>
                  <w:tcW w:w="1402" w:type="pct"/>
                </w:tcPr>
                <w:p w:rsidR="00773EF8" w:rsidRPr="003354AD" w:rsidRDefault="00773EF8" w:rsidP="002470BA">
                  <w:pPr>
                    <w:pStyle w:val="TableBodyText"/>
                    <w:ind w:left="113"/>
                    <w:jc w:val="left"/>
                  </w:pPr>
                  <w:r w:rsidRPr="003354AD">
                    <w:t>Home care levels 3‒4, 30</w:t>
                  </w:r>
                  <w:r>
                    <w:t> </w:t>
                  </w:r>
                  <w:r w:rsidRPr="00BA3272">
                    <w:t>June</w:t>
                  </w:r>
                  <w:r w:rsidRPr="003354AD">
                    <w:t xml:space="preserve"> 201</w:t>
                  </w:r>
                  <w:r>
                    <w:t>6</w:t>
                  </w:r>
                </w:p>
              </w:tc>
              <w:tc>
                <w:tcPr>
                  <w:tcW w:w="318" w:type="pct"/>
                  <w:gridSpan w:val="2"/>
                </w:tcPr>
                <w:p w:rsidR="00773EF8" w:rsidRPr="00115C91" w:rsidRDefault="00773EF8" w:rsidP="00341DD3">
                  <w:pPr>
                    <w:pStyle w:val="TableBodyText"/>
                  </w:pPr>
                  <w:r w:rsidRPr="00115C91">
                    <w:t>27.8</w:t>
                  </w:r>
                </w:p>
              </w:tc>
              <w:tc>
                <w:tcPr>
                  <w:tcW w:w="409" w:type="pct"/>
                  <w:gridSpan w:val="2"/>
                </w:tcPr>
                <w:p w:rsidR="00773EF8" w:rsidRPr="00115C91" w:rsidRDefault="00773EF8" w:rsidP="00341DD3">
                  <w:pPr>
                    <w:pStyle w:val="TableBodyText"/>
                  </w:pPr>
                  <w:r w:rsidRPr="00115C91">
                    <w:t>39.7</w:t>
                  </w:r>
                </w:p>
              </w:tc>
              <w:tc>
                <w:tcPr>
                  <w:tcW w:w="409" w:type="pct"/>
                </w:tcPr>
                <w:p w:rsidR="00773EF8" w:rsidRPr="00115C91" w:rsidRDefault="00773EF8" w:rsidP="00341DD3">
                  <w:pPr>
                    <w:pStyle w:val="TableBodyText"/>
                  </w:pPr>
                  <w:r w:rsidRPr="00115C91">
                    <w:t>14.3</w:t>
                  </w:r>
                </w:p>
              </w:tc>
              <w:tc>
                <w:tcPr>
                  <w:tcW w:w="412" w:type="pct"/>
                </w:tcPr>
                <w:p w:rsidR="00773EF8" w:rsidRPr="00115C91" w:rsidRDefault="00773EF8" w:rsidP="00341DD3">
                  <w:pPr>
                    <w:pStyle w:val="TableBodyText"/>
                  </w:pPr>
                  <w:r w:rsidRPr="00115C91">
                    <w:t>25.3</w:t>
                  </w:r>
                </w:p>
              </w:tc>
              <w:tc>
                <w:tcPr>
                  <w:tcW w:w="411" w:type="pct"/>
                </w:tcPr>
                <w:p w:rsidR="00773EF8" w:rsidRPr="00115C91" w:rsidRDefault="00773EF8" w:rsidP="00341DD3">
                  <w:pPr>
                    <w:pStyle w:val="TableBodyText"/>
                  </w:pPr>
                  <w:r w:rsidRPr="00115C91">
                    <w:t>21.7</w:t>
                  </w:r>
                </w:p>
              </w:tc>
              <w:tc>
                <w:tcPr>
                  <w:tcW w:w="411" w:type="pct"/>
                </w:tcPr>
                <w:p w:rsidR="00773EF8" w:rsidRPr="00115C91" w:rsidRDefault="00773EF8" w:rsidP="00341DD3">
                  <w:pPr>
                    <w:pStyle w:val="TableBodyText"/>
                  </w:pPr>
                  <w:r w:rsidRPr="00115C91">
                    <w:t>14.7</w:t>
                  </w:r>
                </w:p>
              </w:tc>
              <w:tc>
                <w:tcPr>
                  <w:tcW w:w="411" w:type="pct"/>
                </w:tcPr>
                <w:p w:rsidR="00773EF8" w:rsidRPr="00115C91" w:rsidRDefault="00773EF8" w:rsidP="00341DD3">
                  <w:pPr>
                    <w:pStyle w:val="TableBodyText"/>
                  </w:pPr>
                  <w:r w:rsidRPr="00115C91">
                    <w:t>27.6</w:t>
                  </w:r>
                </w:p>
              </w:tc>
              <w:tc>
                <w:tcPr>
                  <w:tcW w:w="411" w:type="pct"/>
                </w:tcPr>
                <w:p w:rsidR="00773EF8" w:rsidRPr="00115C91" w:rsidRDefault="00773EF8" w:rsidP="00341DD3">
                  <w:pPr>
                    <w:pStyle w:val="TableBodyText"/>
                  </w:pPr>
                  <w:r w:rsidRPr="00115C91">
                    <w:t>27.2</w:t>
                  </w:r>
                </w:p>
              </w:tc>
              <w:tc>
                <w:tcPr>
                  <w:tcW w:w="406" w:type="pct"/>
                </w:tcPr>
                <w:p w:rsidR="00773EF8" w:rsidRPr="00115C91" w:rsidRDefault="00773EF8" w:rsidP="002470BA">
                  <w:pPr>
                    <w:pStyle w:val="TableBodyText"/>
                    <w:ind w:right="28"/>
                  </w:pPr>
                  <w:r w:rsidRPr="00115C91">
                    <w:t>26.9</w:t>
                  </w:r>
                </w:p>
              </w:tc>
            </w:tr>
            <w:tr w:rsidR="00641381" w:rsidTr="00101C35">
              <w:tc>
                <w:tcPr>
                  <w:tcW w:w="1402" w:type="pct"/>
                  <w:shd w:val="clear" w:color="auto" w:fill="FFFFFF" w:themeFill="background1"/>
                </w:tcPr>
                <w:p w:rsidR="00641381" w:rsidRPr="00101C35" w:rsidRDefault="00641381" w:rsidP="00673139">
                  <w:pPr>
                    <w:pStyle w:val="TableBodyText"/>
                    <w:ind w:left="113" w:hanging="22"/>
                    <w:jc w:val="left"/>
                    <w:rPr>
                      <w:szCs w:val="18"/>
                    </w:rPr>
                  </w:pPr>
                  <w:r w:rsidRPr="00101C35">
                    <w:rPr>
                      <w:szCs w:val="18"/>
                    </w:rPr>
                    <w:t>CHSP, 2015-16</w:t>
                  </w:r>
                </w:p>
              </w:tc>
              <w:tc>
                <w:tcPr>
                  <w:tcW w:w="312" w:type="pct"/>
                  <w:shd w:val="clear" w:color="auto" w:fill="FFFFFF" w:themeFill="background1"/>
                </w:tcPr>
                <w:p w:rsidR="00641381" w:rsidRPr="00101C35" w:rsidRDefault="00641381" w:rsidP="00673139">
                  <w:pPr>
                    <w:pStyle w:val="TableBodyText"/>
                  </w:pPr>
                  <w:r w:rsidRPr="00101C35">
                    <w:t>np</w:t>
                  </w:r>
                </w:p>
              </w:tc>
              <w:tc>
                <w:tcPr>
                  <w:tcW w:w="411" w:type="pct"/>
                  <w:gridSpan w:val="2"/>
                  <w:shd w:val="clear" w:color="auto" w:fill="FFFFFF" w:themeFill="background1"/>
                </w:tcPr>
                <w:p w:rsidR="00641381" w:rsidRPr="00101C35" w:rsidRDefault="00641381" w:rsidP="00673139">
                  <w:pPr>
                    <w:pStyle w:val="TableBodyText"/>
                  </w:pPr>
                  <w:r w:rsidRPr="00101C35">
                    <w:t>np</w:t>
                  </w:r>
                </w:p>
              </w:tc>
              <w:tc>
                <w:tcPr>
                  <w:tcW w:w="413" w:type="pct"/>
                  <w:gridSpan w:val="2"/>
                  <w:shd w:val="clear" w:color="auto" w:fill="FFFFFF" w:themeFill="background1"/>
                </w:tcPr>
                <w:p w:rsidR="00641381" w:rsidRPr="00101C35" w:rsidRDefault="00641381" w:rsidP="00673139">
                  <w:pPr>
                    <w:pStyle w:val="TableBodyText"/>
                  </w:pPr>
                  <w:r w:rsidRPr="00101C35">
                    <w:t>np</w:t>
                  </w:r>
                </w:p>
              </w:tc>
              <w:tc>
                <w:tcPr>
                  <w:tcW w:w="412" w:type="pct"/>
                  <w:shd w:val="clear" w:color="auto" w:fill="FFFFFF" w:themeFill="background1"/>
                </w:tcPr>
                <w:p w:rsidR="00641381" w:rsidRPr="00101C35" w:rsidRDefault="00641381" w:rsidP="00673139">
                  <w:pPr>
                    <w:pStyle w:val="TableBodyText"/>
                  </w:pPr>
                  <w:r w:rsidRPr="00101C35">
                    <w:t>np</w:t>
                  </w:r>
                </w:p>
              </w:tc>
              <w:tc>
                <w:tcPr>
                  <w:tcW w:w="411" w:type="pct"/>
                  <w:shd w:val="clear" w:color="auto" w:fill="FFFFFF" w:themeFill="background1"/>
                </w:tcPr>
                <w:p w:rsidR="00641381" w:rsidRPr="00101C35" w:rsidRDefault="00641381" w:rsidP="00673139">
                  <w:pPr>
                    <w:pStyle w:val="TableBodyText"/>
                  </w:pPr>
                  <w:r w:rsidRPr="00101C35">
                    <w:t>np</w:t>
                  </w:r>
                </w:p>
              </w:tc>
              <w:tc>
                <w:tcPr>
                  <w:tcW w:w="411" w:type="pct"/>
                  <w:shd w:val="clear" w:color="auto" w:fill="FFFFFF" w:themeFill="background1"/>
                </w:tcPr>
                <w:p w:rsidR="00641381" w:rsidRPr="00101C35" w:rsidRDefault="00641381" w:rsidP="00673139">
                  <w:pPr>
                    <w:pStyle w:val="TableBodyText"/>
                  </w:pPr>
                  <w:r w:rsidRPr="00101C35">
                    <w:t>np</w:t>
                  </w:r>
                </w:p>
              </w:tc>
              <w:tc>
                <w:tcPr>
                  <w:tcW w:w="411" w:type="pct"/>
                  <w:shd w:val="clear" w:color="auto" w:fill="FFFFFF" w:themeFill="background1"/>
                </w:tcPr>
                <w:p w:rsidR="00641381" w:rsidRPr="00101C35" w:rsidRDefault="00641381" w:rsidP="00673139">
                  <w:pPr>
                    <w:pStyle w:val="TableBodyText"/>
                  </w:pPr>
                  <w:r w:rsidRPr="00101C35">
                    <w:t>np</w:t>
                  </w:r>
                </w:p>
              </w:tc>
              <w:tc>
                <w:tcPr>
                  <w:tcW w:w="411" w:type="pct"/>
                  <w:shd w:val="clear" w:color="auto" w:fill="FFFFFF" w:themeFill="background1"/>
                </w:tcPr>
                <w:p w:rsidR="00641381" w:rsidRPr="00101C35" w:rsidRDefault="00641381" w:rsidP="00673139">
                  <w:pPr>
                    <w:pStyle w:val="TableBodyText"/>
                  </w:pPr>
                  <w:r w:rsidRPr="00101C35">
                    <w:t>np</w:t>
                  </w:r>
                </w:p>
              </w:tc>
              <w:tc>
                <w:tcPr>
                  <w:tcW w:w="406" w:type="pct"/>
                  <w:shd w:val="clear" w:color="auto" w:fill="FFFFFF" w:themeFill="background1"/>
                </w:tcPr>
                <w:p w:rsidR="00641381" w:rsidRPr="00101C35" w:rsidRDefault="00641381" w:rsidP="00673139">
                  <w:pPr>
                    <w:pStyle w:val="TableBodyText"/>
                    <w:ind w:right="28"/>
                  </w:pPr>
                  <w:r w:rsidRPr="00101C35">
                    <w:t>np</w:t>
                  </w:r>
                </w:p>
              </w:tc>
            </w:tr>
            <w:tr w:rsidR="00773EF8" w:rsidTr="007216FF">
              <w:tc>
                <w:tcPr>
                  <w:tcW w:w="1402" w:type="pct"/>
                </w:tcPr>
                <w:p w:rsidR="00773EF8" w:rsidRPr="003354AD" w:rsidRDefault="00773EF8" w:rsidP="002470BA">
                  <w:pPr>
                    <w:pStyle w:val="TableBodyText"/>
                    <w:ind w:left="113"/>
                    <w:jc w:val="left"/>
                  </w:pPr>
                  <w:r w:rsidRPr="003354AD">
                    <w:t>HACC, 201</w:t>
                  </w:r>
                  <w:r>
                    <w:t>5</w:t>
                  </w:r>
                  <w:r>
                    <w:noBreakHyphen/>
                  </w:r>
                  <w:r w:rsidRPr="003354AD">
                    <w:t>1</w:t>
                  </w:r>
                  <w:r>
                    <w:t>6</w:t>
                  </w:r>
                </w:p>
              </w:tc>
              <w:tc>
                <w:tcPr>
                  <w:tcW w:w="318" w:type="pct"/>
                  <w:gridSpan w:val="2"/>
                </w:tcPr>
                <w:p w:rsidR="00773EF8" w:rsidRPr="00FC0D90" w:rsidRDefault="00773EF8" w:rsidP="00341DD3">
                  <w:pPr>
                    <w:pStyle w:val="TableBodyText"/>
                  </w:pPr>
                  <w:r w:rsidRPr="00FC0D90">
                    <w:t xml:space="preserve">  </w:t>
                  </w:r>
                  <w:r>
                    <w:t>..</w:t>
                  </w:r>
                </w:p>
              </w:tc>
              <w:tc>
                <w:tcPr>
                  <w:tcW w:w="409" w:type="pct"/>
                  <w:gridSpan w:val="2"/>
                </w:tcPr>
                <w:p w:rsidR="00773EF8" w:rsidRPr="00FC0D90" w:rsidRDefault="00773EF8" w:rsidP="00341DD3">
                  <w:pPr>
                    <w:pStyle w:val="TableBodyText"/>
                  </w:pPr>
                  <w:r>
                    <w:t>28.0</w:t>
                  </w:r>
                </w:p>
              </w:tc>
              <w:tc>
                <w:tcPr>
                  <w:tcW w:w="409" w:type="pct"/>
                </w:tcPr>
                <w:p w:rsidR="00773EF8" w:rsidRPr="00FC0D90" w:rsidRDefault="00773EF8" w:rsidP="00341DD3">
                  <w:pPr>
                    <w:pStyle w:val="TableBodyText"/>
                  </w:pPr>
                  <w:r w:rsidRPr="00FC0D90">
                    <w:t xml:space="preserve">  </w:t>
                  </w:r>
                  <w:r>
                    <w:t>..</w:t>
                  </w:r>
                </w:p>
              </w:tc>
              <w:tc>
                <w:tcPr>
                  <w:tcW w:w="412" w:type="pct"/>
                </w:tcPr>
                <w:p w:rsidR="00773EF8" w:rsidRPr="00FC0D90" w:rsidRDefault="00773EF8" w:rsidP="00341DD3">
                  <w:pPr>
                    <w:pStyle w:val="TableBodyText"/>
                  </w:pPr>
                  <w:r w:rsidRPr="00016307">
                    <w:t>19.4</w:t>
                  </w:r>
                </w:p>
              </w:tc>
              <w:tc>
                <w:tcPr>
                  <w:tcW w:w="411" w:type="pct"/>
                </w:tcPr>
                <w:p w:rsidR="00773EF8" w:rsidRPr="00FC0D90" w:rsidRDefault="00773EF8" w:rsidP="00341DD3">
                  <w:pPr>
                    <w:pStyle w:val="TableBodyText"/>
                  </w:pPr>
                  <w:r>
                    <w:t>..</w:t>
                  </w:r>
                </w:p>
              </w:tc>
              <w:tc>
                <w:tcPr>
                  <w:tcW w:w="411" w:type="pct"/>
                </w:tcPr>
                <w:p w:rsidR="00773EF8" w:rsidRPr="00FC0D90" w:rsidRDefault="00773EF8" w:rsidP="00341DD3">
                  <w:pPr>
                    <w:pStyle w:val="TableBodyText"/>
                  </w:pPr>
                  <w:r>
                    <w:t>..</w:t>
                  </w:r>
                </w:p>
              </w:tc>
              <w:tc>
                <w:tcPr>
                  <w:tcW w:w="411" w:type="pct"/>
                </w:tcPr>
                <w:p w:rsidR="00773EF8" w:rsidRPr="00FC0D90" w:rsidRDefault="00773EF8" w:rsidP="00341DD3">
                  <w:pPr>
                    <w:pStyle w:val="TableBodyText"/>
                  </w:pPr>
                  <w:r w:rsidRPr="00FC0D90">
                    <w:t xml:space="preserve">  </w:t>
                  </w:r>
                  <w:r>
                    <w:t>..</w:t>
                  </w:r>
                </w:p>
              </w:tc>
              <w:tc>
                <w:tcPr>
                  <w:tcW w:w="411" w:type="pct"/>
                </w:tcPr>
                <w:p w:rsidR="00773EF8" w:rsidRPr="00FC0D90" w:rsidRDefault="00773EF8" w:rsidP="00341DD3">
                  <w:pPr>
                    <w:pStyle w:val="TableBodyText"/>
                  </w:pPr>
                  <w:r>
                    <w:t>..</w:t>
                  </w:r>
                </w:p>
              </w:tc>
              <w:tc>
                <w:tcPr>
                  <w:tcW w:w="406" w:type="pct"/>
                </w:tcPr>
                <w:p w:rsidR="00773EF8" w:rsidRDefault="00773EF8" w:rsidP="002470BA">
                  <w:pPr>
                    <w:pStyle w:val="TableBodyText"/>
                    <w:ind w:right="28"/>
                  </w:pPr>
                  <w:r>
                    <w:t>..</w:t>
                  </w:r>
                </w:p>
              </w:tc>
            </w:tr>
            <w:tr w:rsidR="00773EF8" w:rsidTr="007216FF">
              <w:tc>
                <w:tcPr>
                  <w:tcW w:w="1402" w:type="pct"/>
                  <w:tcBorders>
                    <w:bottom w:val="single" w:sz="6" w:space="0" w:color="BFBFBF"/>
                  </w:tcBorders>
                  <w:shd w:val="clear" w:color="auto" w:fill="auto"/>
                </w:tcPr>
                <w:p w:rsidR="00773EF8" w:rsidRPr="00F1156B" w:rsidRDefault="00773EF8" w:rsidP="002470BA">
                  <w:pPr>
                    <w:pStyle w:val="TableBodyText"/>
                    <w:ind w:left="113"/>
                    <w:jc w:val="left"/>
                  </w:pPr>
                  <w:r w:rsidRPr="00037BE6">
                    <w:t>Transition</w:t>
                  </w:r>
                  <w:r w:rsidRPr="00F1156B">
                    <w:t xml:space="preserve"> Care, 2015</w:t>
                  </w:r>
                  <w:r w:rsidRPr="00F1156B">
                    <w:noBreakHyphen/>
                    <w:t>16</w:t>
                  </w:r>
                </w:p>
              </w:tc>
              <w:tc>
                <w:tcPr>
                  <w:tcW w:w="318" w:type="pct"/>
                  <w:gridSpan w:val="2"/>
                  <w:tcBorders>
                    <w:bottom w:val="single" w:sz="6" w:space="0" w:color="BFBFBF"/>
                  </w:tcBorders>
                  <w:shd w:val="clear" w:color="auto" w:fill="auto"/>
                </w:tcPr>
                <w:p w:rsidR="00773EF8" w:rsidRPr="00037BE6" w:rsidRDefault="00773EF8" w:rsidP="00341DD3">
                  <w:pPr>
                    <w:pStyle w:val="TableBodyText"/>
                  </w:pPr>
                  <w:r w:rsidRPr="00037BE6">
                    <w:t>18.6</w:t>
                  </w:r>
                </w:p>
              </w:tc>
              <w:tc>
                <w:tcPr>
                  <w:tcW w:w="409" w:type="pct"/>
                  <w:gridSpan w:val="2"/>
                  <w:tcBorders>
                    <w:bottom w:val="single" w:sz="6" w:space="0" w:color="BFBFBF"/>
                  </w:tcBorders>
                  <w:shd w:val="clear" w:color="auto" w:fill="auto"/>
                </w:tcPr>
                <w:p w:rsidR="00773EF8" w:rsidRPr="00037BE6" w:rsidRDefault="00773EF8" w:rsidP="00341DD3">
                  <w:pPr>
                    <w:pStyle w:val="TableBodyText"/>
                  </w:pPr>
                  <w:r w:rsidRPr="00037BE6">
                    <w:t>30.7</w:t>
                  </w:r>
                </w:p>
              </w:tc>
              <w:tc>
                <w:tcPr>
                  <w:tcW w:w="409" w:type="pct"/>
                  <w:tcBorders>
                    <w:bottom w:val="single" w:sz="6" w:space="0" w:color="BFBFBF"/>
                  </w:tcBorders>
                  <w:shd w:val="clear" w:color="auto" w:fill="auto"/>
                </w:tcPr>
                <w:p w:rsidR="00773EF8" w:rsidRPr="00037BE6" w:rsidRDefault="00773EF8" w:rsidP="00341DD3">
                  <w:pPr>
                    <w:pStyle w:val="TableBodyText"/>
                  </w:pPr>
                  <w:r w:rsidRPr="00037BE6">
                    <w:t>11.4</w:t>
                  </w:r>
                </w:p>
              </w:tc>
              <w:tc>
                <w:tcPr>
                  <w:tcW w:w="412" w:type="pct"/>
                  <w:tcBorders>
                    <w:bottom w:val="single" w:sz="6" w:space="0" w:color="BFBFBF"/>
                  </w:tcBorders>
                  <w:shd w:val="clear" w:color="auto" w:fill="auto"/>
                </w:tcPr>
                <w:p w:rsidR="00773EF8" w:rsidRPr="00037BE6" w:rsidRDefault="00773EF8" w:rsidP="00341DD3">
                  <w:pPr>
                    <w:pStyle w:val="TableBodyText"/>
                  </w:pPr>
                  <w:r w:rsidRPr="00037BE6">
                    <w:t>21.8</w:t>
                  </w:r>
                </w:p>
              </w:tc>
              <w:tc>
                <w:tcPr>
                  <w:tcW w:w="411" w:type="pct"/>
                  <w:tcBorders>
                    <w:bottom w:val="single" w:sz="6" w:space="0" w:color="BFBFBF"/>
                  </w:tcBorders>
                  <w:shd w:val="clear" w:color="auto" w:fill="auto"/>
                </w:tcPr>
                <w:p w:rsidR="00773EF8" w:rsidRPr="00037BE6" w:rsidRDefault="00773EF8" w:rsidP="00341DD3">
                  <w:pPr>
                    <w:pStyle w:val="TableBodyText"/>
                  </w:pPr>
                  <w:r w:rsidRPr="00037BE6">
                    <w:t>21.5</w:t>
                  </w:r>
                </w:p>
              </w:tc>
              <w:tc>
                <w:tcPr>
                  <w:tcW w:w="411" w:type="pct"/>
                  <w:tcBorders>
                    <w:bottom w:val="single" w:sz="6" w:space="0" w:color="BFBFBF"/>
                  </w:tcBorders>
                  <w:shd w:val="clear" w:color="auto" w:fill="auto"/>
                </w:tcPr>
                <w:p w:rsidR="00773EF8" w:rsidRPr="00037BE6" w:rsidRDefault="00773EF8" w:rsidP="00341DD3">
                  <w:pPr>
                    <w:pStyle w:val="TableBodyText"/>
                  </w:pPr>
                  <w:r w:rsidRPr="00037BE6">
                    <w:t>7.8</w:t>
                  </w:r>
                </w:p>
              </w:tc>
              <w:tc>
                <w:tcPr>
                  <w:tcW w:w="411" w:type="pct"/>
                  <w:tcBorders>
                    <w:bottom w:val="single" w:sz="6" w:space="0" w:color="BFBFBF"/>
                  </w:tcBorders>
                  <w:shd w:val="clear" w:color="auto" w:fill="auto"/>
                </w:tcPr>
                <w:p w:rsidR="00773EF8" w:rsidRPr="00037BE6" w:rsidRDefault="00773EF8" w:rsidP="00341DD3">
                  <w:pPr>
                    <w:pStyle w:val="TableBodyText"/>
                  </w:pPr>
                  <w:r w:rsidRPr="00037BE6">
                    <w:t>19.3</w:t>
                  </w:r>
                </w:p>
              </w:tc>
              <w:tc>
                <w:tcPr>
                  <w:tcW w:w="411" w:type="pct"/>
                  <w:tcBorders>
                    <w:bottom w:val="single" w:sz="6" w:space="0" w:color="BFBFBF"/>
                  </w:tcBorders>
                  <w:shd w:val="clear" w:color="auto" w:fill="auto"/>
                </w:tcPr>
                <w:p w:rsidR="00773EF8" w:rsidRPr="00037BE6" w:rsidRDefault="00773EF8" w:rsidP="00341DD3">
                  <w:pPr>
                    <w:pStyle w:val="TableBodyText"/>
                  </w:pPr>
                  <w:r w:rsidRPr="00037BE6">
                    <w:t>11.8</w:t>
                  </w:r>
                </w:p>
              </w:tc>
              <w:tc>
                <w:tcPr>
                  <w:tcW w:w="406" w:type="pct"/>
                  <w:tcBorders>
                    <w:bottom w:val="single" w:sz="6" w:space="0" w:color="BFBFBF"/>
                  </w:tcBorders>
                  <w:shd w:val="clear" w:color="auto" w:fill="auto"/>
                </w:tcPr>
                <w:p w:rsidR="00773EF8" w:rsidRPr="00037BE6" w:rsidRDefault="00773EF8" w:rsidP="002470BA">
                  <w:pPr>
                    <w:pStyle w:val="TableBodyText"/>
                    <w:ind w:right="28"/>
                  </w:pPr>
                  <w:r w:rsidRPr="00037BE6">
                    <w:t>20.5</w:t>
                  </w:r>
                </w:p>
              </w:tc>
            </w:tr>
          </w:tbl>
          <w:p w:rsidR="00773EF8" w:rsidRDefault="00773EF8" w:rsidP="00EE4D91">
            <w:pPr>
              <w:pStyle w:val="Box"/>
            </w:pPr>
          </w:p>
        </w:tc>
      </w:tr>
      <w:tr w:rsidR="002E7067" w:rsidTr="00864C90">
        <w:trPr>
          <w:cantSplit/>
        </w:trPr>
        <w:tc>
          <w:tcPr>
            <w:tcW w:w="8909" w:type="dxa"/>
            <w:gridSpan w:val="2"/>
            <w:tcBorders>
              <w:top w:val="nil"/>
              <w:left w:val="nil"/>
              <w:bottom w:val="nil"/>
              <w:right w:val="nil"/>
            </w:tcBorders>
            <w:shd w:val="clear" w:color="auto" w:fill="FFFFFF" w:themeFill="background1"/>
          </w:tcPr>
          <w:p w:rsidR="002E7067" w:rsidRDefault="002E7067" w:rsidP="005E1D64">
            <w:pPr>
              <w:pStyle w:val="Note"/>
              <w:rPr>
                <w:i/>
              </w:rPr>
            </w:pPr>
            <w:r w:rsidRPr="008E77FE">
              <w:rPr>
                <w:rStyle w:val="NoteLabel"/>
              </w:rPr>
              <w:t>a</w:t>
            </w:r>
            <w:r>
              <w:t xml:space="preserve"> </w:t>
            </w:r>
            <w:r w:rsidRPr="00B51B91">
              <w:t xml:space="preserve">See </w:t>
            </w:r>
            <w:r>
              <w:t>box</w:t>
            </w:r>
            <w:r w:rsidR="00E75264">
              <w:t> </w:t>
            </w:r>
            <w:r>
              <w:t>1</w:t>
            </w:r>
            <w:r w:rsidR="009747BF">
              <w:t>4</w:t>
            </w:r>
            <w:r>
              <w:t>.</w:t>
            </w:r>
            <w:r w:rsidR="00016307">
              <w:t>2</w:t>
            </w:r>
            <w:r>
              <w:t xml:space="preserve"> and </w:t>
            </w:r>
            <w:r w:rsidRPr="00B51B91">
              <w:t>tables</w:t>
            </w:r>
            <w:r w:rsidR="00E75264">
              <w:t> </w:t>
            </w:r>
            <w:r w:rsidR="00336A6C" w:rsidRPr="00336A6C">
              <w:t>14A.17</w:t>
            </w:r>
            <w:r w:rsidR="00773EF8">
              <w:t>–</w:t>
            </w:r>
            <w:r w:rsidR="00336A6C" w:rsidRPr="00336A6C">
              <w:t>18</w:t>
            </w:r>
            <w:r w:rsidR="00FB6561">
              <w:t xml:space="preserve"> </w:t>
            </w:r>
            <w:r w:rsidRPr="00B51B91">
              <w:t xml:space="preserve">for </w:t>
            </w:r>
            <w:r w:rsidRPr="00010F44">
              <w:t>detailed definitions, footnotes and caveats</w:t>
            </w:r>
            <w:r w:rsidRPr="00B51B91">
              <w:t>.</w:t>
            </w:r>
            <w:r w:rsidR="000E7ADB">
              <w:rPr>
                <w:shd w:val="clear" w:color="auto" w:fill="FFFFFF" w:themeFill="background1"/>
              </w:rPr>
              <w:br/>
            </w:r>
            <w:r w:rsidR="004875BB" w:rsidRPr="003E4701">
              <w:rPr>
                <w:shd w:val="clear" w:color="auto" w:fill="FFFFFF" w:themeFill="background1"/>
              </w:rPr>
              <w:t>.</w:t>
            </w:r>
            <w:r w:rsidR="004875BB">
              <w:t>. Not applicable.</w:t>
            </w:r>
            <w:r w:rsidR="00EF6BCC">
              <w:t xml:space="preserve"> </w:t>
            </w:r>
            <w:r w:rsidR="00EF6BCC" w:rsidRPr="003E4701">
              <w:rPr>
                <w:b/>
                <w:shd w:val="clear" w:color="auto" w:fill="FFFFFF" w:themeFill="background1"/>
              </w:rPr>
              <w:t>np</w:t>
            </w:r>
            <w:r w:rsidR="00EF6BCC" w:rsidRPr="003E4701">
              <w:rPr>
                <w:shd w:val="clear" w:color="auto" w:fill="FFFFFF" w:themeFill="background1"/>
              </w:rPr>
              <w:t xml:space="preserve"> Not published.</w:t>
            </w:r>
            <w:r w:rsidR="00EF6BCC">
              <w:t xml:space="preserve"> </w:t>
            </w:r>
          </w:p>
        </w:tc>
      </w:tr>
      <w:tr w:rsidR="002E7067" w:rsidTr="00864C90">
        <w:trPr>
          <w:cantSplit/>
        </w:trPr>
        <w:tc>
          <w:tcPr>
            <w:tcW w:w="8909" w:type="dxa"/>
            <w:gridSpan w:val="2"/>
            <w:tcBorders>
              <w:top w:val="nil"/>
              <w:left w:val="nil"/>
              <w:bottom w:val="nil"/>
              <w:right w:val="nil"/>
            </w:tcBorders>
            <w:shd w:val="clear" w:color="auto" w:fill="FFFFFF" w:themeFill="background1"/>
          </w:tcPr>
          <w:p w:rsidR="002E7067" w:rsidRDefault="002E7067" w:rsidP="002470BA">
            <w:pPr>
              <w:pStyle w:val="Source"/>
              <w:spacing w:before="60"/>
            </w:pPr>
            <w:r>
              <w:rPr>
                <w:i/>
              </w:rPr>
              <w:t>Source</w:t>
            </w:r>
            <w:r w:rsidRPr="000F664B">
              <w:t>:</w:t>
            </w:r>
            <w:r>
              <w:rPr>
                <w:i/>
              </w:rPr>
              <w:t xml:space="preserve"> </w:t>
            </w:r>
            <w:r w:rsidR="00393A4E">
              <w:t>Department of Health</w:t>
            </w:r>
            <w:r w:rsidRPr="004116F7">
              <w:t xml:space="preserve"> (unpublished)</w:t>
            </w:r>
            <w:r>
              <w:t xml:space="preserve">; </w:t>
            </w:r>
            <w:r w:rsidR="00A972FB">
              <w:t xml:space="preserve">Victorian and WA governments (unpublished); </w:t>
            </w:r>
            <w:r>
              <w:t xml:space="preserve">ABS (2014) </w:t>
            </w:r>
            <w:r w:rsidRPr="005F4933">
              <w:rPr>
                <w:i/>
              </w:rPr>
              <w:t>Estimated Resident Population, by Country of Birth by State, 1996</w:t>
            </w:r>
            <w:r>
              <w:rPr>
                <w:i/>
              </w:rPr>
              <w:sym w:font="Symbol" w:char="F02D"/>
            </w:r>
            <w:r w:rsidRPr="005F4933">
              <w:rPr>
                <w:i/>
              </w:rPr>
              <w:t>2011</w:t>
            </w:r>
            <w:r>
              <w:rPr>
                <w:i/>
              </w:rPr>
              <w:t xml:space="preserve">, </w:t>
            </w:r>
            <w:r>
              <w:t>ABS.Stat (available at</w:t>
            </w:r>
            <w:r w:rsidRPr="005F4933">
              <w:t xml:space="preserve"> stat.abs.gov.au/Index.aspx?DataSetCode=ABS_</w:t>
            </w:r>
            <w:r w:rsidR="00916688">
              <w:t>FFR</w:t>
            </w:r>
            <w:r w:rsidRPr="005F4933">
              <w:t>_COB_STATE</w:t>
            </w:r>
            <w:r>
              <w:t>)</w:t>
            </w:r>
            <w:r w:rsidR="003321C1">
              <w:t>;</w:t>
            </w:r>
            <w:r w:rsidR="00865A0F">
              <w:t xml:space="preserve"> </w:t>
            </w:r>
            <w:r w:rsidR="00865A0F" w:rsidRPr="00865A0F">
              <w:t xml:space="preserve">ABS (2014) </w:t>
            </w:r>
            <w:r w:rsidR="00865A0F" w:rsidRPr="00865A0F">
              <w:rPr>
                <w:i/>
              </w:rPr>
              <w:t>Estimates and Projections, Aboriginal and Torres Strait Islander Australians, 2001 to 2026</w:t>
            </w:r>
            <w:r w:rsidR="00FB6561">
              <w:t>, Cat. no. 3238.0;</w:t>
            </w:r>
            <w:r w:rsidRPr="005F4933">
              <w:rPr>
                <w:i/>
              </w:rPr>
              <w:t xml:space="preserve"> </w:t>
            </w:r>
            <w:r w:rsidR="002470BA">
              <w:rPr>
                <w:i/>
              </w:rPr>
              <w:br/>
            </w:r>
            <w:r w:rsidRPr="00010F44">
              <w:t>tables</w:t>
            </w:r>
            <w:r w:rsidR="00E75264">
              <w:t> </w:t>
            </w:r>
            <w:r w:rsidR="00A424A8">
              <w:t>14A</w:t>
            </w:r>
            <w:r w:rsidRPr="00010F44">
              <w:t>.</w:t>
            </w:r>
            <w:r w:rsidR="00F1156B">
              <w:t>17</w:t>
            </w:r>
            <w:r w:rsidR="002470BA">
              <w:t>–</w:t>
            </w:r>
            <w:r w:rsidR="00F1156B">
              <w:t>18</w:t>
            </w:r>
            <w:r>
              <w:t>.</w:t>
            </w:r>
          </w:p>
        </w:tc>
      </w:tr>
      <w:tr w:rsidR="002E7067" w:rsidTr="002E7067">
        <w:trPr>
          <w:cantSplit/>
        </w:trPr>
        <w:tc>
          <w:tcPr>
            <w:tcW w:w="8909" w:type="dxa"/>
            <w:gridSpan w:val="2"/>
            <w:tcBorders>
              <w:top w:val="nil"/>
              <w:left w:val="nil"/>
              <w:bottom w:val="single" w:sz="6" w:space="0" w:color="78A22F"/>
              <w:right w:val="nil"/>
            </w:tcBorders>
            <w:shd w:val="clear" w:color="auto" w:fill="auto"/>
          </w:tcPr>
          <w:p w:rsidR="002E7067" w:rsidRDefault="002E7067" w:rsidP="005F19EB">
            <w:pPr>
              <w:pStyle w:val="Box"/>
              <w:spacing w:before="0" w:line="120" w:lineRule="exact"/>
            </w:pPr>
          </w:p>
        </w:tc>
      </w:tr>
      <w:tr w:rsidR="002E7067" w:rsidRPr="000863A5" w:rsidTr="002E7067">
        <w:tc>
          <w:tcPr>
            <w:tcW w:w="8909" w:type="dxa"/>
            <w:gridSpan w:val="2"/>
            <w:tcBorders>
              <w:top w:val="single" w:sz="6" w:space="0" w:color="78A22F"/>
              <w:left w:val="nil"/>
              <w:bottom w:val="nil"/>
              <w:right w:val="nil"/>
            </w:tcBorders>
          </w:tcPr>
          <w:p w:rsidR="002E7067" w:rsidRPr="00626D32" w:rsidRDefault="002E7067" w:rsidP="005F19EB">
            <w:pPr>
              <w:pStyle w:val="BoxSpaceBelow"/>
            </w:pPr>
          </w:p>
        </w:tc>
      </w:tr>
    </w:tbl>
    <w:p w:rsidR="00BA3272" w:rsidRDefault="00BA3272" w:rsidP="00575944">
      <w:pPr>
        <w:pStyle w:val="Heading3"/>
        <w:spacing w:before="540"/>
      </w:pPr>
      <w:r>
        <w:t xml:space="preserve">Effectiveness </w:t>
      </w:r>
    </w:p>
    <w:p w:rsidR="004D7C64" w:rsidRDefault="0086351C" w:rsidP="00575944">
      <w:pPr>
        <w:pStyle w:val="Heading4"/>
        <w:spacing w:before="440"/>
      </w:pPr>
      <w:r>
        <w:t xml:space="preserve">Access – </w:t>
      </w:r>
      <w:r w:rsidR="004D7C64">
        <w:t xml:space="preserve">Elapsed times for aged care services </w:t>
      </w:r>
    </w:p>
    <w:p w:rsidR="00A424A8" w:rsidRDefault="004D7C64" w:rsidP="00575944">
      <w:pPr>
        <w:pStyle w:val="BodyText"/>
        <w:shd w:val="clear" w:color="auto" w:fill="FFFFFF" w:themeFill="background1"/>
        <w:spacing w:before="220"/>
      </w:pPr>
      <w:r>
        <w:t>‘Elapsed tim</w:t>
      </w:r>
      <w:r w:rsidR="00F543E4">
        <w:t xml:space="preserve">es for aged care services’ is </w:t>
      </w:r>
      <w:r w:rsidR="00F543E4" w:rsidRPr="004B2BE8">
        <w:rPr>
          <w:shd w:val="clear" w:color="auto" w:fill="FFFFFF" w:themeFill="background1"/>
        </w:rPr>
        <w:t>a proxy</w:t>
      </w:r>
      <w:r>
        <w:t xml:space="preserve"> indicator of governments’ objective </w:t>
      </w:r>
      <w:r w:rsidR="00C61D1E">
        <w:t xml:space="preserve">to </w:t>
      </w:r>
      <w:r w:rsidR="00864263">
        <w:t xml:space="preserve">provide services that are </w:t>
      </w:r>
      <w:r w:rsidR="00C61D1E">
        <w:t>accessible</w:t>
      </w:r>
      <w:r w:rsidRPr="004B2BE8">
        <w:rPr>
          <w:shd w:val="clear" w:color="auto" w:fill="FFFFFF" w:themeFill="background1"/>
        </w:rPr>
        <w:t>.</w:t>
      </w:r>
      <w:r w:rsidR="00F543E4" w:rsidRPr="004B2BE8">
        <w:rPr>
          <w:shd w:val="clear" w:color="auto" w:fill="FFFFFF" w:themeFill="background1"/>
        </w:rPr>
        <w:t xml:space="preserve"> </w:t>
      </w:r>
      <w:r w:rsidR="003269B4">
        <w:t xml:space="preserve">Elapsed times are used as </w:t>
      </w:r>
      <w:r w:rsidR="00B0495A">
        <w:t xml:space="preserve">a proxy as </w:t>
      </w:r>
      <w:r w:rsidR="003269B4">
        <w:t xml:space="preserve">waiting times cannot be </w:t>
      </w:r>
      <w:r w:rsidR="0001680C">
        <w:t xml:space="preserve">measured accurately </w:t>
      </w:r>
      <w:r w:rsidR="003269B4">
        <w:t>(box 1</w:t>
      </w:r>
      <w:r w:rsidR="003B3A7E">
        <w:t>4</w:t>
      </w:r>
      <w:r w:rsidR="003269B4">
        <w:t>.</w:t>
      </w:r>
      <w:r w:rsidR="003B3A7E">
        <w:t>3</w:t>
      </w:r>
      <w:r w:rsidR="003269B4">
        <w:t>).</w:t>
      </w:r>
    </w:p>
    <w:p w:rsidR="000E3E49" w:rsidRDefault="000E3E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E3E49" w:rsidTr="00416F90">
        <w:tc>
          <w:tcPr>
            <w:tcW w:w="8771" w:type="dxa"/>
            <w:tcBorders>
              <w:top w:val="single" w:sz="6" w:space="0" w:color="78A22F"/>
              <w:left w:val="nil"/>
              <w:bottom w:val="nil"/>
              <w:right w:val="nil"/>
            </w:tcBorders>
            <w:shd w:val="clear" w:color="auto" w:fill="F2F2F2"/>
          </w:tcPr>
          <w:p w:rsidR="000E3E49" w:rsidRDefault="000E3E49" w:rsidP="00575944">
            <w:pPr>
              <w:pStyle w:val="BoxTitle"/>
            </w:pPr>
            <w:r>
              <w:rPr>
                <w:b w:val="0"/>
              </w:rPr>
              <w:t>Box 14.</w:t>
            </w:r>
            <w:r w:rsidR="00662F0E">
              <w:rPr>
                <w:b w:val="0"/>
                <w:noProof/>
              </w:rPr>
              <w:t>3</w:t>
            </w:r>
            <w:r>
              <w:tab/>
            </w:r>
            <w:r w:rsidRPr="009815BA">
              <w:t>Elapsed times for aged care services</w:t>
            </w:r>
            <w:r>
              <w:t xml:space="preserve"> </w:t>
            </w:r>
          </w:p>
        </w:tc>
      </w:tr>
      <w:tr w:rsidR="000E3E49" w:rsidTr="00416F90">
        <w:tc>
          <w:tcPr>
            <w:tcW w:w="8771" w:type="dxa"/>
            <w:tcBorders>
              <w:top w:val="nil"/>
              <w:left w:val="nil"/>
              <w:bottom w:val="nil"/>
              <w:right w:val="nil"/>
            </w:tcBorders>
            <w:shd w:val="clear" w:color="auto" w:fill="F2F2F2"/>
          </w:tcPr>
          <w:p w:rsidR="000E3E49" w:rsidRDefault="000E3E49" w:rsidP="000E3E49">
            <w:pPr>
              <w:pStyle w:val="Box"/>
            </w:pPr>
            <w:r>
              <w:t xml:space="preserve">‘Elapsed times for aged care services’ is defined as the proportions of people who entered residential care or commenced Home Care, who did so within three months of their ACAT approval. </w:t>
            </w:r>
          </w:p>
          <w:p w:rsidR="002C1A8F" w:rsidRDefault="000E3E49" w:rsidP="00416F90">
            <w:pPr>
              <w:pStyle w:val="Box"/>
            </w:pPr>
            <w:r>
              <w:t>Higher proportions of admission to residential care or commencement of Home Care within three months of ACAT approval are desirable.</w:t>
            </w:r>
          </w:p>
        </w:tc>
      </w:tr>
      <w:tr w:rsidR="000E3E49" w:rsidTr="00416F90">
        <w:tc>
          <w:tcPr>
            <w:tcW w:w="8771" w:type="dxa"/>
            <w:tcBorders>
              <w:top w:val="nil"/>
              <w:left w:val="nil"/>
              <w:bottom w:val="nil"/>
              <w:right w:val="nil"/>
            </w:tcBorders>
            <w:shd w:val="clear" w:color="auto" w:fill="F2F2F2"/>
          </w:tcPr>
          <w:p w:rsidR="000E3E49" w:rsidRDefault="00575944" w:rsidP="00575944">
            <w:pPr>
              <w:pStyle w:val="Continued"/>
            </w:pPr>
            <w:r>
              <w:t>(continued</w:t>
            </w:r>
            <w:r w:rsidR="002430DF">
              <w:t xml:space="preserve"> next page</w:t>
            </w:r>
            <w:r>
              <w:t>)</w:t>
            </w:r>
          </w:p>
        </w:tc>
      </w:tr>
      <w:tr w:rsidR="000E3E49" w:rsidTr="00416F90">
        <w:tc>
          <w:tcPr>
            <w:tcW w:w="8771" w:type="dxa"/>
            <w:tcBorders>
              <w:top w:val="nil"/>
              <w:left w:val="nil"/>
              <w:bottom w:val="single" w:sz="6" w:space="0" w:color="78A22F"/>
              <w:right w:val="nil"/>
            </w:tcBorders>
            <w:shd w:val="clear" w:color="auto" w:fill="F2F2F2"/>
          </w:tcPr>
          <w:p w:rsidR="000E3E49" w:rsidRDefault="000E3E49">
            <w:pPr>
              <w:pStyle w:val="Box"/>
              <w:spacing w:before="0" w:line="120" w:lineRule="exact"/>
            </w:pPr>
          </w:p>
        </w:tc>
      </w:tr>
      <w:tr w:rsidR="000E3E49" w:rsidRPr="000863A5" w:rsidTr="00416F90">
        <w:tc>
          <w:tcPr>
            <w:tcW w:w="8771" w:type="dxa"/>
            <w:tcBorders>
              <w:top w:val="single" w:sz="6" w:space="0" w:color="78A22F"/>
              <w:left w:val="nil"/>
              <w:bottom w:val="nil"/>
              <w:right w:val="nil"/>
            </w:tcBorders>
          </w:tcPr>
          <w:p w:rsidR="000E3E49" w:rsidRPr="00626D32" w:rsidRDefault="000E3E49" w:rsidP="00416F90">
            <w:pPr>
              <w:pStyle w:val="BoxSpaceBelow"/>
            </w:pPr>
          </w:p>
        </w:tc>
      </w:tr>
    </w:tbl>
    <w:p w:rsidR="00D64D2A" w:rsidRDefault="00D64D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4D2A" w:rsidTr="00F25D62">
        <w:tc>
          <w:tcPr>
            <w:tcW w:w="8771" w:type="dxa"/>
            <w:tcBorders>
              <w:top w:val="single" w:sz="6" w:space="0" w:color="78A22F"/>
              <w:left w:val="nil"/>
              <w:bottom w:val="nil"/>
              <w:right w:val="nil"/>
            </w:tcBorders>
            <w:shd w:val="clear" w:color="auto" w:fill="F2F2F2" w:themeFill="background1" w:themeFillShade="F2"/>
          </w:tcPr>
          <w:p w:rsidR="00D64D2A" w:rsidRDefault="00D64D2A" w:rsidP="00C80EF8">
            <w:pPr>
              <w:pStyle w:val="BoxTitle"/>
            </w:pPr>
            <w:r>
              <w:rPr>
                <w:b w:val="0"/>
              </w:rPr>
              <w:t xml:space="preserve">Box </w:t>
            </w:r>
            <w:r w:rsidR="00C80EF8">
              <w:rPr>
                <w:b w:val="0"/>
              </w:rPr>
              <w:t>14.</w:t>
            </w:r>
            <w:r w:rsidR="008B7796">
              <w:rPr>
                <w:b w:val="0"/>
              </w:rPr>
              <w:t>3</w:t>
            </w:r>
            <w:r>
              <w:tab/>
            </w:r>
            <w:r w:rsidR="00575944" w:rsidRPr="00851ED1">
              <w:rPr>
                <w:rStyle w:val="Continuedintitle"/>
              </w:rPr>
              <w:t>(continued)</w:t>
            </w:r>
          </w:p>
        </w:tc>
      </w:tr>
      <w:tr w:rsidR="00D64D2A" w:rsidTr="00F25D62">
        <w:trPr>
          <w:cantSplit/>
        </w:trPr>
        <w:tc>
          <w:tcPr>
            <w:tcW w:w="8771" w:type="dxa"/>
            <w:tcBorders>
              <w:top w:val="nil"/>
              <w:left w:val="nil"/>
              <w:bottom w:val="nil"/>
              <w:right w:val="nil"/>
            </w:tcBorders>
            <w:shd w:val="clear" w:color="auto" w:fill="F2F2F2" w:themeFill="background1" w:themeFillShade="F2"/>
          </w:tcPr>
          <w:p w:rsidR="00EE4D91" w:rsidRDefault="00EE4D91" w:rsidP="000A741B">
            <w:pPr>
              <w:pStyle w:val="Box"/>
            </w:pPr>
            <w:r w:rsidRPr="00FB6561">
              <w:t>This indicator needs to be interpreted with caution. The measure of ‘elapsed time’ is utilised, rather than ‘waiting times’ as the period of time between the ACAT approval and entry into residential care or commencement of Home Care can be affected by factors other than time spent ‘waiting’ (for example, hospital discharge policies and practices, or a client’s choice not to commence care immediately). A client’s decision to take up care at a point in time can be affected by the availability of alternative care options (for example, informal care) or their preference for a particular service.</w:t>
            </w:r>
          </w:p>
          <w:p w:rsidR="00D64D2A" w:rsidRPr="00C44D5E" w:rsidRDefault="000A741B" w:rsidP="000A741B">
            <w:pPr>
              <w:pStyle w:val="Box"/>
            </w:pPr>
            <w:r>
              <w:t>T</w:t>
            </w:r>
            <w:r w:rsidRPr="001332B5">
              <w:t>he measure do</w:t>
            </w:r>
            <w:r w:rsidR="003321C1">
              <w:t>es</w:t>
            </w:r>
            <w:r w:rsidRPr="001332B5">
              <w:t xml:space="preserve"> not include clients who spent time waiting, but did not enter residential care or commence Home Care (for example, who died before entering care) or </w:t>
            </w:r>
            <w:r>
              <w:t xml:space="preserve">who </w:t>
            </w:r>
            <w:r w:rsidRPr="001332B5">
              <w:t>ultimately decided to delay or not take up a care placement offer</w:t>
            </w:r>
            <w:r>
              <w:t xml:space="preserve"> during the relevant period</w:t>
            </w:r>
            <w:r w:rsidRPr="001332B5">
              <w:t>.</w:t>
            </w:r>
          </w:p>
          <w:p w:rsidR="007317F0" w:rsidRDefault="007317F0" w:rsidP="007317F0">
            <w:pPr>
              <w:pStyle w:val="Box"/>
            </w:pPr>
            <w:r>
              <w:t>Data reported for this indicator are:</w:t>
            </w:r>
          </w:p>
          <w:p w:rsidR="007317F0" w:rsidRDefault="007317F0" w:rsidP="007317F0">
            <w:pPr>
              <w:pStyle w:val="BoxListBullet"/>
            </w:pPr>
            <w:r>
              <w:t>comparable (subject to caveats) across jurisdictions and over time</w:t>
            </w:r>
          </w:p>
          <w:p w:rsidR="003D363E" w:rsidRDefault="007317F0" w:rsidP="007317F0">
            <w:pPr>
              <w:pStyle w:val="BoxListBullet"/>
            </w:pPr>
            <w:r>
              <w:t xml:space="preserve">complete </w:t>
            </w:r>
            <w:r w:rsidR="00DE681C">
              <w:t xml:space="preserve">(subject to caveats) </w:t>
            </w:r>
            <w:r>
              <w:t>for the current reporting period. All required 201</w:t>
            </w:r>
            <w:r w:rsidR="00997413">
              <w:t>5</w:t>
            </w:r>
            <w:r>
              <w:noBreakHyphen/>
              <w:t>1</w:t>
            </w:r>
            <w:r w:rsidR="00997413">
              <w:t>6</w:t>
            </w:r>
            <w:r>
              <w:t xml:space="preserve"> data are a</w:t>
            </w:r>
            <w:r w:rsidR="00997413">
              <w:t>vailable for all jurisdictions.</w:t>
            </w:r>
          </w:p>
        </w:tc>
      </w:tr>
      <w:tr w:rsidR="00D64D2A" w:rsidTr="001573BE">
        <w:trPr>
          <w:cantSplit/>
        </w:trPr>
        <w:tc>
          <w:tcPr>
            <w:tcW w:w="8771" w:type="dxa"/>
            <w:tcBorders>
              <w:top w:val="nil"/>
              <w:left w:val="nil"/>
              <w:bottom w:val="single" w:sz="6" w:space="0" w:color="78A22F"/>
              <w:right w:val="nil"/>
            </w:tcBorders>
            <w:shd w:val="clear" w:color="auto" w:fill="F2F2F2" w:themeFill="background1" w:themeFillShade="F2"/>
          </w:tcPr>
          <w:p w:rsidR="00D64D2A" w:rsidRDefault="00D64D2A">
            <w:pPr>
              <w:pStyle w:val="Box"/>
              <w:spacing w:before="0" w:line="120" w:lineRule="exact"/>
            </w:pPr>
          </w:p>
        </w:tc>
      </w:tr>
      <w:tr w:rsidR="00D64D2A" w:rsidRPr="000863A5" w:rsidTr="001573BE">
        <w:tc>
          <w:tcPr>
            <w:tcW w:w="8771" w:type="dxa"/>
            <w:tcBorders>
              <w:top w:val="single" w:sz="6" w:space="0" w:color="78A22F"/>
              <w:left w:val="nil"/>
              <w:bottom w:val="nil"/>
              <w:right w:val="nil"/>
            </w:tcBorders>
          </w:tcPr>
          <w:p w:rsidR="00D64D2A" w:rsidRPr="00626D32" w:rsidRDefault="00D64D2A" w:rsidP="001573BE">
            <w:pPr>
              <w:pStyle w:val="BoxSpaceBelow"/>
            </w:pPr>
          </w:p>
        </w:tc>
      </w:tr>
    </w:tbl>
    <w:p w:rsidR="00674D21" w:rsidRDefault="008B0DB8" w:rsidP="00674D21">
      <w:pPr>
        <w:pStyle w:val="BodyText"/>
      </w:pPr>
      <w:r>
        <w:t xml:space="preserve">Overall, </w:t>
      </w:r>
      <w:r w:rsidR="0023412D">
        <w:t>52.0</w:t>
      </w:r>
      <w:r>
        <w:t xml:space="preserve"> per cent of all people entering </w:t>
      </w:r>
      <w:r w:rsidRPr="004B2BE8">
        <w:rPr>
          <w:shd w:val="clear" w:color="auto" w:fill="FFFFFF" w:themeFill="background1"/>
        </w:rPr>
        <w:t>residential care</w:t>
      </w:r>
      <w:r>
        <w:t xml:space="preserve"> during 201</w:t>
      </w:r>
      <w:r w:rsidR="00997413">
        <w:t>5</w:t>
      </w:r>
      <w:r w:rsidR="00D57DEC">
        <w:noBreakHyphen/>
      </w:r>
      <w:r>
        <w:t>1</w:t>
      </w:r>
      <w:r w:rsidR="00997413">
        <w:t>6</w:t>
      </w:r>
      <w:r>
        <w:t xml:space="preserve"> did so within </w:t>
      </w:r>
      <w:r w:rsidR="00997413">
        <w:t xml:space="preserve">three months of their </w:t>
      </w:r>
      <w:r>
        <w:t>ACAT</w:t>
      </w:r>
      <w:r w:rsidR="00997413" w:rsidRPr="00997413">
        <w:t xml:space="preserve"> </w:t>
      </w:r>
      <w:r w:rsidR="00997413">
        <w:t>approval (figure</w:t>
      </w:r>
      <w:r w:rsidR="00664BA5">
        <w:t> </w:t>
      </w:r>
      <w:r w:rsidR="00997413">
        <w:t>14.6)</w:t>
      </w:r>
      <w:r w:rsidR="00807C9F">
        <w:t>,</w:t>
      </w:r>
      <w:r>
        <w:t xml:space="preserve"> compared with </w:t>
      </w:r>
      <w:r w:rsidR="00FF423C">
        <w:t>58.4</w:t>
      </w:r>
      <w:r>
        <w:t xml:space="preserve"> per cent in 201</w:t>
      </w:r>
      <w:r w:rsidR="00997413">
        <w:t>4</w:t>
      </w:r>
      <w:r w:rsidR="00D57DEC">
        <w:noBreakHyphen/>
      </w:r>
      <w:r>
        <w:t>1</w:t>
      </w:r>
      <w:r w:rsidR="00997413">
        <w:t>5</w:t>
      </w:r>
      <w:r w:rsidR="00300BF1">
        <w:t xml:space="preserve"> (table</w:t>
      </w:r>
      <w:r w:rsidR="009551A0">
        <w:t> </w:t>
      </w:r>
      <w:r w:rsidR="00300BF1">
        <w:t>1</w:t>
      </w:r>
      <w:r w:rsidR="00997413">
        <w:t>4</w:t>
      </w:r>
      <w:r w:rsidR="00300BF1">
        <w:t>A.</w:t>
      </w:r>
      <w:r w:rsidR="00FF423C">
        <w:t>2</w:t>
      </w:r>
      <w:r w:rsidR="009638BE">
        <w:t>5</w:t>
      </w:r>
      <w:r w:rsidR="00300BF1">
        <w:t>)</w:t>
      </w:r>
      <w:r>
        <w:t xml:space="preserve">. The median time for entry into residential services was </w:t>
      </w:r>
      <w:r w:rsidR="00F537B3">
        <w:t>84</w:t>
      </w:r>
      <w:r>
        <w:t xml:space="preserve"> days in 201</w:t>
      </w:r>
      <w:r w:rsidR="00997413">
        <w:t>5</w:t>
      </w:r>
      <w:r w:rsidR="00D57DEC">
        <w:noBreakHyphen/>
      </w:r>
      <w:r>
        <w:t>1</w:t>
      </w:r>
      <w:r w:rsidR="00997413">
        <w:t>6</w:t>
      </w:r>
      <w:r>
        <w:t xml:space="preserve"> compared to </w:t>
      </w:r>
      <w:r w:rsidR="00F537B3">
        <w:t>68</w:t>
      </w:r>
      <w:r w:rsidR="00855626">
        <w:t> </w:t>
      </w:r>
      <w:r>
        <w:t>days in 201</w:t>
      </w:r>
      <w:r w:rsidR="003B3A7E">
        <w:t>4</w:t>
      </w:r>
      <w:r w:rsidR="00D57DEC">
        <w:noBreakHyphen/>
      </w:r>
      <w:r>
        <w:t>1</w:t>
      </w:r>
      <w:r w:rsidR="003B3A7E">
        <w:t>5</w:t>
      </w:r>
      <w:r>
        <w:t xml:space="preserve"> (table</w:t>
      </w:r>
      <w:r w:rsidR="00D57DEC">
        <w:t> </w:t>
      </w:r>
      <w:r>
        <w:t>1</w:t>
      </w:r>
      <w:r w:rsidR="003B3A7E">
        <w:t>4</w:t>
      </w:r>
      <w:r>
        <w:t>A.</w:t>
      </w:r>
      <w:r w:rsidR="00FF423C">
        <w:t>2</w:t>
      </w:r>
      <w:r w:rsidR="00886661">
        <w:t>5</w:t>
      </w:r>
      <w:r>
        <w:t xml:space="preserve">). Further data on elapsed time by </w:t>
      </w:r>
      <w:r w:rsidR="00997413">
        <w:t xml:space="preserve">specified time periods, </w:t>
      </w:r>
      <w:r>
        <w:t>remoteness, Socio</w:t>
      </w:r>
      <w:r w:rsidR="004262BC">
        <w:noBreakHyphen/>
      </w:r>
      <w:r>
        <w:t>Economic Indexes for Areas (SEIFA) and Indigenous status are included in table</w:t>
      </w:r>
      <w:r w:rsidR="00855626">
        <w:t>s</w:t>
      </w:r>
      <w:r w:rsidR="009551A0">
        <w:t> </w:t>
      </w:r>
      <w:r>
        <w:t>1</w:t>
      </w:r>
      <w:r w:rsidR="003B3A7E">
        <w:t>4</w:t>
      </w:r>
      <w:r>
        <w:t>A.</w:t>
      </w:r>
      <w:r w:rsidR="00FF423C">
        <w:t>2</w:t>
      </w:r>
      <w:r w:rsidR="00997413">
        <w:t>5</w:t>
      </w:r>
      <w:r>
        <w:t>–</w:t>
      </w:r>
      <w:r w:rsidR="00FF423C">
        <w:t>2</w:t>
      </w:r>
      <w:r w:rsidR="009638BE">
        <w:t>8</w:t>
      </w:r>
      <w:r>
        <w:t xml:space="preserve">. </w:t>
      </w:r>
    </w:p>
    <w:p w:rsidR="00C919C4" w:rsidRDefault="00C919C4" w:rsidP="00C74E9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919C4" w:rsidTr="00C74E99">
        <w:tc>
          <w:tcPr>
            <w:tcW w:w="8771" w:type="dxa"/>
            <w:tcBorders>
              <w:top w:val="single" w:sz="6" w:space="0" w:color="78A22F"/>
              <w:left w:val="nil"/>
              <w:bottom w:val="nil"/>
              <w:right w:val="nil"/>
            </w:tcBorders>
            <w:shd w:val="clear" w:color="auto" w:fill="auto"/>
          </w:tcPr>
          <w:p w:rsidR="00C919C4" w:rsidRPr="00176D3F" w:rsidRDefault="00C919C4" w:rsidP="00816471">
            <w:pPr>
              <w:pStyle w:val="FigureTitle"/>
            </w:pPr>
            <w:r w:rsidRPr="00784A05">
              <w:rPr>
                <w:b w:val="0"/>
              </w:rPr>
              <w:t xml:space="preserve">Figure </w:t>
            </w:r>
            <w:r w:rsidR="003B3A7E">
              <w:rPr>
                <w:b w:val="0"/>
              </w:rPr>
              <w:t>14.</w:t>
            </w:r>
            <w:r w:rsidR="00662F0E">
              <w:rPr>
                <w:b w:val="0"/>
                <w:noProof/>
              </w:rPr>
              <w:t>6</w:t>
            </w:r>
            <w:r>
              <w:tab/>
            </w:r>
            <w:r w:rsidRPr="00B2494F">
              <w:t xml:space="preserve">People </w:t>
            </w:r>
            <w:r w:rsidRPr="004B2BE8">
              <w:rPr>
                <w:shd w:val="clear" w:color="auto" w:fill="FFFFFF" w:themeFill="background1"/>
              </w:rPr>
              <w:t>entering residential</w:t>
            </w:r>
            <w:r w:rsidRPr="00B2494F">
              <w:t xml:space="preserve"> care within specified time periods of their ACAT approval, 201</w:t>
            </w:r>
            <w:r w:rsidR="00997413">
              <w:t>5</w:t>
            </w:r>
            <w:r>
              <w:noBreakHyphen/>
            </w:r>
            <w:r w:rsidRPr="00B2494F">
              <w:t>1</w:t>
            </w:r>
            <w:r w:rsidR="00997413">
              <w:t>6</w:t>
            </w:r>
            <w:r w:rsidRPr="00C919C4">
              <w:rPr>
                <w:rStyle w:val="NoteLabel"/>
                <w:b/>
                <w:szCs w:val="20"/>
              </w:rPr>
              <w:t>a</w:t>
            </w:r>
          </w:p>
        </w:tc>
      </w:tr>
      <w:tr w:rsidR="00C919C4" w:rsidTr="00C74E9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919C4" w:rsidTr="00944D8D">
              <w:trPr>
                <w:trHeight w:val="4076"/>
                <w:jc w:val="center"/>
              </w:trPr>
              <w:tc>
                <w:tcPr>
                  <w:tcW w:w="5000" w:type="pct"/>
                  <w:tcBorders>
                    <w:top w:val="nil"/>
                    <w:bottom w:val="nil"/>
                  </w:tcBorders>
                </w:tcPr>
                <w:p w:rsidR="00C919C4" w:rsidRDefault="00FE70DC" w:rsidP="00C74E99">
                  <w:pPr>
                    <w:pStyle w:val="Figure"/>
                    <w:spacing w:before="60" w:after="60"/>
                  </w:pPr>
                  <w:r>
                    <w:rPr>
                      <w:noProof/>
                    </w:rPr>
                    <w:drawing>
                      <wp:inline distT="0" distB="0" distL="0" distR="0">
                        <wp:extent cx="5367655" cy="2600960"/>
                        <wp:effectExtent l="0" t="0" r="4445" b="8890"/>
                        <wp:docPr id="7" name="Picture 7" descr="Figure 14.6 People entering residential care within specified time periods of their ACAT approval,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7655" cy="2600960"/>
                                </a:xfrm>
                                <a:prstGeom prst="rect">
                                  <a:avLst/>
                                </a:prstGeom>
                                <a:noFill/>
                                <a:ln>
                                  <a:noFill/>
                                </a:ln>
                              </pic:spPr>
                            </pic:pic>
                          </a:graphicData>
                        </a:graphic>
                      </wp:inline>
                    </w:drawing>
                  </w:r>
                </w:p>
              </w:tc>
            </w:tr>
          </w:tbl>
          <w:p w:rsidR="00C919C4" w:rsidRDefault="00C919C4" w:rsidP="00C74E99">
            <w:pPr>
              <w:pStyle w:val="Figure"/>
            </w:pPr>
          </w:p>
        </w:tc>
      </w:tr>
      <w:tr w:rsidR="00C919C4" w:rsidRPr="00176D3F" w:rsidTr="00C74E99">
        <w:tc>
          <w:tcPr>
            <w:tcW w:w="8771" w:type="dxa"/>
            <w:tcBorders>
              <w:top w:val="nil"/>
              <w:left w:val="nil"/>
              <w:bottom w:val="nil"/>
              <w:right w:val="nil"/>
            </w:tcBorders>
            <w:shd w:val="clear" w:color="auto" w:fill="auto"/>
          </w:tcPr>
          <w:p w:rsidR="00C919C4" w:rsidRPr="00176D3F" w:rsidRDefault="00C919C4" w:rsidP="00816471">
            <w:pPr>
              <w:pStyle w:val="Note"/>
            </w:pPr>
            <w:r w:rsidRPr="00087FC4">
              <w:rPr>
                <w:rStyle w:val="NoteLabel"/>
              </w:rPr>
              <w:t>a</w:t>
            </w:r>
            <w:r w:rsidR="00AB1B72" w:rsidRPr="00AB1B72">
              <w:t xml:space="preserve"> </w:t>
            </w:r>
            <w:r w:rsidRPr="006F23A3">
              <w:t>See box</w:t>
            </w:r>
            <w:r w:rsidR="00E75264">
              <w:t> </w:t>
            </w:r>
            <w:r>
              <w:t>1</w:t>
            </w:r>
            <w:r w:rsidR="00997413">
              <w:t>4</w:t>
            </w:r>
            <w:r w:rsidR="009638BE">
              <w:t>.</w:t>
            </w:r>
            <w:r w:rsidR="00997413">
              <w:t>3</w:t>
            </w:r>
            <w:r w:rsidRPr="006F23A3">
              <w:t xml:space="preserve"> and table</w:t>
            </w:r>
            <w:r w:rsidR="00E75264">
              <w:t> </w:t>
            </w:r>
            <w:r>
              <w:t>1</w:t>
            </w:r>
            <w:r w:rsidR="00997413">
              <w:t>4</w:t>
            </w:r>
            <w:r w:rsidRPr="006F23A3">
              <w:t>A.</w:t>
            </w:r>
            <w:r w:rsidR="00521BDF">
              <w:t>2</w:t>
            </w:r>
            <w:r w:rsidR="009638BE">
              <w:t>5</w:t>
            </w:r>
            <w:r w:rsidRPr="006F23A3">
              <w:t xml:space="preserve"> for detailed</w:t>
            </w:r>
            <w:r w:rsidRPr="0032221B">
              <w:t xml:space="preserve"> definitions, footnotes and caveats</w:t>
            </w:r>
            <w:r w:rsidRPr="006F23A3">
              <w:t>.</w:t>
            </w:r>
          </w:p>
        </w:tc>
      </w:tr>
      <w:tr w:rsidR="00C919C4" w:rsidRPr="00176D3F" w:rsidTr="00C74E99">
        <w:tc>
          <w:tcPr>
            <w:tcW w:w="8771" w:type="dxa"/>
            <w:tcBorders>
              <w:top w:val="nil"/>
              <w:left w:val="nil"/>
              <w:bottom w:val="nil"/>
              <w:right w:val="nil"/>
            </w:tcBorders>
            <w:shd w:val="clear" w:color="auto" w:fill="auto"/>
          </w:tcPr>
          <w:p w:rsidR="00C919C4" w:rsidRPr="00176D3F" w:rsidRDefault="00C919C4" w:rsidP="00521BDF">
            <w:pPr>
              <w:pStyle w:val="Source"/>
            </w:pPr>
            <w:r w:rsidRPr="00B2494F">
              <w:rPr>
                <w:i/>
              </w:rPr>
              <w:t>Source</w:t>
            </w:r>
            <w:r w:rsidRPr="009551A0">
              <w:t>:</w:t>
            </w:r>
            <w:r w:rsidRPr="00B2494F">
              <w:rPr>
                <w:i/>
              </w:rPr>
              <w:t xml:space="preserve"> </w:t>
            </w:r>
            <w:r w:rsidR="008617D3">
              <w:t>Department of Health</w:t>
            </w:r>
            <w:r w:rsidRPr="00B2494F">
              <w:t xml:space="preserve"> (unpublished); table</w:t>
            </w:r>
            <w:r>
              <w:t> </w:t>
            </w:r>
            <w:r w:rsidRPr="00B2494F">
              <w:t>1</w:t>
            </w:r>
            <w:r w:rsidR="003B3A7E">
              <w:t>4</w:t>
            </w:r>
            <w:r w:rsidRPr="00B2494F">
              <w:t>A.</w:t>
            </w:r>
            <w:r w:rsidR="00521BDF">
              <w:t>2</w:t>
            </w:r>
            <w:r w:rsidR="009638BE">
              <w:t>5</w:t>
            </w:r>
            <w:r w:rsidRPr="00B2494F">
              <w:t>.</w:t>
            </w:r>
            <w:r w:rsidRPr="00176D3F">
              <w:t xml:space="preserve"> </w:t>
            </w:r>
          </w:p>
        </w:tc>
      </w:tr>
      <w:tr w:rsidR="00C919C4" w:rsidTr="00C74E99">
        <w:tc>
          <w:tcPr>
            <w:tcW w:w="8771" w:type="dxa"/>
            <w:tcBorders>
              <w:top w:val="nil"/>
              <w:left w:val="nil"/>
              <w:bottom w:val="single" w:sz="6" w:space="0" w:color="78A22F"/>
              <w:right w:val="nil"/>
            </w:tcBorders>
            <w:shd w:val="clear" w:color="auto" w:fill="auto"/>
          </w:tcPr>
          <w:p w:rsidR="00C919C4" w:rsidRDefault="00C919C4" w:rsidP="00C74E99">
            <w:pPr>
              <w:pStyle w:val="Figurespace"/>
            </w:pPr>
          </w:p>
        </w:tc>
      </w:tr>
      <w:tr w:rsidR="00C919C4" w:rsidRPr="000863A5" w:rsidTr="00C74E99">
        <w:tc>
          <w:tcPr>
            <w:tcW w:w="8771" w:type="dxa"/>
            <w:tcBorders>
              <w:top w:val="single" w:sz="6" w:space="0" w:color="78A22F"/>
              <w:left w:val="nil"/>
              <w:bottom w:val="nil"/>
              <w:right w:val="nil"/>
            </w:tcBorders>
          </w:tcPr>
          <w:p w:rsidR="00C919C4" w:rsidRPr="00626D32" w:rsidRDefault="00C919C4" w:rsidP="00C74E99">
            <w:pPr>
              <w:pStyle w:val="BoxSpaceBelow"/>
            </w:pPr>
          </w:p>
        </w:tc>
      </w:tr>
    </w:tbl>
    <w:p w:rsidR="000E3E49" w:rsidRPr="000E3E49" w:rsidRDefault="000E3E49" w:rsidP="000E3E49">
      <w:pPr>
        <w:pStyle w:val="BodyText"/>
      </w:pPr>
      <w:r>
        <w:lastRenderedPageBreak/>
        <w:t>Overall, 57.1</w:t>
      </w:r>
      <w:r w:rsidRPr="000D1072">
        <w:t xml:space="preserve"> per</w:t>
      </w:r>
      <w:r>
        <w:t xml:space="preserve"> cent of all people commencing Home Care during 2015</w:t>
      </w:r>
      <w:r>
        <w:noBreakHyphen/>
        <w:t>16, received care within three months of being approved by an ACAT (figure 14.7). The median time for entry into Home Care was 73 days in 2015</w:t>
      </w:r>
      <w:r>
        <w:noBreakHyphen/>
        <w:t>16 compared to 67 days in 2014</w:t>
      </w:r>
      <w:r>
        <w:noBreakHyphen/>
        <w:t>15 (table 14A.25).</w:t>
      </w:r>
    </w:p>
    <w:p w:rsidR="001D2738" w:rsidRDefault="001D2738" w:rsidP="00C74E9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2738" w:rsidTr="00C74E99">
        <w:tc>
          <w:tcPr>
            <w:tcW w:w="8771" w:type="dxa"/>
            <w:tcBorders>
              <w:top w:val="single" w:sz="6" w:space="0" w:color="78A22F"/>
              <w:left w:val="nil"/>
              <w:bottom w:val="nil"/>
              <w:right w:val="nil"/>
            </w:tcBorders>
            <w:shd w:val="clear" w:color="auto" w:fill="auto"/>
          </w:tcPr>
          <w:p w:rsidR="001D2738" w:rsidRPr="00176D3F" w:rsidRDefault="001D2738" w:rsidP="00997413">
            <w:pPr>
              <w:pStyle w:val="FigureTitle"/>
            </w:pPr>
            <w:r w:rsidRPr="00784A05">
              <w:rPr>
                <w:b w:val="0"/>
              </w:rPr>
              <w:t xml:space="preserve">Figure </w:t>
            </w:r>
            <w:r w:rsidR="00EB4150">
              <w:rPr>
                <w:b w:val="0"/>
              </w:rPr>
              <w:t>14.</w:t>
            </w:r>
            <w:r w:rsidR="00662F0E">
              <w:rPr>
                <w:b w:val="0"/>
                <w:noProof/>
              </w:rPr>
              <w:t>7</w:t>
            </w:r>
            <w:r>
              <w:tab/>
            </w:r>
            <w:r w:rsidRPr="001A5803">
              <w:t xml:space="preserve">People commencing Home Care within </w:t>
            </w:r>
            <w:r w:rsidR="00E174BA">
              <w:t xml:space="preserve">one or </w:t>
            </w:r>
            <w:r w:rsidRPr="001A5803">
              <w:t>three months of their ACAT approval, 201</w:t>
            </w:r>
            <w:r w:rsidR="00997413">
              <w:t>5</w:t>
            </w:r>
            <w:r>
              <w:noBreakHyphen/>
            </w:r>
            <w:r w:rsidRPr="001A5803">
              <w:t>1</w:t>
            </w:r>
            <w:r w:rsidR="00997413">
              <w:t>6</w:t>
            </w:r>
            <w:r w:rsidRPr="00C919C4">
              <w:rPr>
                <w:rStyle w:val="NoteLabel"/>
                <w:b/>
                <w:szCs w:val="20"/>
              </w:rPr>
              <w:t>a</w:t>
            </w:r>
          </w:p>
        </w:tc>
      </w:tr>
      <w:tr w:rsidR="001D2738" w:rsidTr="00C74E9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2738" w:rsidTr="00674D21">
              <w:trPr>
                <w:trHeight w:val="4252"/>
                <w:jc w:val="center"/>
              </w:trPr>
              <w:tc>
                <w:tcPr>
                  <w:tcW w:w="5000" w:type="pct"/>
                  <w:tcBorders>
                    <w:top w:val="nil"/>
                    <w:bottom w:val="nil"/>
                  </w:tcBorders>
                </w:tcPr>
                <w:p w:rsidR="001D2738" w:rsidRDefault="00FE70DC" w:rsidP="00C74E99">
                  <w:pPr>
                    <w:pStyle w:val="Figure"/>
                    <w:spacing w:before="60" w:after="60"/>
                  </w:pPr>
                  <w:r>
                    <w:rPr>
                      <w:noProof/>
                    </w:rPr>
                    <w:drawing>
                      <wp:inline distT="0" distB="0" distL="0" distR="0">
                        <wp:extent cx="5272405" cy="2636520"/>
                        <wp:effectExtent l="0" t="0" r="4445" b="0"/>
                        <wp:docPr id="8" name="Picture 8" descr="Figure 14.7 People commencing Home Care within one or three months of their ACAT approval,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2405" cy="2636520"/>
                                </a:xfrm>
                                <a:prstGeom prst="rect">
                                  <a:avLst/>
                                </a:prstGeom>
                                <a:noFill/>
                                <a:ln>
                                  <a:noFill/>
                                </a:ln>
                              </pic:spPr>
                            </pic:pic>
                          </a:graphicData>
                        </a:graphic>
                      </wp:inline>
                    </w:drawing>
                  </w:r>
                </w:p>
              </w:tc>
            </w:tr>
          </w:tbl>
          <w:p w:rsidR="001D2738" w:rsidRDefault="001D2738" w:rsidP="00C74E99">
            <w:pPr>
              <w:pStyle w:val="Figure"/>
            </w:pPr>
          </w:p>
        </w:tc>
      </w:tr>
      <w:tr w:rsidR="001D2738" w:rsidRPr="00176D3F" w:rsidTr="00C74E99">
        <w:tc>
          <w:tcPr>
            <w:tcW w:w="8771" w:type="dxa"/>
            <w:tcBorders>
              <w:top w:val="nil"/>
              <w:left w:val="nil"/>
              <w:bottom w:val="nil"/>
              <w:right w:val="nil"/>
            </w:tcBorders>
            <w:shd w:val="clear" w:color="auto" w:fill="auto"/>
          </w:tcPr>
          <w:p w:rsidR="001D2738" w:rsidRPr="00176D3F" w:rsidRDefault="001D2738" w:rsidP="00816471">
            <w:pPr>
              <w:pStyle w:val="Note"/>
            </w:pPr>
            <w:r w:rsidRPr="00087FC4">
              <w:rPr>
                <w:rStyle w:val="NoteLabel"/>
              </w:rPr>
              <w:t xml:space="preserve">a </w:t>
            </w:r>
            <w:r w:rsidRPr="006F23A3">
              <w:t>See box</w:t>
            </w:r>
            <w:r w:rsidR="00E75264">
              <w:t> </w:t>
            </w:r>
            <w:r>
              <w:t>1</w:t>
            </w:r>
            <w:r w:rsidR="00997413">
              <w:t>4</w:t>
            </w:r>
            <w:r w:rsidRPr="006F23A3">
              <w:t>.</w:t>
            </w:r>
            <w:r w:rsidR="00997413">
              <w:t>3</w:t>
            </w:r>
            <w:r w:rsidRPr="006F23A3">
              <w:t xml:space="preserve"> and table</w:t>
            </w:r>
            <w:r w:rsidR="00E75264">
              <w:t> </w:t>
            </w:r>
            <w:r>
              <w:t>1</w:t>
            </w:r>
            <w:r w:rsidR="00997413">
              <w:t>4</w:t>
            </w:r>
            <w:r w:rsidRPr="006F23A3">
              <w:t>A.</w:t>
            </w:r>
            <w:r w:rsidR="00816471">
              <w:t>2</w:t>
            </w:r>
            <w:r w:rsidR="009638BE">
              <w:t>5</w:t>
            </w:r>
            <w:r w:rsidRPr="006F23A3">
              <w:t xml:space="preserve"> for detailed</w:t>
            </w:r>
            <w:r w:rsidRPr="0032221B">
              <w:t xml:space="preserve"> definitions, footnotes and caveats</w:t>
            </w:r>
            <w:r w:rsidRPr="006F23A3">
              <w:t>.</w:t>
            </w:r>
          </w:p>
        </w:tc>
      </w:tr>
      <w:tr w:rsidR="001D2738" w:rsidRPr="00176D3F" w:rsidTr="00C74E99">
        <w:tc>
          <w:tcPr>
            <w:tcW w:w="8771" w:type="dxa"/>
            <w:tcBorders>
              <w:top w:val="nil"/>
              <w:left w:val="nil"/>
              <w:bottom w:val="nil"/>
              <w:right w:val="nil"/>
            </w:tcBorders>
            <w:shd w:val="clear" w:color="auto" w:fill="auto"/>
          </w:tcPr>
          <w:p w:rsidR="001D2738" w:rsidRPr="00176D3F" w:rsidRDefault="001D2738" w:rsidP="00816471">
            <w:pPr>
              <w:pStyle w:val="Source"/>
            </w:pPr>
            <w:r w:rsidRPr="00B2494F">
              <w:rPr>
                <w:i/>
              </w:rPr>
              <w:t>Source</w:t>
            </w:r>
            <w:r w:rsidRPr="009551A0">
              <w:t>:</w:t>
            </w:r>
            <w:r w:rsidRPr="00B2494F">
              <w:rPr>
                <w:i/>
              </w:rPr>
              <w:t xml:space="preserve"> </w:t>
            </w:r>
            <w:r w:rsidR="008617D3" w:rsidRPr="008617D3">
              <w:t>Department of Health</w:t>
            </w:r>
            <w:r w:rsidRPr="00B2494F">
              <w:t xml:space="preserve"> (unpublished); table</w:t>
            </w:r>
            <w:r>
              <w:t> </w:t>
            </w:r>
            <w:r w:rsidRPr="00B2494F">
              <w:t>1</w:t>
            </w:r>
            <w:r w:rsidR="00997413">
              <w:t>4</w:t>
            </w:r>
            <w:r w:rsidRPr="00B2494F">
              <w:t>A.</w:t>
            </w:r>
            <w:r w:rsidR="00816471">
              <w:t>2</w:t>
            </w:r>
            <w:r w:rsidR="009638BE">
              <w:t>5</w:t>
            </w:r>
            <w:r w:rsidRPr="00B2494F">
              <w:t>.</w:t>
            </w:r>
            <w:r w:rsidRPr="00176D3F">
              <w:t xml:space="preserve"> </w:t>
            </w:r>
          </w:p>
        </w:tc>
      </w:tr>
      <w:tr w:rsidR="001D2738" w:rsidTr="00C74E99">
        <w:tc>
          <w:tcPr>
            <w:tcW w:w="8771" w:type="dxa"/>
            <w:tcBorders>
              <w:top w:val="nil"/>
              <w:left w:val="nil"/>
              <w:bottom w:val="single" w:sz="6" w:space="0" w:color="78A22F"/>
              <w:right w:val="nil"/>
            </w:tcBorders>
            <w:shd w:val="clear" w:color="auto" w:fill="auto"/>
          </w:tcPr>
          <w:p w:rsidR="001D2738" w:rsidRDefault="001D2738" w:rsidP="00C74E99">
            <w:pPr>
              <w:pStyle w:val="Figurespace"/>
            </w:pPr>
          </w:p>
        </w:tc>
      </w:tr>
      <w:tr w:rsidR="001D2738" w:rsidRPr="000863A5" w:rsidTr="00C74E99">
        <w:tc>
          <w:tcPr>
            <w:tcW w:w="8771" w:type="dxa"/>
            <w:tcBorders>
              <w:top w:val="single" w:sz="6" w:space="0" w:color="78A22F"/>
              <w:left w:val="nil"/>
              <w:bottom w:val="nil"/>
              <w:right w:val="nil"/>
            </w:tcBorders>
          </w:tcPr>
          <w:p w:rsidR="001D2738" w:rsidRPr="00626D32" w:rsidRDefault="001D2738" w:rsidP="00C74E99">
            <w:pPr>
              <w:pStyle w:val="BoxSpaceBelow"/>
            </w:pPr>
          </w:p>
        </w:tc>
      </w:tr>
    </w:tbl>
    <w:p w:rsidR="00ED5EA8" w:rsidRDefault="00A67FF4" w:rsidP="0033132C">
      <w:pPr>
        <w:pStyle w:val="Heading4"/>
      </w:pPr>
      <w:r>
        <w:t>Access</w:t>
      </w:r>
      <w:r w:rsidR="0086351C">
        <w:t xml:space="preserve"> – </w:t>
      </w:r>
      <w:r w:rsidR="00ED5EA8">
        <w:t>Unmet need</w:t>
      </w:r>
    </w:p>
    <w:p w:rsidR="006C3F0B" w:rsidRDefault="00ED5EA8" w:rsidP="00ED5EA8">
      <w:pPr>
        <w:pStyle w:val="BodyText"/>
      </w:pPr>
      <w:r>
        <w:t xml:space="preserve">‘Unmet need’ is an indicator of governments’ objective of ensuring aged care services are </w:t>
      </w:r>
      <w:r w:rsidR="003B3A7E">
        <w:t>accessible</w:t>
      </w:r>
      <w:r>
        <w:t xml:space="preserve"> (box</w:t>
      </w:r>
      <w:r w:rsidR="009551A0">
        <w:t> </w:t>
      </w:r>
      <w:r>
        <w:t>1</w:t>
      </w:r>
      <w:r w:rsidR="003B3A7E">
        <w:t>4</w:t>
      </w:r>
      <w:r>
        <w:t>.</w:t>
      </w:r>
      <w:r w:rsidR="00EB4150">
        <w:t>4</w:t>
      </w:r>
      <w:r>
        <w:t>).</w:t>
      </w:r>
      <w:r w:rsidR="00A67FF4">
        <w:t xml:space="preserve"> </w:t>
      </w:r>
    </w:p>
    <w:p w:rsidR="00ED5EA8" w:rsidRDefault="00ED5E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5EA8" w:rsidTr="001573BE">
        <w:tc>
          <w:tcPr>
            <w:tcW w:w="8771" w:type="dxa"/>
            <w:tcBorders>
              <w:top w:val="single" w:sz="6" w:space="0" w:color="78A22F"/>
              <w:left w:val="nil"/>
              <w:bottom w:val="nil"/>
              <w:right w:val="nil"/>
            </w:tcBorders>
            <w:shd w:val="clear" w:color="auto" w:fill="F2F2F2" w:themeFill="background1" w:themeFillShade="F2"/>
          </w:tcPr>
          <w:p w:rsidR="00ED5EA8" w:rsidRDefault="00ED5EA8" w:rsidP="0080776E">
            <w:pPr>
              <w:pStyle w:val="BoxTitle"/>
            </w:pPr>
            <w:r>
              <w:rPr>
                <w:b w:val="0"/>
              </w:rPr>
              <w:t xml:space="preserve">Box </w:t>
            </w:r>
            <w:bookmarkStart w:id="10" w:name="OLE_LINK2"/>
            <w:r w:rsidR="00C80EF8">
              <w:rPr>
                <w:b w:val="0"/>
              </w:rPr>
              <w:t>14.</w:t>
            </w:r>
            <w:r w:rsidR="00662F0E">
              <w:rPr>
                <w:b w:val="0"/>
                <w:noProof/>
              </w:rPr>
              <w:t>4</w:t>
            </w:r>
            <w:bookmarkEnd w:id="10"/>
            <w:r>
              <w:tab/>
            </w:r>
            <w:r w:rsidRPr="00ED5EA8">
              <w:t>Unmet need</w:t>
            </w:r>
          </w:p>
        </w:tc>
      </w:tr>
      <w:tr w:rsidR="00ED5EA8" w:rsidTr="001573BE">
        <w:trPr>
          <w:cantSplit/>
        </w:trPr>
        <w:tc>
          <w:tcPr>
            <w:tcW w:w="8771" w:type="dxa"/>
            <w:tcBorders>
              <w:top w:val="nil"/>
              <w:left w:val="nil"/>
              <w:bottom w:val="nil"/>
              <w:right w:val="nil"/>
            </w:tcBorders>
            <w:shd w:val="clear" w:color="auto" w:fill="F2F2F2" w:themeFill="background1" w:themeFillShade="F2"/>
          </w:tcPr>
          <w:p w:rsidR="00ED5EA8" w:rsidRDefault="00ED5EA8" w:rsidP="00ED5EA8">
            <w:pPr>
              <w:pStyle w:val="Box"/>
            </w:pPr>
            <w:r>
              <w:t xml:space="preserve">‘Unmet need’ is defined as the extent to which demand for services to support older people requiring assistance with </w:t>
            </w:r>
            <w:r w:rsidR="001C18DF">
              <w:t>everyday</w:t>
            </w:r>
            <w:r>
              <w:t xml:space="preserve"> activities is </w:t>
            </w:r>
            <w:r w:rsidR="00E05549">
              <w:t xml:space="preserve">not </w:t>
            </w:r>
            <w:r>
              <w:t xml:space="preserve">met. </w:t>
            </w:r>
          </w:p>
          <w:p w:rsidR="00ED5EA8" w:rsidRDefault="00ED5EA8" w:rsidP="00ED5EA8">
            <w:pPr>
              <w:pStyle w:val="Box"/>
            </w:pPr>
            <w:r>
              <w:t xml:space="preserve">Low rates of unmet need are desirable; however, defining and determining the level of need at an individual level is complex and at a population level is highly complex. Perceptions of need and unmet need are often subjective. </w:t>
            </w:r>
          </w:p>
          <w:p w:rsidR="007D4D17" w:rsidRDefault="00ED5EA8" w:rsidP="00B61BD3">
            <w:pPr>
              <w:pStyle w:val="Box"/>
            </w:pPr>
            <w:r>
              <w:t>Data from the ABS 201</w:t>
            </w:r>
            <w:r w:rsidR="003B3A7E">
              <w:t>5</w:t>
            </w:r>
            <w:r>
              <w:t xml:space="preserve"> </w:t>
            </w:r>
            <w:r w:rsidR="00025AE5" w:rsidRPr="00E05FB7">
              <w:rPr>
                <w:i/>
              </w:rPr>
              <w:t>S</w:t>
            </w:r>
            <w:r w:rsidR="00BD2C2E" w:rsidRPr="00E05FB7">
              <w:rPr>
                <w:i/>
              </w:rPr>
              <w:t xml:space="preserve">urvey </w:t>
            </w:r>
            <w:r w:rsidR="00025AE5" w:rsidRPr="00E05FB7">
              <w:rPr>
                <w:i/>
              </w:rPr>
              <w:t>D</w:t>
            </w:r>
            <w:r w:rsidR="00BD2C2E" w:rsidRPr="00E05FB7">
              <w:rPr>
                <w:i/>
              </w:rPr>
              <w:t xml:space="preserve">isability </w:t>
            </w:r>
            <w:r w:rsidR="00025AE5" w:rsidRPr="00E05FB7">
              <w:rPr>
                <w:i/>
              </w:rPr>
              <w:t>A</w:t>
            </w:r>
            <w:r w:rsidR="00BD2C2E" w:rsidRPr="00E05FB7">
              <w:rPr>
                <w:i/>
              </w:rPr>
              <w:t xml:space="preserve">geing and </w:t>
            </w:r>
            <w:r w:rsidR="00025AE5" w:rsidRPr="00E05FB7">
              <w:rPr>
                <w:i/>
              </w:rPr>
              <w:t>C</w:t>
            </w:r>
            <w:r w:rsidR="00BD2C2E" w:rsidRPr="00E05FB7">
              <w:rPr>
                <w:i/>
              </w:rPr>
              <w:t>arers</w:t>
            </w:r>
            <w:r w:rsidR="00BD2C2E">
              <w:t xml:space="preserve"> (SDAC)</w:t>
            </w:r>
            <w:r w:rsidR="00025AE5">
              <w:t xml:space="preserve"> </w:t>
            </w:r>
            <w:r w:rsidR="001C240F">
              <w:t>on older people with a need for assistance with at least one everyday activity</w:t>
            </w:r>
            <w:r w:rsidR="00427516">
              <w:t xml:space="preserve"> </w:t>
            </w:r>
            <w:r w:rsidR="00427516" w:rsidRPr="009D44D7">
              <w:t>(which could be met by formal or informal providers)</w:t>
            </w:r>
            <w:r w:rsidR="001C240F" w:rsidRPr="009D44D7">
              <w:t>,</w:t>
            </w:r>
            <w:r w:rsidR="001C240F">
              <w:t xml:space="preserve"> and the extent to which that need was being met (fully, partly or not at all) are reported in table</w:t>
            </w:r>
            <w:r w:rsidR="00E75264">
              <w:t> </w:t>
            </w:r>
            <w:r w:rsidR="001C240F">
              <w:t>1</w:t>
            </w:r>
            <w:r w:rsidR="003B3A7E">
              <w:t>4</w:t>
            </w:r>
            <w:r w:rsidR="001C240F">
              <w:t>A.</w:t>
            </w:r>
            <w:r w:rsidR="009E57FB">
              <w:t>3</w:t>
            </w:r>
            <w:r w:rsidR="00C863CB">
              <w:t>0</w:t>
            </w:r>
            <w:r w:rsidR="001C240F">
              <w:t xml:space="preserve">. </w:t>
            </w:r>
            <w:r w:rsidR="001C240F" w:rsidRPr="00427516">
              <w:t xml:space="preserve">Although </w:t>
            </w:r>
            <w:r w:rsidR="001C18DF" w:rsidRPr="00427516">
              <w:t xml:space="preserve">these </w:t>
            </w:r>
            <w:r w:rsidR="001C240F" w:rsidRPr="00427516">
              <w:t xml:space="preserve">data are included, this indicator </w:t>
            </w:r>
            <w:r w:rsidR="007D4D17" w:rsidRPr="00427516">
              <w:t xml:space="preserve">is </w:t>
            </w:r>
            <w:r w:rsidR="00860559" w:rsidRPr="00427516">
              <w:t>regarded as yet to be developed</w:t>
            </w:r>
            <w:r w:rsidR="007D4D17" w:rsidRPr="00427516">
              <w:t xml:space="preserve"> becau</w:t>
            </w:r>
            <w:r w:rsidR="001C240F" w:rsidRPr="00427516">
              <w:t xml:space="preserve">se </w:t>
            </w:r>
            <w:r w:rsidR="00860559" w:rsidRPr="00427516">
              <w:t>further work is</w:t>
            </w:r>
            <w:r w:rsidR="009D44D7" w:rsidRPr="009D44D7">
              <w:t xml:space="preserve"> </w:t>
            </w:r>
            <w:r w:rsidR="00860559" w:rsidRPr="009D44D7">
              <w:t>need</w:t>
            </w:r>
            <w:r w:rsidR="001C18DF" w:rsidRPr="009D44D7">
              <w:t>ed</w:t>
            </w:r>
            <w:r w:rsidR="00427516" w:rsidRPr="009D44D7">
              <w:t xml:space="preserve"> to define the scope and understand the </w:t>
            </w:r>
            <w:r w:rsidR="004875BB" w:rsidRPr="009D44D7">
              <w:t xml:space="preserve">impact of the </w:t>
            </w:r>
            <w:r w:rsidR="00427516" w:rsidRPr="009D44D7">
              <w:t>caveats</w:t>
            </w:r>
            <w:r w:rsidR="001C240F" w:rsidRPr="009D44D7">
              <w:t>.</w:t>
            </w:r>
            <w:r w:rsidR="001C240F" w:rsidRPr="00427516">
              <w:rPr>
                <w:shd w:val="clear" w:color="auto" w:fill="BFBFBF" w:themeFill="background1" w:themeFillShade="BF"/>
              </w:rPr>
              <w:t xml:space="preserve"> </w:t>
            </w:r>
          </w:p>
        </w:tc>
      </w:tr>
      <w:tr w:rsidR="00ED5EA8" w:rsidTr="001573BE">
        <w:trPr>
          <w:cantSplit/>
        </w:trPr>
        <w:tc>
          <w:tcPr>
            <w:tcW w:w="8771" w:type="dxa"/>
            <w:tcBorders>
              <w:top w:val="nil"/>
              <w:left w:val="nil"/>
              <w:bottom w:val="single" w:sz="6" w:space="0" w:color="78A22F"/>
              <w:right w:val="nil"/>
            </w:tcBorders>
            <w:shd w:val="clear" w:color="auto" w:fill="F2F2F2" w:themeFill="background1" w:themeFillShade="F2"/>
          </w:tcPr>
          <w:p w:rsidR="00ED5EA8" w:rsidRDefault="00ED5EA8">
            <w:pPr>
              <w:pStyle w:val="Box"/>
              <w:spacing w:before="0" w:line="120" w:lineRule="exact"/>
            </w:pPr>
          </w:p>
        </w:tc>
      </w:tr>
      <w:tr w:rsidR="00ED5EA8" w:rsidRPr="000863A5" w:rsidTr="001573BE">
        <w:tc>
          <w:tcPr>
            <w:tcW w:w="8771" w:type="dxa"/>
            <w:tcBorders>
              <w:top w:val="single" w:sz="6" w:space="0" w:color="78A22F"/>
              <w:left w:val="nil"/>
              <w:bottom w:val="nil"/>
              <w:right w:val="nil"/>
            </w:tcBorders>
          </w:tcPr>
          <w:p w:rsidR="00ED5EA8" w:rsidRPr="00626D32" w:rsidRDefault="00ED5EA8" w:rsidP="001573BE">
            <w:pPr>
              <w:pStyle w:val="BoxSpaceBelow"/>
            </w:pPr>
          </w:p>
        </w:tc>
      </w:tr>
    </w:tbl>
    <w:p w:rsidR="00ED5EA8" w:rsidRDefault="00E05549" w:rsidP="00ED5EA8">
      <w:pPr>
        <w:pStyle w:val="BodyText"/>
      </w:pPr>
      <w:r>
        <w:t xml:space="preserve">Nationally in 2015, </w:t>
      </w:r>
      <w:r w:rsidR="009E57FB">
        <w:t>30.8</w:t>
      </w:r>
      <w:r>
        <w:t xml:space="preserve"> per cent of </w:t>
      </w:r>
      <w:r w:rsidR="009E57FB">
        <w:t xml:space="preserve">older </w:t>
      </w:r>
      <w:r>
        <w:t xml:space="preserve">people </w:t>
      </w:r>
      <w:r w:rsidR="009E57FB">
        <w:t>(</w:t>
      </w:r>
      <w:r>
        <w:t>aged 65 years and over</w:t>
      </w:r>
      <w:r w:rsidR="009E57FB">
        <w:t>)</w:t>
      </w:r>
      <w:r>
        <w:t xml:space="preserve"> who were </w:t>
      </w:r>
      <w:r w:rsidR="00ED5EA8">
        <w:t xml:space="preserve">living in households and </w:t>
      </w:r>
      <w:r w:rsidR="009E57FB">
        <w:t>needed</w:t>
      </w:r>
      <w:r w:rsidR="00ED5EA8">
        <w:t xml:space="preserve"> assistance</w:t>
      </w:r>
      <w:r w:rsidR="009E57FB">
        <w:t>,</w:t>
      </w:r>
      <w:r w:rsidR="00ED5EA8">
        <w:t xml:space="preserve"> reported that their need was not fully met (table</w:t>
      </w:r>
      <w:r w:rsidR="009551A0">
        <w:t> </w:t>
      </w:r>
      <w:r w:rsidR="00ED5EA8">
        <w:t>1</w:t>
      </w:r>
      <w:r w:rsidR="003B3A7E">
        <w:t>4</w:t>
      </w:r>
      <w:r w:rsidR="00ED5EA8">
        <w:t>A.</w:t>
      </w:r>
      <w:r w:rsidR="009E57FB">
        <w:t>3</w:t>
      </w:r>
      <w:r w:rsidR="00391E5A">
        <w:t>0</w:t>
      </w:r>
      <w:r w:rsidR="00ED5EA8">
        <w:t>).</w:t>
      </w:r>
      <w:r w:rsidR="009E57FB">
        <w:t xml:space="preserve"> The proportion was higher for older people with a profound and severe disability </w:t>
      </w:r>
      <w:r w:rsidR="00D54E82">
        <w:t xml:space="preserve">(37.4 per cent) </w:t>
      </w:r>
      <w:r w:rsidR="009E57FB">
        <w:t>than for older people without a disability</w:t>
      </w:r>
      <w:r w:rsidR="00D54E82">
        <w:t xml:space="preserve"> (20.8 per cent).</w:t>
      </w:r>
    </w:p>
    <w:p w:rsidR="00ED5EA8" w:rsidRDefault="003B3A7E" w:rsidP="00B6113E">
      <w:pPr>
        <w:pStyle w:val="Heading4"/>
      </w:pPr>
      <w:r>
        <w:t xml:space="preserve">Access – </w:t>
      </w:r>
      <w:r w:rsidR="00ED5EA8">
        <w:t xml:space="preserve">Hospital patient days used by aged care type patients </w:t>
      </w:r>
    </w:p>
    <w:p w:rsidR="00ED5EA8" w:rsidRDefault="00ED5EA8" w:rsidP="00ED5EA8">
      <w:pPr>
        <w:pStyle w:val="BodyText"/>
      </w:pPr>
      <w:r>
        <w:t>‘Hospital patient days used by aged care type patients’ is a</w:t>
      </w:r>
      <w:r w:rsidR="008B6DBC">
        <w:t xml:space="preserve"> proxy</w:t>
      </w:r>
      <w:r>
        <w:t xml:space="preserve"> indicator of governments’ objective </w:t>
      </w:r>
      <w:r w:rsidR="00E05549">
        <w:t>of ensuring aged care services are accessible</w:t>
      </w:r>
      <w:r w:rsidR="00815D4E">
        <w:t xml:space="preserve"> </w:t>
      </w:r>
      <w:r>
        <w:t>(box</w:t>
      </w:r>
      <w:r w:rsidR="009551A0">
        <w:t> </w:t>
      </w:r>
      <w:r w:rsidR="00EB4150">
        <w:t>14</w:t>
      </w:r>
      <w:r>
        <w:t>.</w:t>
      </w:r>
      <w:r w:rsidR="00EB4150">
        <w:t>5</w:t>
      </w:r>
      <w:r>
        <w:t>).</w:t>
      </w:r>
      <w:r w:rsidR="00F11785" w:rsidRPr="00F11785">
        <w:t xml:space="preserve"> </w:t>
      </w:r>
    </w:p>
    <w:p w:rsidR="00515A90" w:rsidRDefault="00515A90" w:rsidP="00ED5EA8">
      <w:pPr>
        <w:pStyle w:val="BodyText"/>
      </w:pPr>
      <w:r w:rsidRPr="00515A90">
        <w:t xml:space="preserve">Understanding the relationship between the aged care and health systems is of particular importance as interactions are critical for the performance of both systems. The number of operational residential aged care places can affect demand for public hospital beds, for example; while the number of older patients in acute and subacute care and the amount of time they spend there can also have a substantial effect on the demand for aged care services. </w:t>
      </w:r>
    </w:p>
    <w:p w:rsidR="00DA0288" w:rsidRDefault="00DA02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DA0288" w:rsidTr="00EF0249">
        <w:tc>
          <w:tcPr>
            <w:tcW w:w="8771" w:type="dxa"/>
            <w:tcBorders>
              <w:top w:val="single" w:sz="6" w:space="0" w:color="78A22F"/>
              <w:left w:val="nil"/>
              <w:bottom w:val="nil"/>
              <w:right w:val="nil"/>
            </w:tcBorders>
            <w:shd w:val="clear" w:color="auto" w:fill="F2F2F2"/>
          </w:tcPr>
          <w:p w:rsidR="00DA0288" w:rsidRDefault="00DA0288" w:rsidP="00DA0288">
            <w:pPr>
              <w:pStyle w:val="BoxTitle"/>
            </w:pPr>
            <w:r>
              <w:rPr>
                <w:b w:val="0"/>
              </w:rPr>
              <w:t>Box 14.</w:t>
            </w:r>
            <w:r w:rsidR="00662F0E">
              <w:rPr>
                <w:b w:val="0"/>
                <w:noProof/>
              </w:rPr>
              <w:t>5</w:t>
            </w:r>
            <w:r>
              <w:tab/>
            </w:r>
            <w:r w:rsidRPr="00ED5EA8">
              <w:t>Hospital patient days used by aged care type patients</w:t>
            </w:r>
          </w:p>
        </w:tc>
      </w:tr>
      <w:tr w:rsidR="00DA0288" w:rsidTr="00EF0249">
        <w:tc>
          <w:tcPr>
            <w:tcW w:w="8771" w:type="dxa"/>
            <w:tcBorders>
              <w:top w:val="nil"/>
              <w:left w:val="nil"/>
              <w:bottom w:val="nil"/>
              <w:right w:val="nil"/>
            </w:tcBorders>
            <w:shd w:val="clear" w:color="auto" w:fill="F2F2F2"/>
          </w:tcPr>
          <w:p w:rsidR="00DA0288" w:rsidRDefault="00DA0288" w:rsidP="00DA0288">
            <w:pPr>
              <w:pStyle w:val="Box"/>
            </w:pPr>
            <w:r>
              <w:t>‘Hospital patient days used by aged care type patients’ is defined as the proportion of all patient days (for overnight separations only) used by patients who are waiting for residential aged care, where the:</w:t>
            </w:r>
          </w:p>
          <w:p w:rsidR="00DA0288" w:rsidRDefault="00DA0288" w:rsidP="00DA0288">
            <w:pPr>
              <w:pStyle w:val="BoxListBullet"/>
            </w:pPr>
            <w:r>
              <w:t>care type was maintenance, and</w:t>
            </w:r>
          </w:p>
          <w:p w:rsidR="00DA0288" w:rsidRDefault="00DA0288" w:rsidP="00DA0288">
            <w:pPr>
              <w:pStyle w:val="BoxListBullet"/>
            </w:pPr>
            <w:r>
              <w:t>diagnosis (either principal or additional) was a person awaiting admission to a residential aged care service, and</w:t>
            </w:r>
          </w:p>
          <w:p w:rsidR="00944D8D" w:rsidRDefault="00DA0288" w:rsidP="00944D8D">
            <w:pPr>
              <w:pStyle w:val="BoxListBullet"/>
            </w:pPr>
            <w:r>
              <w:t xml:space="preserve">separation mode was not ‘other’ (includes discharge to place of usual residence or </w:t>
            </w:r>
            <w:r w:rsidRPr="008B6DBC">
              <w:t>own accommodation/welfare institution</w:t>
            </w:r>
            <w:r w:rsidR="00944D8D">
              <w:t>).</w:t>
            </w:r>
          </w:p>
          <w:p w:rsidR="00944D8D" w:rsidRDefault="00944D8D" w:rsidP="00944D8D">
            <w:pPr>
              <w:pStyle w:val="Box"/>
            </w:pPr>
            <w:r w:rsidRPr="00D026D5">
              <w:t>Low or decreasing proportions of patient days used by people waiting for residential aged care are desirable.</w:t>
            </w:r>
          </w:p>
          <w:p w:rsidR="00944D8D" w:rsidRDefault="00944D8D" w:rsidP="00944D8D">
            <w:pPr>
              <w:pStyle w:val="Box"/>
            </w:pPr>
            <w:r>
              <w:t>Hospital inpatient services are geared towards shorter periods of acute care aimed at addressing serious illness or injury, or diagnosis. The needs of older people for maintenance care (particularly for extended periods of time) can be better met through residential aged care services than hospitals.</w:t>
            </w:r>
          </w:p>
          <w:p w:rsidR="00944D8D" w:rsidRDefault="00944D8D" w:rsidP="00944D8D">
            <w:pPr>
              <w:pStyle w:val="Box"/>
            </w:pPr>
            <w:r>
              <w:t xml:space="preserve">The indicator should be interpreted with </w:t>
            </w:r>
            <w:r w:rsidRPr="00BA4DEF">
              <w:t>caution,</w:t>
            </w:r>
            <w:r>
              <w:t xml:space="preserve"> because:</w:t>
            </w:r>
          </w:p>
          <w:p w:rsidR="00944D8D" w:rsidRDefault="00944D8D" w:rsidP="00944D8D">
            <w:pPr>
              <w:pStyle w:val="BoxListBullet"/>
            </w:pPr>
            <w:r>
              <w:t>days for patients who have not completed their period of care in a hospital are not included</w:t>
            </w:r>
          </w:p>
          <w:p w:rsidR="00944D8D" w:rsidRDefault="00944D8D" w:rsidP="00944D8D">
            <w:pPr>
              <w:pStyle w:val="BoxListBullet"/>
            </w:pPr>
            <w:r>
              <w:t xml:space="preserve">although the diagnosis codes reflect a care type, they may not reflect a person’s eligibility for residential care services (this is determined by an ACAT assessment) or reliably reflect access issues for residential aged care from the acute care sector </w:t>
            </w:r>
            <w:r>
              <w:rPr>
                <w:rFonts w:ascii="Calibri" w:hAnsi="Calibri"/>
              </w:rPr>
              <w:t xml:space="preserve">— </w:t>
            </w:r>
            <w:r>
              <w:t>data (utilising appropriate linked hospital separations and ACAT approvals) are not available at this time</w:t>
            </w:r>
          </w:p>
          <w:p w:rsidR="00944D8D" w:rsidRDefault="00944D8D" w:rsidP="00944D8D">
            <w:pPr>
              <w:pStyle w:val="BoxListBullet"/>
            </w:pPr>
            <w:r>
              <w:t>the diagnosis codes may not be applied consistently across jurisdictions or over time.</w:t>
            </w:r>
          </w:p>
          <w:p w:rsidR="00944D8D" w:rsidRDefault="00944D8D" w:rsidP="00944D8D">
            <w:pPr>
              <w:pStyle w:val="Box"/>
            </w:pPr>
            <w:r w:rsidRPr="00D026D5">
              <w:t xml:space="preserve">Data </w:t>
            </w:r>
            <w:r>
              <w:t>reported for this indicator are:</w:t>
            </w:r>
          </w:p>
          <w:p w:rsidR="00944D8D" w:rsidRDefault="00944D8D" w:rsidP="00944D8D">
            <w:pPr>
              <w:pStyle w:val="BoxListBullet"/>
            </w:pPr>
            <w:r>
              <w:t>comparable (subject to caveats) across jurisdictions and over time (except for Tasmania for 2008</w:t>
            </w:r>
            <w:r>
              <w:noBreakHyphen/>
              <w:t>09 where two significant private hospitals are excluded)</w:t>
            </w:r>
          </w:p>
          <w:p w:rsidR="00944D8D" w:rsidRDefault="00944D8D" w:rsidP="009A1416">
            <w:pPr>
              <w:pStyle w:val="BoxListBullet"/>
            </w:pPr>
            <w:r w:rsidRPr="00514579">
              <w:t>complete (subject to caveats) for the current repo</w:t>
            </w:r>
            <w:r>
              <w:t>rting period. All required 201</w:t>
            </w:r>
            <w:r w:rsidR="009A1416">
              <w:t>4</w:t>
            </w:r>
            <w:r w:rsidR="00664BA5">
              <w:noBreakHyphen/>
            </w:r>
            <w:r w:rsidRPr="00514579">
              <w:t>1</w:t>
            </w:r>
            <w:r w:rsidR="009A1416">
              <w:t>5</w:t>
            </w:r>
            <w:r w:rsidRPr="00514579">
              <w:t xml:space="preserve"> data are available for all jurisdictions.</w:t>
            </w:r>
          </w:p>
        </w:tc>
      </w:tr>
      <w:tr w:rsidR="00DA0288" w:rsidTr="00EF0249">
        <w:tc>
          <w:tcPr>
            <w:tcW w:w="8771" w:type="dxa"/>
            <w:tcBorders>
              <w:top w:val="nil"/>
              <w:left w:val="nil"/>
              <w:bottom w:val="single" w:sz="6" w:space="0" w:color="78A22F"/>
              <w:right w:val="nil"/>
            </w:tcBorders>
            <w:shd w:val="clear" w:color="auto" w:fill="F2F2F2"/>
          </w:tcPr>
          <w:p w:rsidR="00DA0288" w:rsidRDefault="00DA0288">
            <w:pPr>
              <w:pStyle w:val="Box"/>
              <w:spacing w:before="0" w:line="120" w:lineRule="exact"/>
            </w:pPr>
          </w:p>
        </w:tc>
      </w:tr>
      <w:tr w:rsidR="00DA0288" w:rsidRPr="000863A5" w:rsidTr="00EF0249">
        <w:tc>
          <w:tcPr>
            <w:tcW w:w="8771" w:type="dxa"/>
            <w:tcBorders>
              <w:top w:val="single" w:sz="6" w:space="0" w:color="78A22F"/>
              <w:left w:val="nil"/>
              <w:bottom w:val="nil"/>
              <w:right w:val="nil"/>
            </w:tcBorders>
          </w:tcPr>
          <w:p w:rsidR="00DA0288" w:rsidRPr="00626D32" w:rsidRDefault="00DA0288" w:rsidP="00EF0249">
            <w:pPr>
              <w:pStyle w:val="BoxSpaceBelow"/>
            </w:pPr>
          </w:p>
        </w:tc>
      </w:tr>
    </w:tbl>
    <w:p w:rsidR="00E8096D" w:rsidRPr="00805276" w:rsidRDefault="00E8096D" w:rsidP="00805276">
      <w:pPr>
        <w:pStyle w:val="BodyText"/>
      </w:pPr>
      <w:r w:rsidRPr="00805276">
        <w:t xml:space="preserve">The proportion of all hospital patient days used by patients who are waiting for residential aged care was </w:t>
      </w:r>
      <w:r w:rsidR="00292776" w:rsidRPr="003E4701">
        <w:rPr>
          <w:shd w:val="clear" w:color="auto" w:fill="FFFFFF" w:themeFill="background1"/>
        </w:rPr>
        <w:t>10.0</w:t>
      </w:r>
      <w:r w:rsidRPr="00805276">
        <w:t xml:space="preserve"> per 1000 patient days </w:t>
      </w:r>
      <w:r w:rsidRPr="009D44D7">
        <w:rPr>
          <w:shd w:val="clear" w:color="auto" w:fill="FFFFFF" w:themeFill="background1"/>
        </w:rPr>
        <w:t>nationally</w:t>
      </w:r>
      <w:r w:rsidR="005D5909" w:rsidRPr="009D44D7">
        <w:rPr>
          <w:shd w:val="clear" w:color="auto" w:fill="FFFFFF" w:themeFill="background1"/>
        </w:rPr>
        <w:t xml:space="preserve"> </w:t>
      </w:r>
      <w:r w:rsidR="005D5909">
        <w:t xml:space="preserve"> </w:t>
      </w:r>
      <w:r w:rsidRPr="00805276">
        <w:t>in 201</w:t>
      </w:r>
      <w:r w:rsidR="00805276">
        <w:t>4</w:t>
      </w:r>
      <w:r w:rsidR="00AD3960" w:rsidRPr="00805276">
        <w:noBreakHyphen/>
      </w:r>
      <w:r w:rsidRPr="00805276">
        <w:t>1</w:t>
      </w:r>
      <w:r w:rsidR="00805276">
        <w:t>5</w:t>
      </w:r>
      <w:r w:rsidRPr="00805276">
        <w:t xml:space="preserve"> (figure</w:t>
      </w:r>
      <w:r w:rsidR="00E75264" w:rsidRPr="00805276">
        <w:t> </w:t>
      </w:r>
      <w:r w:rsidRPr="00805276">
        <w:t>1</w:t>
      </w:r>
      <w:r w:rsidR="00805276">
        <w:t>4</w:t>
      </w:r>
      <w:r w:rsidRPr="00805276">
        <w:t>.</w:t>
      </w:r>
      <w:r w:rsidR="00EB4150">
        <w:t>8</w:t>
      </w:r>
      <w:r w:rsidRPr="00805276">
        <w:t>).</w:t>
      </w:r>
      <w:r w:rsidR="004F0B02" w:rsidRPr="00805276">
        <w:t xml:space="preserve"> </w:t>
      </w:r>
      <w:r w:rsidR="00AB5A0B">
        <w:t>Proportions are higher for Aboriginal and Torres Strait Islander people compared to non</w:t>
      </w:r>
      <w:r w:rsidR="00664BA5">
        <w:noBreakHyphen/>
      </w:r>
      <w:r w:rsidR="00AB5A0B">
        <w:t xml:space="preserve">Indigenous people and </w:t>
      </w:r>
      <w:r w:rsidR="00BF48E3">
        <w:t>de</w:t>
      </w:r>
      <w:r w:rsidR="00AB5A0B">
        <w:t xml:space="preserve">crease </w:t>
      </w:r>
      <w:r w:rsidR="00BF48E3">
        <w:t xml:space="preserve">as </w:t>
      </w:r>
      <w:r w:rsidR="006276B7">
        <w:t>socioeconomic status</w:t>
      </w:r>
      <w:r w:rsidR="00AB5A0B">
        <w:t xml:space="preserve"> of residence </w:t>
      </w:r>
      <w:r w:rsidR="008646B3">
        <w:t>inc</w:t>
      </w:r>
      <w:r w:rsidR="00AB5A0B">
        <w:t>reases</w:t>
      </w:r>
      <w:r w:rsidR="008646B3">
        <w:t xml:space="preserve"> </w:t>
      </w:r>
      <w:r w:rsidR="00805276">
        <w:t>(table</w:t>
      </w:r>
      <w:r w:rsidR="00664BA5">
        <w:t> </w:t>
      </w:r>
      <w:r w:rsidR="00805276">
        <w:t>14A.</w:t>
      </w:r>
      <w:r w:rsidR="00BF48E3">
        <w:t>32</w:t>
      </w:r>
      <w:r w:rsidR="00805276">
        <w:t>).</w:t>
      </w:r>
    </w:p>
    <w:p w:rsidR="00351D64" w:rsidRDefault="00351D64" w:rsidP="00AD3960">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1D64" w:rsidTr="00CC56A6">
        <w:tc>
          <w:tcPr>
            <w:tcW w:w="8771" w:type="dxa"/>
            <w:tcBorders>
              <w:top w:val="single" w:sz="6" w:space="0" w:color="78A22F"/>
              <w:left w:val="nil"/>
              <w:bottom w:val="nil"/>
              <w:right w:val="nil"/>
            </w:tcBorders>
            <w:shd w:val="clear" w:color="auto" w:fill="FFFFFF" w:themeFill="background1"/>
          </w:tcPr>
          <w:p w:rsidR="00351D64" w:rsidRPr="00176D3F" w:rsidRDefault="00351D64" w:rsidP="00D00F31">
            <w:pPr>
              <w:pStyle w:val="FigureTitle"/>
            </w:pPr>
            <w:r w:rsidRPr="00784A05">
              <w:rPr>
                <w:b w:val="0"/>
              </w:rPr>
              <w:t xml:space="preserve">Figure </w:t>
            </w:r>
            <w:r w:rsidR="00EB4150">
              <w:rPr>
                <w:b w:val="0"/>
              </w:rPr>
              <w:t>14.</w:t>
            </w:r>
            <w:r w:rsidR="00662F0E">
              <w:rPr>
                <w:b w:val="0"/>
                <w:noProof/>
              </w:rPr>
              <w:t>8</w:t>
            </w:r>
            <w:r>
              <w:tab/>
            </w:r>
            <w:r w:rsidRPr="00351D64">
              <w:t>Hospital patient days used by patients waiting for residential aged care</w:t>
            </w:r>
            <w:r w:rsidRPr="00351D64">
              <w:rPr>
                <w:rStyle w:val="NoteLabel"/>
                <w:b/>
              </w:rPr>
              <w:t>a</w:t>
            </w:r>
          </w:p>
        </w:tc>
      </w:tr>
      <w:tr w:rsidR="00351D64" w:rsidTr="008F19F7">
        <w:trPr>
          <w:trHeight w:val="4140"/>
        </w:trPr>
        <w:tc>
          <w:tcPr>
            <w:tcW w:w="8771" w:type="dxa"/>
            <w:tcBorders>
              <w:top w:val="nil"/>
              <w:left w:val="nil"/>
              <w:bottom w:val="nil"/>
              <w:right w:val="nil"/>
            </w:tcBorders>
            <w:shd w:val="clear" w:color="auto" w:fill="FFFFFF" w:themeFill="background1"/>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51D64" w:rsidTr="00EA0008">
              <w:trPr>
                <w:trHeight w:val="4252"/>
              </w:trPr>
              <w:tc>
                <w:tcPr>
                  <w:tcW w:w="5000" w:type="pct"/>
                  <w:tcBorders>
                    <w:top w:val="nil"/>
                    <w:bottom w:val="nil"/>
                    <w:right w:val="nil"/>
                  </w:tcBorders>
                  <w:shd w:val="clear" w:color="auto" w:fill="FFFFFF" w:themeFill="background1"/>
                </w:tcPr>
                <w:p w:rsidR="00904AD2" w:rsidRPr="006B0468" w:rsidRDefault="00FE70DC" w:rsidP="001573BE">
                  <w:pPr>
                    <w:pStyle w:val="Figure"/>
                    <w:spacing w:before="60" w:after="60"/>
                  </w:pPr>
                  <w:r>
                    <w:rPr>
                      <w:noProof/>
                    </w:rPr>
                    <w:drawing>
                      <wp:inline distT="0" distB="0" distL="0" distR="0">
                        <wp:extent cx="5260975" cy="2766695"/>
                        <wp:effectExtent l="0" t="0" r="0" b="0"/>
                        <wp:docPr id="9" name="Picture 9" descr="Figure 14.8 Hospital patient days used by patients waiting for residential aged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0975" cy="2766695"/>
                                </a:xfrm>
                                <a:prstGeom prst="rect">
                                  <a:avLst/>
                                </a:prstGeom>
                                <a:noFill/>
                                <a:ln>
                                  <a:noFill/>
                                </a:ln>
                              </pic:spPr>
                            </pic:pic>
                          </a:graphicData>
                        </a:graphic>
                      </wp:inline>
                    </w:drawing>
                  </w:r>
                </w:p>
              </w:tc>
            </w:tr>
          </w:tbl>
          <w:p w:rsidR="00351D64" w:rsidRDefault="00351D64" w:rsidP="001573BE">
            <w:pPr>
              <w:pStyle w:val="Figure"/>
            </w:pPr>
          </w:p>
        </w:tc>
      </w:tr>
      <w:tr w:rsidR="00351D64" w:rsidRPr="00176D3F" w:rsidTr="001573BE">
        <w:tc>
          <w:tcPr>
            <w:tcW w:w="8771" w:type="dxa"/>
            <w:tcBorders>
              <w:top w:val="nil"/>
              <w:left w:val="nil"/>
              <w:bottom w:val="nil"/>
              <w:right w:val="nil"/>
            </w:tcBorders>
            <w:shd w:val="clear" w:color="auto" w:fill="auto"/>
          </w:tcPr>
          <w:p w:rsidR="00351D64" w:rsidRPr="00351D64" w:rsidRDefault="00D00F31" w:rsidP="00514579">
            <w:pPr>
              <w:pStyle w:val="Note"/>
              <w:rPr>
                <w:i/>
              </w:rPr>
            </w:pPr>
            <w:r w:rsidRPr="00087FC4">
              <w:rPr>
                <w:rStyle w:val="NoteLabel"/>
              </w:rPr>
              <w:t xml:space="preserve">a </w:t>
            </w:r>
            <w:r w:rsidRPr="006F23A3">
              <w:t>See box</w:t>
            </w:r>
            <w:r w:rsidR="00E75264">
              <w:t> </w:t>
            </w:r>
            <w:r>
              <w:t>1</w:t>
            </w:r>
            <w:r w:rsidR="00234E31">
              <w:t>4</w:t>
            </w:r>
            <w:r w:rsidRPr="006F23A3">
              <w:t>.</w:t>
            </w:r>
            <w:r w:rsidR="00BE53A7">
              <w:t>5</w:t>
            </w:r>
            <w:r w:rsidRPr="006F23A3">
              <w:t xml:space="preserve"> and table</w:t>
            </w:r>
            <w:r w:rsidR="00E75264">
              <w:t> </w:t>
            </w:r>
            <w:r>
              <w:t>1</w:t>
            </w:r>
            <w:r w:rsidR="00EB4150">
              <w:t>4</w:t>
            </w:r>
            <w:r w:rsidRPr="006F23A3">
              <w:t>A.</w:t>
            </w:r>
            <w:r w:rsidR="00590B09">
              <w:t>3</w:t>
            </w:r>
            <w:r w:rsidR="00E8096D">
              <w:t>2</w:t>
            </w:r>
            <w:r w:rsidRPr="006F23A3">
              <w:t xml:space="preserve"> for detailed</w:t>
            </w:r>
            <w:r w:rsidRPr="0032221B">
              <w:t xml:space="preserve"> definitions, footnotes and caveats</w:t>
            </w:r>
            <w:r w:rsidRPr="006F23A3">
              <w:t>.</w:t>
            </w:r>
            <w:r w:rsidR="00351D64" w:rsidRPr="00351D64">
              <w:rPr>
                <w:rStyle w:val="NoteLabel"/>
                <w:b w:val="0"/>
                <w:position w:val="0"/>
              </w:rPr>
              <w:t xml:space="preserve"> </w:t>
            </w:r>
          </w:p>
        </w:tc>
      </w:tr>
      <w:tr w:rsidR="00351D64" w:rsidRPr="00176D3F" w:rsidTr="001573BE">
        <w:tc>
          <w:tcPr>
            <w:tcW w:w="8771" w:type="dxa"/>
            <w:tcBorders>
              <w:top w:val="nil"/>
              <w:left w:val="nil"/>
              <w:bottom w:val="nil"/>
              <w:right w:val="nil"/>
            </w:tcBorders>
            <w:shd w:val="clear" w:color="auto" w:fill="auto"/>
          </w:tcPr>
          <w:p w:rsidR="00351D64" w:rsidRPr="00176D3F" w:rsidRDefault="00351D64" w:rsidP="00590B09">
            <w:pPr>
              <w:pStyle w:val="Source"/>
            </w:pPr>
            <w:r w:rsidRPr="00351D64">
              <w:rPr>
                <w:i/>
              </w:rPr>
              <w:t>Source</w:t>
            </w:r>
            <w:r w:rsidRPr="009551A0">
              <w:t>:</w:t>
            </w:r>
            <w:r w:rsidRPr="00351D64">
              <w:rPr>
                <w:i/>
              </w:rPr>
              <w:t xml:space="preserve"> </w:t>
            </w:r>
            <w:r w:rsidRPr="00351D64">
              <w:t>A</w:t>
            </w:r>
            <w:r w:rsidR="00023A62">
              <w:t xml:space="preserve">ustralian </w:t>
            </w:r>
            <w:r w:rsidRPr="00351D64">
              <w:t>I</w:t>
            </w:r>
            <w:r w:rsidR="00023A62">
              <w:t xml:space="preserve">nstitute of </w:t>
            </w:r>
            <w:r w:rsidRPr="00351D64">
              <w:t>H</w:t>
            </w:r>
            <w:r w:rsidR="00023A62">
              <w:t xml:space="preserve">ealth and </w:t>
            </w:r>
            <w:r w:rsidR="00023A62" w:rsidRPr="00351D64">
              <w:t>W</w:t>
            </w:r>
            <w:r w:rsidR="00023A62">
              <w:t>elfare</w:t>
            </w:r>
            <w:r w:rsidRPr="00351D64">
              <w:t xml:space="preserve"> (unpublished); table</w:t>
            </w:r>
            <w:r w:rsidR="009551A0">
              <w:t> </w:t>
            </w:r>
            <w:r w:rsidRPr="00351D64">
              <w:t>1</w:t>
            </w:r>
            <w:r w:rsidR="00EB4150">
              <w:t>4</w:t>
            </w:r>
            <w:r w:rsidRPr="00351D64">
              <w:t>A.</w:t>
            </w:r>
            <w:r w:rsidR="00590B09">
              <w:t>3</w:t>
            </w:r>
            <w:r w:rsidR="00E8096D">
              <w:t>2</w:t>
            </w:r>
            <w:r w:rsidRPr="00351D64">
              <w:t>.</w:t>
            </w:r>
          </w:p>
        </w:tc>
      </w:tr>
      <w:tr w:rsidR="00351D64" w:rsidTr="001573BE">
        <w:tc>
          <w:tcPr>
            <w:tcW w:w="8771" w:type="dxa"/>
            <w:tcBorders>
              <w:top w:val="nil"/>
              <w:left w:val="nil"/>
              <w:bottom w:val="single" w:sz="6" w:space="0" w:color="78A22F"/>
              <w:right w:val="nil"/>
            </w:tcBorders>
            <w:shd w:val="clear" w:color="auto" w:fill="auto"/>
          </w:tcPr>
          <w:p w:rsidR="00351D64" w:rsidRDefault="00351D64" w:rsidP="001573BE">
            <w:pPr>
              <w:pStyle w:val="Figurespace"/>
            </w:pPr>
          </w:p>
        </w:tc>
      </w:tr>
      <w:tr w:rsidR="00351D64" w:rsidRPr="000863A5" w:rsidTr="001573BE">
        <w:tc>
          <w:tcPr>
            <w:tcW w:w="8771" w:type="dxa"/>
            <w:tcBorders>
              <w:top w:val="single" w:sz="6" w:space="0" w:color="78A22F"/>
              <w:left w:val="nil"/>
              <w:bottom w:val="nil"/>
              <w:right w:val="nil"/>
            </w:tcBorders>
          </w:tcPr>
          <w:p w:rsidR="00351D64" w:rsidRPr="00626D32" w:rsidRDefault="00351D64" w:rsidP="001573BE">
            <w:pPr>
              <w:pStyle w:val="BoxSpaceBelow"/>
            </w:pPr>
          </w:p>
        </w:tc>
      </w:tr>
    </w:tbl>
    <w:p w:rsidR="00864263" w:rsidRDefault="00864263" w:rsidP="00864263">
      <w:pPr>
        <w:pStyle w:val="Heading4"/>
      </w:pPr>
      <w:r>
        <w:t xml:space="preserve">Appropriateness – Operational aged care places </w:t>
      </w:r>
    </w:p>
    <w:p w:rsidR="00864263" w:rsidRDefault="00864263" w:rsidP="00864263">
      <w:pPr>
        <w:pStyle w:val="BodyText"/>
        <w:widowControl w:val="0"/>
      </w:pPr>
      <w:r>
        <w:t xml:space="preserve">‘Operational aged care places’ is an indicator of governments’ objective to </w:t>
      </w:r>
      <w:r w:rsidR="00EB4150">
        <w:t>plan aged care services</w:t>
      </w:r>
      <w:r w:rsidR="00EB4150" w:rsidRPr="00EB4150">
        <w:t xml:space="preserve"> effectively</w:t>
      </w:r>
      <w:r w:rsidR="00EB4150">
        <w:t>; that is,</w:t>
      </w:r>
      <w:r w:rsidR="00EB4150" w:rsidRPr="00EB4150">
        <w:t xml:space="preserve"> targeted to areas of need </w:t>
      </w:r>
      <w:r>
        <w:t>(box 1</w:t>
      </w:r>
      <w:r w:rsidR="00E300A0">
        <w:t>4</w:t>
      </w:r>
      <w:r>
        <w:t>.</w:t>
      </w:r>
      <w:r w:rsidR="00EB4150">
        <w:t>6</w:t>
      </w:r>
      <w:r>
        <w:t xml:space="preserve">). </w:t>
      </w:r>
    </w:p>
    <w:p w:rsidR="00864263" w:rsidRDefault="00864263" w:rsidP="00864263">
      <w:pPr>
        <w:pStyle w:val="BodyText"/>
        <w:widowControl w:val="0"/>
      </w:pPr>
      <w:r w:rsidRPr="00653D20">
        <w:t xml:space="preserve">The planning framework for services provided under the </w:t>
      </w:r>
      <w:r w:rsidRPr="00425EA1">
        <w:rPr>
          <w:i/>
        </w:rPr>
        <w:t>Aged Care Act 1997</w:t>
      </w:r>
      <w:r w:rsidRPr="00653D20">
        <w:t xml:space="preserve"> aims to keep the growth in places in line with growth in the older population, and to ensure a balance of services across Australia, including services for people with lower levels of need and in rural and remote areas. </w:t>
      </w:r>
      <w:r w:rsidR="00A11133">
        <w:t>See section</w:t>
      </w:r>
      <w:r w:rsidR="00664BA5">
        <w:t> </w:t>
      </w:r>
      <w:r w:rsidR="00A11133">
        <w:t xml:space="preserve">14.4 for a definition of the </w:t>
      </w:r>
      <w:r w:rsidR="000C0B5D">
        <w:t>a</w:t>
      </w:r>
      <w:r w:rsidR="00A11133">
        <w:t>ged care planning population</w:t>
      </w:r>
      <w:r>
        <w:t xml:space="preserve">. </w:t>
      </w:r>
      <w:bookmarkStart w:id="11" w:name="_GoBack"/>
      <w:bookmarkEnd w:id="11"/>
    </w:p>
    <w:p w:rsidR="00864263" w:rsidRDefault="00864263" w:rsidP="008642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64263" w:rsidTr="009B17F5">
        <w:tc>
          <w:tcPr>
            <w:tcW w:w="8771" w:type="dxa"/>
            <w:tcBorders>
              <w:top w:val="single" w:sz="6" w:space="0" w:color="78A22F"/>
              <w:left w:val="nil"/>
              <w:bottom w:val="nil"/>
              <w:right w:val="nil"/>
            </w:tcBorders>
            <w:shd w:val="clear" w:color="auto" w:fill="F2F2F2"/>
          </w:tcPr>
          <w:p w:rsidR="00864263" w:rsidRDefault="00864263" w:rsidP="009B17F5">
            <w:pPr>
              <w:pStyle w:val="BoxTitle"/>
            </w:pPr>
            <w:r>
              <w:rPr>
                <w:b w:val="0"/>
              </w:rPr>
              <w:t xml:space="preserve">Box </w:t>
            </w:r>
            <w:r w:rsidR="000E7FDB">
              <w:rPr>
                <w:b w:val="0"/>
              </w:rPr>
              <w:t>14.</w:t>
            </w:r>
            <w:r w:rsidR="00662F0E">
              <w:rPr>
                <w:b w:val="0"/>
                <w:noProof/>
              </w:rPr>
              <w:t>6</w:t>
            </w:r>
            <w:r>
              <w:tab/>
            </w:r>
            <w:r w:rsidRPr="003E64E3">
              <w:t>Operational aged care places</w:t>
            </w:r>
          </w:p>
        </w:tc>
      </w:tr>
      <w:tr w:rsidR="00864263" w:rsidTr="009B17F5">
        <w:trPr>
          <w:cantSplit/>
        </w:trPr>
        <w:tc>
          <w:tcPr>
            <w:tcW w:w="8771" w:type="dxa"/>
            <w:tcBorders>
              <w:top w:val="nil"/>
              <w:left w:val="nil"/>
              <w:bottom w:val="nil"/>
              <w:right w:val="nil"/>
            </w:tcBorders>
            <w:shd w:val="clear" w:color="auto" w:fill="F2F2F2"/>
          </w:tcPr>
          <w:p w:rsidR="00864263" w:rsidRDefault="00864263" w:rsidP="009B17F5">
            <w:pPr>
              <w:pStyle w:val="Box"/>
            </w:pPr>
            <w:r>
              <w:t>‘Operational aged care places’ is defined as the number of operational places (</w:t>
            </w:r>
            <w:r w:rsidRPr="00CC56A6">
              <w:t xml:space="preserve">by type of place </w:t>
            </w:r>
            <w:r w:rsidRPr="004B2BE8">
              <w:t>— residential aged care</w:t>
            </w:r>
            <w:r w:rsidR="009A0CD9">
              <w:t xml:space="preserve">, </w:t>
            </w:r>
            <w:r w:rsidRPr="00CC56A6">
              <w:t>Home Care levels 1</w:t>
            </w:r>
            <w:r>
              <w:rPr>
                <w:rFonts w:ascii="Calibri" w:hAnsi="Calibri"/>
              </w:rPr>
              <w:t>–</w:t>
            </w:r>
            <w:r w:rsidRPr="00CC56A6">
              <w:t>2</w:t>
            </w:r>
            <w:r w:rsidR="009A0CD9">
              <w:t xml:space="preserve"> and</w:t>
            </w:r>
            <w:r w:rsidRPr="00CC56A6">
              <w:t xml:space="preserve"> Home Care levels 3</w:t>
            </w:r>
            <w:r>
              <w:rPr>
                <w:rFonts w:ascii="Calibri" w:hAnsi="Calibri"/>
              </w:rPr>
              <w:t>–</w:t>
            </w:r>
            <w:r w:rsidRPr="00CC56A6">
              <w:t>4</w:t>
            </w:r>
            <w:r>
              <w:t>) per 1000 people aged 70 years or over and Aboriginal and Torres Strait Islander Australians aged 50–69 years.</w:t>
            </w:r>
          </w:p>
          <w:p w:rsidR="00864263" w:rsidRDefault="00864263" w:rsidP="009B17F5">
            <w:pPr>
              <w:pStyle w:val="Box"/>
            </w:pPr>
            <w:r>
              <w:t>In general, provision ratios across states and territories, and across regions, that are broadly similar are desirable</w:t>
            </w:r>
            <w:r w:rsidR="009A0CD9">
              <w:t>,</w:t>
            </w:r>
            <w:r>
              <w:t xml:space="preserve"> as it indicates that </w:t>
            </w:r>
            <w:r w:rsidR="00EB4150">
              <w:t xml:space="preserve">services are planned effectively so that </w:t>
            </w:r>
            <w:r>
              <w:t xml:space="preserve">all older Australians have access to a similar level and mix of services to meet their care needs. </w:t>
            </w:r>
          </w:p>
          <w:p w:rsidR="00864263" w:rsidRDefault="00864263" w:rsidP="009B17F5">
            <w:pPr>
              <w:pStyle w:val="Box"/>
            </w:pPr>
            <w:r>
              <w:t>This indicator does not provide information on whether the overall target provision ratios are adequate or provide an appropriate mix of services relative to need.</w:t>
            </w:r>
          </w:p>
          <w:p w:rsidR="00864263" w:rsidRDefault="00864263" w:rsidP="009B17F5">
            <w:pPr>
              <w:pStyle w:val="Box"/>
            </w:pPr>
            <w:r>
              <w:t>Data reported for this indicator are:</w:t>
            </w:r>
          </w:p>
          <w:p w:rsidR="00864263" w:rsidRDefault="00864263" w:rsidP="009B17F5">
            <w:pPr>
              <w:pStyle w:val="BoxListBullet"/>
            </w:pPr>
            <w:r>
              <w:t>comparable (subject to caveats) across jurisdictions and over time</w:t>
            </w:r>
          </w:p>
          <w:p w:rsidR="00864263" w:rsidRPr="00EB4150" w:rsidRDefault="00864263" w:rsidP="00032AC4">
            <w:pPr>
              <w:pStyle w:val="BoxListBullet"/>
            </w:pPr>
            <w:r>
              <w:t>complete (subject to caveats) for the current reporting period. All required 30 June 201</w:t>
            </w:r>
            <w:r w:rsidR="00032AC4">
              <w:t>6</w:t>
            </w:r>
            <w:r>
              <w:t xml:space="preserve"> data are a</w:t>
            </w:r>
            <w:r w:rsidR="00EB4150">
              <w:t>vailable for all jurisdictions.</w:t>
            </w:r>
          </w:p>
        </w:tc>
      </w:tr>
      <w:tr w:rsidR="00864263" w:rsidTr="009B17F5">
        <w:trPr>
          <w:cantSplit/>
        </w:trPr>
        <w:tc>
          <w:tcPr>
            <w:tcW w:w="8771" w:type="dxa"/>
            <w:tcBorders>
              <w:top w:val="nil"/>
              <w:left w:val="nil"/>
              <w:bottom w:val="single" w:sz="6" w:space="0" w:color="78A22F"/>
              <w:right w:val="nil"/>
            </w:tcBorders>
            <w:shd w:val="clear" w:color="auto" w:fill="F2F2F2"/>
          </w:tcPr>
          <w:p w:rsidR="00864263" w:rsidRDefault="00864263" w:rsidP="009B17F5">
            <w:pPr>
              <w:pStyle w:val="Box"/>
              <w:spacing w:before="0" w:line="120" w:lineRule="exact"/>
            </w:pPr>
          </w:p>
        </w:tc>
      </w:tr>
      <w:tr w:rsidR="00864263" w:rsidRPr="000863A5" w:rsidTr="009B17F5">
        <w:tc>
          <w:tcPr>
            <w:tcW w:w="8771" w:type="dxa"/>
            <w:tcBorders>
              <w:top w:val="single" w:sz="6" w:space="0" w:color="78A22F"/>
              <w:left w:val="nil"/>
              <w:bottom w:val="nil"/>
              <w:right w:val="nil"/>
            </w:tcBorders>
          </w:tcPr>
          <w:p w:rsidR="00864263" w:rsidRPr="00626D32" w:rsidRDefault="00864263" w:rsidP="009B17F5">
            <w:pPr>
              <w:pStyle w:val="BoxSpaceBelow"/>
            </w:pPr>
          </w:p>
        </w:tc>
      </w:tr>
    </w:tbl>
    <w:p w:rsidR="00864263" w:rsidRDefault="00864263" w:rsidP="00864263">
      <w:pPr>
        <w:pStyle w:val="BodyText"/>
      </w:pPr>
      <w:r>
        <w:t xml:space="preserve">Nationally, the combined number of residential care and </w:t>
      </w:r>
      <w:r w:rsidRPr="00CC56A6">
        <w:t>Home Care places at 30</w:t>
      </w:r>
      <w:r>
        <w:t> </w:t>
      </w:r>
      <w:r w:rsidRPr="00CC56A6">
        <w:t>June 201</w:t>
      </w:r>
      <w:r w:rsidR="00032AC4">
        <w:t>6</w:t>
      </w:r>
      <w:r>
        <w:t xml:space="preserve"> was </w:t>
      </w:r>
      <w:r w:rsidR="00BF48E3">
        <w:t>107.5</w:t>
      </w:r>
      <w:r w:rsidR="00032AC4" w:rsidRPr="00032AC4">
        <w:t xml:space="preserve"> per 1000 people aged 70 years or over </w:t>
      </w:r>
      <w:r w:rsidR="00032AC4">
        <w:t xml:space="preserve">and </w:t>
      </w:r>
      <w:r w:rsidR="00032AC4" w:rsidRPr="0034414A">
        <w:t>Aboriginal and Torres Strait Islander Australians aged 50–69</w:t>
      </w:r>
      <w:r w:rsidR="00032AC4">
        <w:t> </w:t>
      </w:r>
      <w:r w:rsidR="00032AC4" w:rsidRPr="0034414A">
        <w:t>years</w:t>
      </w:r>
      <w:r w:rsidR="00032AC4">
        <w:t xml:space="preserve"> </w:t>
      </w:r>
      <w:r>
        <w:t>(figure 1</w:t>
      </w:r>
      <w:r w:rsidR="00032AC4">
        <w:t>4</w:t>
      </w:r>
      <w:r>
        <w:t>.</w:t>
      </w:r>
      <w:r w:rsidR="00032AC4">
        <w:t>9</w:t>
      </w:r>
      <w:r>
        <w:t>)</w:t>
      </w:r>
      <w:r w:rsidR="00032AC4">
        <w:t xml:space="preserve"> and</w:t>
      </w:r>
      <w:r>
        <w:t xml:space="preserve"> </w:t>
      </w:r>
      <w:r w:rsidR="00BF48E3">
        <w:t>111.6</w:t>
      </w:r>
      <w:r w:rsidR="00032AC4">
        <w:t xml:space="preserve"> per 1000 people aged 70</w:t>
      </w:r>
      <w:r w:rsidR="007E214B">
        <w:t> </w:t>
      </w:r>
      <w:r w:rsidR="00032AC4">
        <w:t>years or over (table</w:t>
      </w:r>
      <w:r w:rsidR="00664BA5">
        <w:t> </w:t>
      </w:r>
      <w:r w:rsidR="00032AC4">
        <w:t>14A.1</w:t>
      </w:r>
      <w:r w:rsidR="00BF48E3">
        <w:t>4</w:t>
      </w:r>
      <w:r w:rsidR="00032AC4">
        <w:t>)</w:t>
      </w:r>
      <w:r w:rsidR="009A0CD9">
        <w:t>.</w:t>
      </w:r>
      <w:r w:rsidR="00032AC4">
        <w:t xml:space="preserve"> </w:t>
      </w:r>
      <w:r>
        <w:t>Transition Care add</w:t>
      </w:r>
      <w:r w:rsidR="00FC5F7F">
        <w:t>s</w:t>
      </w:r>
      <w:r>
        <w:t xml:space="preserve"> an additional </w:t>
      </w:r>
      <w:r w:rsidR="00BF48E3">
        <w:t>1.6</w:t>
      </w:r>
      <w:r>
        <w:t xml:space="preserve"> </w:t>
      </w:r>
      <w:r w:rsidR="00510241">
        <w:t xml:space="preserve">places </w:t>
      </w:r>
      <w:r>
        <w:t>per 1000</w:t>
      </w:r>
      <w:r w:rsidR="00510241">
        <w:t> </w:t>
      </w:r>
      <w:r>
        <w:t>people aged 70 years or over (table 1</w:t>
      </w:r>
      <w:r w:rsidR="00032AC4">
        <w:t>4</w:t>
      </w:r>
      <w:r>
        <w:t>A.1</w:t>
      </w:r>
      <w:r w:rsidR="00BF48E3">
        <w:t>4</w:t>
      </w:r>
      <w:r w:rsidR="00032AC4">
        <w:t>)</w:t>
      </w:r>
      <w:r>
        <w:t xml:space="preserve">. </w:t>
      </w:r>
    </w:p>
    <w:p w:rsidR="00864263" w:rsidRDefault="00864263" w:rsidP="008642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64263" w:rsidTr="009B17F5">
        <w:tc>
          <w:tcPr>
            <w:tcW w:w="8771" w:type="dxa"/>
            <w:tcBorders>
              <w:top w:val="single" w:sz="6" w:space="0" w:color="78A22F"/>
              <w:left w:val="nil"/>
              <w:bottom w:val="nil"/>
              <w:right w:val="nil"/>
            </w:tcBorders>
            <w:shd w:val="clear" w:color="auto" w:fill="auto"/>
          </w:tcPr>
          <w:p w:rsidR="00864263" w:rsidRPr="00176D3F" w:rsidRDefault="00864263" w:rsidP="00032AC4">
            <w:pPr>
              <w:pStyle w:val="FigureTitle"/>
            </w:pPr>
            <w:r w:rsidRPr="00784A05">
              <w:rPr>
                <w:b w:val="0"/>
              </w:rPr>
              <w:t xml:space="preserve">Figure </w:t>
            </w:r>
            <w:r w:rsidR="00032AC4">
              <w:rPr>
                <w:b w:val="0"/>
              </w:rPr>
              <w:t>14.</w:t>
            </w:r>
            <w:r w:rsidR="00662F0E">
              <w:rPr>
                <w:b w:val="0"/>
                <w:noProof/>
              </w:rPr>
              <w:t>9</w:t>
            </w:r>
            <w:r>
              <w:tab/>
            </w:r>
            <w:r w:rsidRPr="004D7C64">
              <w:t xml:space="preserve">Operational </w:t>
            </w:r>
            <w:r w:rsidR="00032AC4">
              <w:t xml:space="preserve">aged </w:t>
            </w:r>
            <w:r w:rsidRPr="004D7C64">
              <w:t xml:space="preserve">places per 1000 people aged 70 years or over and </w:t>
            </w:r>
            <w:r>
              <w:t>Aboriginal and Torres Strait Islander</w:t>
            </w:r>
            <w:r w:rsidRPr="004D7C64">
              <w:t xml:space="preserve"> Australians aged 50–69 years, 30</w:t>
            </w:r>
            <w:r>
              <w:t> </w:t>
            </w:r>
            <w:r w:rsidRPr="004D7C64">
              <w:t>June 201</w:t>
            </w:r>
            <w:r w:rsidR="00032AC4">
              <w:t>6</w:t>
            </w:r>
            <w:r w:rsidRPr="004D7C64">
              <w:rPr>
                <w:rStyle w:val="NoteLabel"/>
                <w:b/>
              </w:rPr>
              <w:t>a</w:t>
            </w:r>
          </w:p>
        </w:tc>
      </w:tr>
      <w:tr w:rsidR="00864263" w:rsidTr="009B17F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64263" w:rsidTr="00674D21">
              <w:trPr>
                <w:trHeight w:val="4252"/>
                <w:jc w:val="center"/>
              </w:trPr>
              <w:tc>
                <w:tcPr>
                  <w:tcW w:w="5000" w:type="pct"/>
                  <w:tcBorders>
                    <w:top w:val="nil"/>
                    <w:bottom w:val="nil"/>
                  </w:tcBorders>
                </w:tcPr>
                <w:p w:rsidR="00864263" w:rsidRPr="006B0468" w:rsidRDefault="00FE70DC" w:rsidP="009B17F5">
                  <w:pPr>
                    <w:pStyle w:val="Figure"/>
                    <w:spacing w:before="60" w:after="60"/>
                  </w:pPr>
                  <w:r>
                    <w:rPr>
                      <w:noProof/>
                    </w:rPr>
                    <w:drawing>
                      <wp:inline distT="0" distB="0" distL="0" distR="0">
                        <wp:extent cx="5225415" cy="2624455"/>
                        <wp:effectExtent l="0" t="0" r="0" b="4445"/>
                        <wp:docPr id="10" name="Picture 10" descr="Figure 14.9 Operational aged places per 1000 people aged 70 years or over and Aboriginal and Torres Strait Islander Australians aged 50–69 years, 30 June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25415" cy="2624455"/>
                                </a:xfrm>
                                <a:prstGeom prst="rect">
                                  <a:avLst/>
                                </a:prstGeom>
                                <a:noFill/>
                                <a:ln>
                                  <a:noFill/>
                                </a:ln>
                              </pic:spPr>
                            </pic:pic>
                          </a:graphicData>
                        </a:graphic>
                      </wp:inline>
                    </w:drawing>
                  </w:r>
                </w:p>
              </w:tc>
            </w:tr>
          </w:tbl>
          <w:p w:rsidR="00864263" w:rsidRDefault="00864263" w:rsidP="009B17F5">
            <w:pPr>
              <w:pStyle w:val="Figure"/>
            </w:pPr>
          </w:p>
        </w:tc>
      </w:tr>
      <w:tr w:rsidR="00864263" w:rsidRPr="00176D3F" w:rsidTr="009B17F5">
        <w:tc>
          <w:tcPr>
            <w:tcW w:w="8771" w:type="dxa"/>
            <w:tcBorders>
              <w:top w:val="nil"/>
              <w:left w:val="nil"/>
              <w:bottom w:val="nil"/>
              <w:right w:val="nil"/>
            </w:tcBorders>
            <w:shd w:val="clear" w:color="auto" w:fill="auto"/>
          </w:tcPr>
          <w:p w:rsidR="00864263" w:rsidRPr="00176D3F" w:rsidRDefault="00864263" w:rsidP="00BF48E3">
            <w:pPr>
              <w:pStyle w:val="Note"/>
            </w:pPr>
            <w:r w:rsidRPr="00087FC4">
              <w:rPr>
                <w:rStyle w:val="NoteLabel"/>
              </w:rPr>
              <w:t xml:space="preserve">a </w:t>
            </w:r>
            <w:r w:rsidRPr="006F23A3">
              <w:t>See box</w:t>
            </w:r>
            <w:r>
              <w:t> 1</w:t>
            </w:r>
            <w:r w:rsidR="00032AC4">
              <w:t>4</w:t>
            </w:r>
            <w:r w:rsidRPr="006F23A3">
              <w:t>.</w:t>
            </w:r>
            <w:r w:rsidR="00BE53A7">
              <w:t xml:space="preserve">6 </w:t>
            </w:r>
            <w:r w:rsidRPr="006F23A3">
              <w:t>and table</w:t>
            </w:r>
            <w:r>
              <w:t> </w:t>
            </w:r>
            <w:r w:rsidR="00A424A8">
              <w:t>14A</w:t>
            </w:r>
            <w:r w:rsidRPr="006F23A3">
              <w:t>.</w:t>
            </w:r>
            <w:r w:rsidR="00BF48E3">
              <w:t>15</w:t>
            </w:r>
            <w:r w:rsidRPr="006F23A3">
              <w:t xml:space="preserve"> for detailed</w:t>
            </w:r>
            <w:r w:rsidRPr="0032221B">
              <w:t xml:space="preserve"> definitions, footnotes and caveats</w:t>
            </w:r>
            <w:r w:rsidRPr="006F23A3">
              <w:t>.</w:t>
            </w:r>
          </w:p>
        </w:tc>
      </w:tr>
      <w:tr w:rsidR="00864263" w:rsidRPr="00176D3F" w:rsidTr="009B17F5">
        <w:tc>
          <w:tcPr>
            <w:tcW w:w="8771" w:type="dxa"/>
            <w:tcBorders>
              <w:top w:val="nil"/>
              <w:left w:val="nil"/>
              <w:bottom w:val="nil"/>
              <w:right w:val="nil"/>
            </w:tcBorders>
            <w:shd w:val="clear" w:color="auto" w:fill="auto"/>
          </w:tcPr>
          <w:p w:rsidR="00864263" w:rsidRPr="00176D3F" w:rsidRDefault="00864263" w:rsidP="00BF48E3">
            <w:pPr>
              <w:pStyle w:val="Source"/>
            </w:pPr>
            <w:r w:rsidRPr="0093178B">
              <w:rPr>
                <w:i/>
              </w:rPr>
              <w:t>Source</w:t>
            </w:r>
            <w:r w:rsidRPr="009551A0">
              <w:t>:</w:t>
            </w:r>
            <w:r w:rsidRPr="0093178B">
              <w:rPr>
                <w:i/>
              </w:rPr>
              <w:t xml:space="preserve"> </w:t>
            </w:r>
            <w:r w:rsidR="008617D3" w:rsidRPr="008617D3">
              <w:t>Department of Health</w:t>
            </w:r>
            <w:r w:rsidRPr="0093178B">
              <w:t xml:space="preserve"> (unpublished); table</w:t>
            </w:r>
            <w:r>
              <w:t> </w:t>
            </w:r>
            <w:r w:rsidRPr="0093178B">
              <w:t>1</w:t>
            </w:r>
            <w:r w:rsidR="00032AC4">
              <w:t>4</w:t>
            </w:r>
            <w:r w:rsidRPr="0093178B">
              <w:t>A.</w:t>
            </w:r>
            <w:r w:rsidR="00BF48E3">
              <w:t>15</w:t>
            </w:r>
            <w:r w:rsidRPr="0093178B">
              <w:t>.</w:t>
            </w:r>
          </w:p>
        </w:tc>
      </w:tr>
      <w:tr w:rsidR="00864263" w:rsidTr="009B17F5">
        <w:tc>
          <w:tcPr>
            <w:tcW w:w="8771" w:type="dxa"/>
            <w:tcBorders>
              <w:top w:val="nil"/>
              <w:left w:val="nil"/>
              <w:bottom w:val="single" w:sz="6" w:space="0" w:color="78A22F"/>
              <w:right w:val="nil"/>
            </w:tcBorders>
            <w:shd w:val="clear" w:color="auto" w:fill="auto"/>
          </w:tcPr>
          <w:p w:rsidR="00864263" w:rsidRDefault="00864263" w:rsidP="009B17F5">
            <w:pPr>
              <w:pStyle w:val="Figurespace"/>
            </w:pPr>
          </w:p>
        </w:tc>
      </w:tr>
      <w:tr w:rsidR="00864263" w:rsidRPr="000863A5" w:rsidTr="009B17F5">
        <w:tc>
          <w:tcPr>
            <w:tcW w:w="8771" w:type="dxa"/>
            <w:tcBorders>
              <w:top w:val="single" w:sz="6" w:space="0" w:color="78A22F"/>
              <w:left w:val="nil"/>
              <w:bottom w:val="nil"/>
              <w:right w:val="nil"/>
            </w:tcBorders>
          </w:tcPr>
          <w:p w:rsidR="00864263" w:rsidRPr="00626D32" w:rsidRDefault="00864263" w:rsidP="009B17F5">
            <w:pPr>
              <w:pStyle w:val="BoxSpaceBelow"/>
            </w:pPr>
          </w:p>
        </w:tc>
      </w:tr>
    </w:tbl>
    <w:p w:rsidR="00864263" w:rsidRPr="00864C90" w:rsidRDefault="00864263" w:rsidP="00864263">
      <w:pPr>
        <w:pStyle w:val="BodyText"/>
      </w:pPr>
      <w:r>
        <w:lastRenderedPageBreak/>
        <w:t>Nationally, at 30 </w:t>
      </w:r>
      <w:r w:rsidRPr="00864C90">
        <w:t>June 201</w:t>
      </w:r>
      <w:r w:rsidR="00032AC4">
        <w:t>6</w:t>
      </w:r>
      <w:r w:rsidRPr="00864C90">
        <w:t xml:space="preserve">, the number of residential and Home Care operational aged care places per 1000 people aged 70 years or over and Aboriginal and Torres Strait Islander Australians aged 50–69 years was considerably higher in major cities </w:t>
      </w:r>
      <w:r w:rsidR="00CA4790" w:rsidRPr="009D44D7">
        <w:rPr>
          <w:shd w:val="clear" w:color="auto" w:fill="FFFFFF" w:themeFill="background1"/>
        </w:rPr>
        <w:t>(</w:t>
      </w:r>
      <w:r w:rsidR="008646B3" w:rsidRPr="009D44D7">
        <w:rPr>
          <w:shd w:val="clear" w:color="auto" w:fill="FFFFFF" w:themeFill="background1"/>
        </w:rPr>
        <w:t>11</w:t>
      </w:r>
      <w:r w:rsidR="00F00671" w:rsidRPr="009D44D7">
        <w:rPr>
          <w:shd w:val="clear" w:color="auto" w:fill="FFFFFF" w:themeFill="background1"/>
        </w:rPr>
        <w:t>5</w:t>
      </w:r>
      <w:r w:rsidR="008646B3" w:rsidRPr="009D44D7">
        <w:rPr>
          <w:shd w:val="clear" w:color="auto" w:fill="FFFFFF" w:themeFill="background1"/>
        </w:rPr>
        <w:t>.</w:t>
      </w:r>
      <w:r w:rsidR="00F00671" w:rsidRPr="009D44D7">
        <w:rPr>
          <w:shd w:val="clear" w:color="auto" w:fill="FFFFFF" w:themeFill="background1"/>
        </w:rPr>
        <w:t>1</w:t>
      </w:r>
      <w:r w:rsidR="00CA4790" w:rsidRPr="009D44D7">
        <w:rPr>
          <w:shd w:val="clear" w:color="auto" w:fill="FFFFFF" w:themeFill="background1"/>
        </w:rPr>
        <w:t>)</w:t>
      </w:r>
      <w:r w:rsidRPr="009D44D7">
        <w:rPr>
          <w:shd w:val="clear" w:color="auto" w:fill="FFFFFF" w:themeFill="background1"/>
        </w:rPr>
        <w:t>, than for inner and outer regional areas (</w:t>
      </w:r>
      <w:r w:rsidR="008646B3" w:rsidRPr="009D44D7">
        <w:rPr>
          <w:shd w:val="clear" w:color="auto" w:fill="FFFFFF" w:themeFill="background1"/>
        </w:rPr>
        <w:t>9</w:t>
      </w:r>
      <w:r w:rsidR="00F00671" w:rsidRPr="009D44D7">
        <w:rPr>
          <w:shd w:val="clear" w:color="auto" w:fill="FFFFFF" w:themeFill="background1"/>
        </w:rPr>
        <w:t>9.3</w:t>
      </w:r>
      <w:r w:rsidRPr="009D44D7">
        <w:rPr>
          <w:shd w:val="clear" w:color="auto" w:fill="FFFFFF" w:themeFill="background1"/>
        </w:rPr>
        <w:t xml:space="preserve">) or remote and very remote areas </w:t>
      </w:r>
      <w:r w:rsidR="008646B3" w:rsidRPr="009D44D7">
        <w:rPr>
          <w:shd w:val="clear" w:color="auto" w:fill="FFFFFF" w:themeFill="background1"/>
        </w:rPr>
        <w:t>(7</w:t>
      </w:r>
      <w:r w:rsidR="00BE19E0" w:rsidRPr="009D44D7">
        <w:rPr>
          <w:shd w:val="clear" w:color="auto" w:fill="FFFFFF" w:themeFill="background1"/>
        </w:rPr>
        <w:t>7</w:t>
      </w:r>
      <w:r w:rsidR="008646B3" w:rsidRPr="009D44D7">
        <w:rPr>
          <w:shd w:val="clear" w:color="auto" w:fill="FFFFFF" w:themeFill="background1"/>
        </w:rPr>
        <w:t>.4</w:t>
      </w:r>
      <w:r w:rsidRPr="009D44D7">
        <w:rPr>
          <w:shd w:val="clear" w:color="auto" w:fill="FFFFFF" w:themeFill="background1"/>
        </w:rPr>
        <w:t>)</w:t>
      </w:r>
      <w:r w:rsidRPr="00864C90">
        <w:t xml:space="preserve"> (table 1</w:t>
      </w:r>
      <w:r w:rsidR="00032AC4">
        <w:t>4</w:t>
      </w:r>
      <w:r w:rsidRPr="00864C90">
        <w:t>A.</w:t>
      </w:r>
      <w:r w:rsidR="008646B3">
        <w:t>16</w:t>
      </w:r>
      <w:r w:rsidRPr="00864C90">
        <w:t xml:space="preserve">). </w:t>
      </w:r>
    </w:p>
    <w:p w:rsidR="001573BE" w:rsidRDefault="008B5756" w:rsidP="009E0820">
      <w:pPr>
        <w:pStyle w:val="Heading4"/>
      </w:pPr>
      <w:r>
        <w:t>Q</w:t>
      </w:r>
      <w:r w:rsidR="001573BE">
        <w:t xml:space="preserve">uality </w:t>
      </w:r>
      <w:r w:rsidR="0086351C">
        <w:t xml:space="preserve">– </w:t>
      </w:r>
      <w:r w:rsidR="001573BE">
        <w:t>Compliance with service standards for residential care</w:t>
      </w:r>
    </w:p>
    <w:p w:rsidR="001573BE" w:rsidRDefault="001573BE" w:rsidP="006C36D6">
      <w:pPr>
        <w:pStyle w:val="BodyText"/>
        <w:shd w:val="clear" w:color="auto" w:fill="FFFFFF" w:themeFill="background1"/>
      </w:pPr>
      <w:r>
        <w:t xml:space="preserve">‘Compliance with service standards for residential care’ is an indicator of governments’ objective to </w:t>
      </w:r>
      <w:r w:rsidR="00625968">
        <w:t>provide high quality aged care services</w:t>
      </w:r>
      <w:r w:rsidR="00255999" w:rsidRPr="00255999">
        <w:t xml:space="preserve"> </w:t>
      </w:r>
      <w:r>
        <w:t>(box</w:t>
      </w:r>
      <w:r w:rsidR="009551A0">
        <w:t> </w:t>
      </w:r>
      <w:r>
        <w:t>1</w:t>
      </w:r>
      <w:r w:rsidR="00032AC4">
        <w:t>4</w:t>
      </w:r>
      <w:r>
        <w:t>.</w:t>
      </w:r>
      <w:r w:rsidR="00032AC4">
        <w:t>7</w:t>
      </w:r>
      <w:r>
        <w:t>).</w:t>
      </w:r>
    </w:p>
    <w:p w:rsidR="00D12D12" w:rsidRDefault="00D12D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12D12" w:rsidTr="00C74E99">
        <w:tc>
          <w:tcPr>
            <w:tcW w:w="8771" w:type="dxa"/>
            <w:tcBorders>
              <w:top w:val="single" w:sz="6" w:space="0" w:color="78A22F"/>
              <w:left w:val="nil"/>
              <w:bottom w:val="nil"/>
              <w:right w:val="nil"/>
            </w:tcBorders>
            <w:shd w:val="clear" w:color="auto" w:fill="F2F2F2"/>
          </w:tcPr>
          <w:p w:rsidR="00D12D12" w:rsidRDefault="00D12D12">
            <w:pPr>
              <w:pStyle w:val="BoxTitle"/>
            </w:pPr>
            <w:r>
              <w:rPr>
                <w:b w:val="0"/>
              </w:rPr>
              <w:t xml:space="preserve">Box </w:t>
            </w:r>
            <w:r w:rsidR="00F00671">
              <w:rPr>
                <w:b w:val="0"/>
              </w:rPr>
              <w:t>14.</w:t>
            </w:r>
            <w:r w:rsidR="00662F0E">
              <w:rPr>
                <w:b w:val="0"/>
                <w:noProof/>
              </w:rPr>
              <w:t>7</w:t>
            </w:r>
            <w:r>
              <w:tab/>
            </w:r>
            <w:r w:rsidRPr="00D12D12">
              <w:t>Compliance with service standards for residential care</w:t>
            </w:r>
          </w:p>
        </w:tc>
      </w:tr>
      <w:tr w:rsidR="00D12D12" w:rsidTr="00C74E99">
        <w:trPr>
          <w:cantSplit/>
        </w:trPr>
        <w:tc>
          <w:tcPr>
            <w:tcW w:w="8771" w:type="dxa"/>
            <w:tcBorders>
              <w:top w:val="nil"/>
              <w:left w:val="nil"/>
              <w:bottom w:val="nil"/>
              <w:right w:val="nil"/>
            </w:tcBorders>
            <w:shd w:val="clear" w:color="auto" w:fill="F2F2F2"/>
          </w:tcPr>
          <w:p w:rsidR="00B32773" w:rsidRPr="00A21E1B" w:rsidRDefault="00B32773" w:rsidP="00B32773">
            <w:pPr>
              <w:pStyle w:val="Box"/>
            </w:pPr>
            <w:r>
              <w:t>‘Compliance with service standards for residential care’ is defined as the proportion of re</w:t>
            </w:r>
            <w:r>
              <w:noBreakHyphen/>
              <w:t>accredited services that have received three</w:t>
            </w:r>
            <w:r w:rsidR="00E75264">
              <w:noBreakHyphen/>
            </w:r>
            <w:r>
              <w:t xml:space="preserve">year accreditation. </w:t>
            </w:r>
          </w:p>
          <w:p w:rsidR="00625968" w:rsidRDefault="00AB3C2B" w:rsidP="00C278DF">
            <w:pPr>
              <w:pStyle w:val="Box"/>
            </w:pPr>
            <w:r>
              <w:t>High or increasing proportions of facilities with three</w:t>
            </w:r>
            <w:r w:rsidR="00E75264">
              <w:noBreakHyphen/>
            </w:r>
            <w:r>
              <w:t>year re</w:t>
            </w:r>
            <w:r>
              <w:noBreakHyphen/>
              <w:t xml:space="preserve">accreditation is desirable. </w:t>
            </w:r>
          </w:p>
          <w:p w:rsidR="00D12D12" w:rsidRPr="001C27CF" w:rsidRDefault="00625968" w:rsidP="00C278DF">
            <w:pPr>
              <w:pStyle w:val="Box"/>
            </w:pPr>
            <w:r>
              <w:t>Three years is the longest period for which re</w:t>
            </w:r>
            <w:r>
              <w:noBreakHyphen/>
              <w:t>accreditation can be granted (in most cases), so if a service is re</w:t>
            </w:r>
            <w:r>
              <w:noBreakHyphen/>
              <w:t>accredited for this period it implies a higher level of service quality, than for those re</w:t>
            </w:r>
            <w:r>
              <w:noBreakHyphen/>
              <w:t>accredited for a shorter period. Further information on the accreditation standards and process</w:t>
            </w:r>
            <w:r w:rsidR="006D3A2B">
              <w:t xml:space="preserve"> is</w:t>
            </w:r>
            <w:r>
              <w:t xml:space="preserve"> available at </w:t>
            </w:r>
            <w:proofErr w:type="spellStart"/>
            <w:r w:rsidR="00CA4790" w:rsidRPr="00795C60">
              <w:t>www.aacqa.gov.au</w:t>
            </w:r>
            <w:proofErr w:type="spellEnd"/>
            <w:r>
              <w:t>.</w:t>
            </w:r>
          </w:p>
          <w:p w:rsidR="00CA4790" w:rsidRDefault="00CA4790" w:rsidP="00C278DF">
            <w:pPr>
              <w:pStyle w:val="Box"/>
            </w:pPr>
            <w:r>
              <w:t xml:space="preserve">Data for this indicator do not </w:t>
            </w:r>
            <w:r w:rsidR="009D6A60">
              <w:t xml:space="preserve">include </w:t>
            </w:r>
            <w:r w:rsidR="001C27CF">
              <w:t>22</w:t>
            </w:r>
            <w:r w:rsidR="00795C60">
              <w:t xml:space="preserve"> new</w:t>
            </w:r>
            <w:r>
              <w:t xml:space="preserve"> facilities that </w:t>
            </w:r>
            <w:r w:rsidR="00EA24CB">
              <w:t>have</w:t>
            </w:r>
            <w:r>
              <w:t xml:space="preserve"> </w:t>
            </w:r>
            <w:r w:rsidR="00795C60">
              <w:t xml:space="preserve">not been </w:t>
            </w:r>
            <w:r>
              <w:t>re</w:t>
            </w:r>
            <w:r w:rsidR="00664BA5">
              <w:noBreakHyphen/>
            </w:r>
            <w:r>
              <w:t>accredit</w:t>
            </w:r>
            <w:r w:rsidR="001C27CF">
              <w:t>ed</w:t>
            </w:r>
            <w:r>
              <w:t xml:space="preserve"> </w:t>
            </w:r>
            <w:r w:rsidR="00EA24CB">
              <w:t xml:space="preserve">as at </w:t>
            </w:r>
            <w:r w:rsidR="009D6A60">
              <w:br/>
            </w:r>
            <w:r w:rsidR="00EA24CB">
              <w:t>30 June</w:t>
            </w:r>
            <w:r>
              <w:t xml:space="preserve"> (equa</w:t>
            </w:r>
            <w:r w:rsidR="009D6A60">
              <w:t>l</w:t>
            </w:r>
            <w:r>
              <w:t xml:space="preserve"> to </w:t>
            </w:r>
            <w:r w:rsidR="001C27CF" w:rsidRPr="001C27CF">
              <w:t>0.8</w:t>
            </w:r>
            <w:r w:rsidRPr="001C27CF">
              <w:t xml:space="preserve"> per</w:t>
            </w:r>
            <w:r>
              <w:t xml:space="preserve"> cent of all residential care facilities). </w:t>
            </w:r>
          </w:p>
          <w:p w:rsidR="008C0E34" w:rsidRDefault="008C0E34" w:rsidP="008C0E34">
            <w:pPr>
              <w:pStyle w:val="Box"/>
            </w:pPr>
            <w:r>
              <w:t>Data reported for this indicator are:</w:t>
            </w:r>
          </w:p>
          <w:p w:rsidR="008C0E34" w:rsidRDefault="008C0E34" w:rsidP="00660441">
            <w:pPr>
              <w:pStyle w:val="BoxListBullet"/>
            </w:pPr>
            <w:r w:rsidRPr="009D44D7">
              <w:t xml:space="preserve">comparable (subject to caveats) across jurisdictions </w:t>
            </w:r>
            <w:r w:rsidR="00AE5AD4" w:rsidRPr="009D44D7">
              <w:t>(only one year of data are reported)</w:t>
            </w:r>
          </w:p>
          <w:p w:rsidR="008F7A7F" w:rsidRDefault="008F7A7F" w:rsidP="00625968">
            <w:pPr>
              <w:pStyle w:val="BoxListBullet"/>
            </w:pPr>
            <w:r>
              <w:t>complete (subject to caveats) for the current reporting period. All required June 201</w:t>
            </w:r>
            <w:r w:rsidR="00625968">
              <w:t>6</w:t>
            </w:r>
            <w:r>
              <w:t xml:space="preserve"> data are a</w:t>
            </w:r>
            <w:r w:rsidR="00032AC4">
              <w:t>vailable for all jurisdictions.</w:t>
            </w:r>
          </w:p>
        </w:tc>
      </w:tr>
      <w:tr w:rsidR="00D12D12" w:rsidTr="00C74E99">
        <w:trPr>
          <w:cantSplit/>
        </w:trPr>
        <w:tc>
          <w:tcPr>
            <w:tcW w:w="8771" w:type="dxa"/>
            <w:tcBorders>
              <w:top w:val="nil"/>
              <w:left w:val="nil"/>
              <w:bottom w:val="single" w:sz="6" w:space="0" w:color="78A22F"/>
              <w:right w:val="nil"/>
            </w:tcBorders>
            <w:shd w:val="clear" w:color="auto" w:fill="F2F2F2"/>
          </w:tcPr>
          <w:p w:rsidR="00D12D12" w:rsidRDefault="00D12D12">
            <w:pPr>
              <w:pStyle w:val="Box"/>
              <w:spacing w:before="0" w:line="120" w:lineRule="exact"/>
            </w:pPr>
          </w:p>
        </w:tc>
      </w:tr>
      <w:tr w:rsidR="00D12D12" w:rsidRPr="000863A5" w:rsidTr="00C74E99">
        <w:tc>
          <w:tcPr>
            <w:tcW w:w="8771" w:type="dxa"/>
            <w:tcBorders>
              <w:top w:val="single" w:sz="6" w:space="0" w:color="78A22F"/>
              <w:left w:val="nil"/>
              <w:bottom w:val="nil"/>
              <w:right w:val="nil"/>
            </w:tcBorders>
          </w:tcPr>
          <w:p w:rsidR="00D12D12" w:rsidRPr="00626D32" w:rsidRDefault="00D12D12" w:rsidP="00C74E99">
            <w:pPr>
              <w:pStyle w:val="BoxSpaceBelow"/>
            </w:pPr>
          </w:p>
        </w:tc>
      </w:tr>
    </w:tbl>
    <w:p w:rsidR="00351D64" w:rsidRDefault="00660441" w:rsidP="001573BE">
      <w:pPr>
        <w:pStyle w:val="BodyText"/>
      </w:pPr>
      <w:r>
        <w:t>Of all</w:t>
      </w:r>
      <w:r w:rsidR="005216F9">
        <w:t xml:space="preserve"> </w:t>
      </w:r>
      <w:r>
        <w:t>re</w:t>
      </w:r>
      <w:r>
        <w:noBreakHyphen/>
        <w:t>accredited residential aged care services</w:t>
      </w:r>
      <w:r w:rsidR="005216F9">
        <w:t xml:space="preserve"> (26</w:t>
      </w:r>
      <w:r w:rsidR="00CA732D">
        <w:t>55</w:t>
      </w:r>
      <w:r w:rsidR="005216F9">
        <w:t>)</w:t>
      </w:r>
      <w:r>
        <w:t xml:space="preserve">, </w:t>
      </w:r>
      <w:r w:rsidR="005216F9">
        <w:t>98.3</w:t>
      </w:r>
      <w:r>
        <w:t xml:space="preserve"> per cent had an accreditation status of a period of three years as at 30 June 201</w:t>
      </w:r>
      <w:r w:rsidR="00625968">
        <w:t>6</w:t>
      </w:r>
      <w:r>
        <w:t xml:space="preserve"> </w:t>
      </w:r>
      <w:r w:rsidRPr="00CA732D">
        <w:t>(</w:t>
      </w:r>
      <w:r w:rsidR="00EA24CB" w:rsidRPr="00CA732D">
        <w:t>table</w:t>
      </w:r>
      <w:r w:rsidR="00664BA5">
        <w:t> </w:t>
      </w:r>
      <w:r w:rsidR="00EA24CB" w:rsidRPr="00CA732D">
        <w:t>14A.</w:t>
      </w:r>
      <w:r w:rsidR="00CA732D" w:rsidRPr="00CA732D">
        <w:t>36</w:t>
      </w:r>
      <w:r w:rsidRPr="00CA732D">
        <w:t>).</w:t>
      </w:r>
      <w:r>
        <w:t xml:space="preserve"> </w:t>
      </w:r>
      <w:r w:rsidR="008C0E34">
        <w:t>A re</w:t>
      </w:r>
      <w:r w:rsidR="008C0E34">
        <w:noBreakHyphen/>
        <w:t>accreditation decision was made during 201</w:t>
      </w:r>
      <w:r w:rsidR="006D3A2B">
        <w:t>5</w:t>
      </w:r>
      <w:r w:rsidR="008C0E34">
        <w:noBreakHyphen/>
        <w:t>1</w:t>
      </w:r>
      <w:r w:rsidR="006D3A2B">
        <w:t>6</w:t>
      </w:r>
      <w:r w:rsidR="008C0E34">
        <w:t xml:space="preserve"> for </w:t>
      </w:r>
      <w:r w:rsidR="005216F9">
        <w:t>1053</w:t>
      </w:r>
      <w:r w:rsidR="001573BE">
        <w:t xml:space="preserve"> </w:t>
      </w:r>
      <w:r w:rsidR="008C0E34">
        <w:t>services, of which</w:t>
      </w:r>
      <w:r w:rsidR="001573BE">
        <w:t xml:space="preserve"> </w:t>
      </w:r>
      <w:r w:rsidR="005216F9">
        <w:t>98.0 </w:t>
      </w:r>
      <w:r w:rsidR="001573BE">
        <w:t>per</w:t>
      </w:r>
      <w:r w:rsidR="005216F9">
        <w:t xml:space="preserve"> </w:t>
      </w:r>
      <w:r w:rsidR="001573BE">
        <w:t>cent were granted three year accreditation (table</w:t>
      </w:r>
      <w:r w:rsidR="009551A0">
        <w:t> </w:t>
      </w:r>
      <w:r w:rsidR="001573BE">
        <w:t>1</w:t>
      </w:r>
      <w:r w:rsidR="00625968">
        <w:t>4A</w:t>
      </w:r>
      <w:r w:rsidR="001573BE">
        <w:t>.</w:t>
      </w:r>
      <w:r w:rsidR="00C20ABC">
        <w:t>3</w:t>
      </w:r>
      <w:r w:rsidR="00625968">
        <w:t>3</w:t>
      </w:r>
      <w:r w:rsidR="001573BE">
        <w:t xml:space="preserve">). </w:t>
      </w:r>
      <w:r w:rsidR="00567F3E">
        <w:t>Data on re</w:t>
      </w:r>
      <w:r w:rsidR="009551A0">
        <w:noBreakHyphen/>
      </w:r>
      <w:r w:rsidR="00567F3E">
        <w:t>accreditation decisions during 201</w:t>
      </w:r>
      <w:r w:rsidR="006D3A2B">
        <w:t>5</w:t>
      </w:r>
      <w:r w:rsidR="009551A0">
        <w:noBreakHyphen/>
      </w:r>
      <w:r w:rsidR="00567F3E">
        <w:t>1</w:t>
      </w:r>
      <w:r w:rsidR="006D3A2B">
        <w:t>6</w:t>
      </w:r>
      <w:r w:rsidR="00567F3E">
        <w:t xml:space="preserve"> by remo</w:t>
      </w:r>
      <w:r w:rsidR="00C20ABC">
        <w:t xml:space="preserve">teness and size of facility are </w:t>
      </w:r>
      <w:r w:rsidR="00567F3E">
        <w:t>in tables 1</w:t>
      </w:r>
      <w:r w:rsidR="00625968">
        <w:t>4</w:t>
      </w:r>
      <w:r w:rsidR="00567F3E">
        <w:t>A.</w:t>
      </w:r>
      <w:r w:rsidR="00C20ABC">
        <w:t>3</w:t>
      </w:r>
      <w:r w:rsidR="00D750FB">
        <w:t>4</w:t>
      </w:r>
      <w:r w:rsidR="00767B7E">
        <w:t>–</w:t>
      </w:r>
      <w:r w:rsidR="00C20ABC">
        <w:t>3</w:t>
      </w:r>
      <w:r w:rsidR="00761E0E">
        <w:t>5</w:t>
      </w:r>
      <w:r w:rsidR="00567F3E">
        <w:t xml:space="preserve">. </w:t>
      </w:r>
    </w:p>
    <w:p w:rsidR="009E0820" w:rsidRDefault="001674AF" w:rsidP="00625968">
      <w:pPr>
        <w:pStyle w:val="Heading4"/>
      </w:pPr>
      <w:r>
        <w:t xml:space="preserve">Quality – </w:t>
      </w:r>
      <w:r w:rsidR="009E0820" w:rsidRPr="00A0387D">
        <w:t xml:space="preserve">Compliance with service standards for </w:t>
      </w:r>
      <w:r w:rsidR="009E0820" w:rsidRPr="00B73095">
        <w:t>home care and support</w:t>
      </w:r>
    </w:p>
    <w:p w:rsidR="0085349D" w:rsidRDefault="009E0820" w:rsidP="0085349D">
      <w:pPr>
        <w:pStyle w:val="BodyText"/>
      </w:pPr>
      <w:r w:rsidRPr="00A0387D">
        <w:t xml:space="preserve">‘Compliance with service standards for </w:t>
      </w:r>
      <w:r>
        <w:t>home care and support</w:t>
      </w:r>
      <w:r w:rsidRPr="00A0387D">
        <w:t xml:space="preserve">’ is an indicator of governments’ objective </w:t>
      </w:r>
      <w:r w:rsidR="006F688F">
        <w:t xml:space="preserve">to </w:t>
      </w:r>
      <w:r w:rsidR="00674D21" w:rsidRPr="00674D21">
        <w:t xml:space="preserve">provide high quality aged care services </w:t>
      </w:r>
      <w:r w:rsidRPr="00A0387D">
        <w:t>(box</w:t>
      </w:r>
      <w:r>
        <w:t> </w:t>
      </w:r>
      <w:r w:rsidR="00674D21">
        <w:t>14</w:t>
      </w:r>
      <w:r w:rsidRPr="00A0387D">
        <w:t>.</w:t>
      </w:r>
      <w:r w:rsidR="00674D21">
        <w:t>8</w:t>
      </w:r>
      <w:r w:rsidRPr="00A0387D">
        <w:t>).</w:t>
      </w:r>
      <w:r>
        <w:t xml:space="preserve"> </w:t>
      </w:r>
    </w:p>
    <w:p w:rsidR="008C0E34" w:rsidRDefault="008C0E3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0E34" w:rsidTr="006F100B">
        <w:tc>
          <w:tcPr>
            <w:tcW w:w="8771" w:type="dxa"/>
            <w:tcBorders>
              <w:top w:val="single" w:sz="6" w:space="0" w:color="78A22F"/>
              <w:left w:val="nil"/>
              <w:bottom w:val="nil"/>
              <w:right w:val="nil"/>
            </w:tcBorders>
            <w:shd w:val="clear" w:color="auto" w:fill="F2F2F2"/>
          </w:tcPr>
          <w:p w:rsidR="008C0E34" w:rsidRDefault="008C0E34" w:rsidP="008C0E34">
            <w:pPr>
              <w:pStyle w:val="BoxTitle"/>
            </w:pPr>
            <w:r>
              <w:rPr>
                <w:b w:val="0"/>
              </w:rPr>
              <w:t xml:space="preserve">Box </w:t>
            </w:r>
            <w:r w:rsidR="000A554C">
              <w:rPr>
                <w:b w:val="0"/>
              </w:rPr>
              <w:t>14.</w:t>
            </w:r>
            <w:r w:rsidR="00662F0E">
              <w:rPr>
                <w:b w:val="0"/>
                <w:noProof/>
              </w:rPr>
              <w:t>8</w:t>
            </w:r>
            <w:r>
              <w:tab/>
            </w:r>
            <w:r w:rsidRPr="006D3E10">
              <w:t xml:space="preserve">Compliance with service standards for </w:t>
            </w:r>
            <w:r w:rsidRPr="00B73095">
              <w:t>home care and support</w:t>
            </w:r>
            <w:r>
              <w:t xml:space="preserve"> </w:t>
            </w:r>
          </w:p>
        </w:tc>
      </w:tr>
      <w:tr w:rsidR="008C0E34" w:rsidTr="006F100B">
        <w:trPr>
          <w:cantSplit/>
        </w:trPr>
        <w:tc>
          <w:tcPr>
            <w:tcW w:w="8771" w:type="dxa"/>
            <w:tcBorders>
              <w:top w:val="nil"/>
              <w:left w:val="nil"/>
              <w:bottom w:val="nil"/>
              <w:right w:val="nil"/>
            </w:tcBorders>
            <w:shd w:val="clear" w:color="auto" w:fill="F2F2F2"/>
          </w:tcPr>
          <w:p w:rsidR="008C0E34" w:rsidRDefault="00BE53A7" w:rsidP="008C0E34">
            <w:pPr>
              <w:pStyle w:val="Box"/>
            </w:pPr>
            <w:r>
              <w:t>‘</w:t>
            </w:r>
            <w:r w:rsidR="008C0E34">
              <w:t xml:space="preserve">Compliance with service standards for </w:t>
            </w:r>
            <w:r w:rsidR="00AD3960" w:rsidRPr="00AD3960">
              <w:t>home care and support’</w:t>
            </w:r>
            <w:r w:rsidR="008C0E34">
              <w:t xml:space="preserve"> is defined as the proportion of reviews of </w:t>
            </w:r>
            <w:r w:rsidR="00AD3960">
              <w:t>home care and support</w:t>
            </w:r>
            <w:r w:rsidR="008C0E34">
              <w:t xml:space="preserve"> services that met all expected outcomes under each of the Home Care Common Standards:</w:t>
            </w:r>
            <w:r w:rsidR="00E75264">
              <w:t xml:space="preserve"> </w:t>
            </w:r>
          </w:p>
          <w:p w:rsidR="008C0E34" w:rsidRDefault="008C0E34" w:rsidP="008C0E34">
            <w:pPr>
              <w:pStyle w:val="BoxListBullet"/>
            </w:pPr>
            <w:r>
              <w:t xml:space="preserve">Standard 1 </w:t>
            </w:r>
            <w:r>
              <w:rPr>
                <w:rFonts w:ascii="Calibri" w:hAnsi="Calibri"/>
              </w:rPr>
              <w:t>—</w:t>
            </w:r>
            <w:r>
              <w:t xml:space="preserve"> Effective management </w:t>
            </w:r>
            <w:r>
              <w:rPr>
                <w:rFonts w:ascii="Calibri" w:hAnsi="Calibri"/>
              </w:rPr>
              <w:t>—</w:t>
            </w:r>
            <w:r>
              <w:t xml:space="preserve"> </w:t>
            </w:r>
            <w:r w:rsidRPr="004D48B4">
              <w:t>the service provider demonstrates effective management processes based on a continuous improvement approach to service management, planning and delivery</w:t>
            </w:r>
            <w:r>
              <w:t>.</w:t>
            </w:r>
          </w:p>
          <w:p w:rsidR="00393A4E" w:rsidRDefault="00F23DB8" w:rsidP="00393A4E">
            <w:pPr>
              <w:pStyle w:val="BoxListBullet"/>
            </w:pPr>
            <w:r>
              <w:t xml:space="preserve">Standard 2 </w:t>
            </w:r>
            <w:r>
              <w:rPr>
                <w:rFonts w:ascii="Calibri" w:hAnsi="Calibri"/>
              </w:rPr>
              <w:t>—</w:t>
            </w:r>
            <w:r>
              <w:t xml:space="preserve"> Appropriate access and service delivery </w:t>
            </w:r>
            <w:r>
              <w:rPr>
                <w:rFonts w:ascii="Calibri" w:hAnsi="Calibri"/>
              </w:rPr>
              <w:t>—</w:t>
            </w:r>
            <w:r w:rsidRPr="004D48B4">
              <w:t xml:space="preserve"> </w:t>
            </w:r>
            <w:r>
              <w:t>e</w:t>
            </w:r>
            <w:r w:rsidRPr="004D48B4">
              <w:t>ach service user (and prospective service user) has access to services</w:t>
            </w:r>
            <w:r w:rsidR="002B24B9">
              <w:t>,</w:t>
            </w:r>
            <w:r w:rsidRPr="004D48B4">
              <w:t xml:space="preserve"> and service users receive appropriate services that are planned, delivered and evaluated in partnership with themselves and/or their representatives</w:t>
            </w:r>
            <w:r>
              <w:t>.</w:t>
            </w:r>
          </w:p>
          <w:p w:rsidR="002B24B9" w:rsidRDefault="002B24B9" w:rsidP="002B24B9">
            <w:pPr>
              <w:pStyle w:val="BoxListBullet"/>
            </w:pPr>
            <w:r>
              <w:t xml:space="preserve">Standard 3 </w:t>
            </w:r>
            <w:r>
              <w:rPr>
                <w:rFonts w:ascii="Calibri" w:hAnsi="Calibri"/>
              </w:rPr>
              <w:t>—</w:t>
            </w:r>
            <w:r>
              <w:t xml:space="preserve"> Service user rights and responsibilities </w:t>
            </w:r>
            <w:r>
              <w:rPr>
                <w:rFonts w:ascii="Calibri" w:hAnsi="Calibri"/>
              </w:rPr>
              <w:t>—</w:t>
            </w:r>
            <w:r w:rsidRPr="004D48B4">
              <w:t xml:space="preserve"> </w:t>
            </w:r>
            <w:r>
              <w:t>e</w:t>
            </w:r>
            <w:r w:rsidRPr="004D48B4">
              <w:t>ach service user (and/or their representative) is provided with information to assist them to make service choices and has the right (and responsibility) to be consulted and respected. Service users (and/or their representative) have access to complaints and advocacy information and processes and their privacy and confidentiality and right to independence is respected</w:t>
            </w:r>
            <w:r>
              <w:t>.</w:t>
            </w:r>
          </w:p>
          <w:p w:rsidR="002B24B9" w:rsidRDefault="002B24B9" w:rsidP="002B24B9">
            <w:pPr>
              <w:pStyle w:val="Box"/>
            </w:pPr>
            <w:r>
              <w:t xml:space="preserve">Data are reported for </w:t>
            </w:r>
            <w:r w:rsidRPr="006F688F">
              <w:t xml:space="preserve">Australian Government home care and support providers </w:t>
            </w:r>
            <w:r w:rsidRPr="00E515AD">
              <w:t>combined</w:t>
            </w:r>
            <w:r>
              <w:t>,</w:t>
            </w:r>
            <w:r w:rsidRPr="00E515AD">
              <w:t xml:space="preserve"> and sepa</w:t>
            </w:r>
            <w:r>
              <w:t xml:space="preserve">rately for the WA HACC program. Data for </w:t>
            </w:r>
            <w:r w:rsidRPr="0022152F">
              <w:t>2015</w:t>
            </w:r>
            <w:r w:rsidR="00664BA5">
              <w:noBreakHyphen/>
            </w:r>
            <w:r w:rsidRPr="0022152F">
              <w:t xml:space="preserve">16 </w:t>
            </w:r>
            <w:r>
              <w:t>for Victorian HACC services are not available as no reviews were conducted.</w:t>
            </w:r>
          </w:p>
          <w:p w:rsidR="002B24B9" w:rsidRPr="00AD3960" w:rsidRDefault="002B24B9" w:rsidP="002B24B9">
            <w:pPr>
              <w:pStyle w:val="Box"/>
            </w:pPr>
            <w:r>
              <w:t xml:space="preserve">A high or increasing proportion of reviews that met all expected outcomes under each of the Home Care Common Standards is desirable. </w:t>
            </w:r>
          </w:p>
          <w:p w:rsidR="002B24B9" w:rsidRDefault="002B24B9" w:rsidP="002B24B9">
            <w:pPr>
              <w:pStyle w:val="Box"/>
            </w:pPr>
            <w:r>
              <w:t>Data reported for this indicator are:</w:t>
            </w:r>
          </w:p>
          <w:p w:rsidR="002B24B9" w:rsidRPr="008C746C" w:rsidRDefault="002B24B9" w:rsidP="00AE5AD4">
            <w:pPr>
              <w:pStyle w:val="BoxListBullet"/>
            </w:pPr>
            <w:r w:rsidRPr="009D44D7">
              <w:t xml:space="preserve">comparable (subject to caveats) </w:t>
            </w:r>
            <w:r w:rsidR="002C36F5" w:rsidRPr="009D44D7">
              <w:t xml:space="preserve">across </w:t>
            </w:r>
            <w:r w:rsidR="00AE5AD4" w:rsidRPr="009D44D7">
              <w:t>jurisdictions</w:t>
            </w:r>
            <w:r w:rsidR="002C36F5" w:rsidRPr="009D44D7">
              <w:t xml:space="preserve"> </w:t>
            </w:r>
            <w:r w:rsidR="00AE5AD4" w:rsidRPr="009D44D7">
              <w:t xml:space="preserve">for Australian Government home care and support providers </w:t>
            </w:r>
            <w:r w:rsidR="002C36F5" w:rsidRPr="009D44D7">
              <w:t>and over</w:t>
            </w:r>
            <w:r w:rsidR="00677A14" w:rsidRPr="009D44D7">
              <w:t xml:space="preserve"> </w:t>
            </w:r>
            <w:r w:rsidR="002C36F5" w:rsidRPr="009D44D7">
              <w:t>time for WA</w:t>
            </w:r>
            <w:r w:rsidR="00AE5AD4" w:rsidRPr="009D44D7">
              <w:t xml:space="preserve"> HACC services</w:t>
            </w:r>
          </w:p>
          <w:p w:rsidR="002B24B9" w:rsidRDefault="002B24B9" w:rsidP="002B24B9">
            <w:pPr>
              <w:pStyle w:val="BoxListBullet"/>
            </w:pPr>
            <w:r>
              <w:t>complete (subject to caveats) for the current reporting period. All required 2015</w:t>
            </w:r>
            <w:r>
              <w:rPr>
                <w:rFonts w:ascii="Times New Roman" w:hAnsi="Times New Roman"/>
              </w:rPr>
              <w:noBreakHyphen/>
            </w:r>
            <w:r>
              <w:t>16 data are available for all jurisdictions.</w:t>
            </w:r>
          </w:p>
        </w:tc>
      </w:tr>
      <w:tr w:rsidR="008C0E34" w:rsidTr="006F100B">
        <w:trPr>
          <w:cantSplit/>
        </w:trPr>
        <w:tc>
          <w:tcPr>
            <w:tcW w:w="8771" w:type="dxa"/>
            <w:tcBorders>
              <w:top w:val="nil"/>
              <w:left w:val="nil"/>
              <w:bottom w:val="single" w:sz="6" w:space="0" w:color="78A22F"/>
              <w:right w:val="nil"/>
            </w:tcBorders>
            <w:shd w:val="clear" w:color="auto" w:fill="F2F2F2"/>
          </w:tcPr>
          <w:p w:rsidR="008C0E34" w:rsidRDefault="008C0E34">
            <w:pPr>
              <w:pStyle w:val="Box"/>
              <w:spacing w:before="0" w:line="120" w:lineRule="exact"/>
            </w:pPr>
          </w:p>
        </w:tc>
      </w:tr>
      <w:tr w:rsidR="008C0E34" w:rsidRPr="000863A5" w:rsidTr="006F100B">
        <w:tc>
          <w:tcPr>
            <w:tcW w:w="8771" w:type="dxa"/>
            <w:tcBorders>
              <w:top w:val="single" w:sz="6" w:space="0" w:color="78A22F"/>
              <w:left w:val="nil"/>
              <w:bottom w:val="nil"/>
              <w:right w:val="nil"/>
            </w:tcBorders>
          </w:tcPr>
          <w:p w:rsidR="008C0E34" w:rsidRPr="00626D32" w:rsidRDefault="008C0E34" w:rsidP="006F100B">
            <w:pPr>
              <w:pStyle w:val="BoxSpaceBelow"/>
            </w:pPr>
          </w:p>
        </w:tc>
      </w:tr>
    </w:tbl>
    <w:p w:rsidR="00CF76B6" w:rsidRDefault="00A530B5" w:rsidP="00727A46">
      <w:pPr>
        <w:pStyle w:val="BodyText"/>
      </w:pPr>
      <w:r w:rsidRPr="006D3E10">
        <w:t>Nationally</w:t>
      </w:r>
      <w:r>
        <w:t xml:space="preserve"> </w:t>
      </w:r>
      <w:r w:rsidR="00B72B01">
        <w:t>at 30</w:t>
      </w:r>
      <w:r w:rsidR="00664BA5">
        <w:t> </w:t>
      </w:r>
      <w:r w:rsidR="00B72B01">
        <w:t>June 2016</w:t>
      </w:r>
      <w:r w:rsidRPr="006D3E10">
        <w:t xml:space="preserve">, </w:t>
      </w:r>
      <w:r w:rsidR="00B72B01">
        <w:t xml:space="preserve">of the reviews to </w:t>
      </w:r>
      <w:r w:rsidR="00727A46">
        <w:t xml:space="preserve">be </w:t>
      </w:r>
      <w:r w:rsidR="00B72B01">
        <w:t>conducted over the three year cycle</w:t>
      </w:r>
      <w:r w:rsidR="00BB7EBE" w:rsidRPr="00BB7EBE">
        <w:t xml:space="preserve"> </w:t>
      </w:r>
      <w:r w:rsidR="00727A46">
        <w:t>(</w:t>
      </w:r>
      <w:r w:rsidR="00727A46" w:rsidRPr="00727A46">
        <w:t>2014–2017</w:t>
      </w:r>
      <w:r w:rsidR="00727A46">
        <w:t xml:space="preserve">) </w:t>
      </w:r>
      <w:r w:rsidR="00BB7EBE">
        <w:t>for</w:t>
      </w:r>
      <w:r w:rsidR="00BB7EBE" w:rsidRPr="006D3E10">
        <w:t xml:space="preserve"> </w:t>
      </w:r>
      <w:r w:rsidR="00BB7EBE" w:rsidRPr="006F688F">
        <w:t>Australian Government home care and support</w:t>
      </w:r>
      <w:r w:rsidR="00BB7EBE">
        <w:t xml:space="preserve"> </w:t>
      </w:r>
      <w:r w:rsidR="008F3DC0">
        <w:t xml:space="preserve">service </w:t>
      </w:r>
      <w:r w:rsidR="00BB7EBE">
        <w:t>providers</w:t>
      </w:r>
      <w:r w:rsidR="00B72B01">
        <w:t xml:space="preserve">, 68.6 per cent </w:t>
      </w:r>
      <w:r w:rsidR="00727A46">
        <w:t>ha</w:t>
      </w:r>
      <w:r w:rsidR="00023A62">
        <w:t>d</w:t>
      </w:r>
      <w:r w:rsidR="00727A46">
        <w:t xml:space="preserve"> been</w:t>
      </w:r>
      <w:r w:rsidR="007679E2">
        <w:t xml:space="preserve"> </w:t>
      </w:r>
      <w:r w:rsidRPr="006D3E10">
        <w:t>(table</w:t>
      </w:r>
      <w:r>
        <w:t> </w:t>
      </w:r>
      <w:r w:rsidRPr="006D3E10">
        <w:t>1</w:t>
      </w:r>
      <w:r w:rsidR="006F688F">
        <w:t>4A</w:t>
      </w:r>
      <w:r w:rsidRPr="006D3E10">
        <w:t>.</w:t>
      </w:r>
      <w:r w:rsidR="00B72B01">
        <w:t>38</w:t>
      </w:r>
      <w:r w:rsidRPr="006D3E10">
        <w:t>)</w:t>
      </w:r>
      <w:r w:rsidR="004A61B6">
        <w:t xml:space="preserve">, as </w:t>
      </w:r>
      <w:r w:rsidR="00727A46">
        <w:t>ha</w:t>
      </w:r>
      <w:r w:rsidR="00023A62">
        <w:t>d</w:t>
      </w:r>
      <w:r w:rsidR="00727A46">
        <w:t xml:space="preserve"> </w:t>
      </w:r>
      <w:r w:rsidR="004A61B6">
        <w:t xml:space="preserve">67.0 per cent </w:t>
      </w:r>
      <w:r w:rsidR="004A61B6" w:rsidRPr="004A61B6">
        <w:t xml:space="preserve">of the reviews to </w:t>
      </w:r>
      <w:r w:rsidR="00727A46">
        <w:t>be</w:t>
      </w:r>
      <w:r w:rsidR="004A61B6" w:rsidRPr="004A61B6">
        <w:t xml:space="preserve"> conducted </w:t>
      </w:r>
      <w:r w:rsidR="00B72B01">
        <w:t>for</w:t>
      </w:r>
      <w:r>
        <w:t xml:space="preserve"> organisations providing HACC </w:t>
      </w:r>
      <w:r w:rsidR="006F688F">
        <w:t>services in WA</w:t>
      </w:r>
      <w:r w:rsidR="004A61B6">
        <w:t xml:space="preserve"> </w:t>
      </w:r>
      <w:r>
        <w:t>(table</w:t>
      </w:r>
      <w:r w:rsidR="00E75264">
        <w:t> </w:t>
      </w:r>
      <w:r w:rsidR="00A424A8">
        <w:t>14A</w:t>
      </w:r>
      <w:r>
        <w:t>.</w:t>
      </w:r>
      <w:r w:rsidR="00B72B01">
        <w:t>3</w:t>
      </w:r>
      <w:r w:rsidR="00BE53A7">
        <w:t>9</w:t>
      </w:r>
      <w:r>
        <w:t>)</w:t>
      </w:r>
      <w:r w:rsidR="00727A46">
        <w:t xml:space="preserve">. </w:t>
      </w:r>
      <w:r w:rsidR="002B4257">
        <w:t xml:space="preserve">The proportion of </w:t>
      </w:r>
      <w:r w:rsidR="00BB7EBE">
        <w:t xml:space="preserve">Australian Government </w:t>
      </w:r>
      <w:r w:rsidR="004A61B6">
        <w:rPr>
          <w:shd w:val="clear" w:color="auto" w:fill="FFFFFF" w:themeFill="background1"/>
        </w:rPr>
        <w:t>home care and support service provider</w:t>
      </w:r>
      <w:r w:rsidR="00A46979">
        <w:rPr>
          <w:shd w:val="clear" w:color="auto" w:fill="FFFFFF" w:themeFill="background1"/>
        </w:rPr>
        <w:t>s</w:t>
      </w:r>
      <w:r w:rsidR="009708F5" w:rsidRPr="00864C90">
        <w:rPr>
          <w:shd w:val="clear" w:color="auto" w:fill="FFFFFF" w:themeFill="background1"/>
        </w:rPr>
        <w:t xml:space="preserve"> </w:t>
      </w:r>
      <w:r w:rsidR="002B4257" w:rsidRPr="00864C90">
        <w:rPr>
          <w:shd w:val="clear" w:color="auto" w:fill="FFFFFF" w:themeFill="background1"/>
        </w:rPr>
        <w:t>review</w:t>
      </w:r>
      <w:r w:rsidR="00A46979">
        <w:rPr>
          <w:shd w:val="clear" w:color="auto" w:fill="FFFFFF" w:themeFill="background1"/>
        </w:rPr>
        <w:t>ed</w:t>
      </w:r>
      <w:r w:rsidR="002B4257" w:rsidRPr="00864C90">
        <w:rPr>
          <w:shd w:val="clear" w:color="auto" w:fill="FFFFFF" w:themeFill="background1"/>
        </w:rPr>
        <w:t xml:space="preserve"> that achieved all expected outcomes </w:t>
      </w:r>
      <w:r w:rsidR="00BB7EBE">
        <w:rPr>
          <w:shd w:val="clear" w:color="auto" w:fill="FFFFFF" w:themeFill="background1"/>
        </w:rPr>
        <w:t>for each of the three</w:t>
      </w:r>
      <w:r w:rsidR="0022152F">
        <w:rPr>
          <w:shd w:val="clear" w:color="auto" w:fill="FFFFFF" w:themeFill="background1"/>
        </w:rPr>
        <w:t xml:space="preserve"> standard</w:t>
      </w:r>
      <w:r w:rsidR="00BB7EBE">
        <w:rPr>
          <w:shd w:val="clear" w:color="auto" w:fill="FFFFFF" w:themeFill="background1"/>
        </w:rPr>
        <w:t>s</w:t>
      </w:r>
      <w:r w:rsidR="0022152F">
        <w:rPr>
          <w:shd w:val="clear" w:color="auto" w:fill="FFFFFF" w:themeFill="background1"/>
        </w:rPr>
        <w:t xml:space="preserve"> </w:t>
      </w:r>
      <w:r w:rsidR="00BB7EBE">
        <w:rPr>
          <w:shd w:val="clear" w:color="auto" w:fill="FFFFFF" w:themeFill="background1"/>
        </w:rPr>
        <w:t xml:space="preserve">are in </w:t>
      </w:r>
      <w:r w:rsidR="002B24B9">
        <w:rPr>
          <w:shd w:val="clear" w:color="auto" w:fill="FFFFFF" w:themeFill="background1"/>
        </w:rPr>
        <w:t>table</w:t>
      </w:r>
      <w:r w:rsidR="00664BA5">
        <w:rPr>
          <w:shd w:val="clear" w:color="auto" w:fill="FFFFFF" w:themeFill="background1"/>
        </w:rPr>
        <w:t> </w:t>
      </w:r>
      <w:r w:rsidR="002B24B9">
        <w:rPr>
          <w:shd w:val="clear" w:color="auto" w:fill="FFFFFF" w:themeFill="background1"/>
        </w:rPr>
        <w:t>14.2</w:t>
      </w:r>
      <w:r w:rsidR="002B4257">
        <w:t xml:space="preserve">. </w:t>
      </w:r>
      <w:r w:rsidR="0022152F">
        <w:t>Results for WA HACC services were similar</w:t>
      </w:r>
      <w:r w:rsidR="005216F9">
        <w:t xml:space="preserve"> (table</w:t>
      </w:r>
      <w:r w:rsidR="00664BA5">
        <w:t> </w:t>
      </w:r>
      <w:r w:rsidR="005216F9">
        <w:t>14A.</w:t>
      </w:r>
      <w:r w:rsidR="00BB7EBE">
        <w:t>39</w:t>
      </w:r>
      <w:r w:rsidR="005216F9">
        <w:t>)</w:t>
      </w:r>
      <w:r w:rsidR="002B4257">
        <w:t>.</w:t>
      </w:r>
    </w:p>
    <w:p w:rsidR="007D748F" w:rsidRDefault="007D748F" w:rsidP="00C64EF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D748F" w:rsidTr="00C64EFF">
        <w:tc>
          <w:tcPr>
            <w:tcW w:w="8771" w:type="dxa"/>
            <w:tcBorders>
              <w:top w:val="single" w:sz="6" w:space="0" w:color="78A22F"/>
              <w:left w:val="nil"/>
              <w:bottom w:val="nil"/>
              <w:right w:val="nil"/>
            </w:tcBorders>
            <w:shd w:val="clear" w:color="auto" w:fill="auto"/>
          </w:tcPr>
          <w:p w:rsidR="007D748F" w:rsidRPr="00784A05" w:rsidRDefault="007D748F" w:rsidP="008F3DC0">
            <w:pPr>
              <w:pStyle w:val="TableTitle"/>
            </w:pPr>
            <w:r>
              <w:rPr>
                <w:b w:val="0"/>
              </w:rPr>
              <w:t xml:space="preserve">Table </w:t>
            </w:r>
            <w:r w:rsidR="00301A58">
              <w:rPr>
                <w:b w:val="0"/>
              </w:rPr>
              <w:t>14.</w:t>
            </w:r>
            <w:r w:rsidR="00662F0E">
              <w:rPr>
                <w:b w:val="0"/>
                <w:noProof/>
              </w:rPr>
              <w:t>2</w:t>
            </w:r>
            <w:r>
              <w:tab/>
            </w:r>
            <w:r w:rsidR="006F688F" w:rsidRPr="006F688F">
              <w:t xml:space="preserve">Australian Government home care and support </w:t>
            </w:r>
            <w:r w:rsidR="008F3DC0">
              <w:t xml:space="preserve">service </w:t>
            </w:r>
            <w:r w:rsidR="008F3DC0" w:rsidRPr="009D44D7">
              <w:t>providers</w:t>
            </w:r>
            <w:r w:rsidR="006F688F" w:rsidRPr="006F688F">
              <w:t xml:space="preserve"> that achieved all relevant expected outcomes</w:t>
            </w:r>
            <w:r w:rsidR="00D750FB" w:rsidRPr="006D3E10">
              <w:t>, 201</w:t>
            </w:r>
            <w:r w:rsidR="00BE53A7">
              <w:t>5</w:t>
            </w:r>
            <w:r w:rsidR="00D750FB">
              <w:noBreakHyphen/>
            </w:r>
            <w:r w:rsidR="00D750FB" w:rsidRPr="006D3E10">
              <w:t>1</w:t>
            </w:r>
            <w:r w:rsidR="00BE53A7">
              <w:t>6</w:t>
            </w:r>
            <w:r w:rsidR="00BB7EBE">
              <w:t xml:space="preserve"> (per cent)</w:t>
            </w:r>
            <w:r w:rsidR="00380D6E" w:rsidRPr="00380D6E">
              <w:rPr>
                <w:rStyle w:val="NoteLabel"/>
                <w:b/>
              </w:rPr>
              <w:t>a</w:t>
            </w:r>
            <w:r w:rsidR="006F688F" w:rsidRPr="006F688F">
              <w:t xml:space="preserve"> </w:t>
            </w:r>
          </w:p>
        </w:tc>
      </w:tr>
      <w:tr w:rsidR="007D748F" w:rsidTr="00C64EF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230"/>
              <w:gridCol w:w="821"/>
              <w:gridCol w:w="684"/>
              <w:gridCol w:w="657"/>
              <w:gridCol w:w="849"/>
              <w:gridCol w:w="849"/>
              <w:gridCol w:w="849"/>
              <w:gridCol w:w="849"/>
              <w:gridCol w:w="850"/>
              <w:gridCol w:w="849"/>
            </w:tblGrid>
            <w:tr w:rsidR="007D748F" w:rsidRPr="00C44648" w:rsidTr="00C64EFF">
              <w:tc>
                <w:tcPr>
                  <w:tcW w:w="725"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rPr>
                      <w:rFonts w:ascii="Arial" w:hAnsi="Arial"/>
                      <w:i/>
                      <w:sz w:val="20"/>
                      <w:szCs w:val="20"/>
                    </w:rPr>
                  </w:pPr>
                </w:p>
              </w:tc>
              <w:tc>
                <w:tcPr>
                  <w:tcW w:w="484"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NSW</w:t>
                  </w:r>
                </w:p>
              </w:tc>
              <w:tc>
                <w:tcPr>
                  <w:tcW w:w="403"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Vic</w:t>
                  </w:r>
                </w:p>
              </w:tc>
              <w:tc>
                <w:tcPr>
                  <w:tcW w:w="387"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Qld</w:t>
                  </w:r>
                </w:p>
              </w:tc>
              <w:tc>
                <w:tcPr>
                  <w:tcW w:w="500"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WA</w:t>
                  </w:r>
                </w:p>
              </w:tc>
              <w:tc>
                <w:tcPr>
                  <w:tcW w:w="500"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SA</w:t>
                  </w:r>
                </w:p>
              </w:tc>
              <w:tc>
                <w:tcPr>
                  <w:tcW w:w="500"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Tas</w:t>
                  </w:r>
                </w:p>
              </w:tc>
              <w:tc>
                <w:tcPr>
                  <w:tcW w:w="500"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ACT</w:t>
                  </w:r>
                </w:p>
              </w:tc>
              <w:tc>
                <w:tcPr>
                  <w:tcW w:w="501"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NT</w:t>
                  </w:r>
                </w:p>
              </w:tc>
              <w:tc>
                <w:tcPr>
                  <w:tcW w:w="500" w:type="pct"/>
                  <w:tcBorders>
                    <w:top w:val="single" w:sz="6" w:space="0" w:color="BFBFBF"/>
                    <w:bottom w:val="single" w:sz="6" w:space="0" w:color="BFBFBF"/>
                  </w:tcBorders>
                </w:tcPr>
                <w:p w:rsidR="007D748F" w:rsidRPr="00C44648" w:rsidRDefault="007D748F" w:rsidP="00944D8D">
                  <w:pPr>
                    <w:keepNext/>
                    <w:keepLines/>
                    <w:spacing w:before="80" w:after="80" w:line="220" w:lineRule="atLeast"/>
                    <w:ind w:left="6" w:right="28"/>
                    <w:jc w:val="right"/>
                    <w:rPr>
                      <w:rFonts w:ascii="Arial" w:hAnsi="Arial"/>
                      <w:i/>
                      <w:sz w:val="20"/>
                      <w:szCs w:val="20"/>
                    </w:rPr>
                  </w:pPr>
                  <w:r w:rsidRPr="00C44648">
                    <w:rPr>
                      <w:rFonts w:ascii="Arial" w:hAnsi="Arial"/>
                      <w:i/>
                      <w:sz w:val="20"/>
                      <w:szCs w:val="20"/>
                    </w:rPr>
                    <w:t>Aust</w:t>
                  </w:r>
                </w:p>
              </w:tc>
            </w:tr>
            <w:tr w:rsidR="002C36F5" w:rsidRPr="00C44648" w:rsidTr="00864C90">
              <w:tc>
                <w:tcPr>
                  <w:tcW w:w="725" w:type="pct"/>
                </w:tcPr>
                <w:p w:rsidR="002C36F5" w:rsidRPr="00F57D94" w:rsidRDefault="002C36F5" w:rsidP="00646154">
                  <w:pPr>
                    <w:pStyle w:val="TableBodyText"/>
                    <w:jc w:val="left"/>
                  </w:pPr>
                  <w:r>
                    <w:t>Standard 1</w:t>
                  </w:r>
                </w:p>
              </w:tc>
              <w:tc>
                <w:tcPr>
                  <w:tcW w:w="484" w:type="pct"/>
                  <w:shd w:val="clear" w:color="auto" w:fill="FFFFFF" w:themeFill="background1"/>
                  <w:vAlign w:val="center"/>
                </w:tcPr>
                <w:p w:rsidR="002C36F5" w:rsidRPr="002C36F5" w:rsidRDefault="002C36F5" w:rsidP="00646154">
                  <w:pPr>
                    <w:pStyle w:val="TableBodyText"/>
                  </w:pPr>
                  <w:r w:rsidRPr="002C36F5">
                    <w:t xml:space="preserve">  94.2</w:t>
                  </w:r>
                </w:p>
              </w:tc>
              <w:tc>
                <w:tcPr>
                  <w:tcW w:w="403" w:type="pct"/>
                  <w:shd w:val="clear" w:color="auto" w:fill="FFFFFF" w:themeFill="background1"/>
                  <w:vAlign w:val="center"/>
                </w:tcPr>
                <w:p w:rsidR="002C36F5" w:rsidRPr="002C36F5" w:rsidRDefault="002C36F5" w:rsidP="00646154">
                  <w:pPr>
                    <w:pStyle w:val="TableBodyText"/>
                  </w:pPr>
                  <w:r w:rsidRPr="002C36F5">
                    <w:t xml:space="preserve">  98.5</w:t>
                  </w:r>
                </w:p>
              </w:tc>
              <w:tc>
                <w:tcPr>
                  <w:tcW w:w="387" w:type="pct"/>
                  <w:shd w:val="clear" w:color="auto" w:fill="FFFFFF" w:themeFill="background1"/>
                  <w:vAlign w:val="center"/>
                </w:tcPr>
                <w:p w:rsidR="002C36F5" w:rsidRPr="002C36F5" w:rsidRDefault="002C36F5" w:rsidP="00646154">
                  <w:pPr>
                    <w:pStyle w:val="TableBodyText"/>
                  </w:pPr>
                  <w:r w:rsidRPr="002C36F5">
                    <w:t xml:space="preserve">  92.7</w:t>
                  </w:r>
                </w:p>
              </w:tc>
              <w:tc>
                <w:tcPr>
                  <w:tcW w:w="500" w:type="pct"/>
                  <w:shd w:val="clear" w:color="auto" w:fill="FFFFFF" w:themeFill="background1"/>
                  <w:vAlign w:val="center"/>
                </w:tcPr>
                <w:p w:rsidR="002C36F5" w:rsidRPr="002C36F5" w:rsidRDefault="002C36F5" w:rsidP="00646154">
                  <w:pPr>
                    <w:pStyle w:val="TableBodyText"/>
                  </w:pPr>
                  <w:r w:rsidRPr="002C36F5">
                    <w:t xml:space="preserve">  100.0</w:t>
                  </w:r>
                </w:p>
              </w:tc>
              <w:tc>
                <w:tcPr>
                  <w:tcW w:w="500" w:type="pct"/>
                  <w:shd w:val="clear" w:color="auto" w:fill="FFFFFF" w:themeFill="background1"/>
                  <w:vAlign w:val="center"/>
                </w:tcPr>
                <w:p w:rsidR="002C36F5" w:rsidRPr="002C36F5" w:rsidRDefault="002C36F5" w:rsidP="00646154">
                  <w:pPr>
                    <w:pStyle w:val="TableBodyText"/>
                  </w:pPr>
                  <w:r w:rsidRPr="002C36F5">
                    <w:t xml:space="preserve">  90.7</w:t>
                  </w:r>
                </w:p>
              </w:tc>
              <w:tc>
                <w:tcPr>
                  <w:tcW w:w="500" w:type="pct"/>
                  <w:shd w:val="clear" w:color="auto" w:fill="FFFFFF" w:themeFill="background1"/>
                  <w:vAlign w:val="center"/>
                </w:tcPr>
                <w:p w:rsidR="002C36F5" w:rsidRPr="002C36F5" w:rsidRDefault="002C36F5" w:rsidP="00646154">
                  <w:pPr>
                    <w:pStyle w:val="TableBodyText"/>
                  </w:pPr>
                  <w:r w:rsidRPr="002C36F5">
                    <w:t xml:space="preserve">  96.8</w:t>
                  </w:r>
                </w:p>
              </w:tc>
              <w:tc>
                <w:tcPr>
                  <w:tcW w:w="500" w:type="pct"/>
                  <w:shd w:val="clear" w:color="auto" w:fill="FFFFFF" w:themeFill="background1"/>
                  <w:vAlign w:val="center"/>
                </w:tcPr>
                <w:p w:rsidR="002C36F5" w:rsidRPr="002C36F5" w:rsidRDefault="002C36F5" w:rsidP="00646154">
                  <w:pPr>
                    <w:pStyle w:val="TableBodyText"/>
                  </w:pPr>
                  <w:r w:rsidRPr="002C36F5">
                    <w:t xml:space="preserve">  96.3</w:t>
                  </w:r>
                </w:p>
              </w:tc>
              <w:tc>
                <w:tcPr>
                  <w:tcW w:w="501" w:type="pct"/>
                  <w:shd w:val="clear" w:color="auto" w:fill="FFFFFF" w:themeFill="background1"/>
                  <w:vAlign w:val="center"/>
                </w:tcPr>
                <w:p w:rsidR="002C36F5" w:rsidRPr="002C36F5" w:rsidRDefault="002C36F5" w:rsidP="00646154">
                  <w:pPr>
                    <w:pStyle w:val="TableBodyText"/>
                  </w:pPr>
                  <w:r w:rsidRPr="002C36F5">
                    <w:t xml:space="preserve">  83.6</w:t>
                  </w:r>
                </w:p>
              </w:tc>
              <w:tc>
                <w:tcPr>
                  <w:tcW w:w="500" w:type="pct"/>
                  <w:shd w:val="clear" w:color="auto" w:fill="FFFFFF" w:themeFill="background1"/>
                  <w:vAlign w:val="center"/>
                </w:tcPr>
                <w:p w:rsidR="002C36F5" w:rsidRPr="002C36F5" w:rsidRDefault="002C36F5" w:rsidP="00944D8D">
                  <w:pPr>
                    <w:pStyle w:val="TableBodyText"/>
                    <w:ind w:right="28"/>
                  </w:pPr>
                  <w:r w:rsidRPr="002C36F5">
                    <w:t xml:space="preserve">  94.1</w:t>
                  </w:r>
                </w:p>
              </w:tc>
            </w:tr>
            <w:tr w:rsidR="002C36F5" w:rsidRPr="00C44648" w:rsidTr="00864C90">
              <w:tc>
                <w:tcPr>
                  <w:tcW w:w="725" w:type="pct"/>
                </w:tcPr>
                <w:p w:rsidR="002C36F5" w:rsidRPr="00F57D94" w:rsidRDefault="002C36F5" w:rsidP="00646154">
                  <w:pPr>
                    <w:pStyle w:val="TableBodyText"/>
                    <w:jc w:val="left"/>
                  </w:pPr>
                  <w:r>
                    <w:t>Standard 2</w:t>
                  </w:r>
                </w:p>
              </w:tc>
              <w:tc>
                <w:tcPr>
                  <w:tcW w:w="484" w:type="pct"/>
                  <w:shd w:val="clear" w:color="auto" w:fill="FFFFFF" w:themeFill="background1"/>
                  <w:vAlign w:val="center"/>
                </w:tcPr>
                <w:p w:rsidR="002C36F5" w:rsidRPr="002C36F5" w:rsidRDefault="002C36F5" w:rsidP="00646154">
                  <w:pPr>
                    <w:pStyle w:val="TableBodyText"/>
                  </w:pPr>
                  <w:r w:rsidRPr="002C36F5">
                    <w:t xml:space="preserve">  95.9</w:t>
                  </w:r>
                </w:p>
              </w:tc>
              <w:tc>
                <w:tcPr>
                  <w:tcW w:w="403" w:type="pct"/>
                  <w:shd w:val="clear" w:color="auto" w:fill="FFFFFF" w:themeFill="background1"/>
                  <w:vAlign w:val="center"/>
                </w:tcPr>
                <w:p w:rsidR="002C36F5" w:rsidRPr="002C36F5" w:rsidRDefault="002C36F5" w:rsidP="00646154">
                  <w:pPr>
                    <w:pStyle w:val="TableBodyText"/>
                  </w:pPr>
                  <w:r w:rsidRPr="002C36F5">
                    <w:t xml:space="preserve">  99.0</w:t>
                  </w:r>
                </w:p>
              </w:tc>
              <w:tc>
                <w:tcPr>
                  <w:tcW w:w="387" w:type="pct"/>
                  <w:shd w:val="clear" w:color="auto" w:fill="FFFFFF" w:themeFill="background1"/>
                  <w:vAlign w:val="center"/>
                </w:tcPr>
                <w:p w:rsidR="002C36F5" w:rsidRPr="002C36F5" w:rsidRDefault="002C36F5" w:rsidP="00646154">
                  <w:pPr>
                    <w:pStyle w:val="TableBodyText"/>
                  </w:pPr>
                  <w:r w:rsidRPr="002C36F5">
                    <w:t xml:space="preserve">  97.9</w:t>
                  </w:r>
                </w:p>
              </w:tc>
              <w:tc>
                <w:tcPr>
                  <w:tcW w:w="500" w:type="pct"/>
                  <w:shd w:val="clear" w:color="auto" w:fill="FFFFFF" w:themeFill="background1"/>
                  <w:vAlign w:val="center"/>
                </w:tcPr>
                <w:p w:rsidR="002C36F5" w:rsidRPr="002C36F5" w:rsidRDefault="002C36F5" w:rsidP="00646154">
                  <w:pPr>
                    <w:pStyle w:val="TableBodyText"/>
                  </w:pPr>
                  <w:r w:rsidRPr="002C36F5">
                    <w:t xml:space="preserve">  100.0</w:t>
                  </w:r>
                </w:p>
              </w:tc>
              <w:tc>
                <w:tcPr>
                  <w:tcW w:w="500" w:type="pct"/>
                  <w:shd w:val="clear" w:color="auto" w:fill="FFFFFF" w:themeFill="background1"/>
                  <w:vAlign w:val="center"/>
                </w:tcPr>
                <w:p w:rsidR="002C36F5" w:rsidRPr="002C36F5" w:rsidRDefault="002C36F5" w:rsidP="00646154">
                  <w:pPr>
                    <w:pStyle w:val="TableBodyText"/>
                  </w:pPr>
                  <w:r w:rsidRPr="002C36F5">
                    <w:t xml:space="preserve">  89.9</w:t>
                  </w:r>
                </w:p>
              </w:tc>
              <w:tc>
                <w:tcPr>
                  <w:tcW w:w="500" w:type="pct"/>
                  <w:shd w:val="clear" w:color="auto" w:fill="FFFFFF" w:themeFill="background1"/>
                  <w:vAlign w:val="center"/>
                </w:tcPr>
                <w:p w:rsidR="002C36F5" w:rsidRPr="002C36F5" w:rsidRDefault="002C36F5" w:rsidP="00646154">
                  <w:pPr>
                    <w:pStyle w:val="TableBodyText"/>
                  </w:pPr>
                  <w:r w:rsidRPr="002C36F5">
                    <w:t xml:space="preserve">  100.0</w:t>
                  </w:r>
                </w:p>
              </w:tc>
              <w:tc>
                <w:tcPr>
                  <w:tcW w:w="500" w:type="pct"/>
                  <w:shd w:val="clear" w:color="auto" w:fill="FFFFFF" w:themeFill="background1"/>
                  <w:vAlign w:val="center"/>
                </w:tcPr>
                <w:p w:rsidR="002C36F5" w:rsidRPr="002C36F5" w:rsidRDefault="002C36F5" w:rsidP="00646154">
                  <w:pPr>
                    <w:pStyle w:val="TableBodyText"/>
                  </w:pPr>
                  <w:r w:rsidRPr="002C36F5">
                    <w:t xml:space="preserve">  100.0</w:t>
                  </w:r>
                </w:p>
              </w:tc>
              <w:tc>
                <w:tcPr>
                  <w:tcW w:w="501" w:type="pct"/>
                  <w:shd w:val="clear" w:color="auto" w:fill="FFFFFF" w:themeFill="background1"/>
                  <w:vAlign w:val="center"/>
                </w:tcPr>
                <w:p w:rsidR="002C36F5" w:rsidRPr="002C36F5" w:rsidRDefault="002C36F5" w:rsidP="00646154">
                  <w:pPr>
                    <w:pStyle w:val="TableBodyText"/>
                  </w:pPr>
                  <w:r w:rsidRPr="002C36F5">
                    <w:t xml:space="preserve">  90.2</w:t>
                  </w:r>
                </w:p>
              </w:tc>
              <w:tc>
                <w:tcPr>
                  <w:tcW w:w="500" w:type="pct"/>
                  <w:shd w:val="clear" w:color="auto" w:fill="FFFFFF" w:themeFill="background1"/>
                  <w:vAlign w:val="center"/>
                </w:tcPr>
                <w:p w:rsidR="002C36F5" w:rsidRPr="002C36F5" w:rsidRDefault="002C36F5" w:rsidP="00944D8D">
                  <w:pPr>
                    <w:pStyle w:val="TableBodyText"/>
                    <w:ind w:right="28"/>
                  </w:pPr>
                  <w:r w:rsidRPr="002C36F5">
                    <w:t xml:space="preserve">  96.6</w:t>
                  </w:r>
                </w:p>
              </w:tc>
            </w:tr>
            <w:tr w:rsidR="002C36F5" w:rsidRPr="00C44648" w:rsidTr="00864C90">
              <w:tc>
                <w:tcPr>
                  <w:tcW w:w="725" w:type="pct"/>
                  <w:tcBorders>
                    <w:bottom w:val="single" w:sz="6" w:space="0" w:color="BFBFBF"/>
                  </w:tcBorders>
                </w:tcPr>
                <w:p w:rsidR="002C36F5" w:rsidRPr="00F57D94" w:rsidRDefault="002C36F5" w:rsidP="00646154">
                  <w:pPr>
                    <w:pStyle w:val="TableBodyText"/>
                    <w:jc w:val="left"/>
                  </w:pPr>
                  <w:r>
                    <w:t>Standard 3</w:t>
                  </w:r>
                </w:p>
              </w:tc>
              <w:tc>
                <w:tcPr>
                  <w:tcW w:w="484" w:type="pct"/>
                  <w:tcBorders>
                    <w:bottom w:val="single" w:sz="6" w:space="0" w:color="BFBFBF"/>
                  </w:tcBorders>
                  <w:shd w:val="clear" w:color="auto" w:fill="FFFFFF" w:themeFill="background1"/>
                  <w:vAlign w:val="center"/>
                </w:tcPr>
                <w:p w:rsidR="002C36F5" w:rsidRPr="002C36F5" w:rsidRDefault="002C36F5" w:rsidP="00646154">
                  <w:pPr>
                    <w:pStyle w:val="TableBodyText"/>
                  </w:pPr>
                  <w:r w:rsidRPr="002C36F5">
                    <w:t xml:space="preserve">  99.2</w:t>
                  </w:r>
                </w:p>
              </w:tc>
              <w:tc>
                <w:tcPr>
                  <w:tcW w:w="403" w:type="pct"/>
                  <w:tcBorders>
                    <w:bottom w:val="single" w:sz="6" w:space="0" w:color="BFBFBF"/>
                  </w:tcBorders>
                  <w:shd w:val="clear" w:color="auto" w:fill="FFFFFF" w:themeFill="background1"/>
                  <w:vAlign w:val="center"/>
                </w:tcPr>
                <w:p w:rsidR="002C36F5" w:rsidRPr="002C36F5" w:rsidRDefault="002C36F5" w:rsidP="00646154">
                  <w:pPr>
                    <w:pStyle w:val="TableBodyText"/>
                  </w:pPr>
                  <w:r w:rsidRPr="002C36F5">
                    <w:t xml:space="preserve"> 100.0</w:t>
                  </w:r>
                </w:p>
              </w:tc>
              <w:tc>
                <w:tcPr>
                  <w:tcW w:w="387" w:type="pct"/>
                  <w:tcBorders>
                    <w:bottom w:val="single" w:sz="6" w:space="0" w:color="BFBFBF"/>
                  </w:tcBorders>
                  <w:shd w:val="clear" w:color="auto" w:fill="FFFFFF" w:themeFill="background1"/>
                  <w:vAlign w:val="center"/>
                </w:tcPr>
                <w:p w:rsidR="002C36F5" w:rsidRPr="002C36F5" w:rsidRDefault="002C36F5" w:rsidP="00646154">
                  <w:pPr>
                    <w:pStyle w:val="TableBodyText"/>
                  </w:pPr>
                  <w:r w:rsidRPr="002C36F5">
                    <w:t xml:space="preserve">  99.2</w:t>
                  </w:r>
                </w:p>
              </w:tc>
              <w:tc>
                <w:tcPr>
                  <w:tcW w:w="500" w:type="pct"/>
                  <w:tcBorders>
                    <w:bottom w:val="single" w:sz="6" w:space="0" w:color="BFBFBF"/>
                  </w:tcBorders>
                  <w:shd w:val="clear" w:color="auto" w:fill="FFFFFF" w:themeFill="background1"/>
                  <w:vAlign w:val="center"/>
                </w:tcPr>
                <w:p w:rsidR="002C36F5" w:rsidRPr="002C36F5" w:rsidRDefault="002C36F5" w:rsidP="00646154">
                  <w:pPr>
                    <w:pStyle w:val="TableBodyText"/>
                  </w:pPr>
                  <w:r w:rsidRPr="002C36F5">
                    <w:t xml:space="preserve">  100.0</w:t>
                  </w:r>
                </w:p>
              </w:tc>
              <w:tc>
                <w:tcPr>
                  <w:tcW w:w="500" w:type="pct"/>
                  <w:tcBorders>
                    <w:bottom w:val="single" w:sz="6" w:space="0" w:color="BFBFBF"/>
                  </w:tcBorders>
                  <w:shd w:val="clear" w:color="auto" w:fill="FFFFFF" w:themeFill="background1"/>
                  <w:vAlign w:val="center"/>
                </w:tcPr>
                <w:p w:rsidR="002C36F5" w:rsidRPr="002C36F5" w:rsidRDefault="002C36F5" w:rsidP="00646154">
                  <w:pPr>
                    <w:pStyle w:val="TableBodyText"/>
                  </w:pPr>
                  <w:r w:rsidRPr="002C36F5">
                    <w:t xml:space="preserve">  98.4</w:t>
                  </w:r>
                </w:p>
              </w:tc>
              <w:tc>
                <w:tcPr>
                  <w:tcW w:w="500" w:type="pct"/>
                  <w:tcBorders>
                    <w:bottom w:val="single" w:sz="6" w:space="0" w:color="BFBFBF"/>
                  </w:tcBorders>
                  <w:shd w:val="clear" w:color="auto" w:fill="FFFFFF" w:themeFill="background1"/>
                  <w:vAlign w:val="center"/>
                </w:tcPr>
                <w:p w:rsidR="002C36F5" w:rsidRPr="002C36F5" w:rsidRDefault="002C36F5" w:rsidP="00646154">
                  <w:pPr>
                    <w:pStyle w:val="TableBodyText"/>
                  </w:pPr>
                  <w:r w:rsidRPr="002C36F5">
                    <w:t xml:space="preserve">  100.0</w:t>
                  </w:r>
                </w:p>
              </w:tc>
              <w:tc>
                <w:tcPr>
                  <w:tcW w:w="500" w:type="pct"/>
                  <w:tcBorders>
                    <w:bottom w:val="single" w:sz="6" w:space="0" w:color="BFBFBF"/>
                  </w:tcBorders>
                  <w:shd w:val="clear" w:color="auto" w:fill="FFFFFF" w:themeFill="background1"/>
                  <w:vAlign w:val="center"/>
                </w:tcPr>
                <w:p w:rsidR="002C36F5" w:rsidRPr="002C36F5" w:rsidRDefault="002C36F5" w:rsidP="00646154">
                  <w:pPr>
                    <w:pStyle w:val="TableBodyText"/>
                  </w:pPr>
                  <w:r w:rsidRPr="002C36F5">
                    <w:t xml:space="preserve">  100.0</w:t>
                  </w:r>
                </w:p>
              </w:tc>
              <w:tc>
                <w:tcPr>
                  <w:tcW w:w="501" w:type="pct"/>
                  <w:tcBorders>
                    <w:bottom w:val="single" w:sz="6" w:space="0" w:color="BFBFBF"/>
                  </w:tcBorders>
                  <w:shd w:val="clear" w:color="auto" w:fill="FFFFFF" w:themeFill="background1"/>
                  <w:vAlign w:val="center"/>
                </w:tcPr>
                <w:p w:rsidR="002C36F5" w:rsidRPr="002C36F5" w:rsidRDefault="002C36F5" w:rsidP="00646154">
                  <w:pPr>
                    <w:pStyle w:val="TableBodyText"/>
                  </w:pPr>
                  <w:r w:rsidRPr="002C36F5">
                    <w:t xml:space="preserve">  93.4</w:t>
                  </w:r>
                </w:p>
              </w:tc>
              <w:tc>
                <w:tcPr>
                  <w:tcW w:w="500" w:type="pct"/>
                  <w:tcBorders>
                    <w:bottom w:val="single" w:sz="6" w:space="0" w:color="BFBFBF"/>
                  </w:tcBorders>
                  <w:shd w:val="clear" w:color="auto" w:fill="FFFFFF" w:themeFill="background1"/>
                  <w:vAlign w:val="center"/>
                </w:tcPr>
                <w:p w:rsidR="002C36F5" w:rsidRPr="002C36F5" w:rsidRDefault="002C36F5" w:rsidP="00944D8D">
                  <w:pPr>
                    <w:pStyle w:val="TableBodyText"/>
                    <w:ind w:right="28"/>
                  </w:pPr>
                  <w:r w:rsidRPr="002C36F5">
                    <w:t xml:space="preserve">  99.1</w:t>
                  </w:r>
                </w:p>
              </w:tc>
            </w:tr>
          </w:tbl>
          <w:p w:rsidR="007D748F" w:rsidRDefault="007D748F" w:rsidP="00C64EFF">
            <w:pPr>
              <w:pStyle w:val="Box"/>
            </w:pPr>
          </w:p>
        </w:tc>
      </w:tr>
      <w:tr w:rsidR="00380D6E" w:rsidTr="00C64EFF">
        <w:trPr>
          <w:cantSplit/>
        </w:trPr>
        <w:tc>
          <w:tcPr>
            <w:tcW w:w="8771" w:type="dxa"/>
            <w:tcBorders>
              <w:top w:val="nil"/>
              <w:left w:val="nil"/>
              <w:bottom w:val="nil"/>
              <w:right w:val="nil"/>
            </w:tcBorders>
            <w:shd w:val="clear" w:color="auto" w:fill="auto"/>
          </w:tcPr>
          <w:p w:rsidR="00380D6E" w:rsidRDefault="00380D6E" w:rsidP="002C36F5">
            <w:pPr>
              <w:pStyle w:val="Note"/>
              <w:rPr>
                <w:i/>
              </w:rPr>
            </w:pPr>
            <w:r w:rsidRPr="00087FC4">
              <w:rPr>
                <w:rStyle w:val="NoteLabel"/>
              </w:rPr>
              <w:t xml:space="preserve">a </w:t>
            </w:r>
            <w:r w:rsidRPr="006F23A3">
              <w:t>See box</w:t>
            </w:r>
            <w:r w:rsidR="00E75264">
              <w:t> </w:t>
            </w:r>
            <w:r>
              <w:t>1</w:t>
            </w:r>
            <w:r w:rsidR="006F688F">
              <w:t>4</w:t>
            </w:r>
            <w:r w:rsidRPr="006F23A3">
              <w:t>.</w:t>
            </w:r>
            <w:r w:rsidR="006F688F">
              <w:t>8</w:t>
            </w:r>
            <w:r>
              <w:t xml:space="preserve"> </w:t>
            </w:r>
            <w:r w:rsidRPr="006F23A3">
              <w:t>and table</w:t>
            </w:r>
            <w:r w:rsidR="00E75264">
              <w:t> </w:t>
            </w:r>
            <w:r>
              <w:t>1</w:t>
            </w:r>
            <w:r w:rsidR="006F688F">
              <w:t>4</w:t>
            </w:r>
            <w:r w:rsidRPr="006F23A3">
              <w:t>A.</w:t>
            </w:r>
            <w:r w:rsidR="002C36F5">
              <w:t>3</w:t>
            </w:r>
            <w:r>
              <w:t>8</w:t>
            </w:r>
            <w:r w:rsidRPr="006F23A3">
              <w:t xml:space="preserve"> for detailed</w:t>
            </w:r>
            <w:r w:rsidRPr="0032221B">
              <w:t xml:space="preserve"> definitions, footnotes and caveats</w:t>
            </w:r>
            <w:r w:rsidRPr="006F23A3">
              <w:t>.</w:t>
            </w:r>
            <w:r w:rsidRPr="00F82615">
              <w:t xml:space="preserve"> </w:t>
            </w:r>
          </w:p>
        </w:tc>
      </w:tr>
      <w:tr w:rsidR="00380D6E" w:rsidTr="00C64EFF">
        <w:trPr>
          <w:cantSplit/>
        </w:trPr>
        <w:tc>
          <w:tcPr>
            <w:tcW w:w="8771" w:type="dxa"/>
            <w:tcBorders>
              <w:top w:val="nil"/>
              <w:left w:val="nil"/>
              <w:bottom w:val="nil"/>
              <w:right w:val="nil"/>
            </w:tcBorders>
            <w:shd w:val="clear" w:color="auto" w:fill="auto"/>
          </w:tcPr>
          <w:p w:rsidR="00380D6E" w:rsidRDefault="00380D6E" w:rsidP="002C36F5">
            <w:pPr>
              <w:pStyle w:val="Source"/>
            </w:pPr>
            <w:r w:rsidRPr="00F82615">
              <w:rPr>
                <w:i/>
              </w:rPr>
              <w:t>Source</w:t>
            </w:r>
            <w:r w:rsidRPr="0007332D">
              <w:t xml:space="preserve">: </w:t>
            </w:r>
            <w:r w:rsidRPr="00CC56A6">
              <w:rPr>
                <w:shd w:val="clear" w:color="auto" w:fill="FFFFFF" w:themeFill="background1"/>
              </w:rPr>
              <w:t>Australian Aged Care Quality Agency</w:t>
            </w:r>
            <w:r w:rsidRPr="00CC56A6">
              <w:rPr>
                <w:i/>
                <w:shd w:val="clear" w:color="auto" w:fill="FFFFFF" w:themeFill="background1"/>
              </w:rPr>
              <w:t xml:space="preserve"> </w:t>
            </w:r>
            <w:r w:rsidRPr="00CC56A6">
              <w:rPr>
                <w:shd w:val="clear" w:color="auto" w:fill="FFFFFF" w:themeFill="background1"/>
              </w:rPr>
              <w:t>(</w:t>
            </w:r>
            <w:r w:rsidRPr="00F82615">
              <w:t>unpublished); table</w:t>
            </w:r>
            <w:r>
              <w:t> </w:t>
            </w:r>
            <w:r w:rsidRPr="00F82615">
              <w:t>1</w:t>
            </w:r>
            <w:r w:rsidR="006F688F">
              <w:t>4</w:t>
            </w:r>
            <w:r w:rsidRPr="00F82615">
              <w:t>A.</w:t>
            </w:r>
            <w:r w:rsidR="002C36F5">
              <w:t>3</w:t>
            </w:r>
            <w:r>
              <w:t>8</w:t>
            </w:r>
            <w:r w:rsidRPr="00F82615">
              <w:t>.</w:t>
            </w:r>
          </w:p>
        </w:tc>
      </w:tr>
      <w:tr w:rsidR="007D748F" w:rsidTr="00C64EFF">
        <w:trPr>
          <w:cantSplit/>
        </w:trPr>
        <w:tc>
          <w:tcPr>
            <w:tcW w:w="8771" w:type="dxa"/>
            <w:tcBorders>
              <w:top w:val="nil"/>
              <w:left w:val="nil"/>
              <w:bottom w:val="single" w:sz="6" w:space="0" w:color="78A22F"/>
              <w:right w:val="nil"/>
            </w:tcBorders>
            <w:shd w:val="clear" w:color="auto" w:fill="auto"/>
          </w:tcPr>
          <w:p w:rsidR="007D748F" w:rsidRDefault="007D748F" w:rsidP="00C64EFF">
            <w:pPr>
              <w:pStyle w:val="Box"/>
              <w:spacing w:before="0" w:line="120" w:lineRule="exact"/>
            </w:pPr>
          </w:p>
        </w:tc>
      </w:tr>
      <w:tr w:rsidR="007D748F" w:rsidRPr="000863A5" w:rsidTr="00C64EFF">
        <w:tc>
          <w:tcPr>
            <w:tcW w:w="8771" w:type="dxa"/>
            <w:tcBorders>
              <w:top w:val="single" w:sz="6" w:space="0" w:color="78A22F"/>
              <w:left w:val="nil"/>
              <w:bottom w:val="nil"/>
              <w:right w:val="nil"/>
            </w:tcBorders>
          </w:tcPr>
          <w:p w:rsidR="007D748F" w:rsidRPr="00626D32" w:rsidRDefault="007D748F" w:rsidP="00C64EFF">
            <w:pPr>
              <w:pStyle w:val="BoxSpaceBelow"/>
            </w:pPr>
          </w:p>
        </w:tc>
      </w:tr>
    </w:tbl>
    <w:p w:rsidR="00A0387D" w:rsidRDefault="001674AF" w:rsidP="00034F61">
      <w:pPr>
        <w:pStyle w:val="Heading4"/>
      </w:pPr>
      <w:r>
        <w:t xml:space="preserve">Quality – </w:t>
      </w:r>
      <w:r w:rsidR="00A0387D" w:rsidRPr="00034F61">
        <w:rPr>
          <w:shd w:val="clear" w:color="auto" w:fill="FFFFFF" w:themeFill="background1"/>
        </w:rPr>
        <w:t xml:space="preserve">Complaints </w:t>
      </w:r>
      <w:r w:rsidR="00F01A46" w:rsidRPr="00034F61">
        <w:rPr>
          <w:shd w:val="clear" w:color="auto" w:fill="FFFFFF" w:themeFill="background1"/>
        </w:rPr>
        <w:t>received</w:t>
      </w:r>
    </w:p>
    <w:p w:rsidR="00F82615" w:rsidRDefault="00380D6E" w:rsidP="00A0387D">
      <w:pPr>
        <w:pStyle w:val="BodyText"/>
      </w:pPr>
      <w:r w:rsidRPr="00034F61">
        <w:rPr>
          <w:shd w:val="clear" w:color="auto" w:fill="FFFFFF" w:themeFill="background1"/>
        </w:rPr>
        <w:t>‘</w:t>
      </w:r>
      <w:r w:rsidR="00F01A46" w:rsidRPr="00034F61">
        <w:rPr>
          <w:shd w:val="clear" w:color="auto" w:fill="FFFFFF" w:themeFill="background1"/>
        </w:rPr>
        <w:t>Complaints received</w:t>
      </w:r>
      <w:r w:rsidRPr="00034F61">
        <w:rPr>
          <w:shd w:val="clear" w:color="auto" w:fill="FFFFFF" w:themeFill="background1"/>
        </w:rPr>
        <w:t>’</w:t>
      </w:r>
      <w:r>
        <w:t xml:space="preserve"> is a proxy</w:t>
      </w:r>
      <w:r w:rsidR="00A0387D">
        <w:t xml:space="preserve"> indicator of governments’ objective to </w:t>
      </w:r>
      <w:r w:rsidR="006F688F" w:rsidRPr="006F688F">
        <w:t>provide high quality aged care services</w:t>
      </w:r>
      <w:r w:rsidR="00A0387D">
        <w:t xml:space="preserve"> (box</w:t>
      </w:r>
      <w:r w:rsidR="009551A0">
        <w:t> </w:t>
      </w:r>
      <w:r w:rsidR="00A0387D">
        <w:t>1</w:t>
      </w:r>
      <w:r w:rsidR="009B17F5">
        <w:t>4</w:t>
      </w:r>
      <w:r w:rsidR="00A0387D">
        <w:t>.</w:t>
      </w:r>
      <w:r w:rsidR="009B17F5">
        <w:t>9</w:t>
      </w:r>
      <w:r w:rsidR="00A0387D">
        <w:t>).</w:t>
      </w:r>
    </w:p>
    <w:p w:rsidR="008C0E34" w:rsidRDefault="008C0E3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0E34" w:rsidTr="006F100B">
        <w:tc>
          <w:tcPr>
            <w:tcW w:w="8771" w:type="dxa"/>
            <w:tcBorders>
              <w:top w:val="single" w:sz="6" w:space="0" w:color="78A22F"/>
              <w:left w:val="nil"/>
              <w:bottom w:val="nil"/>
              <w:right w:val="nil"/>
            </w:tcBorders>
            <w:shd w:val="clear" w:color="auto" w:fill="F2F2F2"/>
          </w:tcPr>
          <w:p w:rsidR="008C0E34" w:rsidRDefault="008C0E34" w:rsidP="00F01A46">
            <w:pPr>
              <w:pStyle w:val="BoxTitle"/>
            </w:pPr>
            <w:r>
              <w:rPr>
                <w:b w:val="0"/>
              </w:rPr>
              <w:t xml:space="preserve">Box </w:t>
            </w:r>
            <w:r w:rsidR="000A554C">
              <w:rPr>
                <w:b w:val="0"/>
              </w:rPr>
              <w:t>14.</w:t>
            </w:r>
            <w:r w:rsidR="00662F0E">
              <w:rPr>
                <w:b w:val="0"/>
                <w:noProof/>
              </w:rPr>
              <w:t>9</w:t>
            </w:r>
            <w:r>
              <w:tab/>
            </w:r>
            <w:r w:rsidR="00F01A46" w:rsidRPr="00034F61">
              <w:rPr>
                <w:shd w:val="clear" w:color="auto" w:fill="F2F2F2" w:themeFill="background1" w:themeFillShade="F2"/>
              </w:rPr>
              <w:t>Complaints received</w:t>
            </w:r>
            <w:r>
              <w:t xml:space="preserve"> </w:t>
            </w:r>
          </w:p>
        </w:tc>
      </w:tr>
      <w:tr w:rsidR="008C0E34" w:rsidTr="006F100B">
        <w:trPr>
          <w:cantSplit/>
        </w:trPr>
        <w:tc>
          <w:tcPr>
            <w:tcW w:w="8771" w:type="dxa"/>
            <w:tcBorders>
              <w:top w:val="nil"/>
              <w:left w:val="nil"/>
              <w:bottom w:val="nil"/>
              <w:right w:val="nil"/>
            </w:tcBorders>
            <w:shd w:val="clear" w:color="auto" w:fill="F2F2F2"/>
          </w:tcPr>
          <w:p w:rsidR="008C0E34" w:rsidRDefault="008C0E34" w:rsidP="00CE6E19">
            <w:pPr>
              <w:pStyle w:val="Box"/>
              <w:rPr>
                <w:caps/>
                <w:spacing w:val="-4"/>
              </w:rPr>
            </w:pPr>
            <w:r w:rsidRPr="00034F61">
              <w:t>‘</w:t>
            </w:r>
            <w:r w:rsidR="00F01A46" w:rsidRPr="00034F61">
              <w:t>Complaints received</w:t>
            </w:r>
            <w:r w:rsidRPr="00034F61">
              <w:t>’</w:t>
            </w:r>
            <w:r>
              <w:t xml:space="preserve"> </w:t>
            </w:r>
            <w:r w:rsidR="009539EF">
              <w:t>is defined as</w:t>
            </w:r>
            <w:r w:rsidR="007C04FC">
              <w:t xml:space="preserve"> </w:t>
            </w:r>
            <w:r>
              <w:t xml:space="preserve">the number of </w:t>
            </w:r>
            <w:r w:rsidR="00C12292">
              <w:t>in</w:t>
            </w:r>
            <w:r w:rsidR="00664BA5">
              <w:noBreakHyphen/>
            </w:r>
            <w:r w:rsidR="00C12292">
              <w:t xml:space="preserve">scope </w:t>
            </w:r>
            <w:r>
              <w:t xml:space="preserve">complaints </w:t>
            </w:r>
            <w:r w:rsidR="00BE53A7">
              <w:t xml:space="preserve">received </w:t>
            </w:r>
            <w:r w:rsidR="00C12292" w:rsidRPr="00C12292">
              <w:t>per 1000 care recipients</w:t>
            </w:r>
            <w:r w:rsidR="00C12292">
              <w:t>.</w:t>
            </w:r>
            <w:r w:rsidR="00C12292" w:rsidRPr="00C12292">
              <w:t xml:space="preserve"> </w:t>
            </w:r>
            <w:r w:rsidR="00C12292">
              <w:t>Complaints</w:t>
            </w:r>
            <w:r w:rsidR="00C12292" w:rsidRPr="00C12292">
              <w:t xml:space="preserve"> within scope relate to </w:t>
            </w:r>
            <w:r w:rsidR="00BE53A7">
              <w:t xml:space="preserve">Australian Government funded </w:t>
            </w:r>
            <w:r w:rsidR="00C12292" w:rsidRPr="00C12292">
              <w:t>provider</w:t>
            </w:r>
            <w:r w:rsidR="00C12292">
              <w:t>s</w:t>
            </w:r>
            <w:r w:rsidR="00C12292" w:rsidRPr="00C12292">
              <w:t xml:space="preserve"> of residential, home care, Commonwealth Home Support or flexible care aged care services</w:t>
            </w:r>
            <w:r w:rsidR="00C12292">
              <w:t>.</w:t>
            </w:r>
          </w:p>
          <w:p w:rsidR="002B4257" w:rsidRDefault="000A0E88" w:rsidP="002B4257">
            <w:pPr>
              <w:pStyle w:val="Box"/>
            </w:pPr>
            <w:r w:rsidRPr="00034F61">
              <w:t>All else being equal, a low or decreasing rate of complaints can suggest higher quality services. However, a high or increasing rate of complaints may not necessarily mean lower quality services as it may reflect more effective complaints reporting and monitoring arrangements</w:t>
            </w:r>
            <w:r w:rsidR="00F01A46" w:rsidRPr="00034F61">
              <w:t>.</w:t>
            </w:r>
            <w:r w:rsidR="002B4257">
              <w:t xml:space="preserve"> </w:t>
            </w:r>
          </w:p>
          <w:p w:rsidR="009539EF" w:rsidRDefault="009539EF" w:rsidP="009539EF">
            <w:pPr>
              <w:pStyle w:val="Box"/>
            </w:pPr>
            <w:r>
              <w:t>On 1</w:t>
            </w:r>
            <w:r w:rsidR="00664BA5">
              <w:t> </w:t>
            </w:r>
            <w:r>
              <w:t xml:space="preserve">January 2016, the Aged Care Complaints Commissioner (Complaints Commissioner) replaced the Aged Care Complaints Scheme (the Scheme) and took over responsibility for the management of </w:t>
            </w:r>
            <w:r w:rsidR="00242E63">
              <w:t>in</w:t>
            </w:r>
            <w:r w:rsidR="00664BA5">
              <w:noBreakHyphen/>
            </w:r>
            <w:r w:rsidR="00242E63">
              <w:t xml:space="preserve">scope </w:t>
            </w:r>
            <w:r>
              <w:t>complaints. The 2015</w:t>
            </w:r>
            <w:r w:rsidR="00664BA5">
              <w:noBreakHyphen/>
            </w:r>
            <w:r>
              <w:t xml:space="preserve">16 data </w:t>
            </w:r>
            <w:r w:rsidR="00C12292">
              <w:t xml:space="preserve">relate to </w:t>
            </w:r>
            <w:r w:rsidR="00242E63">
              <w:t xml:space="preserve">complaints for </w:t>
            </w:r>
            <w:r>
              <w:t xml:space="preserve">six months </w:t>
            </w:r>
            <w:r w:rsidR="00C12292" w:rsidRPr="00C12292">
              <w:t xml:space="preserve">of </w:t>
            </w:r>
            <w:r w:rsidR="00C12292">
              <w:t>the</w:t>
            </w:r>
            <w:r w:rsidR="00242E63">
              <w:t xml:space="preserve"> former Scheme and six months </w:t>
            </w:r>
            <w:r>
              <w:t>of the Complaints Commissioner.</w:t>
            </w:r>
            <w:r w:rsidR="00C12292">
              <w:t xml:space="preserve"> Further information on the operation of the Complaints Commissioner is available at www.agedcarecomplaints.gov.au.</w:t>
            </w:r>
          </w:p>
          <w:p w:rsidR="009539EF" w:rsidRDefault="009539EF" w:rsidP="009539EF">
            <w:pPr>
              <w:pStyle w:val="Box"/>
            </w:pPr>
            <w:r>
              <w:t>Data reported for this indicator are:</w:t>
            </w:r>
          </w:p>
          <w:p w:rsidR="009539EF" w:rsidRDefault="009539EF" w:rsidP="00AE5AD4">
            <w:pPr>
              <w:pStyle w:val="BoxListBullet"/>
            </w:pPr>
            <w:r w:rsidRPr="000A2BE0">
              <w:rPr>
                <w:shd w:val="clear" w:color="auto" w:fill="F2F2F2" w:themeFill="background1" w:themeFillShade="F2"/>
              </w:rPr>
              <w:t xml:space="preserve">comparable </w:t>
            </w:r>
            <w:r w:rsidR="00AE5AD4" w:rsidRPr="000A2BE0">
              <w:rPr>
                <w:shd w:val="clear" w:color="auto" w:fill="F2F2F2" w:themeFill="background1" w:themeFillShade="F2"/>
              </w:rPr>
              <w:t xml:space="preserve">(subject to caveats) </w:t>
            </w:r>
            <w:r w:rsidRPr="000A2BE0">
              <w:rPr>
                <w:shd w:val="clear" w:color="auto" w:fill="F2F2F2" w:themeFill="background1" w:themeFillShade="F2"/>
              </w:rPr>
              <w:t>across jurisdictions</w:t>
            </w:r>
            <w:r w:rsidR="00C12292" w:rsidRPr="000A2BE0">
              <w:rPr>
                <w:shd w:val="clear" w:color="auto" w:fill="F2F2F2" w:themeFill="background1" w:themeFillShade="F2"/>
              </w:rPr>
              <w:t xml:space="preserve"> </w:t>
            </w:r>
            <w:r w:rsidR="00AE5AD4" w:rsidRPr="000A2BE0">
              <w:rPr>
                <w:shd w:val="clear" w:color="auto" w:fill="F2F2F2" w:themeFill="background1" w:themeFillShade="F2"/>
              </w:rPr>
              <w:t>but not comparable over time</w:t>
            </w:r>
          </w:p>
          <w:p w:rsidR="009539EF" w:rsidRDefault="009539EF" w:rsidP="009539EF">
            <w:pPr>
              <w:pStyle w:val="BoxListBullet"/>
            </w:pPr>
            <w:r>
              <w:t>complete (subject to caveats) for the current reporting period. All required 2015</w:t>
            </w:r>
            <w:r>
              <w:rPr>
                <w:rFonts w:ascii="Times New Roman" w:hAnsi="Times New Roman"/>
              </w:rPr>
              <w:noBreakHyphen/>
            </w:r>
            <w:r>
              <w:t>16 data are available for all jurisdictions.</w:t>
            </w:r>
          </w:p>
        </w:tc>
      </w:tr>
      <w:tr w:rsidR="008C0E34" w:rsidTr="006F100B">
        <w:trPr>
          <w:cantSplit/>
        </w:trPr>
        <w:tc>
          <w:tcPr>
            <w:tcW w:w="8771" w:type="dxa"/>
            <w:tcBorders>
              <w:top w:val="nil"/>
              <w:left w:val="nil"/>
              <w:bottom w:val="single" w:sz="6" w:space="0" w:color="78A22F"/>
              <w:right w:val="nil"/>
            </w:tcBorders>
            <w:shd w:val="clear" w:color="auto" w:fill="F2F2F2"/>
          </w:tcPr>
          <w:p w:rsidR="008C0E34" w:rsidRDefault="008C0E34">
            <w:pPr>
              <w:pStyle w:val="Box"/>
              <w:spacing w:before="0" w:line="120" w:lineRule="exact"/>
            </w:pPr>
          </w:p>
        </w:tc>
      </w:tr>
      <w:tr w:rsidR="008C0E34" w:rsidRPr="000863A5" w:rsidTr="006F100B">
        <w:tc>
          <w:tcPr>
            <w:tcW w:w="8771" w:type="dxa"/>
            <w:tcBorders>
              <w:top w:val="single" w:sz="6" w:space="0" w:color="78A22F"/>
              <w:left w:val="nil"/>
              <w:bottom w:val="nil"/>
              <w:right w:val="nil"/>
            </w:tcBorders>
          </w:tcPr>
          <w:p w:rsidR="008C0E34" w:rsidRPr="00626D32" w:rsidRDefault="008C0E34" w:rsidP="006F100B">
            <w:pPr>
              <w:pStyle w:val="BoxSpaceBelow"/>
            </w:pPr>
          </w:p>
        </w:tc>
      </w:tr>
    </w:tbl>
    <w:p w:rsidR="00A0387D" w:rsidRPr="007810C9" w:rsidRDefault="00A0387D" w:rsidP="00CC56A6">
      <w:pPr>
        <w:pStyle w:val="BodyText"/>
        <w:shd w:val="clear" w:color="auto" w:fill="FFFFFF" w:themeFill="background1"/>
        <w:rPr>
          <w:shd w:val="clear" w:color="auto" w:fill="FFFFFF" w:themeFill="background1"/>
        </w:rPr>
      </w:pPr>
      <w:r w:rsidRPr="00A0387D">
        <w:t>During 201</w:t>
      </w:r>
      <w:r w:rsidR="00C12292">
        <w:t>5</w:t>
      </w:r>
      <w:r>
        <w:noBreakHyphen/>
      </w:r>
      <w:r w:rsidRPr="00A0387D">
        <w:t>1</w:t>
      </w:r>
      <w:r w:rsidR="00C12292">
        <w:t>6</w:t>
      </w:r>
      <w:r w:rsidRPr="00A0387D">
        <w:t xml:space="preserve">, </w:t>
      </w:r>
      <w:r w:rsidR="00C12292">
        <w:t>3936</w:t>
      </w:r>
      <w:r w:rsidRPr="00A0387D">
        <w:t xml:space="preserve"> </w:t>
      </w:r>
      <w:r w:rsidR="00C12292">
        <w:t>in</w:t>
      </w:r>
      <w:r w:rsidR="00664BA5">
        <w:noBreakHyphen/>
      </w:r>
      <w:r w:rsidR="00C12292">
        <w:t xml:space="preserve">scope </w:t>
      </w:r>
      <w:r w:rsidRPr="00A0387D">
        <w:t xml:space="preserve">complaints </w:t>
      </w:r>
      <w:r w:rsidR="00C12292">
        <w:t>were received</w:t>
      </w:r>
      <w:r w:rsidR="002B4257">
        <w:t xml:space="preserve">, which equated to </w:t>
      </w:r>
      <w:r w:rsidR="00A42B77">
        <w:br/>
      </w:r>
      <w:r w:rsidR="002B4257">
        <w:t>2</w:t>
      </w:r>
      <w:r w:rsidR="00C12292">
        <w:t>2</w:t>
      </w:r>
      <w:r w:rsidR="002B4257">
        <w:t>.</w:t>
      </w:r>
      <w:r w:rsidR="00C12292">
        <w:t>1</w:t>
      </w:r>
      <w:r w:rsidR="002B4257">
        <w:t xml:space="preserve"> comp</w:t>
      </w:r>
      <w:r w:rsidRPr="00A0387D">
        <w:t xml:space="preserve">laints per 1000 care recipients </w:t>
      </w:r>
      <w:r w:rsidR="002B24B9">
        <w:t>(table 14A.</w:t>
      </w:r>
      <w:r w:rsidR="00A42B77">
        <w:t>3</w:t>
      </w:r>
      <w:r w:rsidR="002B24B9">
        <w:t>7)</w:t>
      </w:r>
      <w:r w:rsidRPr="00A0387D">
        <w:t>.</w:t>
      </w:r>
      <w:r w:rsidR="003B3235">
        <w:t xml:space="preserve"> </w:t>
      </w:r>
    </w:p>
    <w:p w:rsidR="00C50358" w:rsidRDefault="001674AF" w:rsidP="009E0820">
      <w:pPr>
        <w:pStyle w:val="Heading4"/>
      </w:pPr>
      <w:r>
        <w:t xml:space="preserve">Quality – </w:t>
      </w:r>
      <w:r w:rsidR="00C50358">
        <w:t xml:space="preserve">Client </w:t>
      </w:r>
      <w:r w:rsidR="0033132C">
        <w:t xml:space="preserve">experience </w:t>
      </w:r>
      <w:r w:rsidR="00C35541">
        <w:t>of service</w:t>
      </w:r>
      <w:r w:rsidR="00C50358">
        <w:t>s</w:t>
      </w:r>
    </w:p>
    <w:p w:rsidR="00F57D94" w:rsidRDefault="00C50358" w:rsidP="00C50358">
      <w:pPr>
        <w:pStyle w:val="BodyText"/>
      </w:pPr>
      <w:r>
        <w:t>‘</w:t>
      </w:r>
      <w:r w:rsidR="00C35541" w:rsidRPr="00C35541">
        <w:t>Client experience of services</w:t>
      </w:r>
      <w:r>
        <w:t xml:space="preserve">’ </w:t>
      </w:r>
      <w:r w:rsidR="00C35541">
        <w:t>is yet to be defined, but will be an</w:t>
      </w:r>
      <w:r>
        <w:t xml:space="preserve"> indicator of governments’ objective to </w:t>
      </w:r>
      <w:r w:rsidR="00C35541">
        <w:t>provide high quality</w:t>
      </w:r>
      <w:r>
        <w:t xml:space="preserve"> aged care services</w:t>
      </w:r>
      <w:r w:rsidR="00C35541">
        <w:t>.</w:t>
      </w:r>
    </w:p>
    <w:p w:rsidR="00C35541" w:rsidRDefault="00C35541" w:rsidP="00C35541">
      <w:pPr>
        <w:pStyle w:val="Heading4"/>
      </w:pPr>
      <w:r>
        <w:lastRenderedPageBreak/>
        <w:t>Quality – Hospital leave days from residential aged care for preventable causes</w:t>
      </w:r>
    </w:p>
    <w:p w:rsidR="00C35541" w:rsidRDefault="00C35541" w:rsidP="00C35541">
      <w:pPr>
        <w:pStyle w:val="BodyText"/>
      </w:pPr>
      <w:r>
        <w:t>‘Hospital leave days from residential aged care for preventable causes’ is yet to be defined,</w:t>
      </w:r>
      <w:r w:rsidRPr="00C35541">
        <w:t xml:space="preserve"> but will be an indicator of governments’ objective to provide high quality aged care services.</w:t>
      </w:r>
    </w:p>
    <w:p w:rsidR="00C50358" w:rsidRDefault="00C50358" w:rsidP="009E0820">
      <w:pPr>
        <w:pStyle w:val="Heading3"/>
      </w:pPr>
      <w:r>
        <w:t xml:space="preserve">Efficiency </w:t>
      </w:r>
    </w:p>
    <w:p w:rsidR="00C50358" w:rsidRDefault="00C50358" w:rsidP="009E0820">
      <w:pPr>
        <w:pStyle w:val="Heading4"/>
      </w:pPr>
      <w:r>
        <w:t>Cost per output unit</w:t>
      </w:r>
    </w:p>
    <w:p w:rsidR="002B4257" w:rsidRDefault="003E35AF" w:rsidP="00C6461C">
      <w:pPr>
        <w:pStyle w:val="BodyText"/>
      </w:pPr>
      <w:r>
        <w:t xml:space="preserve">‘Cost per output unit’ is a proxy </w:t>
      </w:r>
      <w:r w:rsidR="00C50358">
        <w:t xml:space="preserve">indicator of governments’ objective to deliver </w:t>
      </w:r>
      <w:r w:rsidR="00242E63">
        <w:t xml:space="preserve">aged care services in an </w:t>
      </w:r>
      <w:r w:rsidR="00C50358">
        <w:t>efficient</w:t>
      </w:r>
      <w:r w:rsidR="00242E63">
        <w:t xml:space="preserve"> manner</w:t>
      </w:r>
      <w:r w:rsidR="00C50358">
        <w:t xml:space="preserve"> (box</w:t>
      </w:r>
      <w:r w:rsidR="009551A0">
        <w:t> </w:t>
      </w:r>
      <w:r w:rsidR="00C50358">
        <w:t>1</w:t>
      </w:r>
      <w:r w:rsidR="009B17F5">
        <w:t>4</w:t>
      </w:r>
      <w:r w:rsidR="00C50358">
        <w:t>.</w:t>
      </w:r>
      <w:r w:rsidR="005A7770">
        <w:t>1</w:t>
      </w:r>
      <w:r w:rsidR="00242E63">
        <w:t>0</w:t>
      </w:r>
      <w:r w:rsidR="00C50358">
        <w:t>).</w:t>
      </w:r>
      <w:r w:rsidR="00467702" w:rsidDel="00467702">
        <w:t xml:space="preserve"> </w:t>
      </w:r>
    </w:p>
    <w:p w:rsidR="00242E63" w:rsidRDefault="0024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2E63" w:rsidTr="00393A4E">
        <w:tc>
          <w:tcPr>
            <w:tcW w:w="8771" w:type="dxa"/>
            <w:tcBorders>
              <w:top w:val="single" w:sz="6" w:space="0" w:color="78A22F"/>
              <w:left w:val="nil"/>
              <w:bottom w:val="nil"/>
              <w:right w:val="nil"/>
            </w:tcBorders>
            <w:shd w:val="clear" w:color="auto" w:fill="F2F2F2"/>
          </w:tcPr>
          <w:p w:rsidR="00242E63" w:rsidRDefault="00242E63" w:rsidP="00242E63">
            <w:pPr>
              <w:pStyle w:val="BoxTitle"/>
            </w:pPr>
            <w:r>
              <w:rPr>
                <w:b w:val="0"/>
              </w:rPr>
              <w:t xml:space="preserve">Box </w:t>
            </w:r>
            <w:bookmarkStart w:id="12" w:name="OLE_LINK3"/>
            <w:r w:rsidR="000A554C">
              <w:rPr>
                <w:b w:val="0"/>
              </w:rPr>
              <w:t>14.</w:t>
            </w:r>
            <w:r w:rsidR="00662F0E">
              <w:rPr>
                <w:b w:val="0"/>
                <w:noProof/>
              </w:rPr>
              <w:t>10</w:t>
            </w:r>
            <w:bookmarkEnd w:id="12"/>
            <w:r>
              <w:tab/>
            </w:r>
            <w:r w:rsidRPr="00242E63">
              <w:t>Cost per output unit</w:t>
            </w:r>
          </w:p>
        </w:tc>
      </w:tr>
      <w:tr w:rsidR="00242E63" w:rsidTr="00393A4E">
        <w:tc>
          <w:tcPr>
            <w:tcW w:w="8771" w:type="dxa"/>
            <w:tcBorders>
              <w:top w:val="nil"/>
              <w:left w:val="nil"/>
              <w:bottom w:val="nil"/>
              <w:right w:val="nil"/>
            </w:tcBorders>
            <w:shd w:val="clear" w:color="auto" w:fill="F2F2F2"/>
          </w:tcPr>
          <w:p w:rsidR="00242E63" w:rsidRDefault="00242E63" w:rsidP="00242E63">
            <w:pPr>
              <w:pStyle w:val="Box"/>
            </w:pPr>
            <w:r>
              <w:t xml:space="preserve">‘Cost per output unit’ is defined by two measures: </w:t>
            </w:r>
          </w:p>
          <w:p w:rsidR="00242E63" w:rsidRDefault="00242E63" w:rsidP="00242E63">
            <w:pPr>
              <w:pStyle w:val="BoxListBullet"/>
            </w:pPr>
            <w:r>
              <w:t xml:space="preserve">Australian Government expenditure per ACAT assessment — Australian Government expenditure on the </w:t>
            </w:r>
            <w:r w:rsidRPr="00391E20">
              <w:t xml:space="preserve">Aged Care Assessment Program </w:t>
            </w:r>
            <w:r>
              <w:t xml:space="preserve">divided by the number of </w:t>
            </w:r>
            <w:r w:rsidRPr="003E35AF">
              <w:t>completed assessments</w:t>
            </w:r>
            <w:r>
              <w:t xml:space="preserve"> </w:t>
            </w:r>
          </w:p>
          <w:p w:rsidR="00242E63" w:rsidRDefault="00242E63" w:rsidP="00242E63">
            <w:pPr>
              <w:pStyle w:val="BoxListBullet"/>
            </w:pPr>
            <w:r>
              <w:t xml:space="preserve">expenditure per hour of service for CHSP/HACC — </w:t>
            </w:r>
            <w:r w:rsidRPr="005C6181">
              <w:t>Australian, Victorian and WA gover</w:t>
            </w:r>
            <w:r>
              <w:t>nments expenditure on services, divided by the number of hours of service provided.</w:t>
            </w:r>
          </w:p>
          <w:p w:rsidR="00242E63" w:rsidRDefault="00242E63" w:rsidP="00242E63">
            <w:pPr>
              <w:pStyle w:val="Box"/>
            </w:pPr>
            <w:r>
              <w:t xml:space="preserve">While high or increasing cost per output unit may reflect deteriorating efficiency, it may also reflect changes in aspects of the service (such as greater time spent with clients) or differences in the characteristics of clients (such as their geographic location). Similarly, while low or declining cost per output unit may reflect improving efficiency it may also reflect declining quality (such as less time spent with clients). </w:t>
            </w:r>
          </w:p>
          <w:p w:rsidR="00242E63" w:rsidRDefault="00242E63" w:rsidP="00242E63">
            <w:pPr>
              <w:pStyle w:val="Box"/>
            </w:pPr>
            <w:r w:rsidRPr="003E35AF">
              <w:t xml:space="preserve">Not all expenditure is included </w:t>
            </w:r>
            <w:r>
              <w:t xml:space="preserve">in these </w:t>
            </w:r>
            <w:r w:rsidRPr="003E35AF">
              <w:t>measures. Expenditure by non</w:t>
            </w:r>
            <w:r w:rsidRPr="003E35AF">
              <w:noBreakHyphen/>
              <w:t xml:space="preserve">government sources on services (for example, client fees for </w:t>
            </w:r>
            <w:r>
              <w:t>CHSP/</w:t>
            </w:r>
            <w:r w:rsidRPr="003E35AF">
              <w:t xml:space="preserve">HACC) </w:t>
            </w:r>
            <w:r>
              <w:t>and State and Territory governments’ contributions to the c</w:t>
            </w:r>
            <w:r w:rsidRPr="003E35AF">
              <w:t>ost of ACAT assessments</w:t>
            </w:r>
            <w:r>
              <w:t xml:space="preserve"> are</w:t>
            </w:r>
            <w:r w:rsidRPr="003E35AF">
              <w:t xml:space="preserve"> not included. </w:t>
            </w:r>
          </w:p>
          <w:p w:rsidR="00242E63" w:rsidRDefault="00242E63" w:rsidP="00242E63">
            <w:pPr>
              <w:pStyle w:val="Box"/>
            </w:pPr>
            <w:r>
              <w:t>Data reported for the ‘Australian Government expenditure per ACAT assessment’ measure are:</w:t>
            </w:r>
          </w:p>
          <w:p w:rsidR="00242E63" w:rsidRDefault="00242E63" w:rsidP="00242E63">
            <w:pPr>
              <w:pStyle w:val="BoxListBullet"/>
            </w:pPr>
            <w:r>
              <w:t xml:space="preserve">comparable (subject to caveats) across jurisdictions and over time </w:t>
            </w:r>
          </w:p>
          <w:p w:rsidR="00242E63" w:rsidRDefault="00242E63" w:rsidP="00242E63">
            <w:pPr>
              <w:pStyle w:val="BoxListBullet"/>
            </w:pPr>
            <w:r>
              <w:t>complete (subject to caveats) for the current reporting period. All required 2014</w:t>
            </w:r>
            <w:r>
              <w:rPr>
                <w:rFonts w:ascii="Times New Roman" w:hAnsi="Times New Roman"/>
              </w:rPr>
              <w:noBreakHyphen/>
            </w:r>
            <w:r>
              <w:t xml:space="preserve">15 data are available for all jurisdictions. </w:t>
            </w:r>
          </w:p>
          <w:p w:rsidR="001B5983" w:rsidRDefault="001B5983" w:rsidP="001B5983">
            <w:pPr>
              <w:pStyle w:val="Box"/>
            </w:pPr>
            <w:r>
              <w:t>Data reported for the ‘expenditure per hour of service for CHSP/HACC’ measure are:</w:t>
            </w:r>
          </w:p>
          <w:p w:rsidR="001B5983" w:rsidRDefault="001B5983" w:rsidP="001B5983">
            <w:pPr>
              <w:pStyle w:val="BoxListBullet"/>
            </w:pPr>
            <w:r>
              <w:t xml:space="preserve">comparable (subject to caveats) within jurisdictions over time but are not comparable across jurisdictions </w:t>
            </w:r>
          </w:p>
          <w:p w:rsidR="001B5983" w:rsidRDefault="002C1A8F" w:rsidP="00CF76B6">
            <w:pPr>
              <w:pStyle w:val="BoxListBullet"/>
            </w:pPr>
            <w:r w:rsidRPr="00101C35">
              <w:rPr>
                <w:shd w:val="clear" w:color="auto" w:fill="F2F2F2" w:themeFill="background1" w:themeFillShade="F2"/>
              </w:rPr>
              <w:t>in</w:t>
            </w:r>
            <w:r w:rsidR="001B5983" w:rsidRPr="00101C35">
              <w:rPr>
                <w:shd w:val="clear" w:color="auto" w:fill="F2F2F2" w:themeFill="background1" w:themeFillShade="F2"/>
              </w:rPr>
              <w:t xml:space="preserve">complete (subject to caveats) for the current reporting period. </w:t>
            </w:r>
            <w:r w:rsidRPr="00101C35">
              <w:rPr>
                <w:shd w:val="clear" w:color="auto" w:fill="F2F2F2" w:themeFill="background1" w:themeFillShade="F2"/>
              </w:rPr>
              <w:t>All required 2015</w:t>
            </w:r>
            <w:r w:rsidRPr="00101C35">
              <w:rPr>
                <w:shd w:val="clear" w:color="auto" w:fill="F2F2F2" w:themeFill="background1" w:themeFillShade="F2"/>
              </w:rPr>
              <w:noBreakHyphen/>
              <w:t>16 data were not provided for CHSP.</w:t>
            </w:r>
          </w:p>
        </w:tc>
      </w:tr>
      <w:tr w:rsidR="00242E63" w:rsidTr="00393A4E">
        <w:tc>
          <w:tcPr>
            <w:tcW w:w="8771" w:type="dxa"/>
            <w:tcBorders>
              <w:top w:val="nil"/>
              <w:left w:val="nil"/>
              <w:bottom w:val="single" w:sz="6" w:space="0" w:color="78A22F"/>
              <w:right w:val="nil"/>
            </w:tcBorders>
            <w:shd w:val="clear" w:color="auto" w:fill="F2F2F2"/>
          </w:tcPr>
          <w:p w:rsidR="00242E63" w:rsidRDefault="00242E63">
            <w:pPr>
              <w:pStyle w:val="Box"/>
              <w:spacing w:before="0" w:line="120" w:lineRule="exact"/>
            </w:pPr>
          </w:p>
        </w:tc>
      </w:tr>
      <w:tr w:rsidR="00242E63" w:rsidRPr="000863A5" w:rsidTr="00393A4E">
        <w:tc>
          <w:tcPr>
            <w:tcW w:w="8771" w:type="dxa"/>
            <w:tcBorders>
              <w:top w:val="single" w:sz="6" w:space="0" w:color="78A22F"/>
              <w:left w:val="nil"/>
              <w:bottom w:val="nil"/>
              <w:right w:val="nil"/>
            </w:tcBorders>
          </w:tcPr>
          <w:p w:rsidR="00242E63" w:rsidRPr="00626D32" w:rsidRDefault="00242E63" w:rsidP="00393A4E">
            <w:pPr>
              <w:pStyle w:val="BoxSpaceBelow"/>
            </w:pPr>
          </w:p>
        </w:tc>
      </w:tr>
    </w:tbl>
    <w:p w:rsidR="002C1A8F" w:rsidRDefault="00C50358" w:rsidP="002C1A8F">
      <w:pPr>
        <w:pStyle w:val="BodyText"/>
        <w:shd w:val="clear" w:color="auto" w:fill="FFFFFF" w:themeFill="background1"/>
      </w:pPr>
      <w:r w:rsidRPr="002C1A8F">
        <w:rPr>
          <w:shd w:val="clear" w:color="auto" w:fill="FFFFFF" w:themeFill="background1"/>
        </w:rPr>
        <w:t>Australian Government expenditure per aged care assessment during 201</w:t>
      </w:r>
      <w:r w:rsidR="009B17F5" w:rsidRPr="002C1A8F">
        <w:rPr>
          <w:shd w:val="clear" w:color="auto" w:fill="FFFFFF" w:themeFill="background1"/>
        </w:rPr>
        <w:t>4</w:t>
      </w:r>
      <w:r w:rsidR="00AF6528" w:rsidRPr="002C1A8F">
        <w:rPr>
          <w:rFonts w:ascii="Arial" w:hAnsi="Arial" w:cs="Arial"/>
          <w:shd w:val="clear" w:color="auto" w:fill="FFFFFF" w:themeFill="background1"/>
        </w:rPr>
        <w:noBreakHyphen/>
      </w:r>
      <w:r w:rsidRPr="002C1A8F">
        <w:rPr>
          <w:shd w:val="clear" w:color="auto" w:fill="FFFFFF" w:themeFill="background1"/>
        </w:rPr>
        <w:t>1</w:t>
      </w:r>
      <w:r w:rsidR="009B17F5" w:rsidRPr="002C1A8F">
        <w:rPr>
          <w:shd w:val="clear" w:color="auto" w:fill="FFFFFF" w:themeFill="background1"/>
        </w:rPr>
        <w:t>5</w:t>
      </w:r>
      <w:r w:rsidRPr="002C1A8F">
        <w:rPr>
          <w:shd w:val="clear" w:color="auto" w:fill="FFFFFF" w:themeFill="background1"/>
        </w:rPr>
        <w:t xml:space="preserve"> averaged $</w:t>
      </w:r>
      <w:r w:rsidR="00725A71" w:rsidRPr="002C1A8F">
        <w:rPr>
          <w:shd w:val="clear" w:color="auto" w:fill="FFFFFF" w:themeFill="background1"/>
        </w:rPr>
        <w:t>586</w:t>
      </w:r>
      <w:r w:rsidR="00DC69FE" w:rsidRPr="002C1A8F">
        <w:rPr>
          <w:b/>
          <w:shd w:val="clear" w:color="auto" w:fill="FFFFFF" w:themeFill="background1"/>
        </w:rPr>
        <w:t xml:space="preserve"> </w:t>
      </w:r>
      <w:r w:rsidRPr="002C1A8F">
        <w:rPr>
          <w:shd w:val="clear" w:color="auto" w:fill="FFFFFF" w:themeFill="background1"/>
        </w:rPr>
        <w:t>nationally (figure</w:t>
      </w:r>
      <w:r w:rsidR="009551A0" w:rsidRPr="002C1A8F">
        <w:rPr>
          <w:shd w:val="clear" w:color="auto" w:fill="FFFFFF" w:themeFill="background1"/>
        </w:rPr>
        <w:t> </w:t>
      </w:r>
      <w:r w:rsidRPr="002C1A8F">
        <w:rPr>
          <w:shd w:val="clear" w:color="auto" w:fill="FFFFFF" w:themeFill="background1"/>
        </w:rPr>
        <w:t>1</w:t>
      </w:r>
      <w:r w:rsidR="00376173" w:rsidRPr="002C1A8F">
        <w:rPr>
          <w:shd w:val="clear" w:color="auto" w:fill="FFFFFF" w:themeFill="background1"/>
        </w:rPr>
        <w:t>4</w:t>
      </w:r>
      <w:r w:rsidRPr="002C1A8F">
        <w:rPr>
          <w:shd w:val="clear" w:color="auto" w:fill="FFFFFF" w:themeFill="background1"/>
        </w:rPr>
        <w:t>.</w:t>
      </w:r>
      <w:r w:rsidR="00376173" w:rsidRPr="002C1A8F">
        <w:rPr>
          <w:shd w:val="clear" w:color="auto" w:fill="FFFFFF" w:themeFill="background1"/>
        </w:rPr>
        <w:t>1</w:t>
      </w:r>
      <w:r w:rsidR="00CD5A05" w:rsidRPr="002C1A8F">
        <w:rPr>
          <w:shd w:val="clear" w:color="auto" w:fill="FFFFFF" w:themeFill="background1"/>
        </w:rPr>
        <w:t>0</w:t>
      </w:r>
      <w:r w:rsidRPr="002C1A8F">
        <w:rPr>
          <w:shd w:val="clear" w:color="auto" w:fill="FFFFFF" w:themeFill="background1"/>
        </w:rPr>
        <w:t>).</w:t>
      </w:r>
      <w:r w:rsidR="00E770C7" w:rsidRPr="002C1A8F">
        <w:rPr>
          <w:shd w:val="clear" w:color="auto" w:fill="FFFFFF" w:themeFill="background1"/>
        </w:rPr>
        <w:t xml:space="preserve"> </w:t>
      </w:r>
      <w:r w:rsidR="007679E2" w:rsidRPr="00101C35">
        <w:rPr>
          <w:shd w:val="clear" w:color="auto" w:fill="FFFFFF" w:themeFill="background1"/>
        </w:rPr>
        <w:t>In 2015</w:t>
      </w:r>
      <w:r w:rsidR="007679E2" w:rsidRPr="00101C35">
        <w:rPr>
          <w:shd w:val="clear" w:color="auto" w:fill="FFFFFF" w:themeFill="background1"/>
        </w:rPr>
        <w:noBreakHyphen/>
        <w:t>16</w:t>
      </w:r>
      <w:r w:rsidR="002C1A8F" w:rsidRPr="00101C35">
        <w:rPr>
          <w:shd w:val="clear" w:color="auto" w:fill="FFFFFF" w:themeFill="background1"/>
        </w:rPr>
        <w:t>,</w:t>
      </w:r>
      <w:r w:rsidR="00725A71" w:rsidRPr="00101C35">
        <w:rPr>
          <w:shd w:val="clear" w:color="auto" w:fill="FFFFFF" w:themeFill="background1"/>
        </w:rPr>
        <w:t xml:space="preserve"> </w:t>
      </w:r>
      <w:r w:rsidR="007679E2" w:rsidRPr="00101C35">
        <w:rPr>
          <w:shd w:val="clear" w:color="auto" w:fill="FFFFFF" w:themeFill="background1"/>
        </w:rPr>
        <w:t xml:space="preserve">Australian, Victorian and WA governments’ </w:t>
      </w:r>
      <w:r w:rsidR="00A64268" w:rsidRPr="00101C35">
        <w:rPr>
          <w:shd w:val="clear" w:color="auto" w:fill="FFFFFF" w:themeFill="background1"/>
        </w:rPr>
        <w:t xml:space="preserve">expenditure </w:t>
      </w:r>
      <w:r w:rsidR="007679E2" w:rsidRPr="00101C35">
        <w:rPr>
          <w:shd w:val="clear" w:color="auto" w:fill="FFFFFF" w:themeFill="background1"/>
        </w:rPr>
        <w:t xml:space="preserve">on </w:t>
      </w:r>
      <w:r w:rsidR="00B95B54" w:rsidRPr="00101C35">
        <w:rPr>
          <w:shd w:val="clear" w:color="auto" w:fill="FFFFFF" w:themeFill="background1"/>
        </w:rPr>
        <w:t>HACC service</w:t>
      </w:r>
      <w:r w:rsidR="002C1A8F" w:rsidRPr="00101C35">
        <w:rPr>
          <w:shd w:val="clear" w:color="auto" w:fill="FFFFFF" w:themeFill="background1"/>
        </w:rPr>
        <w:t>s</w:t>
      </w:r>
      <w:r w:rsidR="00B95B54" w:rsidRPr="00101C35">
        <w:rPr>
          <w:shd w:val="clear" w:color="auto" w:fill="FFFFFF" w:themeFill="background1"/>
        </w:rPr>
        <w:t xml:space="preserve"> </w:t>
      </w:r>
      <w:r w:rsidR="007679E2" w:rsidRPr="00101C35">
        <w:rPr>
          <w:shd w:val="clear" w:color="auto" w:fill="FFFFFF" w:themeFill="background1"/>
        </w:rPr>
        <w:t xml:space="preserve">per hour </w:t>
      </w:r>
      <w:r w:rsidR="00B95B54" w:rsidRPr="00101C35">
        <w:rPr>
          <w:shd w:val="clear" w:color="auto" w:fill="FFFFFF" w:themeFill="background1"/>
        </w:rPr>
        <w:t xml:space="preserve">was higher for nursing and allied health than for </w:t>
      </w:r>
      <w:r w:rsidR="00B95B54" w:rsidRPr="00101C35">
        <w:rPr>
          <w:shd w:val="clear" w:color="auto" w:fill="FFFFFF" w:themeFill="background1"/>
        </w:rPr>
        <w:lastRenderedPageBreak/>
        <w:t>domestic assistance and personal care (table</w:t>
      </w:r>
      <w:r w:rsidR="00E75264" w:rsidRPr="00101C35">
        <w:rPr>
          <w:shd w:val="clear" w:color="auto" w:fill="FFFFFF" w:themeFill="background1"/>
        </w:rPr>
        <w:t> </w:t>
      </w:r>
      <w:r w:rsidR="00A424A8" w:rsidRPr="00101C35">
        <w:rPr>
          <w:shd w:val="clear" w:color="auto" w:fill="FFFFFF" w:themeFill="background1"/>
        </w:rPr>
        <w:t>14A</w:t>
      </w:r>
      <w:r w:rsidR="00B95B54" w:rsidRPr="00101C35">
        <w:rPr>
          <w:shd w:val="clear" w:color="auto" w:fill="FFFFFF" w:themeFill="background1"/>
        </w:rPr>
        <w:t>.</w:t>
      </w:r>
      <w:r w:rsidR="00E46336" w:rsidRPr="00101C35">
        <w:rPr>
          <w:shd w:val="clear" w:color="auto" w:fill="FFFFFF" w:themeFill="background1"/>
        </w:rPr>
        <w:t>41</w:t>
      </w:r>
      <w:r w:rsidR="00B95B54" w:rsidRPr="00101C35">
        <w:rPr>
          <w:shd w:val="clear" w:color="auto" w:fill="FFFFFF" w:themeFill="background1"/>
        </w:rPr>
        <w:t>).</w:t>
      </w:r>
      <w:r w:rsidR="002C1A8F" w:rsidRPr="00101C35">
        <w:rPr>
          <w:shd w:val="clear" w:color="auto" w:fill="FFFFFF" w:themeFill="background1"/>
        </w:rPr>
        <w:t xml:space="preserve"> </w:t>
      </w:r>
      <w:proofErr w:type="spellStart"/>
      <w:r w:rsidR="00E37E5B" w:rsidRPr="00101C35">
        <w:rPr>
          <w:shd w:val="clear" w:color="auto" w:fill="FFFFFF" w:themeFill="background1"/>
        </w:rPr>
        <w:t>CHSP</w:t>
      </w:r>
      <w:proofErr w:type="spellEnd"/>
      <w:r w:rsidR="00E37E5B" w:rsidRPr="00101C35">
        <w:rPr>
          <w:shd w:val="clear" w:color="auto" w:fill="FFFFFF" w:themeFill="background1"/>
        </w:rPr>
        <w:t xml:space="preserve"> client and activity data were not provided for this report due to under-reporting and a new data capturing system</w:t>
      </w:r>
      <w:r w:rsidR="002C1A8F" w:rsidRPr="00101C35">
        <w:rPr>
          <w:shd w:val="clear" w:color="auto" w:fill="FFFFFF" w:themeFill="background1"/>
        </w:rPr>
        <w:t>.</w:t>
      </w:r>
    </w:p>
    <w:p w:rsidR="00B92C49" w:rsidRDefault="00B92C49" w:rsidP="00C64E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92C49" w:rsidTr="00C64EFF">
        <w:tc>
          <w:tcPr>
            <w:tcW w:w="8771" w:type="dxa"/>
            <w:tcBorders>
              <w:top w:val="single" w:sz="6" w:space="0" w:color="78A22F"/>
              <w:left w:val="nil"/>
              <w:bottom w:val="nil"/>
              <w:right w:val="nil"/>
            </w:tcBorders>
            <w:shd w:val="clear" w:color="auto" w:fill="auto"/>
          </w:tcPr>
          <w:p w:rsidR="00B92C49" w:rsidRPr="00176D3F" w:rsidRDefault="00B92C49" w:rsidP="00242E63">
            <w:pPr>
              <w:pStyle w:val="FigureTitle"/>
            </w:pPr>
            <w:r w:rsidRPr="00784A05">
              <w:rPr>
                <w:b w:val="0"/>
              </w:rPr>
              <w:t xml:space="preserve">Figure </w:t>
            </w:r>
            <w:r w:rsidR="00CD5A05">
              <w:rPr>
                <w:b w:val="0"/>
              </w:rPr>
              <w:t>14.</w:t>
            </w:r>
            <w:r w:rsidR="00662F0E">
              <w:rPr>
                <w:b w:val="0"/>
                <w:noProof/>
              </w:rPr>
              <w:t>10</w:t>
            </w:r>
            <w:r>
              <w:tab/>
            </w:r>
            <w:r w:rsidRPr="00C50358">
              <w:t>Australian Government expenditure on aged care assessments, per assessment (201</w:t>
            </w:r>
            <w:r w:rsidR="00242E63">
              <w:t>4</w:t>
            </w:r>
            <w:r>
              <w:rPr>
                <w:rFonts w:cs="Arial"/>
              </w:rPr>
              <w:noBreakHyphen/>
            </w:r>
            <w:r w:rsidRPr="00C50358">
              <w:t>1</w:t>
            </w:r>
            <w:r w:rsidR="00242E63">
              <w:t>5</w:t>
            </w:r>
            <w:r w:rsidRPr="00C50358">
              <w:t xml:space="preserve"> dollars)</w:t>
            </w:r>
            <w:r w:rsidRPr="00C50358">
              <w:rPr>
                <w:rStyle w:val="NoteLabel"/>
                <w:b/>
              </w:rPr>
              <w:t>a</w:t>
            </w:r>
          </w:p>
        </w:tc>
      </w:tr>
      <w:tr w:rsidR="00B92C49" w:rsidTr="00C64E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92C49" w:rsidTr="00242E63">
              <w:trPr>
                <w:trHeight w:val="4252"/>
                <w:jc w:val="center"/>
              </w:trPr>
              <w:tc>
                <w:tcPr>
                  <w:tcW w:w="5000" w:type="pct"/>
                  <w:tcBorders>
                    <w:top w:val="nil"/>
                    <w:bottom w:val="nil"/>
                  </w:tcBorders>
                </w:tcPr>
                <w:p w:rsidR="00904AD2" w:rsidRPr="002C5840" w:rsidRDefault="00FE70DC" w:rsidP="002C5840">
                  <w:pPr>
                    <w:pStyle w:val="Figure"/>
                  </w:pPr>
                  <w:r>
                    <w:rPr>
                      <w:noProof/>
                    </w:rPr>
                    <w:drawing>
                      <wp:inline distT="0" distB="0" distL="0" distR="0">
                        <wp:extent cx="5391150" cy="2683510"/>
                        <wp:effectExtent l="0" t="0" r="0" b="2540"/>
                        <wp:docPr id="11" name="Picture 11" descr="Figure 14.10 Australian Government expenditure on aged care assessments, per assessment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B92C49" w:rsidRDefault="00B92C49" w:rsidP="00C64EFF">
            <w:pPr>
              <w:pStyle w:val="Figure"/>
            </w:pPr>
          </w:p>
        </w:tc>
      </w:tr>
      <w:tr w:rsidR="00B92C49" w:rsidRPr="00176D3F" w:rsidTr="00C64EFF">
        <w:tc>
          <w:tcPr>
            <w:tcW w:w="8771" w:type="dxa"/>
            <w:tcBorders>
              <w:top w:val="nil"/>
              <w:left w:val="nil"/>
              <w:bottom w:val="nil"/>
              <w:right w:val="nil"/>
            </w:tcBorders>
            <w:shd w:val="clear" w:color="auto" w:fill="auto"/>
          </w:tcPr>
          <w:p w:rsidR="00B92C49" w:rsidRPr="005C6181" w:rsidRDefault="00B92C49" w:rsidP="00E46336">
            <w:pPr>
              <w:pStyle w:val="Note"/>
            </w:pPr>
            <w:r w:rsidRPr="008E77FE">
              <w:rPr>
                <w:rStyle w:val="NoteLabel"/>
              </w:rPr>
              <w:t>a</w:t>
            </w:r>
            <w:r>
              <w:t xml:space="preserve"> </w:t>
            </w:r>
            <w:r w:rsidRPr="006F23A3">
              <w:t>See box</w:t>
            </w:r>
            <w:r w:rsidR="00E75264">
              <w:t> </w:t>
            </w:r>
            <w:r>
              <w:t>1</w:t>
            </w:r>
            <w:r w:rsidR="008617D3">
              <w:t>4</w:t>
            </w:r>
            <w:r w:rsidRPr="006F23A3">
              <w:t>.</w:t>
            </w:r>
            <w:r>
              <w:t>1</w:t>
            </w:r>
            <w:r w:rsidR="009F72C5">
              <w:t>0</w:t>
            </w:r>
            <w:r>
              <w:t xml:space="preserve"> </w:t>
            </w:r>
            <w:r w:rsidRPr="006F23A3">
              <w:t>and table</w:t>
            </w:r>
            <w:r w:rsidR="00E75264">
              <w:t> </w:t>
            </w:r>
            <w:r>
              <w:t>1</w:t>
            </w:r>
            <w:r w:rsidR="008617D3">
              <w:t>4</w:t>
            </w:r>
            <w:r w:rsidRPr="006F23A3">
              <w:t>A.</w:t>
            </w:r>
            <w:r w:rsidR="00E46336">
              <w:t>40</w:t>
            </w:r>
            <w:r w:rsidRPr="006F23A3">
              <w:t xml:space="preserve"> for detailed</w:t>
            </w:r>
            <w:r w:rsidRPr="0032221B">
              <w:t xml:space="preserve"> definitions, footnotes and caveats</w:t>
            </w:r>
            <w:r w:rsidRPr="006F23A3">
              <w:t>.</w:t>
            </w:r>
            <w:r>
              <w:t xml:space="preserve"> </w:t>
            </w:r>
            <w:r w:rsidRPr="005C6181">
              <w:t xml:space="preserve"> </w:t>
            </w:r>
          </w:p>
        </w:tc>
      </w:tr>
      <w:tr w:rsidR="00B92C49" w:rsidRPr="00176D3F" w:rsidTr="00C64EFF">
        <w:tc>
          <w:tcPr>
            <w:tcW w:w="8771" w:type="dxa"/>
            <w:tcBorders>
              <w:top w:val="nil"/>
              <w:left w:val="nil"/>
              <w:bottom w:val="nil"/>
              <w:right w:val="nil"/>
            </w:tcBorders>
            <w:shd w:val="clear" w:color="auto" w:fill="auto"/>
          </w:tcPr>
          <w:p w:rsidR="00B92C49" w:rsidRPr="00176D3F" w:rsidRDefault="00B92C49" w:rsidP="00E46336">
            <w:pPr>
              <w:pStyle w:val="Source"/>
            </w:pPr>
            <w:r w:rsidRPr="00AF6528">
              <w:rPr>
                <w:i/>
              </w:rPr>
              <w:t>Source</w:t>
            </w:r>
            <w:r w:rsidRPr="009551A0">
              <w:t>:</w:t>
            </w:r>
            <w:r w:rsidRPr="00AF6528">
              <w:rPr>
                <w:i/>
              </w:rPr>
              <w:t xml:space="preserve"> </w:t>
            </w:r>
            <w:r w:rsidR="00C7774D" w:rsidRPr="00A0387D">
              <w:t>D</w:t>
            </w:r>
            <w:r w:rsidR="00C7774D">
              <w:t xml:space="preserve">epartment </w:t>
            </w:r>
            <w:r w:rsidR="00C7774D" w:rsidRPr="00A0387D">
              <w:t>o</w:t>
            </w:r>
            <w:r w:rsidR="00C7774D">
              <w:t xml:space="preserve">f </w:t>
            </w:r>
            <w:r w:rsidR="00C7774D" w:rsidRPr="00A0387D">
              <w:t>H</w:t>
            </w:r>
            <w:r w:rsidR="00C7774D">
              <w:t xml:space="preserve">ealth </w:t>
            </w:r>
            <w:r w:rsidRPr="00AF6528">
              <w:t>(unpublished); table</w:t>
            </w:r>
            <w:r>
              <w:t> </w:t>
            </w:r>
            <w:r w:rsidR="00A424A8">
              <w:t>14A</w:t>
            </w:r>
            <w:r w:rsidRPr="00AF6528">
              <w:t>.</w:t>
            </w:r>
            <w:r w:rsidR="00E46336">
              <w:t>40</w:t>
            </w:r>
            <w:r w:rsidRPr="00AF6528">
              <w:t>.</w:t>
            </w:r>
          </w:p>
        </w:tc>
      </w:tr>
      <w:tr w:rsidR="00B92C49" w:rsidTr="00C64EFF">
        <w:tc>
          <w:tcPr>
            <w:tcW w:w="8771" w:type="dxa"/>
            <w:tcBorders>
              <w:top w:val="nil"/>
              <w:left w:val="nil"/>
              <w:bottom w:val="single" w:sz="6" w:space="0" w:color="78A22F"/>
              <w:right w:val="nil"/>
            </w:tcBorders>
            <w:shd w:val="clear" w:color="auto" w:fill="auto"/>
          </w:tcPr>
          <w:p w:rsidR="00B92C49" w:rsidRDefault="00B92C49" w:rsidP="00C64EFF">
            <w:pPr>
              <w:pStyle w:val="Figurespace"/>
            </w:pPr>
          </w:p>
        </w:tc>
      </w:tr>
      <w:tr w:rsidR="00B92C49" w:rsidRPr="000863A5" w:rsidTr="00C64EFF">
        <w:tc>
          <w:tcPr>
            <w:tcW w:w="8771" w:type="dxa"/>
            <w:tcBorders>
              <w:top w:val="single" w:sz="6" w:space="0" w:color="78A22F"/>
              <w:left w:val="nil"/>
              <w:bottom w:val="nil"/>
              <w:right w:val="nil"/>
            </w:tcBorders>
          </w:tcPr>
          <w:p w:rsidR="00B92C49" w:rsidRPr="00626D32" w:rsidRDefault="00B92C49" w:rsidP="00C64EFF">
            <w:pPr>
              <w:pStyle w:val="BoxSpaceBelow"/>
            </w:pPr>
          </w:p>
        </w:tc>
      </w:tr>
    </w:tbl>
    <w:p w:rsidR="00F50354" w:rsidRDefault="00F50354" w:rsidP="009E0820">
      <w:pPr>
        <w:pStyle w:val="Heading4"/>
      </w:pPr>
      <w:r>
        <w:t>Expenditure per head of aged care target population</w:t>
      </w:r>
    </w:p>
    <w:p w:rsidR="00A37EF7" w:rsidRDefault="00F50354" w:rsidP="00A37EF7">
      <w:pPr>
        <w:pStyle w:val="BodyText"/>
      </w:pPr>
      <w:r>
        <w:t>‘Expenditure per head of aged care target population’ is a</w:t>
      </w:r>
      <w:r w:rsidR="00B707CE">
        <w:t xml:space="preserve"> proxy</w:t>
      </w:r>
      <w:r>
        <w:t xml:space="preserve"> indicator of governments’ objective </w:t>
      </w:r>
      <w:r w:rsidR="00242E63" w:rsidRPr="00242E63">
        <w:t xml:space="preserve">to deliver aged care services in an efficient manner </w:t>
      </w:r>
      <w:r>
        <w:t>(box</w:t>
      </w:r>
      <w:r w:rsidR="009551A0">
        <w:t> </w:t>
      </w:r>
      <w:r>
        <w:t>1</w:t>
      </w:r>
      <w:r w:rsidR="00A424A8">
        <w:t>4</w:t>
      </w:r>
      <w:r>
        <w:t>.</w:t>
      </w:r>
      <w:r w:rsidR="00B95B54">
        <w:t>1</w:t>
      </w:r>
      <w:r w:rsidR="009F72C5">
        <w:t>1</w:t>
      </w:r>
      <w:r>
        <w:t>).</w:t>
      </w:r>
    </w:p>
    <w:p w:rsidR="0030584B" w:rsidRDefault="003058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30584B" w:rsidTr="00416F90">
        <w:tc>
          <w:tcPr>
            <w:tcW w:w="8771" w:type="dxa"/>
            <w:tcBorders>
              <w:top w:val="single" w:sz="6" w:space="0" w:color="78A22F"/>
              <w:left w:val="nil"/>
              <w:bottom w:val="nil"/>
              <w:right w:val="nil"/>
            </w:tcBorders>
            <w:shd w:val="clear" w:color="auto" w:fill="F2F2F2"/>
          </w:tcPr>
          <w:p w:rsidR="0030584B" w:rsidRDefault="0030584B">
            <w:pPr>
              <w:pStyle w:val="BoxTitle"/>
            </w:pPr>
            <w:r>
              <w:rPr>
                <w:b w:val="0"/>
              </w:rPr>
              <w:t xml:space="preserve">Box </w:t>
            </w:r>
            <w:r w:rsidR="000A554C">
              <w:rPr>
                <w:b w:val="0"/>
              </w:rPr>
              <w:t>14.</w:t>
            </w:r>
            <w:r w:rsidR="00662F0E">
              <w:rPr>
                <w:b w:val="0"/>
                <w:noProof/>
              </w:rPr>
              <w:t>11</w:t>
            </w:r>
            <w:r>
              <w:tab/>
            </w:r>
            <w:r w:rsidRPr="00493254">
              <w:t>Expenditure per head of aged care target population</w:t>
            </w:r>
          </w:p>
        </w:tc>
      </w:tr>
      <w:tr w:rsidR="0030584B" w:rsidTr="00416F90">
        <w:tc>
          <w:tcPr>
            <w:tcW w:w="8771" w:type="dxa"/>
            <w:tcBorders>
              <w:top w:val="nil"/>
              <w:left w:val="nil"/>
              <w:bottom w:val="nil"/>
              <w:right w:val="nil"/>
            </w:tcBorders>
            <w:shd w:val="clear" w:color="auto" w:fill="F2F2F2"/>
          </w:tcPr>
          <w:p w:rsidR="0030584B" w:rsidRDefault="0030584B" w:rsidP="0030584B">
            <w:pPr>
              <w:pStyle w:val="Box"/>
            </w:pPr>
            <w:r w:rsidRPr="00F50354">
              <w:t xml:space="preserve">‘Expenditure per head of aged care target population’ is defined as government expenditure </w:t>
            </w:r>
            <w:r>
              <w:t>per person</w:t>
            </w:r>
            <w:r w:rsidRPr="00F50354">
              <w:t xml:space="preserve"> aged 65 years or over and </w:t>
            </w:r>
            <w:r>
              <w:t>Aboriginal and Torres Strait Islander</w:t>
            </w:r>
            <w:r w:rsidRPr="00F50354">
              <w:t xml:space="preserve"> Australians aged </w:t>
            </w:r>
            <w:r>
              <w:br/>
            </w:r>
            <w:r w:rsidRPr="00F50354">
              <w:t xml:space="preserve">50–64 years. </w:t>
            </w:r>
            <w:r>
              <w:t>It</w:t>
            </w:r>
            <w:r w:rsidRPr="00F50354">
              <w:t xml:space="preserve"> is reported for Home Care</w:t>
            </w:r>
            <w:r>
              <w:t>,</w:t>
            </w:r>
            <w:r w:rsidRPr="00F50354">
              <w:t xml:space="preserve"> </w:t>
            </w:r>
            <w:r w:rsidRPr="000A2BE0">
              <w:rPr>
                <w:shd w:val="clear" w:color="auto" w:fill="F2F2F2" w:themeFill="background1" w:themeFillShade="F2"/>
              </w:rPr>
              <w:t>Home Support (includ</w:t>
            </w:r>
            <w:r w:rsidR="00604463" w:rsidRPr="000A2BE0">
              <w:rPr>
                <w:shd w:val="clear" w:color="auto" w:fill="F2F2F2" w:themeFill="background1" w:themeFillShade="F2"/>
              </w:rPr>
              <w:t>ing</w:t>
            </w:r>
            <w:r w:rsidRPr="000A2BE0">
              <w:rPr>
                <w:shd w:val="clear" w:color="auto" w:fill="F2F2F2" w:themeFill="background1" w:themeFillShade="F2"/>
              </w:rPr>
              <w:t xml:space="preserve"> HACC </w:t>
            </w:r>
            <w:r w:rsidR="007D71BC" w:rsidRPr="000A2BE0">
              <w:rPr>
                <w:shd w:val="clear" w:color="auto" w:fill="F2F2F2" w:themeFill="background1" w:themeFillShade="F2"/>
              </w:rPr>
              <w:t xml:space="preserve">expenditure </w:t>
            </w:r>
            <w:r w:rsidRPr="000A2BE0">
              <w:rPr>
                <w:shd w:val="clear" w:color="auto" w:fill="F2F2F2" w:themeFill="background1" w:themeFillShade="F2"/>
              </w:rPr>
              <w:t>in Victoria and WA),</w:t>
            </w:r>
            <w:r w:rsidRPr="00F50354">
              <w:t xml:space="preserve"> residential care and </w:t>
            </w:r>
            <w:r>
              <w:t>flexible services (</w:t>
            </w:r>
            <w:r w:rsidRPr="0055064E">
              <w:t xml:space="preserve">comprising </w:t>
            </w:r>
            <w:r>
              <w:t>MPS</w:t>
            </w:r>
            <w:r w:rsidRPr="0055064E">
              <w:t>, Transition Care and Aboriginal and Torres Strait Islander specific services</w:t>
            </w:r>
            <w:r>
              <w:t>)</w:t>
            </w:r>
            <w:r w:rsidRPr="00CA1F6E">
              <w:t>.</w:t>
            </w:r>
          </w:p>
          <w:p w:rsidR="00A906DA" w:rsidRDefault="0030584B" w:rsidP="00A906DA">
            <w:pPr>
              <w:pStyle w:val="Box"/>
            </w:pPr>
            <w:r w:rsidRPr="00F50354">
              <w:t xml:space="preserve">This is a proxy indicator of efficiency as it measures </w:t>
            </w:r>
            <w:r>
              <w:t>expenditure</w:t>
            </w:r>
            <w:r w:rsidRPr="00F50354">
              <w:t xml:space="preserve"> per </w:t>
            </w:r>
            <w:r>
              <w:t>person in the</w:t>
            </w:r>
            <w:r w:rsidRPr="00F50354">
              <w:t xml:space="preserve"> target population, not cost per unit of service. </w:t>
            </w:r>
            <w:r>
              <w:t>As such it is a measure of system</w:t>
            </w:r>
            <w:r w:rsidR="00664BA5">
              <w:noBreakHyphen/>
            </w:r>
            <w:r>
              <w:t xml:space="preserve">wide efficiency, rather </w:t>
            </w:r>
            <w:r w:rsidR="004A61B6">
              <w:t xml:space="preserve">than </w:t>
            </w:r>
            <w:r>
              <w:t xml:space="preserve">technical or service efficiency. </w:t>
            </w:r>
          </w:p>
        </w:tc>
      </w:tr>
      <w:tr w:rsidR="0030584B" w:rsidTr="00416F90">
        <w:tc>
          <w:tcPr>
            <w:tcW w:w="8771" w:type="dxa"/>
            <w:tcBorders>
              <w:top w:val="nil"/>
              <w:left w:val="nil"/>
              <w:bottom w:val="nil"/>
              <w:right w:val="nil"/>
            </w:tcBorders>
            <w:shd w:val="clear" w:color="auto" w:fill="F2F2F2"/>
          </w:tcPr>
          <w:p w:rsidR="0030584B" w:rsidRDefault="002430DF" w:rsidP="0030584B">
            <w:pPr>
              <w:pStyle w:val="Continued"/>
            </w:pPr>
            <w:r>
              <w:t>(continued next page)</w:t>
            </w:r>
          </w:p>
        </w:tc>
      </w:tr>
      <w:tr w:rsidR="0030584B" w:rsidTr="00416F90">
        <w:tc>
          <w:tcPr>
            <w:tcW w:w="8771" w:type="dxa"/>
            <w:tcBorders>
              <w:top w:val="nil"/>
              <w:left w:val="nil"/>
              <w:bottom w:val="single" w:sz="6" w:space="0" w:color="78A22F"/>
              <w:right w:val="nil"/>
            </w:tcBorders>
            <w:shd w:val="clear" w:color="auto" w:fill="F2F2F2"/>
          </w:tcPr>
          <w:p w:rsidR="0030584B" w:rsidRDefault="0030584B">
            <w:pPr>
              <w:pStyle w:val="Box"/>
              <w:spacing w:before="0" w:line="120" w:lineRule="exact"/>
            </w:pPr>
          </w:p>
        </w:tc>
      </w:tr>
      <w:tr w:rsidR="0030584B" w:rsidRPr="000863A5" w:rsidTr="00416F90">
        <w:tc>
          <w:tcPr>
            <w:tcW w:w="8771" w:type="dxa"/>
            <w:tcBorders>
              <w:top w:val="single" w:sz="6" w:space="0" w:color="78A22F"/>
              <w:left w:val="nil"/>
              <w:bottom w:val="nil"/>
              <w:right w:val="nil"/>
            </w:tcBorders>
          </w:tcPr>
          <w:p w:rsidR="0030584B" w:rsidRPr="00626D32" w:rsidRDefault="0030584B" w:rsidP="00416F90">
            <w:pPr>
              <w:pStyle w:val="BoxSpaceBelow"/>
            </w:pPr>
          </w:p>
        </w:tc>
      </w:tr>
    </w:tbl>
    <w:p w:rsidR="0030584B" w:rsidRDefault="0030584B" w:rsidP="00A37EF7">
      <w:pPr>
        <w:pStyle w:val="BodyText"/>
      </w:pPr>
    </w:p>
    <w:p w:rsidR="00B95B54" w:rsidRDefault="00B95B54" w:rsidP="003761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95B54" w:rsidTr="00C64EFF">
        <w:tc>
          <w:tcPr>
            <w:tcW w:w="8771" w:type="dxa"/>
            <w:tcBorders>
              <w:top w:val="single" w:sz="6" w:space="0" w:color="78A22F"/>
              <w:left w:val="nil"/>
              <w:bottom w:val="nil"/>
              <w:right w:val="nil"/>
            </w:tcBorders>
            <w:shd w:val="clear" w:color="auto" w:fill="F2F2F2"/>
          </w:tcPr>
          <w:p w:rsidR="00B95B54" w:rsidRDefault="00B95B54" w:rsidP="0030584B">
            <w:pPr>
              <w:pStyle w:val="BoxTitle"/>
            </w:pPr>
            <w:r>
              <w:rPr>
                <w:b w:val="0"/>
              </w:rPr>
              <w:t xml:space="preserve">Box </w:t>
            </w:r>
            <w:r w:rsidR="0030584B">
              <w:rPr>
                <w:b w:val="0"/>
              </w:rPr>
              <w:t>14.11</w:t>
            </w:r>
            <w:r>
              <w:tab/>
            </w:r>
            <w:r w:rsidR="0030584B" w:rsidRPr="00575944">
              <w:rPr>
                <w:rStyle w:val="Continuedintitle"/>
              </w:rPr>
              <w:t>(continued)</w:t>
            </w:r>
          </w:p>
        </w:tc>
      </w:tr>
      <w:tr w:rsidR="00B95B54" w:rsidTr="00C64EFF">
        <w:trPr>
          <w:cantSplit/>
        </w:trPr>
        <w:tc>
          <w:tcPr>
            <w:tcW w:w="8771" w:type="dxa"/>
            <w:tcBorders>
              <w:top w:val="nil"/>
              <w:left w:val="nil"/>
              <w:bottom w:val="nil"/>
              <w:right w:val="nil"/>
            </w:tcBorders>
            <w:shd w:val="clear" w:color="auto" w:fill="F2F2F2"/>
          </w:tcPr>
          <w:p w:rsidR="00242E63" w:rsidRDefault="00242E63" w:rsidP="00242E63">
            <w:pPr>
              <w:pStyle w:val="Box"/>
            </w:pPr>
            <w:r w:rsidRPr="00F50354">
              <w:t>While high or increasing expenditure per person can reflect deteriorating efficiency, it can also reflect changes in aspects of service</w:t>
            </w:r>
            <w:r w:rsidR="00202DC5">
              <w:t>s</w:t>
            </w:r>
            <w:r w:rsidRPr="00F50354">
              <w:t xml:space="preserve"> (such as better quality of services) or in the characteristics of clients receiving service</w:t>
            </w:r>
            <w:r w:rsidR="00202DC5">
              <w:t>s</w:t>
            </w:r>
            <w:r w:rsidRPr="00F50354">
              <w:t xml:space="preserve"> (such as their level of care need). Similarly, low or decl</w:t>
            </w:r>
            <w:r>
              <w:t>ining expenditure per person</w:t>
            </w:r>
            <w:r w:rsidRPr="00F50354">
              <w:t xml:space="preserve"> can reflect improving efficiency or a decrease in service standards.</w:t>
            </w:r>
          </w:p>
          <w:p w:rsidR="00242E63" w:rsidRDefault="00242E63" w:rsidP="00242E63">
            <w:pPr>
              <w:pStyle w:val="Box"/>
            </w:pPr>
            <w:r>
              <w:t>Data reported for this indicator are:</w:t>
            </w:r>
          </w:p>
          <w:p w:rsidR="00242E63" w:rsidRDefault="003F0D13" w:rsidP="00242E63">
            <w:pPr>
              <w:pStyle w:val="BoxListBullet"/>
            </w:pPr>
            <w:r>
              <w:t>c</w:t>
            </w:r>
            <w:r w:rsidR="00242E63">
              <w:t xml:space="preserve">omparable </w:t>
            </w:r>
            <w:r w:rsidR="00242E63" w:rsidRPr="00CA1F6E">
              <w:t>across jurisdictions</w:t>
            </w:r>
            <w:r w:rsidR="009F72C5">
              <w:t xml:space="preserve"> </w:t>
            </w:r>
            <w:r>
              <w:t>and</w:t>
            </w:r>
            <w:r w:rsidR="00242E63">
              <w:t xml:space="preserve"> </w:t>
            </w:r>
            <w:r w:rsidR="009F72C5">
              <w:t>over</w:t>
            </w:r>
            <w:r w:rsidR="004A61B6">
              <w:t xml:space="preserve"> </w:t>
            </w:r>
            <w:r w:rsidR="009F72C5">
              <w:t xml:space="preserve">time </w:t>
            </w:r>
          </w:p>
          <w:p w:rsidR="00242E63" w:rsidRDefault="00242E63" w:rsidP="00A37EF7">
            <w:pPr>
              <w:pStyle w:val="BoxListBullet"/>
            </w:pPr>
            <w:r>
              <w:t>complete (subject to caveats) for the current reporting period. All required 201</w:t>
            </w:r>
            <w:r w:rsidR="00A37EF7">
              <w:t>5</w:t>
            </w:r>
            <w:r>
              <w:rPr>
                <w:rFonts w:ascii="Times New Roman" w:hAnsi="Times New Roman"/>
              </w:rPr>
              <w:noBreakHyphen/>
            </w:r>
            <w:r>
              <w:t>1</w:t>
            </w:r>
            <w:r w:rsidR="00A37EF7">
              <w:t>6</w:t>
            </w:r>
            <w:r>
              <w:t xml:space="preserve"> data are available for all jurisdictions. </w:t>
            </w:r>
          </w:p>
        </w:tc>
      </w:tr>
      <w:tr w:rsidR="00B95B54" w:rsidTr="00C64EFF">
        <w:trPr>
          <w:cantSplit/>
        </w:trPr>
        <w:tc>
          <w:tcPr>
            <w:tcW w:w="8771" w:type="dxa"/>
            <w:tcBorders>
              <w:top w:val="nil"/>
              <w:left w:val="nil"/>
              <w:bottom w:val="single" w:sz="6" w:space="0" w:color="78A22F"/>
              <w:right w:val="nil"/>
            </w:tcBorders>
            <w:shd w:val="clear" w:color="auto" w:fill="F2F2F2"/>
          </w:tcPr>
          <w:p w:rsidR="00B95B54" w:rsidRDefault="00B95B54">
            <w:pPr>
              <w:pStyle w:val="Box"/>
              <w:spacing w:before="0" w:line="120" w:lineRule="exact"/>
            </w:pPr>
          </w:p>
        </w:tc>
      </w:tr>
      <w:tr w:rsidR="00B95B54" w:rsidRPr="000863A5" w:rsidTr="00C64EFF">
        <w:tc>
          <w:tcPr>
            <w:tcW w:w="8771" w:type="dxa"/>
            <w:tcBorders>
              <w:top w:val="single" w:sz="6" w:space="0" w:color="78A22F"/>
              <w:left w:val="nil"/>
              <w:bottom w:val="nil"/>
              <w:right w:val="nil"/>
            </w:tcBorders>
          </w:tcPr>
          <w:p w:rsidR="00B95B54" w:rsidRPr="00626D32" w:rsidRDefault="00B95B54" w:rsidP="00C64EFF">
            <w:pPr>
              <w:pStyle w:val="BoxSpaceBelow"/>
            </w:pPr>
          </w:p>
        </w:tc>
      </w:tr>
    </w:tbl>
    <w:p w:rsidR="00ED4A98" w:rsidRDefault="00B235FE" w:rsidP="00A37EF7">
      <w:pPr>
        <w:pStyle w:val="BodyText"/>
        <w:spacing w:before="200"/>
      </w:pPr>
      <w:r w:rsidRPr="00CC56A6">
        <w:t>G</w:t>
      </w:r>
      <w:r w:rsidR="00F50354" w:rsidRPr="00CC56A6">
        <w:t>overnment</w:t>
      </w:r>
      <w:r w:rsidRPr="00CC56A6">
        <w:t>s’</w:t>
      </w:r>
      <w:r w:rsidR="00F50354" w:rsidRPr="00CC56A6">
        <w:t xml:space="preserve"> expenditure</w:t>
      </w:r>
      <w:r w:rsidR="00F50354">
        <w:t xml:space="preserve"> </w:t>
      </w:r>
      <w:r w:rsidR="005F1D74">
        <w:t>in 2015</w:t>
      </w:r>
      <w:r w:rsidR="005F1D74">
        <w:noBreakHyphen/>
        <w:t xml:space="preserve">16 </w:t>
      </w:r>
      <w:r w:rsidR="00F50354">
        <w:t xml:space="preserve">on </w:t>
      </w:r>
      <w:r w:rsidR="00A37EF7">
        <w:t>key aged care programs</w:t>
      </w:r>
      <w:r w:rsidR="00B95B54">
        <w:t xml:space="preserve"> </w:t>
      </w:r>
      <w:r w:rsidR="00F50354">
        <w:t xml:space="preserve">per person </w:t>
      </w:r>
      <w:r w:rsidR="002A1C34">
        <w:t>in the target population</w:t>
      </w:r>
      <w:r w:rsidR="00F50354">
        <w:t xml:space="preserve"> was</w:t>
      </w:r>
      <w:r w:rsidR="00563D04">
        <w:t xml:space="preserve"> </w:t>
      </w:r>
      <w:r w:rsidR="00275CC5">
        <w:t>$</w:t>
      </w:r>
      <w:r w:rsidR="00ED0F68">
        <w:t>626</w:t>
      </w:r>
      <w:r w:rsidR="00275CC5">
        <w:t xml:space="preserve"> </w:t>
      </w:r>
      <w:r w:rsidR="005F1D74" w:rsidRPr="000A2BE0">
        <w:rPr>
          <w:shd w:val="clear" w:color="auto" w:fill="FFFFFF" w:themeFill="background1"/>
        </w:rPr>
        <w:t>for</w:t>
      </w:r>
      <w:r w:rsidR="00275CC5" w:rsidRPr="000A2BE0">
        <w:rPr>
          <w:shd w:val="clear" w:color="auto" w:fill="FFFFFF" w:themeFill="background1"/>
        </w:rPr>
        <w:t xml:space="preserve"> </w:t>
      </w:r>
      <w:r w:rsidR="001417E6" w:rsidRPr="000A2BE0">
        <w:rPr>
          <w:shd w:val="clear" w:color="auto" w:fill="FFFFFF" w:themeFill="background1"/>
        </w:rPr>
        <w:t>Home Support</w:t>
      </w:r>
      <w:r w:rsidR="0030584B" w:rsidRPr="000A2BE0">
        <w:rPr>
          <w:shd w:val="clear" w:color="auto" w:fill="FFFFFF" w:themeFill="background1"/>
        </w:rPr>
        <w:t xml:space="preserve"> (including HACC </w:t>
      </w:r>
      <w:r w:rsidR="007D71BC" w:rsidRPr="000A2BE0">
        <w:rPr>
          <w:shd w:val="clear" w:color="auto" w:fill="FFFFFF" w:themeFill="background1"/>
        </w:rPr>
        <w:t xml:space="preserve">expenditure </w:t>
      </w:r>
      <w:r w:rsidR="0030584B" w:rsidRPr="000A2BE0">
        <w:rPr>
          <w:shd w:val="clear" w:color="auto" w:fill="FFFFFF" w:themeFill="background1"/>
        </w:rPr>
        <w:t>in Victoria and WA)</w:t>
      </w:r>
      <w:r w:rsidR="00563D04" w:rsidRPr="000A2BE0">
        <w:rPr>
          <w:shd w:val="clear" w:color="auto" w:fill="FFFFFF" w:themeFill="background1"/>
        </w:rPr>
        <w:t>,</w:t>
      </w:r>
      <w:r w:rsidR="00563D04">
        <w:t xml:space="preserve"> </w:t>
      </w:r>
      <w:r w:rsidR="00B92C49">
        <w:t>$</w:t>
      </w:r>
      <w:r w:rsidR="00ED0F68">
        <w:t>394</w:t>
      </w:r>
      <w:r w:rsidR="00B92C49">
        <w:t xml:space="preserve"> </w:t>
      </w:r>
      <w:r w:rsidR="005F1D74">
        <w:t>for</w:t>
      </w:r>
      <w:r w:rsidR="00B92C49">
        <w:t xml:space="preserve"> Home Care</w:t>
      </w:r>
      <w:r w:rsidR="00563D04">
        <w:t xml:space="preserve">, </w:t>
      </w:r>
      <w:r w:rsidR="0055064E">
        <w:t>$</w:t>
      </w:r>
      <w:r w:rsidR="00ED0F68">
        <w:t>3061</w:t>
      </w:r>
      <w:r w:rsidR="00A37EF7">
        <w:t xml:space="preserve"> </w:t>
      </w:r>
      <w:r w:rsidR="005F1D74">
        <w:t>for</w:t>
      </w:r>
      <w:r w:rsidR="0055064E">
        <w:t xml:space="preserve"> residential care </w:t>
      </w:r>
      <w:r w:rsidR="00563D04">
        <w:t xml:space="preserve">and </w:t>
      </w:r>
      <w:r w:rsidR="00B95B54" w:rsidRPr="00864C90">
        <w:rPr>
          <w:shd w:val="clear" w:color="auto" w:fill="FFFFFF" w:themeFill="background1"/>
        </w:rPr>
        <w:t>$</w:t>
      </w:r>
      <w:r w:rsidR="00ED0F68">
        <w:rPr>
          <w:shd w:val="clear" w:color="auto" w:fill="FFFFFF" w:themeFill="background1"/>
        </w:rPr>
        <w:t>147</w:t>
      </w:r>
      <w:r w:rsidR="00B95B54" w:rsidRPr="00864C90">
        <w:rPr>
          <w:shd w:val="clear" w:color="auto" w:fill="FFFFFF" w:themeFill="background1"/>
        </w:rPr>
        <w:t xml:space="preserve"> </w:t>
      </w:r>
      <w:r w:rsidR="005F1D74">
        <w:t>for</w:t>
      </w:r>
      <w:r w:rsidR="00B95B54">
        <w:t xml:space="preserve"> flexible care</w:t>
      </w:r>
      <w:r w:rsidR="005F1D74">
        <w:t xml:space="preserve"> (figure 14.11)</w:t>
      </w:r>
      <w:r w:rsidR="00C64EFF">
        <w:t>.</w:t>
      </w:r>
      <w:r w:rsidR="00B92C49">
        <w:t xml:space="preserve"> </w:t>
      </w:r>
    </w:p>
    <w:p w:rsidR="00B92C49" w:rsidRDefault="00B92C49" w:rsidP="00A37EF7">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92C49" w:rsidTr="00C64EFF">
        <w:tc>
          <w:tcPr>
            <w:tcW w:w="8771" w:type="dxa"/>
            <w:tcBorders>
              <w:top w:val="single" w:sz="6" w:space="0" w:color="78A22F"/>
              <w:left w:val="nil"/>
              <w:bottom w:val="nil"/>
              <w:right w:val="nil"/>
            </w:tcBorders>
            <w:shd w:val="clear" w:color="auto" w:fill="auto"/>
          </w:tcPr>
          <w:p w:rsidR="00B92C49" w:rsidRPr="00176D3F" w:rsidRDefault="00B92C49" w:rsidP="00A37EF7">
            <w:pPr>
              <w:pStyle w:val="FigureTitle"/>
            </w:pPr>
            <w:r w:rsidRPr="00784A05">
              <w:rPr>
                <w:b w:val="0"/>
              </w:rPr>
              <w:t xml:space="preserve">Figure </w:t>
            </w:r>
            <w:r w:rsidR="00CD5A05">
              <w:rPr>
                <w:b w:val="0"/>
              </w:rPr>
              <w:t>14.</w:t>
            </w:r>
            <w:r w:rsidR="00662F0E">
              <w:rPr>
                <w:b w:val="0"/>
                <w:noProof/>
              </w:rPr>
              <w:t>11</w:t>
            </w:r>
            <w:r>
              <w:tab/>
            </w:r>
            <w:r w:rsidRPr="00CC56A6">
              <w:rPr>
                <w:shd w:val="clear" w:color="auto" w:fill="FFFFFF" w:themeFill="background1"/>
              </w:rPr>
              <w:t>Governments’ expenditure</w:t>
            </w:r>
            <w:r w:rsidRPr="00F50354">
              <w:t xml:space="preserve"> on </w:t>
            </w:r>
            <w:r w:rsidR="00C64EFF">
              <w:t xml:space="preserve">key </w:t>
            </w:r>
            <w:r>
              <w:t>aged care</w:t>
            </w:r>
            <w:r w:rsidRPr="00F50354">
              <w:t xml:space="preserve"> programs, per person in the aged care target population, 201</w:t>
            </w:r>
            <w:r w:rsidR="00A37EF7">
              <w:t>5</w:t>
            </w:r>
            <w:r>
              <w:noBreakHyphen/>
            </w:r>
            <w:r w:rsidRPr="00F50354">
              <w:t>1</w:t>
            </w:r>
            <w:r w:rsidR="00A37EF7">
              <w:t>6</w:t>
            </w:r>
            <w:r w:rsidRPr="00ED3970">
              <w:rPr>
                <w:rStyle w:val="NoteLabel"/>
                <w:b/>
              </w:rPr>
              <w:t>a</w:t>
            </w:r>
            <w:r>
              <w:t xml:space="preserve"> </w:t>
            </w:r>
          </w:p>
        </w:tc>
      </w:tr>
      <w:tr w:rsidR="00B92C49" w:rsidTr="00C64EFF">
        <w:tc>
          <w:tcPr>
            <w:tcW w:w="8771" w:type="dxa"/>
            <w:tcBorders>
              <w:top w:val="nil"/>
              <w:left w:val="nil"/>
              <w:bottom w:val="nil"/>
              <w:right w:val="nil"/>
            </w:tcBorders>
            <w:shd w:val="clear" w:color="auto" w:fill="auto"/>
            <w:tcMar>
              <w:top w:w="28" w:type="dxa"/>
              <w:bottom w:w="28" w:type="dxa"/>
            </w:tcMar>
          </w:tcPr>
          <w:tbl>
            <w:tblPr>
              <w:tblW w:w="8674" w:type="dxa"/>
              <w:jc w:val="center"/>
              <w:tblLayout w:type="fixed"/>
              <w:tblCellMar>
                <w:top w:w="28" w:type="dxa"/>
                <w:left w:w="0" w:type="dxa"/>
                <w:right w:w="0" w:type="dxa"/>
              </w:tblCellMar>
              <w:tblLook w:val="0000" w:firstRow="0" w:lastRow="0" w:firstColumn="0" w:lastColumn="0" w:noHBand="0" w:noVBand="0"/>
            </w:tblPr>
            <w:tblGrid>
              <w:gridCol w:w="8674"/>
            </w:tblGrid>
            <w:tr w:rsidR="00B92C49" w:rsidTr="0030584B">
              <w:trPr>
                <w:trHeight w:val="4252"/>
                <w:jc w:val="center"/>
              </w:trPr>
              <w:tc>
                <w:tcPr>
                  <w:tcW w:w="5000" w:type="pct"/>
                </w:tcPr>
                <w:p w:rsidR="00B92C49" w:rsidRPr="00ED0F68" w:rsidRDefault="00FE70DC" w:rsidP="00C64EFF">
                  <w:pPr>
                    <w:pStyle w:val="Figure"/>
                    <w:spacing w:before="60" w:after="60"/>
                  </w:pPr>
                  <w:r>
                    <w:rPr>
                      <w:noProof/>
                    </w:rPr>
                    <w:drawing>
                      <wp:inline distT="0" distB="0" distL="0" distR="0">
                        <wp:extent cx="5213350" cy="2624455"/>
                        <wp:effectExtent l="0" t="0" r="6350" b="4445"/>
                        <wp:docPr id="12" name="Picture 12" descr="Figure 14.11 Governments’ expenditure on key aged care programs, per person in the aged care target population, 2015-16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13350" cy="2624455"/>
                                </a:xfrm>
                                <a:prstGeom prst="rect">
                                  <a:avLst/>
                                </a:prstGeom>
                                <a:noFill/>
                                <a:ln>
                                  <a:noFill/>
                                </a:ln>
                              </pic:spPr>
                            </pic:pic>
                          </a:graphicData>
                        </a:graphic>
                      </wp:inline>
                    </w:drawing>
                  </w:r>
                </w:p>
              </w:tc>
            </w:tr>
          </w:tbl>
          <w:p w:rsidR="00B92C49" w:rsidRDefault="00B92C49" w:rsidP="00C64EFF">
            <w:pPr>
              <w:pStyle w:val="Figure"/>
            </w:pPr>
          </w:p>
        </w:tc>
      </w:tr>
      <w:tr w:rsidR="00B92C49" w:rsidRPr="00176D3F" w:rsidTr="00C64EFF">
        <w:tc>
          <w:tcPr>
            <w:tcW w:w="8771" w:type="dxa"/>
            <w:tcBorders>
              <w:top w:val="nil"/>
              <w:left w:val="nil"/>
              <w:bottom w:val="nil"/>
              <w:right w:val="nil"/>
            </w:tcBorders>
            <w:shd w:val="clear" w:color="auto" w:fill="auto"/>
          </w:tcPr>
          <w:p w:rsidR="00B92C49" w:rsidRPr="00176D3F" w:rsidRDefault="00B92C49" w:rsidP="00ED0F68">
            <w:pPr>
              <w:pStyle w:val="Note"/>
            </w:pPr>
            <w:r w:rsidRPr="008E77FE">
              <w:rPr>
                <w:rStyle w:val="NoteLabel"/>
              </w:rPr>
              <w:t>a</w:t>
            </w:r>
            <w:r>
              <w:t xml:space="preserve"> </w:t>
            </w:r>
            <w:r w:rsidRPr="006F23A3">
              <w:t>See box</w:t>
            </w:r>
            <w:r w:rsidR="00E75264">
              <w:t> </w:t>
            </w:r>
            <w:r>
              <w:t>1</w:t>
            </w:r>
            <w:r w:rsidR="00D363AD">
              <w:t>4</w:t>
            </w:r>
            <w:r w:rsidRPr="006F23A3">
              <w:t>.</w:t>
            </w:r>
            <w:r w:rsidR="00C64EFF">
              <w:t>1</w:t>
            </w:r>
            <w:r w:rsidR="009F72C5">
              <w:t>1</w:t>
            </w:r>
            <w:r>
              <w:t xml:space="preserve"> </w:t>
            </w:r>
            <w:r w:rsidRPr="006F23A3">
              <w:t>and table</w:t>
            </w:r>
            <w:r w:rsidR="00E75264">
              <w:t> </w:t>
            </w:r>
            <w:r w:rsidR="00563D04" w:rsidRPr="00563D04">
              <w:t>1</w:t>
            </w:r>
            <w:r w:rsidR="00D363AD">
              <w:t>4</w:t>
            </w:r>
            <w:r w:rsidR="00563D04" w:rsidRPr="00563D04">
              <w:t>A.</w:t>
            </w:r>
            <w:r w:rsidR="00ED0F68">
              <w:t>42</w:t>
            </w:r>
            <w:r w:rsidRPr="006F23A3">
              <w:t xml:space="preserve"> for detailed</w:t>
            </w:r>
            <w:r w:rsidRPr="0032221B">
              <w:t xml:space="preserve"> definitions, footnotes and caveats</w:t>
            </w:r>
            <w:r w:rsidRPr="006F23A3">
              <w:t>.</w:t>
            </w:r>
            <w:r>
              <w:t xml:space="preserve"> </w:t>
            </w:r>
            <w:r w:rsidRPr="005C6181">
              <w:t xml:space="preserve"> </w:t>
            </w:r>
          </w:p>
        </w:tc>
      </w:tr>
      <w:tr w:rsidR="00B92C49" w:rsidRPr="00176D3F" w:rsidTr="00C64EFF">
        <w:tc>
          <w:tcPr>
            <w:tcW w:w="8771" w:type="dxa"/>
            <w:tcBorders>
              <w:top w:val="nil"/>
              <w:left w:val="nil"/>
              <w:bottom w:val="nil"/>
              <w:right w:val="nil"/>
            </w:tcBorders>
            <w:shd w:val="clear" w:color="auto" w:fill="auto"/>
          </w:tcPr>
          <w:p w:rsidR="00B92C49" w:rsidRPr="00176D3F" w:rsidRDefault="00C64EFF" w:rsidP="00D363AD">
            <w:pPr>
              <w:pStyle w:val="Source"/>
            </w:pPr>
            <w:r w:rsidRPr="00F50354">
              <w:rPr>
                <w:i/>
              </w:rPr>
              <w:t>Source</w:t>
            </w:r>
            <w:r w:rsidRPr="009551A0">
              <w:t>:</w:t>
            </w:r>
            <w:r w:rsidRPr="00F50354">
              <w:rPr>
                <w:i/>
              </w:rPr>
              <w:t xml:space="preserve"> </w:t>
            </w:r>
            <w:r w:rsidRPr="00F50354">
              <w:t>D</w:t>
            </w:r>
            <w:r w:rsidR="00A37EF7">
              <w:t xml:space="preserve">epartment of Health </w:t>
            </w:r>
            <w:r w:rsidRPr="00F50354">
              <w:t>(unpublished);</w:t>
            </w:r>
            <w:r w:rsidR="00A37EF7">
              <w:t xml:space="preserve"> State and Territory governments;</w:t>
            </w:r>
            <w:r w:rsidRPr="00F50354">
              <w:t xml:space="preserve"> </w:t>
            </w:r>
            <w:r w:rsidR="00ED0F68" w:rsidRPr="00ED0F68">
              <w:t>table</w:t>
            </w:r>
            <w:r w:rsidR="00664BA5">
              <w:t> </w:t>
            </w:r>
            <w:r w:rsidR="00ED0F68" w:rsidRPr="00ED0F68">
              <w:t>14A.42</w:t>
            </w:r>
            <w:r w:rsidRPr="00F50354">
              <w:t>.</w:t>
            </w:r>
            <w:r w:rsidR="00B92C49" w:rsidRPr="00176D3F">
              <w:t xml:space="preserve"> </w:t>
            </w:r>
          </w:p>
        </w:tc>
      </w:tr>
      <w:tr w:rsidR="00B92C49" w:rsidTr="00C64EFF">
        <w:tc>
          <w:tcPr>
            <w:tcW w:w="8771" w:type="dxa"/>
            <w:tcBorders>
              <w:top w:val="nil"/>
              <w:left w:val="nil"/>
              <w:bottom w:val="single" w:sz="6" w:space="0" w:color="78A22F"/>
              <w:right w:val="nil"/>
            </w:tcBorders>
            <w:shd w:val="clear" w:color="auto" w:fill="auto"/>
          </w:tcPr>
          <w:p w:rsidR="00B92C49" w:rsidRDefault="00B92C49" w:rsidP="00C64EFF">
            <w:pPr>
              <w:pStyle w:val="Figurespace"/>
            </w:pPr>
          </w:p>
        </w:tc>
      </w:tr>
      <w:tr w:rsidR="00B92C49" w:rsidRPr="000863A5" w:rsidTr="00C64EFF">
        <w:tc>
          <w:tcPr>
            <w:tcW w:w="8771" w:type="dxa"/>
            <w:tcBorders>
              <w:top w:val="single" w:sz="6" w:space="0" w:color="78A22F"/>
              <w:left w:val="nil"/>
              <w:bottom w:val="nil"/>
              <w:right w:val="nil"/>
            </w:tcBorders>
          </w:tcPr>
          <w:p w:rsidR="00B92C49" w:rsidRPr="00626D32" w:rsidRDefault="00B92C49" w:rsidP="00C64EFF">
            <w:pPr>
              <w:pStyle w:val="BoxSpaceBelow"/>
            </w:pPr>
          </w:p>
        </w:tc>
      </w:tr>
    </w:tbl>
    <w:p w:rsidR="00116AD7" w:rsidRDefault="00116AD7" w:rsidP="00116AD7">
      <w:pPr>
        <w:pStyle w:val="Heading3"/>
      </w:pPr>
      <w:r>
        <w:t>Outcomes</w:t>
      </w:r>
    </w:p>
    <w:p w:rsidR="00116AD7" w:rsidRDefault="00C7774D" w:rsidP="00116AD7">
      <w:pPr>
        <w:pStyle w:val="BodyText"/>
      </w:pPr>
      <w:r w:rsidRPr="00C7774D">
        <w:t>Outcomes are the impact of services on the status of an individual or group (see chapter</w:t>
      </w:r>
      <w:r w:rsidR="00E75264">
        <w:t> </w:t>
      </w:r>
      <w:r w:rsidR="000514CF">
        <w:t>1</w:t>
      </w:r>
      <w:r w:rsidRPr="00C7774D">
        <w:t>).</w:t>
      </w:r>
      <w:r w:rsidR="00116AD7">
        <w:t xml:space="preserve"> </w:t>
      </w:r>
    </w:p>
    <w:p w:rsidR="00116AD7" w:rsidRDefault="00116AD7" w:rsidP="00116AD7">
      <w:pPr>
        <w:pStyle w:val="Heading4"/>
      </w:pPr>
      <w:r>
        <w:lastRenderedPageBreak/>
        <w:t>Social participation in the community</w:t>
      </w:r>
    </w:p>
    <w:p w:rsidR="00116AD7" w:rsidRDefault="00116AD7" w:rsidP="00116AD7">
      <w:pPr>
        <w:pStyle w:val="BodyText"/>
      </w:pPr>
      <w:r>
        <w:t xml:space="preserve">‘Social participation in the community’ </w:t>
      </w:r>
      <w:r w:rsidR="005A2220">
        <w:t>is</w:t>
      </w:r>
      <w:r>
        <w:t xml:space="preserve"> an indicator of governments’ objective to encourage the wellbeing and independence of older people (box</w:t>
      </w:r>
      <w:r w:rsidR="009551A0">
        <w:t> </w:t>
      </w:r>
      <w:r>
        <w:t>1</w:t>
      </w:r>
      <w:r w:rsidR="00D363AD">
        <w:t>4</w:t>
      </w:r>
      <w:r>
        <w:t>.</w:t>
      </w:r>
      <w:r w:rsidR="00C64EFF">
        <w:t>1</w:t>
      </w:r>
      <w:r w:rsidR="00D363AD">
        <w:t>2</w:t>
      </w:r>
      <w:r>
        <w:t>).</w:t>
      </w:r>
    </w:p>
    <w:p w:rsidR="00C64EFF" w:rsidRDefault="00C64E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64EFF" w:rsidTr="00C64EFF">
        <w:tc>
          <w:tcPr>
            <w:tcW w:w="8771" w:type="dxa"/>
            <w:tcBorders>
              <w:top w:val="single" w:sz="6" w:space="0" w:color="78A22F"/>
              <w:left w:val="nil"/>
              <w:bottom w:val="nil"/>
              <w:right w:val="nil"/>
            </w:tcBorders>
            <w:shd w:val="clear" w:color="auto" w:fill="F2F2F2"/>
          </w:tcPr>
          <w:p w:rsidR="00C64EFF" w:rsidRDefault="00C64EFF" w:rsidP="00C64EFF">
            <w:pPr>
              <w:pStyle w:val="BoxTitle"/>
            </w:pPr>
            <w:r>
              <w:rPr>
                <w:b w:val="0"/>
              </w:rPr>
              <w:t xml:space="preserve">Box </w:t>
            </w:r>
            <w:r w:rsidR="000A554C">
              <w:rPr>
                <w:b w:val="0"/>
              </w:rPr>
              <w:t>14.</w:t>
            </w:r>
            <w:r w:rsidR="00662F0E">
              <w:rPr>
                <w:b w:val="0"/>
                <w:noProof/>
              </w:rPr>
              <w:t>12</w:t>
            </w:r>
            <w:r>
              <w:tab/>
            </w:r>
            <w:r w:rsidRPr="00116AD7">
              <w:t>Social participation in the community</w:t>
            </w:r>
            <w:r>
              <w:t xml:space="preserve"> </w:t>
            </w:r>
          </w:p>
        </w:tc>
      </w:tr>
      <w:tr w:rsidR="00C64EFF" w:rsidTr="00C64EFF">
        <w:trPr>
          <w:cantSplit/>
        </w:trPr>
        <w:tc>
          <w:tcPr>
            <w:tcW w:w="8771" w:type="dxa"/>
            <w:tcBorders>
              <w:top w:val="nil"/>
              <w:left w:val="nil"/>
              <w:bottom w:val="nil"/>
              <w:right w:val="nil"/>
            </w:tcBorders>
            <w:shd w:val="clear" w:color="auto" w:fill="F2F2F2"/>
          </w:tcPr>
          <w:p w:rsidR="00C64EFF" w:rsidRDefault="00C64EFF" w:rsidP="00C64EFF">
            <w:pPr>
              <w:pStyle w:val="Box"/>
            </w:pPr>
            <w:r>
              <w:t>‘Social parti</w:t>
            </w:r>
            <w:r w:rsidR="00D363AD">
              <w:t xml:space="preserve">cipation in the community’ has two </w:t>
            </w:r>
            <w:r>
              <w:t>measures, the estimated proportions of older people (aged 65 years or over) who:</w:t>
            </w:r>
          </w:p>
          <w:p w:rsidR="00C64EFF" w:rsidRDefault="00C64EFF" w:rsidP="00C64EFF">
            <w:pPr>
              <w:pStyle w:val="BoxListBullet"/>
            </w:pPr>
            <w:r>
              <w:t xml:space="preserve">participated in </w:t>
            </w:r>
            <w:r w:rsidRPr="00FF790A">
              <w:t xml:space="preserve">social </w:t>
            </w:r>
            <w:r w:rsidRPr="00554A4E">
              <w:t xml:space="preserve">or </w:t>
            </w:r>
            <w:r w:rsidRPr="00FF790A">
              <w:t xml:space="preserve">community activities </w:t>
            </w:r>
            <w:r>
              <w:t>away from home in the last three months</w:t>
            </w:r>
          </w:p>
          <w:p w:rsidR="00C64EFF" w:rsidRDefault="00C64EFF" w:rsidP="00C64EFF">
            <w:pPr>
              <w:pStyle w:val="BoxListBullet"/>
            </w:pPr>
            <w:r>
              <w:t xml:space="preserve">did not leave home or did not leave home as often as they would like. </w:t>
            </w:r>
          </w:p>
          <w:p w:rsidR="00C64EFF" w:rsidRDefault="00C64EFF" w:rsidP="00C64EFF">
            <w:pPr>
              <w:pStyle w:val="Box"/>
            </w:pPr>
            <w:r>
              <w:t>These measures are reported by disability status (profound or severe</w:t>
            </w:r>
            <w:r w:rsidR="00023A62">
              <w:t xml:space="preserve"> disability</w:t>
            </w:r>
            <w:r>
              <w:t xml:space="preserve">, other disability, all disability, without disability) and for all older people. Disability status is used as a ‘proxy’ to identify those older people who might need more assistance to support their social participation. </w:t>
            </w:r>
          </w:p>
          <w:p w:rsidR="00C64EFF" w:rsidRDefault="00C64EFF" w:rsidP="00C64EFF">
            <w:pPr>
              <w:pStyle w:val="Box"/>
            </w:pPr>
            <w:r>
              <w:t>High or increasing proportions of social participation in the community are desirable, as it indicates higher levels of wellbeing and independence.</w:t>
            </w:r>
          </w:p>
          <w:p w:rsidR="00C64EFF" w:rsidRDefault="00C64EFF" w:rsidP="00C64EFF">
            <w:pPr>
              <w:pStyle w:val="Box"/>
            </w:pPr>
            <w:r>
              <w:t>Data reported for this measure are:</w:t>
            </w:r>
          </w:p>
          <w:p w:rsidR="00C64EFF" w:rsidRDefault="00C64EFF" w:rsidP="00D02FA9">
            <w:pPr>
              <w:pStyle w:val="BoxListBullet"/>
            </w:pPr>
            <w:r>
              <w:t xml:space="preserve">comparable (subject to caveats) across jurisdictions </w:t>
            </w:r>
            <w:r w:rsidR="00D363AD">
              <w:t>and over</w:t>
            </w:r>
            <w:r w:rsidR="00677A14">
              <w:t xml:space="preserve"> </w:t>
            </w:r>
            <w:r w:rsidR="00D363AD">
              <w:t>time</w:t>
            </w:r>
          </w:p>
          <w:p w:rsidR="00C64EFF" w:rsidRDefault="00C64EFF" w:rsidP="00C64EFF">
            <w:pPr>
              <w:pStyle w:val="BoxListBullet"/>
            </w:pPr>
            <w:r>
              <w:t>complete (subject to caveats) for the current reporting period. All required 201</w:t>
            </w:r>
            <w:r w:rsidR="00D363AD">
              <w:t>5</w:t>
            </w:r>
            <w:r>
              <w:t xml:space="preserve"> data are available for all jurisdictions. </w:t>
            </w:r>
          </w:p>
          <w:p w:rsidR="00C64EFF" w:rsidRDefault="00407392" w:rsidP="00AA3C69">
            <w:pPr>
              <w:pStyle w:val="Box"/>
            </w:pPr>
            <w:r w:rsidRPr="00407392">
              <w:t xml:space="preserve">The SDAC does not include people living in discrete </w:t>
            </w:r>
            <w:r w:rsidR="009B3A27" w:rsidRPr="009B3A27">
              <w:t>Aboriginal and Torres Strait Islander</w:t>
            </w:r>
            <w:r w:rsidRPr="00407392">
              <w:t xml:space="preserve"> communities and very remote areas, which affects the comparability of the NT results.</w:t>
            </w:r>
          </w:p>
        </w:tc>
      </w:tr>
      <w:tr w:rsidR="00C64EFF" w:rsidTr="00C64EFF">
        <w:trPr>
          <w:cantSplit/>
        </w:trPr>
        <w:tc>
          <w:tcPr>
            <w:tcW w:w="8771" w:type="dxa"/>
            <w:tcBorders>
              <w:top w:val="nil"/>
              <w:left w:val="nil"/>
              <w:bottom w:val="single" w:sz="6" w:space="0" w:color="78A22F"/>
              <w:right w:val="nil"/>
            </w:tcBorders>
            <w:shd w:val="clear" w:color="auto" w:fill="F2F2F2"/>
          </w:tcPr>
          <w:p w:rsidR="00C64EFF" w:rsidRDefault="00C64EFF">
            <w:pPr>
              <w:pStyle w:val="Box"/>
              <w:spacing w:before="0" w:line="120" w:lineRule="exact"/>
            </w:pPr>
          </w:p>
        </w:tc>
      </w:tr>
      <w:tr w:rsidR="00C64EFF" w:rsidRPr="000863A5" w:rsidTr="00C64EFF">
        <w:tc>
          <w:tcPr>
            <w:tcW w:w="8771" w:type="dxa"/>
            <w:tcBorders>
              <w:top w:val="single" w:sz="6" w:space="0" w:color="78A22F"/>
              <w:left w:val="nil"/>
              <w:bottom w:val="nil"/>
              <w:right w:val="nil"/>
            </w:tcBorders>
          </w:tcPr>
          <w:p w:rsidR="00C64EFF" w:rsidRPr="00626D32" w:rsidRDefault="00C64EFF" w:rsidP="00C64EFF">
            <w:pPr>
              <w:pStyle w:val="BoxSpaceBelow"/>
            </w:pPr>
          </w:p>
        </w:tc>
      </w:tr>
    </w:tbl>
    <w:p w:rsidR="005B097B" w:rsidRDefault="009D6DDE" w:rsidP="00F76144">
      <w:pPr>
        <w:pStyle w:val="BodyText"/>
      </w:pPr>
      <w:r w:rsidRPr="009D6DDE">
        <w:t>Nationally in 201</w:t>
      </w:r>
      <w:r w:rsidR="00D363AD">
        <w:t>5</w:t>
      </w:r>
      <w:r w:rsidRPr="009D6DDE">
        <w:t xml:space="preserve">, the estimated proportion of </w:t>
      </w:r>
      <w:r w:rsidR="00301188">
        <w:t xml:space="preserve">older </w:t>
      </w:r>
      <w:r w:rsidRPr="009D6DDE">
        <w:t xml:space="preserve">people </w:t>
      </w:r>
      <w:r w:rsidR="00467A69">
        <w:t xml:space="preserve">without disability </w:t>
      </w:r>
      <w:r w:rsidRPr="009D6DDE">
        <w:t xml:space="preserve">who </w:t>
      </w:r>
      <w:r>
        <w:t xml:space="preserve">participated in </w:t>
      </w:r>
      <w:r w:rsidR="00FF790A" w:rsidRPr="00FF790A">
        <w:t xml:space="preserve">any social </w:t>
      </w:r>
      <w:r w:rsidR="00FF790A" w:rsidRPr="00554A4E">
        <w:t xml:space="preserve">or </w:t>
      </w:r>
      <w:r w:rsidR="00FF790A" w:rsidRPr="00FF790A">
        <w:t xml:space="preserve">community activities </w:t>
      </w:r>
      <w:r w:rsidR="005A2220" w:rsidRPr="005A2220">
        <w:t xml:space="preserve">away from home in the last </w:t>
      </w:r>
      <w:r w:rsidR="00A7165F">
        <w:t>three</w:t>
      </w:r>
      <w:r w:rsidR="00B15073" w:rsidRPr="005A2220">
        <w:t xml:space="preserve"> </w:t>
      </w:r>
      <w:r w:rsidR="005A2220" w:rsidRPr="005A2220">
        <w:t>months</w:t>
      </w:r>
      <w:r w:rsidR="00CE065F">
        <w:t xml:space="preserve"> was </w:t>
      </w:r>
      <w:r w:rsidR="00467A69">
        <w:t>95.9</w:t>
      </w:r>
      <w:r w:rsidR="005A2220">
        <w:t xml:space="preserve"> per cent</w:t>
      </w:r>
      <w:r w:rsidR="00BF4B14">
        <w:t xml:space="preserve"> (table</w:t>
      </w:r>
      <w:r w:rsidR="009551A0">
        <w:t> </w:t>
      </w:r>
      <w:r w:rsidR="00BF4B14">
        <w:t>1</w:t>
      </w:r>
      <w:r w:rsidR="00D363AD">
        <w:t>4</w:t>
      </w:r>
      <w:r w:rsidR="00BF4B14">
        <w:t>A.</w:t>
      </w:r>
      <w:r w:rsidR="00984068">
        <w:t>4</w:t>
      </w:r>
      <w:r w:rsidR="00467A69">
        <w:t>3</w:t>
      </w:r>
      <w:r w:rsidR="00BF4B14">
        <w:t>)</w:t>
      </w:r>
      <w:r w:rsidRPr="009D6DDE">
        <w:t>.</w:t>
      </w:r>
      <w:r w:rsidR="005A2220">
        <w:t xml:space="preserve"> </w:t>
      </w:r>
      <w:r w:rsidR="00144AB5">
        <w:t xml:space="preserve">Participation </w:t>
      </w:r>
      <w:r w:rsidR="009B0570">
        <w:t xml:space="preserve">in these activities </w:t>
      </w:r>
      <w:r w:rsidR="0014593B">
        <w:t xml:space="preserve">was </w:t>
      </w:r>
      <w:r w:rsidR="00152AD6">
        <w:t>lower (</w:t>
      </w:r>
      <w:r w:rsidR="00467A69">
        <w:t>82.9</w:t>
      </w:r>
      <w:r w:rsidR="00F76144">
        <w:t> </w:t>
      </w:r>
      <w:r w:rsidR="0014593B" w:rsidRPr="0014593B">
        <w:t>per</w:t>
      </w:r>
      <w:r w:rsidR="00F76144">
        <w:t> </w:t>
      </w:r>
      <w:r w:rsidR="0014593B" w:rsidRPr="0014593B">
        <w:t>cent</w:t>
      </w:r>
      <w:r w:rsidR="00152AD6">
        <w:t>)</w:t>
      </w:r>
      <w:r w:rsidR="0014593B" w:rsidRPr="0014593B">
        <w:t xml:space="preserve"> </w:t>
      </w:r>
      <w:r w:rsidR="0014593B">
        <w:t>for people</w:t>
      </w:r>
      <w:r w:rsidR="005A2220">
        <w:t xml:space="preserve"> with profound or severe disability</w:t>
      </w:r>
      <w:r w:rsidR="00905FD4">
        <w:t xml:space="preserve"> (figure</w:t>
      </w:r>
      <w:r w:rsidR="00F76144">
        <w:t> </w:t>
      </w:r>
      <w:r w:rsidR="00905FD4">
        <w:t>1</w:t>
      </w:r>
      <w:r w:rsidR="00D363AD">
        <w:t>4</w:t>
      </w:r>
      <w:r w:rsidR="00905FD4">
        <w:t>.</w:t>
      </w:r>
      <w:r w:rsidR="00984068">
        <w:t>12</w:t>
      </w:r>
      <w:r w:rsidR="00905FD4">
        <w:t>)</w:t>
      </w:r>
      <w:r w:rsidR="00427516">
        <w:t xml:space="preserve">. </w:t>
      </w:r>
      <w:r w:rsidR="004875BB" w:rsidRPr="000A2BE0">
        <w:rPr>
          <w:shd w:val="clear" w:color="auto" w:fill="FFFFFF" w:themeFill="background1"/>
        </w:rPr>
        <w:t>Older p</w:t>
      </w:r>
      <w:r w:rsidR="00427516" w:rsidRPr="000A2BE0">
        <w:rPr>
          <w:shd w:val="clear" w:color="auto" w:fill="FFFFFF" w:themeFill="background1"/>
        </w:rPr>
        <w:t>eople with profound or severe disability</w:t>
      </w:r>
      <w:r w:rsidR="00301188" w:rsidRPr="000A2BE0">
        <w:rPr>
          <w:shd w:val="clear" w:color="auto" w:fill="FFFFFF" w:themeFill="background1"/>
        </w:rPr>
        <w:t xml:space="preserve"> </w:t>
      </w:r>
      <w:r w:rsidR="00427516" w:rsidRPr="000A2BE0">
        <w:rPr>
          <w:shd w:val="clear" w:color="auto" w:fill="FFFFFF" w:themeFill="background1"/>
        </w:rPr>
        <w:t>were also less</w:t>
      </w:r>
      <w:r w:rsidR="00301188" w:rsidRPr="000A2BE0">
        <w:rPr>
          <w:shd w:val="clear" w:color="auto" w:fill="FFFFFF" w:themeFill="background1"/>
        </w:rPr>
        <w:t xml:space="preserve"> likel</w:t>
      </w:r>
      <w:r w:rsidR="00427516" w:rsidRPr="000A2BE0">
        <w:rPr>
          <w:shd w:val="clear" w:color="auto" w:fill="FFFFFF" w:themeFill="background1"/>
        </w:rPr>
        <w:t>y</w:t>
      </w:r>
      <w:r w:rsidR="00301188" w:rsidRPr="000A2BE0">
        <w:rPr>
          <w:shd w:val="clear" w:color="auto" w:fill="FFFFFF" w:themeFill="background1"/>
        </w:rPr>
        <w:t xml:space="preserve"> </w:t>
      </w:r>
      <w:r w:rsidR="004875BB" w:rsidRPr="000A2BE0">
        <w:rPr>
          <w:shd w:val="clear" w:color="auto" w:fill="FFFFFF" w:themeFill="background1"/>
        </w:rPr>
        <w:t xml:space="preserve">than other older people </w:t>
      </w:r>
      <w:r w:rsidR="00BD3AAA" w:rsidRPr="000A2BE0">
        <w:rPr>
          <w:shd w:val="clear" w:color="auto" w:fill="FFFFFF" w:themeFill="background1"/>
        </w:rPr>
        <w:t xml:space="preserve">without disability </w:t>
      </w:r>
      <w:r w:rsidR="00376173" w:rsidRPr="00376173">
        <w:t>to have face</w:t>
      </w:r>
      <w:r w:rsidR="00664BA5">
        <w:noBreakHyphen/>
      </w:r>
      <w:r w:rsidR="00376173" w:rsidRPr="00376173">
        <w:t>to</w:t>
      </w:r>
      <w:r w:rsidR="00664BA5">
        <w:noBreakHyphen/>
      </w:r>
      <w:r w:rsidR="00376173" w:rsidRPr="00376173">
        <w:t>face contact with family or friends not living in the same household in the last week (</w:t>
      </w:r>
      <w:r w:rsidR="00467A69">
        <w:t>74.5</w:t>
      </w:r>
      <w:r w:rsidR="00376173" w:rsidRPr="00376173">
        <w:t xml:space="preserve"> per cent compared to </w:t>
      </w:r>
      <w:r w:rsidR="00467A69">
        <w:t>78.4</w:t>
      </w:r>
      <w:r w:rsidR="00376173" w:rsidRPr="00376173">
        <w:t xml:space="preserve"> per cent) (table</w:t>
      </w:r>
      <w:r w:rsidR="00664BA5">
        <w:t> </w:t>
      </w:r>
      <w:r w:rsidR="00376173" w:rsidRPr="00376173">
        <w:t>1</w:t>
      </w:r>
      <w:r w:rsidR="00376173">
        <w:t>4</w:t>
      </w:r>
      <w:r w:rsidR="00376173" w:rsidRPr="00376173">
        <w:t>A.</w:t>
      </w:r>
      <w:r w:rsidR="00467A69">
        <w:t>44</w:t>
      </w:r>
      <w:r w:rsidR="00376173" w:rsidRPr="00376173">
        <w:t>).</w:t>
      </w:r>
    </w:p>
    <w:p w:rsidR="009A6F3E" w:rsidRDefault="009A6F3E" w:rsidP="009A6F3E">
      <w:pPr>
        <w:pStyle w:val="BodyText"/>
        <w:shd w:val="clear" w:color="auto" w:fill="FFFFFF" w:themeFill="background1"/>
      </w:pPr>
      <w:r w:rsidRPr="00B30739">
        <w:t>Nationally in 201</w:t>
      </w:r>
      <w:r>
        <w:t>5</w:t>
      </w:r>
      <w:r w:rsidRPr="00B30739">
        <w:t xml:space="preserve">, the estimated proportion of </w:t>
      </w:r>
      <w:r>
        <w:t xml:space="preserve">older </w:t>
      </w:r>
      <w:r w:rsidRPr="00B30739">
        <w:t>people who</w:t>
      </w:r>
      <w:r w:rsidRPr="008A7BDF">
        <w:t xml:space="preserve"> did not leave home </w:t>
      </w:r>
      <w:r>
        <w:t>(</w:t>
      </w:r>
      <w:r w:rsidRPr="008A7BDF">
        <w:t xml:space="preserve">or as frequently as </w:t>
      </w:r>
      <w:r>
        <w:t xml:space="preserve">they </w:t>
      </w:r>
      <w:r w:rsidRPr="008A7BDF">
        <w:t>would like</w:t>
      </w:r>
      <w:r>
        <w:t>)</w:t>
      </w:r>
      <w:r w:rsidRPr="00B30739">
        <w:t xml:space="preserve"> was </w:t>
      </w:r>
      <w:r>
        <w:t xml:space="preserve">14.5 </w:t>
      </w:r>
      <w:r w:rsidRPr="00B30739">
        <w:t>per cent</w:t>
      </w:r>
      <w:r>
        <w:t xml:space="preserve"> (table</w:t>
      </w:r>
      <w:r w:rsidR="00664BA5">
        <w:t> </w:t>
      </w:r>
      <w:r>
        <w:t xml:space="preserve">14A.45) — this proportion was </w:t>
      </w:r>
      <w:r w:rsidRPr="00AC63EB">
        <w:t>higher</w:t>
      </w:r>
      <w:r>
        <w:t xml:space="preserve"> for those with profound or severe disability (45.6 per cent) than for other older people, </w:t>
      </w:r>
      <w:r w:rsidRPr="00AC63EB">
        <w:t>especially those without disability</w:t>
      </w:r>
      <w:r>
        <w:t xml:space="preserve"> (6.5 </w:t>
      </w:r>
      <w:r w:rsidRPr="00036C3C">
        <w:t>per</w:t>
      </w:r>
      <w:r>
        <w:t> </w:t>
      </w:r>
      <w:r w:rsidRPr="00036C3C">
        <w:t>cent</w:t>
      </w:r>
      <w:r>
        <w:t>)</w:t>
      </w:r>
      <w:r w:rsidRPr="005F1445">
        <w:t xml:space="preserve"> </w:t>
      </w:r>
      <w:r>
        <w:t xml:space="preserve">(figure 14.13). </w:t>
      </w:r>
    </w:p>
    <w:p w:rsidR="005A2220" w:rsidRDefault="005A2220" w:rsidP="003761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2220" w:rsidTr="00734B35">
        <w:tc>
          <w:tcPr>
            <w:tcW w:w="8771" w:type="dxa"/>
            <w:tcBorders>
              <w:top w:val="single" w:sz="6" w:space="0" w:color="78A22F"/>
              <w:left w:val="nil"/>
              <w:bottom w:val="nil"/>
              <w:right w:val="nil"/>
            </w:tcBorders>
            <w:shd w:val="clear" w:color="auto" w:fill="auto"/>
          </w:tcPr>
          <w:p w:rsidR="005A2220" w:rsidRPr="00176D3F" w:rsidRDefault="005A2220" w:rsidP="00F217B0">
            <w:pPr>
              <w:pStyle w:val="FigureTitle"/>
            </w:pPr>
            <w:r w:rsidRPr="00784A05">
              <w:rPr>
                <w:b w:val="0"/>
              </w:rPr>
              <w:t xml:space="preserve">Figure </w:t>
            </w:r>
            <w:r w:rsidR="0062473F">
              <w:rPr>
                <w:b w:val="0"/>
              </w:rPr>
              <w:t>14.</w:t>
            </w:r>
            <w:r w:rsidR="00662F0E">
              <w:rPr>
                <w:b w:val="0"/>
                <w:noProof/>
              </w:rPr>
              <w:t>12</w:t>
            </w:r>
            <w:r>
              <w:tab/>
            </w:r>
            <w:r w:rsidR="0014593B">
              <w:t>Pa</w:t>
            </w:r>
            <w:r w:rsidR="0014593B" w:rsidRPr="0014593B">
              <w:t>rticipat</w:t>
            </w:r>
            <w:r w:rsidR="0014593B">
              <w:t>ion of people aged 65 years or over</w:t>
            </w:r>
            <w:r w:rsidR="0014593B" w:rsidRPr="0014593B">
              <w:t xml:space="preserve"> in any </w:t>
            </w:r>
            <w:r w:rsidR="00FF790A" w:rsidRPr="00FF790A">
              <w:t xml:space="preserve">social </w:t>
            </w:r>
            <w:r w:rsidR="00FF790A" w:rsidRPr="00554A4E">
              <w:t xml:space="preserve">or </w:t>
            </w:r>
            <w:r w:rsidR="00FF790A" w:rsidRPr="00FF790A">
              <w:t>community activities</w:t>
            </w:r>
            <w:r w:rsidR="00FF790A">
              <w:t xml:space="preserve"> </w:t>
            </w:r>
            <w:r w:rsidR="0014593B" w:rsidRPr="0014593B">
              <w:t xml:space="preserve">away from home in the last </w:t>
            </w:r>
            <w:r w:rsidR="00554A4E">
              <w:t>three</w:t>
            </w:r>
            <w:r w:rsidR="00B15073">
              <w:t> </w:t>
            </w:r>
            <w:r w:rsidR="0014593B" w:rsidRPr="0014593B">
              <w:t>months</w:t>
            </w:r>
            <w:r w:rsidR="0014593B">
              <w:t>, by disability status</w:t>
            </w:r>
            <w:r w:rsidR="00B30739">
              <w:t>, 201</w:t>
            </w:r>
            <w:r w:rsidR="00F217B0">
              <w:t>5</w:t>
            </w:r>
            <w:r w:rsidR="00755121" w:rsidRPr="00755121">
              <w:rPr>
                <w:rStyle w:val="NoteLabel"/>
                <w:b/>
              </w:rPr>
              <w:t>a</w:t>
            </w:r>
            <w:r w:rsidR="00604463">
              <w:rPr>
                <w:rStyle w:val="NoteLabel"/>
                <w:b/>
              </w:rPr>
              <w:t>, b</w:t>
            </w:r>
          </w:p>
        </w:tc>
      </w:tr>
      <w:tr w:rsidR="005A2220" w:rsidTr="007679E2">
        <w:trPr>
          <w:trHeight w:val="4002"/>
        </w:trPr>
        <w:tc>
          <w:tcPr>
            <w:tcW w:w="8771" w:type="dxa"/>
            <w:tcBorders>
              <w:top w:val="nil"/>
              <w:left w:val="nil"/>
              <w:bottom w:val="nil"/>
              <w:right w:val="nil"/>
            </w:tcBorders>
            <w:shd w:val="clear" w:color="auto" w:fill="auto"/>
            <w:tcMar>
              <w:top w:w="28" w:type="dxa"/>
              <w:bottom w:w="28" w:type="dxa"/>
            </w:tcMar>
          </w:tcPr>
          <w:tbl>
            <w:tblPr>
              <w:tblW w:w="4998"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4"/>
            </w:tblGrid>
            <w:tr w:rsidR="005A2220" w:rsidTr="005F1445">
              <w:trPr>
                <w:trHeight w:val="4130"/>
              </w:trPr>
              <w:tc>
                <w:tcPr>
                  <w:tcW w:w="5000" w:type="pct"/>
                  <w:tcBorders>
                    <w:top w:val="nil"/>
                    <w:bottom w:val="nil"/>
                  </w:tcBorders>
                </w:tcPr>
                <w:p w:rsidR="005A2220" w:rsidRPr="0062473F" w:rsidRDefault="00FE70DC" w:rsidP="00734B35">
                  <w:pPr>
                    <w:pStyle w:val="Figure"/>
                    <w:spacing w:before="60" w:after="60"/>
                  </w:pPr>
                  <w:r>
                    <w:rPr>
                      <w:noProof/>
                    </w:rPr>
                    <w:drawing>
                      <wp:inline distT="0" distB="0" distL="0" distR="0">
                        <wp:extent cx="5307965" cy="2553335"/>
                        <wp:effectExtent l="0" t="0" r="6985" b="0"/>
                        <wp:docPr id="13" name="Picture 13" descr="Figure 14.12 Participation of people aged 65 years or over in any social or community activities away from home in the last three months, by disability status,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07965" cy="2553335"/>
                                </a:xfrm>
                                <a:prstGeom prst="rect">
                                  <a:avLst/>
                                </a:prstGeom>
                                <a:noFill/>
                                <a:ln>
                                  <a:noFill/>
                                </a:ln>
                              </pic:spPr>
                            </pic:pic>
                          </a:graphicData>
                        </a:graphic>
                      </wp:inline>
                    </w:drawing>
                  </w:r>
                </w:p>
              </w:tc>
            </w:tr>
          </w:tbl>
          <w:p w:rsidR="005A2220" w:rsidRDefault="005A2220" w:rsidP="00734B35">
            <w:pPr>
              <w:pStyle w:val="Figure"/>
            </w:pPr>
          </w:p>
        </w:tc>
      </w:tr>
      <w:tr w:rsidR="005A2220" w:rsidRPr="00176D3F" w:rsidTr="00CA1F6E">
        <w:tc>
          <w:tcPr>
            <w:tcW w:w="8771" w:type="dxa"/>
            <w:tcBorders>
              <w:top w:val="nil"/>
              <w:left w:val="nil"/>
              <w:bottom w:val="nil"/>
              <w:right w:val="nil"/>
            </w:tcBorders>
            <w:shd w:val="clear" w:color="auto" w:fill="FFFFFF" w:themeFill="background1"/>
          </w:tcPr>
          <w:p w:rsidR="005A2220" w:rsidRPr="007A0D83" w:rsidRDefault="005A2220" w:rsidP="000E3E49">
            <w:pPr>
              <w:pStyle w:val="Note"/>
            </w:pPr>
            <w:r w:rsidRPr="000A2BE0">
              <w:rPr>
                <w:rStyle w:val="NoteLabel"/>
                <w:shd w:val="clear" w:color="auto" w:fill="FFFFFF" w:themeFill="background1"/>
              </w:rPr>
              <w:t>a</w:t>
            </w:r>
            <w:r w:rsidR="00F76144" w:rsidRPr="000A2BE0">
              <w:rPr>
                <w:shd w:val="clear" w:color="auto" w:fill="FFFFFF" w:themeFill="background1"/>
              </w:rPr>
              <w:t xml:space="preserve"> </w:t>
            </w:r>
            <w:r w:rsidR="00604463" w:rsidRPr="000A2BE0">
              <w:rPr>
                <w:shd w:val="clear" w:color="auto" w:fill="FFFFFF" w:themeFill="background1"/>
              </w:rPr>
              <w:t>Error bars represent the 95 per cent confidence interval associated with each point estimate.</w:t>
            </w:r>
            <w:r w:rsidR="00604463" w:rsidRPr="00604463">
              <w:t xml:space="preserve"> </w:t>
            </w:r>
            <w:r w:rsidR="000E3E49">
              <w:rPr>
                <w:rStyle w:val="NoteLabel"/>
              </w:rPr>
              <w:t>b</w:t>
            </w:r>
            <w:r w:rsidR="000E3E49" w:rsidRPr="007B42C9">
              <w:t xml:space="preserve"> See box</w:t>
            </w:r>
            <w:r w:rsidR="000E3E49">
              <w:t> </w:t>
            </w:r>
            <w:r w:rsidR="000E3E49" w:rsidRPr="007B42C9">
              <w:t>1</w:t>
            </w:r>
            <w:r w:rsidR="000E3E49">
              <w:t>4</w:t>
            </w:r>
            <w:r w:rsidR="000E3E49" w:rsidRPr="007B42C9">
              <w:t>.1</w:t>
            </w:r>
            <w:r w:rsidR="000E3E49">
              <w:t>2</w:t>
            </w:r>
            <w:r w:rsidR="000E3E49" w:rsidRPr="007B42C9">
              <w:t xml:space="preserve"> and table</w:t>
            </w:r>
            <w:r w:rsidR="000E3E49">
              <w:t> </w:t>
            </w:r>
            <w:r w:rsidR="000E3E49" w:rsidRPr="007B42C9">
              <w:t>1</w:t>
            </w:r>
            <w:r w:rsidR="000E3E49">
              <w:t>4</w:t>
            </w:r>
            <w:r w:rsidR="000E3E49" w:rsidRPr="007B42C9">
              <w:t>A.</w:t>
            </w:r>
            <w:r w:rsidR="000E3E49">
              <w:t>43</w:t>
            </w:r>
            <w:r w:rsidR="000E3E49" w:rsidRPr="007B42C9">
              <w:t xml:space="preserve"> for detailed definitions, footnotes and caveats.</w:t>
            </w:r>
          </w:p>
        </w:tc>
      </w:tr>
      <w:tr w:rsidR="005A2220" w:rsidRPr="00176D3F" w:rsidTr="00734B35">
        <w:tc>
          <w:tcPr>
            <w:tcW w:w="8771" w:type="dxa"/>
            <w:tcBorders>
              <w:top w:val="nil"/>
              <w:left w:val="nil"/>
              <w:bottom w:val="nil"/>
              <w:right w:val="nil"/>
            </w:tcBorders>
            <w:shd w:val="clear" w:color="auto" w:fill="auto"/>
          </w:tcPr>
          <w:p w:rsidR="005A2220" w:rsidRPr="00176D3F" w:rsidRDefault="005A2220" w:rsidP="009A6F3E">
            <w:pPr>
              <w:pStyle w:val="Source"/>
            </w:pPr>
            <w:r>
              <w:rPr>
                <w:i/>
              </w:rPr>
              <w:t>Source</w:t>
            </w:r>
            <w:r w:rsidRPr="00013637">
              <w:t xml:space="preserve">: </w:t>
            </w:r>
            <w:r w:rsidR="00734B35" w:rsidRPr="00734B35">
              <w:t xml:space="preserve">ABS </w:t>
            </w:r>
            <w:r w:rsidR="00734B35">
              <w:t>(</w:t>
            </w:r>
            <w:r w:rsidR="00734B35" w:rsidRPr="00734B35">
              <w:t>unpublished</w:t>
            </w:r>
            <w:r w:rsidR="00734B35">
              <w:t>)</w:t>
            </w:r>
            <w:r w:rsidR="00734B35" w:rsidRPr="00734B35">
              <w:t xml:space="preserve"> </w:t>
            </w:r>
            <w:r w:rsidR="00025AE5" w:rsidRPr="00407392">
              <w:rPr>
                <w:i/>
              </w:rPr>
              <w:t>SDAC</w:t>
            </w:r>
            <w:r w:rsidR="00734B35" w:rsidRPr="00407392">
              <w:rPr>
                <w:i/>
              </w:rPr>
              <w:t xml:space="preserve"> 201</w:t>
            </w:r>
            <w:r w:rsidR="00D363AD">
              <w:rPr>
                <w:i/>
              </w:rPr>
              <w:t>5</w:t>
            </w:r>
            <w:r w:rsidR="00EC24D9">
              <w:rPr>
                <w:i/>
              </w:rPr>
              <w:t xml:space="preserve">, </w:t>
            </w:r>
            <w:r w:rsidR="00EC24D9" w:rsidRPr="00EC24D9">
              <w:t>Cat. no.</w:t>
            </w:r>
            <w:r w:rsidR="00EC24D9">
              <w:rPr>
                <w:i/>
              </w:rPr>
              <w:t xml:space="preserve"> </w:t>
            </w:r>
            <w:r w:rsidR="00EC24D9" w:rsidRPr="00EC24D9">
              <w:t>4430.0</w:t>
            </w:r>
            <w:r w:rsidR="00407392">
              <w:t xml:space="preserve"> </w:t>
            </w:r>
            <w:r w:rsidR="00407392" w:rsidRPr="00407392">
              <w:t>(derived using Table Builder)</w:t>
            </w:r>
            <w:r w:rsidR="00D15FF6" w:rsidRPr="00EC24D9">
              <w:t>;</w:t>
            </w:r>
            <w:r w:rsidR="00D15FF6">
              <w:rPr>
                <w:i/>
              </w:rPr>
              <w:t xml:space="preserve"> </w:t>
            </w:r>
            <w:r w:rsidR="00D15FF6" w:rsidRPr="00D15FF6">
              <w:t>table</w:t>
            </w:r>
            <w:r w:rsidR="009551A0">
              <w:t> </w:t>
            </w:r>
            <w:r w:rsidR="00D15FF6" w:rsidRPr="00D15FF6">
              <w:t>1</w:t>
            </w:r>
            <w:r w:rsidR="00D363AD">
              <w:t>4</w:t>
            </w:r>
            <w:r w:rsidR="00D15FF6" w:rsidRPr="00D15FF6">
              <w:t>A.</w:t>
            </w:r>
            <w:r w:rsidR="0062473F">
              <w:t>43</w:t>
            </w:r>
            <w:r w:rsidR="00734B35" w:rsidRPr="00734B35">
              <w:t>.</w:t>
            </w:r>
          </w:p>
        </w:tc>
      </w:tr>
      <w:tr w:rsidR="005A2220" w:rsidTr="00734B35">
        <w:tc>
          <w:tcPr>
            <w:tcW w:w="8771" w:type="dxa"/>
            <w:tcBorders>
              <w:top w:val="nil"/>
              <w:left w:val="nil"/>
              <w:bottom w:val="single" w:sz="6" w:space="0" w:color="78A22F"/>
              <w:right w:val="nil"/>
            </w:tcBorders>
            <w:shd w:val="clear" w:color="auto" w:fill="auto"/>
          </w:tcPr>
          <w:p w:rsidR="005A2220" w:rsidRDefault="005A2220" w:rsidP="00734B35">
            <w:pPr>
              <w:pStyle w:val="Figurespace"/>
            </w:pPr>
          </w:p>
        </w:tc>
      </w:tr>
      <w:tr w:rsidR="005A2220" w:rsidRPr="000863A5" w:rsidTr="00734B35">
        <w:tc>
          <w:tcPr>
            <w:tcW w:w="8771" w:type="dxa"/>
            <w:tcBorders>
              <w:top w:val="single" w:sz="6" w:space="0" w:color="78A22F"/>
              <w:left w:val="nil"/>
              <w:bottom w:val="nil"/>
              <w:right w:val="nil"/>
            </w:tcBorders>
          </w:tcPr>
          <w:p w:rsidR="005A2220" w:rsidRPr="00626D32" w:rsidRDefault="005A2220" w:rsidP="00734B35">
            <w:pPr>
              <w:pStyle w:val="BoxSpaceBelow"/>
            </w:pPr>
          </w:p>
        </w:tc>
      </w:tr>
    </w:tbl>
    <w:p w:rsidR="00ED4A98" w:rsidRDefault="00ED4A98" w:rsidP="00376173">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1F74" w:rsidTr="000F6E9B">
        <w:tc>
          <w:tcPr>
            <w:tcW w:w="8771" w:type="dxa"/>
            <w:tcBorders>
              <w:top w:val="single" w:sz="6" w:space="0" w:color="78A22F"/>
              <w:left w:val="nil"/>
              <w:bottom w:val="nil"/>
              <w:right w:val="nil"/>
            </w:tcBorders>
            <w:shd w:val="clear" w:color="auto" w:fill="auto"/>
          </w:tcPr>
          <w:p w:rsidR="00CA1F74" w:rsidRPr="00176D3F" w:rsidRDefault="00CA1F74" w:rsidP="00D363AD">
            <w:pPr>
              <w:pStyle w:val="FigureTitle"/>
            </w:pPr>
            <w:r w:rsidRPr="00784A05">
              <w:rPr>
                <w:b w:val="0"/>
              </w:rPr>
              <w:t xml:space="preserve">Figure </w:t>
            </w:r>
            <w:r w:rsidR="0062473F">
              <w:rPr>
                <w:b w:val="0"/>
              </w:rPr>
              <w:t>14.</w:t>
            </w:r>
            <w:r w:rsidR="00662F0E">
              <w:rPr>
                <w:b w:val="0"/>
                <w:noProof/>
              </w:rPr>
              <w:t>13</w:t>
            </w:r>
            <w:r>
              <w:tab/>
            </w:r>
            <w:r w:rsidRPr="00CA1F74">
              <w:t>People aged 65 years or over who did not leave home or did not leave home as often as they would like, by disability status, 201</w:t>
            </w:r>
            <w:r w:rsidR="00D363AD">
              <w:t>5</w:t>
            </w:r>
            <w:r w:rsidR="00755121" w:rsidRPr="00755121">
              <w:rPr>
                <w:rStyle w:val="NoteLabel"/>
                <w:b/>
              </w:rPr>
              <w:t>a</w:t>
            </w:r>
            <w:r w:rsidR="00C0584F">
              <w:rPr>
                <w:rStyle w:val="NoteLabel"/>
                <w:b/>
              </w:rPr>
              <w:t>, b</w:t>
            </w:r>
            <w:r w:rsidR="000E3E49">
              <w:rPr>
                <w:rStyle w:val="NoteLabel"/>
                <w:b/>
              </w:rPr>
              <w:t>, c</w:t>
            </w:r>
          </w:p>
        </w:tc>
      </w:tr>
      <w:tr w:rsidR="00CA1F74" w:rsidTr="005F1445">
        <w:trPr>
          <w:trHeight w:val="4069"/>
        </w:trPr>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A1F74" w:rsidTr="005F1445">
              <w:trPr>
                <w:trHeight w:val="4041"/>
              </w:trPr>
              <w:tc>
                <w:tcPr>
                  <w:tcW w:w="5000" w:type="pct"/>
                  <w:tcBorders>
                    <w:top w:val="nil"/>
                    <w:bottom w:val="nil"/>
                  </w:tcBorders>
                </w:tcPr>
                <w:p w:rsidR="00CA1F74" w:rsidRPr="0062473F" w:rsidRDefault="00FE70DC" w:rsidP="000F6E9B">
                  <w:pPr>
                    <w:pStyle w:val="Figure"/>
                    <w:spacing w:before="60" w:after="60"/>
                  </w:pPr>
                  <w:r>
                    <w:rPr>
                      <w:noProof/>
                    </w:rPr>
                    <w:drawing>
                      <wp:inline distT="0" distB="0" distL="0" distR="0">
                        <wp:extent cx="5307965" cy="2517775"/>
                        <wp:effectExtent l="0" t="0" r="6985" b="0"/>
                        <wp:docPr id="14" name="Picture 14" descr="Figure 14.13 People aged 65 years or over who did not leave home or did not leave home as often as they would like, by disability status,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07965" cy="2517775"/>
                                </a:xfrm>
                                <a:prstGeom prst="rect">
                                  <a:avLst/>
                                </a:prstGeom>
                                <a:noFill/>
                                <a:ln>
                                  <a:noFill/>
                                </a:ln>
                              </pic:spPr>
                            </pic:pic>
                          </a:graphicData>
                        </a:graphic>
                      </wp:inline>
                    </w:drawing>
                  </w:r>
                </w:p>
              </w:tc>
            </w:tr>
          </w:tbl>
          <w:p w:rsidR="00CA1F74" w:rsidRDefault="00CA1F74" w:rsidP="000F6E9B">
            <w:pPr>
              <w:pStyle w:val="Figure"/>
            </w:pPr>
          </w:p>
        </w:tc>
      </w:tr>
      <w:tr w:rsidR="00CA1F74" w:rsidRPr="00176D3F" w:rsidTr="000F6E9B">
        <w:tc>
          <w:tcPr>
            <w:tcW w:w="8771" w:type="dxa"/>
            <w:tcBorders>
              <w:top w:val="nil"/>
              <w:left w:val="nil"/>
              <w:bottom w:val="nil"/>
              <w:right w:val="nil"/>
            </w:tcBorders>
            <w:shd w:val="clear" w:color="auto" w:fill="auto"/>
          </w:tcPr>
          <w:p w:rsidR="00CA1F74" w:rsidRPr="00176D3F" w:rsidRDefault="000E3E49" w:rsidP="000E3E49">
            <w:pPr>
              <w:pStyle w:val="Note"/>
            </w:pPr>
            <w:r w:rsidRPr="000A2BE0">
              <w:rPr>
                <w:rStyle w:val="NoteLabel"/>
                <w:shd w:val="clear" w:color="auto" w:fill="FFFFFF" w:themeFill="background1"/>
              </w:rPr>
              <w:t>a</w:t>
            </w:r>
            <w:r w:rsidRPr="000A2BE0">
              <w:rPr>
                <w:shd w:val="clear" w:color="auto" w:fill="FFFFFF" w:themeFill="background1"/>
              </w:rPr>
              <w:t xml:space="preserve"> Error bars represent the 95 per cent confidence interval associated with each point estimate.</w:t>
            </w:r>
            <w:r w:rsidRPr="00604463">
              <w:t xml:space="preserve"> </w:t>
            </w:r>
            <w:r>
              <w:rPr>
                <w:rStyle w:val="NoteLabel"/>
              </w:rPr>
              <w:t>b</w:t>
            </w:r>
            <w:r w:rsidR="00CA1F74">
              <w:t xml:space="preserve"> </w:t>
            </w:r>
            <w:r w:rsidR="007B42C9" w:rsidRPr="007B42C9">
              <w:t>See box</w:t>
            </w:r>
            <w:r w:rsidR="00E75264">
              <w:t> </w:t>
            </w:r>
            <w:r w:rsidR="007B42C9" w:rsidRPr="007B42C9">
              <w:t>1</w:t>
            </w:r>
            <w:r w:rsidR="00D363AD">
              <w:t>4</w:t>
            </w:r>
            <w:r w:rsidR="007B42C9" w:rsidRPr="007B42C9">
              <w:t>.1</w:t>
            </w:r>
            <w:r w:rsidR="00D363AD">
              <w:t>2</w:t>
            </w:r>
            <w:r w:rsidR="007B42C9" w:rsidRPr="007B42C9">
              <w:t xml:space="preserve"> and table</w:t>
            </w:r>
            <w:r w:rsidR="00E75264">
              <w:t> </w:t>
            </w:r>
            <w:r w:rsidR="007B42C9" w:rsidRPr="007B42C9">
              <w:t>1</w:t>
            </w:r>
            <w:r w:rsidR="00D363AD">
              <w:t>4</w:t>
            </w:r>
            <w:r w:rsidR="007B42C9" w:rsidRPr="007B42C9">
              <w:t>A.</w:t>
            </w:r>
            <w:r w:rsidR="005E1367">
              <w:t>45</w:t>
            </w:r>
            <w:r w:rsidR="007B42C9" w:rsidRPr="007B42C9">
              <w:t xml:space="preserve"> for detailed definitions, footnotes and caveats. </w:t>
            </w:r>
            <w:r>
              <w:rPr>
                <w:rStyle w:val="NoteLabel"/>
              </w:rPr>
              <w:t>c</w:t>
            </w:r>
            <w:r w:rsidR="005F1445">
              <w:t xml:space="preserve"> NT data for people without disability are not published.</w:t>
            </w:r>
            <w:r w:rsidR="007B42C9" w:rsidRPr="007B42C9">
              <w:t xml:space="preserve"> </w:t>
            </w:r>
          </w:p>
        </w:tc>
      </w:tr>
      <w:tr w:rsidR="00CA1F74" w:rsidRPr="00176D3F" w:rsidTr="000F6E9B">
        <w:tc>
          <w:tcPr>
            <w:tcW w:w="8771" w:type="dxa"/>
            <w:tcBorders>
              <w:top w:val="nil"/>
              <w:left w:val="nil"/>
              <w:bottom w:val="nil"/>
              <w:right w:val="nil"/>
            </w:tcBorders>
            <w:shd w:val="clear" w:color="auto" w:fill="auto"/>
          </w:tcPr>
          <w:p w:rsidR="00CA1F74" w:rsidRPr="00176D3F" w:rsidRDefault="00CA1F74" w:rsidP="009A6F3E">
            <w:pPr>
              <w:pStyle w:val="Source"/>
            </w:pPr>
            <w:r>
              <w:rPr>
                <w:i/>
              </w:rPr>
              <w:t>Source</w:t>
            </w:r>
            <w:r w:rsidRPr="00CA1F74">
              <w:t>:</w:t>
            </w:r>
            <w:r w:rsidR="004033CD">
              <w:t xml:space="preserve"> </w:t>
            </w:r>
            <w:r w:rsidR="00EC24D9" w:rsidRPr="00734B35">
              <w:t xml:space="preserve">ABS </w:t>
            </w:r>
            <w:r w:rsidR="00EC24D9">
              <w:t>(</w:t>
            </w:r>
            <w:r w:rsidR="00EC24D9" w:rsidRPr="00734B35">
              <w:t>unpublished</w:t>
            </w:r>
            <w:r w:rsidR="00EC24D9">
              <w:t>)</w:t>
            </w:r>
            <w:r w:rsidR="00EC24D9" w:rsidRPr="00734B35">
              <w:t xml:space="preserve"> </w:t>
            </w:r>
            <w:r w:rsidR="00025AE5">
              <w:rPr>
                <w:i/>
              </w:rPr>
              <w:t>SDAC</w:t>
            </w:r>
            <w:r w:rsidR="00EC24D9" w:rsidRPr="00734B35">
              <w:rPr>
                <w:i/>
              </w:rPr>
              <w:t xml:space="preserve"> 201</w:t>
            </w:r>
            <w:r w:rsidR="00D363AD">
              <w:rPr>
                <w:i/>
              </w:rPr>
              <w:t>5</w:t>
            </w:r>
            <w:r w:rsidR="00EC24D9">
              <w:rPr>
                <w:i/>
              </w:rPr>
              <w:t xml:space="preserve">, </w:t>
            </w:r>
            <w:r w:rsidR="00EC24D9" w:rsidRPr="00EC24D9">
              <w:t>Cat. no.</w:t>
            </w:r>
            <w:r w:rsidR="00EC24D9">
              <w:rPr>
                <w:i/>
              </w:rPr>
              <w:t xml:space="preserve"> </w:t>
            </w:r>
            <w:r w:rsidR="00EC24D9" w:rsidRPr="00EC24D9">
              <w:t>4430.0</w:t>
            </w:r>
            <w:r w:rsidR="00407392">
              <w:t xml:space="preserve"> </w:t>
            </w:r>
            <w:r w:rsidR="00407392" w:rsidRPr="00C730E9">
              <w:t>(derived using Table Builder)</w:t>
            </w:r>
            <w:r w:rsidR="004033CD" w:rsidRPr="004033CD">
              <w:t>; table</w:t>
            </w:r>
            <w:r w:rsidR="009551A0">
              <w:t> </w:t>
            </w:r>
            <w:r w:rsidR="004033CD" w:rsidRPr="004033CD">
              <w:t>1</w:t>
            </w:r>
            <w:r w:rsidR="00376173">
              <w:t>4</w:t>
            </w:r>
            <w:r w:rsidR="004033CD" w:rsidRPr="004033CD">
              <w:t>A.</w:t>
            </w:r>
            <w:r w:rsidR="005E1367">
              <w:t>45</w:t>
            </w:r>
            <w:r w:rsidR="004033CD" w:rsidRPr="004033CD">
              <w:t>.</w:t>
            </w:r>
          </w:p>
        </w:tc>
      </w:tr>
      <w:tr w:rsidR="00CA1F74" w:rsidTr="000F6E9B">
        <w:tc>
          <w:tcPr>
            <w:tcW w:w="8771" w:type="dxa"/>
            <w:tcBorders>
              <w:top w:val="nil"/>
              <w:left w:val="nil"/>
              <w:bottom w:val="single" w:sz="6" w:space="0" w:color="78A22F"/>
              <w:right w:val="nil"/>
            </w:tcBorders>
            <w:shd w:val="clear" w:color="auto" w:fill="auto"/>
          </w:tcPr>
          <w:p w:rsidR="00CA1F74" w:rsidRDefault="00CA1F74" w:rsidP="000F6E9B">
            <w:pPr>
              <w:pStyle w:val="Figurespace"/>
            </w:pPr>
          </w:p>
        </w:tc>
      </w:tr>
      <w:tr w:rsidR="00CA1F74" w:rsidRPr="000863A5" w:rsidTr="000F6E9B">
        <w:tc>
          <w:tcPr>
            <w:tcW w:w="8771" w:type="dxa"/>
            <w:tcBorders>
              <w:top w:val="single" w:sz="6" w:space="0" w:color="78A22F"/>
              <w:left w:val="nil"/>
              <w:bottom w:val="nil"/>
              <w:right w:val="nil"/>
            </w:tcBorders>
          </w:tcPr>
          <w:p w:rsidR="00CA1F74" w:rsidRPr="00626D32" w:rsidRDefault="00CA1F74" w:rsidP="000F6E9B">
            <w:pPr>
              <w:pStyle w:val="BoxSpaceBelow"/>
            </w:pPr>
          </w:p>
        </w:tc>
      </w:tr>
    </w:tbl>
    <w:p w:rsidR="00116AD7" w:rsidRDefault="00116AD7" w:rsidP="00116AD7">
      <w:pPr>
        <w:pStyle w:val="Heading4"/>
      </w:pPr>
      <w:r>
        <w:lastRenderedPageBreak/>
        <w:t>Maintenance of individual physical function</w:t>
      </w:r>
    </w:p>
    <w:p w:rsidR="00116AD7" w:rsidRDefault="00116AD7" w:rsidP="00116AD7">
      <w:pPr>
        <w:pStyle w:val="BodyText"/>
      </w:pPr>
      <w:r>
        <w:t>‘Maintenance of individual physical function’ is an indicator of governments’ objective for aged care services to promote the wellbeing and independence of older people (box</w:t>
      </w:r>
      <w:r w:rsidR="009551A0">
        <w:t> </w:t>
      </w:r>
      <w:r>
        <w:t>1</w:t>
      </w:r>
      <w:r w:rsidR="00C35541">
        <w:t>4</w:t>
      </w:r>
      <w:r>
        <w:t>.</w:t>
      </w:r>
      <w:r w:rsidR="00C64EFF">
        <w:t>1</w:t>
      </w:r>
      <w:r w:rsidR="00BC3587">
        <w:t>3</w:t>
      </w:r>
      <w:r>
        <w:t>).</w:t>
      </w:r>
    </w:p>
    <w:p w:rsidR="000E3E49" w:rsidRDefault="000E3E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E3E49" w:rsidTr="00416F90">
        <w:tc>
          <w:tcPr>
            <w:tcW w:w="8771" w:type="dxa"/>
            <w:tcBorders>
              <w:top w:val="single" w:sz="6" w:space="0" w:color="78A22F"/>
              <w:left w:val="nil"/>
              <w:bottom w:val="nil"/>
              <w:right w:val="nil"/>
            </w:tcBorders>
            <w:shd w:val="clear" w:color="auto" w:fill="F2F2F2"/>
          </w:tcPr>
          <w:p w:rsidR="000E3E49" w:rsidRDefault="000E3E49">
            <w:pPr>
              <w:pStyle w:val="BoxTitle"/>
            </w:pPr>
            <w:r>
              <w:rPr>
                <w:b w:val="0"/>
              </w:rPr>
              <w:t xml:space="preserve">Box </w:t>
            </w:r>
            <w:r w:rsidR="000A554C">
              <w:rPr>
                <w:b w:val="0"/>
              </w:rPr>
              <w:t>14.</w:t>
            </w:r>
            <w:r w:rsidR="00662F0E">
              <w:rPr>
                <w:b w:val="0"/>
                <w:noProof/>
              </w:rPr>
              <w:t>13</w:t>
            </w:r>
            <w:r>
              <w:tab/>
            </w:r>
            <w:r w:rsidR="00575944" w:rsidRPr="00575944">
              <w:t>Maintenance of individual physical function</w:t>
            </w:r>
          </w:p>
        </w:tc>
      </w:tr>
      <w:tr w:rsidR="000E3E49" w:rsidTr="00416F90">
        <w:tc>
          <w:tcPr>
            <w:tcW w:w="8771" w:type="dxa"/>
            <w:tcBorders>
              <w:top w:val="nil"/>
              <w:left w:val="nil"/>
              <w:bottom w:val="nil"/>
              <w:right w:val="nil"/>
            </w:tcBorders>
            <w:shd w:val="clear" w:color="auto" w:fill="F2F2F2"/>
          </w:tcPr>
          <w:p w:rsidR="000E3E49" w:rsidRDefault="004A61B6" w:rsidP="000E3E49">
            <w:pPr>
              <w:pStyle w:val="Box"/>
            </w:pPr>
            <w:r>
              <w:t>‘</w:t>
            </w:r>
            <w:r w:rsidR="000E3E49">
              <w:t xml:space="preserve">Maintenance of individual physical function’ is defined as the improvement in the </w:t>
            </w:r>
            <w:r w:rsidR="000E3E49" w:rsidRPr="0056376C">
              <w:t>T</w:t>
            </w:r>
            <w:r>
              <w:t xml:space="preserve">ransition </w:t>
            </w:r>
            <w:r w:rsidR="000E3E49" w:rsidRPr="0056376C">
              <w:t>C</w:t>
            </w:r>
            <w:r>
              <w:t xml:space="preserve">are </w:t>
            </w:r>
            <w:r w:rsidRPr="0056376C">
              <w:t>P</w:t>
            </w:r>
            <w:r>
              <w:t>rogram (TCP)</w:t>
            </w:r>
            <w:r w:rsidR="000E3E49">
              <w:t xml:space="preserve"> client’s level of physical function, measured as the difference between the average Modified Barthel Index (MBI) score on TCP entry and exit. </w:t>
            </w:r>
          </w:p>
          <w:p w:rsidR="000E3E49" w:rsidRDefault="000E3E49" w:rsidP="000E3E49">
            <w:pPr>
              <w:pStyle w:val="Box"/>
            </w:pPr>
            <w:r>
              <w:t xml:space="preserve">An increase in the score from entry to exit is desirable. </w:t>
            </w:r>
          </w:p>
          <w:p w:rsidR="000E3E49" w:rsidRDefault="000E3E49" w:rsidP="000E3E49">
            <w:pPr>
              <w:pStyle w:val="Box"/>
            </w:pPr>
            <w:r w:rsidRPr="005A7770">
              <w:t xml:space="preserve">The MBI is a measure of functioning ranging from 0 (fully dependent) to 100 (fully independent). Data are reported for recipients who completed a </w:t>
            </w:r>
            <w:r>
              <w:t>TCP</w:t>
            </w:r>
            <w:r w:rsidRPr="005A7770">
              <w:t xml:space="preserve"> episode</w:t>
            </w:r>
            <w:r>
              <w:t xml:space="preserve"> only</w:t>
            </w:r>
            <w:r w:rsidRPr="005A7770">
              <w:t>.</w:t>
            </w:r>
            <w:r>
              <w:t xml:space="preserve"> See section</w:t>
            </w:r>
            <w:r w:rsidR="00664BA5">
              <w:t> </w:t>
            </w:r>
            <w:r>
              <w:t>14.4 for details on the TCP.</w:t>
            </w:r>
          </w:p>
          <w:p w:rsidR="000E3E49" w:rsidRDefault="000E3E49" w:rsidP="000E3E49">
            <w:pPr>
              <w:pStyle w:val="Box"/>
            </w:pPr>
            <w:r>
              <w:t xml:space="preserve">This indicator needs to be interpreted with </w:t>
            </w:r>
            <w:r w:rsidRPr="00CA1F6E">
              <w:t>caution</w:t>
            </w:r>
            <w:r>
              <w:t xml:space="preserve">. The TCP operates with some differences across jurisdictions including differences in health and aged care service systems, local operating procedures and client groups. Variation in the average MBI scores on entry and exit from the program may reflect differences in client groups for the program across jurisdictions. </w:t>
            </w:r>
          </w:p>
          <w:p w:rsidR="009A6F3E" w:rsidRDefault="009A6F3E" w:rsidP="009A6F3E">
            <w:pPr>
              <w:pStyle w:val="Box"/>
            </w:pPr>
            <w:r>
              <w:t xml:space="preserve">The TCP is a small program only available directly upon discharge from hospital. The average duration of care is around 8.5 weeks, with a maximum duration of 12 weeks (may be extended by a further 6 weeks in some circumstances). </w:t>
            </w:r>
          </w:p>
          <w:p w:rsidR="009A6F3E" w:rsidRDefault="009A6F3E" w:rsidP="009A6F3E">
            <w:pPr>
              <w:pStyle w:val="Box"/>
            </w:pPr>
            <w:r>
              <w:t>Data reported for this indicator are:</w:t>
            </w:r>
          </w:p>
          <w:p w:rsidR="009A6F3E" w:rsidRDefault="009A6F3E" w:rsidP="009A6F3E">
            <w:pPr>
              <w:pStyle w:val="BoxListBullet"/>
            </w:pPr>
            <w:r>
              <w:t xml:space="preserve">comparable (subject to caveats) across jurisdictions and over time </w:t>
            </w:r>
          </w:p>
          <w:p w:rsidR="009A6F3E" w:rsidRDefault="009A6F3E" w:rsidP="00CD6D7F">
            <w:pPr>
              <w:pStyle w:val="BoxListBullet"/>
            </w:pPr>
            <w:r>
              <w:t>complete for the current reporting period (subject to caveats). All required 2015</w:t>
            </w:r>
            <w:r>
              <w:noBreakHyphen/>
              <w:t>16 data are available for all jurisdictions.</w:t>
            </w:r>
          </w:p>
        </w:tc>
      </w:tr>
      <w:tr w:rsidR="000E3E49" w:rsidTr="00416F90">
        <w:tc>
          <w:tcPr>
            <w:tcW w:w="8771" w:type="dxa"/>
            <w:tcBorders>
              <w:top w:val="nil"/>
              <w:left w:val="nil"/>
              <w:bottom w:val="single" w:sz="6" w:space="0" w:color="78A22F"/>
              <w:right w:val="nil"/>
            </w:tcBorders>
            <w:shd w:val="clear" w:color="auto" w:fill="F2F2F2"/>
          </w:tcPr>
          <w:p w:rsidR="000E3E49" w:rsidRDefault="000E3E49">
            <w:pPr>
              <w:pStyle w:val="Box"/>
              <w:spacing w:before="0" w:line="120" w:lineRule="exact"/>
            </w:pPr>
          </w:p>
        </w:tc>
      </w:tr>
      <w:tr w:rsidR="000E3E49" w:rsidRPr="000863A5" w:rsidTr="00416F90">
        <w:tc>
          <w:tcPr>
            <w:tcW w:w="8771" w:type="dxa"/>
            <w:tcBorders>
              <w:top w:val="single" w:sz="6" w:space="0" w:color="78A22F"/>
              <w:left w:val="nil"/>
              <w:bottom w:val="nil"/>
              <w:right w:val="nil"/>
            </w:tcBorders>
          </w:tcPr>
          <w:p w:rsidR="000E3E49" w:rsidRPr="00626D32" w:rsidRDefault="000E3E49" w:rsidP="00416F90">
            <w:pPr>
              <w:pStyle w:val="BoxSpaceBelow"/>
            </w:pPr>
          </w:p>
        </w:tc>
      </w:tr>
    </w:tbl>
    <w:p w:rsidR="00116AD7" w:rsidRDefault="00BC3587" w:rsidP="00116AD7">
      <w:pPr>
        <w:pStyle w:val="BodyText"/>
      </w:pPr>
      <w:r>
        <w:t>Nationally in 2015</w:t>
      </w:r>
      <w:r w:rsidR="00664BA5">
        <w:noBreakHyphen/>
      </w:r>
      <w:r>
        <w:t>16, t</w:t>
      </w:r>
      <w:r w:rsidR="00116AD7" w:rsidRPr="00116AD7">
        <w:t xml:space="preserve">he average MBI score on entry to the TCP was </w:t>
      </w:r>
      <w:r w:rsidR="00175A42">
        <w:t>71</w:t>
      </w:r>
      <w:r w:rsidR="004A2E50">
        <w:t> </w:t>
      </w:r>
      <w:r w:rsidR="00C64EFF">
        <w:t xml:space="preserve">and </w:t>
      </w:r>
      <w:r w:rsidR="00116AD7" w:rsidRPr="00116AD7">
        <w:t xml:space="preserve">on exit from the TCP was </w:t>
      </w:r>
      <w:r w:rsidR="00175A42">
        <w:t>81</w:t>
      </w:r>
      <w:r w:rsidR="00116AD7" w:rsidRPr="00116AD7">
        <w:t xml:space="preserve"> (figure</w:t>
      </w:r>
      <w:r w:rsidR="004A2E50">
        <w:t> </w:t>
      </w:r>
      <w:r w:rsidR="00116AD7" w:rsidRPr="00116AD7">
        <w:t>1</w:t>
      </w:r>
      <w:r w:rsidR="00376173">
        <w:t>4</w:t>
      </w:r>
      <w:r w:rsidR="00116AD7" w:rsidRPr="00116AD7">
        <w:t>.</w:t>
      </w:r>
      <w:r w:rsidR="00376173">
        <w:t>1</w:t>
      </w:r>
      <w:r w:rsidR="00984068">
        <w:t>4</w:t>
      </w:r>
      <w:r w:rsidR="005712D3">
        <w:t>)</w:t>
      </w:r>
      <w:r w:rsidR="00116AD7" w:rsidRPr="00116AD7">
        <w:t>.</w:t>
      </w:r>
    </w:p>
    <w:p w:rsidR="005A7770" w:rsidRDefault="005A7770" w:rsidP="00C64E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7770" w:rsidTr="00C64EFF">
        <w:tc>
          <w:tcPr>
            <w:tcW w:w="8771" w:type="dxa"/>
            <w:tcBorders>
              <w:top w:val="single" w:sz="6" w:space="0" w:color="78A22F"/>
              <w:left w:val="nil"/>
              <w:bottom w:val="nil"/>
              <w:right w:val="nil"/>
            </w:tcBorders>
            <w:shd w:val="clear" w:color="auto" w:fill="auto"/>
          </w:tcPr>
          <w:p w:rsidR="005A7770" w:rsidRPr="00176D3F" w:rsidRDefault="005A7770" w:rsidP="00A424A8">
            <w:pPr>
              <w:pStyle w:val="FigureTitle"/>
            </w:pPr>
            <w:r w:rsidRPr="00784A05">
              <w:rPr>
                <w:b w:val="0"/>
              </w:rPr>
              <w:t xml:space="preserve">Figure </w:t>
            </w:r>
            <w:r w:rsidR="000A554C">
              <w:rPr>
                <w:b w:val="0"/>
              </w:rPr>
              <w:t>14.</w:t>
            </w:r>
            <w:r w:rsidR="00662F0E">
              <w:rPr>
                <w:b w:val="0"/>
                <w:noProof/>
              </w:rPr>
              <w:t>14</w:t>
            </w:r>
            <w:r>
              <w:tab/>
            </w:r>
            <w:r w:rsidR="00FC1B7A">
              <w:t>TCP</w:t>
            </w:r>
            <w:r w:rsidRPr="00B02AB7">
              <w:t xml:space="preserve"> — average MBI score on entry and exit, 201</w:t>
            </w:r>
            <w:r w:rsidR="00A424A8">
              <w:t>5</w:t>
            </w:r>
            <w:r>
              <w:rPr>
                <w:rFonts w:cs="Arial"/>
              </w:rPr>
              <w:noBreakHyphen/>
            </w:r>
            <w:r>
              <w:t>1</w:t>
            </w:r>
            <w:r w:rsidR="00A424A8">
              <w:t>6</w:t>
            </w:r>
            <w:r w:rsidR="00C95F80" w:rsidRPr="00C95F80">
              <w:rPr>
                <w:rStyle w:val="NoteLabel"/>
                <w:b/>
              </w:rPr>
              <w:t>a</w:t>
            </w:r>
            <w:r>
              <w:t xml:space="preserve"> </w:t>
            </w:r>
          </w:p>
        </w:tc>
      </w:tr>
      <w:tr w:rsidR="005A7770" w:rsidTr="00C64E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A7770" w:rsidTr="000A2BE0">
              <w:trPr>
                <w:trHeight w:val="3980"/>
                <w:jc w:val="center"/>
              </w:trPr>
              <w:tc>
                <w:tcPr>
                  <w:tcW w:w="5000" w:type="pct"/>
                  <w:tcBorders>
                    <w:top w:val="nil"/>
                    <w:bottom w:val="nil"/>
                    <w:right w:val="nil"/>
                  </w:tcBorders>
                </w:tcPr>
                <w:p w:rsidR="005A7770" w:rsidRPr="005F1445" w:rsidRDefault="00FE70DC" w:rsidP="00C64EFF">
                  <w:pPr>
                    <w:pStyle w:val="Figure"/>
                    <w:spacing w:before="60" w:after="60"/>
                  </w:pPr>
                  <w:r>
                    <w:rPr>
                      <w:noProof/>
                    </w:rPr>
                    <w:drawing>
                      <wp:inline distT="0" distB="0" distL="0" distR="0">
                        <wp:extent cx="5344160" cy="2778760"/>
                        <wp:effectExtent l="0" t="0" r="8890" b="2540"/>
                        <wp:docPr id="15" name="Picture 15" descr="Figure 14.14 TCP — average MBI score on entry and exit,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44160" cy="2778760"/>
                                </a:xfrm>
                                <a:prstGeom prst="rect">
                                  <a:avLst/>
                                </a:prstGeom>
                                <a:noFill/>
                                <a:ln>
                                  <a:noFill/>
                                </a:ln>
                              </pic:spPr>
                            </pic:pic>
                          </a:graphicData>
                        </a:graphic>
                      </wp:inline>
                    </w:drawing>
                  </w:r>
                </w:p>
              </w:tc>
            </w:tr>
          </w:tbl>
          <w:p w:rsidR="005A7770" w:rsidRDefault="005A7770" w:rsidP="00C64EFF">
            <w:pPr>
              <w:pStyle w:val="Figure"/>
            </w:pPr>
          </w:p>
        </w:tc>
      </w:tr>
      <w:tr w:rsidR="00D067DC" w:rsidRPr="00176D3F" w:rsidTr="00C64EFF">
        <w:tc>
          <w:tcPr>
            <w:tcW w:w="8771" w:type="dxa"/>
            <w:tcBorders>
              <w:top w:val="nil"/>
              <w:left w:val="nil"/>
              <w:bottom w:val="nil"/>
              <w:right w:val="nil"/>
            </w:tcBorders>
            <w:shd w:val="clear" w:color="auto" w:fill="auto"/>
          </w:tcPr>
          <w:p w:rsidR="00D067DC" w:rsidRPr="00176D3F" w:rsidRDefault="00D067DC" w:rsidP="005F1445">
            <w:pPr>
              <w:pStyle w:val="Note"/>
            </w:pPr>
            <w:r>
              <w:rPr>
                <w:rStyle w:val="NoteLabel"/>
              </w:rPr>
              <w:t>a</w:t>
            </w:r>
            <w:r>
              <w:t xml:space="preserve"> </w:t>
            </w:r>
            <w:r w:rsidRPr="007B42C9">
              <w:t>See box</w:t>
            </w:r>
            <w:r w:rsidR="00E75264">
              <w:t> </w:t>
            </w:r>
            <w:r w:rsidRPr="007B42C9">
              <w:t>1</w:t>
            </w:r>
            <w:r w:rsidR="000A741B">
              <w:t>4</w:t>
            </w:r>
            <w:r w:rsidRPr="007B42C9">
              <w:t>.</w:t>
            </w:r>
            <w:r w:rsidR="005F1445">
              <w:t>13</w:t>
            </w:r>
            <w:r w:rsidR="000A741B">
              <w:t xml:space="preserve"> </w:t>
            </w:r>
            <w:r w:rsidRPr="007B42C9">
              <w:t>and table</w:t>
            </w:r>
            <w:r w:rsidR="00E75264">
              <w:t> </w:t>
            </w:r>
            <w:r w:rsidR="00A424A8">
              <w:t>14A</w:t>
            </w:r>
            <w:r w:rsidRPr="007B42C9">
              <w:t>.</w:t>
            </w:r>
            <w:r w:rsidR="005F1445">
              <w:t>46</w:t>
            </w:r>
            <w:r w:rsidRPr="007B42C9">
              <w:t xml:space="preserve"> for detailed definitions, footnotes and caveats.  </w:t>
            </w:r>
          </w:p>
        </w:tc>
      </w:tr>
      <w:tr w:rsidR="00D067DC" w:rsidRPr="00176D3F" w:rsidTr="00C64EFF">
        <w:tc>
          <w:tcPr>
            <w:tcW w:w="8771" w:type="dxa"/>
            <w:tcBorders>
              <w:top w:val="nil"/>
              <w:left w:val="nil"/>
              <w:bottom w:val="nil"/>
              <w:right w:val="nil"/>
            </w:tcBorders>
            <w:shd w:val="clear" w:color="auto" w:fill="auto"/>
          </w:tcPr>
          <w:p w:rsidR="00D067DC" w:rsidRPr="00176D3F" w:rsidRDefault="00D067DC" w:rsidP="005F1445">
            <w:pPr>
              <w:pStyle w:val="Source"/>
            </w:pPr>
            <w:r>
              <w:rPr>
                <w:i/>
              </w:rPr>
              <w:t>S</w:t>
            </w:r>
            <w:r w:rsidRPr="00784A05">
              <w:rPr>
                <w:i/>
              </w:rPr>
              <w:t>ource</w:t>
            </w:r>
            <w:r w:rsidRPr="00176D3F">
              <w:t xml:space="preserve">: </w:t>
            </w:r>
            <w:r w:rsidR="008617D3">
              <w:t>D</w:t>
            </w:r>
            <w:r w:rsidR="00A424A8">
              <w:t>epartment of Health</w:t>
            </w:r>
            <w:r w:rsidR="00C7774D">
              <w:t xml:space="preserve"> (unpublished); table</w:t>
            </w:r>
            <w:r w:rsidR="00E75264">
              <w:t> </w:t>
            </w:r>
            <w:r w:rsidR="00A424A8">
              <w:t>14A</w:t>
            </w:r>
            <w:r w:rsidR="00C7774D">
              <w:t>.</w:t>
            </w:r>
            <w:r w:rsidR="005F1445">
              <w:t>46</w:t>
            </w:r>
            <w:r w:rsidR="00C7774D">
              <w:t>.</w:t>
            </w:r>
          </w:p>
        </w:tc>
      </w:tr>
      <w:tr w:rsidR="00D067DC" w:rsidTr="00C64EFF">
        <w:tc>
          <w:tcPr>
            <w:tcW w:w="8771" w:type="dxa"/>
            <w:tcBorders>
              <w:top w:val="nil"/>
              <w:left w:val="nil"/>
              <w:bottom w:val="single" w:sz="6" w:space="0" w:color="78A22F"/>
              <w:right w:val="nil"/>
            </w:tcBorders>
            <w:shd w:val="clear" w:color="auto" w:fill="auto"/>
          </w:tcPr>
          <w:p w:rsidR="00D067DC" w:rsidRDefault="00D067DC" w:rsidP="00C64EFF">
            <w:pPr>
              <w:pStyle w:val="Figurespace"/>
            </w:pPr>
          </w:p>
        </w:tc>
      </w:tr>
      <w:tr w:rsidR="00D067DC" w:rsidRPr="000863A5" w:rsidTr="00C64EFF">
        <w:tc>
          <w:tcPr>
            <w:tcW w:w="8771" w:type="dxa"/>
            <w:tcBorders>
              <w:top w:val="single" w:sz="6" w:space="0" w:color="78A22F"/>
              <w:left w:val="nil"/>
              <w:bottom w:val="nil"/>
              <w:right w:val="nil"/>
            </w:tcBorders>
          </w:tcPr>
          <w:p w:rsidR="00D067DC" w:rsidRPr="00626D32" w:rsidRDefault="00D067DC" w:rsidP="00C64EFF">
            <w:pPr>
              <w:pStyle w:val="BoxSpaceBelow"/>
            </w:pPr>
          </w:p>
        </w:tc>
      </w:tr>
    </w:tbl>
    <w:p w:rsidR="00116AD7" w:rsidRDefault="00116AD7" w:rsidP="00116AD7">
      <w:pPr>
        <w:pStyle w:val="Heading4"/>
      </w:pPr>
      <w:r>
        <w:t>Enabling people with care needs to live in the community</w:t>
      </w:r>
    </w:p>
    <w:p w:rsidR="00116AD7" w:rsidRDefault="00116AD7" w:rsidP="00116AD7">
      <w:pPr>
        <w:pStyle w:val="BodyText"/>
      </w:pPr>
      <w:r>
        <w:t xml:space="preserve">‘Enabling people with care needs to live in the community’ </w:t>
      </w:r>
      <w:r w:rsidR="00393A4E" w:rsidRPr="00393A4E">
        <w:t xml:space="preserve">is yet to be defined, but will be an indicator of governments’ objective to </w:t>
      </w:r>
      <w:r w:rsidR="00376173" w:rsidRPr="00376173">
        <w:t>promote the wellbeing and independence of older people, by enabling them to stay in their own homes</w:t>
      </w:r>
      <w:r>
        <w:t>.</w:t>
      </w:r>
    </w:p>
    <w:p w:rsidR="00D016B2" w:rsidRDefault="00D016B2" w:rsidP="000E3E49">
      <w:pPr>
        <w:pStyle w:val="Heading2"/>
        <w:keepLines/>
      </w:pPr>
      <w:bookmarkStart w:id="13" w:name="_Toc470106067"/>
      <w:r>
        <w:t>1</w:t>
      </w:r>
      <w:r w:rsidR="00904AD2">
        <w:t>4</w:t>
      </w:r>
      <w:r>
        <w:t>.</w:t>
      </w:r>
      <w:r w:rsidR="00904AD2">
        <w:rPr>
          <w:noProof/>
        </w:rPr>
        <w:t>4</w:t>
      </w:r>
      <w:r w:rsidRPr="009853A3">
        <w:tab/>
        <w:t>Definitions of key terms</w:t>
      </w:r>
      <w:bookmarkEnd w:id="13"/>
    </w:p>
    <w:p w:rsidR="009853A3" w:rsidRDefault="009853A3" w:rsidP="00C6461C">
      <w:pPr>
        <w:pStyle w:val="Figurespace"/>
      </w:pPr>
    </w:p>
    <w:p w:rsidR="00746A92" w:rsidRPr="009853A3" w:rsidRDefault="00746A92" w:rsidP="00C6461C">
      <w:pPr>
        <w:pStyle w:val="Figurespace"/>
      </w:pPr>
    </w:p>
    <w:tbl>
      <w:tblPr>
        <w:tblW w:w="0" w:type="auto"/>
        <w:tblInd w:w="108" w:type="dxa"/>
        <w:tblLook w:val="01E0" w:firstRow="1" w:lastRow="1" w:firstColumn="1" w:lastColumn="1" w:noHBand="0" w:noVBand="0"/>
      </w:tblPr>
      <w:tblGrid>
        <w:gridCol w:w="2127"/>
        <w:gridCol w:w="6662"/>
      </w:tblGrid>
      <w:tr w:rsidR="009853A3" w:rsidRPr="009853A3" w:rsidTr="000E3E49">
        <w:tc>
          <w:tcPr>
            <w:tcW w:w="2127" w:type="dxa"/>
          </w:tcPr>
          <w:p w:rsidR="009853A3" w:rsidRPr="009853A3" w:rsidRDefault="009853A3" w:rsidP="00D34701">
            <w:pPr>
              <w:pStyle w:val="TableBodyText"/>
              <w:spacing w:before="60" w:after="60"/>
              <w:jc w:val="left"/>
              <w:rPr>
                <w:b/>
              </w:rPr>
            </w:pPr>
            <w:r w:rsidRPr="009853A3">
              <w:rPr>
                <w:b/>
              </w:rPr>
              <w:t xml:space="preserve">Accreditation </w:t>
            </w:r>
          </w:p>
        </w:tc>
        <w:tc>
          <w:tcPr>
            <w:tcW w:w="6662" w:type="dxa"/>
          </w:tcPr>
          <w:p w:rsidR="009853A3" w:rsidRPr="009853A3" w:rsidRDefault="009853A3" w:rsidP="00D34701">
            <w:pPr>
              <w:pStyle w:val="TableBodyText"/>
              <w:keepNext w:val="0"/>
              <w:widowControl w:val="0"/>
              <w:spacing w:before="60" w:after="60"/>
              <w:jc w:val="left"/>
            </w:pPr>
            <w:r w:rsidRPr="009853A3">
              <w:t>Accreditation is a key component of the Australian Government’s quality framework for federally funded residential aged care and is a quality assurance system for residential aged care services — based on the principle of continuous improvement.</w:t>
            </w:r>
          </w:p>
          <w:p w:rsidR="009853A3" w:rsidRPr="009853A3" w:rsidRDefault="009853A3" w:rsidP="00D34701">
            <w:pPr>
              <w:pStyle w:val="TableBodyText"/>
              <w:keepNext w:val="0"/>
              <w:widowControl w:val="0"/>
              <w:spacing w:before="60" w:after="60"/>
              <w:jc w:val="left"/>
            </w:pPr>
            <w:r w:rsidRPr="009853A3">
              <w:t>Accreditation requires assessment against the 44 expected outcomes used for accreditation assessment — grouped into four standards: management systems, staffing and organisational development; health and personal care; residential lifestyle; and physical environment and safety systems.</w:t>
            </w:r>
          </w:p>
        </w:tc>
      </w:tr>
      <w:tr w:rsidR="009853A3" w:rsidRPr="009853A3" w:rsidTr="000E3E49">
        <w:tc>
          <w:tcPr>
            <w:tcW w:w="2127" w:type="dxa"/>
          </w:tcPr>
          <w:p w:rsidR="009853A3" w:rsidRPr="009853A3" w:rsidRDefault="009853A3" w:rsidP="00D34701">
            <w:pPr>
              <w:pStyle w:val="TableBodyText"/>
              <w:keepNext w:val="0"/>
              <w:widowControl w:val="0"/>
              <w:spacing w:before="60" w:after="60"/>
              <w:jc w:val="left"/>
              <w:rPr>
                <w:b/>
              </w:rPr>
            </w:pPr>
            <w:r w:rsidRPr="009853A3">
              <w:rPr>
                <w:b/>
              </w:rPr>
              <w:t>Aged care</w:t>
            </w:r>
          </w:p>
        </w:tc>
        <w:tc>
          <w:tcPr>
            <w:tcW w:w="6662" w:type="dxa"/>
          </w:tcPr>
          <w:p w:rsidR="009853A3" w:rsidRPr="009853A3" w:rsidRDefault="009853A3" w:rsidP="00D34701">
            <w:pPr>
              <w:pStyle w:val="TableBodyText"/>
              <w:keepNext w:val="0"/>
              <w:widowControl w:val="0"/>
              <w:spacing w:before="60" w:after="60"/>
              <w:jc w:val="left"/>
            </w:pPr>
            <w:r w:rsidRPr="009853A3">
              <w:t xml:space="preserve">Formal services funded and/or provided by governments that respond to the functional and social needs of older people, and the needs of their carers. </w:t>
            </w:r>
            <w:r w:rsidR="00AC6969" w:rsidRPr="00714775">
              <w:t>Home</w:t>
            </w:r>
            <w:r w:rsidRPr="00714775">
              <w:t xml:space="preserve"> care </w:t>
            </w:r>
            <w:r w:rsidR="00AC6969" w:rsidRPr="00714775">
              <w:t xml:space="preserve">and support </w:t>
            </w:r>
            <w:r w:rsidRPr="00714775">
              <w:t>services</w:t>
            </w:r>
            <w:r w:rsidRPr="009853A3">
              <w:t xml:space="preserve"> aim to optimise independence and to assist older people to stay in their own homes, while residential care services provide accommodation and care for those who can no longer be assisted to stay at home. Assessment of care needs is an important component of aged care.</w:t>
            </w:r>
          </w:p>
          <w:p w:rsidR="009853A3" w:rsidRPr="009853A3" w:rsidRDefault="009853A3" w:rsidP="00D34701">
            <w:pPr>
              <w:pStyle w:val="TableBodyText"/>
              <w:keepNext w:val="0"/>
              <w:widowControl w:val="0"/>
              <w:spacing w:before="60" w:after="60"/>
              <w:jc w:val="left"/>
            </w:pPr>
            <w:r w:rsidRPr="009853A3">
              <w:t xml:space="preserve">The majority of aged care services assist in activities of daily living such as personal care (for example, bathing and dressing), housekeeping and meal provision. Other services aim to promote social participation and connectedness. These services are delivered by trained aged care workers and volunteers. However, aged care services may also be delivered by health </w:t>
            </w:r>
            <w:r w:rsidRPr="009853A3">
              <w:lastRenderedPageBreak/>
              <w:t xml:space="preserve">professionals such as nurses and occupational therapists. </w:t>
            </w:r>
          </w:p>
          <w:p w:rsidR="009853A3" w:rsidRPr="009853A3" w:rsidRDefault="009853A3" w:rsidP="00D34701">
            <w:pPr>
              <w:pStyle w:val="TableBodyText"/>
              <w:keepNext w:val="0"/>
              <w:widowControl w:val="0"/>
              <w:spacing w:before="60" w:after="60"/>
              <w:jc w:val="left"/>
            </w:pPr>
            <w:r w:rsidRPr="009853A3">
              <w:t xml:space="preserve">Aged care services generally aim to promote wellbeing and foster function rather than to treat illness. Although some aged care services such as transition care have a specific restorative role, they are distinguished from the health services described in Part E of this Report. Aged care services may be funded through programs specifically or mainly directed to older people, or through programs that address the needs of people of different ages. </w:t>
            </w:r>
          </w:p>
        </w:tc>
      </w:tr>
      <w:tr w:rsidR="009853A3" w:rsidRPr="009853A3" w:rsidTr="000E3E49">
        <w:tc>
          <w:tcPr>
            <w:tcW w:w="2127" w:type="dxa"/>
          </w:tcPr>
          <w:p w:rsidR="009853A3" w:rsidRPr="009853A3" w:rsidRDefault="009853A3" w:rsidP="00D34701">
            <w:pPr>
              <w:pStyle w:val="TableBodyText"/>
              <w:spacing w:before="60" w:after="60"/>
              <w:jc w:val="left"/>
              <w:rPr>
                <w:b/>
              </w:rPr>
            </w:pPr>
            <w:r w:rsidRPr="009853A3">
              <w:rPr>
                <w:b/>
              </w:rPr>
              <w:lastRenderedPageBreak/>
              <w:t>Aged care target population</w:t>
            </w:r>
          </w:p>
        </w:tc>
        <w:tc>
          <w:tcPr>
            <w:tcW w:w="6662" w:type="dxa"/>
          </w:tcPr>
          <w:p w:rsidR="009853A3" w:rsidRPr="00D34701" w:rsidRDefault="009853A3" w:rsidP="00D34701">
            <w:pPr>
              <w:pStyle w:val="TableBodyText"/>
              <w:spacing w:before="60" w:after="60"/>
              <w:jc w:val="left"/>
            </w:pPr>
            <w:r w:rsidRPr="00D34701">
              <w:t>The Aged Care target population is defined as all people (</w:t>
            </w:r>
            <w:r w:rsidR="00127E2E" w:rsidRPr="00D34701">
              <w:t>Aboriginal and Torres Strait Islander</w:t>
            </w:r>
            <w:r w:rsidRPr="00D34701">
              <w:t xml:space="preserve"> and non</w:t>
            </w:r>
            <w:r w:rsidRPr="00D34701">
              <w:noBreakHyphen/>
              <w:t xml:space="preserve">Indigenous) aged 65 years or over and </w:t>
            </w:r>
            <w:r w:rsidR="00127E2E" w:rsidRPr="00D34701">
              <w:t>Aboriginal and Torres Strait Islander</w:t>
            </w:r>
            <w:r w:rsidRPr="00D34701">
              <w:t xml:space="preserve"> Australians aged 50–64 years. This is the population specified in the National Health Reform Agreement who are within the scope of, and funded for services under, the national aged care system (except in Victoria and WA).</w:t>
            </w:r>
          </w:p>
        </w:tc>
      </w:tr>
      <w:tr w:rsidR="009853A3" w:rsidRPr="009853A3" w:rsidTr="000E3E49">
        <w:tc>
          <w:tcPr>
            <w:tcW w:w="2127" w:type="dxa"/>
          </w:tcPr>
          <w:p w:rsidR="009853A3" w:rsidRPr="009853A3" w:rsidRDefault="009853A3" w:rsidP="00D34701">
            <w:pPr>
              <w:pStyle w:val="TableBodyText"/>
              <w:spacing w:before="60" w:after="60"/>
              <w:jc w:val="left"/>
              <w:rPr>
                <w:b/>
              </w:rPr>
            </w:pPr>
            <w:r w:rsidRPr="009853A3">
              <w:rPr>
                <w:b/>
              </w:rPr>
              <w:t>Aged care planning population</w:t>
            </w:r>
          </w:p>
        </w:tc>
        <w:tc>
          <w:tcPr>
            <w:tcW w:w="6662" w:type="dxa"/>
          </w:tcPr>
          <w:p w:rsidR="009853A3" w:rsidRPr="00D34701" w:rsidRDefault="009853A3" w:rsidP="00D34701">
            <w:pPr>
              <w:pStyle w:val="TableBodyText"/>
              <w:spacing w:before="60" w:after="60"/>
              <w:jc w:val="left"/>
            </w:pPr>
            <w:r w:rsidRPr="00D34701">
              <w:t>The Aged care planning population is defined as people aged 70 years or over. This is the population used by the Australian Government for its needs</w:t>
            </w:r>
            <w:r w:rsidRPr="00D34701">
              <w:noBreakHyphen/>
              <w:t>based planning framework to ensu</w:t>
            </w:r>
            <w:r w:rsidR="000D7D62" w:rsidRPr="00D34701">
              <w:t xml:space="preserve">re sufficient supply of both </w:t>
            </w:r>
            <w:r w:rsidRPr="00D34701">
              <w:t xml:space="preserve">residential and </w:t>
            </w:r>
            <w:r w:rsidR="000D7D62" w:rsidRPr="00D34701">
              <w:t xml:space="preserve">home </w:t>
            </w:r>
            <w:r w:rsidRPr="00D34701">
              <w:t>care places by matching the growth in the number of aged care places with growth in the aged population. It also seeks to ensure balance in the provision of services between metropolitan, regional, rural and remote areas, as well as between people needing differing levels of care.</w:t>
            </w:r>
          </w:p>
          <w:p w:rsidR="009853A3" w:rsidRPr="00D34701" w:rsidRDefault="009853A3" w:rsidP="00D34701">
            <w:pPr>
              <w:pStyle w:val="TableBodyText"/>
              <w:spacing w:before="60" w:after="60"/>
              <w:jc w:val="left"/>
            </w:pPr>
            <w:r w:rsidRPr="00D34701">
              <w:t>Under the framework, the Australian Government seeks to achieve and maintain a specified national provision level of subsidised operational aged care places for every 1000 people aged 70 years or over. This provision level is known as the aged care provision ratio (DoHA 2012).</w:t>
            </w:r>
          </w:p>
        </w:tc>
      </w:tr>
      <w:tr w:rsidR="009853A3" w:rsidRPr="009853A3" w:rsidTr="000E3E49">
        <w:trPr>
          <w:trHeight w:val="1349"/>
        </w:trPr>
        <w:tc>
          <w:tcPr>
            <w:tcW w:w="2127" w:type="dxa"/>
          </w:tcPr>
          <w:p w:rsidR="009853A3" w:rsidRPr="009853A3" w:rsidRDefault="009853A3" w:rsidP="00D34701">
            <w:pPr>
              <w:pStyle w:val="TableBodyText"/>
              <w:keepNext w:val="0"/>
              <w:widowControl w:val="0"/>
              <w:spacing w:before="60" w:after="60"/>
              <w:jc w:val="left"/>
              <w:rPr>
                <w:b/>
              </w:rPr>
            </w:pPr>
            <w:r w:rsidRPr="009853A3">
              <w:rPr>
                <w:b/>
              </w:rPr>
              <w:t>Ageing in place in residential care</w:t>
            </w:r>
          </w:p>
        </w:tc>
        <w:tc>
          <w:tcPr>
            <w:tcW w:w="6662" w:type="dxa"/>
          </w:tcPr>
          <w:p w:rsidR="009853A3" w:rsidRPr="009853A3" w:rsidRDefault="009853A3" w:rsidP="00D34701">
            <w:pPr>
              <w:pStyle w:val="TableBodyText"/>
              <w:spacing w:before="60" w:after="60"/>
              <w:jc w:val="left"/>
            </w:pPr>
            <w:r w:rsidRPr="009853A3">
              <w:t>An approach that aims to provide residents with appropriate care and increased choice by allowing them to remain in the same facility regardless of changes in their level of care needs. It also allows couples with different levels of care needs to be cared for in the same facility. The main facet of ‘ageing in place’ is that funding is tied to the assessed care needs of the client rather than to the se</w:t>
            </w:r>
            <w:r w:rsidR="00393A4E">
              <w:t>rvices provided by the facility.</w:t>
            </w:r>
          </w:p>
        </w:tc>
      </w:tr>
      <w:tr w:rsidR="009853A3" w:rsidRPr="009853A3" w:rsidTr="000E3E49">
        <w:trPr>
          <w:trHeight w:val="557"/>
        </w:trPr>
        <w:tc>
          <w:tcPr>
            <w:tcW w:w="2127" w:type="dxa"/>
          </w:tcPr>
          <w:p w:rsidR="009853A3" w:rsidRPr="009853A3" w:rsidRDefault="009853A3" w:rsidP="00D34701">
            <w:pPr>
              <w:pStyle w:val="TableBodyText"/>
              <w:keepNext w:val="0"/>
              <w:widowControl w:val="0"/>
              <w:spacing w:before="60" w:after="60"/>
              <w:jc w:val="left"/>
              <w:rPr>
                <w:b/>
              </w:rPr>
            </w:pPr>
            <w:r w:rsidRPr="009853A3">
              <w:rPr>
                <w:b/>
              </w:rPr>
              <w:t>Capital expenditure on residential services</w:t>
            </w:r>
          </w:p>
        </w:tc>
        <w:tc>
          <w:tcPr>
            <w:tcW w:w="6662" w:type="dxa"/>
          </w:tcPr>
          <w:p w:rsidR="009853A3" w:rsidRPr="009853A3" w:rsidRDefault="009853A3" w:rsidP="00D34701">
            <w:pPr>
              <w:pStyle w:val="TableBodyText"/>
              <w:spacing w:before="60" w:after="60"/>
              <w:jc w:val="left"/>
            </w:pPr>
            <w:r w:rsidRPr="009853A3">
              <w:t xml:space="preserve">Expenditure on building and other capital items, specifically for the provision of Australian </w:t>
            </w:r>
            <w:r w:rsidR="00D1777F">
              <w:t>G</w:t>
            </w:r>
            <w:r w:rsidRPr="009853A3">
              <w:t>overnment funded residential aged care.</w:t>
            </w:r>
          </w:p>
        </w:tc>
      </w:tr>
      <w:tr w:rsidR="009853A3" w:rsidRPr="009853A3" w:rsidTr="000E3E49">
        <w:tc>
          <w:tcPr>
            <w:tcW w:w="2127" w:type="dxa"/>
          </w:tcPr>
          <w:p w:rsidR="009853A3" w:rsidRPr="009853A3" w:rsidRDefault="009853A3" w:rsidP="00D34701">
            <w:pPr>
              <w:pStyle w:val="TableBodyText"/>
              <w:keepNext w:val="0"/>
              <w:widowControl w:val="0"/>
              <w:spacing w:before="60" w:after="60"/>
              <w:jc w:val="left"/>
              <w:rPr>
                <w:b/>
              </w:rPr>
            </w:pPr>
            <w:r w:rsidRPr="009853A3">
              <w:rPr>
                <w:b/>
              </w:rPr>
              <w:t>Care leaver</w:t>
            </w:r>
          </w:p>
        </w:tc>
        <w:tc>
          <w:tcPr>
            <w:tcW w:w="6662" w:type="dxa"/>
          </w:tcPr>
          <w:p w:rsidR="009853A3" w:rsidRPr="009853A3" w:rsidRDefault="009853A3" w:rsidP="00D34701">
            <w:pPr>
              <w:pStyle w:val="TableBodyText"/>
              <w:spacing w:before="60" w:after="60"/>
              <w:jc w:val="left"/>
            </w:pPr>
            <w:r w:rsidRPr="009853A3">
              <w:t>A care leaver is a person who was in institutional care (such as an orphanage or mental health facility) or other form of out</w:t>
            </w:r>
            <w:r w:rsidRPr="009853A3">
              <w:noBreakHyphen/>
              <w:t>of</w:t>
            </w:r>
            <w:r w:rsidRPr="009853A3">
              <w:noBreakHyphen/>
              <w:t>home care, including foster care, as a child or youth (or both) at some time during their lifetime (DoHA</w:t>
            </w:r>
            <w:r w:rsidR="004D529E">
              <w:t> </w:t>
            </w:r>
            <w:r w:rsidRPr="009853A3">
              <w:t>2012).</w:t>
            </w:r>
          </w:p>
        </w:tc>
      </w:tr>
      <w:tr w:rsidR="009853A3" w:rsidRPr="009853A3" w:rsidTr="000E3E49">
        <w:tc>
          <w:tcPr>
            <w:tcW w:w="2127" w:type="dxa"/>
          </w:tcPr>
          <w:p w:rsidR="009853A3" w:rsidRPr="009853A3" w:rsidRDefault="009853A3" w:rsidP="00D34701">
            <w:pPr>
              <w:pStyle w:val="TableBodyText"/>
              <w:keepNext w:val="0"/>
              <w:widowControl w:val="0"/>
              <w:spacing w:before="60" w:after="60"/>
              <w:jc w:val="left"/>
              <w:rPr>
                <w:b/>
              </w:rPr>
            </w:pPr>
            <w:r w:rsidRPr="009853A3">
              <w:rPr>
                <w:b/>
              </w:rPr>
              <w:t>Centre day care</w:t>
            </w:r>
          </w:p>
        </w:tc>
        <w:tc>
          <w:tcPr>
            <w:tcW w:w="6662" w:type="dxa"/>
          </w:tcPr>
          <w:p w:rsidR="009853A3" w:rsidRPr="009853A3" w:rsidRDefault="009853A3" w:rsidP="00D34701">
            <w:pPr>
              <w:pStyle w:val="TableBodyText"/>
              <w:spacing w:before="60" w:after="60"/>
              <w:jc w:val="left"/>
            </w:pPr>
            <w:r w:rsidRPr="009853A3">
              <w:t>Respite care provided from a facility such as a day care or health centre. Respite care is usually combined with social support services to maintain the functional capabilities of the person receiving care.</w:t>
            </w:r>
          </w:p>
        </w:tc>
      </w:tr>
      <w:tr w:rsidR="00A16164" w:rsidRPr="009853A3" w:rsidTr="000E3E49">
        <w:trPr>
          <w:trHeight w:val="935"/>
        </w:trPr>
        <w:tc>
          <w:tcPr>
            <w:tcW w:w="2127" w:type="dxa"/>
          </w:tcPr>
          <w:p w:rsidR="00A16164" w:rsidRPr="009853A3" w:rsidRDefault="00A16164" w:rsidP="00D34701">
            <w:pPr>
              <w:pStyle w:val="TableBodyText"/>
              <w:keepNext w:val="0"/>
              <w:widowControl w:val="0"/>
              <w:spacing w:before="60" w:after="60"/>
              <w:jc w:val="left"/>
              <w:rPr>
                <w:b/>
              </w:rPr>
            </w:pPr>
            <w:r w:rsidRPr="009853A3">
              <w:rPr>
                <w:b/>
              </w:rPr>
              <w:t>Complaint</w:t>
            </w:r>
          </w:p>
        </w:tc>
        <w:tc>
          <w:tcPr>
            <w:tcW w:w="6662" w:type="dxa"/>
          </w:tcPr>
          <w:p w:rsidR="00A16164" w:rsidRPr="009853A3" w:rsidRDefault="00A16164" w:rsidP="00D34701">
            <w:pPr>
              <w:pStyle w:val="TableBodyText"/>
              <w:spacing w:before="60" w:after="60"/>
              <w:jc w:val="left"/>
            </w:pPr>
            <w:r w:rsidRPr="009853A3">
              <w:t xml:space="preserve">A complaint by the affected care recipient or his or her representative, or anyone else, to the </w:t>
            </w:r>
            <w:r w:rsidR="00376173">
              <w:t>Complaints Commissioner</w:t>
            </w:r>
            <w:r w:rsidRPr="009853A3">
              <w:t xml:space="preserve"> about matters relevant to an approved provider’s responsibilities under the </w:t>
            </w:r>
            <w:r w:rsidRPr="00D34701">
              <w:t>Aged Care Act 1997</w:t>
            </w:r>
            <w:r w:rsidRPr="009853A3">
              <w:t xml:space="preserve"> or the Aged Care Principles.</w:t>
            </w:r>
          </w:p>
        </w:tc>
      </w:tr>
      <w:tr w:rsidR="00A16164" w:rsidRPr="009853A3" w:rsidTr="00970C1D">
        <w:tc>
          <w:tcPr>
            <w:tcW w:w="2127" w:type="dxa"/>
          </w:tcPr>
          <w:p w:rsidR="00A16164" w:rsidRPr="009853A3" w:rsidRDefault="00A16164" w:rsidP="00D34701">
            <w:pPr>
              <w:pStyle w:val="TableBodyText"/>
              <w:keepNext w:val="0"/>
              <w:widowControl w:val="0"/>
              <w:spacing w:before="60" w:after="60"/>
              <w:jc w:val="left"/>
              <w:rPr>
                <w:b/>
              </w:rPr>
            </w:pPr>
            <w:r w:rsidRPr="009853A3">
              <w:rPr>
                <w:b/>
              </w:rPr>
              <w:t>Disability</w:t>
            </w:r>
          </w:p>
        </w:tc>
        <w:tc>
          <w:tcPr>
            <w:tcW w:w="6662" w:type="dxa"/>
            <w:shd w:val="clear" w:color="auto" w:fill="FFFFFF" w:themeFill="background1"/>
          </w:tcPr>
          <w:p w:rsidR="00A16164" w:rsidRPr="009853A3" w:rsidRDefault="00CD6D7F" w:rsidP="00D34701">
            <w:pPr>
              <w:pStyle w:val="TableBodyText"/>
              <w:spacing w:before="60" w:after="60"/>
              <w:jc w:val="left"/>
            </w:pPr>
            <w:r w:rsidRPr="007162F2">
              <w:t>In the ABS SDAC 201</w:t>
            </w:r>
            <w:r>
              <w:t>5</w:t>
            </w:r>
            <w:r w:rsidRPr="007162F2">
              <w:t>, a p</w:t>
            </w:r>
            <w:r>
              <w:t xml:space="preserve">erson has a disability if they </w:t>
            </w:r>
            <w:r w:rsidRPr="007162F2">
              <w:t>report they have a limitation, restriction or impairment, which has lasted, or is likely to last, for at least six months and restricts everyday activities. This includes:</w:t>
            </w:r>
            <w:r>
              <w:t xml:space="preserve"> </w:t>
            </w:r>
            <w:r w:rsidRPr="007162F2">
              <w:t>loss of sight (not corrected by glasses or contact lenses)</w:t>
            </w:r>
            <w:r>
              <w:t xml:space="preserve">; </w:t>
            </w:r>
            <w:r w:rsidRPr="007162F2">
              <w:t>loss of hearing where communication is restricted, or an aid to assist with, or substitute for, hearing is used</w:t>
            </w:r>
            <w:r>
              <w:t xml:space="preserve">; </w:t>
            </w:r>
            <w:r w:rsidRPr="007162F2">
              <w:t>speech difficulties</w:t>
            </w:r>
            <w:r>
              <w:t xml:space="preserve">; </w:t>
            </w:r>
            <w:r w:rsidRPr="007162F2">
              <w:t>shortness of breath or breathing difficulties causing restriction</w:t>
            </w:r>
            <w:r>
              <w:t xml:space="preserve">; </w:t>
            </w:r>
            <w:r w:rsidRPr="007162F2">
              <w:t>chronic or recurrent pain or discomfort causing restriction</w:t>
            </w:r>
            <w:r>
              <w:t xml:space="preserve">; </w:t>
            </w:r>
            <w:r w:rsidRPr="007162F2">
              <w:t>blackouts, seizures, or loss of consciousness</w:t>
            </w:r>
            <w:r>
              <w:t xml:space="preserve">; </w:t>
            </w:r>
            <w:r w:rsidRPr="007162F2">
              <w:t>difficulty learning or understanding</w:t>
            </w:r>
            <w:r>
              <w:t xml:space="preserve">; </w:t>
            </w:r>
            <w:r w:rsidRPr="007162F2">
              <w:t>incomplete use of arms or fingers</w:t>
            </w:r>
            <w:r>
              <w:t xml:space="preserve">; </w:t>
            </w:r>
            <w:r w:rsidRPr="007162F2">
              <w:t>difficulty gripping or holding things</w:t>
            </w:r>
            <w:r>
              <w:t xml:space="preserve">; </w:t>
            </w:r>
            <w:r w:rsidRPr="007162F2">
              <w:t>incomplete use of feet or legs</w:t>
            </w:r>
            <w:r>
              <w:t xml:space="preserve">; </w:t>
            </w:r>
            <w:r w:rsidRPr="007162F2">
              <w:t>nervous or emotional condition causing restriction</w:t>
            </w:r>
            <w:r>
              <w:t xml:space="preserve">; </w:t>
            </w:r>
            <w:r w:rsidRPr="007162F2">
              <w:t>restriction in physical activities or in doing physical work</w:t>
            </w:r>
            <w:r>
              <w:t xml:space="preserve">; </w:t>
            </w:r>
            <w:r w:rsidRPr="007162F2">
              <w:t>disfigurement or deformity</w:t>
            </w:r>
            <w:r>
              <w:t xml:space="preserve">; </w:t>
            </w:r>
            <w:r w:rsidRPr="007162F2">
              <w:t>mental illness or condition requiring help or supervision</w:t>
            </w:r>
            <w:r>
              <w:t xml:space="preserve">; </w:t>
            </w:r>
            <w:r w:rsidRPr="007162F2">
              <w:t>long term effects of head injury, stroke or other brain damage causing restriction</w:t>
            </w:r>
            <w:r>
              <w:t xml:space="preserve">; </w:t>
            </w:r>
            <w:r w:rsidRPr="007162F2">
              <w:t>receiving treatment or medication for any other long term conditions or ailments and still being restricted</w:t>
            </w:r>
            <w:r>
              <w:t xml:space="preserve"> and </w:t>
            </w:r>
            <w:r w:rsidRPr="007162F2">
              <w:t xml:space="preserve">any other long term </w:t>
            </w:r>
            <w:r w:rsidRPr="007162F2">
              <w:lastRenderedPageBreak/>
              <w:t xml:space="preserve">conditions resulting in a restriction. </w:t>
            </w:r>
          </w:p>
        </w:tc>
      </w:tr>
      <w:tr w:rsidR="00A16164" w:rsidRPr="009853A3" w:rsidTr="000E3E49">
        <w:tc>
          <w:tcPr>
            <w:tcW w:w="2127" w:type="dxa"/>
          </w:tcPr>
          <w:p w:rsidR="00A16164" w:rsidRPr="009853A3" w:rsidRDefault="00A16164" w:rsidP="00D34701">
            <w:pPr>
              <w:pStyle w:val="TableBodyText"/>
              <w:keepNext w:val="0"/>
              <w:widowControl w:val="0"/>
              <w:spacing w:before="60" w:after="60"/>
              <w:jc w:val="left"/>
              <w:rPr>
                <w:b/>
              </w:rPr>
            </w:pPr>
            <w:r w:rsidRPr="009853A3">
              <w:rPr>
                <w:b/>
              </w:rPr>
              <w:lastRenderedPageBreak/>
              <w:t>Elapsed time</w:t>
            </w:r>
          </w:p>
        </w:tc>
        <w:tc>
          <w:tcPr>
            <w:tcW w:w="6662" w:type="dxa"/>
          </w:tcPr>
          <w:p w:rsidR="00A16164" w:rsidRPr="009853A3" w:rsidRDefault="00A16164" w:rsidP="00D34701">
            <w:pPr>
              <w:pStyle w:val="TableBodyText"/>
              <w:spacing w:before="60" w:after="60"/>
              <w:jc w:val="left"/>
            </w:pPr>
            <w:r w:rsidRPr="009853A3">
              <w:t xml:space="preserve">The measure of the time elapsed between </w:t>
            </w:r>
            <w:r w:rsidR="005712D3">
              <w:t xml:space="preserve">an </w:t>
            </w:r>
            <w:r w:rsidRPr="009853A3">
              <w:t>ACAT approval and entry into a residential care service</w:t>
            </w:r>
            <w:r w:rsidR="005712D3">
              <w:t xml:space="preserve"> or commencement of Home Care</w:t>
            </w:r>
            <w:r w:rsidRPr="009853A3">
              <w:t xml:space="preserve">. </w:t>
            </w:r>
          </w:p>
        </w:tc>
      </w:tr>
      <w:tr w:rsidR="00A16164" w:rsidRPr="009853A3" w:rsidTr="000E3E49">
        <w:tc>
          <w:tcPr>
            <w:tcW w:w="2127" w:type="dxa"/>
          </w:tcPr>
          <w:p w:rsidR="00A16164" w:rsidRPr="009853A3" w:rsidRDefault="00A16164" w:rsidP="00D34701">
            <w:pPr>
              <w:pStyle w:val="TableBodyText"/>
              <w:keepNext w:val="0"/>
              <w:widowControl w:val="0"/>
              <w:spacing w:before="60" w:after="60"/>
              <w:jc w:val="left"/>
              <w:rPr>
                <w:b/>
              </w:rPr>
            </w:pPr>
            <w:r w:rsidRPr="009853A3">
              <w:rPr>
                <w:b/>
              </w:rPr>
              <w:t>People from non</w:t>
            </w:r>
            <w:r w:rsidRPr="009853A3">
              <w:rPr>
                <w:b/>
              </w:rPr>
              <w:noBreakHyphen/>
              <w:t>English speaking countries</w:t>
            </w:r>
          </w:p>
        </w:tc>
        <w:tc>
          <w:tcPr>
            <w:tcW w:w="6662" w:type="dxa"/>
          </w:tcPr>
          <w:p w:rsidR="00A16164" w:rsidRPr="009853A3" w:rsidRDefault="00A16164" w:rsidP="00D34701">
            <w:pPr>
              <w:pStyle w:val="TableBodyText"/>
              <w:spacing w:before="60" w:after="60"/>
              <w:jc w:val="left"/>
            </w:pPr>
            <w:r w:rsidRPr="009853A3">
              <w:t>People who were born in non</w:t>
            </w:r>
            <w:r w:rsidRPr="009853A3">
              <w:noBreakHyphen/>
              <w:t>English speaking countries. English</w:t>
            </w:r>
            <w:r w:rsidRPr="009853A3">
              <w:noBreakHyphen/>
              <w:t>speaking countries are defined as Australia, New Zealand, the United Kingdom, Ireland, the United States, Canada and South Africa.</w:t>
            </w:r>
          </w:p>
        </w:tc>
      </w:tr>
      <w:tr w:rsidR="00A16164" w:rsidRPr="009853A3" w:rsidTr="000E3E49">
        <w:tc>
          <w:tcPr>
            <w:tcW w:w="2127" w:type="dxa"/>
            <w:shd w:val="clear" w:color="auto" w:fill="FFFFFF" w:themeFill="background1"/>
          </w:tcPr>
          <w:p w:rsidR="00A16164" w:rsidRPr="009853A3" w:rsidRDefault="00A16164" w:rsidP="00D34701">
            <w:pPr>
              <w:pStyle w:val="TableBodyText"/>
              <w:keepNext w:val="0"/>
              <w:widowControl w:val="0"/>
              <w:spacing w:before="60" w:after="60" w:line="180" w:lineRule="atLeast"/>
              <w:jc w:val="left"/>
              <w:rPr>
                <w:b/>
              </w:rPr>
            </w:pPr>
            <w:r w:rsidRPr="009853A3">
              <w:rPr>
                <w:b/>
              </w:rPr>
              <w:t xml:space="preserve">People with </w:t>
            </w:r>
            <w:r w:rsidR="002A4167">
              <w:rPr>
                <w:b/>
              </w:rPr>
              <w:t xml:space="preserve">profound, severe and moderate </w:t>
            </w:r>
            <w:r>
              <w:rPr>
                <w:b/>
              </w:rPr>
              <w:t>disability</w:t>
            </w:r>
          </w:p>
        </w:tc>
        <w:tc>
          <w:tcPr>
            <w:tcW w:w="6662" w:type="dxa"/>
          </w:tcPr>
          <w:p w:rsidR="00A16164" w:rsidRDefault="00A16164" w:rsidP="00D34701">
            <w:pPr>
              <w:pStyle w:val="TableBodyText"/>
              <w:spacing w:before="60" w:after="60" w:line="180" w:lineRule="atLeast"/>
              <w:jc w:val="left"/>
            </w:pPr>
            <w:r>
              <w:t xml:space="preserve">A person with a profound disability is unable to do, or always needs help with, a core activity task. </w:t>
            </w:r>
          </w:p>
          <w:p w:rsidR="00A16164" w:rsidRDefault="00A16164" w:rsidP="00D34701">
            <w:pPr>
              <w:pStyle w:val="TableBodyText"/>
              <w:spacing w:before="60" w:after="60" w:line="180" w:lineRule="atLeast"/>
              <w:jc w:val="left"/>
            </w:pPr>
            <w:r>
              <w:t>A person with a severe disability:</w:t>
            </w:r>
            <w:r w:rsidR="00A906DA">
              <w:t xml:space="preserve"> </w:t>
            </w:r>
            <w:r w:rsidR="006E58EB">
              <w:t xml:space="preserve"> </w:t>
            </w:r>
            <w:r>
              <w:t xml:space="preserve">sometimes needs help with a core activity task, and/or </w:t>
            </w:r>
            <w:r w:rsidR="006E58EB">
              <w:t xml:space="preserve"> </w:t>
            </w:r>
            <w:r>
              <w:t>has difficulty understanding or being understood by family or friends, or can communicate more easily using sign language or other non</w:t>
            </w:r>
            <w:r w:rsidR="009551A0">
              <w:noBreakHyphen/>
            </w:r>
            <w:r>
              <w:t>spoken forms of communication.</w:t>
            </w:r>
          </w:p>
          <w:p w:rsidR="00A16164" w:rsidRPr="009853A3" w:rsidRDefault="00A16164" w:rsidP="00D34701">
            <w:pPr>
              <w:pStyle w:val="TableBodyText"/>
              <w:spacing w:before="60" w:after="60" w:line="180" w:lineRule="atLeast"/>
              <w:jc w:val="left"/>
            </w:pPr>
            <w:r>
              <w:t xml:space="preserve">A person with a moderate </w:t>
            </w:r>
            <w:r w:rsidRPr="00715E48">
              <w:t xml:space="preserve">disability </w:t>
            </w:r>
            <w:r>
              <w:t>needs no help, but has difficulty with a core activity task.</w:t>
            </w:r>
          </w:p>
        </w:tc>
      </w:tr>
      <w:tr w:rsidR="00A16164" w:rsidRPr="009853A3" w:rsidTr="000E3E49">
        <w:tc>
          <w:tcPr>
            <w:tcW w:w="2127" w:type="dxa"/>
          </w:tcPr>
          <w:p w:rsidR="00A16164" w:rsidRPr="009853A3" w:rsidRDefault="00A16164" w:rsidP="00D34701">
            <w:pPr>
              <w:pStyle w:val="TableBodyText"/>
              <w:keepNext w:val="0"/>
              <w:widowControl w:val="0"/>
              <w:spacing w:before="60" w:after="60"/>
              <w:jc w:val="left"/>
              <w:rPr>
                <w:b/>
              </w:rPr>
            </w:pPr>
            <w:r w:rsidRPr="009853A3">
              <w:rPr>
                <w:b/>
              </w:rPr>
              <w:t>Personal care</w:t>
            </w:r>
          </w:p>
        </w:tc>
        <w:tc>
          <w:tcPr>
            <w:tcW w:w="6662" w:type="dxa"/>
          </w:tcPr>
          <w:p w:rsidR="00A16164" w:rsidRPr="009853A3" w:rsidRDefault="00A16164" w:rsidP="00D34701">
            <w:pPr>
              <w:pStyle w:val="TableBodyText"/>
              <w:spacing w:before="60" w:after="60"/>
              <w:jc w:val="left"/>
            </w:pPr>
            <w:r w:rsidRPr="009853A3">
              <w:t>Assistance in undertaking personal tasks (for example, bathing).</w:t>
            </w:r>
          </w:p>
        </w:tc>
      </w:tr>
      <w:tr w:rsidR="00A16164" w:rsidRPr="009853A3" w:rsidTr="000E3E49">
        <w:tc>
          <w:tcPr>
            <w:tcW w:w="2127" w:type="dxa"/>
          </w:tcPr>
          <w:p w:rsidR="00A16164" w:rsidRPr="009853A3" w:rsidRDefault="00A16164" w:rsidP="00D34701">
            <w:pPr>
              <w:pStyle w:val="TableBodyText"/>
              <w:keepNext w:val="0"/>
              <w:widowControl w:val="0"/>
              <w:spacing w:before="60" w:after="60"/>
              <w:jc w:val="left"/>
              <w:rPr>
                <w:b/>
              </w:rPr>
            </w:pPr>
            <w:r w:rsidRPr="009853A3">
              <w:rPr>
                <w:b/>
              </w:rPr>
              <w:t>Places</w:t>
            </w:r>
          </w:p>
        </w:tc>
        <w:tc>
          <w:tcPr>
            <w:tcW w:w="6662" w:type="dxa"/>
          </w:tcPr>
          <w:p w:rsidR="00A16164" w:rsidRPr="009853A3" w:rsidRDefault="00A16164" w:rsidP="00D34701">
            <w:pPr>
              <w:pStyle w:val="TableBodyText"/>
              <w:spacing w:before="60" w:after="60" w:line="180" w:lineRule="atLeast"/>
              <w:jc w:val="left"/>
            </w:pPr>
            <w:r w:rsidRPr="009853A3">
              <w:t>A capacity within an aged care service for the provision of residential care, community care or flexible care in the residential care context to an individual (</w:t>
            </w:r>
            <w:r w:rsidRPr="009853A3">
              <w:rPr>
                <w:i/>
              </w:rPr>
              <w:t>Aged Care Act 1997 (Cwlth)</w:t>
            </w:r>
            <w:r w:rsidRPr="009853A3">
              <w:t>); also refers to ‘beds’ (</w:t>
            </w:r>
            <w:r w:rsidRPr="009853A3">
              <w:rPr>
                <w:i/>
              </w:rPr>
              <w:t>Aged Care (Consequential Provisions) Act 1997 (Cwlth)</w:t>
            </w:r>
            <w:r w:rsidRPr="009853A3">
              <w:t>, s.16).</w:t>
            </w:r>
          </w:p>
        </w:tc>
      </w:tr>
      <w:tr w:rsidR="00A16164" w:rsidRPr="009853A3" w:rsidTr="000E3E49">
        <w:tc>
          <w:tcPr>
            <w:tcW w:w="2127" w:type="dxa"/>
          </w:tcPr>
          <w:p w:rsidR="00A16164" w:rsidRPr="009853A3" w:rsidRDefault="00A16164" w:rsidP="00D34701">
            <w:pPr>
              <w:pStyle w:val="TableBodyText"/>
              <w:keepNext w:val="0"/>
              <w:widowControl w:val="0"/>
              <w:spacing w:before="60" w:after="60"/>
              <w:jc w:val="left"/>
              <w:rPr>
                <w:b/>
              </w:rPr>
            </w:pPr>
            <w:r w:rsidRPr="009853A3">
              <w:rPr>
                <w:b/>
              </w:rPr>
              <w:t>Respite care</w:t>
            </w:r>
          </w:p>
        </w:tc>
        <w:tc>
          <w:tcPr>
            <w:tcW w:w="6662" w:type="dxa"/>
          </w:tcPr>
          <w:p w:rsidR="00A16164" w:rsidRPr="009853A3" w:rsidRDefault="00A16164" w:rsidP="00D34701">
            <w:pPr>
              <w:pStyle w:val="TableBodyText"/>
              <w:keepNext w:val="0"/>
              <w:widowControl w:val="0"/>
              <w:spacing w:before="60" w:after="60" w:line="180" w:lineRule="atLeast"/>
              <w:jc w:val="left"/>
            </w:pPr>
            <w:r w:rsidRPr="009853A3">
              <w:t>Alternative care arrangements for dependent people living in the community, with the primary purpose of giving a carer or a care recipient a short term break from their usual care arrangement.</w:t>
            </w:r>
          </w:p>
        </w:tc>
      </w:tr>
      <w:tr w:rsidR="00A16164" w:rsidRPr="009853A3" w:rsidTr="000E3E49">
        <w:tc>
          <w:tcPr>
            <w:tcW w:w="2127" w:type="dxa"/>
          </w:tcPr>
          <w:p w:rsidR="00A16164" w:rsidRPr="009853A3" w:rsidRDefault="00A16164" w:rsidP="00D34701">
            <w:pPr>
              <w:pStyle w:val="TableBodyText"/>
              <w:keepNext w:val="0"/>
              <w:widowControl w:val="0"/>
              <w:spacing w:before="60" w:after="60"/>
              <w:jc w:val="left"/>
              <w:rPr>
                <w:b/>
              </w:rPr>
            </w:pPr>
            <w:r w:rsidRPr="009853A3">
              <w:rPr>
                <w:b/>
              </w:rPr>
              <w:t>Special needs groups</w:t>
            </w:r>
          </w:p>
        </w:tc>
        <w:tc>
          <w:tcPr>
            <w:tcW w:w="6662" w:type="dxa"/>
            <w:shd w:val="clear" w:color="auto" w:fill="FFFFFF" w:themeFill="background1"/>
          </w:tcPr>
          <w:p w:rsidR="00A16164" w:rsidRPr="009853A3" w:rsidRDefault="00A16164" w:rsidP="00D34701">
            <w:pPr>
              <w:pStyle w:val="TableBodyText"/>
              <w:spacing w:before="60" w:after="60"/>
              <w:jc w:val="left"/>
            </w:pPr>
            <w:r w:rsidRPr="009853A3">
              <w:t>Section 11</w:t>
            </w:r>
            <w:r w:rsidRPr="009853A3">
              <w:noBreakHyphen/>
              <w:t xml:space="preserve">3 of the </w:t>
            </w:r>
            <w:r w:rsidRPr="009853A3">
              <w:rPr>
                <w:i/>
              </w:rPr>
              <w:t>Aged Care Act 1997</w:t>
            </w:r>
            <w:r w:rsidRPr="009853A3">
              <w:t>, specifies the following people as people with special needs: people from Aboriginal and Torres Strait Islander communities; people from culturally and linguistically diverse backgrounds; veterans; people who live in rural or remote areas; people who are financially or socially disadvantaged; people who are homeless or at risk of becoming homeless; care</w:t>
            </w:r>
            <w:r w:rsidRPr="009853A3">
              <w:noBreakHyphen/>
              <w:t>leavers; parents separated from their children by forced adoption or removal; and lesbian, gay, bise</w:t>
            </w:r>
            <w:r w:rsidR="00916688">
              <w:t xml:space="preserve">xual, transgender and intersex </w:t>
            </w:r>
            <w:r w:rsidRPr="009853A3">
              <w:t>people.</w:t>
            </w:r>
          </w:p>
        </w:tc>
      </w:tr>
      <w:tr w:rsidR="00A16164" w:rsidRPr="00393A4E" w:rsidTr="000E3E49">
        <w:tc>
          <w:tcPr>
            <w:tcW w:w="2127" w:type="dxa"/>
            <w:shd w:val="clear" w:color="auto" w:fill="FFFFFF" w:themeFill="background1"/>
          </w:tcPr>
          <w:p w:rsidR="00A16164" w:rsidRPr="009853A3" w:rsidRDefault="00A16164" w:rsidP="00D34701">
            <w:pPr>
              <w:pStyle w:val="TableBodyText"/>
              <w:keepNext w:val="0"/>
              <w:widowControl w:val="0"/>
              <w:spacing w:before="60" w:after="60"/>
              <w:jc w:val="left"/>
              <w:rPr>
                <w:b/>
              </w:rPr>
            </w:pPr>
            <w:r w:rsidRPr="009853A3">
              <w:rPr>
                <w:b/>
              </w:rPr>
              <w:t>Veterans</w:t>
            </w:r>
          </w:p>
        </w:tc>
        <w:tc>
          <w:tcPr>
            <w:tcW w:w="6662" w:type="dxa"/>
            <w:shd w:val="clear" w:color="auto" w:fill="FFFFFF" w:themeFill="background1"/>
          </w:tcPr>
          <w:p w:rsidR="00A16164" w:rsidRPr="009853A3" w:rsidRDefault="00A16164" w:rsidP="00D34701">
            <w:pPr>
              <w:pStyle w:val="TableBodyText"/>
              <w:spacing w:before="60" w:after="60"/>
              <w:jc w:val="left"/>
            </w:pPr>
            <w:r w:rsidRPr="00393A4E">
              <w:t xml:space="preserve">Veterans, war widows, widowers and dependants who hold a Repatriation Health Card and are entitled to health services and treatment under the </w:t>
            </w:r>
            <w:r w:rsidRPr="00393A4E">
              <w:rPr>
                <w:i/>
              </w:rPr>
              <w:t>Veterans’ Entitlements Act 1986 (VEA), Safety, Rehabilitation and</w:t>
            </w:r>
            <w:r w:rsidRPr="00393A4E">
              <w:t xml:space="preserve"> </w:t>
            </w:r>
            <w:r w:rsidRPr="00393A4E">
              <w:rPr>
                <w:i/>
              </w:rPr>
              <w:t>Compensation Act 1988 (SRCA)</w:t>
            </w:r>
            <w:r w:rsidRPr="00393A4E">
              <w:t xml:space="preserve"> or the </w:t>
            </w:r>
            <w:r w:rsidRPr="00393A4E">
              <w:rPr>
                <w:i/>
              </w:rPr>
              <w:t>Military Rehabilitation and Compensation Act 2004 (MRCA)</w:t>
            </w:r>
            <w:r w:rsidRPr="00393A4E">
              <w:t>.</w:t>
            </w:r>
          </w:p>
        </w:tc>
      </w:tr>
    </w:tbl>
    <w:p w:rsidR="009853A3" w:rsidRDefault="009853A3" w:rsidP="009853A3">
      <w:pPr>
        <w:pStyle w:val="Heading2"/>
      </w:pPr>
      <w:bookmarkStart w:id="14" w:name="_Toc470106068"/>
      <w:r>
        <w:t>1</w:t>
      </w:r>
      <w:r w:rsidR="00904AD2">
        <w:t>4</w:t>
      </w:r>
      <w:r>
        <w:t>.</w:t>
      </w:r>
      <w:r w:rsidR="00D81718">
        <w:rPr>
          <w:noProof/>
        </w:rPr>
        <w:t>5</w:t>
      </w:r>
      <w:r>
        <w:tab/>
      </w:r>
      <w:r>
        <w:tab/>
        <w:t>References</w:t>
      </w:r>
      <w:bookmarkEnd w:id="14"/>
    </w:p>
    <w:p w:rsidR="00214F5D" w:rsidRDefault="009853A3" w:rsidP="009853A3">
      <w:pPr>
        <w:pStyle w:val="Reference"/>
      </w:pPr>
      <w:r>
        <w:t xml:space="preserve">ABS </w:t>
      </w:r>
      <w:r w:rsidR="00214F5D" w:rsidRPr="00214F5D">
        <w:t>2016</w:t>
      </w:r>
      <w:r w:rsidR="00CC7E29">
        <w:t xml:space="preserve">, </w:t>
      </w:r>
      <w:r w:rsidR="00CC7E29" w:rsidRPr="00CC7E29">
        <w:rPr>
          <w:i/>
        </w:rPr>
        <w:t>Disability, Ageing and Carers Australia: Summary of Findings 20</w:t>
      </w:r>
      <w:r w:rsidR="00CC7E29">
        <w:rPr>
          <w:i/>
        </w:rPr>
        <w:t>15</w:t>
      </w:r>
      <w:r w:rsidR="00CC7E29" w:rsidRPr="00CC7E29">
        <w:rPr>
          <w:i/>
        </w:rPr>
        <w:t xml:space="preserve">, </w:t>
      </w:r>
      <w:r w:rsidR="00CC7E29" w:rsidRPr="00CC7E29">
        <w:t>Cat. no. 4430.0,</w:t>
      </w:r>
      <w:r w:rsidR="00CC7E29" w:rsidRPr="00CC7E29">
        <w:rPr>
          <w:i/>
        </w:rPr>
        <w:t xml:space="preserve"> </w:t>
      </w:r>
      <w:r w:rsidR="00CC7E29" w:rsidRPr="00CC7E29">
        <w:t>Canberra</w:t>
      </w:r>
      <w:r w:rsidR="00CC7E29">
        <w:t>.</w:t>
      </w:r>
    </w:p>
    <w:p w:rsidR="009853A3" w:rsidRDefault="00CC7E29" w:rsidP="00CC7E29">
      <w:pPr>
        <w:pStyle w:val="Reference"/>
      </w:pPr>
      <w:r w:rsidRPr="009B0AA9">
        <w:t xml:space="preserve">—— </w:t>
      </w:r>
      <w:r w:rsidR="009853A3">
        <w:t xml:space="preserve">2013, </w:t>
      </w:r>
      <w:r w:rsidR="009853A3" w:rsidRPr="009853A3">
        <w:rPr>
          <w:i/>
        </w:rPr>
        <w:t>Experimental Life Tables for Aboriginal and Torres Strait Islander Australians, Australia, 2010–2012</w:t>
      </w:r>
      <w:r w:rsidR="009853A3">
        <w:t xml:space="preserve">, Cat. no. 3302.0.55.003, Canberra. </w:t>
      </w:r>
    </w:p>
    <w:p w:rsidR="006E58EB" w:rsidRDefault="006E58EB" w:rsidP="00CC7E29">
      <w:pPr>
        <w:pStyle w:val="Reference"/>
      </w:pPr>
      <w:r>
        <w:t xml:space="preserve">Department of Health 2016, </w:t>
      </w:r>
      <w:r w:rsidRPr="006E58EB">
        <w:rPr>
          <w:i/>
        </w:rPr>
        <w:t>2015-16 Report on the Operation of the Aged Care Act 1997</w:t>
      </w:r>
      <w:r>
        <w:rPr>
          <w:i/>
        </w:rPr>
        <w:t xml:space="preserve">, </w:t>
      </w:r>
      <w:r w:rsidRPr="006E58EB">
        <w:t>www.agedcare.health.gov.au/sites/g/files/net1426/f/documents/12_2016/2015-16_report-on-the-operation-of-the-aged-care-act-1997.pdf</w:t>
      </w:r>
      <w:r>
        <w:rPr>
          <w:i/>
        </w:rPr>
        <w:t xml:space="preserve"> </w:t>
      </w:r>
      <w:r w:rsidRPr="006E58EB">
        <w:t>(accessed 21 December 2016).</w:t>
      </w:r>
    </w:p>
    <w:p w:rsidR="004D488B" w:rsidRPr="009853A3" w:rsidRDefault="009853A3" w:rsidP="003D233C">
      <w:pPr>
        <w:pStyle w:val="Reference"/>
      </w:pPr>
      <w:r>
        <w:t>DoHA (</w:t>
      </w:r>
      <w:r w:rsidR="00745D59" w:rsidRPr="004B2BE8">
        <w:rPr>
          <w:shd w:val="clear" w:color="auto" w:fill="FFFFFF" w:themeFill="background1"/>
        </w:rPr>
        <w:t xml:space="preserve">the former </w:t>
      </w:r>
      <w:r>
        <w:t xml:space="preserve">Department of Health and Ageing) 2012, </w:t>
      </w:r>
      <w:r w:rsidRPr="009853A3">
        <w:rPr>
          <w:i/>
        </w:rPr>
        <w:t>Report on the Operation of the Aged Care Act 1997, 1</w:t>
      </w:r>
      <w:r w:rsidR="009551A0">
        <w:rPr>
          <w:i/>
        </w:rPr>
        <w:t> </w:t>
      </w:r>
      <w:r w:rsidRPr="009853A3">
        <w:rPr>
          <w:i/>
        </w:rPr>
        <w:t>July 2011 — 30</w:t>
      </w:r>
      <w:r w:rsidR="009551A0">
        <w:rPr>
          <w:i/>
        </w:rPr>
        <w:t> </w:t>
      </w:r>
      <w:r w:rsidRPr="009853A3">
        <w:rPr>
          <w:i/>
        </w:rPr>
        <w:t>June 2012</w:t>
      </w:r>
      <w:r>
        <w:t xml:space="preserve">, Canberra, </w:t>
      </w:r>
      <w:r w:rsidRPr="009853A3">
        <w:t>www.health.gov.au/internet/main</w:t>
      </w:r>
      <w:r>
        <w:t>/publishing.nsf/Content/ageing reports acarep 2012.htm (accessed 10</w:t>
      </w:r>
      <w:r w:rsidR="00F822AE">
        <w:t> </w:t>
      </w:r>
      <w:r>
        <w:t>December</w:t>
      </w:r>
      <w:r w:rsidR="009551A0">
        <w:t xml:space="preserve"> </w:t>
      </w:r>
      <w:r w:rsidR="008617D3">
        <w:t>2012).</w:t>
      </w:r>
    </w:p>
    <w:sectPr w:rsidR="004D488B" w:rsidRPr="009853A3" w:rsidSect="00034F61">
      <w:headerReference w:type="even" r:id="rId24"/>
      <w:headerReference w:type="default" r:id="rId25"/>
      <w:footerReference w:type="even" r:id="rId26"/>
      <w:footerReference w:type="default" r:id="rId27"/>
      <w:headerReference w:type="first" r:id="rId28"/>
      <w:footerReference w:type="first" r:id="rId29"/>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416" w:rsidRDefault="009A1416">
      <w:r>
        <w:separator/>
      </w:r>
    </w:p>
  </w:endnote>
  <w:endnote w:type="continuationSeparator" w:id="0">
    <w:p w:rsidR="009A1416" w:rsidRDefault="009A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A1416" w:rsidTr="005F48ED">
      <w:trPr>
        <w:trHeight w:hRule="exact" w:val="567"/>
      </w:trPr>
      <w:tc>
        <w:tcPr>
          <w:tcW w:w="510" w:type="dxa"/>
        </w:tcPr>
        <w:p w:rsidR="009A1416" w:rsidRPr="00A24443" w:rsidRDefault="009A1416" w:rsidP="00CE6E19">
          <w:pPr>
            <w:pStyle w:val="Footer"/>
            <w:tabs>
              <w:tab w:val="left" w:pos="0"/>
            </w:tabs>
            <w:ind w:right="0"/>
            <w:rPr>
              <w:rStyle w:val="PageNumber"/>
              <w:caps w:val="0"/>
            </w:rPr>
          </w:pPr>
          <w:r>
            <w:rPr>
              <w:rStyle w:val="PageNumber"/>
              <w:caps w:val="0"/>
            </w:rPr>
            <w:t>14.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602F1">
            <w:rPr>
              <w:rStyle w:val="PageNumber"/>
              <w:caps w:val="0"/>
              <w:noProof/>
            </w:rPr>
            <w:t>18</w:t>
          </w:r>
          <w:r w:rsidRPr="00A24443">
            <w:rPr>
              <w:rStyle w:val="PageNumber"/>
              <w:caps w:val="0"/>
            </w:rPr>
            <w:fldChar w:fldCharType="end"/>
          </w:r>
        </w:p>
      </w:tc>
      <w:tc>
        <w:tcPr>
          <w:tcW w:w="7767" w:type="dxa"/>
        </w:tcPr>
        <w:p w:rsidR="009A1416" w:rsidRPr="0013739A" w:rsidRDefault="009A1416" w:rsidP="00301A58">
          <w:pPr>
            <w:pStyle w:val="Footer"/>
            <w:rPr>
              <w:rFonts w:cs="Arial"/>
            </w:rPr>
          </w:pPr>
          <w:r>
            <w:rPr>
              <w:rFonts w:cs="Arial"/>
            </w:rPr>
            <w:t>Report on Government Services 201</w:t>
          </w:r>
          <w:bookmarkStart w:id="15" w:name="DraftReportEven"/>
          <w:bookmarkEnd w:id="15"/>
          <w:r>
            <w:rPr>
              <w:rFonts w:cs="Arial"/>
            </w:rPr>
            <w:t>7</w:t>
          </w:r>
        </w:p>
      </w:tc>
      <w:tc>
        <w:tcPr>
          <w:tcW w:w="510" w:type="dxa"/>
        </w:tcPr>
        <w:p w:rsidR="009A1416" w:rsidRDefault="009A1416" w:rsidP="0019293B">
          <w:pPr>
            <w:pStyle w:val="Footer"/>
          </w:pPr>
        </w:p>
      </w:tc>
    </w:tr>
  </w:tbl>
  <w:p w:rsidR="009A1416" w:rsidRDefault="009A141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A1416" w:rsidTr="005F48ED">
      <w:trPr>
        <w:trHeight w:hRule="exact" w:val="567"/>
      </w:trPr>
      <w:tc>
        <w:tcPr>
          <w:tcW w:w="510" w:type="dxa"/>
        </w:tcPr>
        <w:p w:rsidR="009A1416" w:rsidRDefault="009A1416">
          <w:pPr>
            <w:pStyle w:val="Footer"/>
            <w:ind w:right="360" w:firstLine="360"/>
          </w:pPr>
        </w:p>
      </w:tc>
      <w:tc>
        <w:tcPr>
          <w:tcW w:w="7767" w:type="dxa"/>
        </w:tcPr>
        <w:p w:rsidR="009A1416" w:rsidRPr="00BA5B14" w:rsidRDefault="009A1416" w:rsidP="0013739A">
          <w:pPr>
            <w:pStyle w:val="Footer"/>
            <w:jc w:val="right"/>
            <w:rPr>
              <w:rFonts w:cs="Arial"/>
            </w:rPr>
          </w:pPr>
          <w:r>
            <w:rPr>
              <w:rFonts w:cs="Arial"/>
            </w:rPr>
            <w:t>Aged care services</w:t>
          </w:r>
          <w:bookmarkStart w:id="16" w:name="DraftReportOdd"/>
          <w:bookmarkEnd w:id="16"/>
        </w:p>
      </w:tc>
      <w:tc>
        <w:tcPr>
          <w:tcW w:w="510" w:type="dxa"/>
        </w:tcPr>
        <w:p w:rsidR="009A1416" w:rsidRPr="00A24443" w:rsidRDefault="009A1416" w:rsidP="00CE6E19">
          <w:pPr>
            <w:pStyle w:val="Footer"/>
            <w:jc w:val="right"/>
            <w:rPr>
              <w:caps w:val="0"/>
            </w:rPr>
          </w:pPr>
          <w:r>
            <w:rPr>
              <w:rStyle w:val="PageNumber"/>
              <w:caps w:val="0"/>
            </w:rPr>
            <w:t>14.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602F1">
            <w:rPr>
              <w:rStyle w:val="PageNumber"/>
              <w:caps w:val="0"/>
              <w:noProof/>
            </w:rPr>
            <w:t>17</w:t>
          </w:r>
          <w:r w:rsidRPr="00A24443">
            <w:rPr>
              <w:rStyle w:val="PageNumber"/>
              <w:caps w:val="0"/>
            </w:rPr>
            <w:fldChar w:fldCharType="end"/>
          </w:r>
        </w:p>
      </w:tc>
    </w:tr>
  </w:tbl>
  <w:p w:rsidR="009A1416" w:rsidRDefault="009A141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A1416" w:rsidTr="00D7267B">
      <w:trPr>
        <w:trHeight w:hRule="exact" w:val="567"/>
      </w:trPr>
      <w:tc>
        <w:tcPr>
          <w:tcW w:w="510" w:type="dxa"/>
        </w:tcPr>
        <w:p w:rsidR="009A1416" w:rsidRDefault="009A1416" w:rsidP="00D7267B">
          <w:pPr>
            <w:pStyle w:val="Footer"/>
            <w:ind w:right="360" w:firstLine="360"/>
          </w:pPr>
        </w:p>
      </w:tc>
      <w:tc>
        <w:tcPr>
          <w:tcW w:w="7767" w:type="dxa"/>
        </w:tcPr>
        <w:p w:rsidR="009A1416" w:rsidRPr="00BA5B14" w:rsidRDefault="009A1416" w:rsidP="00D7267B">
          <w:pPr>
            <w:pStyle w:val="Footer"/>
            <w:jc w:val="right"/>
            <w:rPr>
              <w:rFonts w:cs="Arial"/>
            </w:rPr>
          </w:pPr>
          <w:r>
            <w:rPr>
              <w:rFonts w:cs="Arial"/>
            </w:rPr>
            <w:t>Aged care services</w:t>
          </w:r>
        </w:p>
      </w:tc>
      <w:tc>
        <w:tcPr>
          <w:tcW w:w="510" w:type="dxa"/>
        </w:tcPr>
        <w:p w:rsidR="009A1416" w:rsidRPr="00A24443" w:rsidRDefault="009A1416" w:rsidP="00D7267B">
          <w:pPr>
            <w:pStyle w:val="Footer"/>
            <w:jc w:val="right"/>
            <w:rPr>
              <w:caps w:val="0"/>
            </w:rPr>
          </w:pPr>
          <w:r>
            <w:rPr>
              <w:rStyle w:val="PageNumber"/>
              <w:caps w:val="0"/>
            </w:rPr>
            <w:t>13.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1</w:t>
          </w:r>
          <w:r w:rsidRPr="00A24443">
            <w:rPr>
              <w:rStyle w:val="PageNumber"/>
              <w:caps w:val="0"/>
            </w:rPr>
            <w:fldChar w:fldCharType="end"/>
          </w:r>
        </w:p>
      </w:tc>
    </w:tr>
  </w:tbl>
  <w:p w:rsidR="009A1416" w:rsidRPr="00D7267B" w:rsidRDefault="009A1416" w:rsidP="00D7267B">
    <w:pPr>
      <w:pStyle w:val="Footer"/>
      <w:spacing w:before="0" w:line="240" w:lineRule="auto"/>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416" w:rsidRDefault="009A1416">
      <w:r>
        <w:separator/>
      </w:r>
    </w:p>
  </w:footnote>
  <w:footnote w:type="continuationSeparator" w:id="0">
    <w:p w:rsidR="009A1416" w:rsidRDefault="009A1416">
      <w:r>
        <w:continuationSeparator/>
      </w:r>
    </w:p>
  </w:footnote>
  <w:footnote w:id="1">
    <w:p w:rsidR="009A1416" w:rsidRPr="00995E5D" w:rsidRDefault="009A1416" w:rsidP="009D44D7">
      <w:pPr>
        <w:pStyle w:val="FootnoteText"/>
        <w:shd w:val="clear" w:color="auto" w:fill="FFFFFF" w:themeFill="background1"/>
        <w:rPr>
          <w:lang w:val="en-US"/>
        </w:rPr>
      </w:pPr>
      <w:r>
        <w:rPr>
          <w:rStyle w:val="FootnoteReference"/>
        </w:rPr>
        <w:footnoteRef/>
      </w:r>
      <w:r>
        <w:tab/>
        <w:t xml:space="preserve">The </w:t>
      </w:r>
      <w:r w:rsidRPr="00510863">
        <w:t xml:space="preserve">Commonwealth Home Support Program </w:t>
      </w:r>
      <w:r>
        <w:t>(</w:t>
      </w:r>
      <w:proofErr w:type="spellStart"/>
      <w:r>
        <w:t>CHSP</w:t>
      </w:r>
      <w:proofErr w:type="spellEnd"/>
      <w:r>
        <w:t xml:space="preserve">) </w:t>
      </w:r>
      <w:r w:rsidRPr="009D44D7">
        <w:rPr>
          <w:shd w:val="clear" w:color="auto" w:fill="FFFFFF" w:themeFill="background1"/>
        </w:rPr>
        <w:t xml:space="preserve">officially </w:t>
      </w:r>
      <w:r>
        <w:t xml:space="preserve">replaced (except in Victoria and WA) four separate home care and support programs from 1 July 2015: Commonwealth </w:t>
      </w:r>
      <w:proofErr w:type="spellStart"/>
      <w:r>
        <w:t>HACC</w:t>
      </w:r>
      <w:proofErr w:type="spellEnd"/>
      <w:r w:rsidRPr="009F72C5">
        <w:t>, National Respite for Carers</w:t>
      </w:r>
      <w:r>
        <w:t xml:space="preserve"> (</w:t>
      </w:r>
      <w:proofErr w:type="spellStart"/>
      <w:r>
        <w:t>NRCP</w:t>
      </w:r>
      <w:proofErr w:type="spellEnd"/>
      <w:r>
        <w:t>)</w:t>
      </w:r>
      <w:r w:rsidRPr="009F72C5">
        <w:t xml:space="preserve">, Day Therapy Centres </w:t>
      </w:r>
      <w:r>
        <w:t xml:space="preserve">(DTC) </w:t>
      </w:r>
      <w:r w:rsidRPr="009F72C5">
        <w:t>and the Assistance with Care and Housing for the Aged</w:t>
      </w:r>
      <w:r>
        <w:t xml:space="preserve"> (</w:t>
      </w:r>
      <w:proofErr w:type="spellStart"/>
      <w:r>
        <w:t>ACHA</w:t>
      </w:r>
      <w:proofErr w:type="spellEnd"/>
      <w:r>
        <w:t xml:space="preserve">). </w:t>
      </w:r>
      <w:r w:rsidRPr="009D44D7">
        <w:rPr>
          <w:shd w:val="clear" w:color="auto" w:fill="FFFFFF" w:themeFill="background1"/>
        </w:rPr>
        <w:t xml:space="preserve">However, Commonwealth </w:t>
      </w:r>
      <w:proofErr w:type="spellStart"/>
      <w:r w:rsidRPr="009D44D7">
        <w:rPr>
          <w:shd w:val="clear" w:color="auto" w:fill="FFFFFF" w:themeFill="background1"/>
        </w:rPr>
        <w:t>HACC</w:t>
      </w:r>
      <w:proofErr w:type="spellEnd"/>
      <w:r w:rsidRPr="009D44D7">
        <w:rPr>
          <w:shd w:val="clear" w:color="auto" w:fill="FFFFFF" w:themeFill="background1"/>
        </w:rPr>
        <w:t xml:space="preserve">, DTC, </w:t>
      </w:r>
      <w:proofErr w:type="spellStart"/>
      <w:r w:rsidRPr="009D44D7">
        <w:rPr>
          <w:shd w:val="clear" w:color="auto" w:fill="FFFFFF" w:themeFill="background1"/>
        </w:rPr>
        <w:t>NRCP</w:t>
      </w:r>
      <w:proofErr w:type="spellEnd"/>
      <w:r w:rsidRPr="009D44D7">
        <w:rPr>
          <w:shd w:val="clear" w:color="auto" w:fill="FFFFFF" w:themeFill="background1"/>
        </w:rPr>
        <w:t xml:space="preserve"> and </w:t>
      </w:r>
      <w:proofErr w:type="spellStart"/>
      <w:r w:rsidRPr="009D44D7">
        <w:rPr>
          <w:shd w:val="clear" w:color="auto" w:fill="FFFFFF" w:themeFill="background1"/>
        </w:rPr>
        <w:t>ACHA</w:t>
      </w:r>
      <w:proofErr w:type="spellEnd"/>
      <w:r w:rsidRPr="009D44D7">
        <w:rPr>
          <w:shd w:val="clear" w:color="auto" w:fill="FFFFFF" w:themeFill="background1"/>
        </w:rPr>
        <w:t xml:space="preserve"> programs were extended from 1 July 2015 to 31 October 2015 to allow organisations to transition to the </w:t>
      </w:r>
      <w:proofErr w:type="spellStart"/>
      <w:r w:rsidRPr="009D44D7">
        <w:rPr>
          <w:shd w:val="clear" w:color="auto" w:fill="FFFFFF" w:themeFill="background1"/>
        </w:rPr>
        <w:t>CHSP</w:t>
      </w:r>
      <w:proofErr w:type="spellEnd"/>
      <w:r w:rsidRPr="009D44D7">
        <w:rPr>
          <w:shd w:val="clear" w:color="auto" w:fill="FFFFFF" w:themeFill="background1"/>
        </w:rPr>
        <w:t xml:space="preserve"> from 1 November 2015. Expenditure on home support is expenditure on all these programs during 2015-16.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A1416">
      <w:tc>
        <w:tcPr>
          <w:tcW w:w="2155" w:type="dxa"/>
          <w:tcBorders>
            <w:top w:val="single" w:sz="24" w:space="0" w:color="auto"/>
          </w:tcBorders>
        </w:tcPr>
        <w:p w:rsidR="009A1416" w:rsidRDefault="009A1416" w:rsidP="0019293B">
          <w:pPr>
            <w:pStyle w:val="HeaderEven"/>
          </w:pPr>
        </w:p>
      </w:tc>
      <w:tc>
        <w:tcPr>
          <w:tcW w:w="6634" w:type="dxa"/>
          <w:tcBorders>
            <w:top w:val="single" w:sz="6" w:space="0" w:color="auto"/>
          </w:tcBorders>
        </w:tcPr>
        <w:p w:rsidR="009A1416" w:rsidRDefault="009A1416" w:rsidP="0019293B">
          <w:pPr>
            <w:pStyle w:val="HeaderEven"/>
          </w:pPr>
        </w:p>
      </w:tc>
    </w:tr>
  </w:tbl>
  <w:p w:rsidR="009A1416" w:rsidRDefault="009A141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A1416">
      <w:tc>
        <w:tcPr>
          <w:tcW w:w="6634" w:type="dxa"/>
          <w:tcBorders>
            <w:top w:val="single" w:sz="6" w:space="0" w:color="auto"/>
          </w:tcBorders>
        </w:tcPr>
        <w:p w:rsidR="009A1416" w:rsidRDefault="009A1416" w:rsidP="00E669E2">
          <w:pPr>
            <w:pStyle w:val="HeaderOdd"/>
          </w:pPr>
        </w:p>
      </w:tc>
      <w:tc>
        <w:tcPr>
          <w:tcW w:w="2155" w:type="dxa"/>
          <w:tcBorders>
            <w:top w:val="single" w:sz="24" w:space="0" w:color="auto"/>
          </w:tcBorders>
        </w:tcPr>
        <w:p w:rsidR="009A1416" w:rsidRDefault="009A1416" w:rsidP="00E669E2">
          <w:pPr>
            <w:pStyle w:val="HeaderOdd"/>
          </w:pPr>
        </w:p>
      </w:tc>
    </w:tr>
  </w:tbl>
  <w:p w:rsidR="009A1416" w:rsidRDefault="009A1416"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A1416" w:rsidTr="00D7267B">
      <w:tc>
        <w:tcPr>
          <w:tcW w:w="6634" w:type="dxa"/>
          <w:tcBorders>
            <w:top w:val="single" w:sz="6" w:space="0" w:color="auto"/>
          </w:tcBorders>
        </w:tcPr>
        <w:p w:rsidR="009A1416" w:rsidRDefault="009A1416" w:rsidP="00D7267B">
          <w:pPr>
            <w:pStyle w:val="HeaderOdd"/>
          </w:pPr>
          <w:r>
            <w:t>STEERING COMMITTEE</w:t>
          </w:r>
          <w:r w:rsidRPr="00D7267B">
            <w:t xml:space="preserve"> DRAFT — IN CONFIDENCE</w:t>
          </w:r>
        </w:p>
      </w:tc>
      <w:tc>
        <w:tcPr>
          <w:tcW w:w="2155" w:type="dxa"/>
          <w:tcBorders>
            <w:top w:val="single" w:sz="24" w:space="0" w:color="auto"/>
          </w:tcBorders>
        </w:tcPr>
        <w:p w:rsidR="009A1416" w:rsidRDefault="009A1416" w:rsidP="00D7267B">
          <w:pPr>
            <w:pStyle w:val="HeaderOdd"/>
          </w:pPr>
        </w:p>
      </w:tc>
    </w:tr>
  </w:tbl>
  <w:p w:rsidR="009A1416" w:rsidRPr="00D7267B" w:rsidRDefault="009A1416" w:rsidP="00D7267B">
    <w:pPr>
      <w:pStyle w:val="Header"/>
      <w:spacing w:line="240" w:lineRule="auto"/>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A2C14E8"/>
    <w:multiLevelType w:val="hybridMultilevel"/>
    <w:tmpl w:val="1DE2D964"/>
    <w:lvl w:ilvl="0" w:tplc="0BFE4CAE">
      <w:start w:val="1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E0C4C9E"/>
    <w:multiLevelType w:val="hybridMultilevel"/>
    <w:tmpl w:val="0DEC87F6"/>
    <w:lvl w:ilvl="0" w:tplc="0A84E000">
      <w:start w:val="14"/>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20"/>
  </w:num>
  <w:num w:numId="6">
    <w:abstractNumId w:val="16"/>
  </w:num>
  <w:num w:numId="7">
    <w:abstractNumId w:val="7"/>
  </w:num>
  <w:num w:numId="8">
    <w:abstractNumId w:val="15"/>
  </w:num>
  <w:num w:numId="9">
    <w:abstractNumId w:val="6"/>
  </w:num>
  <w:num w:numId="10">
    <w:abstractNumId w:val="5"/>
  </w:num>
  <w:num w:numId="11">
    <w:abstractNumId w:val="9"/>
  </w:num>
  <w:num w:numId="12">
    <w:abstractNumId w:val="11"/>
  </w:num>
  <w:num w:numId="13">
    <w:abstractNumId w:val="4"/>
  </w:num>
  <w:num w:numId="14">
    <w:abstractNumId w:val="17"/>
  </w:num>
  <w:num w:numId="15">
    <w:abstractNumId w:val="21"/>
  </w:num>
  <w:num w:numId="16">
    <w:abstractNumId w:val="13"/>
  </w:num>
  <w:num w:numId="17">
    <w:abstractNumId w:val="22"/>
  </w:num>
  <w:num w:numId="18">
    <w:abstractNumId w:val="19"/>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14"/>
  </w:num>
  <w:num w:numId="23">
    <w:abstractNumId w:val="12"/>
  </w:num>
  <w:num w:numId="24">
    <w:abstractNumId w:val="14"/>
  </w:num>
  <w:num w:numId="25">
    <w:abstractNumId w:val="14"/>
  </w:num>
  <w:num w:numId="26">
    <w:abstractNumId w:val="4"/>
  </w:num>
  <w:num w:numId="27">
    <w:abstractNumId w:val="4"/>
  </w:num>
  <w:num w:numId="28">
    <w:abstractNumId w:val="12"/>
  </w:num>
  <w:num w:numId="29">
    <w:abstractNumId w:val="14"/>
  </w:num>
  <w:num w:numId="30">
    <w:abstractNumId w:val="12"/>
  </w:num>
  <w:num w:numId="31">
    <w:abstractNumId w:val="14"/>
  </w:num>
  <w:num w:numId="32">
    <w:abstractNumId w:val="14"/>
  </w:num>
  <w:num w:numId="33">
    <w:abstractNumId w:val="14"/>
  </w:num>
  <w:num w:numId="34">
    <w:abstractNumId w:val="14"/>
  </w:num>
  <w:num w:numId="35">
    <w:abstractNumId w:val="12"/>
  </w:num>
  <w:num w:numId="36">
    <w:abstractNumId w:val="12"/>
  </w:num>
  <w:num w:numId="37">
    <w:abstractNumId w:val="10"/>
  </w:num>
  <w:num w:numId="38">
    <w:abstractNumId w:val="18"/>
  </w:num>
  <w:num w:numId="39">
    <w:abstractNumId w:val="14"/>
  </w:num>
  <w:num w:numId="40">
    <w:abstractNumId w:val="12"/>
  </w:num>
  <w:num w:numId="41">
    <w:abstractNumId w:val="12"/>
  </w:num>
  <w:num w:numId="4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90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ged care services"/>
    <w:docVar w:name="ShortReportTitle" w:val="Report on Government Services 2017"/>
  </w:docVars>
  <w:rsids>
    <w:rsidRoot w:val="00CA1E21"/>
    <w:rsid w:val="000008E2"/>
    <w:rsid w:val="00001C1C"/>
    <w:rsid w:val="000064BA"/>
    <w:rsid w:val="00006A4D"/>
    <w:rsid w:val="00010F44"/>
    <w:rsid w:val="000119C8"/>
    <w:rsid w:val="00013637"/>
    <w:rsid w:val="00014B2D"/>
    <w:rsid w:val="00016307"/>
    <w:rsid w:val="0001680C"/>
    <w:rsid w:val="00020420"/>
    <w:rsid w:val="00020821"/>
    <w:rsid w:val="00021E8C"/>
    <w:rsid w:val="000227D5"/>
    <w:rsid w:val="00023A62"/>
    <w:rsid w:val="000245AA"/>
    <w:rsid w:val="00025AE5"/>
    <w:rsid w:val="00026CEF"/>
    <w:rsid w:val="00030F93"/>
    <w:rsid w:val="00031C0B"/>
    <w:rsid w:val="00032AC4"/>
    <w:rsid w:val="00033A05"/>
    <w:rsid w:val="00034F61"/>
    <w:rsid w:val="00035637"/>
    <w:rsid w:val="00035AF4"/>
    <w:rsid w:val="0003664B"/>
    <w:rsid w:val="00036A0A"/>
    <w:rsid w:val="00036C3C"/>
    <w:rsid w:val="000371D4"/>
    <w:rsid w:val="0003776D"/>
    <w:rsid w:val="00037BE6"/>
    <w:rsid w:val="0004111F"/>
    <w:rsid w:val="000413CB"/>
    <w:rsid w:val="00041C6A"/>
    <w:rsid w:val="00042DCB"/>
    <w:rsid w:val="00044AE4"/>
    <w:rsid w:val="00050D31"/>
    <w:rsid w:val="0005121A"/>
    <w:rsid w:val="00051268"/>
    <w:rsid w:val="000514CF"/>
    <w:rsid w:val="00051FFD"/>
    <w:rsid w:val="000523C0"/>
    <w:rsid w:val="000533CC"/>
    <w:rsid w:val="00054747"/>
    <w:rsid w:val="00055077"/>
    <w:rsid w:val="0005575E"/>
    <w:rsid w:val="000565B3"/>
    <w:rsid w:val="00056966"/>
    <w:rsid w:val="00057C9B"/>
    <w:rsid w:val="0006137C"/>
    <w:rsid w:val="000625B0"/>
    <w:rsid w:val="00062E7E"/>
    <w:rsid w:val="000649C8"/>
    <w:rsid w:val="00066AE5"/>
    <w:rsid w:val="000675DA"/>
    <w:rsid w:val="000701D8"/>
    <w:rsid w:val="000702FF"/>
    <w:rsid w:val="00070340"/>
    <w:rsid w:val="00070BD9"/>
    <w:rsid w:val="0007150B"/>
    <w:rsid w:val="0007332D"/>
    <w:rsid w:val="00073515"/>
    <w:rsid w:val="000743E2"/>
    <w:rsid w:val="000755A9"/>
    <w:rsid w:val="00075BD0"/>
    <w:rsid w:val="00076510"/>
    <w:rsid w:val="00076829"/>
    <w:rsid w:val="000812FD"/>
    <w:rsid w:val="0008253C"/>
    <w:rsid w:val="00082F9E"/>
    <w:rsid w:val="0008379A"/>
    <w:rsid w:val="00084A79"/>
    <w:rsid w:val="00084F55"/>
    <w:rsid w:val="00086CE5"/>
    <w:rsid w:val="0008758F"/>
    <w:rsid w:val="00087FC4"/>
    <w:rsid w:val="00090256"/>
    <w:rsid w:val="000908A3"/>
    <w:rsid w:val="0009203D"/>
    <w:rsid w:val="000938F5"/>
    <w:rsid w:val="00095663"/>
    <w:rsid w:val="00095DD0"/>
    <w:rsid w:val="00096331"/>
    <w:rsid w:val="00096E55"/>
    <w:rsid w:val="0009783E"/>
    <w:rsid w:val="000A0E88"/>
    <w:rsid w:val="000A2BE0"/>
    <w:rsid w:val="000A3D79"/>
    <w:rsid w:val="000A4C66"/>
    <w:rsid w:val="000A554C"/>
    <w:rsid w:val="000A5672"/>
    <w:rsid w:val="000A5762"/>
    <w:rsid w:val="000A5D6A"/>
    <w:rsid w:val="000A6684"/>
    <w:rsid w:val="000A741B"/>
    <w:rsid w:val="000A7541"/>
    <w:rsid w:val="000A7CF9"/>
    <w:rsid w:val="000B1022"/>
    <w:rsid w:val="000B311B"/>
    <w:rsid w:val="000B4E46"/>
    <w:rsid w:val="000B601B"/>
    <w:rsid w:val="000C03FE"/>
    <w:rsid w:val="000C0B5D"/>
    <w:rsid w:val="000C0C10"/>
    <w:rsid w:val="000C110D"/>
    <w:rsid w:val="000C207E"/>
    <w:rsid w:val="000C24D6"/>
    <w:rsid w:val="000C25BF"/>
    <w:rsid w:val="000C3528"/>
    <w:rsid w:val="000C36D9"/>
    <w:rsid w:val="000C3F3E"/>
    <w:rsid w:val="000C431E"/>
    <w:rsid w:val="000C4DA8"/>
    <w:rsid w:val="000C664E"/>
    <w:rsid w:val="000C7D1B"/>
    <w:rsid w:val="000D02EE"/>
    <w:rsid w:val="000D0A2A"/>
    <w:rsid w:val="000D0F1B"/>
    <w:rsid w:val="000D1072"/>
    <w:rsid w:val="000D41E9"/>
    <w:rsid w:val="000D4757"/>
    <w:rsid w:val="000D5E7E"/>
    <w:rsid w:val="000D6EE2"/>
    <w:rsid w:val="000D7D62"/>
    <w:rsid w:val="000E0175"/>
    <w:rsid w:val="000E26FD"/>
    <w:rsid w:val="000E3952"/>
    <w:rsid w:val="000E3E49"/>
    <w:rsid w:val="000E44EB"/>
    <w:rsid w:val="000E497F"/>
    <w:rsid w:val="000E4D54"/>
    <w:rsid w:val="000E4FBB"/>
    <w:rsid w:val="000E678C"/>
    <w:rsid w:val="000E7ADB"/>
    <w:rsid w:val="000E7FDB"/>
    <w:rsid w:val="000F0035"/>
    <w:rsid w:val="000F060A"/>
    <w:rsid w:val="000F1B65"/>
    <w:rsid w:val="000F255B"/>
    <w:rsid w:val="000F267F"/>
    <w:rsid w:val="000F2C19"/>
    <w:rsid w:val="000F4170"/>
    <w:rsid w:val="000F420B"/>
    <w:rsid w:val="000F664B"/>
    <w:rsid w:val="000F6E9B"/>
    <w:rsid w:val="000F76CB"/>
    <w:rsid w:val="00101707"/>
    <w:rsid w:val="00101C35"/>
    <w:rsid w:val="001023AE"/>
    <w:rsid w:val="00102B27"/>
    <w:rsid w:val="00102B60"/>
    <w:rsid w:val="00104074"/>
    <w:rsid w:val="00104A5E"/>
    <w:rsid w:val="0010572E"/>
    <w:rsid w:val="00110116"/>
    <w:rsid w:val="001109A8"/>
    <w:rsid w:val="001115E6"/>
    <w:rsid w:val="001155DF"/>
    <w:rsid w:val="00115A56"/>
    <w:rsid w:val="00115C91"/>
    <w:rsid w:val="00115E9E"/>
    <w:rsid w:val="0011675A"/>
    <w:rsid w:val="00116AD7"/>
    <w:rsid w:val="00120072"/>
    <w:rsid w:val="001208DC"/>
    <w:rsid w:val="00120CCA"/>
    <w:rsid w:val="00122998"/>
    <w:rsid w:val="00123F51"/>
    <w:rsid w:val="0012443F"/>
    <w:rsid w:val="001248F2"/>
    <w:rsid w:val="00126E0E"/>
    <w:rsid w:val="00126EB8"/>
    <w:rsid w:val="001274D4"/>
    <w:rsid w:val="0012765F"/>
    <w:rsid w:val="00127681"/>
    <w:rsid w:val="0012778A"/>
    <w:rsid w:val="00127E2E"/>
    <w:rsid w:val="00132650"/>
    <w:rsid w:val="001328CB"/>
    <w:rsid w:val="001332B5"/>
    <w:rsid w:val="00136001"/>
    <w:rsid w:val="001363AA"/>
    <w:rsid w:val="0013739A"/>
    <w:rsid w:val="00140966"/>
    <w:rsid w:val="001417E6"/>
    <w:rsid w:val="00142165"/>
    <w:rsid w:val="001439D6"/>
    <w:rsid w:val="00144AB5"/>
    <w:rsid w:val="00145517"/>
    <w:rsid w:val="0014593B"/>
    <w:rsid w:val="00147954"/>
    <w:rsid w:val="001517F8"/>
    <w:rsid w:val="0015191D"/>
    <w:rsid w:val="00152AD6"/>
    <w:rsid w:val="00153E2A"/>
    <w:rsid w:val="00153F53"/>
    <w:rsid w:val="00155569"/>
    <w:rsid w:val="00155807"/>
    <w:rsid w:val="001564AA"/>
    <w:rsid w:val="0015677A"/>
    <w:rsid w:val="001573BE"/>
    <w:rsid w:val="00162434"/>
    <w:rsid w:val="00162496"/>
    <w:rsid w:val="00162DDE"/>
    <w:rsid w:val="001664AE"/>
    <w:rsid w:val="00166B9E"/>
    <w:rsid w:val="001674AF"/>
    <w:rsid w:val="001723A9"/>
    <w:rsid w:val="0017282A"/>
    <w:rsid w:val="00175A42"/>
    <w:rsid w:val="00175B50"/>
    <w:rsid w:val="00180966"/>
    <w:rsid w:val="00180EB6"/>
    <w:rsid w:val="001830A4"/>
    <w:rsid w:val="001833D1"/>
    <w:rsid w:val="00183E82"/>
    <w:rsid w:val="00184502"/>
    <w:rsid w:val="00185332"/>
    <w:rsid w:val="001878BB"/>
    <w:rsid w:val="00187CE7"/>
    <w:rsid w:val="0019020A"/>
    <w:rsid w:val="001902E0"/>
    <w:rsid w:val="00190D14"/>
    <w:rsid w:val="001911D5"/>
    <w:rsid w:val="00191509"/>
    <w:rsid w:val="00191AE0"/>
    <w:rsid w:val="0019293B"/>
    <w:rsid w:val="001934EB"/>
    <w:rsid w:val="00193A6D"/>
    <w:rsid w:val="0019426B"/>
    <w:rsid w:val="001943DE"/>
    <w:rsid w:val="00194F5F"/>
    <w:rsid w:val="0019510D"/>
    <w:rsid w:val="00195637"/>
    <w:rsid w:val="00195E20"/>
    <w:rsid w:val="001968AA"/>
    <w:rsid w:val="001A3F50"/>
    <w:rsid w:val="001A442B"/>
    <w:rsid w:val="001A4D03"/>
    <w:rsid w:val="001A5803"/>
    <w:rsid w:val="001A6A4B"/>
    <w:rsid w:val="001B0E91"/>
    <w:rsid w:val="001B2662"/>
    <w:rsid w:val="001B2E1E"/>
    <w:rsid w:val="001B33F5"/>
    <w:rsid w:val="001B351C"/>
    <w:rsid w:val="001B39ED"/>
    <w:rsid w:val="001B4EEE"/>
    <w:rsid w:val="001B53C5"/>
    <w:rsid w:val="001B5983"/>
    <w:rsid w:val="001B672D"/>
    <w:rsid w:val="001B6CD6"/>
    <w:rsid w:val="001B7698"/>
    <w:rsid w:val="001C0865"/>
    <w:rsid w:val="001C09CA"/>
    <w:rsid w:val="001C0AED"/>
    <w:rsid w:val="001C11AD"/>
    <w:rsid w:val="001C18DF"/>
    <w:rsid w:val="001C1FED"/>
    <w:rsid w:val="001C240F"/>
    <w:rsid w:val="001C27CF"/>
    <w:rsid w:val="001C27E5"/>
    <w:rsid w:val="001C2D0B"/>
    <w:rsid w:val="001C3ABA"/>
    <w:rsid w:val="001C4D24"/>
    <w:rsid w:val="001C50C9"/>
    <w:rsid w:val="001C5111"/>
    <w:rsid w:val="001D0EFF"/>
    <w:rsid w:val="001D20C3"/>
    <w:rsid w:val="001D2738"/>
    <w:rsid w:val="001D2C4A"/>
    <w:rsid w:val="001D452A"/>
    <w:rsid w:val="001D5B19"/>
    <w:rsid w:val="001D5B96"/>
    <w:rsid w:val="001D6536"/>
    <w:rsid w:val="001D718C"/>
    <w:rsid w:val="001D7D0A"/>
    <w:rsid w:val="001E0842"/>
    <w:rsid w:val="001E1E6B"/>
    <w:rsid w:val="001E2B14"/>
    <w:rsid w:val="001E2BFA"/>
    <w:rsid w:val="001E2FBD"/>
    <w:rsid w:val="001E742F"/>
    <w:rsid w:val="001E78FB"/>
    <w:rsid w:val="001E7BE8"/>
    <w:rsid w:val="001F0248"/>
    <w:rsid w:val="001F0B82"/>
    <w:rsid w:val="001F36C6"/>
    <w:rsid w:val="001F3EB3"/>
    <w:rsid w:val="001F4F86"/>
    <w:rsid w:val="001F54C4"/>
    <w:rsid w:val="00200321"/>
    <w:rsid w:val="0020251C"/>
    <w:rsid w:val="00202C2C"/>
    <w:rsid w:val="00202DC5"/>
    <w:rsid w:val="00203050"/>
    <w:rsid w:val="002032F3"/>
    <w:rsid w:val="0020334C"/>
    <w:rsid w:val="0020370B"/>
    <w:rsid w:val="00204A1B"/>
    <w:rsid w:val="00206BC8"/>
    <w:rsid w:val="0020748E"/>
    <w:rsid w:val="002074E0"/>
    <w:rsid w:val="00210803"/>
    <w:rsid w:val="002115F3"/>
    <w:rsid w:val="00211969"/>
    <w:rsid w:val="00212202"/>
    <w:rsid w:val="0021237B"/>
    <w:rsid w:val="0021335B"/>
    <w:rsid w:val="002135AB"/>
    <w:rsid w:val="00213FF3"/>
    <w:rsid w:val="002144BE"/>
    <w:rsid w:val="00214C62"/>
    <w:rsid w:val="00214F5D"/>
    <w:rsid w:val="00216559"/>
    <w:rsid w:val="002170AE"/>
    <w:rsid w:val="0022152F"/>
    <w:rsid w:val="002219EA"/>
    <w:rsid w:val="002225FC"/>
    <w:rsid w:val="00223571"/>
    <w:rsid w:val="00224633"/>
    <w:rsid w:val="00224E0D"/>
    <w:rsid w:val="00225F82"/>
    <w:rsid w:val="002264AE"/>
    <w:rsid w:val="0023061C"/>
    <w:rsid w:val="00231EFC"/>
    <w:rsid w:val="00233B88"/>
    <w:rsid w:val="00233F50"/>
    <w:rsid w:val="002340B4"/>
    <w:rsid w:val="0023412D"/>
    <w:rsid w:val="00234D3D"/>
    <w:rsid w:val="00234E31"/>
    <w:rsid w:val="00236DCE"/>
    <w:rsid w:val="00237C88"/>
    <w:rsid w:val="00242279"/>
    <w:rsid w:val="00242E63"/>
    <w:rsid w:val="002430DF"/>
    <w:rsid w:val="00243997"/>
    <w:rsid w:val="0024516C"/>
    <w:rsid w:val="002455F4"/>
    <w:rsid w:val="00245C82"/>
    <w:rsid w:val="00246A6C"/>
    <w:rsid w:val="00246CAD"/>
    <w:rsid w:val="002470BA"/>
    <w:rsid w:val="00247428"/>
    <w:rsid w:val="00247541"/>
    <w:rsid w:val="0025389B"/>
    <w:rsid w:val="0025434C"/>
    <w:rsid w:val="00255755"/>
    <w:rsid w:val="0025584D"/>
    <w:rsid w:val="00255999"/>
    <w:rsid w:val="00255E72"/>
    <w:rsid w:val="00260173"/>
    <w:rsid w:val="00261CB4"/>
    <w:rsid w:val="00264CE4"/>
    <w:rsid w:val="0026598B"/>
    <w:rsid w:val="00270EDF"/>
    <w:rsid w:val="00271185"/>
    <w:rsid w:val="002724BA"/>
    <w:rsid w:val="00275CC5"/>
    <w:rsid w:val="002763E2"/>
    <w:rsid w:val="00277B7F"/>
    <w:rsid w:val="00277FF9"/>
    <w:rsid w:val="00280561"/>
    <w:rsid w:val="002805D0"/>
    <w:rsid w:val="00280A91"/>
    <w:rsid w:val="00281C56"/>
    <w:rsid w:val="002827D3"/>
    <w:rsid w:val="00283E47"/>
    <w:rsid w:val="00284F78"/>
    <w:rsid w:val="002862FD"/>
    <w:rsid w:val="00286BAB"/>
    <w:rsid w:val="00287070"/>
    <w:rsid w:val="00291B40"/>
    <w:rsid w:val="00292776"/>
    <w:rsid w:val="00292DDF"/>
    <w:rsid w:val="00294D3C"/>
    <w:rsid w:val="002A0088"/>
    <w:rsid w:val="002A06B8"/>
    <w:rsid w:val="002A0AEB"/>
    <w:rsid w:val="002A0C3A"/>
    <w:rsid w:val="002A1C34"/>
    <w:rsid w:val="002A2D7D"/>
    <w:rsid w:val="002A40DA"/>
    <w:rsid w:val="002A4167"/>
    <w:rsid w:val="002A6413"/>
    <w:rsid w:val="002A7441"/>
    <w:rsid w:val="002B1B37"/>
    <w:rsid w:val="002B24B9"/>
    <w:rsid w:val="002B337A"/>
    <w:rsid w:val="002B4008"/>
    <w:rsid w:val="002B4257"/>
    <w:rsid w:val="002B715A"/>
    <w:rsid w:val="002B74C7"/>
    <w:rsid w:val="002B75B3"/>
    <w:rsid w:val="002C16A4"/>
    <w:rsid w:val="002C1A8F"/>
    <w:rsid w:val="002C36A8"/>
    <w:rsid w:val="002C36F5"/>
    <w:rsid w:val="002C439F"/>
    <w:rsid w:val="002C5840"/>
    <w:rsid w:val="002D0C42"/>
    <w:rsid w:val="002D0CEC"/>
    <w:rsid w:val="002D0E8E"/>
    <w:rsid w:val="002D1E5A"/>
    <w:rsid w:val="002D5B18"/>
    <w:rsid w:val="002D6F25"/>
    <w:rsid w:val="002D7BE6"/>
    <w:rsid w:val="002E225C"/>
    <w:rsid w:val="002E28C1"/>
    <w:rsid w:val="002E2C84"/>
    <w:rsid w:val="002E3E19"/>
    <w:rsid w:val="002E507D"/>
    <w:rsid w:val="002E50F8"/>
    <w:rsid w:val="002E585D"/>
    <w:rsid w:val="002E5910"/>
    <w:rsid w:val="002E7067"/>
    <w:rsid w:val="002E7C1F"/>
    <w:rsid w:val="002F3720"/>
    <w:rsid w:val="002F3CF1"/>
    <w:rsid w:val="002F60AE"/>
    <w:rsid w:val="002F7A7F"/>
    <w:rsid w:val="003000E5"/>
    <w:rsid w:val="003008BF"/>
    <w:rsid w:val="00300BF1"/>
    <w:rsid w:val="00300F46"/>
    <w:rsid w:val="00301188"/>
    <w:rsid w:val="00301189"/>
    <w:rsid w:val="00301A58"/>
    <w:rsid w:val="00301A82"/>
    <w:rsid w:val="00301E4A"/>
    <w:rsid w:val="00301EAF"/>
    <w:rsid w:val="003038AE"/>
    <w:rsid w:val="00304602"/>
    <w:rsid w:val="003053CF"/>
    <w:rsid w:val="0030584B"/>
    <w:rsid w:val="00306089"/>
    <w:rsid w:val="00306A7C"/>
    <w:rsid w:val="0030759F"/>
    <w:rsid w:val="003117E0"/>
    <w:rsid w:val="00312162"/>
    <w:rsid w:val="003166EA"/>
    <w:rsid w:val="00316889"/>
    <w:rsid w:val="003168B8"/>
    <w:rsid w:val="00316989"/>
    <w:rsid w:val="003173DF"/>
    <w:rsid w:val="0032221B"/>
    <w:rsid w:val="00322D64"/>
    <w:rsid w:val="00323E09"/>
    <w:rsid w:val="003269B4"/>
    <w:rsid w:val="00327856"/>
    <w:rsid w:val="00327932"/>
    <w:rsid w:val="00327941"/>
    <w:rsid w:val="0032794D"/>
    <w:rsid w:val="00330158"/>
    <w:rsid w:val="0033132C"/>
    <w:rsid w:val="003321C1"/>
    <w:rsid w:val="003322D3"/>
    <w:rsid w:val="0033251A"/>
    <w:rsid w:val="00333630"/>
    <w:rsid w:val="0033387C"/>
    <w:rsid w:val="00333932"/>
    <w:rsid w:val="00335077"/>
    <w:rsid w:val="003354AD"/>
    <w:rsid w:val="0033632A"/>
    <w:rsid w:val="00336A6C"/>
    <w:rsid w:val="00336CD3"/>
    <w:rsid w:val="00337043"/>
    <w:rsid w:val="00337313"/>
    <w:rsid w:val="00340F39"/>
    <w:rsid w:val="00341DD3"/>
    <w:rsid w:val="003434BA"/>
    <w:rsid w:val="0034414A"/>
    <w:rsid w:val="003446A7"/>
    <w:rsid w:val="00344E40"/>
    <w:rsid w:val="003451D4"/>
    <w:rsid w:val="00346BB3"/>
    <w:rsid w:val="003471F4"/>
    <w:rsid w:val="00350721"/>
    <w:rsid w:val="003518AA"/>
    <w:rsid w:val="00351D64"/>
    <w:rsid w:val="00352165"/>
    <w:rsid w:val="00353182"/>
    <w:rsid w:val="0035363B"/>
    <w:rsid w:val="00354FE6"/>
    <w:rsid w:val="00355BC1"/>
    <w:rsid w:val="003565D9"/>
    <w:rsid w:val="003602E1"/>
    <w:rsid w:val="003657D3"/>
    <w:rsid w:val="00365BC8"/>
    <w:rsid w:val="003662CE"/>
    <w:rsid w:val="0037026F"/>
    <w:rsid w:val="00370CA4"/>
    <w:rsid w:val="00370EEC"/>
    <w:rsid w:val="00371240"/>
    <w:rsid w:val="00372384"/>
    <w:rsid w:val="00372FF3"/>
    <w:rsid w:val="00373492"/>
    <w:rsid w:val="00374172"/>
    <w:rsid w:val="00374252"/>
    <w:rsid w:val="00374731"/>
    <w:rsid w:val="00376022"/>
    <w:rsid w:val="00376173"/>
    <w:rsid w:val="003769AA"/>
    <w:rsid w:val="00376E59"/>
    <w:rsid w:val="00377694"/>
    <w:rsid w:val="00377EC1"/>
    <w:rsid w:val="0038031F"/>
    <w:rsid w:val="00380340"/>
    <w:rsid w:val="00380D6E"/>
    <w:rsid w:val="00381058"/>
    <w:rsid w:val="00381B90"/>
    <w:rsid w:val="00382E90"/>
    <w:rsid w:val="003832D3"/>
    <w:rsid w:val="00383D7C"/>
    <w:rsid w:val="0038566B"/>
    <w:rsid w:val="00390FA7"/>
    <w:rsid w:val="003919F9"/>
    <w:rsid w:val="00391E20"/>
    <w:rsid w:val="00391E5A"/>
    <w:rsid w:val="003920CF"/>
    <w:rsid w:val="003932A4"/>
    <w:rsid w:val="00393A4E"/>
    <w:rsid w:val="00393CD8"/>
    <w:rsid w:val="003948D7"/>
    <w:rsid w:val="003949F4"/>
    <w:rsid w:val="003964CB"/>
    <w:rsid w:val="00396CAB"/>
    <w:rsid w:val="00397EA4"/>
    <w:rsid w:val="003A05B8"/>
    <w:rsid w:val="003A082C"/>
    <w:rsid w:val="003A0C1F"/>
    <w:rsid w:val="003A1DB8"/>
    <w:rsid w:val="003A22C2"/>
    <w:rsid w:val="003A3390"/>
    <w:rsid w:val="003A4D24"/>
    <w:rsid w:val="003A5971"/>
    <w:rsid w:val="003A5BD8"/>
    <w:rsid w:val="003B09FE"/>
    <w:rsid w:val="003B1D45"/>
    <w:rsid w:val="003B23C2"/>
    <w:rsid w:val="003B2531"/>
    <w:rsid w:val="003B3235"/>
    <w:rsid w:val="003B3A7E"/>
    <w:rsid w:val="003B3B62"/>
    <w:rsid w:val="003B3C1D"/>
    <w:rsid w:val="003B3D21"/>
    <w:rsid w:val="003B6056"/>
    <w:rsid w:val="003B6A11"/>
    <w:rsid w:val="003C229B"/>
    <w:rsid w:val="003C38B5"/>
    <w:rsid w:val="003C43ED"/>
    <w:rsid w:val="003C480D"/>
    <w:rsid w:val="003C5D99"/>
    <w:rsid w:val="003C6618"/>
    <w:rsid w:val="003C662A"/>
    <w:rsid w:val="003C71E4"/>
    <w:rsid w:val="003D1087"/>
    <w:rsid w:val="003D1D8F"/>
    <w:rsid w:val="003D233C"/>
    <w:rsid w:val="003D363E"/>
    <w:rsid w:val="003D68CF"/>
    <w:rsid w:val="003D7C64"/>
    <w:rsid w:val="003E032E"/>
    <w:rsid w:val="003E2F59"/>
    <w:rsid w:val="003E2FEC"/>
    <w:rsid w:val="003E35AF"/>
    <w:rsid w:val="003E4701"/>
    <w:rsid w:val="003E5AAB"/>
    <w:rsid w:val="003E64E3"/>
    <w:rsid w:val="003E746B"/>
    <w:rsid w:val="003F0789"/>
    <w:rsid w:val="003F0A56"/>
    <w:rsid w:val="003F0D13"/>
    <w:rsid w:val="003F1442"/>
    <w:rsid w:val="003F1488"/>
    <w:rsid w:val="003F1DA8"/>
    <w:rsid w:val="003F2893"/>
    <w:rsid w:val="003F45A9"/>
    <w:rsid w:val="003F7363"/>
    <w:rsid w:val="003F7CCB"/>
    <w:rsid w:val="00401613"/>
    <w:rsid w:val="00401882"/>
    <w:rsid w:val="00403246"/>
    <w:rsid w:val="004033CD"/>
    <w:rsid w:val="0040412E"/>
    <w:rsid w:val="0040429C"/>
    <w:rsid w:val="00406177"/>
    <w:rsid w:val="00407392"/>
    <w:rsid w:val="004079B3"/>
    <w:rsid w:val="004100C8"/>
    <w:rsid w:val="004116F7"/>
    <w:rsid w:val="00411DBD"/>
    <w:rsid w:val="004127DD"/>
    <w:rsid w:val="00412ACE"/>
    <w:rsid w:val="00413369"/>
    <w:rsid w:val="004145D2"/>
    <w:rsid w:val="00415749"/>
    <w:rsid w:val="00415966"/>
    <w:rsid w:val="00416F90"/>
    <w:rsid w:val="00417A11"/>
    <w:rsid w:val="00417F01"/>
    <w:rsid w:val="00420660"/>
    <w:rsid w:val="00421371"/>
    <w:rsid w:val="00422BFF"/>
    <w:rsid w:val="00425EA1"/>
    <w:rsid w:val="004262BC"/>
    <w:rsid w:val="00426831"/>
    <w:rsid w:val="00426850"/>
    <w:rsid w:val="00426BB7"/>
    <w:rsid w:val="00426CB4"/>
    <w:rsid w:val="00427516"/>
    <w:rsid w:val="0043053E"/>
    <w:rsid w:val="0043066F"/>
    <w:rsid w:val="00431249"/>
    <w:rsid w:val="004326B0"/>
    <w:rsid w:val="00434512"/>
    <w:rsid w:val="00434C19"/>
    <w:rsid w:val="00436E13"/>
    <w:rsid w:val="00441ED3"/>
    <w:rsid w:val="0044431E"/>
    <w:rsid w:val="00446BBE"/>
    <w:rsid w:val="00447877"/>
    <w:rsid w:val="004500A2"/>
    <w:rsid w:val="00450810"/>
    <w:rsid w:val="0045217F"/>
    <w:rsid w:val="00452677"/>
    <w:rsid w:val="00452D13"/>
    <w:rsid w:val="004548EB"/>
    <w:rsid w:val="00457598"/>
    <w:rsid w:val="00461693"/>
    <w:rsid w:val="004617F7"/>
    <w:rsid w:val="00461D3C"/>
    <w:rsid w:val="0046299F"/>
    <w:rsid w:val="00462C59"/>
    <w:rsid w:val="00465A5B"/>
    <w:rsid w:val="00466060"/>
    <w:rsid w:val="00466DA9"/>
    <w:rsid w:val="00467455"/>
    <w:rsid w:val="00467702"/>
    <w:rsid w:val="00467A69"/>
    <w:rsid w:val="00467F1B"/>
    <w:rsid w:val="00470737"/>
    <w:rsid w:val="004723BC"/>
    <w:rsid w:val="0047240E"/>
    <w:rsid w:val="004732DF"/>
    <w:rsid w:val="00474182"/>
    <w:rsid w:val="00474468"/>
    <w:rsid w:val="00477144"/>
    <w:rsid w:val="004832F7"/>
    <w:rsid w:val="00483504"/>
    <w:rsid w:val="00484188"/>
    <w:rsid w:val="00484263"/>
    <w:rsid w:val="004863F8"/>
    <w:rsid w:val="004864AB"/>
    <w:rsid w:val="004864F5"/>
    <w:rsid w:val="004875BB"/>
    <w:rsid w:val="00491380"/>
    <w:rsid w:val="0049270B"/>
    <w:rsid w:val="00492B88"/>
    <w:rsid w:val="00493254"/>
    <w:rsid w:val="0049459F"/>
    <w:rsid w:val="00494F3F"/>
    <w:rsid w:val="004950E5"/>
    <w:rsid w:val="00497E90"/>
    <w:rsid w:val="00497EEA"/>
    <w:rsid w:val="004A23B8"/>
    <w:rsid w:val="004A2E50"/>
    <w:rsid w:val="004A3721"/>
    <w:rsid w:val="004A38DD"/>
    <w:rsid w:val="004A3AB9"/>
    <w:rsid w:val="004A3CAD"/>
    <w:rsid w:val="004A53DF"/>
    <w:rsid w:val="004A61B6"/>
    <w:rsid w:val="004B0AFE"/>
    <w:rsid w:val="004B2BE8"/>
    <w:rsid w:val="004B2FD8"/>
    <w:rsid w:val="004B43AE"/>
    <w:rsid w:val="004B50A5"/>
    <w:rsid w:val="004B6D12"/>
    <w:rsid w:val="004C0DFD"/>
    <w:rsid w:val="004C16BA"/>
    <w:rsid w:val="004C20AB"/>
    <w:rsid w:val="004C30ED"/>
    <w:rsid w:val="004C3E5B"/>
    <w:rsid w:val="004C5DD3"/>
    <w:rsid w:val="004C66A9"/>
    <w:rsid w:val="004C71DA"/>
    <w:rsid w:val="004C725F"/>
    <w:rsid w:val="004D3334"/>
    <w:rsid w:val="004D488B"/>
    <w:rsid w:val="004D48B4"/>
    <w:rsid w:val="004D4985"/>
    <w:rsid w:val="004D4E47"/>
    <w:rsid w:val="004D529E"/>
    <w:rsid w:val="004D5675"/>
    <w:rsid w:val="004D68EC"/>
    <w:rsid w:val="004D7C64"/>
    <w:rsid w:val="004D7F01"/>
    <w:rsid w:val="004E0294"/>
    <w:rsid w:val="004E1AD3"/>
    <w:rsid w:val="004E2D57"/>
    <w:rsid w:val="004E31A6"/>
    <w:rsid w:val="004E627A"/>
    <w:rsid w:val="004E7D4A"/>
    <w:rsid w:val="004F00F9"/>
    <w:rsid w:val="004F0B02"/>
    <w:rsid w:val="004F211F"/>
    <w:rsid w:val="004F2D2F"/>
    <w:rsid w:val="004F2F95"/>
    <w:rsid w:val="004F3E0D"/>
    <w:rsid w:val="004F6801"/>
    <w:rsid w:val="00500A2F"/>
    <w:rsid w:val="00501FA5"/>
    <w:rsid w:val="00502A24"/>
    <w:rsid w:val="00502CAC"/>
    <w:rsid w:val="00504D87"/>
    <w:rsid w:val="005072C7"/>
    <w:rsid w:val="00507F7F"/>
    <w:rsid w:val="00510241"/>
    <w:rsid w:val="00510863"/>
    <w:rsid w:val="00511EEA"/>
    <w:rsid w:val="005127FC"/>
    <w:rsid w:val="00514579"/>
    <w:rsid w:val="00515A90"/>
    <w:rsid w:val="005171D3"/>
    <w:rsid w:val="00517795"/>
    <w:rsid w:val="00517EE5"/>
    <w:rsid w:val="00520089"/>
    <w:rsid w:val="00520951"/>
    <w:rsid w:val="005216F9"/>
    <w:rsid w:val="00521BDF"/>
    <w:rsid w:val="005233D5"/>
    <w:rsid w:val="00523639"/>
    <w:rsid w:val="00523FFF"/>
    <w:rsid w:val="005258A0"/>
    <w:rsid w:val="00526842"/>
    <w:rsid w:val="00531FE5"/>
    <w:rsid w:val="0053213A"/>
    <w:rsid w:val="00534575"/>
    <w:rsid w:val="00534F3F"/>
    <w:rsid w:val="0053645D"/>
    <w:rsid w:val="005376AE"/>
    <w:rsid w:val="005402FA"/>
    <w:rsid w:val="00540C94"/>
    <w:rsid w:val="00543C93"/>
    <w:rsid w:val="00545A91"/>
    <w:rsid w:val="00545C68"/>
    <w:rsid w:val="00546743"/>
    <w:rsid w:val="0055064E"/>
    <w:rsid w:val="005513A9"/>
    <w:rsid w:val="00552F33"/>
    <w:rsid w:val="00554A4E"/>
    <w:rsid w:val="00555391"/>
    <w:rsid w:val="005602F1"/>
    <w:rsid w:val="005604FC"/>
    <w:rsid w:val="00560C59"/>
    <w:rsid w:val="00561EAC"/>
    <w:rsid w:val="005625C2"/>
    <w:rsid w:val="00563155"/>
    <w:rsid w:val="0056376C"/>
    <w:rsid w:val="00563B32"/>
    <w:rsid w:val="00563D04"/>
    <w:rsid w:val="005646C4"/>
    <w:rsid w:val="00565A42"/>
    <w:rsid w:val="00567F3E"/>
    <w:rsid w:val="005712D3"/>
    <w:rsid w:val="005717D7"/>
    <w:rsid w:val="00571A55"/>
    <w:rsid w:val="00571C59"/>
    <w:rsid w:val="005729BD"/>
    <w:rsid w:val="00572AFE"/>
    <w:rsid w:val="00572E2C"/>
    <w:rsid w:val="00573256"/>
    <w:rsid w:val="00573824"/>
    <w:rsid w:val="005742FE"/>
    <w:rsid w:val="00575944"/>
    <w:rsid w:val="00575A94"/>
    <w:rsid w:val="00576E67"/>
    <w:rsid w:val="00577CC2"/>
    <w:rsid w:val="00580154"/>
    <w:rsid w:val="00580697"/>
    <w:rsid w:val="00582A11"/>
    <w:rsid w:val="00583C39"/>
    <w:rsid w:val="0058474E"/>
    <w:rsid w:val="00586A90"/>
    <w:rsid w:val="00587CE7"/>
    <w:rsid w:val="00587F28"/>
    <w:rsid w:val="0059053F"/>
    <w:rsid w:val="005909CF"/>
    <w:rsid w:val="00590B09"/>
    <w:rsid w:val="00591E71"/>
    <w:rsid w:val="00592CDD"/>
    <w:rsid w:val="00592D6E"/>
    <w:rsid w:val="00593423"/>
    <w:rsid w:val="0059392A"/>
    <w:rsid w:val="005947AD"/>
    <w:rsid w:val="005955C2"/>
    <w:rsid w:val="00596CCE"/>
    <w:rsid w:val="005A0D41"/>
    <w:rsid w:val="005A2220"/>
    <w:rsid w:val="005A37F7"/>
    <w:rsid w:val="005A5473"/>
    <w:rsid w:val="005A7770"/>
    <w:rsid w:val="005A7AD9"/>
    <w:rsid w:val="005B097B"/>
    <w:rsid w:val="005B4821"/>
    <w:rsid w:val="005B4B2A"/>
    <w:rsid w:val="005B595F"/>
    <w:rsid w:val="005B6E45"/>
    <w:rsid w:val="005B7680"/>
    <w:rsid w:val="005B79FE"/>
    <w:rsid w:val="005C068F"/>
    <w:rsid w:val="005C18E9"/>
    <w:rsid w:val="005C23C9"/>
    <w:rsid w:val="005C273E"/>
    <w:rsid w:val="005C3550"/>
    <w:rsid w:val="005C5B68"/>
    <w:rsid w:val="005C6181"/>
    <w:rsid w:val="005C6C6B"/>
    <w:rsid w:val="005C72D9"/>
    <w:rsid w:val="005C7D1B"/>
    <w:rsid w:val="005D21D6"/>
    <w:rsid w:val="005D27F2"/>
    <w:rsid w:val="005D2BC0"/>
    <w:rsid w:val="005D329F"/>
    <w:rsid w:val="005D39DF"/>
    <w:rsid w:val="005D3F77"/>
    <w:rsid w:val="005D4304"/>
    <w:rsid w:val="005D47E4"/>
    <w:rsid w:val="005D4D5F"/>
    <w:rsid w:val="005D50CF"/>
    <w:rsid w:val="005D5615"/>
    <w:rsid w:val="005D58F0"/>
    <w:rsid w:val="005D5909"/>
    <w:rsid w:val="005D5AA5"/>
    <w:rsid w:val="005D6139"/>
    <w:rsid w:val="005D6A26"/>
    <w:rsid w:val="005E05FE"/>
    <w:rsid w:val="005E1269"/>
    <w:rsid w:val="005E1367"/>
    <w:rsid w:val="005E16F2"/>
    <w:rsid w:val="005E1D64"/>
    <w:rsid w:val="005E30E6"/>
    <w:rsid w:val="005E4468"/>
    <w:rsid w:val="005E70A1"/>
    <w:rsid w:val="005F024E"/>
    <w:rsid w:val="005F1445"/>
    <w:rsid w:val="005F19EB"/>
    <w:rsid w:val="005F1D74"/>
    <w:rsid w:val="005F30C7"/>
    <w:rsid w:val="005F48ED"/>
    <w:rsid w:val="005F4933"/>
    <w:rsid w:val="005F4FFA"/>
    <w:rsid w:val="005F6F55"/>
    <w:rsid w:val="005F760E"/>
    <w:rsid w:val="005F7EB7"/>
    <w:rsid w:val="0060005B"/>
    <w:rsid w:val="00600229"/>
    <w:rsid w:val="0060133A"/>
    <w:rsid w:val="0060162F"/>
    <w:rsid w:val="00601C0F"/>
    <w:rsid w:val="00602582"/>
    <w:rsid w:val="00602FC0"/>
    <w:rsid w:val="00603A6F"/>
    <w:rsid w:val="00603DA8"/>
    <w:rsid w:val="00603EE0"/>
    <w:rsid w:val="00604463"/>
    <w:rsid w:val="00605294"/>
    <w:rsid w:val="00605B58"/>
    <w:rsid w:val="00606A20"/>
    <w:rsid w:val="00606E78"/>
    <w:rsid w:val="00607271"/>
    <w:rsid w:val="00607BF1"/>
    <w:rsid w:val="00610312"/>
    <w:rsid w:val="00610594"/>
    <w:rsid w:val="00610FBD"/>
    <w:rsid w:val="00611293"/>
    <w:rsid w:val="006125F8"/>
    <w:rsid w:val="0061501A"/>
    <w:rsid w:val="006156E8"/>
    <w:rsid w:val="00615AC8"/>
    <w:rsid w:val="00620BE0"/>
    <w:rsid w:val="00623291"/>
    <w:rsid w:val="0062473F"/>
    <w:rsid w:val="00625968"/>
    <w:rsid w:val="00625EA5"/>
    <w:rsid w:val="00626C1B"/>
    <w:rsid w:val="006275D6"/>
    <w:rsid w:val="006276B7"/>
    <w:rsid w:val="00630D4D"/>
    <w:rsid w:val="00632A74"/>
    <w:rsid w:val="00634625"/>
    <w:rsid w:val="0063463D"/>
    <w:rsid w:val="006371D9"/>
    <w:rsid w:val="00637BB9"/>
    <w:rsid w:val="00640509"/>
    <w:rsid w:val="00641381"/>
    <w:rsid w:val="00641FE6"/>
    <w:rsid w:val="006424EC"/>
    <w:rsid w:val="006435D0"/>
    <w:rsid w:val="00643ADD"/>
    <w:rsid w:val="00644FF9"/>
    <w:rsid w:val="00645A3F"/>
    <w:rsid w:val="00645C95"/>
    <w:rsid w:val="00646154"/>
    <w:rsid w:val="00647511"/>
    <w:rsid w:val="006477B6"/>
    <w:rsid w:val="00647BAB"/>
    <w:rsid w:val="00647F4A"/>
    <w:rsid w:val="006505BE"/>
    <w:rsid w:val="00653D20"/>
    <w:rsid w:val="006548E4"/>
    <w:rsid w:val="00654D42"/>
    <w:rsid w:val="00655460"/>
    <w:rsid w:val="00656D6B"/>
    <w:rsid w:val="0065756F"/>
    <w:rsid w:val="00657BEE"/>
    <w:rsid w:val="00660441"/>
    <w:rsid w:val="006613E3"/>
    <w:rsid w:val="00662F0E"/>
    <w:rsid w:val="00664288"/>
    <w:rsid w:val="00664BA5"/>
    <w:rsid w:val="00666E02"/>
    <w:rsid w:val="00666FC3"/>
    <w:rsid w:val="00667C3B"/>
    <w:rsid w:val="006722F5"/>
    <w:rsid w:val="00673139"/>
    <w:rsid w:val="00673613"/>
    <w:rsid w:val="00674BC9"/>
    <w:rsid w:val="00674D21"/>
    <w:rsid w:val="00677737"/>
    <w:rsid w:val="00677A14"/>
    <w:rsid w:val="00680A5D"/>
    <w:rsid w:val="00680F2A"/>
    <w:rsid w:val="006821CD"/>
    <w:rsid w:val="00682A28"/>
    <w:rsid w:val="00683F2B"/>
    <w:rsid w:val="0069003E"/>
    <w:rsid w:val="00691955"/>
    <w:rsid w:val="00691DC4"/>
    <w:rsid w:val="006929C2"/>
    <w:rsid w:val="00694D28"/>
    <w:rsid w:val="00694E2F"/>
    <w:rsid w:val="00696849"/>
    <w:rsid w:val="0069698D"/>
    <w:rsid w:val="00696BCC"/>
    <w:rsid w:val="00697271"/>
    <w:rsid w:val="006A133F"/>
    <w:rsid w:val="006A1456"/>
    <w:rsid w:val="006A4655"/>
    <w:rsid w:val="006A4D09"/>
    <w:rsid w:val="006A5448"/>
    <w:rsid w:val="006A7293"/>
    <w:rsid w:val="006A75B4"/>
    <w:rsid w:val="006A773A"/>
    <w:rsid w:val="006B0468"/>
    <w:rsid w:val="006B2B3C"/>
    <w:rsid w:val="006B4A7E"/>
    <w:rsid w:val="006B559B"/>
    <w:rsid w:val="006B5A87"/>
    <w:rsid w:val="006B6EF3"/>
    <w:rsid w:val="006C06FA"/>
    <w:rsid w:val="006C1D81"/>
    <w:rsid w:val="006C36D6"/>
    <w:rsid w:val="006C3F0B"/>
    <w:rsid w:val="006C4007"/>
    <w:rsid w:val="006C52ED"/>
    <w:rsid w:val="006C7038"/>
    <w:rsid w:val="006C76C6"/>
    <w:rsid w:val="006D07BB"/>
    <w:rsid w:val="006D16D4"/>
    <w:rsid w:val="006D2AD4"/>
    <w:rsid w:val="006D3A2B"/>
    <w:rsid w:val="006D3E10"/>
    <w:rsid w:val="006D68F0"/>
    <w:rsid w:val="006D6BBC"/>
    <w:rsid w:val="006D6EC0"/>
    <w:rsid w:val="006D734A"/>
    <w:rsid w:val="006E56A3"/>
    <w:rsid w:val="006E58EB"/>
    <w:rsid w:val="006E5BC1"/>
    <w:rsid w:val="006E5EDE"/>
    <w:rsid w:val="006E73EF"/>
    <w:rsid w:val="006E7AD5"/>
    <w:rsid w:val="006E7D56"/>
    <w:rsid w:val="006F100B"/>
    <w:rsid w:val="006F116F"/>
    <w:rsid w:val="006F1A94"/>
    <w:rsid w:val="006F2040"/>
    <w:rsid w:val="006F23A3"/>
    <w:rsid w:val="006F2AD1"/>
    <w:rsid w:val="006F4113"/>
    <w:rsid w:val="006F5BDD"/>
    <w:rsid w:val="006F5D1E"/>
    <w:rsid w:val="006F688F"/>
    <w:rsid w:val="0070173E"/>
    <w:rsid w:val="00701C7A"/>
    <w:rsid w:val="00704E80"/>
    <w:rsid w:val="007072FC"/>
    <w:rsid w:val="007079C9"/>
    <w:rsid w:val="007125BB"/>
    <w:rsid w:val="00712E69"/>
    <w:rsid w:val="007140C8"/>
    <w:rsid w:val="00714775"/>
    <w:rsid w:val="00714D4D"/>
    <w:rsid w:val="00715612"/>
    <w:rsid w:val="00715CFB"/>
    <w:rsid w:val="00715E48"/>
    <w:rsid w:val="00717961"/>
    <w:rsid w:val="007216FF"/>
    <w:rsid w:val="00723BC7"/>
    <w:rsid w:val="00724342"/>
    <w:rsid w:val="00725A71"/>
    <w:rsid w:val="007266D3"/>
    <w:rsid w:val="00727A46"/>
    <w:rsid w:val="007317F0"/>
    <w:rsid w:val="00731908"/>
    <w:rsid w:val="00732029"/>
    <w:rsid w:val="00732514"/>
    <w:rsid w:val="0073414F"/>
    <w:rsid w:val="00734754"/>
    <w:rsid w:val="00734B35"/>
    <w:rsid w:val="007359CF"/>
    <w:rsid w:val="00735B20"/>
    <w:rsid w:val="0073613D"/>
    <w:rsid w:val="00742D1E"/>
    <w:rsid w:val="007441E9"/>
    <w:rsid w:val="00745804"/>
    <w:rsid w:val="00745D59"/>
    <w:rsid w:val="007466B9"/>
    <w:rsid w:val="00746A92"/>
    <w:rsid w:val="007475C2"/>
    <w:rsid w:val="00755121"/>
    <w:rsid w:val="00755FE9"/>
    <w:rsid w:val="00757383"/>
    <w:rsid w:val="007604BB"/>
    <w:rsid w:val="00760D08"/>
    <w:rsid w:val="00761708"/>
    <w:rsid w:val="0076194E"/>
    <w:rsid w:val="00761E0E"/>
    <w:rsid w:val="00762682"/>
    <w:rsid w:val="00762D43"/>
    <w:rsid w:val="00762FB6"/>
    <w:rsid w:val="007641B2"/>
    <w:rsid w:val="0076514E"/>
    <w:rsid w:val="007679E2"/>
    <w:rsid w:val="00767B7E"/>
    <w:rsid w:val="00772909"/>
    <w:rsid w:val="00772B70"/>
    <w:rsid w:val="007734F1"/>
    <w:rsid w:val="00773EF8"/>
    <w:rsid w:val="00774E7C"/>
    <w:rsid w:val="007753D2"/>
    <w:rsid w:val="00775774"/>
    <w:rsid w:val="007758B7"/>
    <w:rsid w:val="00776735"/>
    <w:rsid w:val="0077749E"/>
    <w:rsid w:val="0078085A"/>
    <w:rsid w:val="007810C9"/>
    <w:rsid w:val="00781499"/>
    <w:rsid w:val="00782435"/>
    <w:rsid w:val="00782494"/>
    <w:rsid w:val="007832E1"/>
    <w:rsid w:val="00783A02"/>
    <w:rsid w:val="007848A2"/>
    <w:rsid w:val="00785232"/>
    <w:rsid w:val="00785A43"/>
    <w:rsid w:val="0079093D"/>
    <w:rsid w:val="007922DF"/>
    <w:rsid w:val="007933CF"/>
    <w:rsid w:val="0079368A"/>
    <w:rsid w:val="007950B7"/>
    <w:rsid w:val="00795C60"/>
    <w:rsid w:val="00795CC9"/>
    <w:rsid w:val="0079701E"/>
    <w:rsid w:val="00797A33"/>
    <w:rsid w:val="007A0D83"/>
    <w:rsid w:val="007A21EB"/>
    <w:rsid w:val="007B04FB"/>
    <w:rsid w:val="007B098F"/>
    <w:rsid w:val="007B0E0E"/>
    <w:rsid w:val="007B1622"/>
    <w:rsid w:val="007B1A93"/>
    <w:rsid w:val="007B23DD"/>
    <w:rsid w:val="007B335A"/>
    <w:rsid w:val="007B396B"/>
    <w:rsid w:val="007B4165"/>
    <w:rsid w:val="007B42C9"/>
    <w:rsid w:val="007B5460"/>
    <w:rsid w:val="007B6E64"/>
    <w:rsid w:val="007C038C"/>
    <w:rsid w:val="007C04FC"/>
    <w:rsid w:val="007C06E6"/>
    <w:rsid w:val="007C0935"/>
    <w:rsid w:val="007C0EA9"/>
    <w:rsid w:val="007C0ECE"/>
    <w:rsid w:val="007C36C9"/>
    <w:rsid w:val="007C6983"/>
    <w:rsid w:val="007D1532"/>
    <w:rsid w:val="007D4D17"/>
    <w:rsid w:val="007D544D"/>
    <w:rsid w:val="007D6401"/>
    <w:rsid w:val="007D663A"/>
    <w:rsid w:val="007D6706"/>
    <w:rsid w:val="007D71BC"/>
    <w:rsid w:val="007D748F"/>
    <w:rsid w:val="007E01E4"/>
    <w:rsid w:val="007E09DA"/>
    <w:rsid w:val="007E214B"/>
    <w:rsid w:val="007E2FDA"/>
    <w:rsid w:val="007E7A12"/>
    <w:rsid w:val="007F082A"/>
    <w:rsid w:val="007F1006"/>
    <w:rsid w:val="007F245B"/>
    <w:rsid w:val="007F34D5"/>
    <w:rsid w:val="007F592B"/>
    <w:rsid w:val="007F6211"/>
    <w:rsid w:val="007F7107"/>
    <w:rsid w:val="00800D4C"/>
    <w:rsid w:val="008016A7"/>
    <w:rsid w:val="00805276"/>
    <w:rsid w:val="0080539E"/>
    <w:rsid w:val="008057F7"/>
    <w:rsid w:val="0080776E"/>
    <w:rsid w:val="00807C9F"/>
    <w:rsid w:val="008100C2"/>
    <w:rsid w:val="0081030F"/>
    <w:rsid w:val="00812F4A"/>
    <w:rsid w:val="00814210"/>
    <w:rsid w:val="00815D4E"/>
    <w:rsid w:val="00815F3A"/>
    <w:rsid w:val="00816184"/>
    <w:rsid w:val="00816471"/>
    <w:rsid w:val="0082087D"/>
    <w:rsid w:val="00821466"/>
    <w:rsid w:val="00825B98"/>
    <w:rsid w:val="00830CA6"/>
    <w:rsid w:val="008317EB"/>
    <w:rsid w:val="008318DE"/>
    <w:rsid w:val="008320FE"/>
    <w:rsid w:val="0083293C"/>
    <w:rsid w:val="00834C32"/>
    <w:rsid w:val="00835771"/>
    <w:rsid w:val="0083712C"/>
    <w:rsid w:val="00842933"/>
    <w:rsid w:val="00842FF0"/>
    <w:rsid w:val="00843217"/>
    <w:rsid w:val="00846B15"/>
    <w:rsid w:val="00846B35"/>
    <w:rsid w:val="008479D1"/>
    <w:rsid w:val="00851ED1"/>
    <w:rsid w:val="0085349D"/>
    <w:rsid w:val="008552A6"/>
    <w:rsid w:val="00855626"/>
    <w:rsid w:val="00860258"/>
    <w:rsid w:val="00860559"/>
    <w:rsid w:val="0086082C"/>
    <w:rsid w:val="00860BB2"/>
    <w:rsid w:val="008617D3"/>
    <w:rsid w:val="0086351C"/>
    <w:rsid w:val="00864263"/>
    <w:rsid w:val="008646B3"/>
    <w:rsid w:val="00864ADC"/>
    <w:rsid w:val="00864C90"/>
    <w:rsid w:val="0086534B"/>
    <w:rsid w:val="008658B6"/>
    <w:rsid w:val="00865A0F"/>
    <w:rsid w:val="0086738C"/>
    <w:rsid w:val="00867985"/>
    <w:rsid w:val="00870FF0"/>
    <w:rsid w:val="00871E71"/>
    <w:rsid w:val="00873E43"/>
    <w:rsid w:val="00874382"/>
    <w:rsid w:val="00874852"/>
    <w:rsid w:val="00874964"/>
    <w:rsid w:val="00875573"/>
    <w:rsid w:val="00876DF0"/>
    <w:rsid w:val="00877F93"/>
    <w:rsid w:val="00880153"/>
    <w:rsid w:val="00880F97"/>
    <w:rsid w:val="0088133A"/>
    <w:rsid w:val="008823AE"/>
    <w:rsid w:val="00886661"/>
    <w:rsid w:val="008876E7"/>
    <w:rsid w:val="008912DC"/>
    <w:rsid w:val="00892566"/>
    <w:rsid w:val="0089285E"/>
    <w:rsid w:val="0089370A"/>
    <w:rsid w:val="00893A16"/>
    <w:rsid w:val="00893E14"/>
    <w:rsid w:val="0089436C"/>
    <w:rsid w:val="00896150"/>
    <w:rsid w:val="00897DA9"/>
    <w:rsid w:val="008A3750"/>
    <w:rsid w:val="008A3E6A"/>
    <w:rsid w:val="008A3FC7"/>
    <w:rsid w:val="008A4DC7"/>
    <w:rsid w:val="008A57A7"/>
    <w:rsid w:val="008A7BDF"/>
    <w:rsid w:val="008B07A0"/>
    <w:rsid w:val="008B0874"/>
    <w:rsid w:val="008B0DB8"/>
    <w:rsid w:val="008B24CE"/>
    <w:rsid w:val="008B263B"/>
    <w:rsid w:val="008B4554"/>
    <w:rsid w:val="008B4693"/>
    <w:rsid w:val="008B4CF7"/>
    <w:rsid w:val="008B53BF"/>
    <w:rsid w:val="008B5756"/>
    <w:rsid w:val="008B6DBC"/>
    <w:rsid w:val="008B6FA3"/>
    <w:rsid w:val="008B7796"/>
    <w:rsid w:val="008B7962"/>
    <w:rsid w:val="008B7F53"/>
    <w:rsid w:val="008C0AC9"/>
    <w:rsid w:val="008C0DA4"/>
    <w:rsid w:val="008C0E34"/>
    <w:rsid w:val="008C2AB0"/>
    <w:rsid w:val="008C37C5"/>
    <w:rsid w:val="008C44E6"/>
    <w:rsid w:val="008C67E4"/>
    <w:rsid w:val="008C746C"/>
    <w:rsid w:val="008D00AD"/>
    <w:rsid w:val="008D13A2"/>
    <w:rsid w:val="008D35A5"/>
    <w:rsid w:val="008D365C"/>
    <w:rsid w:val="008D7622"/>
    <w:rsid w:val="008E1157"/>
    <w:rsid w:val="008E1F46"/>
    <w:rsid w:val="008E35EE"/>
    <w:rsid w:val="008E3BC9"/>
    <w:rsid w:val="008E4200"/>
    <w:rsid w:val="008E589D"/>
    <w:rsid w:val="008E7D56"/>
    <w:rsid w:val="008F01FC"/>
    <w:rsid w:val="008F0F7C"/>
    <w:rsid w:val="008F19F7"/>
    <w:rsid w:val="008F2244"/>
    <w:rsid w:val="008F2555"/>
    <w:rsid w:val="008F2B31"/>
    <w:rsid w:val="008F32FD"/>
    <w:rsid w:val="008F34FC"/>
    <w:rsid w:val="008F3DC0"/>
    <w:rsid w:val="008F448F"/>
    <w:rsid w:val="008F70FD"/>
    <w:rsid w:val="008F7365"/>
    <w:rsid w:val="008F7A7F"/>
    <w:rsid w:val="009009F3"/>
    <w:rsid w:val="00901723"/>
    <w:rsid w:val="009021A6"/>
    <w:rsid w:val="009030BF"/>
    <w:rsid w:val="00903A6B"/>
    <w:rsid w:val="00903B52"/>
    <w:rsid w:val="00903C2D"/>
    <w:rsid w:val="0090448D"/>
    <w:rsid w:val="00904AD2"/>
    <w:rsid w:val="00905CDA"/>
    <w:rsid w:val="00905D77"/>
    <w:rsid w:val="00905FD4"/>
    <w:rsid w:val="0091032F"/>
    <w:rsid w:val="00914368"/>
    <w:rsid w:val="00914C0C"/>
    <w:rsid w:val="009164D3"/>
    <w:rsid w:val="00916688"/>
    <w:rsid w:val="009176D1"/>
    <w:rsid w:val="00922987"/>
    <w:rsid w:val="00923C43"/>
    <w:rsid w:val="00923CCC"/>
    <w:rsid w:val="00923D80"/>
    <w:rsid w:val="00923F6E"/>
    <w:rsid w:val="00925264"/>
    <w:rsid w:val="00927AFA"/>
    <w:rsid w:val="00930846"/>
    <w:rsid w:val="00931076"/>
    <w:rsid w:val="0093178B"/>
    <w:rsid w:val="00932254"/>
    <w:rsid w:val="0093245C"/>
    <w:rsid w:val="009345D9"/>
    <w:rsid w:val="00934B15"/>
    <w:rsid w:val="00935A1F"/>
    <w:rsid w:val="00940519"/>
    <w:rsid w:val="00940C87"/>
    <w:rsid w:val="009417AF"/>
    <w:rsid w:val="00942B62"/>
    <w:rsid w:val="00942FC6"/>
    <w:rsid w:val="0094467C"/>
    <w:rsid w:val="00944C99"/>
    <w:rsid w:val="00944D8D"/>
    <w:rsid w:val="00947BD4"/>
    <w:rsid w:val="0095323B"/>
    <w:rsid w:val="009539EF"/>
    <w:rsid w:val="00954544"/>
    <w:rsid w:val="009551A0"/>
    <w:rsid w:val="0095527E"/>
    <w:rsid w:val="0095616E"/>
    <w:rsid w:val="00956A0C"/>
    <w:rsid w:val="00956BD9"/>
    <w:rsid w:val="0095755F"/>
    <w:rsid w:val="00961DBC"/>
    <w:rsid w:val="00962489"/>
    <w:rsid w:val="009631F2"/>
    <w:rsid w:val="00963515"/>
    <w:rsid w:val="009638BE"/>
    <w:rsid w:val="00967236"/>
    <w:rsid w:val="00967CD3"/>
    <w:rsid w:val="009708F5"/>
    <w:rsid w:val="00970C1D"/>
    <w:rsid w:val="00970C7E"/>
    <w:rsid w:val="009710EE"/>
    <w:rsid w:val="00972003"/>
    <w:rsid w:val="009724D4"/>
    <w:rsid w:val="00973DAF"/>
    <w:rsid w:val="009747BF"/>
    <w:rsid w:val="0097494A"/>
    <w:rsid w:val="0097726B"/>
    <w:rsid w:val="00980075"/>
    <w:rsid w:val="0098043A"/>
    <w:rsid w:val="00980AE2"/>
    <w:rsid w:val="009815BA"/>
    <w:rsid w:val="0098289F"/>
    <w:rsid w:val="00982E18"/>
    <w:rsid w:val="00983B3C"/>
    <w:rsid w:val="00983DB1"/>
    <w:rsid w:val="00984068"/>
    <w:rsid w:val="009853A3"/>
    <w:rsid w:val="0098622E"/>
    <w:rsid w:val="0098656D"/>
    <w:rsid w:val="00987F03"/>
    <w:rsid w:val="00990C2C"/>
    <w:rsid w:val="00992217"/>
    <w:rsid w:val="00993E4E"/>
    <w:rsid w:val="00993F59"/>
    <w:rsid w:val="00994568"/>
    <w:rsid w:val="00994AD5"/>
    <w:rsid w:val="00995E5D"/>
    <w:rsid w:val="00997407"/>
    <w:rsid w:val="00997413"/>
    <w:rsid w:val="009A0BAB"/>
    <w:rsid w:val="009A0CD9"/>
    <w:rsid w:val="009A1416"/>
    <w:rsid w:val="009A1B38"/>
    <w:rsid w:val="009A1C5A"/>
    <w:rsid w:val="009A24D1"/>
    <w:rsid w:val="009A26D3"/>
    <w:rsid w:val="009A3857"/>
    <w:rsid w:val="009A3FD8"/>
    <w:rsid w:val="009A5171"/>
    <w:rsid w:val="009A5D39"/>
    <w:rsid w:val="009A6361"/>
    <w:rsid w:val="009A662C"/>
    <w:rsid w:val="009A6F3E"/>
    <w:rsid w:val="009A7C93"/>
    <w:rsid w:val="009B0570"/>
    <w:rsid w:val="009B0634"/>
    <w:rsid w:val="009B17F5"/>
    <w:rsid w:val="009B233F"/>
    <w:rsid w:val="009B3493"/>
    <w:rsid w:val="009B3710"/>
    <w:rsid w:val="009B3A27"/>
    <w:rsid w:val="009B58B8"/>
    <w:rsid w:val="009B636A"/>
    <w:rsid w:val="009C2F75"/>
    <w:rsid w:val="009C7155"/>
    <w:rsid w:val="009C7D0E"/>
    <w:rsid w:val="009D1568"/>
    <w:rsid w:val="009D3336"/>
    <w:rsid w:val="009D361B"/>
    <w:rsid w:val="009D44D7"/>
    <w:rsid w:val="009D6A60"/>
    <w:rsid w:val="009D6DDE"/>
    <w:rsid w:val="009D7127"/>
    <w:rsid w:val="009E0820"/>
    <w:rsid w:val="009E1844"/>
    <w:rsid w:val="009E2685"/>
    <w:rsid w:val="009E57FB"/>
    <w:rsid w:val="009F071A"/>
    <w:rsid w:val="009F0940"/>
    <w:rsid w:val="009F0D1B"/>
    <w:rsid w:val="009F2430"/>
    <w:rsid w:val="009F4D3C"/>
    <w:rsid w:val="009F50A4"/>
    <w:rsid w:val="009F5492"/>
    <w:rsid w:val="009F5BBD"/>
    <w:rsid w:val="009F696D"/>
    <w:rsid w:val="009F6BBD"/>
    <w:rsid w:val="009F6BC6"/>
    <w:rsid w:val="009F707B"/>
    <w:rsid w:val="009F72C4"/>
    <w:rsid w:val="009F72C5"/>
    <w:rsid w:val="009F74EF"/>
    <w:rsid w:val="00A02826"/>
    <w:rsid w:val="00A0387D"/>
    <w:rsid w:val="00A03F2C"/>
    <w:rsid w:val="00A05B7A"/>
    <w:rsid w:val="00A0640D"/>
    <w:rsid w:val="00A075EF"/>
    <w:rsid w:val="00A11133"/>
    <w:rsid w:val="00A12FC2"/>
    <w:rsid w:val="00A13E89"/>
    <w:rsid w:val="00A15607"/>
    <w:rsid w:val="00A15D5A"/>
    <w:rsid w:val="00A16164"/>
    <w:rsid w:val="00A16A28"/>
    <w:rsid w:val="00A17328"/>
    <w:rsid w:val="00A20426"/>
    <w:rsid w:val="00A217C8"/>
    <w:rsid w:val="00A21E1B"/>
    <w:rsid w:val="00A23A20"/>
    <w:rsid w:val="00A23F19"/>
    <w:rsid w:val="00A24443"/>
    <w:rsid w:val="00A244A7"/>
    <w:rsid w:val="00A268B9"/>
    <w:rsid w:val="00A26979"/>
    <w:rsid w:val="00A26F91"/>
    <w:rsid w:val="00A2703A"/>
    <w:rsid w:val="00A30106"/>
    <w:rsid w:val="00A327F8"/>
    <w:rsid w:val="00A33DFF"/>
    <w:rsid w:val="00A34B70"/>
    <w:rsid w:val="00A35115"/>
    <w:rsid w:val="00A35564"/>
    <w:rsid w:val="00A364C3"/>
    <w:rsid w:val="00A36D9A"/>
    <w:rsid w:val="00A37EF7"/>
    <w:rsid w:val="00A42443"/>
    <w:rsid w:val="00A424A8"/>
    <w:rsid w:val="00A4284A"/>
    <w:rsid w:val="00A42B77"/>
    <w:rsid w:val="00A43A70"/>
    <w:rsid w:val="00A44558"/>
    <w:rsid w:val="00A448A5"/>
    <w:rsid w:val="00A44ED6"/>
    <w:rsid w:val="00A451DC"/>
    <w:rsid w:val="00A46979"/>
    <w:rsid w:val="00A50C2D"/>
    <w:rsid w:val="00A530B5"/>
    <w:rsid w:val="00A554AB"/>
    <w:rsid w:val="00A55510"/>
    <w:rsid w:val="00A56C9B"/>
    <w:rsid w:val="00A57062"/>
    <w:rsid w:val="00A608ED"/>
    <w:rsid w:val="00A613B8"/>
    <w:rsid w:val="00A62E4B"/>
    <w:rsid w:val="00A63231"/>
    <w:rsid w:val="00A63B61"/>
    <w:rsid w:val="00A64268"/>
    <w:rsid w:val="00A6460B"/>
    <w:rsid w:val="00A65EDE"/>
    <w:rsid w:val="00A66D5D"/>
    <w:rsid w:val="00A67781"/>
    <w:rsid w:val="00A67FF4"/>
    <w:rsid w:val="00A70844"/>
    <w:rsid w:val="00A70F04"/>
    <w:rsid w:val="00A7165F"/>
    <w:rsid w:val="00A71BE0"/>
    <w:rsid w:val="00A71DCE"/>
    <w:rsid w:val="00A72198"/>
    <w:rsid w:val="00A7461C"/>
    <w:rsid w:val="00A74908"/>
    <w:rsid w:val="00A761F9"/>
    <w:rsid w:val="00A77366"/>
    <w:rsid w:val="00A77374"/>
    <w:rsid w:val="00A77A39"/>
    <w:rsid w:val="00A77A56"/>
    <w:rsid w:val="00A81387"/>
    <w:rsid w:val="00A81B8E"/>
    <w:rsid w:val="00A854F7"/>
    <w:rsid w:val="00A8563B"/>
    <w:rsid w:val="00A86348"/>
    <w:rsid w:val="00A906DA"/>
    <w:rsid w:val="00A90BD3"/>
    <w:rsid w:val="00A90D7D"/>
    <w:rsid w:val="00A92B53"/>
    <w:rsid w:val="00A938F3"/>
    <w:rsid w:val="00A94FA6"/>
    <w:rsid w:val="00A965E4"/>
    <w:rsid w:val="00A972FB"/>
    <w:rsid w:val="00AA04FF"/>
    <w:rsid w:val="00AA11FA"/>
    <w:rsid w:val="00AA1F1E"/>
    <w:rsid w:val="00AA3C69"/>
    <w:rsid w:val="00AA3D82"/>
    <w:rsid w:val="00AA49A0"/>
    <w:rsid w:val="00AA62D9"/>
    <w:rsid w:val="00AA6710"/>
    <w:rsid w:val="00AA6CEF"/>
    <w:rsid w:val="00AA785C"/>
    <w:rsid w:val="00AB0293"/>
    <w:rsid w:val="00AB0681"/>
    <w:rsid w:val="00AB192F"/>
    <w:rsid w:val="00AB1B72"/>
    <w:rsid w:val="00AB2201"/>
    <w:rsid w:val="00AB39C2"/>
    <w:rsid w:val="00AB3C2B"/>
    <w:rsid w:val="00AB4052"/>
    <w:rsid w:val="00AB5A0B"/>
    <w:rsid w:val="00AB7CF7"/>
    <w:rsid w:val="00AC11D4"/>
    <w:rsid w:val="00AC1540"/>
    <w:rsid w:val="00AC1870"/>
    <w:rsid w:val="00AC1B62"/>
    <w:rsid w:val="00AC2ADC"/>
    <w:rsid w:val="00AC3A15"/>
    <w:rsid w:val="00AC4C39"/>
    <w:rsid w:val="00AC4CD7"/>
    <w:rsid w:val="00AC521F"/>
    <w:rsid w:val="00AC61CC"/>
    <w:rsid w:val="00AC63EB"/>
    <w:rsid w:val="00AC67D9"/>
    <w:rsid w:val="00AC6969"/>
    <w:rsid w:val="00AC7C54"/>
    <w:rsid w:val="00AD10ED"/>
    <w:rsid w:val="00AD2365"/>
    <w:rsid w:val="00AD2D97"/>
    <w:rsid w:val="00AD3006"/>
    <w:rsid w:val="00AD3960"/>
    <w:rsid w:val="00AD520B"/>
    <w:rsid w:val="00AD5D98"/>
    <w:rsid w:val="00AD6181"/>
    <w:rsid w:val="00AD6CA2"/>
    <w:rsid w:val="00AD6D82"/>
    <w:rsid w:val="00AE0450"/>
    <w:rsid w:val="00AE3797"/>
    <w:rsid w:val="00AE3A3E"/>
    <w:rsid w:val="00AE3BCC"/>
    <w:rsid w:val="00AE40DF"/>
    <w:rsid w:val="00AE5AD4"/>
    <w:rsid w:val="00AF0117"/>
    <w:rsid w:val="00AF0407"/>
    <w:rsid w:val="00AF0D96"/>
    <w:rsid w:val="00AF159E"/>
    <w:rsid w:val="00AF1F37"/>
    <w:rsid w:val="00AF2603"/>
    <w:rsid w:val="00AF31E4"/>
    <w:rsid w:val="00AF4557"/>
    <w:rsid w:val="00AF6528"/>
    <w:rsid w:val="00AF7E75"/>
    <w:rsid w:val="00B006C1"/>
    <w:rsid w:val="00B00946"/>
    <w:rsid w:val="00B02AB7"/>
    <w:rsid w:val="00B0458B"/>
    <w:rsid w:val="00B0495A"/>
    <w:rsid w:val="00B077B4"/>
    <w:rsid w:val="00B12B9C"/>
    <w:rsid w:val="00B12D3D"/>
    <w:rsid w:val="00B13A52"/>
    <w:rsid w:val="00B149EB"/>
    <w:rsid w:val="00B15073"/>
    <w:rsid w:val="00B169DC"/>
    <w:rsid w:val="00B22CC2"/>
    <w:rsid w:val="00B235FE"/>
    <w:rsid w:val="00B2494F"/>
    <w:rsid w:val="00B24FF4"/>
    <w:rsid w:val="00B25720"/>
    <w:rsid w:val="00B25734"/>
    <w:rsid w:val="00B25A03"/>
    <w:rsid w:val="00B26660"/>
    <w:rsid w:val="00B2747E"/>
    <w:rsid w:val="00B27812"/>
    <w:rsid w:val="00B27873"/>
    <w:rsid w:val="00B3061E"/>
    <w:rsid w:val="00B30739"/>
    <w:rsid w:val="00B32773"/>
    <w:rsid w:val="00B35D0C"/>
    <w:rsid w:val="00B37A7A"/>
    <w:rsid w:val="00B425C3"/>
    <w:rsid w:val="00B43486"/>
    <w:rsid w:val="00B440AD"/>
    <w:rsid w:val="00B4497C"/>
    <w:rsid w:val="00B451BF"/>
    <w:rsid w:val="00B45B95"/>
    <w:rsid w:val="00B479BB"/>
    <w:rsid w:val="00B51B91"/>
    <w:rsid w:val="00B53C16"/>
    <w:rsid w:val="00B53E7E"/>
    <w:rsid w:val="00B55641"/>
    <w:rsid w:val="00B55D2B"/>
    <w:rsid w:val="00B57260"/>
    <w:rsid w:val="00B601DB"/>
    <w:rsid w:val="00B603A6"/>
    <w:rsid w:val="00B604EA"/>
    <w:rsid w:val="00B6113E"/>
    <w:rsid w:val="00B618CD"/>
    <w:rsid w:val="00B61BD3"/>
    <w:rsid w:val="00B62CDE"/>
    <w:rsid w:val="00B6342E"/>
    <w:rsid w:val="00B63643"/>
    <w:rsid w:val="00B64BFF"/>
    <w:rsid w:val="00B67582"/>
    <w:rsid w:val="00B677F5"/>
    <w:rsid w:val="00B67FD7"/>
    <w:rsid w:val="00B707CE"/>
    <w:rsid w:val="00B70F9B"/>
    <w:rsid w:val="00B7113F"/>
    <w:rsid w:val="00B72B01"/>
    <w:rsid w:val="00B72C20"/>
    <w:rsid w:val="00B73095"/>
    <w:rsid w:val="00B73170"/>
    <w:rsid w:val="00B741FC"/>
    <w:rsid w:val="00B74384"/>
    <w:rsid w:val="00B751BF"/>
    <w:rsid w:val="00B80551"/>
    <w:rsid w:val="00B81BBC"/>
    <w:rsid w:val="00B846D8"/>
    <w:rsid w:val="00B849DD"/>
    <w:rsid w:val="00B84CFA"/>
    <w:rsid w:val="00B85E8D"/>
    <w:rsid w:val="00B861BD"/>
    <w:rsid w:val="00B867BE"/>
    <w:rsid w:val="00B8698F"/>
    <w:rsid w:val="00B86AC0"/>
    <w:rsid w:val="00B92C49"/>
    <w:rsid w:val="00B9310B"/>
    <w:rsid w:val="00B94E1A"/>
    <w:rsid w:val="00B94FAB"/>
    <w:rsid w:val="00B95B54"/>
    <w:rsid w:val="00B96073"/>
    <w:rsid w:val="00B964C7"/>
    <w:rsid w:val="00B96DEA"/>
    <w:rsid w:val="00BA04BB"/>
    <w:rsid w:val="00BA0BE0"/>
    <w:rsid w:val="00BA18EF"/>
    <w:rsid w:val="00BA2BCF"/>
    <w:rsid w:val="00BA2C40"/>
    <w:rsid w:val="00BA3177"/>
    <w:rsid w:val="00BA3272"/>
    <w:rsid w:val="00BA3467"/>
    <w:rsid w:val="00BA3C9B"/>
    <w:rsid w:val="00BA4DEF"/>
    <w:rsid w:val="00BA5B14"/>
    <w:rsid w:val="00BA73B6"/>
    <w:rsid w:val="00BA7E27"/>
    <w:rsid w:val="00BB093A"/>
    <w:rsid w:val="00BB10BF"/>
    <w:rsid w:val="00BB1FFB"/>
    <w:rsid w:val="00BB2603"/>
    <w:rsid w:val="00BB4FCD"/>
    <w:rsid w:val="00BB53B4"/>
    <w:rsid w:val="00BB5B41"/>
    <w:rsid w:val="00BB66AD"/>
    <w:rsid w:val="00BB748D"/>
    <w:rsid w:val="00BB7EBE"/>
    <w:rsid w:val="00BC04E9"/>
    <w:rsid w:val="00BC060F"/>
    <w:rsid w:val="00BC09A5"/>
    <w:rsid w:val="00BC19E1"/>
    <w:rsid w:val="00BC2530"/>
    <w:rsid w:val="00BC3587"/>
    <w:rsid w:val="00BC509A"/>
    <w:rsid w:val="00BC563D"/>
    <w:rsid w:val="00BC5D02"/>
    <w:rsid w:val="00BD03F5"/>
    <w:rsid w:val="00BD0734"/>
    <w:rsid w:val="00BD11FF"/>
    <w:rsid w:val="00BD13EA"/>
    <w:rsid w:val="00BD2C2E"/>
    <w:rsid w:val="00BD3A76"/>
    <w:rsid w:val="00BD3AAA"/>
    <w:rsid w:val="00BD3E63"/>
    <w:rsid w:val="00BD4702"/>
    <w:rsid w:val="00BD7779"/>
    <w:rsid w:val="00BE0681"/>
    <w:rsid w:val="00BE0FB3"/>
    <w:rsid w:val="00BE19E0"/>
    <w:rsid w:val="00BE3808"/>
    <w:rsid w:val="00BE387D"/>
    <w:rsid w:val="00BE446E"/>
    <w:rsid w:val="00BE4529"/>
    <w:rsid w:val="00BE53A7"/>
    <w:rsid w:val="00BE6F0E"/>
    <w:rsid w:val="00BF039C"/>
    <w:rsid w:val="00BF2411"/>
    <w:rsid w:val="00BF4149"/>
    <w:rsid w:val="00BF48E3"/>
    <w:rsid w:val="00BF4B14"/>
    <w:rsid w:val="00BF5490"/>
    <w:rsid w:val="00BF5520"/>
    <w:rsid w:val="00C00026"/>
    <w:rsid w:val="00C01FA7"/>
    <w:rsid w:val="00C0209C"/>
    <w:rsid w:val="00C02DDE"/>
    <w:rsid w:val="00C03B88"/>
    <w:rsid w:val="00C0584F"/>
    <w:rsid w:val="00C062E9"/>
    <w:rsid w:val="00C06393"/>
    <w:rsid w:val="00C07B64"/>
    <w:rsid w:val="00C07DBA"/>
    <w:rsid w:val="00C12292"/>
    <w:rsid w:val="00C13721"/>
    <w:rsid w:val="00C14534"/>
    <w:rsid w:val="00C145AB"/>
    <w:rsid w:val="00C14FE4"/>
    <w:rsid w:val="00C1612F"/>
    <w:rsid w:val="00C16D2A"/>
    <w:rsid w:val="00C17254"/>
    <w:rsid w:val="00C20ABC"/>
    <w:rsid w:val="00C21BA9"/>
    <w:rsid w:val="00C21BFF"/>
    <w:rsid w:val="00C25A45"/>
    <w:rsid w:val="00C26C75"/>
    <w:rsid w:val="00C278DF"/>
    <w:rsid w:val="00C3066D"/>
    <w:rsid w:val="00C32218"/>
    <w:rsid w:val="00C32824"/>
    <w:rsid w:val="00C33124"/>
    <w:rsid w:val="00C335F4"/>
    <w:rsid w:val="00C33DC7"/>
    <w:rsid w:val="00C350C7"/>
    <w:rsid w:val="00C35541"/>
    <w:rsid w:val="00C375D7"/>
    <w:rsid w:val="00C37A27"/>
    <w:rsid w:val="00C40087"/>
    <w:rsid w:val="00C40396"/>
    <w:rsid w:val="00C406CE"/>
    <w:rsid w:val="00C4132C"/>
    <w:rsid w:val="00C4322A"/>
    <w:rsid w:val="00C43645"/>
    <w:rsid w:val="00C44D5E"/>
    <w:rsid w:val="00C45F7B"/>
    <w:rsid w:val="00C46F0F"/>
    <w:rsid w:val="00C47D03"/>
    <w:rsid w:val="00C50358"/>
    <w:rsid w:val="00C5205D"/>
    <w:rsid w:val="00C52111"/>
    <w:rsid w:val="00C52416"/>
    <w:rsid w:val="00C53B56"/>
    <w:rsid w:val="00C53D7D"/>
    <w:rsid w:val="00C543F4"/>
    <w:rsid w:val="00C54D6F"/>
    <w:rsid w:val="00C55A04"/>
    <w:rsid w:val="00C56770"/>
    <w:rsid w:val="00C60C42"/>
    <w:rsid w:val="00C61030"/>
    <w:rsid w:val="00C61D1E"/>
    <w:rsid w:val="00C62470"/>
    <w:rsid w:val="00C6291C"/>
    <w:rsid w:val="00C633CB"/>
    <w:rsid w:val="00C6461C"/>
    <w:rsid w:val="00C64669"/>
    <w:rsid w:val="00C64EFF"/>
    <w:rsid w:val="00C655AD"/>
    <w:rsid w:val="00C656CC"/>
    <w:rsid w:val="00C664CD"/>
    <w:rsid w:val="00C70618"/>
    <w:rsid w:val="00C70EB9"/>
    <w:rsid w:val="00C7133F"/>
    <w:rsid w:val="00C736B7"/>
    <w:rsid w:val="00C73BFF"/>
    <w:rsid w:val="00C74E99"/>
    <w:rsid w:val="00C76A52"/>
    <w:rsid w:val="00C7774D"/>
    <w:rsid w:val="00C803C8"/>
    <w:rsid w:val="00C806B2"/>
    <w:rsid w:val="00C80EF8"/>
    <w:rsid w:val="00C80FE5"/>
    <w:rsid w:val="00C81D4A"/>
    <w:rsid w:val="00C84F27"/>
    <w:rsid w:val="00C856C6"/>
    <w:rsid w:val="00C863CB"/>
    <w:rsid w:val="00C8728E"/>
    <w:rsid w:val="00C8762C"/>
    <w:rsid w:val="00C919C4"/>
    <w:rsid w:val="00C93484"/>
    <w:rsid w:val="00C93830"/>
    <w:rsid w:val="00C939D3"/>
    <w:rsid w:val="00C951B8"/>
    <w:rsid w:val="00C95F80"/>
    <w:rsid w:val="00C97F6C"/>
    <w:rsid w:val="00CA00F9"/>
    <w:rsid w:val="00CA0F0B"/>
    <w:rsid w:val="00CA14C6"/>
    <w:rsid w:val="00CA1D87"/>
    <w:rsid w:val="00CA1E21"/>
    <w:rsid w:val="00CA1F6E"/>
    <w:rsid w:val="00CA1F74"/>
    <w:rsid w:val="00CA2961"/>
    <w:rsid w:val="00CA4106"/>
    <w:rsid w:val="00CA46A7"/>
    <w:rsid w:val="00CA4790"/>
    <w:rsid w:val="00CA5249"/>
    <w:rsid w:val="00CA732D"/>
    <w:rsid w:val="00CA7AA8"/>
    <w:rsid w:val="00CB0089"/>
    <w:rsid w:val="00CB0771"/>
    <w:rsid w:val="00CB0FCE"/>
    <w:rsid w:val="00CB11D3"/>
    <w:rsid w:val="00CB28D0"/>
    <w:rsid w:val="00CB3225"/>
    <w:rsid w:val="00CB49E9"/>
    <w:rsid w:val="00CB50D7"/>
    <w:rsid w:val="00CB51B2"/>
    <w:rsid w:val="00CB63AA"/>
    <w:rsid w:val="00CB6B70"/>
    <w:rsid w:val="00CB7177"/>
    <w:rsid w:val="00CB7610"/>
    <w:rsid w:val="00CB7CED"/>
    <w:rsid w:val="00CC070F"/>
    <w:rsid w:val="00CC0995"/>
    <w:rsid w:val="00CC10E8"/>
    <w:rsid w:val="00CC1998"/>
    <w:rsid w:val="00CC1F16"/>
    <w:rsid w:val="00CC4427"/>
    <w:rsid w:val="00CC4946"/>
    <w:rsid w:val="00CC536E"/>
    <w:rsid w:val="00CC56A6"/>
    <w:rsid w:val="00CC58B6"/>
    <w:rsid w:val="00CC6058"/>
    <w:rsid w:val="00CC64A1"/>
    <w:rsid w:val="00CC7E29"/>
    <w:rsid w:val="00CD24A5"/>
    <w:rsid w:val="00CD4205"/>
    <w:rsid w:val="00CD5417"/>
    <w:rsid w:val="00CD5831"/>
    <w:rsid w:val="00CD5A05"/>
    <w:rsid w:val="00CD6D7F"/>
    <w:rsid w:val="00CD6E29"/>
    <w:rsid w:val="00CE056A"/>
    <w:rsid w:val="00CE065F"/>
    <w:rsid w:val="00CE166F"/>
    <w:rsid w:val="00CE2C0A"/>
    <w:rsid w:val="00CE4F30"/>
    <w:rsid w:val="00CE634B"/>
    <w:rsid w:val="00CE6E19"/>
    <w:rsid w:val="00CF2310"/>
    <w:rsid w:val="00CF3213"/>
    <w:rsid w:val="00CF34CE"/>
    <w:rsid w:val="00CF37CB"/>
    <w:rsid w:val="00CF388A"/>
    <w:rsid w:val="00CF3B11"/>
    <w:rsid w:val="00CF493A"/>
    <w:rsid w:val="00CF5074"/>
    <w:rsid w:val="00CF591B"/>
    <w:rsid w:val="00CF6593"/>
    <w:rsid w:val="00CF76B6"/>
    <w:rsid w:val="00CF7ACD"/>
    <w:rsid w:val="00D00C37"/>
    <w:rsid w:val="00D00F31"/>
    <w:rsid w:val="00D00F7C"/>
    <w:rsid w:val="00D016B2"/>
    <w:rsid w:val="00D025F6"/>
    <w:rsid w:val="00D026D5"/>
    <w:rsid w:val="00D02FA9"/>
    <w:rsid w:val="00D03B5B"/>
    <w:rsid w:val="00D04A0A"/>
    <w:rsid w:val="00D05D22"/>
    <w:rsid w:val="00D067DC"/>
    <w:rsid w:val="00D0684B"/>
    <w:rsid w:val="00D06A34"/>
    <w:rsid w:val="00D10394"/>
    <w:rsid w:val="00D10BDA"/>
    <w:rsid w:val="00D12D12"/>
    <w:rsid w:val="00D149E4"/>
    <w:rsid w:val="00D156D3"/>
    <w:rsid w:val="00D15FF6"/>
    <w:rsid w:val="00D167B5"/>
    <w:rsid w:val="00D172D7"/>
    <w:rsid w:val="00D1777F"/>
    <w:rsid w:val="00D238BB"/>
    <w:rsid w:val="00D25C58"/>
    <w:rsid w:val="00D270A4"/>
    <w:rsid w:val="00D27DE1"/>
    <w:rsid w:val="00D31FE9"/>
    <w:rsid w:val="00D323BF"/>
    <w:rsid w:val="00D34072"/>
    <w:rsid w:val="00D34701"/>
    <w:rsid w:val="00D34DCD"/>
    <w:rsid w:val="00D34E1B"/>
    <w:rsid w:val="00D35040"/>
    <w:rsid w:val="00D363AD"/>
    <w:rsid w:val="00D37572"/>
    <w:rsid w:val="00D376BA"/>
    <w:rsid w:val="00D37DF4"/>
    <w:rsid w:val="00D434A0"/>
    <w:rsid w:val="00D43F0A"/>
    <w:rsid w:val="00D445AA"/>
    <w:rsid w:val="00D44F78"/>
    <w:rsid w:val="00D45077"/>
    <w:rsid w:val="00D45634"/>
    <w:rsid w:val="00D4655F"/>
    <w:rsid w:val="00D46689"/>
    <w:rsid w:val="00D52BC8"/>
    <w:rsid w:val="00D52F7F"/>
    <w:rsid w:val="00D53993"/>
    <w:rsid w:val="00D54E82"/>
    <w:rsid w:val="00D5568A"/>
    <w:rsid w:val="00D55B04"/>
    <w:rsid w:val="00D56AC8"/>
    <w:rsid w:val="00D56FDE"/>
    <w:rsid w:val="00D57DEC"/>
    <w:rsid w:val="00D613F4"/>
    <w:rsid w:val="00D62934"/>
    <w:rsid w:val="00D63D73"/>
    <w:rsid w:val="00D6425F"/>
    <w:rsid w:val="00D64452"/>
    <w:rsid w:val="00D64D2A"/>
    <w:rsid w:val="00D66141"/>
    <w:rsid w:val="00D66E1E"/>
    <w:rsid w:val="00D70696"/>
    <w:rsid w:val="00D717CE"/>
    <w:rsid w:val="00D7190E"/>
    <w:rsid w:val="00D71B9C"/>
    <w:rsid w:val="00D724E4"/>
    <w:rsid w:val="00D7267B"/>
    <w:rsid w:val="00D73873"/>
    <w:rsid w:val="00D750FB"/>
    <w:rsid w:val="00D75722"/>
    <w:rsid w:val="00D76218"/>
    <w:rsid w:val="00D80475"/>
    <w:rsid w:val="00D80CCE"/>
    <w:rsid w:val="00D80CF5"/>
    <w:rsid w:val="00D81718"/>
    <w:rsid w:val="00D831FA"/>
    <w:rsid w:val="00D832E4"/>
    <w:rsid w:val="00D83F93"/>
    <w:rsid w:val="00D85A00"/>
    <w:rsid w:val="00D867D6"/>
    <w:rsid w:val="00D953E5"/>
    <w:rsid w:val="00D9594A"/>
    <w:rsid w:val="00DA0288"/>
    <w:rsid w:val="00DA13D2"/>
    <w:rsid w:val="00DA271F"/>
    <w:rsid w:val="00DA3C2E"/>
    <w:rsid w:val="00DA47DC"/>
    <w:rsid w:val="00DA53F1"/>
    <w:rsid w:val="00DA5BBA"/>
    <w:rsid w:val="00DA66F7"/>
    <w:rsid w:val="00DB0D52"/>
    <w:rsid w:val="00DB13BA"/>
    <w:rsid w:val="00DB17CA"/>
    <w:rsid w:val="00DB26D2"/>
    <w:rsid w:val="00DB27AB"/>
    <w:rsid w:val="00DB5EE4"/>
    <w:rsid w:val="00DB67C9"/>
    <w:rsid w:val="00DB687E"/>
    <w:rsid w:val="00DB74A5"/>
    <w:rsid w:val="00DB78DE"/>
    <w:rsid w:val="00DC0C95"/>
    <w:rsid w:val="00DC29E4"/>
    <w:rsid w:val="00DC4F0B"/>
    <w:rsid w:val="00DC50F3"/>
    <w:rsid w:val="00DC66DF"/>
    <w:rsid w:val="00DC69FE"/>
    <w:rsid w:val="00DC71E1"/>
    <w:rsid w:val="00DC7255"/>
    <w:rsid w:val="00DD0D4B"/>
    <w:rsid w:val="00DD141C"/>
    <w:rsid w:val="00DD1C83"/>
    <w:rsid w:val="00DD50A2"/>
    <w:rsid w:val="00DD6580"/>
    <w:rsid w:val="00DD7191"/>
    <w:rsid w:val="00DE1608"/>
    <w:rsid w:val="00DE2670"/>
    <w:rsid w:val="00DE2F31"/>
    <w:rsid w:val="00DE51C4"/>
    <w:rsid w:val="00DE681C"/>
    <w:rsid w:val="00DE6856"/>
    <w:rsid w:val="00DE6C10"/>
    <w:rsid w:val="00DE7C2E"/>
    <w:rsid w:val="00DF277B"/>
    <w:rsid w:val="00DF3290"/>
    <w:rsid w:val="00DF3680"/>
    <w:rsid w:val="00DF5116"/>
    <w:rsid w:val="00DF657E"/>
    <w:rsid w:val="00DF66FA"/>
    <w:rsid w:val="00DF6BBD"/>
    <w:rsid w:val="00DF6D46"/>
    <w:rsid w:val="00E01D7F"/>
    <w:rsid w:val="00E01F00"/>
    <w:rsid w:val="00E03FD0"/>
    <w:rsid w:val="00E043B9"/>
    <w:rsid w:val="00E04C8D"/>
    <w:rsid w:val="00E04FE4"/>
    <w:rsid w:val="00E05549"/>
    <w:rsid w:val="00E05C03"/>
    <w:rsid w:val="00E05FB7"/>
    <w:rsid w:val="00E06F54"/>
    <w:rsid w:val="00E11BD5"/>
    <w:rsid w:val="00E12838"/>
    <w:rsid w:val="00E13A82"/>
    <w:rsid w:val="00E13DD4"/>
    <w:rsid w:val="00E16E6F"/>
    <w:rsid w:val="00E174BA"/>
    <w:rsid w:val="00E178FB"/>
    <w:rsid w:val="00E17C72"/>
    <w:rsid w:val="00E20499"/>
    <w:rsid w:val="00E2069B"/>
    <w:rsid w:val="00E20DF4"/>
    <w:rsid w:val="00E21FC6"/>
    <w:rsid w:val="00E2244E"/>
    <w:rsid w:val="00E22C89"/>
    <w:rsid w:val="00E22E34"/>
    <w:rsid w:val="00E23243"/>
    <w:rsid w:val="00E23E55"/>
    <w:rsid w:val="00E25C20"/>
    <w:rsid w:val="00E27053"/>
    <w:rsid w:val="00E300A0"/>
    <w:rsid w:val="00E328DE"/>
    <w:rsid w:val="00E34043"/>
    <w:rsid w:val="00E3486F"/>
    <w:rsid w:val="00E348CE"/>
    <w:rsid w:val="00E37701"/>
    <w:rsid w:val="00E3774A"/>
    <w:rsid w:val="00E37E5B"/>
    <w:rsid w:val="00E41098"/>
    <w:rsid w:val="00E42511"/>
    <w:rsid w:val="00E42518"/>
    <w:rsid w:val="00E431A9"/>
    <w:rsid w:val="00E46336"/>
    <w:rsid w:val="00E47D07"/>
    <w:rsid w:val="00E50BC3"/>
    <w:rsid w:val="00E51395"/>
    <w:rsid w:val="00E515AD"/>
    <w:rsid w:val="00E554F1"/>
    <w:rsid w:val="00E575FB"/>
    <w:rsid w:val="00E65599"/>
    <w:rsid w:val="00E65C04"/>
    <w:rsid w:val="00E65CE6"/>
    <w:rsid w:val="00E66949"/>
    <w:rsid w:val="00E669E2"/>
    <w:rsid w:val="00E66B48"/>
    <w:rsid w:val="00E7094A"/>
    <w:rsid w:val="00E71CFF"/>
    <w:rsid w:val="00E72531"/>
    <w:rsid w:val="00E75264"/>
    <w:rsid w:val="00E75B69"/>
    <w:rsid w:val="00E75B86"/>
    <w:rsid w:val="00E76135"/>
    <w:rsid w:val="00E770C7"/>
    <w:rsid w:val="00E77D4F"/>
    <w:rsid w:val="00E8096D"/>
    <w:rsid w:val="00E82057"/>
    <w:rsid w:val="00E82F4F"/>
    <w:rsid w:val="00E83C31"/>
    <w:rsid w:val="00E84577"/>
    <w:rsid w:val="00E8584D"/>
    <w:rsid w:val="00E864DF"/>
    <w:rsid w:val="00E8744D"/>
    <w:rsid w:val="00E9064C"/>
    <w:rsid w:val="00E91F2F"/>
    <w:rsid w:val="00E9200B"/>
    <w:rsid w:val="00E95959"/>
    <w:rsid w:val="00E9623D"/>
    <w:rsid w:val="00EA0008"/>
    <w:rsid w:val="00EA24CB"/>
    <w:rsid w:val="00EA379E"/>
    <w:rsid w:val="00EA4106"/>
    <w:rsid w:val="00EA4343"/>
    <w:rsid w:val="00EA608E"/>
    <w:rsid w:val="00EB0497"/>
    <w:rsid w:val="00EB05D8"/>
    <w:rsid w:val="00EB1366"/>
    <w:rsid w:val="00EB1E2C"/>
    <w:rsid w:val="00EB2642"/>
    <w:rsid w:val="00EB2CC3"/>
    <w:rsid w:val="00EB376C"/>
    <w:rsid w:val="00EB3C25"/>
    <w:rsid w:val="00EB4150"/>
    <w:rsid w:val="00EB5474"/>
    <w:rsid w:val="00EB69CA"/>
    <w:rsid w:val="00EB7335"/>
    <w:rsid w:val="00EC0D21"/>
    <w:rsid w:val="00EC16B4"/>
    <w:rsid w:val="00EC179A"/>
    <w:rsid w:val="00EC24D9"/>
    <w:rsid w:val="00EC2674"/>
    <w:rsid w:val="00EC2844"/>
    <w:rsid w:val="00EC43C2"/>
    <w:rsid w:val="00EC5500"/>
    <w:rsid w:val="00EC5948"/>
    <w:rsid w:val="00EC6D54"/>
    <w:rsid w:val="00ED0A17"/>
    <w:rsid w:val="00ED0F68"/>
    <w:rsid w:val="00ED18F8"/>
    <w:rsid w:val="00ED3970"/>
    <w:rsid w:val="00ED3ED9"/>
    <w:rsid w:val="00ED4A98"/>
    <w:rsid w:val="00ED542D"/>
    <w:rsid w:val="00ED5EA8"/>
    <w:rsid w:val="00ED6E0A"/>
    <w:rsid w:val="00EE0CC8"/>
    <w:rsid w:val="00EE1487"/>
    <w:rsid w:val="00EE16A9"/>
    <w:rsid w:val="00EE2B24"/>
    <w:rsid w:val="00EE49B1"/>
    <w:rsid w:val="00EE4D91"/>
    <w:rsid w:val="00EE63C4"/>
    <w:rsid w:val="00EE6EDA"/>
    <w:rsid w:val="00EE7151"/>
    <w:rsid w:val="00EE778E"/>
    <w:rsid w:val="00EF0249"/>
    <w:rsid w:val="00EF17B6"/>
    <w:rsid w:val="00EF2833"/>
    <w:rsid w:val="00EF309D"/>
    <w:rsid w:val="00EF4407"/>
    <w:rsid w:val="00EF53A1"/>
    <w:rsid w:val="00EF56BC"/>
    <w:rsid w:val="00EF6719"/>
    <w:rsid w:val="00EF6BCC"/>
    <w:rsid w:val="00EF6C6C"/>
    <w:rsid w:val="00F0023E"/>
    <w:rsid w:val="00F00253"/>
    <w:rsid w:val="00F00671"/>
    <w:rsid w:val="00F00DC5"/>
    <w:rsid w:val="00F01A46"/>
    <w:rsid w:val="00F03AEE"/>
    <w:rsid w:val="00F05615"/>
    <w:rsid w:val="00F056FC"/>
    <w:rsid w:val="00F0632F"/>
    <w:rsid w:val="00F069AE"/>
    <w:rsid w:val="00F06E9D"/>
    <w:rsid w:val="00F0706E"/>
    <w:rsid w:val="00F07FE2"/>
    <w:rsid w:val="00F1016A"/>
    <w:rsid w:val="00F10476"/>
    <w:rsid w:val="00F10787"/>
    <w:rsid w:val="00F10C5B"/>
    <w:rsid w:val="00F1156B"/>
    <w:rsid w:val="00F11785"/>
    <w:rsid w:val="00F11D75"/>
    <w:rsid w:val="00F132AA"/>
    <w:rsid w:val="00F135D8"/>
    <w:rsid w:val="00F21019"/>
    <w:rsid w:val="00F214FF"/>
    <w:rsid w:val="00F217B0"/>
    <w:rsid w:val="00F219D8"/>
    <w:rsid w:val="00F23DB8"/>
    <w:rsid w:val="00F25D62"/>
    <w:rsid w:val="00F26D13"/>
    <w:rsid w:val="00F270C0"/>
    <w:rsid w:val="00F27357"/>
    <w:rsid w:val="00F30CBD"/>
    <w:rsid w:val="00F30D4F"/>
    <w:rsid w:val="00F31299"/>
    <w:rsid w:val="00F3353F"/>
    <w:rsid w:val="00F34E4E"/>
    <w:rsid w:val="00F350C8"/>
    <w:rsid w:val="00F3534A"/>
    <w:rsid w:val="00F35904"/>
    <w:rsid w:val="00F36609"/>
    <w:rsid w:val="00F36ACC"/>
    <w:rsid w:val="00F36BE0"/>
    <w:rsid w:val="00F405F0"/>
    <w:rsid w:val="00F41D82"/>
    <w:rsid w:val="00F42A8F"/>
    <w:rsid w:val="00F42EDA"/>
    <w:rsid w:val="00F43306"/>
    <w:rsid w:val="00F43860"/>
    <w:rsid w:val="00F44FFA"/>
    <w:rsid w:val="00F45A68"/>
    <w:rsid w:val="00F45BFF"/>
    <w:rsid w:val="00F46E03"/>
    <w:rsid w:val="00F47BEC"/>
    <w:rsid w:val="00F50354"/>
    <w:rsid w:val="00F51609"/>
    <w:rsid w:val="00F5379D"/>
    <w:rsid w:val="00F537B3"/>
    <w:rsid w:val="00F539C1"/>
    <w:rsid w:val="00F543E4"/>
    <w:rsid w:val="00F54562"/>
    <w:rsid w:val="00F55531"/>
    <w:rsid w:val="00F5562A"/>
    <w:rsid w:val="00F55C25"/>
    <w:rsid w:val="00F57C2B"/>
    <w:rsid w:val="00F57D94"/>
    <w:rsid w:val="00F60B9C"/>
    <w:rsid w:val="00F614EC"/>
    <w:rsid w:val="00F61FA0"/>
    <w:rsid w:val="00F61FBA"/>
    <w:rsid w:val="00F64DAC"/>
    <w:rsid w:val="00F65AD9"/>
    <w:rsid w:val="00F65C59"/>
    <w:rsid w:val="00F70BFE"/>
    <w:rsid w:val="00F71320"/>
    <w:rsid w:val="00F73716"/>
    <w:rsid w:val="00F73727"/>
    <w:rsid w:val="00F744CB"/>
    <w:rsid w:val="00F76144"/>
    <w:rsid w:val="00F766A7"/>
    <w:rsid w:val="00F77060"/>
    <w:rsid w:val="00F806E7"/>
    <w:rsid w:val="00F81006"/>
    <w:rsid w:val="00F821B8"/>
    <w:rsid w:val="00F822AE"/>
    <w:rsid w:val="00F82615"/>
    <w:rsid w:val="00F84049"/>
    <w:rsid w:val="00F85325"/>
    <w:rsid w:val="00F85984"/>
    <w:rsid w:val="00F8649B"/>
    <w:rsid w:val="00F86B70"/>
    <w:rsid w:val="00F87097"/>
    <w:rsid w:val="00F878DB"/>
    <w:rsid w:val="00F90407"/>
    <w:rsid w:val="00F91DDC"/>
    <w:rsid w:val="00F92039"/>
    <w:rsid w:val="00F927F4"/>
    <w:rsid w:val="00F92FD3"/>
    <w:rsid w:val="00F9395A"/>
    <w:rsid w:val="00F96DF4"/>
    <w:rsid w:val="00F973B9"/>
    <w:rsid w:val="00F9744E"/>
    <w:rsid w:val="00FA1188"/>
    <w:rsid w:val="00FA2792"/>
    <w:rsid w:val="00FA29BA"/>
    <w:rsid w:val="00FA627B"/>
    <w:rsid w:val="00FA7F30"/>
    <w:rsid w:val="00FB071B"/>
    <w:rsid w:val="00FB369A"/>
    <w:rsid w:val="00FB4781"/>
    <w:rsid w:val="00FB576D"/>
    <w:rsid w:val="00FB6561"/>
    <w:rsid w:val="00FB72B3"/>
    <w:rsid w:val="00FC0915"/>
    <w:rsid w:val="00FC1B7A"/>
    <w:rsid w:val="00FC2476"/>
    <w:rsid w:val="00FC4E41"/>
    <w:rsid w:val="00FC5F7F"/>
    <w:rsid w:val="00FC7326"/>
    <w:rsid w:val="00FC737A"/>
    <w:rsid w:val="00FD137A"/>
    <w:rsid w:val="00FD19D3"/>
    <w:rsid w:val="00FD22B1"/>
    <w:rsid w:val="00FD33F1"/>
    <w:rsid w:val="00FD3566"/>
    <w:rsid w:val="00FD5824"/>
    <w:rsid w:val="00FD720A"/>
    <w:rsid w:val="00FE18CA"/>
    <w:rsid w:val="00FE19B9"/>
    <w:rsid w:val="00FE3F9E"/>
    <w:rsid w:val="00FE4653"/>
    <w:rsid w:val="00FE5397"/>
    <w:rsid w:val="00FE70DC"/>
    <w:rsid w:val="00FE7641"/>
    <w:rsid w:val="00FF2A72"/>
    <w:rsid w:val="00FF423C"/>
    <w:rsid w:val="00FF4BFB"/>
    <w:rsid w:val="00FF5329"/>
    <w:rsid w:val="00FF5DA7"/>
    <w:rsid w:val="00FF6F85"/>
    <w:rsid w:val="00FF790A"/>
    <w:rsid w:val="00FF79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A1416"/>
    <w:rPr>
      <w:sz w:val="24"/>
      <w:szCs w:val="24"/>
    </w:rPr>
  </w:style>
  <w:style w:type="paragraph" w:styleId="Heading1">
    <w:name w:val="heading 1"/>
    <w:basedOn w:val="BodyText"/>
    <w:next w:val="BodyText"/>
    <w:rsid w:val="009A141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A141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9A1416"/>
    <w:pPr>
      <w:spacing w:before="560" w:line="320" w:lineRule="exact"/>
      <w:ind w:left="0" w:firstLine="0"/>
      <w:outlineLvl w:val="2"/>
    </w:pPr>
    <w:rPr>
      <w:sz w:val="26"/>
    </w:rPr>
  </w:style>
  <w:style w:type="paragraph" w:styleId="Heading4">
    <w:name w:val="heading 4"/>
    <w:basedOn w:val="Heading3"/>
    <w:next w:val="BodyText"/>
    <w:link w:val="Heading4Char"/>
    <w:qFormat/>
    <w:rsid w:val="009A1416"/>
    <w:pPr>
      <w:spacing w:before="480"/>
      <w:outlineLvl w:val="3"/>
    </w:pPr>
    <w:rPr>
      <w:b w:val="0"/>
      <w:sz w:val="24"/>
    </w:rPr>
  </w:style>
  <w:style w:type="paragraph" w:styleId="Heading5">
    <w:name w:val="heading 5"/>
    <w:basedOn w:val="Heading4"/>
    <w:next w:val="BodyText"/>
    <w:link w:val="Heading5Char"/>
    <w:qFormat/>
    <w:rsid w:val="009A1416"/>
    <w:pPr>
      <w:outlineLvl w:val="4"/>
    </w:pPr>
    <w:rPr>
      <w:i/>
      <w:sz w:val="22"/>
    </w:rPr>
  </w:style>
  <w:style w:type="paragraph" w:styleId="Heading6">
    <w:name w:val="heading 6"/>
    <w:basedOn w:val="BodyText"/>
    <w:next w:val="BodyText"/>
    <w:semiHidden/>
    <w:rsid w:val="009A1416"/>
    <w:pPr>
      <w:spacing w:after="60"/>
      <w:jc w:val="left"/>
      <w:outlineLvl w:val="5"/>
    </w:pPr>
    <w:rPr>
      <w:i/>
      <w:sz w:val="22"/>
    </w:rPr>
  </w:style>
  <w:style w:type="paragraph" w:styleId="Heading7">
    <w:name w:val="heading 7"/>
    <w:basedOn w:val="BodyText"/>
    <w:next w:val="BodyText"/>
    <w:semiHidden/>
    <w:rsid w:val="009A1416"/>
    <w:pPr>
      <w:spacing w:after="60" w:line="240" w:lineRule="auto"/>
      <w:jc w:val="left"/>
      <w:outlineLvl w:val="6"/>
    </w:pPr>
    <w:rPr>
      <w:rFonts w:ascii="Arial" w:hAnsi="Arial"/>
      <w:sz w:val="20"/>
    </w:rPr>
  </w:style>
  <w:style w:type="paragraph" w:styleId="Heading8">
    <w:name w:val="heading 8"/>
    <w:basedOn w:val="BodyText"/>
    <w:next w:val="BodyText"/>
    <w:semiHidden/>
    <w:rsid w:val="009A1416"/>
    <w:pPr>
      <w:spacing w:after="60" w:line="240" w:lineRule="auto"/>
      <w:jc w:val="left"/>
      <w:outlineLvl w:val="7"/>
    </w:pPr>
    <w:rPr>
      <w:rFonts w:ascii="Arial" w:hAnsi="Arial"/>
      <w:i/>
      <w:sz w:val="20"/>
    </w:rPr>
  </w:style>
  <w:style w:type="paragraph" w:styleId="Heading9">
    <w:name w:val="heading 9"/>
    <w:basedOn w:val="BodyText"/>
    <w:next w:val="BodyText"/>
    <w:semiHidden/>
    <w:rsid w:val="009A141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A14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416"/>
  </w:style>
  <w:style w:type="paragraph" w:styleId="BodyText">
    <w:name w:val="Body Text"/>
    <w:link w:val="BodyTextChar"/>
    <w:qFormat/>
    <w:rsid w:val="009A1416"/>
    <w:pPr>
      <w:spacing w:before="240" w:line="300" w:lineRule="atLeast"/>
      <w:jc w:val="both"/>
    </w:pPr>
    <w:rPr>
      <w:sz w:val="24"/>
    </w:rPr>
  </w:style>
  <w:style w:type="paragraph" w:styleId="Footer">
    <w:name w:val="footer"/>
    <w:basedOn w:val="BodyText"/>
    <w:link w:val="FooterChar"/>
    <w:semiHidden/>
    <w:rsid w:val="009A1416"/>
    <w:pPr>
      <w:spacing w:before="80" w:line="200" w:lineRule="exact"/>
      <w:ind w:right="6"/>
      <w:jc w:val="left"/>
    </w:pPr>
    <w:rPr>
      <w:rFonts w:ascii="Arial" w:hAnsi="Arial"/>
      <w:caps/>
      <w:spacing w:val="-4"/>
      <w:sz w:val="16"/>
    </w:rPr>
  </w:style>
  <w:style w:type="paragraph" w:customStyle="1" w:styleId="FooterEnd">
    <w:name w:val="Footer End"/>
    <w:basedOn w:val="Footer"/>
    <w:rsid w:val="009A1416"/>
    <w:pPr>
      <w:spacing w:before="0" w:line="20" w:lineRule="exact"/>
    </w:pPr>
  </w:style>
  <w:style w:type="paragraph" w:styleId="Header">
    <w:name w:val="header"/>
    <w:basedOn w:val="BodyText"/>
    <w:rsid w:val="009A141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A1416"/>
    <w:pPr>
      <w:spacing w:line="20" w:lineRule="exact"/>
    </w:pPr>
    <w:rPr>
      <w:sz w:val="16"/>
    </w:rPr>
  </w:style>
  <w:style w:type="paragraph" w:customStyle="1" w:styleId="HeaderEven">
    <w:name w:val="Header Even"/>
    <w:basedOn w:val="Header"/>
    <w:semiHidden/>
    <w:rsid w:val="009A1416"/>
  </w:style>
  <w:style w:type="paragraph" w:customStyle="1" w:styleId="HeaderOdd">
    <w:name w:val="Header Odd"/>
    <w:basedOn w:val="Header"/>
    <w:semiHidden/>
    <w:rsid w:val="009A1416"/>
  </w:style>
  <w:style w:type="character" w:styleId="PageNumber">
    <w:name w:val="page number"/>
    <w:basedOn w:val="DefaultParagraphFont"/>
    <w:rsid w:val="009A1416"/>
    <w:rPr>
      <w:rFonts w:ascii="Arial" w:hAnsi="Arial"/>
      <w:b/>
      <w:sz w:val="16"/>
    </w:rPr>
  </w:style>
  <w:style w:type="paragraph" w:customStyle="1" w:styleId="Abbreviation">
    <w:name w:val="Abbreviation"/>
    <w:basedOn w:val="BodyText"/>
    <w:rsid w:val="009A1416"/>
    <w:pPr>
      <w:spacing w:before="120"/>
      <w:ind w:left="2381" w:hanging="2381"/>
      <w:jc w:val="left"/>
    </w:pPr>
  </w:style>
  <w:style w:type="paragraph" w:customStyle="1" w:styleId="Box">
    <w:name w:val="Box"/>
    <w:basedOn w:val="BodyText"/>
    <w:link w:val="BoxChar"/>
    <w:qFormat/>
    <w:rsid w:val="009A1416"/>
    <w:pPr>
      <w:keepNext/>
      <w:spacing w:before="120" w:line="260" w:lineRule="atLeast"/>
    </w:pPr>
    <w:rPr>
      <w:rFonts w:ascii="Arial" w:hAnsi="Arial"/>
      <w:sz w:val="20"/>
    </w:rPr>
  </w:style>
  <w:style w:type="paragraph" w:customStyle="1" w:styleId="BoxContinued">
    <w:name w:val="Box Continued"/>
    <w:basedOn w:val="BodyText"/>
    <w:next w:val="BodyText"/>
    <w:semiHidden/>
    <w:rsid w:val="009A1416"/>
    <w:pPr>
      <w:spacing w:before="180" w:line="220" w:lineRule="exact"/>
      <w:jc w:val="right"/>
    </w:pPr>
    <w:rPr>
      <w:rFonts w:ascii="Arial" w:hAnsi="Arial"/>
      <w:sz w:val="18"/>
    </w:rPr>
  </w:style>
  <w:style w:type="paragraph" w:customStyle="1" w:styleId="BoxHeading1">
    <w:name w:val="Box Heading 1"/>
    <w:basedOn w:val="BodyText"/>
    <w:next w:val="Box"/>
    <w:rsid w:val="009A1416"/>
    <w:pPr>
      <w:keepNext/>
      <w:spacing w:before="200" w:line="280" w:lineRule="atLeast"/>
    </w:pPr>
    <w:rPr>
      <w:rFonts w:ascii="Arial" w:hAnsi="Arial"/>
      <w:b/>
      <w:sz w:val="22"/>
    </w:rPr>
  </w:style>
  <w:style w:type="paragraph" w:customStyle="1" w:styleId="BoxHeading2">
    <w:name w:val="Box Heading 2"/>
    <w:basedOn w:val="BoxHeading1"/>
    <w:next w:val="Normal"/>
    <w:rsid w:val="009A1416"/>
    <w:rPr>
      <w:b w:val="0"/>
      <w:i/>
    </w:rPr>
  </w:style>
  <w:style w:type="paragraph" w:customStyle="1" w:styleId="BoxListBullet">
    <w:name w:val="Box List Bullet"/>
    <w:basedOn w:val="BodyText"/>
    <w:link w:val="BoxListBulletChar"/>
    <w:rsid w:val="009A1416"/>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9A1416"/>
    <w:pPr>
      <w:numPr>
        <w:numId w:val="13"/>
      </w:numPr>
      <w:ind w:left="568" w:hanging="284"/>
    </w:pPr>
  </w:style>
  <w:style w:type="paragraph" w:customStyle="1" w:styleId="BoxListNumber">
    <w:name w:val="Box List Number"/>
    <w:basedOn w:val="BodyText"/>
    <w:rsid w:val="009A1416"/>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9A1416"/>
    <w:pPr>
      <w:numPr>
        <w:ilvl w:val="1"/>
      </w:numPr>
      <w:ind w:left="681" w:hanging="397"/>
    </w:pPr>
  </w:style>
  <w:style w:type="paragraph" w:customStyle="1" w:styleId="BoxQuote">
    <w:name w:val="Box Quote"/>
    <w:basedOn w:val="BodyText"/>
    <w:next w:val="Box"/>
    <w:qFormat/>
    <w:rsid w:val="009A1416"/>
    <w:pPr>
      <w:keepNext/>
      <w:spacing w:before="60" w:line="240" w:lineRule="exact"/>
      <w:ind w:left="284"/>
    </w:pPr>
    <w:rPr>
      <w:rFonts w:ascii="Arial" w:hAnsi="Arial"/>
      <w:sz w:val="18"/>
    </w:rPr>
  </w:style>
  <w:style w:type="paragraph" w:customStyle="1" w:styleId="Note">
    <w:name w:val="Note"/>
    <w:basedOn w:val="BodyText"/>
    <w:next w:val="BodyText"/>
    <w:rsid w:val="009A1416"/>
    <w:pPr>
      <w:keepLines/>
      <w:spacing w:before="80" w:line="220" w:lineRule="exact"/>
    </w:pPr>
    <w:rPr>
      <w:rFonts w:ascii="Arial" w:hAnsi="Arial"/>
      <w:sz w:val="18"/>
    </w:rPr>
  </w:style>
  <w:style w:type="paragraph" w:customStyle="1" w:styleId="Source">
    <w:name w:val="Source"/>
    <w:basedOn w:val="Normal"/>
    <w:next w:val="BodyText"/>
    <w:link w:val="SourceChar"/>
    <w:rsid w:val="009A1416"/>
    <w:pPr>
      <w:keepLines/>
      <w:spacing w:before="80" w:line="220" w:lineRule="exact"/>
      <w:jc w:val="both"/>
    </w:pPr>
    <w:rPr>
      <w:rFonts w:ascii="Arial" w:hAnsi="Arial"/>
      <w:sz w:val="18"/>
      <w:szCs w:val="20"/>
    </w:rPr>
  </w:style>
  <w:style w:type="paragraph" w:customStyle="1" w:styleId="BoxSource">
    <w:name w:val="Box Source"/>
    <w:basedOn w:val="Source"/>
    <w:next w:val="BodyText"/>
    <w:rsid w:val="009A1416"/>
    <w:pPr>
      <w:spacing w:before="120"/>
    </w:pPr>
  </w:style>
  <w:style w:type="paragraph" w:customStyle="1" w:styleId="BoxSpaceAbove">
    <w:name w:val="Box Space Above"/>
    <w:basedOn w:val="BodyText"/>
    <w:rsid w:val="009A1416"/>
    <w:pPr>
      <w:keepNext/>
      <w:spacing w:before="360" w:line="80" w:lineRule="exact"/>
      <w:jc w:val="left"/>
    </w:pPr>
  </w:style>
  <w:style w:type="paragraph" w:styleId="Caption">
    <w:name w:val="caption"/>
    <w:basedOn w:val="Normal"/>
    <w:next w:val="BodyText"/>
    <w:rsid w:val="009A141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A1416"/>
    <w:pPr>
      <w:spacing w:before="120" w:after="0"/>
    </w:pPr>
  </w:style>
  <w:style w:type="paragraph" w:customStyle="1" w:styleId="BoxSubtitle">
    <w:name w:val="Box Subtitle"/>
    <w:basedOn w:val="BoxTitle"/>
    <w:next w:val="Normal"/>
    <w:rsid w:val="009A1416"/>
    <w:pPr>
      <w:spacing w:after="80" w:line="200" w:lineRule="exact"/>
      <w:ind w:firstLine="0"/>
    </w:pPr>
    <w:rPr>
      <w:b w:val="0"/>
      <w:sz w:val="20"/>
    </w:rPr>
  </w:style>
  <w:style w:type="paragraph" w:customStyle="1" w:styleId="Chapter">
    <w:name w:val="Chapter"/>
    <w:basedOn w:val="Heading1"/>
    <w:next w:val="BodyText"/>
    <w:semiHidden/>
    <w:rsid w:val="009A1416"/>
    <w:pPr>
      <w:ind w:left="0" w:firstLine="0"/>
      <w:outlineLvl w:val="9"/>
    </w:pPr>
  </w:style>
  <w:style w:type="paragraph" w:customStyle="1" w:styleId="ChapterSummary">
    <w:name w:val="Chapter Summary"/>
    <w:basedOn w:val="BodyText"/>
    <w:rsid w:val="009A1416"/>
    <w:pPr>
      <w:spacing w:line="280" w:lineRule="atLeast"/>
      <w:ind w:left="907"/>
    </w:pPr>
    <w:rPr>
      <w:rFonts w:ascii="Arial" w:hAnsi="Arial"/>
      <w:b/>
      <w:sz w:val="20"/>
    </w:rPr>
  </w:style>
  <w:style w:type="character" w:styleId="CommentReference">
    <w:name w:val="annotation reference"/>
    <w:basedOn w:val="DefaultParagraphFont"/>
    <w:semiHidden/>
    <w:rsid w:val="009A1416"/>
    <w:rPr>
      <w:b/>
      <w:vanish/>
      <w:color w:val="FF00FF"/>
      <w:sz w:val="20"/>
    </w:rPr>
  </w:style>
  <w:style w:type="paragraph" w:styleId="CommentText">
    <w:name w:val="annotation text"/>
    <w:basedOn w:val="Normal"/>
    <w:link w:val="CommentTextChar"/>
    <w:semiHidden/>
    <w:rsid w:val="009A1416"/>
    <w:pPr>
      <w:spacing w:before="120" w:line="240" w:lineRule="atLeast"/>
      <w:ind w:left="567" w:hanging="567"/>
    </w:pPr>
    <w:rPr>
      <w:sz w:val="20"/>
    </w:rPr>
  </w:style>
  <w:style w:type="paragraph" w:customStyle="1" w:styleId="Continued">
    <w:name w:val="Continued"/>
    <w:basedOn w:val="BoxContinued"/>
    <w:next w:val="BodyText"/>
    <w:rsid w:val="009A1416"/>
  </w:style>
  <w:style w:type="character" w:customStyle="1" w:styleId="DocumentInfo">
    <w:name w:val="Document Info"/>
    <w:basedOn w:val="DefaultParagraphFont"/>
    <w:semiHidden/>
    <w:rsid w:val="009A1416"/>
    <w:rPr>
      <w:rFonts w:ascii="Arial" w:hAnsi="Arial"/>
      <w:sz w:val="14"/>
    </w:rPr>
  </w:style>
  <w:style w:type="character" w:customStyle="1" w:styleId="DraftingNote">
    <w:name w:val="Drafting Note"/>
    <w:basedOn w:val="DefaultParagraphFont"/>
    <w:rsid w:val="009A1416"/>
    <w:rPr>
      <w:b/>
      <w:color w:val="FF0000"/>
      <w:sz w:val="24"/>
      <w:u w:val="dotted"/>
    </w:rPr>
  </w:style>
  <w:style w:type="paragraph" w:customStyle="1" w:styleId="Figure">
    <w:name w:val="Figure"/>
    <w:basedOn w:val="BodyText"/>
    <w:rsid w:val="009A1416"/>
    <w:pPr>
      <w:keepNext/>
      <w:spacing w:before="120" w:after="120" w:line="240" w:lineRule="atLeast"/>
      <w:jc w:val="center"/>
    </w:pPr>
  </w:style>
  <w:style w:type="paragraph" w:customStyle="1" w:styleId="FigureTitle">
    <w:name w:val="Figure Title"/>
    <w:basedOn w:val="Caption"/>
    <w:next w:val="Subtitle"/>
    <w:rsid w:val="009A1416"/>
    <w:pPr>
      <w:spacing w:before="120"/>
    </w:pPr>
  </w:style>
  <w:style w:type="paragraph" w:styleId="Subtitle">
    <w:name w:val="Subtitle"/>
    <w:basedOn w:val="Caption"/>
    <w:link w:val="SubtitleChar"/>
    <w:qFormat/>
    <w:rsid w:val="009A1416"/>
    <w:pPr>
      <w:spacing w:before="0" w:line="200" w:lineRule="exact"/>
      <w:ind w:firstLine="0"/>
    </w:pPr>
    <w:rPr>
      <w:b w:val="0"/>
      <w:sz w:val="20"/>
    </w:rPr>
  </w:style>
  <w:style w:type="paragraph" w:customStyle="1" w:styleId="Finding">
    <w:name w:val="Finding"/>
    <w:basedOn w:val="BodyText"/>
    <w:rsid w:val="009A1416"/>
    <w:pPr>
      <w:keepLines/>
      <w:spacing w:before="120" w:line="280" w:lineRule="atLeast"/>
    </w:pPr>
    <w:rPr>
      <w:rFonts w:ascii="Arial" w:hAnsi="Arial"/>
      <w:sz w:val="22"/>
    </w:rPr>
  </w:style>
  <w:style w:type="paragraph" w:customStyle="1" w:styleId="FindingBullet">
    <w:name w:val="Finding Bullet"/>
    <w:basedOn w:val="Finding"/>
    <w:rsid w:val="009A1416"/>
    <w:pPr>
      <w:numPr>
        <w:numId w:val="15"/>
      </w:numPr>
      <w:spacing w:before="80"/>
    </w:pPr>
  </w:style>
  <w:style w:type="paragraph" w:customStyle="1" w:styleId="FindingNoTitle">
    <w:name w:val="Finding NoTitle"/>
    <w:basedOn w:val="Finding"/>
    <w:semiHidden/>
    <w:rsid w:val="009A1416"/>
    <w:pPr>
      <w:spacing w:before="240"/>
    </w:pPr>
  </w:style>
  <w:style w:type="paragraph" w:customStyle="1" w:styleId="RecTitle">
    <w:name w:val="Rec Title"/>
    <w:basedOn w:val="BodyText"/>
    <w:next w:val="Rec"/>
    <w:qFormat/>
    <w:rsid w:val="009A1416"/>
    <w:pPr>
      <w:keepNext/>
      <w:keepLines/>
      <w:spacing w:line="280" w:lineRule="atLeast"/>
    </w:pPr>
    <w:rPr>
      <w:rFonts w:ascii="Arial" w:hAnsi="Arial"/>
      <w:caps/>
      <w:sz w:val="18"/>
    </w:rPr>
  </w:style>
  <w:style w:type="paragraph" w:customStyle="1" w:styleId="FindingTitle">
    <w:name w:val="Finding Title"/>
    <w:basedOn w:val="RecTitle"/>
    <w:next w:val="Finding"/>
    <w:rsid w:val="009A1416"/>
  </w:style>
  <w:style w:type="character" w:styleId="FootnoteReference">
    <w:name w:val="footnote reference"/>
    <w:basedOn w:val="DefaultParagraphFont"/>
    <w:semiHidden/>
    <w:rsid w:val="009A1416"/>
    <w:rPr>
      <w:rFonts w:ascii="Times New Roman" w:hAnsi="Times New Roman"/>
      <w:position w:val="6"/>
      <w:sz w:val="20"/>
      <w:vertAlign w:val="baseline"/>
    </w:rPr>
  </w:style>
  <w:style w:type="paragraph" w:styleId="FootnoteText">
    <w:name w:val="footnote text"/>
    <w:basedOn w:val="BodyText"/>
    <w:link w:val="FootnoteTextChar"/>
    <w:rsid w:val="009A141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A1416"/>
    <w:rPr>
      <w:i/>
    </w:rPr>
  </w:style>
  <w:style w:type="paragraph" w:customStyle="1" w:styleId="Jurisdictioncommentsbodytext">
    <w:name w:val="Jurisdiction comments body text"/>
    <w:rsid w:val="009A1416"/>
    <w:pPr>
      <w:spacing w:after="140"/>
      <w:jc w:val="both"/>
    </w:pPr>
    <w:rPr>
      <w:rFonts w:ascii="Arial" w:hAnsi="Arial"/>
      <w:sz w:val="24"/>
      <w:lang w:eastAsia="en-US"/>
    </w:rPr>
  </w:style>
  <w:style w:type="paragraph" w:customStyle="1" w:styleId="Jurisdictioncommentsheading">
    <w:name w:val="Jurisdiction comments heading"/>
    <w:rsid w:val="009A141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A1416"/>
    <w:pPr>
      <w:numPr>
        <w:numId w:val="2"/>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9A1416"/>
    <w:pPr>
      <w:numPr>
        <w:numId w:val="3"/>
      </w:numPr>
      <w:spacing w:before="120"/>
    </w:pPr>
  </w:style>
  <w:style w:type="paragraph" w:styleId="ListBullet2">
    <w:name w:val="List Bullet 2"/>
    <w:basedOn w:val="BodyText"/>
    <w:rsid w:val="009A1416"/>
    <w:pPr>
      <w:numPr>
        <w:numId w:val="4"/>
      </w:numPr>
      <w:spacing w:before="120"/>
    </w:pPr>
  </w:style>
  <w:style w:type="paragraph" w:styleId="ListBullet3">
    <w:name w:val="List Bullet 3"/>
    <w:basedOn w:val="BodyText"/>
    <w:rsid w:val="009A1416"/>
    <w:pPr>
      <w:numPr>
        <w:numId w:val="5"/>
      </w:numPr>
      <w:spacing w:before="120"/>
      <w:ind w:left="1020" w:hanging="340"/>
    </w:pPr>
  </w:style>
  <w:style w:type="paragraph" w:styleId="ListNumber">
    <w:name w:val="List Number"/>
    <w:basedOn w:val="BodyText"/>
    <w:rsid w:val="009A1416"/>
    <w:pPr>
      <w:numPr>
        <w:numId w:val="9"/>
      </w:numPr>
      <w:spacing w:before="120"/>
    </w:pPr>
  </w:style>
  <w:style w:type="paragraph" w:styleId="ListNumber2">
    <w:name w:val="List Number 2"/>
    <w:basedOn w:val="ListNumber"/>
    <w:rsid w:val="009A1416"/>
    <w:pPr>
      <w:numPr>
        <w:ilvl w:val="1"/>
      </w:numPr>
    </w:pPr>
  </w:style>
  <w:style w:type="paragraph" w:styleId="ListNumber3">
    <w:name w:val="List Number 3"/>
    <w:basedOn w:val="ListNumber2"/>
    <w:rsid w:val="009A1416"/>
    <w:pPr>
      <w:numPr>
        <w:ilvl w:val="2"/>
      </w:numPr>
    </w:pPr>
  </w:style>
  <w:style w:type="character" w:customStyle="1" w:styleId="NoteLabel">
    <w:name w:val="Note Label"/>
    <w:basedOn w:val="DefaultParagraphFont"/>
    <w:rsid w:val="009A1416"/>
    <w:rPr>
      <w:rFonts w:ascii="Arial" w:hAnsi="Arial"/>
      <w:b/>
      <w:position w:val="6"/>
      <w:sz w:val="18"/>
    </w:rPr>
  </w:style>
  <w:style w:type="paragraph" w:customStyle="1" w:styleId="PartDivider">
    <w:name w:val="Part Divider"/>
    <w:basedOn w:val="BodyText"/>
    <w:next w:val="BodyText"/>
    <w:semiHidden/>
    <w:rsid w:val="009A1416"/>
    <w:pPr>
      <w:spacing w:before="0" w:line="40" w:lineRule="exact"/>
      <w:jc w:val="right"/>
    </w:pPr>
    <w:rPr>
      <w:smallCaps/>
      <w:sz w:val="16"/>
    </w:rPr>
  </w:style>
  <w:style w:type="paragraph" w:customStyle="1" w:styleId="PartNumber">
    <w:name w:val="Part Number"/>
    <w:basedOn w:val="BodyText"/>
    <w:next w:val="BodyText"/>
    <w:semiHidden/>
    <w:rsid w:val="009A1416"/>
    <w:pPr>
      <w:spacing w:before="4000" w:line="320" w:lineRule="exact"/>
      <w:ind w:left="6634"/>
      <w:jc w:val="right"/>
    </w:pPr>
    <w:rPr>
      <w:smallCaps/>
      <w:spacing w:val="60"/>
      <w:sz w:val="32"/>
    </w:rPr>
  </w:style>
  <w:style w:type="paragraph" w:customStyle="1" w:styleId="PartTitle">
    <w:name w:val="Part Title"/>
    <w:basedOn w:val="BodyText"/>
    <w:semiHidden/>
    <w:rsid w:val="009A1416"/>
    <w:pPr>
      <w:spacing w:before="160" w:after="1360" w:line="520" w:lineRule="exact"/>
      <w:ind w:right="2381"/>
      <w:jc w:val="right"/>
    </w:pPr>
    <w:rPr>
      <w:smallCaps/>
      <w:sz w:val="52"/>
    </w:rPr>
  </w:style>
  <w:style w:type="paragraph" w:styleId="Quote">
    <w:name w:val="Quote"/>
    <w:basedOn w:val="BodyText"/>
    <w:next w:val="BodyText"/>
    <w:qFormat/>
    <w:rsid w:val="009A1416"/>
    <w:pPr>
      <w:spacing w:before="120" w:line="280" w:lineRule="exact"/>
      <w:ind w:left="340"/>
    </w:pPr>
    <w:rPr>
      <w:sz w:val="22"/>
    </w:rPr>
  </w:style>
  <w:style w:type="paragraph" w:customStyle="1" w:styleId="QuoteBullet">
    <w:name w:val="Quote Bullet"/>
    <w:basedOn w:val="Quote"/>
    <w:rsid w:val="009A1416"/>
    <w:pPr>
      <w:numPr>
        <w:numId w:val="6"/>
      </w:numPr>
    </w:pPr>
  </w:style>
  <w:style w:type="paragraph" w:customStyle="1" w:styleId="Rec">
    <w:name w:val="Rec"/>
    <w:basedOn w:val="BodyText"/>
    <w:qFormat/>
    <w:rsid w:val="009A1416"/>
    <w:pPr>
      <w:keepLines/>
      <w:spacing w:before="120" w:line="280" w:lineRule="atLeast"/>
    </w:pPr>
    <w:rPr>
      <w:rFonts w:ascii="Arial" w:hAnsi="Arial"/>
      <w:sz w:val="22"/>
    </w:rPr>
  </w:style>
  <w:style w:type="paragraph" w:customStyle="1" w:styleId="RecBullet">
    <w:name w:val="Rec Bullet"/>
    <w:basedOn w:val="Rec"/>
    <w:rsid w:val="009A1416"/>
    <w:pPr>
      <w:numPr>
        <w:numId w:val="17"/>
      </w:numPr>
      <w:spacing w:before="80"/>
    </w:pPr>
  </w:style>
  <w:style w:type="paragraph" w:customStyle="1" w:styleId="RecB">
    <w:name w:val="RecB"/>
    <w:basedOn w:val="Normal"/>
    <w:semiHidden/>
    <w:rsid w:val="009A141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A1416"/>
    <w:pPr>
      <w:numPr>
        <w:numId w:val="11"/>
      </w:numPr>
      <w:spacing w:before="80"/>
    </w:pPr>
  </w:style>
  <w:style w:type="paragraph" w:customStyle="1" w:styleId="RecBNoTitle">
    <w:name w:val="RecB NoTitle"/>
    <w:basedOn w:val="RecB"/>
    <w:semiHidden/>
    <w:rsid w:val="009A1416"/>
    <w:pPr>
      <w:spacing w:before="240"/>
    </w:pPr>
  </w:style>
  <w:style w:type="paragraph" w:customStyle="1" w:styleId="Reference">
    <w:name w:val="Reference"/>
    <w:basedOn w:val="BodyText"/>
    <w:rsid w:val="009A1416"/>
    <w:pPr>
      <w:spacing w:before="120"/>
      <w:ind w:left="340" w:hanging="340"/>
    </w:pPr>
  </w:style>
  <w:style w:type="paragraph" w:customStyle="1" w:styleId="SequenceInfo">
    <w:name w:val="Sequence Info"/>
    <w:basedOn w:val="BodyText"/>
    <w:semiHidden/>
    <w:rsid w:val="009A1416"/>
    <w:rPr>
      <w:vanish/>
      <w:sz w:val="16"/>
    </w:rPr>
  </w:style>
  <w:style w:type="paragraph" w:customStyle="1" w:styleId="SideNote">
    <w:name w:val="Side Note"/>
    <w:basedOn w:val="BodyText"/>
    <w:next w:val="BodyText"/>
    <w:semiHidden/>
    <w:rsid w:val="009A141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A1416"/>
    <w:pPr>
      <w:framePr w:wrap="around"/>
      <w:numPr>
        <w:numId w:val="7"/>
      </w:numPr>
      <w:tabs>
        <w:tab w:val="left" w:pos="227"/>
      </w:tabs>
    </w:pPr>
  </w:style>
  <w:style w:type="paragraph" w:customStyle="1" w:styleId="SideNoteGraphic">
    <w:name w:val="Side Note Graphic"/>
    <w:basedOn w:val="SideNote"/>
    <w:next w:val="BodyText"/>
    <w:semiHidden/>
    <w:rsid w:val="009A1416"/>
    <w:pPr>
      <w:framePr w:wrap="around"/>
    </w:pPr>
  </w:style>
  <w:style w:type="paragraph" w:customStyle="1" w:styleId="TableBodyText">
    <w:name w:val="Table Body Text"/>
    <w:basedOn w:val="BodyText"/>
    <w:link w:val="TableBodyTextChar"/>
    <w:rsid w:val="009A141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A1416"/>
    <w:pPr>
      <w:numPr>
        <w:numId w:val="8"/>
      </w:numPr>
      <w:jc w:val="left"/>
    </w:pPr>
  </w:style>
  <w:style w:type="paragraph" w:customStyle="1" w:styleId="TableColumnHeading">
    <w:name w:val="Table Column Heading"/>
    <w:basedOn w:val="TableBodyText"/>
    <w:rsid w:val="009A1416"/>
    <w:pPr>
      <w:spacing w:before="80" w:after="80"/>
    </w:pPr>
    <w:rPr>
      <w:i/>
    </w:rPr>
  </w:style>
  <w:style w:type="paragraph" w:styleId="TOC2">
    <w:name w:val="toc 2"/>
    <w:basedOn w:val="TOC1"/>
    <w:rsid w:val="009A1416"/>
    <w:pPr>
      <w:ind w:left="1134" w:hanging="624"/>
    </w:pPr>
    <w:rPr>
      <w:b w:val="0"/>
    </w:rPr>
  </w:style>
  <w:style w:type="paragraph" w:styleId="TOC3">
    <w:name w:val="toc 3"/>
    <w:basedOn w:val="TOC2"/>
    <w:rsid w:val="009A1416"/>
    <w:pPr>
      <w:spacing w:before="60"/>
      <w:ind w:left="1190" w:hanging="680"/>
    </w:pPr>
  </w:style>
  <w:style w:type="paragraph" w:styleId="TableofFigures">
    <w:name w:val="table of figures"/>
    <w:basedOn w:val="TOC3"/>
    <w:next w:val="BodyText"/>
    <w:semiHidden/>
    <w:rsid w:val="009A1416"/>
    <w:pPr>
      <w:ind w:left="737" w:hanging="737"/>
    </w:pPr>
  </w:style>
  <w:style w:type="paragraph" w:customStyle="1" w:styleId="TableTitle">
    <w:name w:val="Table Title"/>
    <w:basedOn w:val="Caption"/>
    <w:next w:val="Subtitle"/>
    <w:qFormat/>
    <w:rsid w:val="009A1416"/>
    <w:pPr>
      <w:spacing w:before="120"/>
    </w:pPr>
  </w:style>
  <w:style w:type="paragraph" w:customStyle="1" w:styleId="TableUnitsRow">
    <w:name w:val="Table Units Row"/>
    <w:basedOn w:val="TableBodyText"/>
    <w:rsid w:val="009A1416"/>
    <w:pPr>
      <w:spacing w:before="40"/>
    </w:pPr>
  </w:style>
  <w:style w:type="paragraph" w:styleId="TOC1">
    <w:name w:val="toc 1"/>
    <w:basedOn w:val="Normal"/>
    <w:next w:val="TOC2"/>
    <w:link w:val="TOC1Char"/>
    <w:rsid w:val="009A141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A1416"/>
    <w:pPr>
      <w:ind w:left="1191" w:firstLine="0"/>
    </w:pPr>
  </w:style>
  <w:style w:type="paragraph" w:customStyle="1" w:styleId="RecBBullet2">
    <w:name w:val="RecB Bullet 2"/>
    <w:basedOn w:val="ListBullet2"/>
    <w:semiHidden/>
    <w:rsid w:val="009A1416"/>
    <w:pPr>
      <w:pBdr>
        <w:left w:val="single" w:sz="24" w:space="29" w:color="C0C0C0"/>
      </w:pBdr>
    </w:pPr>
    <w:rPr>
      <w:b/>
      <w:i/>
    </w:rPr>
  </w:style>
  <w:style w:type="paragraph" w:styleId="BalloonText">
    <w:name w:val="Balloon Text"/>
    <w:basedOn w:val="Normal"/>
    <w:link w:val="BalloonTextChar"/>
    <w:rsid w:val="009A1416"/>
    <w:rPr>
      <w:rFonts w:ascii="Tahoma" w:hAnsi="Tahoma" w:cs="Tahoma"/>
      <w:sz w:val="16"/>
      <w:szCs w:val="16"/>
    </w:rPr>
  </w:style>
  <w:style w:type="character" w:customStyle="1" w:styleId="BalloonTextChar">
    <w:name w:val="Balloon Text Char"/>
    <w:basedOn w:val="DefaultParagraphFont"/>
    <w:link w:val="BalloonText"/>
    <w:rsid w:val="009A1416"/>
    <w:rPr>
      <w:rFonts w:ascii="Tahoma" w:hAnsi="Tahoma" w:cs="Tahoma"/>
      <w:sz w:val="16"/>
      <w:szCs w:val="16"/>
    </w:rPr>
  </w:style>
  <w:style w:type="character" w:customStyle="1" w:styleId="SubtitleChar">
    <w:name w:val="Subtitle Char"/>
    <w:basedOn w:val="DefaultParagraphFont"/>
    <w:link w:val="Subtitle"/>
    <w:rsid w:val="009A1416"/>
    <w:rPr>
      <w:rFonts w:ascii="Arial" w:hAnsi="Arial"/>
      <w:szCs w:val="24"/>
    </w:rPr>
  </w:style>
  <w:style w:type="paragraph" w:customStyle="1" w:styleId="BoxListBullet3">
    <w:name w:val="Box List Bullet 3"/>
    <w:basedOn w:val="ListBullet3"/>
    <w:rsid w:val="009A1416"/>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A1416"/>
    <w:rPr>
      <w:i/>
      <w:iCs/>
    </w:rPr>
  </w:style>
  <w:style w:type="paragraph" w:customStyle="1" w:styleId="BoxQuoteBullet">
    <w:name w:val="Box Quote Bullet"/>
    <w:basedOn w:val="BoxQuote"/>
    <w:next w:val="Box"/>
    <w:rsid w:val="009A1416"/>
    <w:pPr>
      <w:numPr>
        <w:numId w:val="12"/>
      </w:numPr>
      <w:ind w:left="568" w:hanging="284"/>
    </w:pPr>
  </w:style>
  <w:style w:type="paragraph" w:customStyle="1" w:styleId="InformationRequestBullet">
    <w:name w:val="Information Request Bullet"/>
    <w:basedOn w:val="ListBullet"/>
    <w:next w:val="BodyText"/>
    <w:rsid w:val="009A141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A1416"/>
    <w:pPr>
      <w:keepNext w:val="0"/>
      <w:spacing w:before="60" w:after="60" w:line="80" w:lineRule="exact"/>
    </w:pPr>
    <w:rPr>
      <w:sz w:val="14"/>
    </w:rPr>
  </w:style>
  <w:style w:type="paragraph" w:customStyle="1" w:styleId="KeyPointsListBullet">
    <w:name w:val="Key Points List Bullet"/>
    <w:basedOn w:val="Normal"/>
    <w:qFormat/>
    <w:rsid w:val="009A141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A1416"/>
    <w:pPr>
      <w:numPr>
        <w:numId w:val="19"/>
      </w:numPr>
      <w:ind w:left="568" w:hanging="284"/>
    </w:pPr>
  </w:style>
  <w:style w:type="paragraph" w:customStyle="1" w:styleId="InformationRequestTitle">
    <w:name w:val="Information Request Title"/>
    <w:basedOn w:val="FindingTitle"/>
    <w:next w:val="InformationRequest"/>
    <w:rsid w:val="009A1416"/>
    <w:rPr>
      <w:i/>
    </w:rPr>
  </w:style>
  <w:style w:type="paragraph" w:customStyle="1" w:styleId="Space">
    <w:name w:val="Space"/>
    <w:basedOn w:val="Normal"/>
    <w:rsid w:val="009A1416"/>
    <w:pPr>
      <w:keepNext/>
      <w:spacing w:line="120" w:lineRule="exact"/>
      <w:jc w:val="both"/>
    </w:pPr>
    <w:rPr>
      <w:rFonts w:ascii="Arial" w:hAnsi="Arial"/>
      <w:sz w:val="20"/>
      <w:szCs w:val="20"/>
    </w:rPr>
  </w:style>
  <w:style w:type="paragraph" w:customStyle="1" w:styleId="Heading1nochapterno">
    <w:name w:val="Heading 1 (no chapter no.)"/>
    <w:basedOn w:val="Heading1"/>
    <w:rsid w:val="009A1416"/>
    <w:pPr>
      <w:spacing w:before="0"/>
      <w:ind w:left="0" w:firstLine="0"/>
    </w:pPr>
  </w:style>
  <w:style w:type="paragraph" w:customStyle="1" w:styleId="Heading2nosectionno">
    <w:name w:val="Heading 2 (no section no.)"/>
    <w:basedOn w:val="Heading2"/>
    <w:rsid w:val="009A1416"/>
    <w:pPr>
      <w:ind w:left="0" w:firstLine="0"/>
    </w:pPr>
  </w:style>
  <w:style w:type="character" w:customStyle="1" w:styleId="Heading5Char">
    <w:name w:val="Heading 5 Char"/>
    <w:basedOn w:val="DefaultParagraphFont"/>
    <w:link w:val="Heading5"/>
    <w:rsid w:val="009A1416"/>
    <w:rPr>
      <w:rFonts w:ascii="Arial" w:hAnsi="Arial"/>
      <w:i/>
      <w:sz w:val="22"/>
    </w:rPr>
  </w:style>
  <w:style w:type="paragraph" w:customStyle="1" w:styleId="Figurespace">
    <w:name w:val="Figure space"/>
    <w:basedOn w:val="Box"/>
    <w:rsid w:val="009A1416"/>
    <w:pPr>
      <w:spacing w:before="0" w:line="120" w:lineRule="exact"/>
    </w:pPr>
  </w:style>
  <w:style w:type="paragraph" w:customStyle="1" w:styleId="FooterDraftReport">
    <w:name w:val="FooterDraftReport"/>
    <w:basedOn w:val="Footer"/>
    <w:link w:val="FooterDraftReportChar"/>
    <w:rsid w:val="009A141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9A1416"/>
    <w:rPr>
      <w:sz w:val="24"/>
    </w:rPr>
  </w:style>
  <w:style w:type="character" w:customStyle="1" w:styleId="FooterChar">
    <w:name w:val="Footer Char"/>
    <w:basedOn w:val="BodyTextChar"/>
    <w:link w:val="Footer"/>
    <w:semiHidden/>
    <w:rsid w:val="009A1416"/>
    <w:rPr>
      <w:rFonts w:ascii="Arial" w:hAnsi="Arial"/>
      <w:caps/>
      <w:spacing w:val="-4"/>
      <w:sz w:val="16"/>
    </w:rPr>
  </w:style>
  <w:style w:type="character" w:customStyle="1" w:styleId="FooterDraftReportChar">
    <w:name w:val="FooterDraftReport Char"/>
    <w:basedOn w:val="FooterChar"/>
    <w:link w:val="FooterDraftReport"/>
    <w:rsid w:val="009A141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9A1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9A1416"/>
    <w:rPr>
      <w:rFonts w:ascii="Arial" w:hAnsi="Arial"/>
      <w:b/>
      <w:sz w:val="26"/>
      <w:szCs w:val="26"/>
      <w:lang w:eastAsia="en-US"/>
    </w:rPr>
  </w:style>
  <w:style w:type="character" w:customStyle="1" w:styleId="TableBodyTextChar">
    <w:name w:val="Table Body Text Char"/>
    <w:basedOn w:val="DefaultParagraphFont"/>
    <w:link w:val="TableBodyText"/>
    <w:rsid w:val="00E20499"/>
    <w:rPr>
      <w:rFonts w:ascii="Arial" w:hAnsi="Arial"/>
      <w:sz w:val="18"/>
    </w:rPr>
  </w:style>
  <w:style w:type="character" w:customStyle="1" w:styleId="SourceChar">
    <w:name w:val="Source Char"/>
    <w:basedOn w:val="DefaultParagraphFont"/>
    <w:link w:val="Source"/>
    <w:rsid w:val="003E64E3"/>
    <w:rPr>
      <w:rFonts w:ascii="Arial" w:hAnsi="Arial"/>
      <w:sz w:val="18"/>
    </w:rPr>
  </w:style>
  <w:style w:type="character" w:styleId="Hyperlink">
    <w:name w:val="Hyperlink"/>
    <w:basedOn w:val="DefaultParagraphFont"/>
    <w:rsid w:val="000C4DA8"/>
    <w:rPr>
      <w:color w:val="78A22F" w:themeColor="hyperlink"/>
      <w:u w:val="single"/>
    </w:rPr>
  </w:style>
  <w:style w:type="paragraph" w:styleId="Revision">
    <w:name w:val="Revision"/>
    <w:hidden/>
    <w:uiPriority w:val="99"/>
    <w:semiHidden/>
    <w:rsid w:val="002B337A"/>
    <w:rPr>
      <w:sz w:val="24"/>
      <w:szCs w:val="24"/>
    </w:rPr>
  </w:style>
  <w:style w:type="paragraph" w:styleId="EndnoteText">
    <w:name w:val="endnote text"/>
    <w:basedOn w:val="Normal"/>
    <w:link w:val="EndnoteTextChar"/>
    <w:rsid w:val="00C33124"/>
    <w:rPr>
      <w:sz w:val="20"/>
      <w:szCs w:val="20"/>
    </w:rPr>
  </w:style>
  <w:style w:type="character" w:customStyle="1" w:styleId="EndnoteTextChar">
    <w:name w:val="Endnote Text Char"/>
    <w:basedOn w:val="DefaultParagraphFont"/>
    <w:link w:val="EndnoteText"/>
    <w:rsid w:val="00C33124"/>
  </w:style>
  <w:style w:type="character" w:styleId="EndnoteReference">
    <w:name w:val="endnote reference"/>
    <w:basedOn w:val="DefaultParagraphFont"/>
    <w:rsid w:val="00C33124"/>
    <w:rPr>
      <w:vertAlign w:val="superscript"/>
    </w:rPr>
  </w:style>
  <w:style w:type="paragraph" w:styleId="CommentSubject">
    <w:name w:val="annotation subject"/>
    <w:basedOn w:val="CommentText"/>
    <w:next w:val="CommentText"/>
    <w:link w:val="CommentSubjectChar"/>
    <w:rsid w:val="0038105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81058"/>
    <w:rPr>
      <w:szCs w:val="24"/>
    </w:rPr>
  </w:style>
  <w:style w:type="character" w:customStyle="1" w:styleId="CommentSubjectChar">
    <w:name w:val="Comment Subject Char"/>
    <w:basedOn w:val="CommentTextChar"/>
    <w:link w:val="CommentSubject"/>
    <w:rsid w:val="00381058"/>
    <w:rPr>
      <w:b/>
      <w:bCs/>
      <w:szCs w:val="24"/>
    </w:rPr>
  </w:style>
  <w:style w:type="character" w:customStyle="1" w:styleId="Heading4Char">
    <w:name w:val="Heading 4 Char"/>
    <w:basedOn w:val="DefaultParagraphFont"/>
    <w:link w:val="Heading4"/>
    <w:rsid w:val="00745804"/>
    <w:rPr>
      <w:rFonts w:ascii="Arial" w:hAnsi="Arial"/>
      <w:sz w:val="24"/>
    </w:rPr>
  </w:style>
  <w:style w:type="character" w:customStyle="1" w:styleId="FootnoteTextChar">
    <w:name w:val="Footnote Text Char"/>
    <w:basedOn w:val="DefaultParagraphFont"/>
    <w:link w:val="FootnoteText"/>
    <w:rsid w:val="004F3E0D"/>
  </w:style>
  <w:style w:type="character" w:customStyle="1" w:styleId="BoxChar">
    <w:name w:val="Box Char"/>
    <w:basedOn w:val="BodyTextChar"/>
    <w:link w:val="Box"/>
    <w:rsid w:val="004F3E0D"/>
    <w:rPr>
      <w:rFonts w:ascii="Arial" w:hAnsi="Arial"/>
      <w:sz w:val="24"/>
    </w:rPr>
  </w:style>
  <w:style w:type="character" w:customStyle="1" w:styleId="BoxListBulletChar">
    <w:name w:val="Box List Bullet Char"/>
    <w:basedOn w:val="BoxChar"/>
    <w:link w:val="BoxListBullet"/>
    <w:rsid w:val="004F3E0D"/>
    <w:rPr>
      <w:rFonts w:ascii="Arial" w:hAnsi="Arial"/>
      <w:sz w:val="24"/>
    </w:rPr>
  </w:style>
  <w:style w:type="character" w:customStyle="1" w:styleId="ListBulletChar">
    <w:name w:val="List Bullet Char"/>
    <w:aliases w:val="List Bullet1 Char,List Bullet Char1 Char,List Bullet Char Char Char,List Bullet Char1 Char Char Char"/>
    <w:basedOn w:val="BodyTextChar"/>
    <w:link w:val="ListBullet"/>
    <w:rsid w:val="004F3E0D"/>
    <w:rPr>
      <w:sz w:val="24"/>
    </w:rPr>
  </w:style>
  <w:style w:type="character" w:customStyle="1" w:styleId="Continuedintitle">
    <w:name w:val="Continued (in title)"/>
    <w:basedOn w:val="DefaultParagraphFont"/>
    <w:rsid w:val="00023A62"/>
    <w:rPr>
      <w:rFonts w:ascii="Arial" w:hAnsi="Arial"/>
      <w:b/>
      <w:sz w:val="18"/>
    </w:rPr>
  </w:style>
  <w:style w:type="character" w:customStyle="1" w:styleId="BoxListBullet2Char">
    <w:name w:val="Box List Bullet 2 Char"/>
    <w:basedOn w:val="BoxChar"/>
    <w:link w:val="BoxListBullet2"/>
    <w:rsid w:val="00A15607"/>
    <w:rPr>
      <w:rFonts w:ascii="Arial" w:hAnsi="Arial"/>
      <w:sz w:val="24"/>
    </w:rPr>
  </w:style>
  <w:style w:type="paragraph" w:styleId="Date">
    <w:name w:val="Date"/>
    <w:basedOn w:val="Normal"/>
    <w:next w:val="Normal"/>
    <w:link w:val="DateChar"/>
    <w:rsid w:val="00301A82"/>
  </w:style>
  <w:style w:type="character" w:customStyle="1" w:styleId="DateChar">
    <w:name w:val="Date Char"/>
    <w:basedOn w:val="DefaultParagraphFont"/>
    <w:link w:val="Date"/>
    <w:rsid w:val="00301A8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A1416"/>
    <w:rPr>
      <w:sz w:val="24"/>
      <w:szCs w:val="24"/>
    </w:rPr>
  </w:style>
  <w:style w:type="paragraph" w:styleId="Heading1">
    <w:name w:val="heading 1"/>
    <w:basedOn w:val="BodyText"/>
    <w:next w:val="BodyText"/>
    <w:rsid w:val="009A141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A141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9A1416"/>
    <w:pPr>
      <w:spacing w:before="560" w:line="320" w:lineRule="exact"/>
      <w:ind w:left="0" w:firstLine="0"/>
      <w:outlineLvl w:val="2"/>
    </w:pPr>
    <w:rPr>
      <w:sz w:val="26"/>
    </w:rPr>
  </w:style>
  <w:style w:type="paragraph" w:styleId="Heading4">
    <w:name w:val="heading 4"/>
    <w:basedOn w:val="Heading3"/>
    <w:next w:val="BodyText"/>
    <w:link w:val="Heading4Char"/>
    <w:qFormat/>
    <w:rsid w:val="009A1416"/>
    <w:pPr>
      <w:spacing w:before="480"/>
      <w:outlineLvl w:val="3"/>
    </w:pPr>
    <w:rPr>
      <w:b w:val="0"/>
      <w:sz w:val="24"/>
    </w:rPr>
  </w:style>
  <w:style w:type="paragraph" w:styleId="Heading5">
    <w:name w:val="heading 5"/>
    <w:basedOn w:val="Heading4"/>
    <w:next w:val="BodyText"/>
    <w:link w:val="Heading5Char"/>
    <w:qFormat/>
    <w:rsid w:val="009A1416"/>
    <w:pPr>
      <w:outlineLvl w:val="4"/>
    </w:pPr>
    <w:rPr>
      <w:i/>
      <w:sz w:val="22"/>
    </w:rPr>
  </w:style>
  <w:style w:type="paragraph" w:styleId="Heading6">
    <w:name w:val="heading 6"/>
    <w:basedOn w:val="BodyText"/>
    <w:next w:val="BodyText"/>
    <w:semiHidden/>
    <w:rsid w:val="009A1416"/>
    <w:pPr>
      <w:spacing w:after="60"/>
      <w:jc w:val="left"/>
      <w:outlineLvl w:val="5"/>
    </w:pPr>
    <w:rPr>
      <w:i/>
      <w:sz w:val="22"/>
    </w:rPr>
  </w:style>
  <w:style w:type="paragraph" w:styleId="Heading7">
    <w:name w:val="heading 7"/>
    <w:basedOn w:val="BodyText"/>
    <w:next w:val="BodyText"/>
    <w:semiHidden/>
    <w:rsid w:val="009A1416"/>
    <w:pPr>
      <w:spacing w:after="60" w:line="240" w:lineRule="auto"/>
      <w:jc w:val="left"/>
      <w:outlineLvl w:val="6"/>
    </w:pPr>
    <w:rPr>
      <w:rFonts w:ascii="Arial" w:hAnsi="Arial"/>
      <w:sz w:val="20"/>
    </w:rPr>
  </w:style>
  <w:style w:type="paragraph" w:styleId="Heading8">
    <w:name w:val="heading 8"/>
    <w:basedOn w:val="BodyText"/>
    <w:next w:val="BodyText"/>
    <w:semiHidden/>
    <w:rsid w:val="009A1416"/>
    <w:pPr>
      <w:spacing w:after="60" w:line="240" w:lineRule="auto"/>
      <w:jc w:val="left"/>
      <w:outlineLvl w:val="7"/>
    </w:pPr>
    <w:rPr>
      <w:rFonts w:ascii="Arial" w:hAnsi="Arial"/>
      <w:i/>
      <w:sz w:val="20"/>
    </w:rPr>
  </w:style>
  <w:style w:type="paragraph" w:styleId="Heading9">
    <w:name w:val="heading 9"/>
    <w:basedOn w:val="BodyText"/>
    <w:next w:val="BodyText"/>
    <w:semiHidden/>
    <w:rsid w:val="009A141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A14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416"/>
  </w:style>
  <w:style w:type="paragraph" w:styleId="BodyText">
    <w:name w:val="Body Text"/>
    <w:link w:val="BodyTextChar"/>
    <w:qFormat/>
    <w:rsid w:val="009A1416"/>
    <w:pPr>
      <w:spacing w:before="240" w:line="300" w:lineRule="atLeast"/>
      <w:jc w:val="both"/>
    </w:pPr>
    <w:rPr>
      <w:sz w:val="24"/>
    </w:rPr>
  </w:style>
  <w:style w:type="paragraph" w:styleId="Footer">
    <w:name w:val="footer"/>
    <w:basedOn w:val="BodyText"/>
    <w:link w:val="FooterChar"/>
    <w:semiHidden/>
    <w:rsid w:val="009A1416"/>
    <w:pPr>
      <w:spacing w:before="80" w:line="200" w:lineRule="exact"/>
      <w:ind w:right="6"/>
      <w:jc w:val="left"/>
    </w:pPr>
    <w:rPr>
      <w:rFonts w:ascii="Arial" w:hAnsi="Arial"/>
      <w:caps/>
      <w:spacing w:val="-4"/>
      <w:sz w:val="16"/>
    </w:rPr>
  </w:style>
  <w:style w:type="paragraph" w:customStyle="1" w:styleId="FooterEnd">
    <w:name w:val="Footer End"/>
    <w:basedOn w:val="Footer"/>
    <w:rsid w:val="009A1416"/>
    <w:pPr>
      <w:spacing w:before="0" w:line="20" w:lineRule="exact"/>
    </w:pPr>
  </w:style>
  <w:style w:type="paragraph" w:styleId="Header">
    <w:name w:val="header"/>
    <w:basedOn w:val="BodyText"/>
    <w:rsid w:val="009A141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A1416"/>
    <w:pPr>
      <w:spacing w:line="20" w:lineRule="exact"/>
    </w:pPr>
    <w:rPr>
      <w:sz w:val="16"/>
    </w:rPr>
  </w:style>
  <w:style w:type="paragraph" w:customStyle="1" w:styleId="HeaderEven">
    <w:name w:val="Header Even"/>
    <w:basedOn w:val="Header"/>
    <w:semiHidden/>
    <w:rsid w:val="009A1416"/>
  </w:style>
  <w:style w:type="paragraph" w:customStyle="1" w:styleId="HeaderOdd">
    <w:name w:val="Header Odd"/>
    <w:basedOn w:val="Header"/>
    <w:semiHidden/>
    <w:rsid w:val="009A1416"/>
  </w:style>
  <w:style w:type="character" w:styleId="PageNumber">
    <w:name w:val="page number"/>
    <w:basedOn w:val="DefaultParagraphFont"/>
    <w:rsid w:val="009A1416"/>
    <w:rPr>
      <w:rFonts w:ascii="Arial" w:hAnsi="Arial"/>
      <w:b/>
      <w:sz w:val="16"/>
    </w:rPr>
  </w:style>
  <w:style w:type="paragraph" w:customStyle="1" w:styleId="Abbreviation">
    <w:name w:val="Abbreviation"/>
    <w:basedOn w:val="BodyText"/>
    <w:rsid w:val="009A1416"/>
    <w:pPr>
      <w:spacing w:before="120"/>
      <w:ind w:left="2381" w:hanging="2381"/>
      <w:jc w:val="left"/>
    </w:pPr>
  </w:style>
  <w:style w:type="paragraph" w:customStyle="1" w:styleId="Box">
    <w:name w:val="Box"/>
    <w:basedOn w:val="BodyText"/>
    <w:link w:val="BoxChar"/>
    <w:qFormat/>
    <w:rsid w:val="009A1416"/>
    <w:pPr>
      <w:keepNext/>
      <w:spacing w:before="120" w:line="260" w:lineRule="atLeast"/>
    </w:pPr>
    <w:rPr>
      <w:rFonts w:ascii="Arial" w:hAnsi="Arial"/>
      <w:sz w:val="20"/>
    </w:rPr>
  </w:style>
  <w:style w:type="paragraph" w:customStyle="1" w:styleId="BoxContinued">
    <w:name w:val="Box Continued"/>
    <w:basedOn w:val="BodyText"/>
    <w:next w:val="BodyText"/>
    <w:semiHidden/>
    <w:rsid w:val="009A1416"/>
    <w:pPr>
      <w:spacing w:before="180" w:line="220" w:lineRule="exact"/>
      <w:jc w:val="right"/>
    </w:pPr>
    <w:rPr>
      <w:rFonts w:ascii="Arial" w:hAnsi="Arial"/>
      <w:sz w:val="18"/>
    </w:rPr>
  </w:style>
  <w:style w:type="paragraph" w:customStyle="1" w:styleId="BoxHeading1">
    <w:name w:val="Box Heading 1"/>
    <w:basedOn w:val="BodyText"/>
    <w:next w:val="Box"/>
    <w:rsid w:val="009A1416"/>
    <w:pPr>
      <w:keepNext/>
      <w:spacing w:before="200" w:line="280" w:lineRule="atLeast"/>
    </w:pPr>
    <w:rPr>
      <w:rFonts w:ascii="Arial" w:hAnsi="Arial"/>
      <w:b/>
      <w:sz w:val="22"/>
    </w:rPr>
  </w:style>
  <w:style w:type="paragraph" w:customStyle="1" w:styleId="BoxHeading2">
    <w:name w:val="Box Heading 2"/>
    <w:basedOn w:val="BoxHeading1"/>
    <w:next w:val="Normal"/>
    <w:rsid w:val="009A1416"/>
    <w:rPr>
      <w:b w:val="0"/>
      <w:i/>
    </w:rPr>
  </w:style>
  <w:style w:type="paragraph" w:customStyle="1" w:styleId="BoxListBullet">
    <w:name w:val="Box List Bullet"/>
    <w:basedOn w:val="BodyText"/>
    <w:link w:val="BoxListBulletChar"/>
    <w:rsid w:val="009A1416"/>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9A1416"/>
    <w:pPr>
      <w:numPr>
        <w:numId w:val="13"/>
      </w:numPr>
      <w:ind w:left="568" w:hanging="284"/>
    </w:pPr>
  </w:style>
  <w:style w:type="paragraph" w:customStyle="1" w:styleId="BoxListNumber">
    <w:name w:val="Box List Number"/>
    <w:basedOn w:val="BodyText"/>
    <w:rsid w:val="009A1416"/>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9A1416"/>
    <w:pPr>
      <w:numPr>
        <w:ilvl w:val="1"/>
      </w:numPr>
      <w:ind w:left="681" w:hanging="397"/>
    </w:pPr>
  </w:style>
  <w:style w:type="paragraph" w:customStyle="1" w:styleId="BoxQuote">
    <w:name w:val="Box Quote"/>
    <w:basedOn w:val="BodyText"/>
    <w:next w:val="Box"/>
    <w:qFormat/>
    <w:rsid w:val="009A1416"/>
    <w:pPr>
      <w:keepNext/>
      <w:spacing w:before="60" w:line="240" w:lineRule="exact"/>
      <w:ind w:left="284"/>
    </w:pPr>
    <w:rPr>
      <w:rFonts w:ascii="Arial" w:hAnsi="Arial"/>
      <w:sz w:val="18"/>
    </w:rPr>
  </w:style>
  <w:style w:type="paragraph" w:customStyle="1" w:styleId="Note">
    <w:name w:val="Note"/>
    <w:basedOn w:val="BodyText"/>
    <w:next w:val="BodyText"/>
    <w:rsid w:val="009A1416"/>
    <w:pPr>
      <w:keepLines/>
      <w:spacing w:before="80" w:line="220" w:lineRule="exact"/>
    </w:pPr>
    <w:rPr>
      <w:rFonts w:ascii="Arial" w:hAnsi="Arial"/>
      <w:sz w:val="18"/>
    </w:rPr>
  </w:style>
  <w:style w:type="paragraph" w:customStyle="1" w:styleId="Source">
    <w:name w:val="Source"/>
    <w:basedOn w:val="Normal"/>
    <w:next w:val="BodyText"/>
    <w:link w:val="SourceChar"/>
    <w:rsid w:val="009A1416"/>
    <w:pPr>
      <w:keepLines/>
      <w:spacing w:before="80" w:line="220" w:lineRule="exact"/>
      <w:jc w:val="both"/>
    </w:pPr>
    <w:rPr>
      <w:rFonts w:ascii="Arial" w:hAnsi="Arial"/>
      <w:sz w:val="18"/>
      <w:szCs w:val="20"/>
    </w:rPr>
  </w:style>
  <w:style w:type="paragraph" w:customStyle="1" w:styleId="BoxSource">
    <w:name w:val="Box Source"/>
    <w:basedOn w:val="Source"/>
    <w:next w:val="BodyText"/>
    <w:rsid w:val="009A1416"/>
    <w:pPr>
      <w:spacing w:before="120"/>
    </w:pPr>
  </w:style>
  <w:style w:type="paragraph" w:customStyle="1" w:styleId="BoxSpaceAbove">
    <w:name w:val="Box Space Above"/>
    <w:basedOn w:val="BodyText"/>
    <w:rsid w:val="009A1416"/>
    <w:pPr>
      <w:keepNext/>
      <w:spacing w:before="360" w:line="80" w:lineRule="exact"/>
      <w:jc w:val="left"/>
    </w:pPr>
  </w:style>
  <w:style w:type="paragraph" w:styleId="Caption">
    <w:name w:val="caption"/>
    <w:basedOn w:val="Normal"/>
    <w:next w:val="BodyText"/>
    <w:rsid w:val="009A141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A1416"/>
    <w:pPr>
      <w:spacing w:before="120" w:after="0"/>
    </w:pPr>
  </w:style>
  <w:style w:type="paragraph" w:customStyle="1" w:styleId="BoxSubtitle">
    <w:name w:val="Box Subtitle"/>
    <w:basedOn w:val="BoxTitle"/>
    <w:next w:val="Normal"/>
    <w:rsid w:val="009A1416"/>
    <w:pPr>
      <w:spacing w:after="80" w:line="200" w:lineRule="exact"/>
      <w:ind w:firstLine="0"/>
    </w:pPr>
    <w:rPr>
      <w:b w:val="0"/>
      <w:sz w:val="20"/>
    </w:rPr>
  </w:style>
  <w:style w:type="paragraph" w:customStyle="1" w:styleId="Chapter">
    <w:name w:val="Chapter"/>
    <w:basedOn w:val="Heading1"/>
    <w:next w:val="BodyText"/>
    <w:semiHidden/>
    <w:rsid w:val="009A1416"/>
    <w:pPr>
      <w:ind w:left="0" w:firstLine="0"/>
      <w:outlineLvl w:val="9"/>
    </w:pPr>
  </w:style>
  <w:style w:type="paragraph" w:customStyle="1" w:styleId="ChapterSummary">
    <w:name w:val="Chapter Summary"/>
    <w:basedOn w:val="BodyText"/>
    <w:rsid w:val="009A1416"/>
    <w:pPr>
      <w:spacing w:line="280" w:lineRule="atLeast"/>
      <w:ind w:left="907"/>
    </w:pPr>
    <w:rPr>
      <w:rFonts w:ascii="Arial" w:hAnsi="Arial"/>
      <w:b/>
      <w:sz w:val="20"/>
    </w:rPr>
  </w:style>
  <w:style w:type="character" w:styleId="CommentReference">
    <w:name w:val="annotation reference"/>
    <w:basedOn w:val="DefaultParagraphFont"/>
    <w:semiHidden/>
    <w:rsid w:val="009A1416"/>
    <w:rPr>
      <w:b/>
      <w:vanish/>
      <w:color w:val="FF00FF"/>
      <w:sz w:val="20"/>
    </w:rPr>
  </w:style>
  <w:style w:type="paragraph" w:styleId="CommentText">
    <w:name w:val="annotation text"/>
    <w:basedOn w:val="Normal"/>
    <w:link w:val="CommentTextChar"/>
    <w:semiHidden/>
    <w:rsid w:val="009A1416"/>
    <w:pPr>
      <w:spacing w:before="120" w:line="240" w:lineRule="atLeast"/>
      <w:ind w:left="567" w:hanging="567"/>
    </w:pPr>
    <w:rPr>
      <w:sz w:val="20"/>
    </w:rPr>
  </w:style>
  <w:style w:type="paragraph" w:customStyle="1" w:styleId="Continued">
    <w:name w:val="Continued"/>
    <w:basedOn w:val="BoxContinued"/>
    <w:next w:val="BodyText"/>
    <w:rsid w:val="009A1416"/>
  </w:style>
  <w:style w:type="character" w:customStyle="1" w:styleId="DocumentInfo">
    <w:name w:val="Document Info"/>
    <w:basedOn w:val="DefaultParagraphFont"/>
    <w:semiHidden/>
    <w:rsid w:val="009A1416"/>
    <w:rPr>
      <w:rFonts w:ascii="Arial" w:hAnsi="Arial"/>
      <w:sz w:val="14"/>
    </w:rPr>
  </w:style>
  <w:style w:type="character" w:customStyle="1" w:styleId="DraftingNote">
    <w:name w:val="Drafting Note"/>
    <w:basedOn w:val="DefaultParagraphFont"/>
    <w:rsid w:val="009A1416"/>
    <w:rPr>
      <w:b/>
      <w:color w:val="FF0000"/>
      <w:sz w:val="24"/>
      <w:u w:val="dotted"/>
    </w:rPr>
  </w:style>
  <w:style w:type="paragraph" w:customStyle="1" w:styleId="Figure">
    <w:name w:val="Figure"/>
    <w:basedOn w:val="BodyText"/>
    <w:rsid w:val="009A1416"/>
    <w:pPr>
      <w:keepNext/>
      <w:spacing w:before="120" w:after="120" w:line="240" w:lineRule="atLeast"/>
      <w:jc w:val="center"/>
    </w:pPr>
  </w:style>
  <w:style w:type="paragraph" w:customStyle="1" w:styleId="FigureTitle">
    <w:name w:val="Figure Title"/>
    <w:basedOn w:val="Caption"/>
    <w:next w:val="Subtitle"/>
    <w:rsid w:val="009A1416"/>
    <w:pPr>
      <w:spacing w:before="120"/>
    </w:pPr>
  </w:style>
  <w:style w:type="paragraph" w:styleId="Subtitle">
    <w:name w:val="Subtitle"/>
    <w:basedOn w:val="Caption"/>
    <w:link w:val="SubtitleChar"/>
    <w:qFormat/>
    <w:rsid w:val="009A1416"/>
    <w:pPr>
      <w:spacing w:before="0" w:line="200" w:lineRule="exact"/>
      <w:ind w:firstLine="0"/>
    </w:pPr>
    <w:rPr>
      <w:b w:val="0"/>
      <w:sz w:val="20"/>
    </w:rPr>
  </w:style>
  <w:style w:type="paragraph" w:customStyle="1" w:styleId="Finding">
    <w:name w:val="Finding"/>
    <w:basedOn w:val="BodyText"/>
    <w:rsid w:val="009A1416"/>
    <w:pPr>
      <w:keepLines/>
      <w:spacing w:before="120" w:line="280" w:lineRule="atLeast"/>
    </w:pPr>
    <w:rPr>
      <w:rFonts w:ascii="Arial" w:hAnsi="Arial"/>
      <w:sz w:val="22"/>
    </w:rPr>
  </w:style>
  <w:style w:type="paragraph" w:customStyle="1" w:styleId="FindingBullet">
    <w:name w:val="Finding Bullet"/>
    <w:basedOn w:val="Finding"/>
    <w:rsid w:val="009A1416"/>
    <w:pPr>
      <w:numPr>
        <w:numId w:val="15"/>
      </w:numPr>
      <w:spacing w:before="80"/>
    </w:pPr>
  </w:style>
  <w:style w:type="paragraph" w:customStyle="1" w:styleId="FindingNoTitle">
    <w:name w:val="Finding NoTitle"/>
    <w:basedOn w:val="Finding"/>
    <w:semiHidden/>
    <w:rsid w:val="009A1416"/>
    <w:pPr>
      <w:spacing w:before="240"/>
    </w:pPr>
  </w:style>
  <w:style w:type="paragraph" w:customStyle="1" w:styleId="RecTitle">
    <w:name w:val="Rec Title"/>
    <w:basedOn w:val="BodyText"/>
    <w:next w:val="Rec"/>
    <w:qFormat/>
    <w:rsid w:val="009A1416"/>
    <w:pPr>
      <w:keepNext/>
      <w:keepLines/>
      <w:spacing w:line="280" w:lineRule="atLeast"/>
    </w:pPr>
    <w:rPr>
      <w:rFonts w:ascii="Arial" w:hAnsi="Arial"/>
      <w:caps/>
      <w:sz w:val="18"/>
    </w:rPr>
  </w:style>
  <w:style w:type="paragraph" w:customStyle="1" w:styleId="FindingTitle">
    <w:name w:val="Finding Title"/>
    <w:basedOn w:val="RecTitle"/>
    <w:next w:val="Finding"/>
    <w:rsid w:val="009A1416"/>
  </w:style>
  <w:style w:type="character" w:styleId="FootnoteReference">
    <w:name w:val="footnote reference"/>
    <w:basedOn w:val="DefaultParagraphFont"/>
    <w:semiHidden/>
    <w:rsid w:val="009A1416"/>
    <w:rPr>
      <w:rFonts w:ascii="Times New Roman" w:hAnsi="Times New Roman"/>
      <w:position w:val="6"/>
      <w:sz w:val="20"/>
      <w:vertAlign w:val="baseline"/>
    </w:rPr>
  </w:style>
  <w:style w:type="paragraph" w:styleId="FootnoteText">
    <w:name w:val="footnote text"/>
    <w:basedOn w:val="BodyText"/>
    <w:link w:val="FootnoteTextChar"/>
    <w:rsid w:val="009A141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A1416"/>
    <w:rPr>
      <w:i/>
    </w:rPr>
  </w:style>
  <w:style w:type="paragraph" w:customStyle="1" w:styleId="Jurisdictioncommentsbodytext">
    <w:name w:val="Jurisdiction comments body text"/>
    <w:rsid w:val="009A1416"/>
    <w:pPr>
      <w:spacing w:after="140"/>
      <w:jc w:val="both"/>
    </w:pPr>
    <w:rPr>
      <w:rFonts w:ascii="Arial" w:hAnsi="Arial"/>
      <w:sz w:val="24"/>
      <w:lang w:eastAsia="en-US"/>
    </w:rPr>
  </w:style>
  <w:style w:type="paragraph" w:customStyle="1" w:styleId="Jurisdictioncommentsheading">
    <w:name w:val="Jurisdiction comments heading"/>
    <w:rsid w:val="009A141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A1416"/>
    <w:pPr>
      <w:numPr>
        <w:numId w:val="2"/>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9A1416"/>
    <w:pPr>
      <w:numPr>
        <w:numId w:val="3"/>
      </w:numPr>
      <w:spacing w:before="120"/>
    </w:pPr>
  </w:style>
  <w:style w:type="paragraph" w:styleId="ListBullet2">
    <w:name w:val="List Bullet 2"/>
    <w:basedOn w:val="BodyText"/>
    <w:rsid w:val="009A1416"/>
    <w:pPr>
      <w:numPr>
        <w:numId w:val="4"/>
      </w:numPr>
      <w:spacing w:before="120"/>
    </w:pPr>
  </w:style>
  <w:style w:type="paragraph" w:styleId="ListBullet3">
    <w:name w:val="List Bullet 3"/>
    <w:basedOn w:val="BodyText"/>
    <w:rsid w:val="009A1416"/>
    <w:pPr>
      <w:numPr>
        <w:numId w:val="5"/>
      </w:numPr>
      <w:spacing w:before="120"/>
      <w:ind w:left="1020" w:hanging="340"/>
    </w:pPr>
  </w:style>
  <w:style w:type="paragraph" w:styleId="ListNumber">
    <w:name w:val="List Number"/>
    <w:basedOn w:val="BodyText"/>
    <w:rsid w:val="009A1416"/>
    <w:pPr>
      <w:numPr>
        <w:numId w:val="9"/>
      </w:numPr>
      <w:spacing w:before="120"/>
    </w:pPr>
  </w:style>
  <w:style w:type="paragraph" w:styleId="ListNumber2">
    <w:name w:val="List Number 2"/>
    <w:basedOn w:val="ListNumber"/>
    <w:rsid w:val="009A1416"/>
    <w:pPr>
      <w:numPr>
        <w:ilvl w:val="1"/>
      </w:numPr>
    </w:pPr>
  </w:style>
  <w:style w:type="paragraph" w:styleId="ListNumber3">
    <w:name w:val="List Number 3"/>
    <w:basedOn w:val="ListNumber2"/>
    <w:rsid w:val="009A1416"/>
    <w:pPr>
      <w:numPr>
        <w:ilvl w:val="2"/>
      </w:numPr>
    </w:pPr>
  </w:style>
  <w:style w:type="character" w:customStyle="1" w:styleId="NoteLabel">
    <w:name w:val="Note Label"/>
    <w:basedOn w:val="DefaultParagraphFont"/>
    <w:rsid w:val="009A1416"/>
    <w:rPr>
      <w:rFonts w:ascii="Arial" w:hAnsi="Arial"/>
      <w:b/>
      <w:position w:val="6"/>
      <w:sz w:val="18"/>
    </w:rPr>
  </w:style>
  <w:style w:type="paragraph" w:customStyle="1" w:styleId="PartDivider">
    <w:name w:val="Part Divider"/>
    <w:basedOn w:val="BodyText"/>
    <w:next w:val="BodyText"/>
    <w:semiHidden/>
    <w:rsid w:val="009A1416"/>
    <w:pPr>
      <w:spacing w:before="0" w:line="40" w:lineRule="exact"/>
      <w:jc w:val="right"/>
    </w:pPr>
    <w:rPr>
      <w:smallCaps/>
      <w:sz w:val="16"/>
    </w:rPr>
  </w:style>
  <w:style w:type="paragraph" w:customStyle="1" w:styleId="PartNumber">
    <w:name w:val="Part Number"/>
    <w:basedOn w:val="BodyText"/>
    <w:next w:val="BodyText"/>
    <w:semiHidden/>
    <w:rsid w:val="009A1416"/>
    <w:pPr>
      <w:spacing w:before="4000" w:line="320" w:lineRule="exact"/>
      <w:ind w:left="6634"/>
      <w:jc w:val="right"/>
    </w:pPr>
    <w:rPr>
      <w:smallCaps/>
      <w:spacing w:val="60"/>
      <w:sz w:val="32"/>
    </w:rPr>
  </w:style>
  <w:style w:type="paragraph" w:customStyle="1" w:styleId="PartTitle">
    <w:name w:val="Part Title"/>
    <w:basedOn w:val="BodyText"/>
    <w:semiHidden/>
    <w:rsid w:val="009A1416"/>
    <w:pPr>
      <w:spacing w:before="160" w:after="1360" w:line="520" w:lineRule="exact"/>
      <w:ind w:right="2381"/>
      <w:jc w:val="right"/>
    </w:pPr>
    <w:rPr>
      <w:smallCaps/>
      <w:sz w:val="52"/>
    </w:rPr>
  </w:style>
  <w:style w:type="paragraph" w:styleId="Quote">
    <w:name w:val="Quote"/>
    <w:basedOn w:val="BodyText"/>
    <w:next w:val="BodyText"/>
    <w:qFormat/>
    <w:rsid w:val="009A1416"/>
    <w:pPr>
      <w:spacing w:before="120" w:line="280" w:lineRule="exact"/>
      <w:ind w:left="340"/>
    </w:pPr>
    <w:rPr>
      <w:sz w:val="22"/>
    </w:rPr>
  </w:style>
  <w:style w:type="paragraph" w:customStyle="1" w:styleId="QuoteBullet">
    <w:name w:val="Quote Bullet"/>
    <w:basedOn w:val="Quote"/>
    <w:rsid w:val="009A1416"/>
    <w:pPr>
      <w:numPr>
        <w:numId w:val="6"/>
      </w:numPr>
    </w:pPr>
  </w:style>
  <w:style w:type="paragraph" w:customStyle="1" w:styleId="Rec">
    <w:name w:val="Rec"/>
    <w:basedOn w:val="BodyText"/>
    <w:qFormat/>
    <w:rsid w:val="009A1416"/>
    <w:pPr>
      <w:keepLines/>
      <w:spacing w:before="120" w:line="280" w:lineRule="atLeast"/>
    </w:pPr>
    <w:rPr>
      <w:rFonts w:ascii="Arial" w:hAnsi="Arial"/>
      <w:sz w:val="22"/>
    </w:rPr>
  </w:style>
  <w:style w:type="paragraph" w:customStyle="1" w:styleId="RecBullet">
    <w:name w:val="Rec Bullet"/>
    <w:basedOn w:val="Rec"/>
    <w:rsid w:val="009A1416"/>
    <w:pPr>
      <w:numPr>
        <w:numId w:val="17"/>
      </w:numPr>
      <w:spacing w:before="80"/>
    </w:pPr>
  </w:style>
  <w:style w:type="paragraph" w:customStyle="1" w:styleId="RecB">
    <w:name w:val="RecB"/>
    <w:basedOn w:val="Normal"/>
    <w:semiHidden/>
    <w:rsid w:val="009A141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A1416"/>
    <w:pPr>
      <w:numPr>
        <w:numId w:val="11"/>
      </w:numPr>
      <w:spacing w:before="80"/>
    </w:pPr>
  </w:style>
  <w:style w:type="paragraph" w:customStyle="1" w:styleId="RecBNoTitle">
    <w:name w:val="RecB NoTitle"/>
    <w:basedOn w:val="RecB"/>
    <w:semiHidden/>
    <w:rsid w:val="009A1416"/>
    <w:pPr>
      <w:spacing w:before="240"/>
    </w:pPr>
  </w:style>
  <w:style w:type="paragraph" w:customStyle="1" w:styleId="Reference">
    <w:name w:val="Reference"/>
    <w:basedOn w:val="BodyText"/>
    <w:rsid w:val="009A1416"/>
    <w:pPr>
      <w:spacing w:before="120"/>
      <w:ind w:left="340" w:hanging="340"/>
    </w:pPr>
  </w:style>
  <w:style w:type="paragraph" w:customStyle="1" w:styleId="SequenceInfo">
    <w:name w:val="Sequence Info"/>
    <w:basedOn w:val="BodyText"/>
    <w:semiHidden/>
    <w:rsid w:val="009A1416"/>
    <w:rPr>
      <w:vanish/>
      <w:sz w:val="16"/>
    </w:rPr>
  </w:style>
  <w:style w:type="paragraph" w:customStyle="1" w:styleId="SideNote">
    <w:name w:val="Side Note"/>
    <w:basedOn w:val="BodyText"/>
    <w:next w:val="BodyText"/>
    <w:semiHidden/>
    <w:rsid w:val="009A141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A1416"/>
    <w:pPr>
      <w:framePr w:wrap="around"/>
      <w:numPr>
        <w:numId w:val="7"/>
      </w:numPr>
      <w:tabs>
        <w:tab w:val="left" w:pos="227"/>
      </w:tabs>
    </w:pPr>
  </w:style>
  <w:style w:type="paragraph" w:customStyle="1" w:styleId="SideNoteGraphic">
    <w:name w:val="Side Note Graphic"/>
    <w:basedOn w:val="SideNote"/>
    <w:next w:val="BodyText"/>
    <w:semiHidden/>
    <w:rsid w:val="009A1416"/>
    <w:pPr>
      <w:framePr w:wrap="around"/>
    </w:pPr>
  </w:style>
  <w:style w:type="paragraph" w:customStyle="1" w:styleId="TableBodyText">
    <w:name w:val="Table Body Text"/>
    <w:basedOn w:val="BodyText"/>
    <w:link w:val="TableBodyTextChar"/>
    <w:rsid w:val="009A141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A1416"/>
    <w:pPr>
      <w:numPr>
        <w:numId w:val="8"/>
      </w:numPr>
      <w:jc w:val="left"/>
    </w:pPr>
  </w:style>
  <w:style w:type="paragraph" w:customStyle="1" w:styleId="TableColumnHeading">
    <w:name w:val="Table Column Heading"/>
    <w:basedOn w:val="TableBodyText"/>
    <w:rsid w:val="009A1416"/>
    <w:pPr>
      <w:spacing w:before="80" w:after="80"/>
    </w:pPr>
    <w:rPr>
      <w:i/>
    </w:rPr>
  </w:style>
  <w:style w:type="paragraph" w:styleId="TOC2">
    <w:name w:val="toc 2"/>
    <w:basedOn w:val="TOC1"/>
    <w:rsid w:val="009A1416"/>
    <w:pPr>
      <w:ind w:left="1134" w:hanging="624"/>
    </w:pPr>
    <w:rPr>
      <w:b w:val="0"/>
    </w:rPr>
  </w:style>
  <w:style w:type="paragraph" w:styleId="TOC3">
    <w:name w:val="toc 3"/>
    <w:basedOn w:val="TOC2"/>
    <w:rsid w:val="009A1416"/>
    <w:pPr>
      <w:spacing w:before="60"/>
      <w:ind w:left="1190" w:hanging="680"/>
    </w:pPr>
  </w:style>
  <w:style w:type="paragraph" w:styleId="TableofFigures">
    <w:name w:val="table of figures"/>
    <w:basedOn w:val="TOC3"/>
    <w:next w:val="BodyText"/>
    <w:semiHidden/>
    <w:rsid w:val="009A1416"/>
    <w:pPr>
      <w:ind w:left="737" w:hanging="737"/>
    </w:pPr>
  </w:style>
  <w:style w:type="paragraph" w:customStyle="1" w:styleId="TableTitle">
    <w:name w:val="Table Title"/>
    <w:basedOn w:val="Caption"/>
    <w:next w:val="Subtitle"/>
    <w:qFormat/>
    <w:rsid w:val="009A1416"/>
    <w:pPr>
      <w:spacing w:before="120"/>
    </w:pPr>
  </w:style>
  <w:style w:type="paragraph" w:customStyle="1" w:styleId="TableUnitsRow">
    <w:name w:val="Table Units Row"/>
    <w:basedOn w:val="TableBodyText"/>
    <w:rsid w:val="009A1416"/>
    <w:pPr>
      <w:spacing w:before="40"/>
    </w:pPr>
  </w:style>
  <w:style w:type="paragraph" w:styleId="TOC1">
    <w:name w:val="toc 1"/>
    <w:basedOn w:val="Normal"/>
    <w:next w:val="TOC2"/>
    <w:link w:val="TOC1Char"/>
    <w:rsid w:val="009A141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A1416"/>
    <w:pPr>
      <w:ind w:left="1191" w:firstLine="0"/>
    </w:pPr>
  </w:style>
  <w:style w:type="paragraph" w:customStyle="1" w:styleId="RecBBullet2">
    <w:name w:val="RecB Bullet 2"/>
    <w:basedOn w:val="ListBullet2"/>
    <w:semiHidden/>
    <w:rsid w:val="009A1416"/>
    <w:pPr>
      <w:pBdr>
        <w:left w:val="single" w:sz="24" w:space="29" w:color="C0C0C0"/>
      </w:pBdr>
    </w:pPr>
    <w:rPr>
      <w:b/>
      <w:i/>
    </w:rPr>
  </w:style>
  <w:style w:type="paragraph" w:styleId="BalloonText">
    <w:name w:val="Balloon Text"/>
    <w:basedOn w:val="Normal"/>
    <w:link w:val="BalloonTextChar"/>
    <w:rsid w:val="009A1416"/>
    <w:rPr>
      <w:rFonts w:ascii="Tahoma" w:hAnsi="Tahoma" w:cs="Tahoma"/>
      <w:sz w:val="16"/>
      <w:szCs w:val="16"/>
    </w:rPr>
  </w:style>
  <w:style w:type="character" w:customStyle="1" w:styleId="BalloonTextChar">
    <w:name w:val="Balloon Text Char"/>
    <w:basedOn w:val="DefaultParagraphFont"/>
    <w:link w:val="BalloonText"/>
    <w:rsid w:val="009A1416"/>
    <w:rPr>
      <w:rFonts w:ascii="Tahoma" w:hAnsi="Tahoma" w:cs="Tahoma"/>
      <w:sz w:val="16"/>
      <w:szCs w:val="16"/>
    </w:rPr>
  </w:style>
  <w:style w:type="character" w:customStyle="1" w:styleId="SubtitleChar">
    <w:name w:val="Subtitle Char"/>
    <w:basedOn w:val="DefaultParagraphFont"/>
    <w:link w:val="Subtitle"/>
    <w:rsid w:val="009A1416"/>
    <w:rPr>
      <w:rFonts w:ascii="Arial" w:hAnsi="Arial"/>
      <w:szCs w:val="24"/>
    </w:rPr>
  </w:style>
  <w:style w:type="paragraph" w:customStyle="1" w:styleId="BoxListBullet3">
    <w:name w:val="Box List Bullet 3"/>
    <w:basedOn w:val="ListBullet3"/>
    <w:rsid w:val="009A1416"/>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A1416"/>
    <w:rPr>
      <w:i/>
      <w:iCs/>
    </w:rPr>
  </w:style>
  <w:style w:type="paragraph" w:customStyle="1" w:styleId="BoxQuoteBullet">
    <w:name w:val="Box Quote Bullet"/>
    <w:basedOn w:val="BoxQuote"/>
    <w:next w:val="Box"/>
    <w:rsid w:val="009A1416"/>
    <w:pPr>
      <w:numPr>
        <w:numId w:val="12"/>
      </w:numPr>
      <w:ind w:left="568" w:hanging="284"/>
    </w:pPr>
  </w:style>
  <w:style w:type="paragraph" w:customStyle="1" w:styleId="InformationRequestBullet">
    <w:name w:val="Information Request Bullet"/>
    <w:basedOn w:val="ListBullet"/>
    <w:next w:val="BodyText"/>
    <w:rsid w:val="009A141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A1416"/>
    <w:pPr>
      <w:keepNext w:val="0"/>
      <w:spacing w:before="60" w:after="60" w:line="80" w:lineRule="exact"/>
    </w:pPr>
    <w:rPr>
      <w:sz w:val="14"/>
    </w:rPr>
  </w:style>
  <w:style w:type="paragraph" w:customStyle="1" w:styleId="KeyPointsListBullet">
    <w:name w:val="Key Points List Bullet"/>
    <w:basedOn w:val="Normal"/>
    <w:qFormat/>
    <w:rsid w:val="009A141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A1416"/>
    <w:pPr>
      <w:numPr>
        <w:numId w:val="19"/>
      </w:numPr>
      <w:ind w:left="568" w:hanging="284"/>
    </w:pPr>
  </w:style>
  <w:style w:type="paragraph" w:customStyle="1" w:styleId="InformationRequestTitle">
    <w:name w:val="Information Request Title"/>
    <w:basedOn w:val="FindingTitle"/>
    <w:next w:val="InformationRequest"/>
    <w:rsid w:val="009A1416"/>
    <w:rPr>
      <w:i/>
    </w:rPr>
  </w:style>
  <w:style w:type="paragraph" w:customStyle="1" w:styleId="Space">
    <w:name w:val="Space"/>
    <w:basedOn w:val="Normal"/>
    <w:rsid w:val="009A1416"/>
    <w:pPr>
      <w:keepNext/>
      <w:spacing w:line="120" w:lineRule="exact"/>
      <w:jc w:val="both"/>
    </w:pPr>
    <w:rPr>
      <w:rFonts w:ascii="Arial" w:hAnsi="Arial"/>
      <w:sz w:val="20"/>
      <w:szCs w:val="20"/>
    </w:rPr>
  </w:style>
  <w:style w:type="paragraph" w:customStyle="1" w:styleId="Heading1nochapterno">
    <w:name w:val="Heading 1 (no chapter no.)"/>
    <w:basedOn w:val="Heading1"/>
    <w:rsid w:val="009A1416"/>
    <w:pPr>
      <w:spacing w:before="0"/>
      <w:ind w:left="0" w:firstLine="0"/>
    </w:pPr>
  </w:style>
  <w:style w:type="paragraph" w:customStyle="1" w:styleId="Heading2nosectionno">
    <w:name w:val="Heading 2 (no section no.)"/>
    <w:basedOn w:val="Heading2"/>
    <w:rsid w:val="009A1416"/>
    <w:pPr>
      <w:ind w:left="0" w:firstLine="0"/>
    </w:pPr>
  </w:style>
  <w:style w:type="character" w:customStyle="1" w:styleId="Heading5Char">
    <w:name w:val="Heading 5 Char"/>
    <w:basedOn w:val="DefaultParagraphFont"/>
    <w:link w:val="Heading5"/>
    <w:rsid w:val="009A1416"/>
    <w:rPr>
      <w:rFonts w:ascii="Arial" w:hAnsi="Arial"/>
      <w:i/>
      <w:sz w:val="22"/>
    </w:rPr>
  </w:style>
  <w:style w:type="paragraph" w:customStyle="1" w:styleId="Figurespace">
    <w:name w:val="Figure space"/>
    <w:basedOn w:val="Box"/>
    <w:rsid w:val="009A1416"/>
    <w:pPr>
      <w:spacing w:before="0" w:line="120" w:lineRule="exact"/>
    </w:pPr>
  </w:style>
  <w:style w:type="paragraph" w:customStyle="1" w:styleId="FooterDraftReport">
    <w:name w:val="FooterDraftReport"/>
    <w:basedOn w:val="Footer"/>
    <w:link w:val="FooterDraftReportChar"/>
    <w:rsid w:val="009A141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9A1416"/>
    <w:rPr>
      <w:sz w:val="24"/>
    </w:rPr>
  </w:style>
  <w:style w:type="character" w:customStyle="1" w:styleId="FooterChar">
    <w:name w:val="Footer Char"/>
    <w:basedOn w:val="BodyTextChar"/>
    <w:link w:val="Footer"/>
    <w:semiHidden/>
    <w:rsid w:val="009A1416"/>
    <w:rPr>
      <w:rFonts w:ascii="Arial" w:hAnsi="Arial"/>
      <w:caps/>
      <w:spacing w:val="-4"/>
      <w:sz w:val="16"/>
    </w:rPr>
  </w:style>
  <w:style w:type="character" w:customStyle="1" w:styleId="FooterDraftReportChar">
    <w:name w:val="FooterDraftReport Char"/>
    <w:basedOn w:val="FooterChar"/>
    <w:link w:val="FooterDraftReport"/>
    <w:rsid w:val="009A141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9A1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9A1416"/>
    <w:rPr>
      <w:rFonts w:ascii="Arial" w:hAnsi="Arial"/>
      <w:b/>
      <w:sz w:val="26"/>
      <w:szCs w:val="26"/>
      <w:lang w:eastAsia="en-US"/>
    </w:rPr>
  </w:style>
  <w:style w:type="character" w:customStyle="1" w:styleId="TableBodyTextChar">
    <w:name w:val="Table Body Text Char"/>
    <w:basedOn w:val="DefaultParagraphFont"/>
    <w:link w:val="TableBodyText"/>
    <w:rsid w:val="00E20499"/>
    <w:rPr>
      <w:rFonts w:ascii="Arial" w:hAnsi="Arial"/>
      <w:sz w:val="18"/>
    </w:rPr>
  </w:style>
  <w:style w:type="character" w:customStyle="1" w:styleId="SourceChar">
    <w:name w:val="Source Char"/>
    <w:basedOn w:val="DefaultParagraphFont"/>
    <w:link w:val="Source"/>
    <w:rsid w:val="003E64E3"/>
    <w:rPr>
      <w:rFonts w:ascii="Arial" w:hAnsi="Arial"/>
      <w:sz w:val="18"/>
    </w:rPr>
  </w:style>
  <w:style w:type="character" w:styleId="Hyperlink">
    <w:name w:val="Hyperlink"/>
    <w:basedOn w:val="DefaultParagraphFont"/>
    <w:rsid w:val="000C4DA8"/>
    <w:rPr>
      <w:color w:val="78A22F" w:themeColor="hyperlink"/>
      <w:u w:val="single"/>
    </w:rPr>
  </w:style>
  <w:style w:type="paragraph" w:styleId="Revision">
    <w:name w:val="Revision"/>
    <w:hidden/>
    <w:uiPriority w:val="99"/>
    <w:semiHidden/>
    <w:rsid w:val="002B337A"/>
    <w:rPr>
      <w:sz w:val="24"/>
      <w:szCs w:val="24"/>
    </w:rPr>
  </w:style>
  <w:style w:type="paragraph" w:styleId="EndnoteText">
    <w:name w:val="endnote text"/>
    <w:basedOn w:val="Normal"/>
    <w:link w:val="EndnoteTextChar"/>
    <w:rsid w:val="00C33124"/>
    <w:rPr>
      <w:sz w:val="20"/>
      <w:szCs w:val="20"/>
    </w:rPr>
  </w:style>
  <w:style w:type="character" w:customStyle="1" w:styleId="EndnoteTextChar">
    <w:name w:val="Endnote Text Char"/>
    <w:basedOn w:val="DefaultParagraphFont"/>
    <w:link w:val="EndnoteText"/>
    <w:rsid w:val="00C33124"/>
  </w:style>
  <w:style w:type="character" w:styleId="EndnoteReference">
    <w:name w:val="endnote reference"/>
    <w:basedOn w:val="DefaultParagraphFont"/>
    <w:rsid w:val="00C33124"/>
    <w:rPr>
      <w:vertAlign w:val="superscript"/>
    </w:rPr>
  </w:style>
  <w:style w:type="paragraph" w:styleId="CommentSubject">
    <w:name w:val="annotation subject"/>
    <w:basedOn w:val="CommentText"/>
    <w:next w:val="CommentText"/>
    <w:link w:val="CommentSubjectChar"/>
    <w:rsid w:val="0038105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81058"/>
    <w:rPr>
      <w:szCs w:val="24"/>
    </w:rPr>
  </w:style>
  <w:style w:type="character" w:customStyle="1" w:styleId="CommentSubjectChar">
    <w:name w:val="Comment Subject Char"/>
    <w:basedOn w:val="CommentTextChar"/>
    <w:link w:val="CommentSubject"/>
    <w:rsid w:val="00381058"/>
    <w:rPr>
      <w:b/>
      <w:bCs/>
      <w:szCs w:val="24"/>
    </w:rPr>
  </w:style>
  <w:style w:type="character" w:customStyle="1" w:styleId="Heading4Char">
    <w:name w:val="Heading 4 Char"/>
    <w:basedOn w:val="DefaultParagraphFont"/>
    <w:link w:val="Heading4"/>
    <w:rsid w:val="00745804"/>
    <w:rPr>
      <w:rFonts w:ascii="Arial" w:hAnsi="Arial"/>
      <w:sz w:val="24"/>
    </w:rPr>
  </w:style>
  <w:style w:type="character" w:customStyle="1" w:styleId="FootnoteTextChar">
    <w:name w:val="Footnote Text Char"/>
    <w:basedOn w:val="DefaultParagraphFont"/>
    <w:link w:val="FootnoteText"/>
    <w:rsid w:val="004F3E0D"/>
  </w:style>
  <w:style w:type="character" w:customStyle="1" w:styleId="BoxChar">
    <w:name w:val="Box Char"/>
    <w:basedOn w:val="BodyTextChar"/>
    <w:link w:val="Box"/>
    <w:rsid w:val="004F3E0D"/>
    <w:rPr>
      <w:rFonts w:ascii="Arial" w:hAnsi="Arial"/>
      <w:sz w:val="24"/>
    </w:rPr>
  </w:style>
  <w:style w:type="character" w:customStyle="1" w:styleId="BoxListBulletChar">
    <w:name w:val="Box List Bullet Char"/>
    <w:basedOn w:val="BoxChar"/>
    <w:link w:val="BoxListBullet"/>
    <w:rsid w:val="004F3E0D"/>
    <w:rPr>
      <w:rFonts w:ascii="Arial" w:hAnsi="Arial"/>
      <w:sz w:val="24"/>
    </w:rPr>
  </w:style>
  <w:style w:type="character" w:customStyle="1" w:styleId="ListBulletChar">
    <w:name w:val="List Bullet Char"/>
    <w:aliases w:val="List Bullet1 Char,List Bullet Char1 Char,List Bullet Char Char Char,List Bullet Char1 Char Char Char"/>
    <w:basedOn w:val="BodyTextChar"/>
    <w:link w:val="ListBullet"/>
    <w:rsid w:val="004F3E0D"/>
    <w:rPr>
      <w:sz w:val="24"/>
    </w:rPr>
  </w:style>
  <w:style w:type="character" w:customStyle="1" w:styleId="Continuedintitle">
    <w:name w:val="Continued (in title)"/>
    <w:basedOn w:val="DefaultParagraphFont"/>
    <w:rsid w:val="00023A62"/>
    <w:rPr>
      <w:rFonts w:ascii="Arial" w:hAnsi="Arial"/>
      <w:b/>
      <w:sz w:val="18"/>
    </w:rPr>
  </w:style>
  <w:style w:type="character" w:customStyle="1" w:styleId="BoxListBullet2Char">
    <w:name w:val="Box List Bullet 2 Char"/>
    <w:basedOn w:val="BoxChar"/>
    <w:link w:val="BoxListBullet2"/>
    <w:rsid w:val="00A15607"/>
    <w:rPr>
      <w:rFonts w:ascii="Arial" w:hAnsi="Arial"/>
      <w:sz w:val="24"/>
    </w:rPr>
  </w:style>
  <w:style w:type="paragraph" w:styleId="Date">
    <w:name w:val="Date"/>
    <w:basedOn w:val="Normal"/>
    <w:next w:val="Normal"/>
    <w:link w:val="DateChar"/>
    <w:rsid w:val="00301A82"/>
  </w:style>
  <w:style w:type="character" w:customStyle="1" w:styleId="DateChar">
    <w:name w:val="Date Char"/>
    <w:basedOn w:val="DefaultParagraphFont"/>
    <w:link w:val="Date"/>
    <w:rsid w:val="00301A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19528">
      <w:bodyDiv w:val="1"/>
      <w:marLeft w:val="0"/>
      <w:marRight w:val="0"/>
      <w:marTop w:val="0"/>
      <w:marBottom w:val="0"/>
      <w:divBdr>
        <w:top w:val="none" w:sz="0" w:space="0" w:color="auto"/>
        <w:left w:val="none" w:sz="0" w:space="0" w:color="auto"/>
        <w:bottom w:val="none" w:sz="0" w:space="0" w:color="auto"/>
        <w:right w:val="none" w:sz="0" w:space="0" w:color="auto"/>
      </w:divBdr>
    </w:div>
    <w:div w:id="297225680">
      <w:bodyDiv w:val="1"/>
      <w:marLeft w:val="0"/>
      <w:marRight w:val="0"/>
      <w:marTop w:val="0"/>
      <w:marBottom w:val="0"/>
      <w:divBdr>
        <w:top w:val="none" w:sz="0" w:space="0" w:color="auto"/>
        <w:left w:val="none" w:sz="0" w:space="0" w:color="auto"/>
        <w:bottom w:val="none" w:sz="0" w:space="0" w:color="auto"/>
        <w:right w:val="none" w:sz="0" w:space="0" w:color="auto"/>
      </w:divBdr>
    </w:div>
    <w:div w:id="397365842">
      <w:bodyDiv w:val="1"/>
      <w:marLeft w:val="0"/>
      <w:marRight w:val="0"/>
      <w:marTop w:val="0"/>
      <w:marBottom w:val="0"/>
      <w:divBdr>
        <w:top w:val="none" w:sz="0" w:space="0" w:color="auto"/>
        <w:left w:val="none" w:sz="0" w:space="0" w:color="auto"/>
        <w:bottom w:val="none" w:sz="0" w:space="0" w:color="auto"/>
        <w:right w:val="none" w:sz="0" w:space="0" w:color="auto"/>
      </w:divBdr>
    </w:div>
    <w:div w:id="401560125">
      <w:bodyDiv w:val="1"/>
      <w:marLeft w:val="0"/>
      <w:marRight w:val="0"/>
      <w:marTop w:val="0"/>
      <w:marBottom w:val="0"/>
      <w:divBdr>
        <w:top w:val="none" w:sz="0" w:space="0" w:color="auto"/>
        <w:left w:val="none" w:sz="0" w:space="0" w:color="auto"/>
        <w:bottom w:val="none" w:sz="0" w:space="0" w:color="auto"/>
        <w:right w:val="none" w:sz="0" w:space="0" w:color="auto"/>
      </w:divBdr>
    </w:div>
    <w:div w:id="455879344">
      <w:bodyDiv w:val="1"/>
      <w:marLeft w:val="0"/>
      <w:marRight w:val="0"/>
      <w:marTop w:val="0"/>
      <w:marBottom w:val="0"/>
      <w:divBdr>
        <w:top w:val="none" w:sz="0" w:space="0" w:color="auto"/>
        <w:left w:val="none" w:sz="0" w:space="0" w:color="auto"/>
        <w:bottom w:val="none" w:sz="0" w:space="0" w:color="auto"/>
        <w:right w:val="none" w:sz="0" w:space="0" w:color="auto"/>
      </w:divBdr>
    </w:div>
    <w:div w:id="617419536">
      <w:bodyDiv w:val="1"/>
      <w:marLeft w:val="0"/>
      <w:marRight w:val="0"/>
      <w:marTop w:val="0"/>
      <w:marBottom w:val="0"/>
      <w:divBdr>
        <w:top w:val="none" w:sz="0" w:space="0" w:color="auto"/>
        <w:left w:val="none" w:sz="0" w:space="0" w:color="auto"/>
        <w:bottom w:val="none" w:sz="0" w:space="0" w:color="auto"/>
        <w:right w:val="none" w:sz="0" w:space="0" w:color="auto"/>
      </w:divBdr>
    </w:div>
    <w:div w:id="621425086">
      <w:bodyDiv w:val="1"/>
      <w:marLeft w:val="0"/>
      <w:marRight w:val="0"/>
      <w:marTop w:val="0"/>
      <w:marBottom w:val="0"/>
      <w:divBdr>
        <w:top w:val="none" w:sz="0" w:space="0" w:color="auto"/>
        <w:left w:val="none" w:sz="0" w:space="0" w:color="auto"/>
        <w:bottom w:val="none" w:sz="0" w:space="0" w:color="auto"/>
        <w:right w:val="none" w:sz="0" w:space="0" w:color="auto"/>
      </w:divBdr>
    </w:div>
    <w:div w:id="793792776">
      <w:bodyDiv w:val="1"/>
      <w:marLeft w:val="0"/>
      <w:marRight w:val="0"/>
      <w:marTop w:val="0"/>
      <w:marBottom w:val="0"/>
      <w:divBdr>
        <w:top w:val="none" w:sz="0" w:space="0" w:color="auto"/>
        <w:left w:val="none" w:sz="0" w:space="0" w:color="auto"/>
        <w:bottom w:val="none" w:sz="0" w:space="0" w:color="auto"/>
        <w:right w:val="none" w:sz="0" w:space="0" w:color="auto"/>
      </w:divBdr>
    </w:div>
    <w:div w:id="797525090">
      <w:bodyDiv w:val="1"/>
      <w:marLeft w:val="0"/>
      <w:marRight w:val="0"/>
      <w:marTop w:val="0"/>
      <w:marBottom w:val="0"/>
      <w:divBdr>
        <w:top w:val="none" w:sz="0" w:space="0" w:color="auto"/>
        <w:left w:val="none" w:sz="0" w:space="0" w:color="auto"/>
        <w:bottom w:val="none" w:sz="0" w:space="0" w:color="auto"/>
        <w:right w:val="none" w:sz="0" w:space="0" w:color="auto"/>
      </w:divBdr>
    </w:div>
    <w:div w:id="828057483">
      <w:bodyDiv w:val="1"/>
      <w:marLeft w:val="0"/>
      <w:marRight w:val="0"/>
      <w:marTop w:val="0"/>
      <w:marBottom w:val="0"/>
      <w:divBdr>
        <w:top w:val="none" w:sz="0" w:space="0" w:color="auto"/>
        <w:left w:val="none" w:sz="0" w:space="0" w:color="auto"/>
        <w:bottom w:val="none" w:sz="0" w:space="0" w:color="auto"/>
        <w:right w:val="none" w:sz="0" w:space="0" w:color="auto"/>
      </w:divBdr>
    </w:div>
    <w:div w:id="897781909">
      <w:bodyDiv w:val="1"/>
      <w:marLeft w:val="0"/>
      <w:marRight w:val="0"/>
      <w:marTop w:val="0"/>
      <w:marBottom w:val="0"/>
      <w:divBdr>
        <w:top w:val="none" w:sz="0" w:space="0" w:color="auto"/>
        <w:left w:val="none" w:sz="0" w:space="0" w:color="auto"/>
        <w:bottom w:val="none" w:sz="0" w:space="0" w:color="auto"/>
        <w:right w:val="none" w:sz="0" w:space="0" w:color="auto"/>
      </w:divBdr>
    </w:div>
    <w:div w:id="928123658">
      <w:bodyDiv w:val="1"/>
      <w:marLeft w:val="0"/>
      <w:marRight w:val="0"/>
      <w:marTop w:val="0"/>
      <w:marBottom w:val="0"/>
      <w:divBdr>
        <w:top w:val="none" w:sz="0" w:space="0" w:color="auto"/>
        <w:left w:val="none" w:sz="0" w:space="0" w:color="auto"/>
        <w:bottom w:val="none" w:sz="0" w:space="0" w:color="auto"/>
        <w:right w:val="none" w:sz="0" w:space="0" w:color="auto"/>
      </w:divBdr>
    </w:div>
    <w:div w:id="1213007407">
      <w:bodyDiv w:val="1"/>
      <w:marLeft w:val="0"/>
      <w:marRight w:val="0"/>
      <w:marTop w:val="0"/>
      <w:marBottom w:val="0"/>
      <w:divBdr>
        <w:top w:val="none" w:sz="0" w:space="0" w:color="auto"/>
        <w:left w:val="none" w:sz="0" w:space="0" w:color="auto"/>
        <w:bottom w:val="none" w:sz="0" w:space="0" w:color="auto"/>
        <w:right w:val="none" w:sz="0" w:space="0" w:color="auto"/>
      </w:divBdr>
    </w:div>
    <w:div w:id="1235628762">
      <w:bodyDiv w:val="1"/>
      <w:marLeft w:val="0"/>
      <w:marRight w:val="0"/>
      <w:marTop w:val="0"/>
      <w:marBottom w:val="0"/>
      <w:divBdr>
        <w:top w:val="none" w:sz="0" w:space="0" w:color="auto"/>
        <w:left w:val="none" w:sz="0" w:space="0" w:color="auto"/>
        <w:bottom w:val="none" w:sz="0" w:space="0" w:color="auto"/>
        <w:right w:val="none" w:sz="0" w:space="0" w:color="auto"/>
      </w:divBdr>
    </w:div>
    <w:div w:id="1240095060">
      <w:bodyDiv w:val="1"/>
      <w:marLeft w:val="0"/>
      <w:marRight w:val="0"/>
      <w:marTop w:val="0"/>
      <w:marBottom w:val="0"/>
      <w:divBdr>
        <w:top w:val="none" w:sz="0" w:space="0" w:color="auto"/>
        <w:left w:val="none" w:sz="0" w:space="0" w:color="auto"/>
        <w:bottom w:val="none" w:sz="0" w:space="0" w:color="auto"/>
        <w:right w:val="none" w:sz="0" w:space="0" w:color="auto"/>
      </w:divBdr>
    </w:div>
    <w:div w:id="1284076409">
      <w:bodyDiv w:val="1"/>
      <w:marLeft w:val="0"/>
      <w:marRight w:val="0"/>
      <w:marTop w:val="0"/>
      <w:marBottom w:val="0"/>
      <w:divBdr>
        <w:top w:val="none" w:sz="0" w:space="0" w:color="auto"/>
        <w:left w:val="none" w:sz="0" w:space="0" w:color="auto"/>
        <w:bottom w:val="none" w:sz="0" w:space="0" w:color="auto"/>
        <w:right w:val="none" w:sz="0" w:space="0" w:color="auto"/>
      </w:divBdr>
    </w:div>
    <w:div w:id="1433822109">
      <w:bodyDiv w:val="1"/>
      <w:marLeft w:val="0"/>
      <w:marRight w:val="0"/>
      <w:marTop w:val="0"/>
      <w:marBottom w:val="0"/>
      <w:divBdr>
        <w:top w:val="none" w:sz="0" w:space="0" w:color="auto"/>
        <w:left w:val="none" w:sz="0" w:space="0" w:color="auto"/>
        <w:bottom w:val="none" w:sz="0" w:space="0" w:color="auto"/>
        <w:right w:val="none" w:sz="0" w:space="0" w:color="auto"/>
      </w:divBdr>
    </w:div>
    <w:div w:id="1528904114">
      <w:bodyDiv w:val="1"/>
      <w:marLeft w:val="0"/>
      <w:marRight w:val="0"/>
      <w:marTop w:val="0"/>
      <w:marBottom w:val="0"/>
      <w:divBdr>
        <w:top w:val="none" w:sz="0" w:space="0" w:color="auto"/>
        <w:left w:val="none" w:sz="0" w:space="0" w:color="auto"/>
        <w:bottom w:val="none" w:sz="0" w:space="0" w:color="auto"/>
        <w:right w:val="none" w:sz="0" w:space="0" w:color="auto"/>
      </w:divBdr>
    </w:div>
    <w:div w:id="1623531459">
      <w:bodyDiv w:val="1"/>
      <w:marLeft w:val="0"/>
      <w:marRight w:val="0"/>
      <w:marTop w:val="0"/>
      <w:marBottom w:val="0"/>
      <w:divBdr>
        <w:top w:val="none" w:sz="0" w:space="0" w:color="auto"/>
        <w:left w:val="none" w:sz="0" w:space="0" w:color="auto"/>
        <w:bottom w:val="none" w:sz="0" w:space="0" w:color="auto"/>
        <w:right w:val="none" w:sz="0" w:space="0" w:color="auto"/>
      </w:divBdr>
    </w:div>
    <w:div w:id="1661617914">
      <w:bodyDiv w:val="1"/>
      <w:marLeft w:val="0"/>
      <w:marRight w:val="0"/>
      <w:marTop w:val="0"/>
      <w:marBottom w:val="0"/>
      <w:divBdr>
        <w:top w:val="none" w:sz="0" w:space="0" w:color="auto"/>
        <w:left w:val="none" w:sz="0" w:space="0" w:color="auto"/>
        <w:bottom w:val="none" w:sz="0" w:space="0" w:color="auto"/>
        <w:right w:val="none" w:sz="0" w:space="0" w:color="auto"/>
      </w:divBdr>
    </w:div>
    <w:div w:id="1689483560">
      <w:bodyDiv w:val="1"/>
      <w:marLeft w:val="0"/>
      <w:marRight w:val="0"/>
      <w:marTop w:val="0"/>
      <w:marBottom w:val="0"/>
      <w:divBdr>
        <w:top w:val="none" w:sz="0" w:space="0" w:color="auto"/>
        <w:left w:val="none" w:sz="0" w:space="0" w:color="auto"/>
        <w:bottom w:val="none" w:sz="0" w:space="0" w:color="auto"/>
        <w:right w:val="none" w:sz="0" w:space="0" w:color="auto"/>
      </w:divBdr>
    </w:div>
    <w:div w:id="1736928805">
      <w:bodyDiv w:val="1"/>
      <w:marLeft w:val="0"/>
      <w:marRight w:val="0"/>
      <w:marTop w:val="0"/>
      <w:marBottom w:val="0"/>
      <w:divBdr>
        <w:top w:val="none" w:sz="0" w:space="0" w:color="auto"/>
        <w:left w:val="none" w:sz="0" w:space="0" w:color="auto"/>
        <w:bottom w:val="none" w:sz="0" w:space="0" w:color="auto"/>
        <w:right w:val="none" w:sz="0" w:space="0" w:color="auto"/>
      </w:divBdr>
    </w:div>
    <w:div w:id="1783841790">
      <w:bodyDiv w:val="1"/>
      <w:marLeft w:val="0"/>
      <w:marRight w:val="0"/>
      <w:marTop w:val="0"/>
      <w:marBottom w:val="0"/>
      <w:divBdr>
        <w:top w:val="none" w:sz="0" w:space="0" w:color="auto"/>
        <w:left w:val="none" w:sz="0" w:space="0" w:color="auto"/>
        <w:bottom w:val="none" w:sz="0" w:space="0" w:color="auto"/>
        <w:right w:val="none" w:sz="0" w:space="0" w:color="auto"/>
      </w:divBdr>
    </w:div>
    <w:div w:id="186477829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84445541">
      <w:bodyDiv w:val="1"/>
      <w:marLeft w:val="0"/>
      <w:marRight w:val="0"/>
      <w:marTop w:val="0"/>
      <w:marBottom w:val="0"/>
      <w:divBdr>
        <w:top w:val="none" w:sz="0" w:space="0" w:color="auto"/>
        <w:left w:val="none" w:sz="0" w:space="0" w:color="auto"/>
        <w:bottom w:val="none" w:sz="0" w:space="0" w:color="auto"/>
        <w:right w:val="none" w:sz="0" w:space="0" w:color="auto"/>
      </w:divBdr>
    </w:div>
    <w:div w:id="2100786543">
      <w:bodyDiv w:val="1"/>
      <w:marLeft w:val="0"/>
      <w:marRight w:val="0"/>
      <w:marTop w:val="0"/>
      <w:marBottom w:val="0"/>
      <w:divBdr>
        <w:top w:val="none" w:sz="0" w:space="0" w:color="auto"/>
        <w:left w:val="none" w:sz="0" w:space="0" w:color="auto"/>
        <w:bottom w:val="none" w:sz="0" w:space="0" w:color="auto"/>
        <w:right w:val="none" w:sz="0" w:space="0" w:color="auto"/>
      </w:divBdr>
    </w:div>
    <w:div w:id="2102991148">
      <w:bodyDiv w:val="1"/>
      <w:marLeft w:val="0"/>
      <w:marRight w:val="0"/>
      <w:marTop w:val="0"/>
      <w:marBottom w:val="0"/>
      <w:divBdr>
        <w:top w:val="none" w:sz="0" w:space="0" w:color="auto"/>
        <w:left w:val="none" w:sz="0" w:space="0" w:color="auto"/>
        <w:bottom w:val="none" w:sz="0" w:space="0" w:color="auto"/>
        <w:right w:val="none" w:sz="0" w:space="0" w:color="auto"/>
      </w:divBdr>
    </w:div>
    <w:div w:id="214310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F84A9-1C7F-4701-A7FF-8C31EFE51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136</TotalTime>
  <Pages>30</Pages>
  <Words>8589</Words>
  <Characters>47959</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Chapter 14 - Aged care services - Report on Government Services 2017</vt:lpstr>
    </vt:vector>
  </TitlesOfParts>
  <Company>Productivity Commission</Company>
  <LinksUpToDate>false</LinksUpToDate>
  <CharactersWithSpaces>56436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 Aged care services - Report on Government Services 2017</dc:title>
  <dc:subject>Steering Committee for the Review of Government Service Provision</dc:subject>
  <dc:creator>Frech, Tanya</dc:creator>
  <cp:lastModifiedBy>Apeness, Kathryn</cp:lastModifiedBy>
  <cp:revision>14</cp:revision>
  <cp:lastPrinted>2017-01-03T04:59:00Z</cp:lastPrinted>
  <dcterms:created xsi:type="dcterms:W3CDTF">2016-12-22T23:42:00Z</dcterms:created>
  <dcterms:modified xsi:type="dcterms:W3CDTF">2017-01-09T01:16:00Z</dcterms:modified>
</cp:coreProperties>
</file>