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27595" w14:textId="77777777" w:rsidR="000707E5" w:rsidRDefault="00A40722" w:rsidP="00A40722">
      <w:pPr>
        <w:pStyle w:val="Chapter"/>
        <w:ind w:left="907" w:hanging="907"/>
      </w:pPr>
      <w:bookmarkStart w:id="0" w:name="ChapterNumber"/>
      <w:bookmarkStart w:id="1" w:name="_Toc396143119"/>
      <w:bookmarkStart w:id="2" w:name="_Toc396143168"/>
      <w:bookmarkStart w:id="3" w:name="_Toc428965779"/>
      <w:bookmarkStart w:id="4" w:name="_Toc429075898"/>
      <w:bookmarkStart w:id="5" w:name="_Toc459211815"/>
      <w:bookmarkStart w:id="6" w:name="_Toc459884917"/>
      <w:r>
        <w:t>19</w:t>
      </w:r>
      <w:bookmarkEnd w:id="0"/>
      <w:r>
        <w:tab/>
      </w:r>
      <w:bookmarkStart w:id="7" w:name="ChapterTitle"/>
      <w:r>
        <w:t>Homelessness service</w:t>
      </w:r>
      <w:bookmarkEnd w:id="7"/>
      <w:r w:rsidR="000707E5">
        <w:t>s</w:t>
      </w:r>
      <w:bookmarkEnd w:id="1"/>
      <w:bookmarkEnd w:id="2"/>
      <w:bookmarkEnd w:id="3"/>
      <w:bookmarkEnd w:id="4"/>
      <w:bookmarkEnd w:id="5"/>
      <w:bookmarkEnd w:id="6"/>
    </w:p>
    <w:sdt>
      <w:sdtPr>
        <w:rPr>
          <w:rFonts w:ascii="Times New Roman" w:hAnsi="Times New Roman"/>
          <w:b w:val="0"/>
          <w:kern w:val="28"/>
          <w:sz w:val="52"/>
          <w:szCs w:val="20"/>
          <w:lang w:eastAsia="en-AU"/>
        </w:rPr>
        <w:id w:val="-1699086440"/>
        <w:docPartObj>
          <w:docPartGallery w:val="Table of Contents"/>
          <w:docPartUnique/>
        </w:docPartObj>
      </w:sdtPr>
      <w:sdtEndPr>
        <w:rPr>
          <w:kern w:val="0"/>
          <w:sz w:val="24"/>
        </w:rPr>
      </w:sdtEndPr>
      <w:sdtContent>
        <w:p w14:paraId="4795A7A0" w14:textId="009EC0E5" w:rsidR="00B359A4" w:rsidRPr="00957F79" w:rsidRDefault="00B359A4">
          <w:pPr>
            <w:pStyle w:val="TOC1"/>
            <w:rPr>
              <w:rFonts w:asciiTheme="minorHAnsi" w:eastAsiaTheme="minorEastAsia" w:hAnsiTheme="minorHAnsi" w:cstheme="minorBidi"/>
              <w:b w:val="0"/>
              <w:noProof/>
              <w:sz w:val="24"/>
              <w:szCs w:val="24"/>
              <w:lang w:eastAsia="en-AU"/>
            </w:rPr>
          </w:pPr>
          <w:r w:rsidRPr="00957F79">
            <w:rPr>
              <w:b w:val="0"/>
              <w:noProof/>
              <w:sz w:val="24"/>
              <w:szCs w:val="24"/>
            </w:rPr>
            <w:t>CONTENTS</w:t>
          </w:r>
        </w:p>
        <w:p w14:paraId="534C7E70" w14:textId="42D1DA32" w:rsidR="00B359A4" w:rsidRDefault="00B359A4">
          <w:pPr>
            <w:pStyle w:val="TOC2"/>
            <w:tabs>
              <w:tab w:val="left" w:pos="132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Profile of homelessness services</w:t>
          </w:r>
          <w:r>
            <w:rPr>
              <w:noProof/>
            </w:rPr>
            <w:tab/>
          </w:r>
          <w:r w:rsidR="0054206F">
            <w:rPr>
              <w:noProof/>
            </w:rPr>
            <w:t>19.</w:t>
          </w:r>
          <w:r w:rsidR="00087EB6">
            <w:rPr>
              <w:noProof/>
            </w:rPr>
            <w:t>1</w:t>
          </w:r>
        </w:p>
        <w:p w14:paraId="389B7C4F" w14:textId="56FF80DE" w:rsidR="00B359A4" w:rsidRDefault="00B359A4">
          <w:pPr>
            <w:pStyle w:val="TOC2"/>
            <w:tabs>
              <w:tab w:val="left" w:pos="132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54206F">
            <w:rPr>
              <w:noProof/>
            </w:rPr>
            <w:t>19.</w:t>
          </w:r>
          <w:r w:rsidR="00087EB6">
            <w:rPr>
              <w:noProof/>
            </w:rPr>
            <w:t>5</w:t>
          </w:r>
        </w:p>
        <w:p w14:paraId="3FFCB293" w14:textId="66EABD3D" w:rsidR="00B359A4" w:rsidRDefault="00B359A4">
          <w:pPr>
            <w:pStyle w:val="TOC2"/>
            <w:tabs>
              <w:tab w:val="left" w:pos="132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54206F">
            <w:rPr>
              <w:noProof/>
            </w:rPr>
            <w:t>19.</w:t>
          </w:r>
          <w:r w:rsidR="00087EB6">
            <w:rPr>
              <w:noProof/>
            </w:rPr>
            <w:t>6</w:t>
          </w:r>
        </w:p>
        <w:p w14:paraId="5C5B7D01" w14:textId="7C670CD7" w:rsidR="00B359A4" w:rsidRDefault="00B359A4">
          <w:pPr>
            <w:pStyle w:val="TOC2"/>
            <w:tabs>
              <w:tab w:val="left" w:pos="1320"/>
            </w:tabs>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Pr>
              <w:noProof/>
            </w:rPr>
            <w:t>Definitions of key terms</w:t>
          </w:r>
          <w:r>
            <w:rPr>
              <w:noProof/>
            </w:rPr>
            <w:tab/>
          </w:r>
          <w:r w:rsidR="0054206F">
            <w:rPr>
              <w:noProof/>
            </w:rPr>
            <w:t>19.</w:t>
          </w:r>
          <w:r w:rsidR="00087EB6">
            <w:rPr>
              <w:noProof/>
            </w:rPr>
            <w:t>29</w:t>
          </w:r>
        </w:p>
        <w:p w14:paraId="3CD773C5" w14:textId="7A2D69D7" w:rsidR="00B359A4" w:rsidRDefault="00B359A4">
          <w:pPr>
            <w:pStyle w:val="TOC2"/>
            <w:tabs>
              <w:tab w:val="left" w:pos="1320"/>
            </w:tabs>
            <w:rPr>
              <w:rFonts w:asciiTheme="minorHAnsi" w:eastAsiaTheme="minorEastAsia" w:hAnsiTheme="minorHAnsi" w:cstheme="minorBidi"/>
              <w:noProof/>
              <w:sz w:val="22"/>
              <w:szCs w:val="22"/>
              <w:lang w:eastAsia="en-AU"/>
            </w:rPr>
          </w:pPr>
          <w:r w:rsidRPr="00AB16D3">
            <w:rPr>
              <w:noProof/>
              <w:color w:val="000000" w:themeColor="text1"/>
            </w:rPr>
            <w:t>19.5</w:t>
          </w:r>
          <w:r>
            <w:rPr>
              <w:rFonts w:asciiTheme="minorHAnsi" w:eastAsiaTheme="minorEastAsia" w:hAnsiTheme="minorHAnsi" w:cstheme="minorBidi"/>
              <w:noProof/>
              <w:sz w:val="22"/>
              <w:szCs w:val="22"/>
              <w:lang w:eastAsia="en-AU"/>
            </w:rPr>
            <w:tab/>
          </w:r>
          <w:r w:rsidRPr="00AB16D3">
            <w:rPr>
              <w:noProof/>
              <w:color w:val="000000" w:themeColor="text1"/>
            </w:rPr>
            <w:t>References</w:t>
          </w:r>
          <w:r>
            <w:rPr>
              <w:noProof/>
            </w:rPr>
            <w:tab/>
          </w:r>
          <w:r w:rsidR="0054206F">
            <w:rPr>
              <w:noProof/>
            </w:rPr>
            <w:t>19.</w:t>
          </w:r>
          <w:r w:rsidR="00087EB6">
            <w:rPr>
              <w:noProof/>
            </w:rPr>
            <w:t>33</w:t>
          </w:r>
        </w:p>
        <w:p w14:paraId="30810F54" w14:textId="07AC8609" w:rsidR="000707E5" w:rsidRPr="006602B5" w:rsidRDefault="00DE2EDF" w:rsidP="000707E5">
          <w:pPr>
            <w:pStyle w:val="BodyText"/>
          </w:pPr>
        </w:p>
      </w:sdtContent>
    </w:sdt>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07E5" w14:paraId="47771635" w14:textId="77777777" w:rsidTr="00094389">
        <w:tc>
          <w:tcPr>
            <w:tcW w:w="8771" w:type="dxa"/>
            <w:tcBorders>
              <w:top w:val="single" w:sz="6" w:space="0" w:color="78A22F"/>
              <w:left w:val="nil"/>
              <w:bottom w:val="nil"/>
              <w:right w:val="nil"/>
            </w:tcBorders>
            <w:shd w:val="clear" w:color="auto" w:fill="F2F2F2" w:themeFill="background1" w:themeFillShade="F2"/>
          </w:tcPr>
          <w:p w14:paraId="6235DD49" w14:textId="77777777" w:rsidR="000707E5" w:rsidRPr="00BD0DF5" w:rsidRDefault="000707E5" w:rsidP="00094389">
            <w:pPr>
              <w:pStyle w:val="BoxTitle"/>
            </w:pPr>
            <w:r w:rsidRPr="00BD0DF5">
              <w:t>Attachment tables</w:t>
            </w:r>
          </w:p>
        </w:tc>
      </w:tr>
      <w:tr w:rsidR="000707E5" w14:paraId="77B563F3" w14:textId="77777777" w:rsidTr="00094389">
        <w:trPr>
          <w:cantSplit/>
        </w:trPr>
        <w:tc>
          <w:tcPr>
            <w:tcW w:w="8771" w:type="dxa"/>
            <w:tcBorders>
              <w:top w:val="nil"/>
              <w:left w:val="nil"/>
              <w:bottom w:val="nil"/>
              <w:right w:val="nil"/>
            </w:tcBorders>
            <w:shd w:val="clear" w:color="auto" w:fill="F2F2F2" w:themeFill="background1" w:themeFillShade="F2"/>
          </w:tcPr>
          <w:p w14:paraId="3E9BBD2E" w14:textId="71DF3194" w:rsidR="000707E5" w:rsidRDefault="000707E5" w:rsidP="00DC436A">
            <w:pPr>
              <w:pStyle w:val="Box"/>
            </w:pPr>
            <w:r w:rsidRPr="00120A29">
              <w:t>Attachment tables are identified in references throughout this chapter by a ‘</w:t>
            </w:r>
            <w:proofErr w:type="spellStart"/>
            <w:r w:rsidRPr="00120A29">
              <w:t>1</w:t>
            </w:r>
            <w:r w:rsidR="00F76EBE">
              <w:t>9</w:t>
            </w:r>
            <w:r w:rsidRPr="00120A29">
              <w:t>A</w:t>
            </w:r>
            <w:proofErr w:type="spellEnd"/>
            <w:r w:rsidRPr="00120A29">
              <w:t xml:space="preserve">’ prefix </w:t>
            </w:r>
            <w:r w:rsidR="007E0990">
              <w:br/>
            </w:r>
            <w:r w:rsidRPr="00120A29">
              <w:t>(for example, table</w:t>
            </w:r>
            <w:r w:rsidR="007E335A">
              <w:t> </w:t>
            </w:r>
            <w:proofErr w:type="spellStart"/>
            <w:r w:rsidRPr="00120A29">
              <w:t>1</w:t>
            </w:r>
            <w:r w:rsidR="00F76EBE">
              <w:t>9</w:t>
            </w:r>
            <w:r w:rsidR="00DC436A">
              <w:t>A.1</w:t>
            </w:r>
            <w:proofErr w:type="spellEnd"/>
            <w:r w:rsidR="00DC436A">
              <w:t>) and</w:t>
            </w:r>
            <w:r w:rsidRPr="00120A29">
              <w:t xml:space="preserve"> are available from the </w:t>
            </w:r>
            <w:r>
              <w:t xml:space="preserve">website at </w:t>
            </w:r>
            <w:proofErr w:type="spellStart"/>
            <w:r>
              <w:t>www.pc.gov.au</w:t>
            </w:r>
            <w:proofErr w:type="spellEnd"/>
            <w:r>
              <w:t>/</w:t>
            </w:r>
            <w:proofErr w:type="spellStart"/>
            <w:r>
              <w:t>rogs</w:t>
            </w:r>
            <w:proofErr w:type="spellEnd"/>
            <w:r>
              <w:t>/201</w:t>
            </w:r>
            <w:r w:rsidR="00F76EBE">
              <w:t>7</w:t>
            </w:r>
            <w:r w:rsidRPr="00120A29">
              <w:t>.</w:t>
            </w:r>
          </w:p>
        </w:tc>
      </w:tr>
      <w:tr w:rsidR="000707E5" w14:paraId="16B518FB" w14:textId="77777777" w:rsidTr="00094389">
        <w:trPr>
          <w:cantSplit/>
        </w:trPr>
        <w:tc>
          <w:tcPr>
            <w:tcW w:w="8771" w:type="dxa"/>
            <w:tcBorders>
              <w:top w:val="nil"/>
              <w:left w:val="nil"/>
              <w:bottom w:val="single" w:sz="6" w:space="0" w:color="78A22F"/>
              <w:right w:val="nil"/>
            </w:tcBorders>
            <w:shd w:val="clear" w:color="auto" w:fill="F2F2F2" w:themeFill="background1" w:themeFillShade="F2"/>
          </w:tcPr>
          <w:p w14:paraId="04C8641B" w14:textId="77777777" w:rsidR="000707E5" w:rsidRDefault="000707E5" w:rsidP="00094389">
            <w:pPr>
              <w:pStyle w:val="Box"/>
              <w:spacing w:before="0" w:line="120" w:lineRule="exact"/>
            </w:pPr>
          </w:p>
        </w:tc>
      </w:tr>
      <w:tr w:rsidR="000707E5" w:rsidRPr="000863A5" w14:paraId="669C05E1" w14:textId="77777777" w:rsidTr="00094389">
        <w:tc>
          <w:tcPr>
            <w:tcW w:w="8771" w:type="dxa"/>
            <w:tcBorders>
              <w:top w:val="single" w:sz="6" w:space="0" w:color="78A22F"/>
              <w:left w:val="nil"/>
              <w:bottom w:val="nil"/>
              <w:right w:val="nil"/>
            </w:tcBorders>
          </w:tcPr>
          <w:p w14:paraId="3C8C1F5D" w14:textId="77777777" w:rsidR="000707E5" w:rsidRPr="00626D32" w:rsidRDefault="000707E5" w:rsidP="00094389">
            <w:pPr>
              <w:pStyle w:val="BoxSpaceBelow"/>
            </w:pPr>
          </w:p>
        </w:tc>
      </w:tr>
    </w:tbl>
    <w:p w14:paraId="4526C45B" w14:textId="572A71A8" w:rsidR="000707E5" w:rsidRDefault="00CE176A" w:rsidP="000707E5">
      <w:pPr>
        <w:pStyle w:val="BodyText"/>
      </w:pPr>
      <w:r w:rsidRPr="00CE176A">
        <w:t xml:space="preserve">This chapter reports on the performance of </w:t>
      </w:r>
      <w:r w:rsidR="00E6663C" w:rsidRPr="00CE176A">
        <w:t xml:space="preserve">specialist homelessness services funded </w:t>
      </w:r>
      <w:r w:rsidR="00E6663C">
        <w:t xml:space="preserve">by </w:t>
      </w:r>
      <w:r w:rsidRPr="00CE176A">
        <w:t>government under the Council of Australian Governments (</w:t>
      </w:r>
      <w:proofErr w:type="spellStart"/>
      <w:r w:rsidRPr="00CE176A">
        <w:t>COAG</w:t>
      </w:r>
      <w:proofErr w:type="spellEnd"/>
      <w:r w:rsidRPr="00CE176A">
        <w:t xml:space="preserve">) </w:t>
      </w:r>
      <w:r w:rsidRPr="00CE176A">
        <w:rPr>
          <w:i/>
        </w:rPr>
        <w:t>National Affordable Housing Agreement</w:t>
      </w:r>
      <w:r w:rsidRPr="00CE176A">
        <w:t xml:space="preserve"> (NAHA) and the </w:t>
      </w:r>
      <w:r w:rsidRPr="00CE176A">
        <w:rPr>
          <w:i/>
        </w:rPr>
        <w:t>National Partnership Agreement on Homelessness</w:t>
      </w:r>
      <w:r w:rsidRPr="00CE176A">
        <w:t xml:space="preserve"> (</w:t>
      </w:r>
      <w:proofErr w:type="spellStart"/>
      <w:r w:rsidRPr="00CE176A">
        <w:t>NPAH</w:t>
      </w:r>
      <w:proofErr w:type="spellEnd"/>
      <w:r w:rsidRPr="00CE176A">
        <w:t>).</w:t>
      </w:r>
    </w:p>
    <w:p w14:paraId="7B47B29E" w14:textId="77777777" w:rsidR="000707E5" w:rsidRDefault="000707E5" w:rsidP="000707E5">
      <w:pPr>
        <w:pStyle w:val="BodyText"/>
      </w:pPr>
      <w:r>
        <w:t>All abbreviations used in the Report are available in a complete list in volume</w:t>
      </w:r>
      <w:r w:rsidR="000C1770">
        <w:t> </w:t>
      </w:r>
      <w:r>
        <w:t>A:</w:t>
      </w:r>
      <w:r w:rsidR="000C1770">
        <w:t> </w:t>
      </w:r>
      <w:r>
        <w:t>Approach to performance reporting.</w:t>
      </w:r>
    </w:p>
    <w:p w14:paraId="089C5641" w14:textId="6CC80EF8" w:rsidR="000707E5" w:rsidRDefault="00A40722" w:rsidP="000707E5">
      <w:pPr>
        <w:pStyle w:val="Heading2"/>
      </w:pPr>
      <w:bookmarkStart w:id="8" w:name="_Toc459884918"/>
      <w:r>
        <w:t>19.</w:t>
      </w:r>
      <w:r w:rsidR="00087EB6">
        <w:rPr>
          <w:noProof/>
        </w:rPr>
        <w:t>1</w:t>
      </w:r>
      <w:r w:rsidR="000707E5">
        <w:tab/>
      </w:r>
      <w:r w:rsidR="000707E5" w:rsidRPr="004F17C9">
        <w:t>Profile of homelessness services</w:t>
      </w:r>
      <w:bookmarkEnd w:id="8"/>
    </w:p>
    <w:p w14:paraId="70A5C304" w14:textId="77777777" w:rsidR="000707E5" w:rsidRPr="002C6CF3" w:rsidRDefault="000707E5" w:rsidP="000707E5">
      <w:pPr>
        <w:pStyle w:val="Heading3"/>
        <w:rPr>
          <w:color w:val="000000" w:themeColor="text1"/>
          <w:sz w:val="22"/>
        </w:rPr>
      </w:pPr>
      <w:r>
        <w:rPr>
          <w:color w:val="000000" w:themeColor="text1"/>
        </w:rPr>
        <w:t>Service overview</w:t>
      </w:r>
    </w:p>
    <w:p w14:paraId="22811648" w14:textId="1257252A" w:rsidR="000B6557" w:rsidRPr="001B7108" w:rsidRDefault="000707E5" w:rsidP="009F59E7">
      <w:pPr>
        <w:pStyle w:val="BodyText"/>
      </w:pPr>
      <w:r w:rsidRPr="0077766F">
        <w:t>Government and non</w:t>
      </w:r>
      <w:r>
        <w:noBreakHyphen/>
      </w:r>
      <w:r w:rsidRPr="0077766F">
        <w:t xml:space="preserve">government </w:t>
      </w:r>
      <w:r w:rsidR="0022733F">
        <w:t xml:space="preserve">specialist homelessness </w:t>
      </w:r>
      <w:r>
        <w:t xml:space="preserve">service providers </w:t>
      </w:r>
      <w:r w:rsidRPr="0077766F">
        <w:t xml:space="preserve">deliver a </w:t>
      </w:r>
      <w:r w:rsidR="00C61CA3">
        <w:t>range</w:t>
      </w:r>
      <w:r w:rsidR="00C61CA3" w:rsidRPr="0077766F">
        <w:t xml:space="preserve"> </w:t>
      </w:r>
      <w:r w:rsidRPr="0077766F">
        <w:t>of services to clients</w:t>
      </w:r>
      <w:r w:rsidR="0093378A">
        <w:t xml:space="preserve"> —</w:t>
      </w:r>
      <w:r w:rsidRPr="0077766F">
        <w:t xml:space="preserve"> including supported accommodation, counselling, advocacy, links to housing, health, education and employment services, outreach support, brokerage and meals services, and financial and employment assistance.</w:t>
      </w:r>
      <w:bookmarkStart w:id="9" w:name="_GoBack"/>
      <w:bookmarkEnd w:id="9"/>
    </w:p>
    <w:p w14:paraId="4B73F4FC" w14:textId="77777777" w:rsidR="00CD1677" w:rsidRDefault="00CD1677" w:rsidP="00570CF4">
      <w:pPr>
        <w:pStyle w:val="Heading4"/>
      </w:pPr>
      <w:r>
        <w:lastRenderedPageBreak/>
        <w:t>Access</w:t>
      </w:r>
      <w:r w:rsidR="00E26830">
        <w:t>ing</w:t>
      </w:r>
      <w:r>
        <w:t xml:space="preserve"> homelessness services</w:t>
      </w:r>
      <w:r w:rsidR="00E26830">
        <w:t xml:space="preserve"> in Australia</w:t>
      </w:r>
    </w:p>
    <w:p w14:paraId="3A8A49A1" w14:textId="6B2F0F00" w:rsidR="00BB49E6" w:rsidRPr="001B7108" w:rsidRDefault="002F7C82" w:rsidP="009F59E7">
      <w:pPr>
        <w:pStyle w:val="BodyText"/>
      </w:pPr>
      <w:r>
        <w:t>Systems for the assessment, intake, referral and ongoing case management of specialist homelessnes</w:t>
      </w:r>
      <w:r w:rsidR="00FD5149">
        <w:t>s services clients vary across states and t</w:t>
      </w:r>
      <w:r>
        <w:t xml:space="preserve">erritories, </w:t>
      </w:r>
      <w:r w:rsidR="00A96E1E">
        <w:t>rang</w:t>
      </w:r>
      <w:r>
        <w:t>ing</w:t>
      </w:r>
      <w:r w:rsidR="00A96E1E">
        <w:t xml:space="preserve"> </w:t>
      </w:r>
      <w:r>
        <w:t>from agency</w:t>
      </w:r>
      <w:r>
        <w:noBreakHyphen/>
      </w:r>
      <w:r w:rsidR="00A96E1E">
        <w:t xml:space="preserve">based to centralised management </w:t>
      </w:r>
      <w:r>
        <w:t>models</w:t>
      </w:r>
      <w:r w:rsidR="0028182C">
        <w:t>. This variation may affect data for specific performance indicators</w:t>
      </w:r>
      <w:r w:rsidR="003603DC">
        <w:t>.</w:t>
      </w:r>
      <w:r w:rsidR="0028182C">
        <w:t xml:space="preserve"> </w:t>
      </w:r>
      <w:r w:rsidR="00B14BA8" w:rsidRPr="00216B6C">
        <w:t xml:space="preserve">Three broad summary categories are identified here — </w:t>
      </w:r>
      <w:r w:rsidR="00ED6ED9">
        <w:t>table</w:t>
      </w:r>
      <w:r w:rsidR="007E335A">
        <w:t> </w:t>
      </w:r>
      <w:proofErr w:type="spellStart"/>
      <w:r w:rsidR="00ED6ED9">
        <w:t>19A.35</w:t>
      </w:r>
      <w:proofErr w:type="spellEnd"/>
      <w:r w:rsidR="00B14BA8" w:rsidRPr="006620FF">
        <w:t xml:space="preserve"> summarises the intake and referral systems used in each jurisdiction and identifies </w:t>
      </w:r>
      <w:r w:rsidR="00774BD3" w:rsidRPr="006620FF">
        <w:t>the</w:t>
      </w:r>
      <w:r w:rsidR="00B14BA8" w:rsidRPr="006620FF">
        <w:t xml:space="preserve"> category </w:t>
      </w:r>
      <w:r w:rsidR="00774BD3" w:rsidRPr="006620FF">
        <w:t xml:space="preserve">with which </w:t>
      </w:r>
      <w:r w:rsidR="00B14BA8" w:rsidRPr="006620FF">
        <w:t xml:space="preserve">they </w:t>
      </w:r>
      <w:r w:rsidR="00774BD3" w:rsidRPr="006620FF">
        <w:t xml:space="preserve">most closely </w:t>
      </w:r>
      <w:r w:rsidR="00B14BA8" w:rsidRPr="006620FF">
        <w:t>align.</w:t>
      </w:r>
    </w:p>
    <w:p w14:paraId="66377669" w14:textId="2DF71D2F" w:rsidR="00BB49E6" w:rsidRDefault="00BB49E6" w:rsidP="008E5FB6">
      <w:pPr>
        <w:pStyle w:val="ListBullet"/>
      </w:pPr>
      <w:r w:rsidRPr="00E26830">
        <w:rPr>
          <w:i/>
        </w:rPr>
        <w:t>Community sector funding and support</w:t>
      </w:r>
      <w:r>
        <w:t xml:space="preserve"> —</w:t>
      </w:r>
      <w:r w:rsidR="007E335A">
        <w:t xml:space="preserve"> </w:t>
      </w:r>
      <w:r w:rsidR="00EF4499">
        <w:t>A</w:t>
      </w:r>
      <w:r w:rsidR="00B94928">
        <w:t>ssessment of c</w:t>
      </w:r>
      <w:r>
        <w:t xml:space="preserve">lient </w:t>
      </w:r>
      <w:r w:rsidR="00CC32CD">
        <w:t xml:space="preserve">needs and </w:t>
      </w:r>
      <w:r>
        <w:t xml:space="preserve">intake </w:t>
      </w:r>
      <w:r w:rsidR="00B94928">
        <w:t xml:space="preserve">into services </w:t>
      </w:r>
      <w:r w:rsidR="00960672">
        <w:t>is</w:t>
      </w:r>
      <w:r w:rsidR="0045409B">
        <w:t xml:space="preserve"> </w:t>
      </w:r>
      <w:r w:rsidR="00CC32CD">
        <w:t xml:space="preserve">managed by </w:t>
      </w:r>
      <w:r w:rsidR="00B94928">
        <w:t xml:space="preserve">individual specialist homelessness </w:t>
      </w:r>
      <w:r w:rsidR="009F20A2">
        <w:t>service provider</w:t>
      </w:r>
      <w:r w:rsidR="00B94928">
        <w:t>s</w:t>
      </w:r>
      <w:r w:rsidR="00EF4499">
        <w:t xml:space="preserve"> in line </w:t>
      </w:r>
      <w:r>
        <w:t>with State or Territory p</w:t>
      </w:r>
      <w:r w:rsidR="00B94928">
        <w:t>olicies</w:t>
      </w:r>
      <w:r>
        <w:t xml:space="preserve">. Referral to other </w:t>
      </w:r>
      <w:r w:rsidR="009F20A2">
        <w:t xml:space="preserve">service providers </w:t>
      </w:r>
      <w:r w:rsidR="00CC32CD">
        <w:t xml:space="preserve">is made </w:t>
      </w:r>
      <w:r>
        <w:t>if clients</w:t>
      </w:r>
      <w:r w:rsidR="009F20A2">
        <w:t>’</w:t>
      </w:r>
      <w:r>
        <w:t xml:space="preserve"> needs are not able to be met by </w:t>
      </w:r>
      <w:r w:rsidR="00A32899">
        <w:t xml:space="preserve">the </w:t>
      </w:r>
      <w:r>
        <w:t xml:space="preserve">initial </w:t>
      </w:r>
      <w:r w:rsidR="009F20A2">
        <w:t>provider</w:t>
      </w:r>
      <w:r>
        <w:t>.</w:t>
      </w:r>
      <w:r w:rsidR="0045409B">
        <w:t xml:space="preserve"> </w:t>
      </w:r>
      <w:r w:rsidR="009F20A2">
        <w:t>These</w:t>
      </w:r>
      <w:r w:rsidR="004B2DF0">
        <w:t xml:space="preserve"> systems may be supported by a coordinating </w:t>
      </w:r>
      <w:r w:rsidR="00FE265F">
        <w:t>service</w:t>
      </w:r>
      <w:r w:rsidR="00CD72A4">
        <w:t xml:space="preserve"> that</w:t>
      </w:r>
      <w:r w:rsidR="0028182C">
        <w:t xml:space="preserve"> </w:t>
      </w:r>
      <w:r>
        <w:t>link</w:t>
      </w:r>
      <w:r w:rsidR="00CD72A4">
        <w:t>s</w:t>
      </w:r>
      <w:r>
        <w:t xml:space="preserve"> clients to local </w:t>
      </w:r>
      <w:r w:rsidR="00B94928">
        <w:t xml:space="preserve">specialist homelessness </w:t>
      </w:r>
      <w:r w:rsidR="009F20A2">
        <w:t>service providers</w:t>
      </w:r>
      <w:r w:rsidR="00CD72A4">
        <w:t>. Coordinating services</w:t>
      </w:r>
      <w:r w:rsidR="009F20A2">
        <w:t xml:space="preserve"> may</w:t>
      </w:r>
      <w:r w:rsidR="004B2DF0">
        <w:t xml:space="preserve"> </w:t>
      </w:r>
      <w:r w:rsidR="00CD72A4">
        <w:t xml:space="preserve">also </w:t>
      </w:r>
      <w:r w:rsidR="00D62D6D">
        <w:t>make an initial assessment of clients</w:t>
      </w:r>
      <w:r w:rsidR="00CD72A4">
        <w:t>’</w:t>
      </w:r>
      <w:r w:rsidR="00D62D6D">
        <w:t xml:space="preserve"> needs</w:t>
      </w:r>
      <w:r w:rsidR="004B2DF0">
        <w:t xml:space="preserve"> (</w:t>
      </w:r>
      <w:r w:rsidR="00D62D6D">
        <w:t xml:space="preserve">but </w:t>
      </w:r>
      <w:r w:rsidR="00A32899">
        <w:t>do</w:t>
      </w:r>
      <w:r w:rsidR="00D62D6D">
        <w:t xml:space="preserve"> not provide </w:t>
      </w:r>
      <w:r w:rsidR="00A32899">
        <w:t>homelessness service</w:t>
      </w:r>
      <w:r w:rsidR="009F20A2">
        <w:t>s</w:t>
      </w:r>
      <w:r w:rsidR="00FE265F">
        <w:t xml:space="preserve"> </w:t>
      </w:r>
      <w:r w:rsidR="00D62D6D">
        <w:t>directly</w:t>
      </w:r>
      <w:r w:rsidR="004B2DF0">
        <w:t>)</w:t>
      </w:r>
      <w:r>
        <w:t>.</w:t>
      </w:r>
    </w:p>
    <w:p w14:paraId="78C67A93" w14:textId="77777777" w:rsidR="00EC2BF8" w:rsidRDefault="00CC32CD" w:rsidP="008E5FB6">
      <w:pPr>
        <w:pStyle w:val="ListBullet"/>
      </w:pPr>
      <w:r w:rsidRPr="00CC32CD">
        <w:rPr>
          <w:i/>
        </w:rPr>
        <w:t>Central information management</w:t>
      </w:r>
      <w:r>
        <w:t xml:space="preserve"> — </w:t>
      </w:r>
      <w:r w:rsidR="006B1038">
        <w:t>A</w:t>
      </w:r>
      <w:r w:rsidR="00B94928">
        <w:t>ssessment of c</w:t>
      </w:r>
      <w:r>
        <w:t>lient needs</w:t>
      </w:r>
      <w:r w:rsidR="00B94928">
        <w:t>,</w:t>
      </w:r>
      <w:r>
        <w:t xml:space="preserve"> intake and referral </w:t>
      </w:r>
      <w:r w:rsidR="00960672">
        <w:t xml:space="preserve">is </w:t>
      </w:r>
      <w:r>
        <w:t xml:space="preserve">managed by </w:t>
      </w:r>
      <w:r w:rsidR="00B94928">
        <w:t>any</w:t>
      </w:r>
      <w:r w:rsidR="00960672">
        <w:t xml:space="preserve"> </w:t>
      </w:r>
      <w:r w:rsidR="00B94928">
        <w:t xml:space="preserve">specialist homelessness </w:t>
      </w:r>
      <w:r w:rsidR="009F20A2">
        <w:t>service provider</w:t>
      </w:r>
      <w:r w:rsidR="006B1038">
        <w:t xml:space="preserve"> using</w:t>
      </w:r>
      <w:r w:rsidR="00960672">
        <w:t xml:space="preserve"> State</w:t>
      </w:r>
      <w:r w:rsidR="006B1038">
        <w:t>/</w:t>
      </w:r>
      <w:r w:rsidR="00960672">
        <w:t xml:space="preserve">Territory </w:t>
      </w:r>
      <w:r w:rsidR="00EC2BF8">
        <w:t>central</w:t>
      </w:r>
      <w:r>
        <w:t xml:space="preserve"> </w:t>
      </w:r>
      <w:r w:rsidRPr="00EC2BF8">
        <w:t>information management tool</w:t>
      </w:r>
      <w:r w:rsidR="00EC2BF8" w:rsidRPr="00EC2BF8">
        <w:t>s</w:t>
      </w:r>
      <w:r w:rsidR="0045409B">
        <w:t xml:space="preserve">. The central information management system </w:t>
      </w:r>
      <w:r w:rsidR="006B1038">
        <w:t>supports the</w:t>
      </w:r>
      <w:r w:rsidR="00E26830">
        <w:t xml:space="preserve"> identification of</w:t>
      </w:r>
      <w:r w:rsidR="00EC2BF8">
        <w:t xml:space="preserve"> </w:t>
      </w:r>
      <w:r w:rsidR="00E26830">
        <w:t xml:space="preserve">appropriate </w:t>
      </w:r>
      <w:r w:rsidR="00EC2BF8">
        <w:t>services</w:t>
      </w:r>
      <w:r w:rsidR="00E26830">
        <w:t xml:space="preserve"> </w:t>
      </w:r>
      <w:r w:rsidR="006B1038">
        <w:t xml:space="preserve">for the client </w:t>
      </w:r>
      <w:r w:rsidR="009F20A2">
        <w:t xml:space="preserve">and </w:t>
      </w:r>
      <w:r w:rsidR="003B1B37">
        <w:t xml:space="preserve">indicates the </w:t>
      </w:r>
      <w:r w:rsidR="009F20A2">
        <w:t xml:space="preserve">availability/vacancy </w:t>
      </w:r>
      <w:r w:rsidR="006B1038">
        <w:t xml:space="preserve">of those </w:t>
      </w:r>
      <w:r w:rsidR="009F20A2">
        <w:t xml:space="preserve">services </w:t>
      </w:r>
      <w:r w:rsidR="006B1038">
        <w:t>across</w:t>
      </w:r>
      <w:r w:rsidR="003B1B37">
        <w:t xml:space="preserve"> </w:t>
      </w:r>
      <w:r w:rsidR="009F20A2">
        <w:t>specialist homelessness service providers</w:t>
      </w:r>
      <w:r w:rsidR="00EC2BF8">
        <w:t xml:space="preserve">. Client information may be shared between </w:t>
      </w:r>
      <w:r w:rsidR="003B1B37">
        <w:t>providers</w:t>
      </w:r>
      <w:r w:rsidR="00B94928">
        <w:t xml:space="preserve"> </w:t>
      </w:r>
      <w:r w:rsidR="0045409B">
        <w:t xml:space="preserve">upon referral </w:t>
      </w:r>
      <w:r w:rsidR="00EC2BF8">
        <w:t>(with client consent).</w:t>
      </w:r>
    </w:p>
    <w:p w14:paraId="715950D6" w14:textId="7C276272" w:rsidR="000707E5" w:rsidRDefault="00EC2BF8" w:rsidP="008E5FB6">
      <w:pPr>
        <w:pStyle w:val="ListBullet"/>
      </w:pPr>
      <w:r w:rsidRPr="00EC2BF8">
        <w:rPr>
          <w:i/>
        </w:rPr>
        <w:t>Central intake</w:t>
      </w:r>
      <w:r>
        <w:t xml:space="preserve"> —</w:t>
      </w:r>
      <w:r w:rsidR="007E335A">
        <w:t xml:space="preserve"> </w:t>
      </w:r>
      <w:r w:rsidR="006B1038">
        <w:t>A</w:t>
      </w:r>
      <w:r w:rsidR="00B94928">
        <w:t xml:space="preserve">ssessment of </w:t>
      </w:r>
      <w:r w:rsidR="0045409B">
        <w:t xml:space="preserve">client needs, intake and referral </w:t>
      </w:r>
      <w:r w:rsidR="003C145F">
        <w:t xml:space="preserve">is </w:t>
      </w:r>
      <w:r w:rsidR="003B1B37">
        <w:t xml:space="preserve">managed by one or more </w:t>
      </w:r>
      <w:r w:rsidR="0045409B">
        <w:t>‘c</w:t>
      </w:r>
      <w:r>
        <w:t>entral</w:t>
      </w:r>
      <w:r w:rsidR="0045409B">
        <w:t xml:space="preserve"> intake’</w:t>
      </w:r>
      <w:r>
        <w:t xml:space="preserve"> agenc</w:t>
      </w:r>
      <w:r w:rsidR="003B1B37">
        <w:t>ies</w:t>
      </w:r>
      <w:r>
        <w:t xml:space="preserve">. </w:t>
      </w:r>
      <w:r w:rsidR="003C145F">
        <w:t xml:space="preserve">Central intake agencies prioritise </w:t>
      </w:r>
      <w:r w:rsidR="00D62D6D">
        <w:t xml:space="preserve">access to services </w:t>
      </w:r>
      <w:r w:rsidR="003C145F">
        <w:t>and only refer clients as services and/or vacancies are available</w:t>
      </w:r>
      <w:r>
        <w:t xml:space="preserve">. </w:t>
      </w:r>
      <w:r w:rsidR="0045409B">
        <w:t xml:space="preserve">Central information management tools may </w:t>
      </w:r>
      <w:r w:rsidR="006B1038">
        <w:t xml:space="preserve">be used </w:t>
      </w:r>
      <w:r w:rsidR="0045409B">
        <w:t xml:space="preserve">to </w:t>
      </w:r>
      <w:r w:rsidR="003E45DE">
        <w:t xml:space="preserve">share </w:t>
      </w:r>
      <w:r w:rsidR="0045409B">
        <w:t xml:space="preserve">information between </w:t>
      </w:r>
      <w:r w:rsidR="006B1038">
        <w:t xml:space="preserve">central intake agencies and </w:t>
      </w:r>
      <w:r w:rsidR="00B94928">
        <w:t xml:space="preserve">specialist homelessness </w:t>
      </w:r>
      <w:r w:rsidR="003B1B37">
        <w:t>service providers</w:t>
      </w:r>
      <w:r w:rsidR="0045409B">
        <w:t>.</w:t>
      </w:r>
    </w:p>
    <w:p w14:paraId="0A7F1044" w14:textId="77777777" w:rsidR="000707E5" w:rsidRDefault="000707E5" w:rsidP="000707E5">
      <w:pPr>
        <w:pStyle w:val="Heading3"/>
      </w:pPr>
      <w:r>
        <w:t>Roles and responsibilities</w:t>
      </w:r>
    </w:p>
    <w:p w14:paraId="479FB12E" w14:textId="15C9D757" w:rsidR="000707E5" w:rsidRPr="004F17C9" w:rsidRDefault="000707E5" w:rsidP="000707E5">
      <w:pPr>
        <w:pStyle w:val="BodyText"/>
      </w:pPr>
      <w:r w:rsidRPr="00000AAB">
        <w:t>The NAHA commenced on</w:t>
      </w:r>
      <w:r w:rsidRPr="006354C7">
        <w:t xml:space="preserve"> </w:t>
      </w:r>
      <w:r w:rsidRPr="00000AAB">
        <w:t>1 January</w:t>
      </w:r>
      <w:r w:rsidR="007E335A">
        <w:t xml:space="preserve"> </w:t>
      </w:r>
      <w:r w:rsidRPr="00000AAB">
        <w:t>2009 as part of the Intergovernmental Agreement on Federal Financial Relations</w:t>
      </w:r>
      <w:r w:rsidR="0023756F">
        <w:t>.</w:t>
      </w:r>
      <w:r>
        <w:t xml:space="preserve"> T</w:t>
      </w:r>
      <w:r w:rsidRPr="00000AAB">
        <w:t xml:space="preserve">o support the NAHA, </w:t>
      </w:r>
      <w:r>
        <w:t>a series of one</w:t>
      </w:r>
      <w:r w:rsidR="007E335A">
        <w:noBreakHyphen/>
      </w:r>
      <w:r>
        <w:t xml:space="preserve"> to three</w:t>
      </w:r>
      <w:r>
        <w:noBreakHyphen/>
        <w:t xml:space="preserve">year </w:t>
      </w:r>
      <w:proofErr w:type="spellStart"/>
      <w:r>
        <w:t>NPAHs</w:t>
      </w:r>
      <w:proofErr w:type="spellEnd"/>
      <w:r>
        <w:t xml:space="preserve"> have been negotiated between the Australian Government and </w:t>
      </w:r>
      <w:r w:rsidR="00104B85">
        <w:t xml:space="preserve">each </w:t>
      </w:r>
      <w:r>
        <w:t xml:space="preserve">State and Territory government. The </w:t>
      </w:r>
      <w:proofErr w:type="spellStart"/>
      <w:r>
        <w:t>NPAH</w:t>
      </w:r>
      <w:proofErr w:type="spellEnd"/>
      <w:r>
        <w:t xml:space="preserve"> </w:t>
      </w:r>
      <w:r w:rsidRPr="001C0EF4">
        <w:t xml:space="preserve">contributes to the NAHA outcome to help </w:t>
      </w:r>
      <w:r>
        <w:t>‘</w:t>
      </w:r>
      <w:r w:rsidRPr="001C0EF4">
        <w:t>people who are homeless or at risk of homelessness achieve sustainable housing and social inclu</w:t>
      </w:r>
      <w:r>
        <w:t>sion’ (</w:t>
      </w:r>
      <w:proofErr w:type="spellStart"/>
      <w:r>
        <w:t>COAG</w:t>
      </w:r>
      <w:proofErr w:type="spellEnd"/>
      <w:r w:rsidR="00884610">
        <w:t xml:space="preserve"> 2012,</w:t>
      </w:r>
      <w:r>
        <w:t xml:space="preserve"> 201</w:t>
      </w:r>
      <w:r w:rsidR="00884610">
        <w:t>5</w:t>
      </w:r>
      <w:r>
        <w:t xml:space="preserve">). The </w:t>
      </w:r>
      <w:proofErr w:type="spellStart"/>
      <w:r>
        <w:t>NPAH</w:t>
      </w:r>
      <w:proofErr w:type="spellEnd"/>
      <w:r>
        <w:t xml:space="preserve"> </w:t>
      </w:r>
      <w:r w:rsidR="009C501A">
        <w:t xml:space="preserve">aims to achieve the following </w:t>
      </w:r>
      <w:r>
        <w:t>outcomes:</w:t>
      </w:r>
    </w:p>
    <w:p w14:paraId="545D1F8E" w14:textId="77777777" w:rsidR="000707E5" w:rsidRDefault="000707E5" w:rsidP="000707E5">
      <w:pPr>
        <w:pStyle w:val="ListBullet"/>
      </w:pPr>
      <w:r>
        <w:t>fewer people will become homeless and fewer of these people will sleep rough</w:t>
      </w:r>
    </w:p>
    <w:p w14:paraId="13906F5E" w14:textId="77777777" w:rsidR="000707E5" w:rsidRDefault="000707E5" w:rsidP="000707E5">
      <w:pPr>
        <w:pStyle w:val="ListBullet"/>
      </w:pPr>
      <w:r>
        <w:t>fewer people will become homeless more than once</w:t>
      </w:r>
    </w:p>
    <w:p w14:paraId="270D2864" w14:textId="77777777" w:rsidR="000707E5" w:rsidRDefault="000707E5" w:rsidP="000707E5">
      <w:pPr>
        <w:pStyle w:val="ListBullet"/>
      </w:pPr>
      <w:r>
        <w:t>people at risk of or experiencing homelessness will maintain or improve connections with their families and communities, and maintain or improve their education, training or employment participation</w:t>
      </w:r>
    </w:p>
    <w:p w14:paraId="3ED3437E" w14:textId="47204C69" w:rsidR="000707E5" w:rsidRPr="00DF5AD5" w:rsidRDefault="000707E5" w:rsidP="000707E5">
      <w:pPr>
        <w:pStyle w:val="ListBullet"/>
      </w:pPr>
      <w:r>
        <w:lastRenderedPageBreak/>
        <w:t>people at risk of or experiencing homelessness will be supported by quality services, with improved access to sustainable housing (</w:t>
      </w:r>
      <w:proofErr w:type="spellStart"/>
      <w:r>
        <w:t>COAG</w:t>
      </w:r>
      <w:proofErr w:type="spellEnd"/>
      <w:r>
        <w:t xml:space="preserve"> 201</w:t>
      </w:r>
      <w:r w:rsidR="002B07BA">
        <w:t>5</w:t>
      </w:r>
      <w:r>
        <w:t>).</w:t>
      </w:r>
    </w:p>
    <w:p w14:paraId="49D11755" w14:textId="77777777" w:rsidR="000707E5" w:rsidRDefault="000707E5" w:rsidP="000D782E">
      <w:pPr>
        <w:pStyle w:val="BodyText"/>
        <w:spacing w:before="200"/>
      </w:pPr>
      <w:bookmarkStart w:id="10" w:name="OLE_LINK29"/>
      <w:bookmarkStart w:id="11" w:name="OLE_LINK30"/>
      <w:r w:rsidRPr="0059316B">
        <w:t xml:space="preserve">As part of </w:t>
      </w:r>
      <w:r>
        <w:t>broader</w:t>
      </w:r>
      <w:r w:rsidRPr="0059316B">
        <w:t xml:space="preserve"> </w:t>
      </w:r>
      <w:proofErr w:type="spellStart"/>
      <w:r w:rsidRPr="0059316B">
        <w:t>COAG</w:t>
      </w:r>
      <w:proofErr w:type="spellEnd"/>
      <w:r w:rsidRPr="0059316B">
        <w:t xml:space="preserve"> reforms, the </w:t>
      </w:r>
      <w:proofErr w:type="spellStart"/>
      <w:r w:rsidRPr="0059316B">
        <w:t>NPAH</w:t>
      </w:r>
      <w:proofErr w:type="spellEnd"/>
      <w:r w:rsidR="0023756F">
        <w:t xml:space="preserve"> </w:t>
      </w:r>
      <w:r w:rsidRPr="0059316B">
        <w:t xml:space="preserve">clarified that </w:t>
      </w:r>
      <w:r w:rsidR="0023756F">
        <w:t>State and Territory governments are</w:t>
      </w:r>
      <w:r w:rsidRPr="0059316B">
        <w:t xml:space="preserve"> responsible for day to day delivery of services</w:t>
      </w:r>
      <w:r w:rsidR="0023756F">
        <w:t xml:space="preserve">. It also </w:t>
      </w:r>
      <w:r>
        <w:t xml:space="preserve">established an agreed set of desired </w:t>
      </w:r>
      <w:r w:rsidRPr="0059316B">
        <w:t>outcomes</w:t>
      </w:r>
      <w:r>
        <w:t xml:space="preserve"> for homelessness services, </w:t>
      </w:r>
      <w:r w:rsidRPr="0059316B">
        <w:t>focused on improving the delivery of services to prevent and respond to homelessness.</w:t>
      </w:r>
    </w:p>
    <w:bookmarkEnd w:id="10"/>
    <w:bookmarkEnd w:id="11"/>
    <w:p w14:paraId="7578FA8E" w14:textId="77777777" w:rsidR="000707E5" w:rsidRPr="00E77C05" w:rsidRDefault="000707E5" w:rsidP="00631355">
      <w:pPr>
        <w:pStyle w:val="Heading3"/>
        <w:spacing w:before="500"/>
        <w:rPr>
          <w:color w:val="000000" w:themeColor="text1"/>
        </w:rPr>
      </w:pPr>
      <w:r w:rsidRPr="00E77C05">
        <w:rPr>
          <w:color w:val="000000" w:themeColor="text1"/>
        </w:rPr>
        <w:t>Funding</w:t>
      </w:r>
    </w:p>
    <w:p w14:paraId="3D312241" w14:textId="77777777" w:rsidR="000707E5" w:rsidRPr="0091704C" w:rsidRDefault="000707E5" w:rsidP="0091704C">
      <w:pPr>
        <w:pStyle w:val="BodyText"/>
      </w:pPr>
      <w:r w:rsidRPr="0091704C">
        <w:t xml:space="preserve">Government funded specialist homelessness services are jointly funded by the Australian Government and State and Territory governments, via the National Affordable Housing Specific Purpose Payment (for housing and homelessness services) and the </w:t>
      </w:r>
      <w:proofErr w:type="spellStart"/>
      <w:r w:rsidRPr="0091704C">
        <w:t>NPAH</w:t>
      </w:r>
      <w:proofErr w:type="spellEnd"/>
      <w:r w:rsidRPr="0091704C">
        <w:t xml:space="preserve"> (for housing and support services for people that are homeless or at risk of homelessness </w:t>
      </w:r>
      <w:r w:rsidR="0023756F" w:rsidRPr="0091704C">
        <w:t>—</w:t>
      </w:r>
      <w:r w:rsidRPr="0091704C">
        <w:t xml:space="preserve"> matched equally between the Australian Government and State and Territory governments). Nationally, real recurrent funding was</w:t>
      </w:r>
      <w:r w:rsidR="009C501A">
        <w:t xml:space="preserve"> $31.</w:t>
      </w:r>
      <w:r w:rsidR="009C501A" w:rsidRPr="00AF0527">
        <w:t>90</w:t>
      </w:r>
      <w:r w:rsidRPr="00AF0527">
        <w:t xml:space="preserve"> </w:t>
      </w:r>
      <w:r w:rsidR="0091704C" w:rsidRPr="00AF0527">
        <w:t xml:space="preserve">per person in the population in </w:t>
      </w:r>
      <w:r w:rsidRPr="00AF0527">
        <w:t>201</w:t>
      </w:r>
      <w:r w:rsidR="009C501A" w:rsidRPr="00AF0527">
        <w:t>5</w:t>
      </w:r>
      <w:r w:rsidRPr="00AF0527">
        <w:noBreakHyphen/>
        <w:t>1</w:t>
      </w:r>
      <w:r w:rsidR="009C501A" w:rsidRPr="00AF0527">
        <w:t>6</w:t>
      </w:r>
      <w:r w:rsidRPr="00AF0527">
        <w:t>, though the amount of funding per person varied across jurisdictions</w:t>
      </w:r>
      <w:r w:rsidRPr="0091704C">
        <w:t xml:space="preserve"> (table </w:t>
      </w:r>
      <w:proofErr w:type="spellStart"/>
      <w:r w:rsidR="00650891">
        <w:t>19A</w:t>
      </w:r>
      <w:r w:rsidRPr="0091704C">
        <w:t>.4</w:t>
      </w:r>
      <w:proofErr w:type="spellEnd"/>
      <w:r w:rsidRPr="0091704C">
        <w:t>).</w:t>
      </w:r>
    </w:p>
    <w:p w14:paraId="20FBFD71" w14:textId="292C8508" w:rsidR="000707E5" w:rsidRDefault="000707E5" w:rsidP="0091704C">
      <w:pPr>
        <w:pStyle w:val="BodyText"/>
      </w:pPr>
      <w:r w:rsidRPr="0091704C">
        <w:t xml:space="preserve">Direct expenditure on specialist homelessness services is undertaken by State and Territory governments. </w:t>
      </w:r>
      <w:r w:rsidRPr="00AF0527">
        <w:t xml:space="preserve">Recurrent government expenditure on specialist homelessness services for </w:t>
      </w:r>
      <w:r w:rsidR="00AF0527" w:rsidRPr="00AF0527">
        <w:t>2015</w:t>
      </w:r>
      <w:r w:rsidRPr="00AF0527">
        <w:noBreakHyphen/>
        <w:t>1</w:t>
      </w:r>
      <w:r w:rsidR="00AF0527">
        <w:t>6</w:t>
      </w:r>
      <w:r w:rsidRPr="00AF0527">
        <w:t xml:space="preserve"> was $</w:t>
      </w:r>
      <w:r w:rsidR="00AF0527" w:rsidRPr="00AF0527">
        <w:t>763.6</w:t>
      </w:r>
      <w:r w:rsidRPr="00AF0527">
        <w:t xml:space="preserve"> million (table</w:t>
      </w:r>
      <w:r w:rsidR="006D71E7">
        <w:t>s</w:t>
      </w:r>
      <w:r w:rsidRPr="00AF0527">
        <w:t> </w:t>
      </w:r>
      <w:proofErr w:type="spellStart"/>
      <w:r w:rsidR="00650891" w:rsidRPr="00AF0527">
        <w:t>19A</w:t>
      </w:r>
      <w:r w:rsidR="006D71E7">
        <w:t>.2</w:t>
      </w:r>
      <w:proofErr w:type="spellEnd"/>
      <w:r w:rsidR="006D71E7">
        <w:noBreakHyphen/>
        <w:t>3</w:t>
      </w:r>
      <w:r w:rsidRPr="00AF0527">
        <w:t>)</w:t>
      </w:r>
      <w:r w:rsidR="00AF0527">
        <w:t xml:space="preserve"> — </w:t>
      </w:r>
      <w:r w:rsidR="009D51C1" w:rsidRPr="00AF0527">
        <w:t>97.</w:t>
      </w:r>
      <w:r w:rsidR="009D51C1">
        <w:t>5</w:t>
      </w:r>
      <w:r w:rsidR="009D51C1" w:rsidRPr="00AF0527">
        <w:t> per cent</w:t>
      </w:r>
      <w:r w:rsidR="009D51C1">
        <w:t xml:space="preserve"> </w:t>
      </w:r>
      <w:r w:rsidR="00AF0527">
        <w:t xml:space="preserve">of which </w:t>
      </w:r>
      <w:r w:rsidRPr="00AF0527">
        <w:t xml:space="preserve">was provided to agencies to deliver </w:t>
      </w:r>
      <w:r w:rsidR="00AF0527">
        <w:t xml:space="preserve">specialist homelessness </w:t>
      </w:r>
      <w:r w:rsidRPr="00AF0527">
        <w:t>services</w:t>
      </w:r>
      <w:r w:rsidR="00AF0527">
        <w:t>.</w:t>
      </w:r>
      <w:r w:rsidRPr="005323DE">
        <w:t xml:space="preserve"> </w:t>
      </w:r>
      <w:r w:rsidR="00AF0527">
        <w:t>T</w:t>
      </w:r>
      <w:r w:rsidRPr="005323DE">
        <w:t xml:space="preserve">he remaining </w:t>
      </w:r>
      <w:r w:rsidR="00AF0527" w:rsidRPr="00AF0527">
        <w:t>2.5</w:t>
      </w:r>
      <w:r w:rsidRPr="00AF0527">
        <w:t xml:space="preserve"> per cent</w:t>
      </w:r>
      <w:r w:rsidRPr="000B7FD3">
        <w:t xml:space="preserve"> was attributed to</w:t>
      </w:r>
      <w:r w:rsidR="009D51C1">
        <w:t xml:space="preserve"> State/Territory government</w:t>
      </w:r>
      <w:r w:rsidRPr="000B7FD3">
        <w:t xml:space="preserve"> administration costs (table </w:t>
      </w:r>
      <w:proofErr w:type="spellStart"/>
      <w:r w:rsidR="00650891">
        <w:t>19A</w:t>
      </w:r>
      <w:r w:rsidRPr="000B7FD3">
        <w:t>.2</w:t>
      </w:r>
      <w:proofErr w:type="spellEnd"/>
      <w:r w:rsidRPr="000B7FD3">
        <w:t>).</w:t>
      </w:r>
    </w:p>
    <w:p w14:paraId="7E36AC1E" w14:textId="77777777" w:rsidR="000707E5" w:rsidRPr="004F17C9" w:rsidRDefault="000707E5" w:rsidP="00631355">
      <w:pPr>
        <w:pStyle w:val="Heading3"/>
        <w:spacing w:before="500"/>
      </w:pPr>
      <w:r w:rsidRPr="004F17C9">
        <w:t>Size and scope</w:t>
      </w:r>
    </w:p>
    <w:p w14:paraId="1275F376" w14:textId="77777777" w:rsidR="000707E5" w:rsidRDefault="000707E5" w:rsidP="00631355">
      <w:pPr>
        <w:pStyle w:val="Heading4"/>
        <w:spacing w:before="440"/>
      </w:pPr>
      <w:r>
        <w:t>Definition for population</w:t>
      </w:r>
    </w:p>
    <w:p w14:paraId="5209B362" w14:textId="77777777" w:rsidR="000707E5" w:rsidRPr="005B0F54" w:rsidRDefault="000707E5" w:rsidP="000707E5">
      <w:pPr>
        <w:pStyle w:val="BodyText"/>
        <w:rPr>
          <w:color w:val="000000" w:themeColor="text1"/>
        </w:rPr>
      </w:pPr>
      <w:r w:rsidRPr="00761F02">
        <w:t xml:space="preserve">Data on </w:t>
      </w:r>
      <w:r>
        <w:t>the</w:t>
      </w:r>
      <w:r w:rsidRPr="00761F02">
        <w:t xml:space="preserve"> </w:t>
      </w:r>
      <w:r>
        <w:t xml:space="preserve">prevalence of homelessness are sourced from the </w:t>
      </w:r>
      <w:r w:rsidRPr="003E6B16">
        <w:t>Australian Bureau of Statistics (ABS)</w:t>
      </w:r>
      <w:r>
        <w:t xml:space="preserve"> </w:t>
      </w:r>
      <w:r w:rsidRPr="00296360">
        <w:t xml:space="preserve">(ABS </w:t>
      </w:r>
      <w:proofErr w:type="spellStart"/>
      <w:r w:rsidRPr="00296360">
        <w:t>2012a</w:t>
      </w:r>
      <w:proofErr w:type="spellEnd"/>
      <w:r w:rsidRPr="00296360">
        <w:t>)</w:t>
      </w:r>
      <w:r>
        <w:t>. The ABS definition states that w</w:t>
      </w:r>
      <w:r>
        <w:rPr>
          <w:color w:val="000000" w:themeColor="text1"/>
        </w:rPr>
        <w:t xml:space="preserve">hen a person does not have suitable accommodation alternatives they are considered </w:t>
      </w:r>
      <w:r w:rsidRPr="005B0F54">
        <w:rPr>
          <w:color w:val="000000" w:themeColor="text1"/>
        </w:rPr>
        <w:t>homeless if their current living arrangement:</w:t>
      </w:r>
    </w:p>
    <w:p w14:paraId="5933954F" w14:textId="77777777" w:rsidR="000707E5" w:rsidRPr="005B0F54" w:rsidRDefault="000707E5" w:rsidP="000707E5">
      <w:pPr>
        <w:pStyle w:val="ListBullet"/>
        <w:rPr>
          <w:color w:val="000000" w:themeColor="text1"/>
        </w:rPr>
      </w:pPr>
      <w:r w:rsidRPr="005B0F54">
        <w:rPr>
          <w:color w:val="000000" w:themeColor="text1"/>
        </w:rPr>
        <w:t>is in a dwelling that is inadequate</w:t>
      </w:r>
      <w:r>
        <w:rPr>
          <w:color w:val="000000" w:themeColor="text1"/>
        </w:rPr>
        <w:t>; or</w:t>
      </w:r>
    </w:p>
    <w:p w14:paraId="2AF3E851" w14:textId="77777777" w:rsidR="000707E5" w:rsidRPr="005B0F54" w:rsidRDefault="000707E5" w:rsidP="000707E5">
      <w:pPr>
        <w:pStyle w:val="ListBullet"/>
        <w:rPr>
          <w:color w:val="000000" w:themeColor="text1"/>
        </w:rPr>
      </w:pPr>
      <w:r w:rsidRPr="005B0F54">
        <w:rPr>
          <w:color w:val="000000" w:themeColor="text1"/>
        </w:rPr>
        <w:t>has no tenure, or if their initial tenure is short and not extendable</w:t>
      </w:r>
      <w:r>
        <w:rPr>
          <w:color w:val="000000" w:themeColor="text1"/>
        </w:rPr>
        <w:t>; or</w:t>
      </w:r>
    </w:p>
    <w:p w14:paraId="6A24457D" w14:textId="77777777" w:rsidR="000707E5" w:rsidRDefault="000707E5" w:rsidP="000707E5">
      <w:pPr>
        <w:pStyle w:val="ListBullet"/>
        <w:rPr>
          <w:color w:val="000000" w:themeColor="text1"/>
        </w:rPr>
      </w:pPr>
      <w:r w:rsidRPr="00C42386">
        <w:rPr>
          <w:color w:val="000000" w:themeColor="text1"/>
        </w:rPr>
        <w:t>does not allow them to have control of, and access to space for</w:t>
      </w:r>
      <w:r>
        <w:rPr>
          <w:color w:val="000000" w:themeColor="text1"/>
        </w:rPr>
        <w:t xml:space="preserve">, </w:t>
      </w:r>
      <w:r w:rsidRPr="00C42386">
        <w:rPr>
          <w:color w:val="000000" w:themeColor="text1"/>
        </w:rPr>
        <w:t>social relations</w:t>
      </w:r>
      <w:r>
        <w:rPr>
          <w:color w:val="000000" w:themeColor="text1"/>
        </w:rPr>
        <w:t xml:space="preserve"> (ABS </w:t>
      </w:r>
      <w:proofErr w:type="spellStart"/>
      <w:r>
        <w:rPr>
          <w:color w:val="000000" w:themeColor="text1"/>
        </w:rPr>
        <w:t>2012b</w:t>
      </w:r>
      <w:proofErr w:type="spellEnd"/>
      <w:r>
        <w:rPr>
          <w:color w:val="000000" w:themeColor="text1"/>
        </w:rPr>
        <w:t>).</w:t>
      </w:r>
    </w:p>
    <w:p w14:paraId="400160F0" w14:textId="0BAD81F7" w:rsidR="000707E5" w:rsidRDefault="007A14CB" w:rsidP="00631355">
      <w:pPr>
        <w:pStyle w:val="BodyText"/>
        <w:spacing w:before="200"/>
        <w:rPr>
          <w:color w:val="000000" w:themeColor="text1"/>
        </w:rPr>
      </w:pPr>
      <w:r w:rsidRPr="00E50A85">
        <w:rPr>
          <w:color w:val="000000" w:themeColor="text1"/>
        </w:rPr>
        <w:t>In 2011,</w:t>
      </w:r>
      <w:r>
        <w:rPr>
          <w:color w:val="000000" w:themeColor="text1"/>
        </w:rPr>
        <w:t> </w:t>
      </w:r>
      <w:r w:rsidRPr="00E50A85">
        <w:rPr>
          <w:color w:val="000000" w:themeColor="text1"/>
        </w:rPr>
        <w:t>105</w:t>
      </w:r>
      <w:r>
        <w:rPr>
          <w:color w:val="000000" w:themeColor="text1"/>
        </w:rPr>
        <w:t> </w:t>
      </w:r>
      <w:r w:rsidRPr="00E50A85">
        <w:rPr>
          <w:color w:val="000000" w:themeColor="text1"/>
        </w:rPr>
        <w:t xml:space="preserve">237 people were estimated to be </w:t>
      </w:r>
      <w:r>
        <w:rPr>
          <w:color w:val="000000" w:themeColor="text1"/>
        </w:rPr>
        <w:t>homeless on Census night (ABS </w:t>
      </w:r>
      <w:proofErr w:type="spellStart"/>
      <w:r>
        <w:rPr>
          <w:color w:val="000000" w:themeColor="text1"/>
        </w:rPr>
        <w:t>2012c</w:t>
      </w:r>
      <w:proofErr w:type="spellEnd"/>
      <w:r w:rsidRPr="00E50A85">
        <w:rPr>
          <w:color w:val="000000" w:themeColor="text1"/>
        </w:rPr>
        <w:t>).</w:t>
      </w:r>
      <w:r w:rsidR="00E0316D">
        <w:rPr>
          <w:color w:val="000000" w:themeColor="text1"/>
        </w:rPr>
        <w:t xml:space="preserve"> </w:t>
      </w:r>
      <w:r w:rsidRPr="00570CF4">
        <w:rPr>
          <w:color w:val="000000" w:themeColor="text1"/>
        </w:rPr>
        <w:t>Under the ABS definition for homelessness</w:t>
      </w:r>
      <w:r w:rsidR="00181829" w:rsidRPr="00570CF4">
        <w:rPr>
          <w:color w:val="000000" w:themeColor="text1"/>
        </w:rPr>
        <w:t>,</w:t>
      </w:r>
      <w:r w:rsidRPr="00570CF4">
        <w:rPr>
          <w:color w:val="000000" w:themeColor="text1"/>
        </w:rPr>
        <w:t xml:space="preserve"> people living in supported accommodation (as provided by specialist homelessness service providers) are counted as homeless — approximately 20 per cent of the homeless population in 2011.</w:t>
      </w:r>
      <w:r w:rsidR="001354C9">
        <w:rPr>
          <w:color w:val="000000" w:themeColor="text1"/>
        </w:rPr>
        <w:t xml:space="preserve"> </w:t>
      </w:r>
      <w:r w:rsidR="000707E5" w:rsidRPr="00E50A85">
        <w:rPr>
          <w:color w:val="000000" w:themeColor="text1"/>
        </w:rPr>
        <w:t xml:space="preserve">The majority of </w:t>
      </w:r>
      <w:r w:rsidR="007959F8">
        <w:rPr>
          <w:color w:val="000000" w:themeColor="text1"/>
        </w:rPr>
        <w:br/>
      </w:r>
      <w:r w:rsidR="000707E5" w:rsidRPr="00E50A85">
        <w:rPr>
          <w:color w:val="000000" w:themeColor="text1"/>
        </w:rPr>
        <w:t>homeless people in 2011 were ‘persons living in severely crowded dwellings’ (39 per cent)</w:t>
      </w:r>
      <w:r w:rsidR="001354C9">
        <w:rPr>
          <w:color w:val="000000" w:themeColor="text1"/>
        </w:rPr>
        <w:t xml:space="preserve"> </w:t>
      </w:r>
      <w:r w:rsidR="007959F8">
        <w:rPr>
          <w:color w:val="000000" w:themeColor="text1"/>
        </w:rPr>
        <w:br/>
      </w:r>
      <w:r w:rsidR="001354C9">
        <w:rPr>
          <w:color w:val="000000" w:themeColor="text1"/>
        </w:rPr>
        <w:lastRenderedPageBreak/>
        <w:t>(see section</w:t>
      </w:r>
      <w:r w:rsidR="007E335A">
        <w:rPr>
          <w:color w:val="000000" w:themeColor="text1"/>
        </w:rPr>
        <w:t> </w:t>
      </w:r>
      <w:r w:rsidR="001354C9">
        <w:rPr>
          <w:color w:val="000000" w:themeColor="text1"/>
        </w:rPr>
        <w:t>19.4</w:t>
      </w:r>
      <w:r w:rsidR="00CB42CD">
        <w:rPr>
          <w:color w:val="000000" w:themeColor="text1"/>
        </w:rPr>
        <w:t xml:space="preserve"> for what constitutes ‘severely crowded’)</w:t>
      </w:r>
      <w:r w:rsidR="000707E5" w:rsidRPr="00E50A85">
        <w:rPr>
          <w:color w:val="000000" w:themeColor="text1"/>
        </w:rPr>
        <w:t>. Similar proportions of homeless people were staying temporarily in other households (17 per cent) and in boarding houses (17 per cent). Only 6 per cent of homeless people were in improvised dwellings, tents or sleepers out and 1 per cent were in other temporary lodgings on Census night.</w:t>
      </w:r>
    </w:p>
    <w:p w14:paraId="0FF0A68A" w14:textId="77777777" w:rsidR="000707E5" w:rsidRDefault="000707E5" w:rsidP="00C12414">
      <w:pPr>
        <w:pStyle w:val="Heading4"/>
        <w:spacing w:before="420"/>
      </w:pPr>
      <w:r>
        <w:t>Definition for services</w:t>
      </w:r>
    </w:p>
    <w:p w14:paraId="1E31BD53" w14:textId="159425C1" w:rsidR="000707E5" w:rsidRPr="008D71E3" w:rsidRDefault="000707E5" w:rsidP="00631355">
      <w:pPr>
        <w:pStyle w:val="BodyText"/>
        <w:spacing w:before="200"/>
      </w:pPr>
      <w:r w:rsidRPr="0059316B">
        <w:t>All clients of specialist homelessness services are either homeless or at risk of homelessness</w:t>
      </w:r>
      <w:r>
        <w:t>.</w:t>
      </w:r>
      <w:r w:rsidR="003508DE">
        <w:t xml:space="preserve"> </w:t>
      </w:r>
      <w:r w:rsidR="00421DAE">
        <w:t xml:space="preserve">Clients are considered ‘homeless’ if </w:t>
      </w:r>
      <w:r w:rsidRPr="0059316B">
        <w:rPr>
          <w:color w:val="000000" w:themeColor="text1"/>
        </w:rPr>
        <w:t>their housing situation was any of the following:</w:t>
      </w:r>
    </w:p>
    <w:p w14:paraId="7538CDAD" w14:textId="36A5B058" w:rsidR="000707E5" w:rsidRPr="00F82F6C" w:rsidRDefault="00420B8D" w:rsidP="00631355">
      <w:pPr>
        <w:pStyle w:val="ListBullet"/>
        <w:spacing w:line="280" w:lineRule="atLeast"/>
      </w:pPr>
      <w:r w:rsidRPr="00570CF4">
        <w:t xml:space="preserve">improvised dwelling, or </w:t>
      </w:r>
      <w:r w:rsidR="000707E5" w:rsidRPr="00570CF4">
        <w:t>no shelter</w:t>
      </w:r>
    </w:p>
    <w:p w14:paraId="1F374C5A" w14:textId="6BCF458E" w:rsidR="000707E5" w:rsidRPr="00F82F6C" w:rsidRDefault="000707E5" w:rsidP="00631355">
      <w:pPr>
        <w:pStyle w:val="ListBullet"/>
        <w:spacing w:line="280" w:lineRule="atLeast"/>
      </w:pPr>
      <w:r w:rsidRPr="00F82F6C">
        <w:t>short</w:t>
      </w:r>
      <w:r w:rsidR="007E335A">
        <w:noBreakHyphen/>
      </w:r>
      <w:r w:rsidRPr="00F82F6C">
        <w:t>term temporary accommodation</w:t>
      </w:r>
    </w:p>
    <w:p w14:paraId="2778DEC1" w14:textId="77777777" w:rsidR="000707E5" w:rsidRPr="00F82F6C" w:rsidRDefault="00076763" w:rsidP="00631355">
      <w:pPr>
        <w:pStyle w:val="ListBullet"/>
        <w:spacing w:line="280" w:lineRule="atLeast"/>
      </w:pPr>
      <w:r w:rsidRPr="00570CF4">
        <w:t xml:space="preserve">‘couch surfing’ in a </w:t>
      </w:r>
      <w:r w:rsidR="000707E5" w:rsidRPr="00570CF4">
        <w:t>house, townhouse or flat with no tenure</w:t>
      </w:r>
      <w:r w:rsidR="000707E5" w:rsidRPr="00F82F6C">
        <w:t>.</w:t>
      </w:r>
    </w:p>
    <w:p w14:paraId="6FDC0783" w14:textId="77777777" w:rsidR="00454647" w:rsidRDefault="00454647" w:rsidP="00631355">
      <w:pPr>
        <w:pStyle w:val="BodyText"/>
        <w:spacing w:before="200" w:after="240"/>
        <w:rPr>
          <w:color w:val="000000" w:themeColor="text1"/>
        </w:rPr>
      </w:pPr>
      <w:r w:rsidRPr="00454647">
        <w:rPr>
          <w:color w:val="000000" w:themeColor="text1"/>
        </w:rPr>
        <w:t>Specialist homelessness agencies provide data to the Specialist Homelessness Services Client Collection (</w:t>
      </w:r>
      <w:proofErr w:type="spellStart"/>
      <w:r w:rsidRPr="00454647">
        <w:rPr>
          <w:color w:val="000000" w:themeColor="text1"/>
        </w:rPr>
        <w:t>SHSC</w:t>
      </w:r>
      <w:proofErr w:type="spellEnd"/>
      <w:r w:rsidRPr="00454647">
        <w:rPr>
          <w:color w:val="000000" w:themeColor="text1"/>
        </w:rPr>
        <w:t>), each month, for support periods or episodes of assistance provided to individual clients. These data provide the service information in this chapter.</w:t>
      </w:r>
    </w:p>
    <w:p w14:paraId="63066595" w14:textId="7A3733F6" w:rsidR="000707E5" w:rsidRDefault="000707E5" w:rsidP="000707E5">
      <w:pPr>
        <w:pStyle w:val="BodyText"/>
        <w:spacing w:after="240"/>
        <w:rPr>
          <w:color w:val="000000" w:themeColor="text1"/>
        </w:rPr>
      </w:pPr>
      <w:r w:rsidRPr="0076451D">
        <w:rPr>
          <w:color w:val="000000" w:themeColor="text1"/>
        </w:rPr>
        <w:t>Nationally</w:t>
      </w:r>
      <w:r>
        <w:rPr>
          <w:color w:val="000000" w:themeColor="text1"/>
        </w:rPr>
        <w:t xml:space="preserve"> in </w:t>
      </w:r>
      <w:r w:rsidRPr="009D2052">
        <w:rPr>
          <w:color w:val="000000" w:themeColor="text1"/>
        </w:rPr>
        <w:t>201</w:t>
      </w:r>
      <w:r w:rsidR="009D2052" w:rsidRPr="009D2052">
        <w:rPr>
          <w:color w:val="000000" w:themeColor="text1"/>
        </w:rPr>
        <w:t>5</w:t>
      </w:r>
      <w:r w:rsidR="009D2052" w:rsidRPr="009D2052">
        <w:rPr>
          <w:color w:val="000000" w:themeColor="text1"/>
        </w:rPr>
        <w:noBreakHyphen/>
        <w:t>16</w:t>
      </w:r>
      <w:r w:rsidRPr="009D2052">
        <w:rPr>
          <w:color w:val="000000" w:themeColor="text1"/>
        </w:rPr>
        <w:t>, specialist</w:t>
      </w:r>
      <w:r w:rsidRPr="0076451D">
        <w:rPr>
          <w:color w:val="000000" w:themeColor="text1"/>
        </w:rPr>
        <w:t xml:space="preserve"> homelessness services agencies provided support to </w:t>
      </w:r>
      <w:r>
        <w:rPr>
          <w:color w:val="000000" w:themeColor="text1"/>
        </w:rPr>
        <w:t>an estimated</w:t>
      </w:r>
      <w:r w:rsidR="009D2052">
        <w:rPr>
          <w:color w:val="000000" w:themeColor="text1"/>
        </w:rPr>
        <w:t xml:space="preserve"> </w:t>
      </w:r>
      <w:r w:rsidR="00784565">
        <w:rPr>
          <w:color w:val="000000" w:themeColor="text1"/>
        </w:rPr>
        <w:t>279 </w:t>
      </w:r>
      <w:r w:rsidR="009D2052" w:rsidRPr="009D2052">
        <w:rPr>
          <w:color w:val="000000" w:themeColor="text1"/>
        </w:rPr>
        <w:t>196</w:t>
      </w:r>
      <w:r w:rsidR="0091704C">
        <w:rPr>
          <w:color w:val="000000" w:themeColor="text1"/>
        </w:rPr>
        <w:t xml:space="preserve"> </w:t>
      </w:r>
      <w:r w:rsidRPr="0076451D">
        <w:rPr>
          <w:color w:val="000000" w:themeColor="text1"/>
        </w:rPr>
        <w:t>people (table </w:t>
      </w:r>
      <w:proofErr w:type="spellStart"/>
      <w:r w:rsidR="00650891">
        <w:rPr>
          <w:color w:val="000000" w:themeColor="text1"/>
        </w:rPr>
        <w:t>19A</w:t>
      </w:r>
      <w:r w:rsidRPr="00C629CD">
        <w:rPr>
          <w:color w:val="000000" w:themeColor="text1"/>
        </w:rPr>
        <w:t>.1</w:t>
      </w:r>
      <w:proofErr w:type="spellEnd"/>
      <w:r w:rsidRPr="00C629CD">
        <w:rPr>
          <w:color w:val="000000" w:themeColor="text1"/>
        </w:rPr>
        <w:t xml:space="preserve">). Specialist homelessness agencies </w:t>
      </w:r>
      <w:r w:rsidR="00C629CD">
        <w:rPr>
          <w:color w:val="000000" w:themeColor="text1"/>
        </w:rPr>
        <w:t xml:space="preserve">can </w:t>
      </w:r>
      <w:r w:rsidRPr="00C629CD">
        <w:rPr>
          <w:color w:val="000000" w:themeColor="text1"/>
        </w:rPr>
        <w:t xml:space="preserve">provide </w:t>
      </w:r>
      <w:r w:rsidR="00C629CD">
        <w:rPr>
          <w:color w:val="000000" w:themeColor="text1"/>
        </w:rPr>
        <w:t xml:space="preserve">a number of services </w:t>
      </w:r>
      <w:r w:rsidR="00C629CD" w:rsidRPr="00C629CD">
        <w:rPr>
          <w:color w:val="000000" w:themeColor="text1"/>
        </w:rPr>
        <w:t>to clients</w:t>
      </w:r>
      <w:r w:rsidR="006E59AC">
        <w:rPr>
          <w:color w:val="000000" w:themeColor="text1"/>
        </w:rPr>
        <w:t xml:space="preserve"> </w:t>
      </w:r>
      <w:r w:rsidR="006E59AC" w:rsidRPr="00570CF4">
        <w:rPr>
          <w:color w:val="000000" w:themeColor="text1"/>
        </w:rPr>
        <w:t>in a single support</w:t>
      </w:r>
      <w:r w:rsidR="00C629CD">
        <w:rPr>
          <w:color w:val="000000" w:themeColor="text1"/>
        </w:rPr>
        <w:t xml:space="preserve"> </w:t>
      </w:r>
      <w:r w:rsidR="00E0316D" w:rsidRPr="00570CF4">
        <w:rPr>
          <w:color w:val="000000" w:themeColor="text1"/>
        </w:rPr>
        <w:t xml:space="preserve">period </w:t>
      </w:r>
      <w:r w:rsidR="00C629CD">
        <w:rPr>
          <w:color w:val="000000" w:themeColor="text1"/>
        </w:rPr>
        <w:t xml:space="preserve">— across </w:t>
      </w:r>
      <w:r w:rsidRPr="00C629CD">
        <w:rPr>
          <w:color w:val="000000" w:themeColor="text1"/>
        </w:rPr>
        <w:t xml:space="preserve">a range of support </w:t>
      </w:r>
      <w:r w:rsidR="00C629CD">
        <w:rPr>
          <w:color w:val="000000" w:themeColor="text1"/>
        </w:rPr>
        <w:t>areas —</w:t>
      </w:r>
      <w:r w:rsidRPr="00C629CD">
        <w:rPr>
          <w:color w:val="000000" w:themeColor="text1"/>
        </w:rPr>
        <w:t xml:space="preserve"> including general services (</w:t>
      </w:r>
      <w:r w:rsidRPr="009F4568">
        <w:rPr>
          <w:color w:val="000000" w:themeColor="text1"/>
        </w:rPr>
        <w:t xml:space="preserve">provided to </w:t>
      </w:r>
      <w:r w:rsidR="00C629CD" w:rsidRPr="009F4568">
        <w:rPr>
          <w:color w:val="000000" w:themeColor="text1"/>
        </w:rPr>
        <w:t>90.</w:t>
      </w:r>
      <w:r w:rsidR="009D2052" w:rsidRPr="009F4568">
        <w:rPr>
          <w:color w:val="000000" w:themeColor="text1"/>
        </w:rPr>
        <w:t>0</w:t>
      </w:r>
      <w:r w:rsidR="00C629CD" w:rsidRPr="009F4568">
        <w:rPr>
          <w:color w:val="000000" w:themeColor="text1"/>
        </w:rPr>
        <w:t> per cent</w:t>
      </w:r>
      <w:r w:rsidRPr="009F4568">
        <w:rPr>
          <w:color w:val="000000" w:themeColor="text1"/>
        </w:rPr>
        <w:t xml:space="preserve"> of clients), accommodation (</w:t>
      </w:r>
      <w:r w:rsidR="00C629CD" w:rsidRPr="009F4568">
        <w:rPr>
          <w:color w:val="000000" w:themeColor="text1"/>
        </w:rPr>
        <w:t>3</w:t>
      </w:r>
      <w:r w:rsidR="009D2052" w:rsidRPr="009F4568">
        <w:rPr>
          <w:color w:val="000000" w:themeColor="text1"/>
        </w:rPr>
        <w:t>1</w:t>
      </w:r>
      <w:r w:rsidR="00C629CD" w:rsidRPr="009F4568">
        <w:rPr>
          <w:color w:val="000000" w:themeColor="text1"/>
        </w:rPr>
        <w:t>.3</w:t>
      </w:r>
      <w:r w:rsidRPr="009F4568">
        <w:rPr>
          <w:color w:val="000000" w:themeColor="text1"/>
        </w:rPr>
        <w:t> per cent), assistance to sustain housing (</w:t>
      </w:r>
      <w:r w:rsidR="00C629CD" w:rsidRPr="009F4568">
        <w:rPr>
          <w:color w:val="000000" w:themeColor="text1"/>
        </w:rPr>
        <w:t>2</w:t>
      </w:r>
      <w:r w:rsidR="009D2052" w:rsidRPr="009F4568">
        <w:rPr>
          <w:color w:val="000000" w:themeColor="text1"/>
        </w:rPr>
        <w:t>6.9</w:t>
      </w:r>
      <w:r w:rsidR="009F4568" w:rsidRPr="009F4568">
        <w:rPr>
          <w:color w:val="000000" w:themeColor="text1"/>
        </w:rPr>
        <w:t xml:space="preserve"> </w:t>
      </w:r>
      <w:r w:rsidRPr="009F4568">
        <w:rPr>
          <w:color w:val="000000" w:themeColor="text1"/>
        </w:rPr>
        <w:t xml:space="preserve">per cent), </w:t>
      </w:r>
      <w:r w:rsidR="00CA1668" w:rsidRPr="009F4568">
        <w:rPr>
          <w:color w:val="000000" w:themeColor="text1"/>
        </w:rPr>
        <w:t xml:space="preserve">and </w:t>
      </w:r>
      <w:r w:rsidR="0091221B" w:rsidRPr="0091221B">
        <w:rPr>
          <w:color w:val="000000" w:themeColor="text1"/>
        </w:rPr>
        <w:t>domestic and family violence</w:t>
      </w:r>
      <w:r w:rsidRPr="009F4568">
        <w:rPr>
          <w:color w:val="000000" w:themeColor="text1"/>
        </w:rPr>
        <w:t> services (</w:t>
      </w:r>
      <w:r w:rsidR="00C629CD" w:rsidRPr="009F4568">
        <w:rPr>
          <w:color w:val="000000" w:themeColor="text1"/>
        </w:rPr>
        <w:t>23.</w:t>
      </w:r>
      <w:r w:rsidR="009F4568" w:rsidRPr="009F4568">
        <w:rPr>
          <w:color w:val="000000" w:themeColor="text1"/>
        </w:rPr>
        <w:t>9</w:t>
      </w:r>
      <w:r w:rsidRPr="009F4568">
        <w:rPr>
          <w:color w:val="000000" w:themeColor="text1"/>
        </w:rPr>
        <w:t> per cent</w:t>
      </w:r>
      <w:r w:rsidRPr="00C629CD">
        <w:rPr>
          <w:color w:val="000000" w:themeColor="text1"/>
        </w:rPr>
        <w:t>) (</w:t>
      </w:r>
      <w:r w:rsidR="00327DCA">
        <w:rPr>
          <w:color w:val="000000" w:themeColor="text1"/>
        </w:rPr>
        <w:t>figure</w:t>
      </w:r>
      <w:r w:rsidR="007E335A">
        <w:rPr>
          <w:color w:val="000000" w:themeColor="text1"/>
        </w:rPr>
        <w:t> </w:t>
      </w:r>
      <w:r w:rsidR="00327DCA">
        <w:rPr>
          <w:color w:val="000000" w:themeColor="text1"/>
        </w:rPr>
        <w:t>19.</w:t>
      </w:r>
      <w:r w:rsidRPr="00C629CD">
        <w:rPr>
          <w:color w:val="000000" w:themeColor="text1"/>
        </w:rPr>
        <w:t>1).</w:t>
      </w:r>
    </w:p>
    <w:p w14:paraId="0773EC4F" w14:textId="77777777" w:rsidR="006D3797" w:rsidRDefault="006D3797" w:rsidP="00631355">
      <w:pPr>
        <w:pStyle w:val="BoxSpaceAbove"/>
        <w:spacing w:before="30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14:paraId="1B695622" w14:textId="77777777" w:rsidTr="005256BE">
        <w:tc>
          <w:tcPr>
            <w:tcW w:w="8771" w:type="dxa"/>
            <w:tcBorders>
              <w:top w:val="single" w:sz="6" w:space="0" w:color="78A22F"/>
              <w:left w:val="nil"/>
              <w:bottom w:val="nil"/>
              <w:right w:val="nil"/>
            </w:tcBorders>
            <w:shd w:val="clear" w:color="auto" w:fill="auto"/>
          </w:tcPr>
          <w:p w14:paraId="053D4AC0" w14:textId="378B702D" w:rsidR="006D3797" w:rsidRPr="00176D3F" w:rsidRDefault="006D3797" w:rsidP="009F4568">
            <w:pPr>
              <w:pStyle w:val="FigureTitle"/>
            </w:pPr>
            <w:r w:rsidRPr="00784A05">
              <w:rPr>
                <w:b w:val="0"/>
              </w:rPr>
              <w:t xml:space="preserve">Figure </w:t>
            </w:r>
            <w:r w:rsidR="00A40722">
              <w:rPr>
                <w:b w:val="0"/>
              </w:rPr>
              <w:t>19.</w:t>
            </w:r>
            <w:r w:rsidR="00087EB6">
              <w:rPr>
                <w:b w:val="0"/>
                <w:noProof/>
              </w:rPr>
              <w:t>1</w:t>
            </w:r>
            <w:r>
              <w:tab/>
            </w:r>
            <w:r w:rsidRPr="00205C06">
              <w:t xml:space="preserve">Composition of support provided, all </w:t>
            </w:r>
            <w:r w:rsidRPr="009F4568">
              <w:t>clients, 201</w:t>
            </w:r>
            <w:r w:rsidR="009F4568" w:rsidRPr="009F4568">
              <w:t>5</w:t>
            </w:r>
            <w:r w:rsidRPr="009F4568">
              <w:noBreakHyphen/>
              <w:t>1</w:t>
            </w:r>
            <w:r w:rsidR="009F4568" w:rsidRPr="009F4568">
              <w:t>6</w:t>
            </w:r>
            <w:r w:rsidR="00D86884" w:rsidRPr="009F4568">
              <w:rPr>
                <w:rStyle w:val="NoteLabel"/>
                <w:b/>
              </w:rPr>
              <w:t>a</w:t>
            </w:r>
          </w:p>
        </w:tc>
      </w:tr>
      <w:tr w:rsidR="006D3797" w14:paraId="1692E9F6" w14:textId="77777777" w:rsidTr="005256B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D3797" w14:paraId="0B78DEDA" w14:textId="77777777" w:rsidTr="000C1770">
              <w:trPr>
                <w:jc w:val="center"/>
              </w:trPr>
              <w:tc>
                <w:tcPr>
                  <w:tcW w:w="5000" w:type="pct"/>
                  <w:tcBorders>
                    <w:top w:val="nil"/>
                    <w:bottom w:val="nil"/>
                  </w:tcBorders>
                </w:tcPr>
                <w:p w14:paraId="331A1A8A" w14:textId="77777777" w:rsidR="006D3797" w:rsidRDefault="00196FC7" w:rsidP="005256BE">
                  <w:pPr>
                    <w:pStyle w:val="Figure"/>
                    <w:spacing w:before="60" w:after="60"/>
                  </w:pPr>
                  <w:r>
                    <w:rPr>
                      <w:noProof/>
                    </w:rPr>
                    <w:drawing>
                      <wp:inline distT="0" distB="0" distL="0" distR="0" wp14:anchorId="5241AD5F" wp14:editId="286FFDD9">
                        <wp:extent cx="5639435" cy="2651760"/>
                        <wp:effectExtent l="0" t="0" r="0" b="0"/>
                        <wp:docPr id="22" name="Picture 22" descr="Figure 19.1 Composition of support provided, all client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9435" cy="2651760"/>
                                </a:xfrm>
                                <a:prstGeom prst="rect">
                                  <a:avLst/>
                                </a:prstGeom>
                                <a:noFill/>
                              </pic:spPr>
                            </pic:pic>
                          </a:graphicData>
                        </a:graphic>
                      </wp:inline>
                    </w:drawing>
                  </w:r>
                </w:p>
              </w:tc>
            </w:tr>
          </w:tbl>
          <w:p w14:paraId="370A05F2" w14:textId="77777777" w:rsidR="006D3797" w:rsidRDefault="006D3797" w:rsidP="005256BE">
            <w:pPr>
              <w:pStyle w:val="Figure"/>
            </w:pPr>
          </w:p>
        </w:tc>
      </w:tr>
      <w:tr w:rsidR="006D3797" w:rsidRPr="00176D3F" w14:paraId="5EDB0668" w14:textId="77777777" w:rsidTr="00C12414">
        <w:tc>
          <w:tcPr>
            <w:tcW w:w="8771" w:type="dxa"/>
            <w:tcBorders>
              <w:top w:val="nil"/>
              <w:left w:val="nil"/>
              <w:bottom w:val="nil"/>
              <w:right w:val="nil"/>
            </w:tcBorders>
            <w:shd w:val="clear" w:color="auto" w:fill="auto"/>
          </w:tcPr>
          <w:p w14:paraId="1D263C10" w14:textId="5D39A523" w:rsidR="006D3797" w:rsidRPr="00176D3F" w:rsidRDefault="006D3797" w:rsidP="00F13D0E">
            <w:pPr>
              <w:pStyle w:val="Note"/>
            </w:pPr>
            <w:r w:rsidRPr="004B1B81">
              <w:rPr>
                <w:rStyle w:val="NoteLabel"/>
              </w:rPr>
              <w:t>a</w:t>
            </w:r>
            <w:r w:rsidRPr="004B1B81">
              <w:t xml:space="preserve"> </w:t>
            </w:r>
            <w:r>
              <w:t>See table</w:t>
            </w:r>
            <w:r w:rsidR="007E335A">
              <w:t> </w:t>
            </w:r>
            <w:proofErr w:type="spellStart"/>
            <w:r w:rsidR="00650891">
              <w:t>19A</w:t>
            </w:r>
            <w:r>
              <w:t>.1</w:t>
            </w:r>
            <w:proofErr w:type="spellEnd"/>
            <w:r>
              <w:t xml:space="preserve"> for detailed</w:t>
            </w:r>
            <w:r w:rsidRPr="006D3797">
              <w:t xml:space="preserve"> footnotes and caveats</w:t>
            </w:r>
            <w:r w:rsidR="00D86884">
              <w:t xml:space="preserve">. </w:t>
            </w:r>
            <w:r w:rsidR="00D86884" w:rsidRPr="00570CF4">
              <w:t>See Definitions of key terms (</w:t>
            </w:r>
            <w:r w:rsidR="00AA40DE">
              <w:t>section</w:t>
            </w:r>
            <w:r w:rsidR="007E335A">
              <w:t> </w:t>
            </w:r>
            <w:r w:rsidR="00AA40DE">
              <w:t>19.</w:t>
            </w:r>
            <w:r w:rsidR="00F13D0E">
              <w:t>4</w:t>
            </w:r>
            <w:r w:rsidR="00D86884" w:rsidRPr="00570CF4">
              <w:t xml:space="preserve">) for </w:t>
            </w:r>
            <w:r w:rsidR="006E59AC" w:rsidRPr="00570CF4">
              <w:t xml:space="preserve">further details on the types </w:t>
            </w:r>
            <w:r w:rsidR="00D86884" w:rsidRPr="00570CF4">
              <w:t>of specialist homelessness services provided.</w:t>
            </w:r>
          </w:p>
        </w:tc>
      </w:tr>
      <w:tr w:rsidR="006D3797" w:rsidRPr="00176D3F" w14:paraId="54C309A6" w14:textId="77777777" w:rsidTr="00C12414">
        <w:tc>
          <w:tcPr>
            <w:tcW w:w="8771" w:type="dxa"/>
            <w:tcBorders>
              <w:top w:val="nil"/>
              <w:left w:val="nil"/>
              <w:bottom w:val="single" w:sz="4" w:space="0" w:color="78A22F" w:themeColor="accent1"/>
              <w:right w:val="nil"/>
            </w:tcBorders>
            <w:shd w:val="clear" w:color="auto" w:fill="auto"/>
          </w:tcPr>
          <w:p w14:paraId="1391A065" w14:textId="463241A5" w:rsidR="006D3797" w:rsidRPr="00176D3F" w:rsidRDefault="006D3797" w:rsidP="00C12414">
            <w:pPr>
              <w:pStyle w:val="Source"/>
              <w:spacing w:after="40"/>
            </w:pPr>
            <w:r>
              <w:rPr>
                <w:i/>
              </w:rPr>
              <w:t>S</w:t>
            </w:r>
            <w:r w:rsidRPr="00784A05">
              <w:rPr>
                <w:i/>
              </w:rPr>
              <w:t>ource</w:t>
            </w:r>
            <w:r w:rsidRPr="00176D3F">
              <w:t xml:space="preserve">: </w:t>
            </w:r>
            <w:proofErr w:type="spellStart"/>
            <w:r w:rsidRPr="00205C06">
              <w:t>AIHW</w:t>
            </w:r>
            <w:proofErr w:type="spellEnd"/>
            <w:r w:rsidRPr="00205C06">
              <w:t xml:space="preserve"> (unpublished</w:t>
            </w:r>
            <w:r w:rsidRPr="00915D3B">
              <w:t xml:space="preserve">) </w:t>
            </w:r>
            <w:r w:rsidR="000C1770" w:rsidRPr="00915D3B">
              <w:t>Specialist Homelessness Services Collection</w:t>
            </w:r>
            <w:r w:rsidRPr="00915D3B">
              <w:t>, Australia</w:t>
            </w:r>
            <w:r w:rsidRPr="00205C06">
              <w:t>; table</w:t>
            </w:r>
            <w:r w:rsidR="007E335A">
              <w:t> </w:t>
            </w:r>
            <w:proofErr w:type="spellStart"/>
            <w:r w:rsidR="00650891">
              <w:t>19A</w:t>
            </w:r>
            <w:r w:rsidRPr="00205C06">
              <w:t>.1</w:t>
            </w:r>
            <w:proofErr w:type="spellEnd"/>
            <w:r w:rsidR="00915D3B">
              <w:t>.</w:t>
            </w:r>
          </w:p>
        </w:tc>
      </w:tr>
    </w:tbl>
    <w:p w14:paraId="1140172A" w14:textId="4193025A" w:rsidR="000707E5" w:rsidRPr="00345A74" w:rsidRDefault="00A40722" w:rsidP="000707E5">
      <w:pPr>
        <w:pStyle w:val="Heading2"/>
      </w:pPr>
      <w:bookmarkStart w:id="12" w:name="_Toc341801415"/>
      <w:bookmarkStart w:id="13" w:name="_Toc396143170"/>
      <w:bookmarkStart w:id="14" w:name="_Toc459884919"/>
      <w:r>
        <w:lastRenderedPageBreak/>
        <w:t>19.</w:t>
      </w:r>
      <w:r w:rsidR="00087EB6">
        <w:rPr>
          <w:noProof/>
        </w:rPr>
        <w:t>2</w:t>
      </w:r>
      <w:r w:rsidR="000707E5">
        <w:tab/>
      </w:r>
      <w:r w:rsidR="000707E5" w:rsidRPr="00345A74">
        <w:t>Framework of performance indicators</w:t>
      </w:r>
      <w:bookmarkEnd w:id="12"/>
      <w:bookmarkEnd w:id="13"/>
      <w:bookmarkEnd w:id="14"/>
    </w:p>
    <w:p w14:paraId="62C550BE" w14:textId="392E4973" w:rsidR="000707E5" w:rsidRDefault="000707E5" w:rsidP="000707E5">
      <w:pPr>
        <w:pStyle w:val="BodyText"/>
      </w:pPr>
      <w:r w:rsidRPr="004F17C9">
        <w:t>The performance indicator framework is based on shared government objectives for homelessness services delivered</w:t>
      </w:r>
      <w:r>
        <w:t xml:space="preserve"> under the NAHA (</w:t>
      </w:r>
      <w:r w:rsidR="00327DCA">
        <w:t>box</w:t>
      </w:r>
      <w:r w:rsidR="007E335A">
        <w:t> </w:t>
      </w:r>
      <w:r w:rsidR="00327DCA">
        <w:t>19.</w:t>
      </w:r>
      <w:r w:rsidR="00CA7971">
        <w:t>1</w:t>
      </w:r>
      <w:r w:rsidRPr="004F17C9">
        <w:t>).</w:t>
      </w:r>
      <w:r>
        <w:t xml:space="preserve"> </w:t>
      </w:r>
      <w:r w:rsidRPr="00BD4666">
        <w:t>The NAHA covers the areas of hou</w:t>
      </w:r>
      <w:r w:rsidR="00FA4347">
        <w:t>sing and homelessness services.</w:t>
      </w:r>
    </w:p>
    <w:p w14:paraId="46B7627D" w14:textId="77777777" w:rsidR="006D3797" w:rsidRDefault="006D37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14:paraId="2C5143F1" w14:textId="77777777" w:rsidTr="005256BE">
        <w:tc>
          <w:tcPr>
            <w:tcW w:w="8771" w:type="dxa"/>
            <w:tcBorders>
              <w:top w:val="single" w:sz="6" w:space="0" w:color="78A22F"/>
              <w:left w:val="nil"/>
              <w:bottom w:val="nil"/>
              <w:right w:val="nil"/>
            </w:tcBorders>
            <w:shd w:val="clear" w:color="auto" w:fill="F2F2F2"/>
          </w:tcPr>
          <w:p w14:paraId="044A2A9C" w14:textId="2BF3B804" w:rsidR="006D3797" w:rsidRDefault="006D3797" w:rsidP="006D3797">
            <w:pPr>
              <w:pStyle w:val="BoxTitle"/>
            </w:pPr>
            <w:r>
              <w:rPr>
                <w:b w:val="0"/>
              </w:rPr>
              <w:t xml:space="preserve">Box </w:t>
            </w:r>
            <w:r w:rsidR="00A40722">
              <w:rPr>
                <w:b w:val="0"/>
              </w:rPr>
              <w:t>19.</w:t>
            </w:r>
            <w:r w:rsidR="00087EB6">
              <w:rPr>
                <w:b w:val="0"/>
                <w:noProof/>
              </w:rPr>
              <w:t>1</w:t>
            </w:r>
            <w:r>
              <w:tab/>
            </w:r>
            <w:r w:rsidRPr="00FE3979">
              <w:t>Objectives for government funded specialist homelessness services</w:t>
            </w:r>
          </w:p>
        </w:tc>
      </w:tr>
      <w:tr w:rsidR="006D3797" w14:paraId="3F59C8BF" w14:textId="77777777" w:rsidTr="005256BE">
        <w:trPr>
          <w:cantSplit/>
        </w:trPr>
        <w:tc>
          <w:tcPr>
            <w:tcW w:w="8771" w:type="dxa"/>
            <w:tcBorders>
              <w:top w:val="nil"/>
              <w:left w:val="nil"/>
              <w:bottom w:val="nil"/>
              <w:right w:val="nil"/>
            </w:tcBorders>
            <w:shd w:val="clear" w:color="auto" w:fill="F2F2F2"/>
          </w:tcPr>
          <w:p w14:paraId="44A840E7" w14:textId="3D1C8D45" w:rsidR="00BB3657" w:rsidRDefault="00BB3657" w:rsidP="00BB3657">
            <w:pPr>
              <w:pStyle w:val="Box"/>
            </w:pPr>
            <w:r>
              <w:t>The specialist homelessness services system aims to support people who are homeless or at risk of homelessness to achieve sustainable housing, social inclusion and greater economic participation, through the delivery of transitional supported accommodation and a range of related support services. Wit</w:t>
            </w:r>
            <w:r w:rsidR="0029211A">
              <w:t>hin this aim, the goals are to:</w:t>
            </w:r>
          </w:p>
          <w:p w14:paraId="05CEBB48" w14:textId="4B600BE9" w:rsidR="00BB3657" w:rsidRDefault="00BB3657" w:rsidP="00BB3657">
            <w:pPr>
              <w:pStyle w:val="BoxListBullet"/>
            </w:pPr>
            <w:r>
              <w:t>re</w:t>
            </w:r>
            <w:r>
              <w:noBreakHyphen/>
              <w:t xml:space="preserve">establish family links </w:t>
            </w:r>
            <w:r w:rsidRPr="00BB3657">
              <w:t>where</w:t>
            </w:r>
            <w:r>
              <w:t xml:space="preserve"> appropriate</w:t>
            </w:r>
          </w:p>
          <w:p w14:paraId="66F37911" w14:textId="77777777" w:rsidR="00BB3657" w:rsidRDefault="00BB3657" w:rsidP="00BB3657">
            <w:pPr>
              <w:pStyle w:val="BoxListBullet"/>
            </w:pPr>
            <w:r>
              <w:t>re</w:t>
            </w:r>
            <w:r>
              <w:noBreakHyphen/>
              <w:t>establish the capacity of clients to live independently.</w:t>
            </w:r>
          </w:p>
          <w:p w14:paraId="25787F0F" w14:textId="77777777" w:rsidR="00BB3657" w:rsidRDefault="00BB3657" w:rsidP="00BB3657">
            <w:pPr>
              <w:pStyle w:val="Box"/>
            </w:pPr>
            <w:r>
              <w:t>Governments seek to achieve these aims through the delivery of services that:</w:t>
            </w:r>
          </w:p>
          <w:p w14:paraId="1AAF1BEC" w14:textId="77777777" w:rsidR="00BB3657" w:rsidRDefault="00BB3657" w:rsidP="00BB3657">
            <w:pPr>
              <w:pStyle w:val="BoxListBullet"/>
            </w:pPr>
            <w:r>
              <w:t>are accessible</w:t>
            </w:r>
          </w:p>
          <w:p w14:paraId="4ACEEC6C" w14:textId="77777777" w:rsidR="00BB3657" w:rsidRDefault="00BB3657" w:rsidP="00BB3657">
            <w:pPr>
              <w:pStyle w:val="BoxListBullet"/>
            </w:pPr>
            <w:r>
              <w:t>identify and address individuals’ urgent needs at presentation</w:t>
            </w:r>
          </w:p>
          <w:p w14:paraId="7F50D435" w14:textId="77777777" w:rsidR="00BB3657" w:rsidRDefault="00BB3657" w:rsidP="00BB3657">
            <w:pPr>
              <w:pStyle w:val="BoxListBullet"/>
            </w:pPr>
            <w:r>
              <w:t>identify and address individuals’ other needs as appropriate, intervening early to prevent the escalation of needs</w:t>
            </w:r>
          </w:p>
          <w:p w14:paraId="5AE9E173" w14:textId="77777777" w:rsidR="00BB3657" w:rsidRDefault="00BB3657" w:rsidP="00BB3657">
            <w:pPr>
              <w:pStyle w:val="BoxListBullet"/>
            </w:pPr>
            <w:r>
              <w:t>are provided seamlessly where more than one service type is required</w:t>
            </w:r>
          </w:p>
          <w:p w14:paraId="597ADDB4" w14:textId="77777777" w:rsidR="00BB3657" w:rsidRDefault="00BB3657" w:rsidP="00BB3657">
            <w:pPr>
              <w:pStyle w:val="BoxListBullet"/>
            </w:pPr>
            <w:r>
              <w:t>are of high quality, provided by qualified staff in a safe environment.</w:t>
            </w:r>
          </w:p>
          <w:p w14:paraId="599835EE" w14:textId="77777777" w:rsidR="006D3797" w:rsidRDefault="00BB3657" w:rsidP="00D00A93">
            <w:pPr>
              <w:pStyle w:val="Box"/>
            </w:pPr>
            <w:r>
              <w:t>Governments aim for specialist homelessness services to meet these objectives in an equitable and efficient manner.</w:t>
            </w:r>
          </w:p>
        </w:tc>
      </w:tr>
      <w:tr w:rsidR="006D3797" w14:paraId="6014564D" w14:textId="77777777" w:rsidTr="005256BE">
        <w:trPr>
          <w:cantSplit/>
        </w:trPr>
        <w:tc>
          <w:tcPr>
            <w:tcW w:w="8771" w:type="dxa"/>
            <w:tcBorders>
              <w:top w:val="nil"/>
              <w:left w:val="nil"/>
              <w:bottom w:val="single" w:sz="6" w:space="0" w:color="78A22F"/>
              <w:right w:val="nil"/>
            </w:tcBorders>
            <w:shd w:val="clear" w:color="auto" w:fill="F2F2F2"/>
          </w:tcPr>
          <w:p w14:paraId="727726B1" w14:textId="77777777" w:rsidR="006D3797" w:rsidRDefault="006D3797">
            <w:pPr>
              <w:pStyle w:val="Box"/>
              <w:spacing w:before="0" w:line="120" w:lineRule="exact"/>
            </w:pPr>
          </w:p>
        </w:tc>
      </w:tr>
      <w:tr w:rsidR="006D3797" w:rsidRPr="000863A5" w14:paraId="3009F068" w14:textId="77777777" w:rsidTr="005256BE">
        <w:tc>
          <w:tcPr>
            <w:tcW w:w="8771" w:type="dxa"/>
            <w:tcBorders>
              <w:top w:val="single" w:sz="6" w:space="0" w:color="78A22F"/>
              <w:left w:val="nil"/>
              <w:bottom w:val="nil"/>
              <w:right w:val="nil"/>
            </w:tcBorders>
          </w:tcPr>
          <w:p w14:paraId="073FA783" w14:textId="77777777" w:rsidR="006D3797" w:rsidRPr="00626D32" w:rsidRDefault="006D3797" w:rsidP="005256BE">
            <w:pPr>
              <w:pStyle w:val="BoxSpaceBelow"/>
            </w:pPr>
          </w:p>
        </w:tc>
      </w:tr>
    </w:tbl>
    <w:p w14:paraId="085898E1" w14:textId="77777777" w:rsidR="004B2BEE" w:rsidRDefault="000707E5" w:rsidP="000707E5">
      <w:pPr>
        <w:pStyle w:val="BodyText"/>
        <w:spacing w:after="240"/>
      </w:pPr>
      <w:r w:rsidRPr="00DB572D">
        <w:t>The performance indicator framework provides information on equity, efficiency and effectiveness, and distinguishes the outputs and outcomes of h</w:t>
      </w:r>
      <w:r>
        <w:t xml:space="preserve">omelessness </w:t>
      </w:r>
      <w:r w:rsidRPr="00DB572D">
        <w:t>services (</w:t>
      </w:r>
      <w:r w:rsidR="00327DCA">
        <w:t>figure 19.</w:t>
      </w:r>
      <w:r>
        <w:t>2</w:t>
      </w:r>
      <w:r w:rsidR="004B2BEE">
        <w:t>).</w:t>
      </w:r>
    </w:p>
    <w:p w14:paraId="49EDB413" w14:textId="7D01F6A0" w:rsidR="004B2BEE" w:rsidRDefault="004B2BEE" w:rsidP="004B2BEE">
      <w:pPr>
        <w:pStyle w:val="BodyText"/>
        <w:spacing w:after="240"/>
      </w:pPr>
      <w:r>
        <w:t>The performance indicator framework shows which data are complete and comparable in the 2017 Report. For data that are not considered directly comparable, text includes relevant caveats and supporting commentary. Chapter</w:t>
      </w:r>
      <w:r w:rsidR="007E335A">
        <w:t> </w:t>
      </w:r>
      <w:r>
        <w:t>1 discusses data comparability and completeness from a Report wide perspective. In addition to section</w:t>
      </w:r>
      <w:r w:rsidR="007E335A">
        <w:t> </w:t>
      </w:r>
      <w:r>
        <w:t>19.1, the Report’s Statistical context chapter (chapter</w:t>
      </w:r>
      <w:r w:rsidR="007E335A">
        <w:t> </w:t>
      </w:r>
      <w:r>
        <w:t>2) contains data that may assist in interpreting the performance indica</w:t>
      </w:r>
      <w:r w:rsidR="009F59E7">
        <w:t>tors presented in this chapter.</w:t>
      </w:r>
    </w:p>
    <w:p w14:paraId="3F22098E" w14:textId="43362FC1" w:rsidR="009F3731" w:rsidRPr="009F3731" w:rsidRDefault="004B2BEE" w:rsidP="004B2BEE">
      <w:pPr>
        <w:pStyle w:val="BodyText"/>
        <w:rPr>
          <w:rFonts w:eastAsia="Calibri"/>
          <w:color w:val="000000" w:themeColor="text1"/>
          <w:lang w:eastAsia="en-US"/>
        </w:rPr>
      </w:pPr>
      <w:r>
        <w:t>Improvements to performance reporting for specialist homelessness services are ongoing and will include identifying indicators to fill gaps in reporting against key objectives, improving the comparability and completeness of data and reviewing proxy indicators to see if more direct measures can be developed.</w:t>
      </w:r>
    </w:p>
    <w:p w14:paraId="6FBBE14B" w14:textId="77777777" w:rsidR="006D3797" w:rsidRDefault="006D3797"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14:paraId="5A7B40DF" w14:textId="77777777" w:rsidTr="005256BE">
        <w:tc>
          <w:tcPr>
            <w:tcW w:w="8771" w:type="dxa"/>
            <w:tcBorders>
              <w:top w:val="single" w:sz="6" w:space="0" w:color="78A22F"/>
              <w:left w:val="nil"/>
              <w:bottom w:val="nil"/>
              <w:right w:val="nil"/>
            </w:tcBorders>
            <w:shd w:val="clear" w:color="auto" w:fill="auto"/>
          </w:tcPr>
          <w:p w14:paraId="15BEF9A1" w14:textId="2384FBE3" w:rsidR="006D3797" w:rsidRPr="00176D3F" w:rsidRDefault="006D3797" w:rsidP="006D3797">
            <w:pPr>
              <w:pStyle w:val="FigureTitle"/>
            </w:pPr>
            <w:r w:rsidRPr="00784A05">
              <w:rPr>
                <w:b w:val="0"/>
              </w:rPr>
              <w:t xml:space="preserve">Figure </w:t>
            </w:r>
            <w:r w:rsidR="00A40722">
              <w:rPr>
                <w:b w:val="0"/>
              </w:rPr>
              <w:t>19.</w:t>
            </w:r>
            <w:r w:rsidR="00087EB6">
              <w:rPr>
                <w:b w:val="0"/>
                <w:noProof/>
              </w:rPr>
              <w:t>2</w:t>
            </w:r>
            <w:r>
              <w:tab/>
            </w:r>
            <w:r w:rsidRPr="00AA3018">
              <w:t>Government funded specialist homelessness services performance indicator framework</w:t>
            </w:r>
          </w:p>
        </w:tc>
      </w:tr>
      <w:tr w:rsidR="006D3797" w14:paraId="0FDB6580" w14:textId="77777777" w:rsidTr="005256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D3797" w14:paraId="2313859E" w14:textId="77777777" w:rsidTr="005256BE">
              <w:trPr>
                <w:jc w:val="center"/>
              </w:trPr>
              <w:tc>
                <w:tcPr>
                  <w:tcW w:w="5000" w:type="pct"/>
                  <w:tcBorders>
                    <w:top w:val="nil"/>
                    <w:bottom w:val="nil"/>
                  </w:tcBorders>
                </w:tcPr>
                <w:p w14:paraId="45748B5F" w14:textId="77777777" w:rsidR="006D3797" w:rsidRDefault="002619BD" w:rsidP="005256BE">
                  <w:pPr>
                    <w:pStyle w:val="Figure"/>
                    <w:spacing w:before="60" w:after="60"/>
                  </w:pPr>
                  <w:r>
                    <w:rPr>
                      <w:noProof/>
                    </w:rPr>
                    <w:drawing>
                      <wp:inline distT="0" distB="0" distL="0" distR="0" wp14:anchorId="1F371918" wp14:editId="76E9DA42">
                        <wp:extent cx="5397500" cy="4413250"/>
                        <wp:effectExtent l="0" t="0" r="0" b="6350"/>
                        <wp:docPr id="23" name="Picture 23" descr="Figure 19.2 Government funded specialist homelessness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0" cy="4413250"/>
                                </a:xfrm>
                                <a:prstGeom prst="rect">
                                  <a:avLst/>
                                </a:prstGeom>
                                <a:noFill/>
                                <a:ln>
                                  <a:noFill/>
                                </a:ln>
                              </pic:spPr>
                            </pic:pic>
                          </a:graphicData>
                        </a:graphic>
                      </wp:inline>
                    </w:drawing>
                  </w:r>
                </w:p>
              </w:tc>
            </w:tr>
          </w:tbl>
          <w:p w14:paraId="3EF9CA87" w14:textId="77777777" w:rsidR="006D3797" w:rsidRDefault="006D3797" w:rsidP="005256BE">
            <w:pPr>
              <w:pStyle w:val="Figure"/>
            </w:pPr>
          </w:p>
        </w:tc>
      </w:tr>
      <w:tr w:rsidR="006D3797" w14:paraId="7CB7C7AF" w14:textId="77777777" w:rsidTr="005256BE">
        <w:tc>
          <w:tcPr>
            <w:tcW w:w="8771" w:type="dxa"/>
            <w:tcBorders>
              <w:top w:val="nil"/>
              <w:left w:val="nil"/>
              <w:bottom w:val="single" w:sz="6" w:space="0" w:color="78A22F"/>
              <w:right w:val="nil"/>
            </w:tcBorders>
            <w:shd w:val="clear" w:color="auto" w:fill="auto"/>
          </w:tcPr>
          <w:p w14:paraId="6ED1ABC6" w14:textId="77777777" w:rsidR="006D3797" w:rsidRDefault="006D3797" w:rsidP="005256BE">
            <w:pPr>
              <w:pStyle w:val="Figurespace"/>
            </w:pPr>
          </w:p>
        </w:tc>
      </w:tr>
      <w:tr w:rsidR="006D3797" w:rsidRPr="000863A5" w14:paraId="5AD4FD8B" w14:textId="77777777" w:rsidTr="005256BE">
        <w:tc>
          <w:tcPr>
            <w:tcW w:w="8771" w:type="dxa"/>
            <w:tcBorders>
              <w:top w:val="single" w:sz="6" w:space="0" w:color="78A22F"/>
              <w:left w:val="nil"/>
              <w:bottom w:val="nil"/>
              <w:right w:val="nil"/>
            </w:tcBorders>
          </w:tcPr>
          <w:p w14:paraId="31746F0C" w14:textId="77777777" w:rsidR="006D3797" w:rsidRPr="00626D32" w:rsidRDefault="006D3797" w:rsidP="005256BE">
            <w:pPr>
              <w:pStyle w:val="BoxSpaceBelow"/>
            </w:pPr>
          </w:p>
        </w:tc>
      </w:tr>
    </w:tbl>
    <w:p w14:paraId="1EB3CC48" w14:textId="28168B8D" w:rsidR="000707E5" w:rsidRPr="004F17C9" w:rsidRDefault="00A40722" w:rsidP="000707E5">
      <w:pPr>
        <w:pStyle w:val="Heading2"/>
      </w:pPr>
      <w:bookmarkStart w:id="15" w:name="_Toc341801416"/>
      <w:bookmarkStart w:id="16" w:name="_Toc396143171"/>
      <w:bookmarkStart w:id="17" w:name="_Toc459884920"/>
      <w:r>
        <w:t>19.</w:t>
      </w:r>
      <w:r w:rsidR="00087EB6">
        <w:rPr>
          <w:noProof/>
        </w:rPr>
        <w:t>3</w:t>
      </w:r>
      <w:r w:rsidR="000707E5">
        <w:tab/>
      </w:r>
      <w:r w:rsidR="000707E5" w:rsidRPr="004F17C9">
        <w:t xml:space="preserve">Key </w:t>
      </w:r>
      <w:r w:rsidR="000707E5" w:rsidRPr="00967C86">
        <w:t>performance</w:t>
      </w:r>
      <w:r w:rsidR="000707E5" w:rsidRPr="004F17C9">
        <w:t xml:space="preserve"> indicator results</w:t>
      </w:r>
      <w:bookmarkEnd w:id="17"/>
      <w:r w:rsidR="000707E5" w:rsidRPr="004F17C9">
        <w:t xml:space="preserve"> </w:t>
      </w:r>
      <w:bookmarkEnd w:id="15"/>
      <w:bookmarkEnd w:id="16"/>
    </w:p>
    <w:p w14:paraId="72B0AB89" w14:textId="77777777" w:rsidR="000707E5" w:rsidRDefault="000707E5" w:rsidP="000707E5">
      <w:pPr>
        <w:pStyle w:val="BodyText"/>
      </w:pPr>
      <w:r>
        <w:t>Different delivery contexts, locations and types of clients can affect the equity, effectiveness and efficiency of homelessness services.</w:t>
      </w:r>
    </w:p>
    <w:p w14:paraId="7EB1AE9C" w14:textId="77777777" w:rsidR="000707E5" w:rsidRPr="009E5CE0" w:rsidRDefault="000707E5" w:rsidP="000707E5">
      <w:pPr>
        <w:pStyle w:val="Heading3"/>
      </w:pPr>
      <w:r w:rsidRPr="00C4061D">
        <w:t>Outputs</w:t>
      </w:r>
    </w:p>
    <w:p w14:paraId="0184A304" w14:textId="71B2A9C1" w:rsidR="000707E5" w:rsidRPr="009E5CE0" w:rsidRDefault="00F30D70" w:rsidP="000707E5">
      <w:pPr>
        <w:pStyle w:val="BodyText"/>
        <w:rPr>
          <w:color w:val="000000" w:themeColor="text1"/>
        </w:rPr>
      </w:pPr>
      <w:r w:rsidRPr="00F30D70">
        <w:rPr>
          <w:color w:val="000000" w:themeColor="text1"/>
        </w:rPr>
        <w:t>Outputs are the actual services delivered (while outcomes are the impact of these services on the status of an individual or group) (see chapter</w:t>
      </w:r>
      <w:r w:rsidR="007E335A">
        <w:rPr>
          <w:color w:val="000000" w:themeColor="text1"/>
        </w:rPr>
        <w:t> </w:t>
      </w:r>
      <w:r w:rsidRPr="00F30D70">
        <w:rPr>
          <w:color w:val="000000" w:themeColor="text1"/>
        </w:rPr>
        <w:t>1). Output information is also critical for equitable, efficient and effective management of government services.</w:t>
      </w:r>
    </w:p>
    <w:p w14:paraId="586E8C2B" w14:textId="77777777" w:rsidR="000707E5" w:rsidRDefault="000707E5" w:rsidP="000707E5">
      <w:pPr>
        <w:pStyle w:val="Heading3"/>
      </w:pPr>
      <w:r w:rsidRPr="00DA1F44">
        <w:lastRenderedPageBreak/>
        <w:t>Equity</w:t>
      </w:r>
    </w:p>
    <w:p w14:paraId="240444E9" w14:textId="77777777" w:rsidR="000707E5" w:rsidRPr="00DA1F44" w:rsidRDefault="000707E5" w:rsidP="000707E5">
      <w:pPr>
        <w:pStyle w:val="Heading4"/>
      </w:pPr>
      <w:r w:rsidRPr="00DA1F44">
        <w:t xml:space="preserve">Access of special needs </w:t>
      </w:r>
      <w:r w:rsidRPr="00B8254C">
        <w:t>groups</w:t>
      </w:r>
      <w:r w:rsidRPr="00DA1F44">
        <w:t xml:space="preserve"> to homelessness services</w:t>
      </w:r>
    </w:p>
    <w:p w14:paraId="52D4642D" w14:textId="7518E94F" w:rsidR="000707E5" w:rsidRDefault="000707E5" w:rsidP="000707E5">
      <w:pPr>
        <w:pStyle w:val="BodyText"/>
        <w:spacing w:after="240"/>
      </w:pPr>
      <w:r>
        <w:t xml:space="preserve">‘Access of special needs groups to homelessness services’ </w:t>
      </w:r>
      <w:r w:rsidRPr="004F17C9">
        <w:t xml:space="preserve">is </w:t>
      </w:r>
      <w:r w:rsidRPr="00C5095B">
        <w:t xml:space="preserve">an indicator of governments’ objective to </w:t>
      </w:r>
      <w:r w:rsidR="00061428" w:rsidRPr="00C5095B">
        <w:t>provide specialist homelessness</w:t>
      </w:r>
      <w:r w:rsidRPr="00C5095B">
        <w:t xml:space="preserve"> services</w:t>
      </w:r>
      <w:r w:rsidR="007E335A">
        <w:t xml:space="preserve"> </w:t>
      </w:r>
      <w:r w:rsidRPr="00C5095B">
        <w:t xml:space="preserve">in an equitable manner </w:t>
      </w:r>
      <w:r w:rsidRPr="004F17C9">
        <w:t>(</w:t>
      </w:r>
      <w:r w:rsidR="00327DCA">
        <w:t>box</w:t>
      </w:r>
      <w:r w:rsidR="007E335A">
        <w:t> </w:t>
      </w:r>
      <w:r w:rsidR="00327DCA">
        <w:t>19.</w:t>
      </w:r>
      <w:r w:rsidR="00707AD2">
        <w:t>2</w:t>
      </w:r>
      <w:r>
        <w:t>).</w:t>
      </w:r>
    </w:p>
    <w:p w14:paraId="391401C4" w14:textId="77777777" w:rsidR="000707E5" w:rsidRDefault="000707E5" w:rsidP="000707E5">
      <w:pPr>
        <w:pStyle w:val="BoxSpaceAbove"/>
      </w:pPr>
    </w:p>
    <w:tbl>
      <w:tblPr>
        <w:tblW w:w="4846"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94"/>
      </w:tblGrid>
      <w:tr w:rsidR="000707E5" w14:paraId="12DF8F13" w14:textId="77777777" w:rsidTr="00094389">
        <w:tc>
          <w:tcPr>
            <w:tcW w:w="5000" w:type="pct"/>
            <w:tcBorders>
              <w:top w:val="single" w:sz="6" w:space="0" w:color="78A22F"/>
              <w:left w:val="nil"/>
              <w:bottom w:val="nil"/>
              <w:right w:val="nil"/>
            </w:tcBorders>
            <w:shd w:val="clear" w:color="auto" w:fill="F2F2F2" w:themeFill="background1" w:themeFillShade="F2"/>
          </w:tcPr>
          <w:p w14:paraId="4F9499DD" w14:textId="2DD541FA" w:rsidR="000707E5" w:rsidRPr="001D3831" w:rsidRDefault="000707E5" w:rsidP="00094389">
            <w:pPr>
              <w:pStyle w:val="BoxTitle"/>
            </w:pPr>
            <w:r w:rsidRPr="001D3831">
              <w:rPr>
                <w:b w:val="0"/>
              </w:rPr>
              <w:t xml:space="preserve">Box </w:t>
            </w:r>
            <w:bookmarkStart w:id="18" w:name="OLE_LINK3"/>
            <w:r w:rsidR="00A40722">
              <w:rPr>
                <w:b w:val="0"/>
              </w:rPr>
              <w:t>19.</w:t>
            </w:r>
            <w:r w:rsidR="00087EB6">
              <w:rPr>
                <w:b w:val="0"/>
                <w:noProof/>
              </w:rPr>
              <w:t>2</w:t>
            </w:r>
            <w:bookmarkEnd w:id="18"/>
            <w:r w:rsidRPr="001D3831">
              <w:tab/>
              <w:t>Access of special needs groups to homelessness services</w:t>
            </w:r>
          </w:p>
        </w:tc>
      </w:tr>
      <w:tr w:rsidR="00903C2A" w14:paraId="54A9474B" w14:textId="77777777" w:rsidTr="00FF2EE3">
        <w:trPr>
          <w:cantSplit/>
          <w:trHeight w:val="6307"/>
        </w:trPr>
        <w:tc>
          <w:tcPr>
            <w:tcW w:w="5000" w:type="pct"/>
            <w:tcBorders>
              <w:top w:val="nil"/>
              <w:left w:val="nil"/>
              <w:right w:val="nil"/>
            </w:tcBorders>
            <w:shd w:val="clear" w:color="auto" w:fill="F2F2F2" w:themeFill="background1" w:themeFillShade="F2"/>
          </w:tcPr>
          <w:p w14:paraId="258092F0" w14:textId="77777777" w:rsidR="00903C2A" w:rsidRDefault="00F13629" w:rsidP="00A4190D">
            <w:pPr>
              <w:pStyle w:val="Box"/>
            </w:pPr>
            <w:r w:rsidRPr="00F13629">
              <w:t>‘Access of special needs groups to homelessness services’ is defined as the proportion of all clients whose need for accommodation, or services other than accommodation, was met and who are in each of three population groups:</w:t>
            </w:r>
          </w:p>
          <w:p w14:paraId="5091BC28" w14:textId="68E99DA4" w:rsidR="00903C2A" w:rsidRDefault="00903C2A" w:rsidP="00A4190D">
            <w:pPr>
              <w:pStyle w:val="BoxListBullet"/>
            </w:pPr>
            <w:r w:rsidRPr="008D5555">
              <w:t>Aboriginal and Torres Strait Islander</w:t>
            </w:r>
            <w:r>
              <w:t xml:space="preserve"> people</w:t>
            </w:r>
          </w:p>
          <w:p w14:paraId="01EC2280" w14:textId="77777777" w:rsidR="00903C2A" w:rsidRDefault="00903C2A" w:rsidP="00A4190D">
            <w:pPr>
              <w:pStyle w:val="BoxListBullet"/>
            </w:pPr>
            <w:r>
              <w:t xml:space="preserve">people </w:t>
            </w:r>
            <w:r w:rsidRPr="008D5555">
              <w:t>bo</w:t>
            </w:r>
            <w:r>
              <w:t>rn in non</w:t>
            </w:r>
            <w:r>
              <w:noBreakHyphen/>
            </w:r>
            <w:r w:rsidRPr="008D5555">
              <w:t>main English speaking countries (non</w:t>
            </w:r>
            <w:r>
              <w:noBreakHyphen/>
            </w:r>
            <w:r w:rsidRPr="008D5555">
              <w:t>MESC)</w:t>
            </w:r>
          </w:p>
          <w:p w14:paraId="5AF4456A" w14:textId="77777777" w:rsidR="00903C2A" w:rsidRPr="001D3831" w:rsidRDefault="00903C2A" w:rsidP="00231DC3">
            <w:pPr>
              <w:pStyle w:val="BoxListBullet"/>
            </w:pPr>
            <w:r w:rsidRPr="008D5555">
              <w:t>people with disability</w:t>
            </w:r>
            <w:r>
              <w:t>.</w:t>
            </w:r>
          </w:p>
          <w:p w14:paraId="6817E733" w14:textId="30CB6D9C" w:rsidR="00903C2A" w:rsidRPr="00903C2A" w:rsidRDefault="00F13629" w:rsidP="00903C2A">
            <w:pPr>
              <w:pStyle w:val="Box"/>
            </w:pPr>
            <w:r w:rsidRPr="00F13629">
              <w:t>Disability is defined for this indicator as people who identify to the service provider as having a long</w:t>
            </w:r>
            <w:r w:rsidR="007E335A">
              <w:noBreakHyphen/>
            </w:r>
            <w:r w:rsidRPr="00F13629">
              <w:t>term health condition or disability and needing assistance with self</w:t>
            </w:r>
            <w:r w:rsidR="007E335A">
              <w:noBreakHyphen/>
            </w:r>
            <w:r w:rsidRPr="00F13629">
              <w:t>care, mobility or communication (core activities) – this may underestimate the number of clients with disability who need support to access and maintain housing.</w:t>
            </w:r>
          </w:p>
          <w:p w14:paraId="780D6B63" w14:textId="77777777" w:rsidR="00903C2A" w:rsidRDefault="00F13629" w:rsidP="00094389">
            <w:pPr>
              <w:pStyle w:val="Box"/>
            </w:pPr>
            <w:r w:rsidRPr="00F13629">
              <w:t>Use by special needs groups is a proxy indicator of equitable access as the relative need among each population group for specialist homelessness accommodation and other services is unknown. In general, usage rates for special needs groups similar to or higher than those for the broader service population are desirable. Several factors need to be considered in interpreting the data — in particular, cultural differences can influence the extent to which each of the three population groups specified access specialist homelessness services.</w:t>
            </w:r>
          </w:p>
          <w:p w14:paraId="35DDA954" w14:textId="77777777" w:rsidR="00903C2A" w:rsidRPr="001D3831" w:rsidRDefault="00903C2A" w:rsidP="00094389">
            <w:pPr>
              <w:pStyle w:val="Box"/>
            </w:pPr>
            <w:r w:rsidRPr="001D3831">
              <w:t xml:space="preserve">Data reported for </w:t>
            </w:r>
            <w:r w:rsidR="002619BD">
              <w:t>this indicator</w:t>
            </w:r>
            <w:r w:rsidRPr="001D3831">
              <w:t xml:space="preserve"> are:</w:t>
            </w:r>
          </w:p>
          <w:p w14:paraId="13B5D8CE" w14:textId="77777777" w:rsidR="00903C2A" w:rsidRPr="001D3831" w:rsidRDefault="00903C2A" w:rsidP="00094389">
            <w:pPr>
              <w:pStyle w:val="BoxListBullet"/>
            </w:pPr>
            <w:r w:rsidRPr="001D3831">
              <w:t>comparable (subject to caveats) across jurisdictions and over time</w:t>
            </w:r>
          </w:p>
          <w:p w14:paraId="424B0FC8" w14:textId="14188B42" w:rsidR="00903C2A" w:rsidRPr="001D3831" w:rsidRDefault="00903C2A" w:rsidP="00C93EAC">
            <w:pPr>
              <w:pStyle w:val="BoxListBullet"/>
            </w:pPr>
            <w:r w:rsidRPr="001D3831">
              <w:t>complete for the current reporting period. All required</w:t>
            </w:r>
            <w:r>
              <w:t xml:space="preserve"> 2015</w:t>
            </w:r>
            <w:r w:rsidR="007E335A">
              <w:noBreakHyphen/>
            </w:r>
            <w:r>
              <w:t>16</w:t>
            </w:r>
            <w:r w:rsidRPr="001D3831">
              <w:t xml:space="preserve"> data are </w:t>
            </w:r>
            <w:r>
              <w:t>available for all jurisdictions.</w:t>
            </w:r>
          </w:p>
        </w:tc>
      </w:tr>
      <w:tr w:rsidR="000707E5" w14:paraId="7265CDF6" w14:textId="77777777" w:rsidTr="00094389">
        <w:trPr>
          <w:cantSplit/>
        </w:trPr>
        <w:tc>
          <w:tcPr>
            <w:tcW w:w="5000" w:type="pct"/>
            <w:tcBorders>
              <w:top w:val="nil"/>
              <w:left w:val="nil"/>
              <w:bottom w:val="single" w:sz="6" w:space="0" w:color="78A22F"/>
              <w:right w:val="nil"/>
            </w:tcBorders>
            <w:shd w:val="clear" w:color="auto" w:fill="F2F2F2"/>
          </w:tcPr>
          <w:p w14:paraId="7D20E7B4" w14:textId="77777777" w:rsidR="000707E5" w:rsidRDefault="000707E5" w:rsidP="00094389">
            <w:pPr>
              <w:pStyle w:val="Box"/>
              <w:spacing w:before="0" w:line="120" w:lineRule="exact"/>
            </w:pPr>
          </w:p>
        </w:tc>
      </w:tr>
      <w:tr w:rsidR="000707E5" w:rsidRPr="000863A5" w14:paraId="4FF3352F" w14:textId="77777777" w:rsidTr="00094389">
        <w:tc>
          <w:tcPr>
            <w:tcW w:w="5000" w:type="pct"/>
            <w:tcBorders>
              <w:top w:val="single" w:sz="6" w:space="0" w:color="78A22F"/>
              <w:left w:val="nil"/>
              <w:bottom w:val="nil"/>
              <w:right w:val="nil"/>
            </w:tcBorders>
          </w:tcPr>
          <w:p w14:paraId="469B5406" w14:textId="77777777" w:rsidR="000707E5" w:rsidRPr="00626D32" w:rsidRDefault="000707E5" w:rsidP="00094389">
            <w:pPr>
              <w:pStyle w:val="BoxSpaceBelow"/>
            </w:pPr>
          </w:p>
        </w:tc>
      </w:tr>
    </w:tbl>
    <w:p w14:paraId="404C1F18" w14:textId="22FB4A05" w:rsidR="000707E5" w:rsidRPr="009F59E7" w:rsidRDefault="00F13629" w:rsidP="009F59E7">
      <w:pPr>
        <w:pStyle w:val="BodyText"/>
      </w:pPr>
      <w:r w:rsidRPr="00F13629">
        <w:t>In 2015</w:t>
      </w:r>
      <w:r w:rsidR="007E335A">
        <w:noBreakHyphen/>
      </w:r>
      <w:r w:rsidRPr="00F13629">
        <w:t xml:space="preserve">16, Aboriginal and Torres Strait Islander people had a higher representation amongst all people accessing specialist homelessness services (24.5 per cent) than their representation in the population (3.1 per </w:t>
      </w:r>
      <w:r w:rsidRPr="006620FF">
        <w:t>cent) — 2</w:t>
      </w:r>
      <w:r w:rsidR="00CE7BDE" w:rsidRPr="006620FF">
        <w:t>9</w:t>
      </w:r>
      <w:r w:rsidRPr="006620FF">
        <w:t>.</w:t>
      </w:r>
      <w:r w:rsidR="00CE7BDE" w:rsidRPr="006620FF">
        <w:t>7</w:t>
      </w:r>
      <w:r w:rsidRPr="006620FF">
        <w:t xml:space="preserve"> per cent of clients whose</w:t>
      </w:r>
      <w:r w:rsidRPr="00F13629">
        <w:t xml:space="preserve"> needs for accommodation were met and 16.4 per cent of clients whose needs for services other than accommodation were met (figure</w:t>
      </w:r>
      <w:r w:rsidR="007E335A">
        <w:t> </w:t>
      </w:r>
      <w:r w:rsidRPr="00F13629">
        <w:t>19.3).</w:t>
      </w:r>
    </w:p>
    <w:p w14:paraId="4351BF73" w14:textId="77777777" w:rsidR="006D3797" w:rsidRDefault="006D3797"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797" w14:paraId="210646B9" w14:textId="77777777" w:rsidTr="005256BE">
        <w:tc>
          <w:tcPr>
            <w:tcW w:w="8771" w:type="dxa"/>
            <w:tcBorders>
              <w:top w:val="single" w:sz="6" w:space="0" w:color="78A22F"/>
              <w:left w:val="nil"/>
              <w:bottom w:val="nil"/>
              <w:right w:val="nil"/>
            </w:tcBorders>
            <w:shd w:val="clear" w:color="auto" w:fill="auto"/>
          </w:tcPr>
          <w:p w14:paraId="322A6F8D" w14:textId="0D63D849" w:rsidR="006D3797" w:rsidRPr="00176D3F" w:rsidRDefault="006D3797" w:rsidP="00E578CF">
            <w:pPr>
              <w:pStyle w:val="FigureTitle"/>
            </w:pPr>
            <w:r w:rsidRPr="00784A05">
              <w:rPr>
                <w:b w:val="0"/>
              </w:rPr>
              <w:t xml:space="preserve">Figure </w:t>
            </w:r>
            <w:r w:rsidR="00A40722">
              <w:rPr>
                <w:b w:val="0"/>
              </w:rPr>
              <w:t>19.</w:t>
            </w:r>
            <w:r w:rsidR="00087EB6">
              <w:rPr>
                <w:b w:val="0"/>
                <w:noProof/>
              </w:rPr>
              <w:t>3</w:t>
            </w:r>
            <w:r>
              <w:tab/>
            </w:r>
            <w:r w:rsidRPr="002456F3">
              <w:t xml:space="preserve">Proportion of </w:t>
            </w:r>
            <w:r>
              <w:t xml:space="preserve">clients who were </w:t>
            </w:r>
            <w:r w:rsidRPr="002456F3">
              <w:t xml:space="preserve">Aboriginal and Torres Strait Islander </w:t>
            </w:r>
            <w:r w:rsidR="000F1032" w:rsidRPr="00E578CF">
              <w:t>clients</w:t>
            </w:r>
            <w:r w:rsidRPr="00E578CF">
              <w:t>, 201</w:t>
            </w:r>
            <w:r w:rsidR="00E578CF" w:rsidRPr="00E578CF">
              <w:t>5</w:t>
            </w:r>
            <w:r w:rsidRPr="00E578CF">
              <w:noBreakHyphen/>
              <w:t>1</w:t>
            </w:r>
            <w:r w:rsidR="00E578CF" w:rsidRPr="00E578CF">
              <w:t>6</w:t>
            </w:r>
            <w:r w:rsidRPr="00E578CF">
              <w:rPr>
                <w:rStyle w:val="NoteLabel"/>
                <w:b/>
              </w:rPr>
              <w:t>a</w:t>
            </w:r>
          </w:p>
        </w:tc>
      </w:tr>
      <w:tr w:rsidR="006D3797" w14:paraId="60500799" w14:textId="77777777" w:rsidTr="005256B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D3797" w14:paraId="42651E27" w14:textId="77777777" w:rsidTr="000C1770">
              <w:trPr>
                <w:jc w:val="center"/>
              </w:trPr>
              <w:tc>
                <w:tcPr>
                  <w:tcW w:w="5000" w:type="pct"/>
                  <w:tcBorders>
                    <w:top w:val="nil"/>
                    <w:bottom w:val="nil"/>
                  </w:tcBorders>
                </w:tcPr>
                <w:p w14:paraId="08D3DA29" w14:textId="77777777" w:rsidR="006D3797" w:rsidRDefault="00E578CF" w:rsidP="005256BE">
                  <w:pPr>
                    <w:pStyle w:val="Figure"/>
                    <w:spacing w:before="60" w:after="60"/>
                  </w:pPr>
                  <w:r>
                    <w:rPr>
                      <w:noProof/>
                    </w:rPr>
                    <w:drawing>
                      <wp:inline distT="0" distB="0" distL="0" distR="0" wp14:anchorId="32A64556" wp14:editId="36704FDB">
                        <wp:extent cx="5651500" cy="2822575"/>
                        <wp:effectExtent l="0" t="0" r="6350" b="0"/>
                        <wp:docPr id="3" name="Picture 3" descr="Figure 19.3 Proportion of clients who were Aboriginal and Torres Strait Islander client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1500" cy="2822575"/>
                                </a:xfrm>
                                <a:prstGeom prst="rect">
                                  <a:avLst/>
                                </a:prstGeom>
                                <a:noFill/>
                              </pic:spPr>
                            </pic:pic>
                          </a:graphicData>
                        </a:graphic>
                      </wp:inline>
                    </w:drawing>
                  </w:r>
                </w:p>
              </w:tc>
            </w:tr>
          </w:tbl>
          <w:p w14:paraId="3C428E0B" w14:textId="77777777" w:rsidR="006D3797" w:rsidRDefault="006D3797" w:rsidP="005256BE">
            <w:pPr>
              <w:pStyle w:val="Figure"/>
            </w:pPr>
          </w:p>
        </w:tc>
      </w:tr>
      <w:tr w:rsidR="006D3797" w:rsidRPr="00176D3F" w14:paraId="353C18AC" w14:textId="77777777" w:rsidTr="005256BE">
        <w:tc>
          <w:tcPr>
            <w:tcW w:w="8771" w:type="dxa"/>
            <w:tcBorders>
              <w:top w:val="nil"/>
              <w:left w:val="nil"/>
              <w:bottom w:val="nil"/>
              <w:right w:val="nil"/>
            </w:tcBorders>
            <w:shd w:val="clear" w:color="auto" w:fill="auto"/>
          </w:tcPr>
          <w:p w14:paraId="79405CFC" w14:textId="4BEC7CED" w:rsidR="006D3797" w:rsidRPr="00176D3F" w:rsidRDefault="006D3797" w:rsidP="00B85E67">
            <w:pPr>
              <w:pStyle w:val="Note"/>
            </w:pPr>
            <w:r>
              <w:rPr>
                <w:rStyle w:val="NoteLabel"/>
              </w:rPr>
              <w:t>a</w:t>
            </w:r>
            <w:r>
              <w:t xml:space="preserve"> </w:t>
            </w:r>
            <w:r w:rsidRPr="006D3797">
              <w:t>See box</w:t>
            </w:r>
            <w:r w:rsidR="007E335A">
              <w:t> </w:t>
            </w:r>
            <w:r w:rsidR="00650891">
              <w:t>19.</w:t>
            </w:r>
            <w:r w:rsidR="00707AD2">
              <w:t>2</w:t>
            </w:r>
            <w:r w:rsidRPr="006D3797">
              <w:t xml:space="preserve"> and table</w:t>
            </w:r>
            <w:r>
              <w:t>s</w:t>
            </w:r>
            <w:r w:rsidR="007E335A">
              <w:t> </w:t>
            </w:r>
            <w:proofErr w:type="spellStart"/>
            <w:r w:rsidR="00650891">
              <w:t>19A</w:t>
            </w:r>
            <w:r w:rsidRPr="006D3797">
              <w:t>.</w:t>
            </w:r>
            <w:r>
              <w:t>5</w:t>
            </w:r>
            <w:proofErr w:type="spellEnd"/>
            <w:r>
              <w:t xml:space="preserve"> and </w:t>
            </w:r>
            <w:proofErr w:type="spellStart"/>
            <w:r w:rsidR="00650891">
              <w:t>19A</w:t>
            </w:r>
            <w:r>
              <w:t>.8</w:t>
            </w:r>
            <w:proofErr w:type="spellEnd"/>
            <w:r w:rsidRPr="006D3797">
              <w:t xml:space="preserve"> for detailed definitions, footnotes and caveats</w:t>
            </w:r>
            <w:r w:rsidR="00BB40CF">
              <w:t>.</w:t>
            </w:r>
          </w:p>
        </w:tc>
      </w:tr>
      <w:tr w:rsidR="006D3797" w:rsidRPr="00176D3F" w14:paraId="44E2442C" w14:textId="77777777" w:rsidTr="005256BE">
        <w:tc>
          <w:tcPr>
            <w:tcW w:w="8771" w:type="dxa"/>
            <w:tcBorders>
              <w:top w:val="nil"/>
              <w:left w:val="nil"/>
              <w:bottom w:val="nil"/>
              <w:right w:val="nil"/>
            </w:tcBorders>
            <w:shd w:val="clear" w:color="auto" w:fill="auto"/>
          </w:tcPr>
          <w:p w14:paraId="5D8B5254" w14:textId="401CF95F" w:rsidR="006D3797" w:rsidRPr="00176D3F" w:rsidRDefault="006D3797" w:rsidP="004D6319">
            <w:pPr>
              <w:pStyle w:val="Source"/>
            </w:pPr>
            <w:r>
              <w:rPr>
                <w:i/>
              </w:rPr>
              <w:t>S</w:t>
            </w:r>
            <w:r w:rsidRPr="00784A05">
              <w:rPr>
                <w:i/>
              </w:rPr>
              <w:t>ource</w:t>
            </w:r>
            <w:r w:rsidRPr="00176D3F">
              <w:t xml:space="preserve">: </w:t>
            </w:r>
            <w:proofErr w:type="spellStart"/>
            <w:r w:rsidRPr="002456F3">
              <w:t>AIHW</w:t>
            </w:r>
            <w:proofErr w:type="spellEnd"/>
            <w:r w:rsidRPr="002456F3">
              <w:t xml:space="preserve"> (unpublished) </w:t>
            </w:r>
            <w:r w:rsidR="000C1770" w:rsidRPr="000C1770">
              <w:t>Specialist Homelessness Services Collection</w:t>
            </w:r>
            <w:r w:rsidRPr="002456F3">
              <w:t xml:space="preserve">; </w:t>
            </w:r>
            <w:r w:rsidRPr="00B95F7A">
              <w:t xml:space="preserve">ABS (2014) </w:t>
            </w:r>
            <w:r w:rsidRPr="00B95F7A">
              <w:rPr>
                <w:i/>
              </w:rPr>
              <w:t>Australian Demographic Statistics, June 201</w:t>
            </w:r>
            <w:r w:rsidR="00E578CF">
              <w:rPr>
                <w:i/>
              </w:rPr>
              <w:t>5</w:t>
            </w:r>
            <w:r w:rsidR="000F1032" w:rsidRPr="00B95F7A">
              <w:t xml:space="preserve">, </w:t>
            </w:r>
            <w:r w:rsidR="000F1032">
              <w:t>Cat. no. 3101.0</w:t>
            </w:r>
            <w:r w:rsidRPr="008C224C">
              <w:t xml:space="preserve">; ABS (2014) </w:t>
            </w:r>
            <w:r w:rsidRPr="008C224C">
              <w:rPr>
                <w:i/>
              </w:rPr>
              <w:t>Estimates and Projections, Aboriginal and Torres Strait Islander Australians, 2001 to 2026</w:t>
            </w:r>
            <w:r w:rsidRPr="008C224C">
              <w:t>, Cat. no. 3238.0;</w:t>
            </w:r>
            <w:r>
              <w:t xml:space="preserve"> </w:t>
            </w:r>
            <w:r w:rsidRPr="008C224C">
              <w:t>tables</w:t>
            </w:r>
            <w:r w:rsidR="007E335A">
              <w:t> </w:t>
            </w:r>
            <w:proofErr w:type="spellStart"/>
            <w:r w:rsidRPr="008C224C">
              <w:t>2A.1</w:t>
            </w:r>
            <w:proofErr w:type="spellEnd"/>
            <w:r>
              <w:t>,</w:t>
            </w:r>
            <w:r w:rsidRPr="008C224C">
              <w:t xml:space="preserve"> </w:t>
            </w:r>
            <w:proofErr w:type="spellStart"/>
            <w:r w:rsidRPr="00CD2472">
              <w:t>2A.14</w:t>
            </w:r>
            <w:proofErr w:type="spellEnd"/>
            <w:r w:rsidR="004D6319" w:rsidRPr="00CD2472">
              <w:t>,</w:t>
            </w:r>
            <w:r w:rsidRPr="004D6319">
              <w:t xml:space="preserve"> </w:t>
            </w:r>
            <w:proofErr w:type="spellStart"/>
            <w:r w:rsidR="00650891">
              <w:t>19A</w:t>
            </w:r>
            <w:r w:rsidRPr="00377C91">
              <w:t>.</w:t>
            </w:r>
            <w:r>
              <w:t>5</w:t>
            </w:r>
            <w:proofErr w:type="spellEnd"/>
            <w:r>
              <w:t xml:space="preserve"> and</w:t>
            </w:r>
            <w:r w:rsidR="005B60DA">
              <w:t> </w:t>
            </w:r>
            <w:proofErr w:type="spellStart"/>
            <w:r w:rsidR="00650891">
              <w:t>19A</w:t>
            </w:r>
            <w:r w:rsidRPr="002456F3">
              <w:t>.</w:t>
            </w:r>
            <w:r>
              <w:t>8</w:t>
            </w:r>
            <w:proofErr w:type="spellEnd"/>
            <w:r>
              <w:t>.</w:t>
            </w:r>
          </w:p>
        </w:tc>
      </w:tr>
      <w:tr w:rsidR="006D3797" w14:paraId="2F76BD00" w14:textId="77777777" w:rsidTr="005256BE">
        <w:tc>
          <w:tcPr>
            <w:tcW w:w="8771" w:type="dxa"/>
            <w:tcBorders>
              <w:top w:val="nil"/>
              <w:left w:val="nil"/>
              <w:bottom w:val="single" w:sz="6" w:space="0" w:color="78A22F"/>
              <w:right w:val="nil"/>
            </w:tcBorders>
            <w:shd w:val="clear" w:color="auto" w:fill="auto"/>
          </w:tcPr>
          <w:p w14:paraId="375E15CA" w14:textId="77777777" w:rsidR="006D3797" w:rsidRDefault="006D3797" w:rsidP="005256BE">
            <w:pPr>
              <w:pStyle w:val="Figurespace"/>
            </w:pPr>
          </w:p>
        </w:tc>
      </w:tr>
      <w:tr w:rsidR="006D3797" w:rsidRPr="000863A5" w14:paraId="47AEC554" w14:textId="77777777" w:rsidTr="005256BE">
        <w:tc>
          <w:tcPr>
            <w:tcW w:w="8771" w:type="dxa"/>
            <w:tcBorders>
              <w:top w:val="single" w:sz="6" w:space="0" w:color="78A22F"/>
              <w:left w:val="nil"/>
              <w:bottom w:val="nil"/>
              <w:right w:val="nil"/>
            </w:tcBorders>
          </w:tcPr>
          <w:p w14:paraId="793D81F0" w14:textId="77777777" w:rsidR="006D3797" w:rsidRPr="00626D32" w:rsidRDefault="006D3797" w:rsidP="005256BE">
            <w:pPr>
              <w:pStyle w:val="BoxSpaceBelow"/>
            </w:pPr>
          </w:p>
        </w:tc>
      </w:tr>
    </w:tbl>
    <w:p w14:paraId="16D50C26" w14:textId="25A4D997" w:rsidR="00F13629" w:rsidRDefault="007C7447" w:rsidP="00F13629">
      <w:pPr>
        <w:pStyle w:val="BodyText"/>
      </w:pPr>
      <w:r>
        <w:t>In 2015</w:t>
      </w:r>
      <w:r w:rsidR="007E335A">
        <w:noBreakHyphen/>
      </w:r>
      <w:r>
        <w:t>16, people born in non</w:t>
      </w:r>
      <w:r>
        <w:noBreakHyphen/>
      </w:r>
      <w:r w:rsidR="00F13629">
        <w:t>main English speaking countries had a lower representation amongst clients of specialist homelessness services (</w:t>
      </w:r>
      <w:r w:rsidR="00D2707B">
        <w:t>11.0 </w:t>
      </w:r>
      <w:r w:rsidR="00F13629">
        <w:t>per cent) than in the population as measured at the last population census (15.</w:t>
      </w:r>
      <w:r>
        <w:t>1 per cent) (table</w:t>
      </w:r>
      <w:r w:rsidR="007E335A">
        <w:t> </w:t>
      </w:r>
      <w:proofErr w:type="spellStart"/>
      <w:r>
        <w:t>19A.8</w:t>
      </w:r>
      <w:proofErr w:type="spellEnd"/>
      <w:r>
        <w:t xml:space="preserve">) — </w:t>
      </w:r>
      <w:r w:rsidR="00F8308E">
        <w:t xml:space="preserve">and made up </w:t>
      </w:r>
      <w:r>
        <w:t>9.7 </w:t>
      </w:r>
      <w:r w:rsidR="00F13629">
        <w:t>per cent of clients whose needs for acc</w:t>
      </w:r>
      <w:r w:rsidR="00B77DB7">
        <w:t>ommodation were met and 9.4 per </w:t>
      </w:r>
      <w:r w:rsidR="00F13629">
        <w:t>cent of clients whose needs for services other than accommodation were met. These results varied across jurisdictions (table</w:t>
      </w:r>
      <w:r w:rsidR="007E335A">
        <w:t> </w:t>
      </w:r>
      <w:proofErr w:type="spellStart"/>
      <w:r w:rsidR="00F13629">
        <w:t>19A.6</w:t>
      </w:r>
      <w:proofErr w:type="spellEnd"/>
      <w:r w:rsidR="00F13629">
        <w:t>).</w:t>
      </w:r>
    </w:p>
    <w:p w14:paraId="063FBF1D" w14:textId="699F9531" w:rsidR="00F13629" w:rsidRPr="009F59E7" w:rsidRDefault="00F13629" w:rsidP="009F59E7">
      <w:pPr>
        <w:pStyle w:val="BodyText"/>
      </w:pPr>
      <w:r>
        <w:t>In 2015</w:t>
      </w:r>
      <w:r w:rsidR="007E335A">
        <w:noBreakHyphen/>
      </w:r>
      <w:r>
        <w:t>16, people with disability had a lower representation amongst clients of specialist homelessness services (4.1 per</w:t>
      </w:r>
      <w:r w:rsidR="00611583">
        <w:t xml:space="preserve"> cent) than in the </w:t>
      </w:r>
      <w:r w:rsidR="00611583" w:rsidRPr="006620FF">
        <w:t>population (5.8</w:t>
      </w:r>
      <w:r w:rsidRPr="006620FF">
        <w:t xml:space="preserve"> per cent</w:t>
      </w:r>
      <w:r w:rsidR="005D0362" w:rsidRPr="006620FF">
        <w:t xml:space="preserve">, </w:t>
      </w:r>
      <w:r w:rsidRPr="006620FF">
        <w:t>table</w:t>
      </w:r>
      <w:r w:rsidR="007E335A">
        <w:t> </w:t>
      </w:r>
      <w:proofErr w:type="spellStart"/>
      <w:r w:rsidRPr="006620FF">
        <w:t>19A.8</w:t>
      </w:r>
      <w:proofErr w:type="spellEnd"/>
      <w:r w:rsidRPr="006620FF">
        <w:t xml:space="preserve">) </w:t>
      </w:r>
      <w:r w:rsidR="008201BE" w:rsidRPr="006620FF">
        <w:t>— 4</w:t>
      </w:r>
      <w:r w:rsidRPr="006620FF">
        <w:t xml:space="preserve">.4 per cent of all clients whose needs for accommodation were met, and </w:t>
      </w:r>
      <w:r w:rsidR="008201BE" w:rsidRPr="006620FF">
        <w:t>3.0</w:t>
      </w:r>
      <w:r>
        <w:t xml:space="preserve"> per cent of all clients whose needs for services other than accommodation were met (table</w:t>
      </w:r>
      <w:r w:rsidR="007E335A">
        <w:t> </w:t>
      </w:r>
      <w:proofErr w:type="spellStart"/>
      <w:r>
        <w:t>19A.7</w:t>
      </w:r>
      <w:proofErr w:type="spellEnd"/>
      <w:r>
        <w:t>).</w:t>
      </w:r>
    </w:p>
    <w:p w14:paraId="56935C94" w14:textId="77777777" w:rsidR="000707E5" w:rsidRPr="00E1188F" w:rsidRDefault="000707E5" w:rsidP="00AA1790">
      <w:pPr>
        <w:pStyle w:val="Heading3"/>
      </w:pPr>
      <w:r w:rsidRPr="00637F0D">
        <w:t>Effectiveness</w:t>
      </w:r>
      <w:r w:rsidRPr="00E1188F">
        <w:t xml:space="preserve"> </w:t>
      </w:r>
    </w:p>
    <w:p w14:paraId="6E537793" w14:textId="77777777" w:rsidR="000707E5" w:rsidRPr="002F13CC" w:rsidRDefault="000707E5" w:rsidP="00AA1790">
      <w:pPr>
        <w:pStyle w:val="Heading4"/>
      </w:pPr>
      <w:r>
        <w:t xml:space="preserve">Access — </w:t>
      </w:r>
      <w:r w:rsidRPr="002F13CC">
        <w:t>Unmet demand for homelessness services</w:t>
      </w:r>
    </w:p>
    <w:p w14:paraId="131F2C21" w14:textId="03D43B35" w:rsidR="00837863" w:rsidRPr="001B7108" w:rsidRDefault="000707E5" w:rsidP="009F59E7">
      <w:pPr>
        <w:pStyle w:val="BodyText"/>
      </w:pPr>
      <w:r w:rsidRPr="00AA1790">
        <w:t>‘</w:t>
      </w:r>
      <w:r w:rsidRPr="008A0628">
        <w:t>U</w:t>
      </w:r>
      <w:r>
        <w:t xml:space="preserve">nmet demand for </w:t>
      </w:r>
      <w:r w:rsidRPr="00EB3BF2">
        <w:t>homelessness</w:t>
      </w:r>
      <w:r>
        <w:t xml:space="preserve"> services’ </w:t>
      </w:r>
      <w:r w:rsidRPr="004F17C9">
        <w:t xml:space="preserve">is </w:t>
      </w:r>
      <w:r w:rsidRPr="00B12608">
        <w:t xml:space="preserve">an indicator of governments’ objective to ensure </w:t>
      </w:r>
      <w:r w:rsidR="00C72B9D" w:rsidRPr="00B12608">
        <w:t>that</w:t>
      </w:r>
      <w:r w:rsidRPr="00B12608">
        <w:t xml:space="preserve"> services</w:t>
      </w:r>
      <w:r w:rsidRPr="004F17C9">
        <w:t xml:space="preserve"> </w:t>
      </w:r>
      <w:r w:rsidR="00C72B9D">
        <w:t xml:space="preserve">are accessible to those who need them </w:t>
      </w:r>
      <w:r w:rsidRPr="004F17C9">
        <w:t>(box</w:t>
      </w:r>
      <w:r w:rsidR="007E335A">
        <w:t> </w:t>
      </w:r>
      <w:r w:rsidR="00A40722">
        <w:t>1</w:t>
      </w:r>
      <w:r w:rsidR="00B404DE">
        <w:t>9</w:t>
      </w:r>
      <w:r w:rsidR="00A40722">
        <w:t>.</w:t>
      </w:r>
      <w:r w:rsidR="0040797B">
        <w:t>3</w:t>
      </w:r>
      <w:r w:rsidR="00516666">
        <w:t>).</w:t>
      </w:r>
    </w:p>
    <w:p w14:paraId="2DECACDB" w14:textId="79454C82" w:rsidR="00AC7F60" w:rsidRDefault="00AC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C7F60" w14:paraId="5C6C0DB0" w14:textId="77777777" w:rsidTr="00A56A3D">
        <w:tc>
          <w:tcPr>
            <w:tcW w:w="8771" w:type="dxa"/>
            <w:tcBorders>
              <w:top w:val="single" w:sz="6" w:space="0" w:color="78A22F"/>
              <w:left w:val="nil"/>
              <w:bottom w:val="nil"/>
              <w:right w:val="nil"/>
            </w:tcBorders>
            <w:shd w:val="clear" w:color="auto" w:fill="F2F2F2"/>
          </w:tcPr>
          <w:p w14:paraId="6BB0103E" w14:textId="2B4102E9" w:rsidR="00AC7F60" w:rsidRDefault="00AC7F60">
            <w:pPr>
              <w:pStyle w:val="BoxTitle"/>
            </w:pPr>
            <w:r>
              <w:rPr>
                <w:b w:val="0"/>
              </w:rPr>
              <w:t>Box 19.</w:t>
            </w:r>
            <w:r w:rsidR="00087EB6">
              <w:rPr>
                <w:b w:val="0"/>
                <w:noProof/>
              </w:rPr>
              <w:t>3</w:t>
            </w:r>
            <w:r>
              <w:tab/>
            </w:r>
            <w:r w:rsidRPr="00AC7F60">
              <w:t>Unmet demand for homelessness services</w:t>
            </w:r>
          </w:p>
        </w:tc>
      </w:tr>
      <w:tr w:rsidR="00AC7F60" w14:paraId="57789AEF" w14:textId="77777777" w:rsidTr="005C0D1C">
        <w:tc>
          <w:tcPr>
            <w:tcW w:w="8771" w:type="dxa"/>
            <w:tcBorders>
              <w:top w:val="nil"/>
              <w:left w:val="nil"/>
              <w:bottom w:val="nil"/>
              <w:right w:val="nil"/>
            </w:tcBorders>
            <w:shd w:val="clear" w:color="auto" w:fill="F2F2F2" w:themeFill="background1" w:themeFillShade="F2"/>
          </w:tcPr>
          <w:p w14:paraId="3855F9D2" w14:textId="56F139FB" w:rsidR="008128AC" w:rsidRPr="00D4292E" w:rsidRDefault="008E7369" w:rsidP="00A56A3D">
            <w:pPr>
              <w:pStyle w:val="Box"/>
              <w:rPr>
                <w:b/>
              </w:rPr>
            </w:pPr>
            <w:r w:rsidRPr="008E7369">
              <w:t>Unmet demand for homelessness services is defined by the following two measures for each of two broad service types:</w:t>
            </w:r>
          </w:p>
          <w:p w14:paraId="555DC1CF" w14:textId="44567B44" w:rsidR="00AC7F60" w:rsidRDefault="008E7369" w:rsidP="008E7369">
            <w:pPr>
              <w:pStyle w:val="BoxListBullet"/>
            </w:pPr>
            <w:r w:rsidRPr="008E7369">
              <w:t>Unmet demand for accommodation, measured by:</w:t>
            </w:r>
          </w:p>
          <w:p w14:paraId="780A10C3" w14:textId="25EF3E93" w:rsidR="008E7369" w:rsidRDefault="008E7369" w:rsidP="008E7369">
            <w:pPr>
              <w:pStyle w:val="BoxListBullet2"/>
            </w:pPr>
            <w:r>
              <w:t>the number of average daily unassisted requ</w:t>
            </w:r>
            <w:r w:rsidR="0029211A">
              <w:t>ests for accommodation services</w:t>
            </w:r>
          </w:p>
          <w:p w14:paraId="08E0F7D9" w14:textId="38DAE77E" w:rsidR="00AC7F60" w:rsidRDefault="008E7369" w:rsidP="008E7369">
            <w:pPr>
              <w:pStyle w:val="BoxListBullet2"/>
            </w:pPr>
            <w:r>
              <w:tab/>
              <w:t>the number of clients with an identified need for short</w:t>
            </w:r>
            <w:r w:rsidR="007E335A">
              <w:noBreakHyphen/>
            </w:r>
            <w:r>
              <w:t>term or emergency accommodation or medium</w:t>
            </w:r>
            <w:r w:rsidR="007E335A">
              <w:noBreakHyphen/>
            </w:r>
            <w:r>
              <w:t xml:space="preserve"> or long</w:t>
            </w:r>
            <w:r w:rsidR="007E335A">
              <w:noBreakHyphen/>
            </w:r>
            <w:r>
              <w:t>term housing who were not provided with or referred for these services (although they may have received other types of services), divided by the number of clients who had a need for short term or emergency accommodation or medium</w:t>
            </w:r>
            <w:r w:rsidR="007E335A">
              <w:noBreakHyphen/>
            </w:r>
            <w:r>
              <w:t xml:space="preserve"> or long</w:t>
            </w:r>
            <w:r w:rsidR="007E335A">
              <w:noBreakHyphen/>
            </w:r>
            <w:r>
              <w:t>term housing</w:t>
            </w:r>
          </w:p>
          <w:p w14:paraId="3990E48C" w14:textId="4E868D93" w:rsidR="00AC7F60" w:rsidRPr="002F13CC" w:rsidRDefault="008E7369" w:rsidP="008E7369">
            <w:pPr>
              <w:pStyle w:val="BoxListBullet"/>
            </w:pPr>
            <w:r w:rsidRPr="008E7369">
              <w:t>Unmet demand for services other than accommodation, measured by:</w:t>
            </w:r>
          </w:p>
          <w:p w14:paraId="726F9FC7" w14:textId="1640F473" w:rsidR="008E7369" w:rsidRDefault="008E7369" w:rsidP="008E7369">
            <w:pPr>
              <w:pStyle w:val="BoxListBullet2"/>
            </w:pPr>
            <w:r>
              <w:t>the number of average daily unassisted requests for se</w:t>
            </w:r>
            <w:r w:rsidR="009F59E7">
              <w:t>rvices other than accommodation</w:t>
            </w:r>
          </w:p>
          <w:p w14:paraId="069CA8DA" w14:textId="3F518F5A" w:rsidR="00AC7F60" w:rsidRPr="002F13CC" w:rsidRDefault="008E7369" w:rsidP="008E7369">
            <w:pPr>
              <w:pStyle w:val="BoxListBullet2"/>
            </w:pPr>
            <w:r>
              <w:tab/>
              <w:t>the number of clients with an identified need for at least one service other than accommodation (and no need for accommodation services) who were not provided with or referred for a service other than accommodation, divided by the number of clients who had a need for at least one service other than accommodation (and no need for accommodation services).</w:t>
            </w:r>
          </w:p>
          <w:p w14:paraId="687AFC32" w14:textId="3635F2C9" w:rsidR="008128AC" w:rsidRPr="001B7108" w:rsidRDefault="008E7369" w:rsidP="00154B46">
            <w:pPr>
              <w:pStyle w:val="Box"/>
            </w:pPr>
            <w:r w:rsidRPr="008E7369">
              <w:t>Average daily unassisted requests are counted for people who are not</w:t>
            </w:r>
            <w:r w:rsidR="00551952">
              <w:t xml:space="preserve"> specialist homelessness services</w:t>
            </w:r>
            <w:r w:rsidRPr="008E7369">
              <w:t xml:space="preserve"> clients and did not receive an assessment or referral for services elsewhere.</w:t>
            </w:r>
          </w:p>
          <w:p w14:paraId="5129FF80" w14:textId="77777777" w:rsidR="00AC7F60" w:rsidRDefault="00AC7F60" w:rsidP="008128AC">
            <w:pPr>
              <w:pStyle w:val="Box"/>
            </w:pPr>
            <w:r w:rsidRPr="00EB66E9">
              <w:t>A low or decreasing proportion of clients with unmet demand</w:t>
            </w:r>
            <w:r>
              <w:t xml:space="preserve"> is desirable.</w:t>
            </w:r>
          </w:p>
          <w:p w14:paraId="48CDA249" w14:textId="282E1F08" w:rsidR="000E372D" w:rsidRPr="001B7108" w:rsidRDefault="000E372D" w:rsidP="00154B46">
            <w:pPr>
              <w:pStyle w:val="Box"/>
            </w:pPr>
            <w:r w:rsidRPr="000E372D">
              <w:t xml:space="preserve">Jurisdictions with some central intake models may record </w:t>
            </w:r>
            <w:r w:rsidR="006E7C43">
              <w:t xml:space="preserve">low unmet demand for the measure </w:t>
            </w:r>
            <w:r w:rsidR="006E7C43" w:rsidRPr="000E372D">
              <w:t>unassisted requests for services</w:t>
            </w:r>
            <w:r w:rsidR="006E7C43">
              <w:t xml:space="preserve"> and high unmet demand for the measure of clients with </w:t>
            </w:r>
            <w:r w:rsidR="00952BAE">
              <w:t xml:space="preserve">unmet </w:t>
            </w:r>
            <w:r w:rsidR="006E7C43">
              <w:t xml:space="preserve">need </w:t>
            </w:r>
            <w:r w:rsidR="006E7C43" w:rsidRPr="006E7C43">
              <w:t>for services</w:t>
            </w:r>
            <w:r>
              <w:t>.</w:t>
            </w:r>
          </w:p>
          <w:p w14:paraId="533BBC92" w14:textId="6B3BEC45" w:rsidR="00AC7F60" w:rsidRPr="002F13CC" w:rsidRDefault="00AC7F60" w:rsidP="00A56A3D">
            <w:pPr>
              <w:pStyle w:val="Box"/>
            </w:pPr>
            <w:r w:rsidRPr="002F13CC">
              <w:t>Data reported for these measures are:</w:t>
            </w:r>
          </w:p>
          <w:p w14:paraId="35BE1C89" w14:textId="4C65662E" w:rsidR="00AC7F60" w:rsidRPr="002F13CC" w:rsidRDefault="00AC7F60" w:rsidP="00552A63">
            <w:pPr>
              <w:pStyle w:val="BoxListBullet"/>
            </w:pPr>
            <w:r w:rsidRPr="002F13CC">
              <w:t>comparable (subject to caveats) within jurisdictions over time but are not comparable across jurisdictions</w:t>
            </w:r>
          </w:p>
          <w:p w14:paraId="59597209" w14:textId="460FB0EC" w:rsidR="00AC7F60" w:rsidRPr="00354269" w:rsidRDefault="00AC7F60" w:rsidP="00A56A3D">
            <w:pPr>
              <w:pStyle w:val="BoxListBullet"/>
            </w:pPr>
            <w:r w:rsidRPr="002F13CC">
              <w:t xml:space="preserve">complete for the current reporting period. </w:t>
            </w:r>
            <w:r>
              <w:t>All required 2015</w:t>
            </w:r>
            <w:r w:rsidR="007E335A">
              <w:noBreakHyphen/>
            </w:r>
            <w:r>
              <w:t xml:space="preserve">16 </w:t>
            </w:r>
            <w:r w:rsidRPr="002F13CC">
              <w:t>data are available for all jurisdictions.</w:t>
            </w:r>
          </w:p>
        </w:tc>
      </w:tr>
      <w:tr w:rsidR="00AC7F60" w14:paraId="556F9507" w14:textId="77777777" w:rsidTr="00A56A3D">
        <w:tc>
          <w:tcPr>
            <w:tcW w:w="8771" w:type="dxa"/>
            <w:tcBorders>
              <w:top w:val="nil"/>
              <w:left w:val="nil"/>
              <w:bottom w:val="single" w:sz="6" w:space="0" w:color="78A22F"/>
              <w:right w:val="nil"/>
            </w:tcBorders>
            <w:shd w:val="clear" w:color="auto" w:fill="F2F2F2"/>
          </w:tcPr>
          <w:p w14:paraId="48DCB098" w14:textId="77777777" w:rsidR="00AC7F60" w:rsidRDefault="00AC7F60">
            <w:pPr>
              <w:pStyle w:val="Box"/>
              <w:spacing w:before="0" w:line="120" w:lineRule="exact"/>
            </w:pPr>
          </w:p>
        </w:tc>
      </w:tr>
      <w:tr w:rsidR="00AC7F60" w:rsidRPr="000863A5" w14:paraId="224A70DC" w14:textId="77777777" w:rsidTr="00A56A3D">
        <w:tc>
          <w:tcPr>
            <w:tcW w:w="8771" w:type="dxa"/>
            <w:tcBorders>
              <w:top w:val="single" w:sz="6" w:space="0" w:color="78A22F"/>
              <w:left w:val="nil"/>
              <w:bottom w:val="nil"/>
              <w:right w:val="nil"/>
            </w:tcBorders>
          </w:tcPr>
          <w:p w14:paraId="34B51745" w14:textId="729501FF" w:rsidR="00AC7F60" w:rsidRPr="00626D32" w:rsidRDefault="00AC7F60" w:rsidP="00A56A3D">
            <w:pPr>
              <w:pStyle w:val="BoxSpaceBelow"/>
            </w:pPr>
          </w:p>
        </w:tc>
      </w:tr>
    </w:tbl>
    <w:p w14:paraId="1CD863A4" w14:textId="22CABB19" w:rsidR="00115EE0" w:rsidRPr="001B7108" w:rsidRDefault="003C401F" w:rsidP="009F59E7">
      <w:pPr>
        <w:pStyle w:val="BodyText"/>
      </w:pPr>
      <w:r w:rsidRPr="003C401F">
        <w:t>Nationally in 2015</w:t>
      </w:r>
      <w:r w:rsidR="007E335A">
        <w:noBreakHyphen/>
      </w:r>
      <w:r w:rsidRPr="003C401F">
        <w:t>16, 28.7 per cent of clients with an identified need for accommodation did not have this need met (figure</w:t>
      </w:r>
      <w:r w:rsidR="007E335A">
        <w:t> </w:t>
      </w:r>
      <w:r w:rsidRPr="003C401F">
        <w:t>19.4), up from 25.9 per cent in 2014</w:t>
      </w:r>
      <w:r w:rsidR="007E335A">
        <w:noBreakHyphen/>
      </w:r>
      <w:r w:rsidRPr="003C401F">
        <w:t>15 (table</w:t>
      </w:r>
      <w:r w:rsidR="007E335A">
        <w:t> </w:t>
      </w:r>
      <w:proofErr w:type="spellStart"/>
      <w:r w:rsidRPr="003C401F">
        <w:t>19A.9</w:t>
      </w:r>
      <w:proofErr w:type="spellEnd"/>
      <w:r w:rsidRPr="003C401F">
        <w:t>). On average in 2015</w:t>
      </w:r>
      <w:r w:rsidR="007E335A">
        <w:noBreakHyphen/>
      </w:r>
      <w:r w:rsidRPr="003C401F">
        <w:t>16, there were 185.1 unassisted requests for accommodation services a day nationally, a decrease from 2</w:t>
      </w:r>
      <w:r w:rsidR="005F255C">
        <w:t>21.7 in 2014</w:t>
      </w:r>
      <w:r w:rsidR="007E335A">
        <w:noBreakHyphen/>
      </w:r>
      <w:r w:rsidR="005F255C">
        <w:t>15 (table</w:t>
      </w:r>
      <w:r w:rsidR="007E335A">
        <w:t> </w:t>
      </w:r>
      <w:proofErr w:type="spellStart"/>
      <w:r w:rsidR="005F255C">
        <w:t>19A.10</w:t>
      </w:r>
      <w:proofErr w:type="spellEnd"/>
      <w:r w:rsidR="005F255C">
        <w:t>).</w:t>
      </w:r>
    </w:p>
    <w:p w14:paraId="574EC01A" w14:textId="75BFF665" w:rsidR="00A92F5C" w:rsidRPr="009F59E7" w:rsidRDefault="00A92F5C" w:rsidP="009F59E7">
      <w:pPr>
        <w:pStyle w:val="BodyText"/>
      </w:pPr>
      <w:r w:rsidRPr="00A92F5C">
        <w:t>Nationally in 2015</w:t>
      </w:r>
      <w:r w:rsidR="007E335A">
        <w:noBreakHyphen/>
      </w:r>
      <w:r w:rsidRPr="00A92F5C">
        <w:t xml:space="preserve">16, clients with unmet demand for services other than accommodation accounted for 2.5 per cent of the total demand for </w:t>
      </w:r>
      <w:r w:rsidR="00580855">
        <w:t>tho</w:t>
      </w:r>
      <w:r>
        <w:t xml:space="preserve">se </w:t>
      </w:r>
      <w:r w:rsidRPr="00A92F5C">
        <w:t>services (table</w:t>
      </w:r>
      <w:r w:rsidR="007E335A">
        <w:t> </w:t>
      </w:r>
      <w:proofErr w:type="spellStart"/>
      <w:r w:rsidRPr="00A92F5C">
        <w:t>19A.9</w:t>
      </w:r>
      <w:proofErr w:type="spellEnd"/>
      <w:r w:rsidRPr="00A92F5C">
        <w:t>). On average in 2015</w:t>
      </w:r>
      <w:r w:rsidR="007E335A">
        <w:noBreakHyphen/>
      </w:r>
      <w:r w:rsidRPr="00A92F5C">
        <w:t xml:space="preserve">16, there </w:t>
      </w:r>
      <w:r w:rsidRPr="006620FF">
        <w:t>were</w:t>
      </w:r>
      <w:r w:rsidR="00FD7CDC" w:rsidRPr="006620FF">
        <w:t xml:space="preserve"> 77.5 u</w:t>
      </w:r>
      <w:r w:rsidRPr="006620FF">
        <w:t>nassisted</w:t>
      </w:r>
      <w:r w:rsidRPr="00A92F5C">
        <w:t xml:space="preserve"> requests for services other than accommodation a day nationally (table</w:t>
      </w:r>
      <w:r w:rsidR="007E335A">
        <w:t> </w:t>
      </w:r>
      <w:proofErr w:type="spellStart"/>
      <w:r w:rsidRPr="00A92F5C">
        <w:t>19A.10</w:t>
      </w:r>
      <w:proofErr w:type="spellEnd"/>
      <w:r w:rsidRPr="00A92F5C">
        <w:t>).</w:t>
      </w:r>
    </w:p>
    <w:p w14:paraId="488A1DEF" w14:textId="77777777" w:rsidR="007C35E2" w:rsidRDefault="007C35E2" w:rsidP="005256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35E2" w14:paraId="42998190" w14:textId="77777777" w:rsidTr="005256BE">
        <w:tc>
          <w:tcPr>
            <w:tcW w:w="8771" w:type="dxa"/>
            <w:tcBorders>
              <w:top w:val="single" w:sz="6" w:space="0" w:color="78A22F"/>
              <w:left w:val="nil"/>
              <w:bottom w:val="nil"/>
              <w:right w:val="nil"/>
            </w:tcBorders>
            <w:shd w:val="clear" w:color="auto" w:fill="auto"/>
          </w:tcPr>
          <w:p w14:paraId="75AB2AE5" w14:textId="4F090CED" w:rsidR="007C35E2" w:rsidRPr="00176D3F" w:rsidRDefault="007C35E2" w:rsidP="00E35353">
            <w:pPr>
              <w:pStyle w:val="FigureTitle"/>
            </w:pPr>
            <w:r w:rsidRPr="00784A05">
              <w:rPr>
                <w:b w:val="0"/>
              </w:rPr>
              <w:t xml:space="preserve">Figure </w:t>
            </w:r>
            <w:r w:rsidR="00270FDD">
              <w:rPr>
                <w:b w:val="0"/>
              </w:rPr>
              <w:t>19.</w:t>
            </w:r>
            <w:r w:rsidR="00087EB6">
              <w:rPr>
                <w:b w:val="0"/>
                <w:noProof/>
              </w:rPr>
              <w:t>4</w:t>
            </w:r>
            <w:r>
              <w:tab/>
            </w:r>
            <w:r w:rsidRPr="00E1188F">
              <w:t>Proportion of clients with unmet need for accommodation services</w:t>
            </w:r>
            <w:r w:rsidRPr="00E1188F">
              <w:rPr>
                <w:rStyle w:val="NoteLabel"/>
                <w:b/>
              </w:rPr>
              <w:t>a</w:t>
            </w:r>
          </w:p>
        </w:tc>
      </w:tr>
      <w:tr w:rsidR="007C35E2" w14:paraId="3AE75D9D" w14:textId="77777777" w:rsidTr="005256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C35E2" w14:paraId="6E224611" w14:textId="77777777" w:rsidTr="0044512A">
              <w:trPr>
                <w:jc w:val="center"/>
              </w:trPr>
              <w:tc>
                <w:tcPr>
                  <w:tcW w:w="8504" w:type="dxa"/>
                  <w:tcBorders>
                    <w:top w:val="nil"/>
                    <w:bottom w:val="nil"/>
                  </w:tcBorders>
                </w:tcPr>
                <w:p w14:paraId="160C3A38" w14:textId="77777777" w:rsidR="007C35E2" w:rsidRDefault="00010A60" w:rsidP="003479C2">
                  <w:pPr>
                    <w:pStyle w:val="Figure"/>
                    <w:spacing w:before="0"/>
                    <w:jc w:val="left"/>
                  </w:pPr>
                  <w:r>
                    <w:rPr>
                      <w:noProof/>
                    </w:rPr>
                    <w:drawing>
                      <wp:inline distT="0" distB="0" distL="0" distR="0" wp14:anchorId="44905D56" wp14:editId="50AE1A7D">
                        <wp:extent cx="5365115" cy="2694940"/>
                        <wp:effectExtent l="0" t="0" r="6985" b="0"/>
                        <wp:docPr id="1" name="Picture 1" descr="Figure 19.4 Proportion of clients with unmet need for accommodation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5115" cy="2694940"/>
                                </a:xfrm>
                                <a:prstGeom prst="rect">
                                  <a:avLst/>
                                </a:prstGeom>
                                <a:noFill/>
                              </pic:spPr>
                            </pic:pic>
                          </a:graphicData>
                        </a:graphic>
                      </wp:inline>
                    </w:drawing>
                  </w:r>
                </w:p>
              </w:tc>
            </w:tr>
          </w:tbl>
          <w:p w14:paraId="33E6DE35" w14:textId="77777777" w:rsidR="007C35E2" w:rsidRDefault="007C35E2" w:rsidP="005256BE">
            <w:pPr>
              <w:pStyle w:val="Figure"/>
            </w:pPr>
          </w:p>
        </w:tc>
      </w:tr>
      <w:tr w:rsidR="007C35E2" w:rsidRPr="00176D3F" w14:paraId="4D6F8525" w14:textId="77777777" w:rsidTr="005256BE">
        <w:tc>
          <w:tcPr>
            <w:tcW w:w="8771" w:type="dxa"/>
            <w:tcBorders>
              <w:top w:val="nil"/>
              <w:left w:val="nil"/>
              <w:bottom w:val="nil"/>
              <w:right w:val="nil"/>
            </w:tcBorders>
            <w:shd w:val="clear" w:color="auto" w:fill="auto"/>
          </w:tcPr>
          <w:p w14:paraId="58FF1904" w14:textId="7C14FD1E" w:rsidR="007C35E2" w:rsidRPr="00096F38" w:rsidRDefault="007C35E2" w:rsidP="0040797B">
            <w:pPr>
              <w:pStyle w:val="Note"/>
              <w:rPr>
                <w:szCs w:val="18"/>
              </w:rPr>
            </w:pPr>
            <w:r>
              <w:rPr>
                <w:rStyle w:val="NoteLabel"/>
              </w:rPr>
              <w:t>a</w:t>
            </w:r>
            <w:r>
              <w:t xml:space="preserve"> </w:t>
            </w:r>
            <w:r w:rsidRPr="006D3797">
              <w:t>See box</w:t>
            </w:r>
            <w:r w:rsidR="007E335A">
              <w:t> </w:t>
            </w:r>
            <w:r w:rsidR="00B85E67">
              <w:t>19.</w:t>
            </w:r>
            <w:r w:rsidR="0040797B">
              <w:t>3</w:t>
            </w:r>
            <w:r w:rsidR="00B85E67">
              <w:t xml:space="preserve"> </w:t>
            </w:r>
            <w:r w:rsidRPr="006D3797">
              <w:t>and table</w:t>
            </w:r>
            <w:r w:rsidR="007E335A">
              <w:t> </w:t>
            </w:r>
            <w:proofErr w:type="spellStart"/>
            <w:r w:rsidR="00650891">
              <w:t>19A</w:t>
            </w:r>
            <w:r w:rsidRPr="006D3797">
              <w:t>.</w:t>
            </w:r>
            <w:r w:rsidR="00507797">
              <w:t>9</w:t>
            </w:r>
            <w:proofErr w:type="spellEnd"/>
            <w:r w:rsidR="00F50E36">
              <w:t xml:space="preserve"> </w:t>
            </w:r>
            <w:r w:rsidRPr="006D3797">
              <w:t>for detailed definitions, footnotes and caveats</w:t>
            </w:r>
            <w:r>
              <w:t>.</w:t>
            </w:r>
          </w:p>
        </w:tc>
      </w:tr>
      <w:tr w:rsidR="007C35E2" w:rsidRPr="00176D3F" w14:paraId="096D8F5B" w14:textId="77777777" w:rsidTr="005256BE">
        <w:tc>
          <w:tcPr>
            <w:tcW w:w="8771" w:type="dxa"/>
            <w:tcBorders>
              <w:top w:val="nil"/>
              <w:left w:val="nil"/>
              <w:bottom w:val="nil"/>
              <w:right w:val="nil"/>
            </w:tcBorders>
            <w:shd w:val="clear" w:color="auto" w:fill="auto"/>
          </w:tcPr>
          <w:p w14:paraId="4A53BC59" w14:textId="3AB03C55" w:rsidR="007C35E2" w:rsidRPr="00176D3F" w:rsidRDefault="007C35E2" w:rsidP="00507797">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000C1770" w:rsidRPr="000C1770">
              <w:rPr>
                <w:color w:val="000000" w:themeColor="text1"/>
              </w:rPr>
              <w:t>Specialist Homelessness Services Collection</w:t>
            </w:r>
            <w:r>
              <w:rPr>
                <w:i/>
                <w:color w:val="000000" w:themeColor="text1"/>
              </w:rPr>
              <w:t>;</w:t>
            </w:r>
            <w:r w:rsidRPr="00421C75">
              <w:rPr>
                <w:color w:val="000000" w:themeColor="text1"/>
              </w:rPr>
              <w:t xml:space="preserve"> table</w:t>
            </w:r>
            <w:r w:rsidR="007E335A">
              <w:rPr>
                <w:color w:val="000000" w:themeColor="text1"/>
              </w:rPr>
              <w:t> </w:t>
            </w:r>
            <w:proofErr w:type="spellStart"/>
            <w:r w:rsidR="00650891">
              <w:rPr>
                <w:color w:val="000000" w:themeColor="text1"/>
              </w:rPr>
              <w:t>19A</w:t>
            </w:r>
            <w:r w:rsidRPr="00421C75">
              <w:rPr>
                <w:color w:val="000000" w:themeColor="text1"/>
              </w:rPr>
              <w:t>.</w:t>
            </w:r>
            <w:r w:rsidR="00507797">
              <w:rPr>
                <w:color w:val="000000" w:themeColor="text1"/>
              </w:rPr>
              <w:t>9</w:t>
            </w:r>
            <w:proofErr w:type="spellEnd"/>
            <w:r w:rsidRPr="00421C75">
              <w:rPr>
                <w:color w:val="000000" w:themeColor="text1"/>
              </w:rPr>
              <w:t>.</w:t>
            </w:r>
          </w:p>
        </w:tc>
      </w:tr>
      <w:tr w:rsidR="007C35E2" w14:paraId="58B56B6E" w14:textId="77777777" w:rsidTr="005256BE">
        <w:tc>
          <w:tcPr>
            <w:tcW w:w="8771" w:type="dxa"/>
            <w:tcBorders>
              <w:top w:val="nil"/>
              <w:left w:val="nil"/>
              <w:bottom w:val="single" w:sz="6" w:space="0" w:color="78A22F"/>
              <w:right w:val="nil"/>
            </w:tcBorders>
            <w:shd w:val="clear" w:color="auto" w:fill="auto"/>
          </w:tcPr>
          <w:p w14:paraId="4B21548C" w14:textId="77777777" w:rsidR="007C35E2" w:rsidRDefault="007C35E2" w:rsidP="005256BE">
            <w:pPr>
              <w:pStyle w:val="Figurespace"/>
            </w:pPr>
          </w:p>
        </w:tc>
      </w:tr>
      <w:tr w:rsidR="007C35E2" w:rsidRPr="000863A5" w14:paraId="3C03C115" w14:textId="77777777" w:rsidTr="005256BE">
        <w:tc>
          <w:tcPr>
            <w:tcW w:w="8771" w:type="dxa"/>
            <w:tcBorders>
              <w:top w:val="single" w:sz="6" w:space="0" w:color="78A22F"/>
              <w:left w:val="nil"/>
              <w:bottom w:val="nil"/>
              <w:right w:val="nil"/>
            </w:tcBorders>
          </w:tcPr>
          <w:p w14:paraId="42E73C5E" w14:textId="77777777" w:rsidR="007C35E2" w:rsidRPr="00626D32" w:rsidRDefault="007C35E2" w:rsidP="005256BE">
            <w:pPr>
              <w:pStyle w:val="BoxSpaceBelow"/>
            </w:pPr>
          </w:p>
        </w:tc>
      </w:tr>
    </w:tbl>
    <w:p w14:paraId="771321C9" w14:textId="77777777" w:rsidR="000707E5" w:rsidRPr="007C35E2" w:rsidRDefault="000707E5" w:rsidP="007C35E2">
      <w:pPr>
        <w:pStyle w:val="Heading4"/>
      </w:pPr>
      <w:r w:rsidRPr="007C35E2">
        <w:t>Appropriateness — Development of a case management plan</w:t>
      </w:r>
    </w:p>
    <w:p w14:paraId="34041016" w14:textId="38CE5081" w:rsidR="000707E5" w:rsidRDefault="000707E5" w:rsidP="000707E5">
      <w:pPr>
        <w:pStyle w:val="BodyText"/>
        <w:spacing w:after="240"/>
      </w:pPr>
      <w:r>
        <w:t>‘</w:t>
      </w:r>
      <w:r w:rsidRPr="004F17C9">
        <w:t xml:space="preserve">Development of </w:t>
      </w:r>
      <w:r>
        <w:t xml:space="preserve">a case management </w:t>
      </w:r>
      <w:r w:rsidRPr="004F17C9">
        <w:t xml:space="preserve">plan’ is an </w:t>
      </w:r>
      <w:r w:rsidRPr="00B12608">
        <w:t xml:space="preserve">indicator of governments’ objective to </w:t>
      </w:r>
      <w:r w:rsidR="00C72B9D" w:rsidRPr="00B12608">
        <w:t xml:space="preserve">identify and address the needs of individuals </w:t>
      </w:r>
      <w:r>
        <w:t>(box</w:t>
      </w:r>
      <w:r w:rsidR="007E335A">
        <w:t> </w:t>
      </w:r>
      <w:r w:rsidR="00F3288D">
        <w:t>19.</w:t>
      </w:r>
      <w:r w:rsidR="00DA5239">
        <w:t>4</w:t>
      </w:r>
      <w:r>
        <w:t>).</w:t>
      </w:r>
    </w:p>
    <w:p w14:paraId="1AE9DD68" w14:textId="77777777" w:rsidR="00096F38" w:rsidRDefault="00096F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6F38" w14:paraId="5744F9C1" w14:textId="77777777" w:rsidTr="005256BE">
        <w:tc>
          <w:tcPr>
            <w:tcW w:w="8771" w:type="dxa"/>
            <w:tcBorders>
              <w:top w:val="single" w:sz="6" w:space="0" w:color="78A22F"/>
              <w:left w:val="nil"/>
              <w:bottom w:val="nil"/>
              <w:right w:val="nil"/>
            </w:tcBorders>
            <w:shd w:val="clear" w:color="auto" w:fill="F2F2F2"/>
          </w:tcPr>
          <w:p w14:paraId="18DFA837" w14:textId="5D4B5815" w:rsidR="00096F38" w:rsidRDefault="00096F38" w:rsidP="00096F38">
            <w:pPr>
              <w:pStyle w:val="BoxTitle"/>
            </w:pPr>
            <w:r>
              <w:rPr>
                <w:b w:val="0"/>
              </w:rPr>
              <w:t xml:space="preserve">Box </w:t>
            </w:r>
            <w:bookmarkStart w:id="19" w:name="OLE_LINK5"/>
            <w:r w:rsidR="00A40722">
              <w:rPr>
                <w:b w:val="0"/>
              </w:rPr>
              <w:t>19.</w:t>
            </w:r>
            <w:r w:rsidR="00087EB6">
              <w:rPr>
                <w:b w:val="0"/>
                <w:noProof/>
              </w:rPr>
              <w:t>4</w:t>
            </w:r>
            <w:bookmarkEnd w:id="19"/>
            <w:r>
              <w:tab/>
            </w:r>
            <w:r w:rsidRPr="00E1188F">
              <w:t>Development of a case management plan</w:t>
            </w:r>
          </w:p>
        </w:tc>
      </w:tr>
      <w:tr w:rsidR="00096F38" w14:paraId="7E5A7549" w14:textId="77777777" w:rsidTr="005256BE">
        <w:trPr>
          <w:cantSplit/>
        </w:trPr>
        <w:tc>
          <w:tcPr>
            <w:tcW w:w="8771" w:type="dxa"/>
            <w:tcBorders>
              <w:top w:val="nil"/>
              <w:left w:val="nil"/>
              <w:bottom w:val="nil"/>
              <w:right w:val="nil"/>
            </w:tcBorders>
            <w:shd w:val="clear" w:color="auto" w:fill="F2F2F2"/>
          </w:tcPr>
          <w:p w14:paraId="0C2E4EA9" w14:textId="77777777" w:rsidR="00423436" w:rsidRDefault="00096F38" w:rsidP="00096F38">
            <w:pPr>
              <w:pStyle w:val="Box"/>
              <w:rPr>
                <w:bCs/>
              </w:rPr>
            </w:pPr>
            <w:r w:rsidRPr="00E1188F">
              <w:rPr>
                <w:bCs/>
              </w:rPr>
              <w:t xml:space="preserve">‘Development of a case management plan’ is defined as the number of closed support periods </w:t>
            </w:r>
            <w:r>
              <w:rPr>
                <w:bCs/>
              </w:rPr>
              <w:t xml:space="preserve">with an </w:t>
            </w:r>
            <w:r w:rsidRPr="00E1188F">
              <w:rPr>
                <w:bCs/>
              </w:rPr>
              <w:t>agreed case management plan divided by the total number of c</w:t>
            </w:r>
            <w:r>
              <w:rPr>
                <w:bCs/>
              </w:rPr>
              <w:t>losed support periods.</w:t>
            </w:r>
          </w:p>
          <w:p w14:paraId="39602355" w14:textId="390D9D62" w:rsidR="00FC2E0B" w:rsidRPr="001B7108" w:rsidRDefault="00096F38" w:rsidP="00FA579E">
            <w:pPr>
              <w:pStyle w:val="Box"/>
            </w:pPr>
            <w:r w:rsidRPr="00132847">
              <w:t>A high or increasing proportion of support periods where clients have an agreed case management plan is desirable. However, in some instances, a support plan may be judged to be inappropriate (such as when a support period is short term, for example 24 hours, or in the case of jurisdictions with central intake agencies)</w:t>
            </w:r>
            <w:r w:rsidR="003B7119">
              <w:t>.</w:t>
            </w:r>
          </w:p>
          <w:p w14:paraId="1209C3B3" w14:textId="77777777" w:rsidR="00096F38" w:rsidRPr="00E1188F" w:rsidRDefault="00096F38" w:rsidP="00096F38">
            <w:pPr>
              <w:pStyle w:val="Box"/>
            </w:pPr>
            <w:r w:rsidRPr="00E1188F">
              <w:t>Data reported for this indicator are:</w:t>
            </w:r>
          </w:p>
          <w:p w14:paraId="1BA567B2" w14:textId="77777777" w:rsidR="00096F38" w:rsidRPr="00E1188F" w:rsidRDefault="00096F38" w:rsidP="00096F38">
            <w:pPr>
              <w:pStyle w:val="BoxListBullet"/>
            </w:pPr>
            <w:r w:rsidRPr="00E1188F">
              <w:t>comparable (subject to caveats) across jurisdictions and over time</w:t>
            </w:r>
          </w:p>
          <w:p w14:paraId="3387DDF3" w14:textId="31D7F89D" w:rsidR="00096F38" w:rsidRPr="005A710D" w:rsidRDefault="00096F38" w:rsidP="008779AC">
            <w:pPr>
              <w:pStyle w:val="BoxListBullet"/>
              <w:rPr>
                <w:bCs/>
              </w:rPr>
            </w:pPr>
            <w:r w:rsidRPr="00E1188F">
              <w:t xml:space="preserve">complete for the current </w:t>
            </w:r>
            <w:r>
              <w:t>reporting period. All required</w:t>
            </w:r>
            <w:r w:rsidR="008779AC">
              <w:t xml:space="preserve"> 2015</w:t>
            </w:r>
            <w:r w:rsidR="007E335A">
              <w:noBreakHyphen/>
            </w:r>
            <w:r w:rsidR="008779AC">
              <w:t>16</w:t>
            </w:r>
            <w:r>
              <w:t xml:space="preserve"> </w:t>
            </w:r>
            <w:r w:rsidRPr="00E1188F">
              <w:t>data are available for all jurisdictions.</w:t>
            </w:r>
          </w:p>
        </w:tc>
      </w:tr>
      <w:tr w:rsidR="00096F38" w14:paraId="4906F633" w14:textId="77777777" w:rsidTr="005256BE">
        <w:trPr>
          <w:cantSplit/>
        </w:trPr>
        <w:tc>
          <w:tcPr>
            <w:tcW w:w="8771" w:type="dxa"/>
            <w:tcBorders>
              <w:top w:val="nil"/>
              <w:left w:val="nil"/>
              <w:bottom w:val="single" w:sz="6" w:space="0" w:color="78A22F"/>
              <w:right w:val="nil"/>
            </w:tcBorders>
            <w:shd w:val="clear" w:color="auto" w:fill="F2F2F2"/>
          </w:tcPr>
          <w:p w14:paraId="6F5272B1" w14:textId="77777777" w:rsidR="00096F38" w:rsidRDefault="00096F38">
            <w:pPr>
              <w:pStyle w:val="Box"/>
              <w:spacing w:before="0" w:line="120" w:lineRule="exact"/>
            </w:pPr>
          </w:p>
        </w:tc>
      </w:tr>
      <w:tr w:rsidR="00096F38" w:rsidRPr="000863A5" w14:paraId="7DFFEEB7" w14:textId="77777777" w:rsidTr="005256BE">
        <w:tc>
          <w:tcPr>
            <w:tcW w:w="8771" w:type="dxa"/>
            <w:tcBorders>
              <w:top w:val="single" w:sz="6" w:space="0" w:color="78A22F"/>
              <w:left w:val="nil"/>
              <w:bottom w:val="nil"/>
              <w:right w:val="nil"/>
            </w:tcBorders>
          </w:tcPr>
          <w:p w14:paraId="2B1FCCC8" w14:textId="77777777" w:rsidR="00096F38" w:rsidRPr="00626D32" w:rsidRDefault="00096F38" w:rsidP="005256BE">
            <w:pPr>
              <w:pStyle w:val="BoxSpaceBelow"/>
            </w:pPr>
          </w:p>
        </w:tc>
      </w:tr>
    </w:tbl>
    <w:p w14:paraId="5E75EF6B" w14:textId="673FEEB5" w:rsidR="00096F38" w:rsidRDefault="00423436" w:rsidP="000707E5">
      <w:pPr>
        <w:pStyle w:val="BodyText"/>
      </w:pPr>
      <w:r w:rsidRPr="00423436">
        <w:t>Nationally in 2015</w:t>
      </w:r>
      <w:r w:rsidR="007E335A">
        <w:noBreakHyphen/>
      </w:r>
      <w:r w:rsidRPr="00423436">
        <w:t>16, there was an agreed case management plan for clients in 50.1 per cent of closed support periods (59.1 per cent for Aboriginal and Torres Strait Islander clients). These proportions varied across jurisdictions (figure</w:t>
      </w:r>
      <w:r w:rsidR="007E335A">
        <w:t> </w:t>
      </w:r>
      <w:r w:rsidRPr="00423436">
        <w:t>19.5 and tables</w:t>
      </w:r>
      <w:r w:rsidR="007E335A">
        <w:t> </w:t>
      </w:r>
      <w:proofErr w:type="spellStart"/>
      <w:r w:rsidRPr="00423436">
        <w:t>19A.11</w:t>
      </w:r>
      <w:proofErr w:type="spellEnd"/>
      <w:r w:rsidR="00F950D7">
        <w:t>–</w:t>
      </w:r>
      <w:r w:rsidRPr="00423436">
        <w:t>12).</w:t>
      </w:r>
    </w:p>
    <w:p w14:paraId="6D6ECF55" w14:textId="77777777" w:rsidR="001937C6" w:rsidRDefault="001937C6"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37C6" w14:paraId="70C40D60" w14:textId="77777777" w:rsidTr="004736EC">
        <w:tc>
          <w:tcPr>
            <w:tcW w:w="8771" w:type="dxa"/>
            <w:tcBorders>
              <w:top w:val="single" w:sz="6" w:space="0" w:color="78A22F"/>
              <w:left w:val="nil"/>
              <w:bottom w:val="nil"/>
              <w:right w:val="nil"/>
            </w:tcBorders>
            <w:shd w:val="clear" w:color="auto" w:fill="auto"/>
          </w:tcPr>
          <w:p w14:paraId="4F14EC8F" w14:textId="40C59992" w:rsidR="001937C6" w:rsidRPr="00176D3F" w:rsidRDefault="001937C6" w:rsidP="004E7D43">
            <w:pPr>
              <w:pStyle w:val="FigureTitle"/>
            </w:pPr>
            <w:r w:rsidRPr="00784A05">
              <w:rPr>
                <w:b w:val="0"/>
              </w:rPr>
              <w:t xml:space="preserve">Figure </w:t>
            </w:r>
            <w:r w:rsidR="00A40722">
              <w:rPr>
                <w:b w:val="0"/>
              </w:rPr>
              <w:t>19.</w:t>
            </w:r>
            <w:r w:rsidR="00087EB6">
              <w:rPr>
                <w:b w:val="0"/>
                <w:noProof/>
              </w:rPr>
              <w:t>5</w:t>
            </w:r>
            <w:r>
              <w:tab/>
              <w:t xml:space="preserve">Proportion of closed support periods with an agreed case management plan, </w:t>
            </w:r>
            <w:r w:rsidRPr="00C669A0">
              <w:t>all clients</w:t>
            </w:r>
            <w:r w:rsidRPr="00C669A0">
              <w:rPr>
                <w:rStyle w:val="NoteLabel"/>
                <w:b/>
              </w:rPr>
              <w:t>a</w:t>
            </w:r>
          </w:p>
        </w:tc>
      </w:tr>
      <w:tr w:rsidR="001937C6" w14:paraId="091A2FC7" w14:textId="77777777"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937C6" w14:paraId="7F729AA0" w14:textId="77777777" w:rsidTr="000C1770">
              <w:trPr>
                <w:jc w:val="center"/>
              </w:trPr>
              <w:tc>
                <w:tcPr>
                  <w:tcW w:w="5000" w:type="pct"/>
                  <w:tcBorders>
                    <w:top w:val="nil"/>
                    <w:bottom w:val="nil"/>
                  </w:tcBorders>
                </w:tcPr>
                <w:p w14:paraId="2C421D81" w14:textId="77777777" w:rsidR="001937C6" w:rsidRDefault="009F6F2A" w:rsidP="004736EC">
                  <w:pPr>
                    <w:pStyle w:val="Figure"/>
                    <w:spacing w:before="60" w:after="60"/>
                  </w:pPr>
                  <w:r>
                    <w:rPr>
                      <w:noProof/>
                    </w:rPr>
                    <w:drawing>
                      <wp:inline distT="0" distB="0" distL="0" distR="0" wp14:anchorId="143FD0DF" wp14:editId="0CAA92A8">
                        <wp:extent cx="5401310" cy="2694940"/>
                        <wp:effectExtent l="0" t="0" r="8890" b="0"/>
                        <wp:docPr id="7" name="Picture 7" descr="Figure 19.5 Proportion of closed support periods with an agreed case management plan, all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2694940"/>
                                </a:xfrm>
                                <a:prstGeom prst="rect">
                                  <a:avLst/>
                                </a:prstGeom>
                                <a:noFill/>
                              </pic:spPr>
                            </pic:pic>
                          </a:graphicData>
                        </a:graphic>
                      </wp:inline>
                    </w:drawing>
                  </w:r>
                </w:p>
              </w:tc>
            </w:tr>
          </w:tbl>
          <w:p w14:paraId="6AA2F83D" w14:textId="77777777" w:rsidR="001937C6" w:rsidRDefault="001937C6" w:rsidP="004736EC">
            <w:pPr>
              <w:pStyle w:val="Figure"/>
            </w:pPr>
          </w:p>
        </w:tc>
      </w:tr>
      <w:tr w:rsidR="001937C6" w:rsidRPr="00176D3F" w14:paraId="562C1D43" w14:textId="77777777" w:rsidTr="004736EC">
        <w:tc>
          <w:tcPr>
            <w:tcW w:w="8771" w:type="dxa"/>
            <w:tcBorders>
              <w:top w:val="nil"/>
              <w:left w:val="nil"/>
              <w:bottom w:val="nil"/>
              <w:right w:val="nil"/>
            </w:tcBorders>
            <w:shd w:val="clear" w:color="auto" w:fill="auto"/>
          </w:tcPr>
          <w:p w14:paraId="4CA7A32F" w14:textId="00577F01" w:rsidR="001937C6" w:rsidRPr="00176D3F" w:rsidRDefault="001937C6" w:rsidP="0040797B">
            <w:pPr>
              <w:pStyle w:val="Note"/>
            </w:pPr>
            <w:r>
              <w:rPr>
                <w:rStyle w:val="NoteLabel"/>
              </w:rPr>
              <w:t>a</w:t>
            </w:r>
            <w:r>
              <w:t xml:space="preserve"> </w:t>
            </w:r>
            <w:r w:rsidRPr="006D3797">
              <w:t>See box</w:t>
            </w:r>
            <w:r w:rsidR="007E335A">
              <w:t> </w:t>
            </w:r>
            <w:r w:rsidR="00A40722">
              <w:t>1</w:t>
            </w:r>
            <w:r w:rsidR="00650891">
              <w:t>9</w:t>
            </w:r>
            <w:r w:rsidR="00A40722">
              <w:t>.</w:t>
            </w:r>
            <w:r w:rsidR="0040797B">
              <w:t>4</w:t>
            </w:r>
            <w:r w:rsidRPr="006D3797">
              <w:t xml:space="preserve"> and table</w:t>
            </w:r>
            <w:r w:rsidR="007E335A">
              <w:t> </w:t>
            </w:r>
            <w:proofErr w:type="spellStart"/>
            <w:r w:rsidR="00650891">
              <w:t>19A</w:t>
            </w:r>
            <w:r w:rsidRPr="006D3797">
              <w:t>.</w:t>
            </w:r>
            <w:r>
              <w:t>11</w:t>
            </w:r>
            <w:proofErr w:type="spellEnd"/>
            <w:r w:rsidRPr="006D3797">
              <w:t xml:space="preserve"> for detailed definitions, footnotes and caveats</w:t>
            </w:r>
            <w:r>
              <w:t>.</w:t>
            </w:r>
          </w:p>
        </w:tc>
      </w:tr>
      <w:tr w:rsidR="001937C6" w:rsidRPr="00176D3F" w14:paraId="359BABA2" w14:textId="77777777" w:rsidTr="004736EC">
        <w:tc>
          <w:tcPr>
            <w:tcW w:w="8771" w:type="dxa"/>
            <w:tcBorders>
              <w:top w:val="nil"/>
              <w:left w:val="nil"/>
              <w:bottom w:val="nil"/>
              <w:right w:val="nil"/>
            </w:tcBorders>
            <w:shd w:val="clear" w:color="auto" w:fill="auto"/>
          </w:tcPr>
          <w:p w14:paraId="756B6F59" w14:textId="1862EAC8" w:rsidR="001937C6" w:rsidRPr="00176D3F" w:rsidRDefault="001937C6" w:rsidP="004736EC">
            <w:pPr>
              <w:pStyle w:val="Source"/>
            </w:pPr>
            <w:r>
              <w:rPr>
                <w:i/>
              </w:rPr>
              <w:t>Source</w:t>
            </w:r>
            <w:r w:rsidRPr="007D1EA0">
              <w:t>:</w:t>
            </w:r>
            <w:r>
              <w:rPr>
                <w:i/>
              </w:rPr>
              <w:t xml:space="preserve"> </w:t>
            </w:r>
            <w:proofErr w:type="spellStart"/>
            <w:r>
              <w:t>AIHW</w:t>
            </w:r>
            <w:proofErr w:type="spellEnd"/>
            <w:r>
              <w:t xml:space="preserve"> (unpublished) </w:t>
            </w:r>
            <w:r w:rsidR="000C1770" w:rsidRPr="000C1770">
              <w:t>Specialist Homelessness Services Collection</w:t>
            </w:r>
            <w:r>
              <w:rPr>
                <w:i/>
              </w:rPr>
              <w:t xml:space="preserve">; </w:t>
            </w:r>
            <w:r>
              <w:t>table</w:t>
            </w:r>
            <w:r w:rsidR="007E335A">
              <w:t> </w:t>
            </w:r>
            <w:proofErr w:type="spellStart"/>
            <w:r w:rsidR="00650891">
              <w:t>19A</w:t>
            </w:r>
            <w:r>
              <w:t>.11</w:t>
            </w:r>
            <w:proofErr w:type="spellEnd"/>
            <w:r>
              <w:t>.</w:t>
            </w:r>
          </w:p>
        </w:tc>
      </w:tr>
      <w:tr w:rsidR="001937C6" w14:paraId="13244341" w14:textId="77777777" w:rsidTr="004736EC">
        <w:tc>
          <w:tcPr>
            <w:tcW w:w="8771" w:type="dxa"/>
            <w:tcBorders>
              <w:top w:val="nil"/>
              <w:left w:val="nil"/>
              <w:bottom w:val="single" w:sz="6" w:space="0" w:color="78A22F"/>
              <w:right w:val="nil"/>
            </w:tcBorders>
            <w:shd w:val="clear" w:color="auto" w:fill="auto"/>
          </w:tcPr>
          <w:p w14:paraId="30143AE5" w14:textId="77777777" w:rsidR="001937C6" w:rsidRDefault="001937C6" w:rsidP="00DD146D">
            <w:pPr>
              <w:pStyle w:val="Figurespace"/>
              <w:keepNext w:val="0"/>
            </w:pPr>
          </w:p>
        </w:tc>
      </w:tr>
    </w:tbl>
    <w:p w14:paraId="7134C2D7" w14:textId="4FBFC774" w:rsidR="000707E5" w:rsidRPr="008A1E70" w:rsidRDefault="000707E5" w:rsidP="004A5C36">
      <w:pPr>
        <w:pStyle w:val="Heading4"/>
      </w:pPr>
      <w:r>
        <w:t xml:space="preserve">Appropriateness — </w:t>
      </w:r>
      <w:r w:rsidR="0029211A">
        <w:t>Match of needs of clients</w:t>
      </w:r>
    </w:p>
    <w:p w14:paraId="1023B515" w14:textId="5551F580" w:rsidR="000707E5" w:rsidRDefault="000707E5" w:rsidP="00A225CD">
      <w:pPr>
        <w:pStyle w:val="BodyText"/>
        <w:spacing w:after="240"/>
      </w:pPr>
      <w:r w:rsidRPr="004F17C9">
        <w:t xml:space="preserve">‘Match of needs of clients’ is an </w:t>
      </w:r>
      <w:r w:rsidRPr="00B12608">
        <w:t>indicator of governments’ objective to</w:t>
      </w:r>
      <w:r w:rsidR="007E335A">
        <w:t xml:space="preserve"> </w:t>
      </w:r>
      <w:r w:rsidR="00A225CD" w:rsidRPr="00B12608">
        <w:t>address individuals’ needs as appropriate</w:t>
      </w:r>
      <w:r w:rsidR="00B12608" w:rsidRPr="003B7119">
        <w:t xml:space="preserve"> </w:t>
      </w:r>
      <w:r w:rsidRPr="004F17C9">
        <w:t>(box</w:t>
      </w:r>
      <w:r w:rsidR="007E335A">
        <w:t> </w:t>
      </w:r>
      <w:r w:rsidR="0040797B">
        <w:t>19.5</w:t>
      </w:r>
      <w:r>
        <w:t>).</w:t>
      </w:r>
    </w:p>
    <w:p w14:paraId="44E6AD96" w14:textId="77777777" w:rsidR="004A5C36" w:rsidRDefault="004A5C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5C36" w14:paraId="2F5206A6" w14:textId="77777777" w:rsidTr="005256BE">
        <w:tc>
          <w:tcPr>
            <w:tcW w:w="8771" w:type="dxa"/>
            <w:tcBorders>
              <w:top w:val="single" w:sz="6" w:space="0" w:color="78A22F"/>
              <w:left w:val="nil"/>
              <w:bottom w:val="nil"/>
              <w:right w:val="nil"/>
            </w:tcBorders>
            <w:shd w:val="clear" w:color="auto" w:fill="F2F2F2"/>
          </w:tcPr>
          <w:p w14:paraId="609E2DDB" w14:textId="4BBDC305" w:rsidR="004A5C36" w:rsidRDefault="004A5C36" w:rsidP="00B758BC">
            <w:pPr>
              <w:pStyle w:val="BoxTitle"/>
            </w:pPr>
            <w:bookmarkStart w:id="20" w:name="OLE_LINK1"/>
            <w:r>
              <w:rPr>
                <w:b w:val="0"/>
              </w:rPr>
              <w:t xml:space="preserve">Box </w:t>
            </w:r>
            <w:bookmarkStart w:id="21" w:name="OLE_LINK6"/>
            <w:r w:rsidR="00A40722">
              <w:rPr>
                <w:b w:val="0"/>
              </w:rPr>
              <w:t>19.</w:t>
            </w:r>
            <w:r w:rsidR="00087EB6">
              <w:rPr>
                <w:b w:val="0"/>
                <w:noProof/>
              </w:rPr>
              <w:t>5</w:t>
            </w:r>
            <w:bookmarkEnd w:id="20"/>
            <w:bookmarkEnd w:id="21"/>
            <w:r>
              <w:tab/>
            </w:r>
            <w:r w:rsidR="00B758BC" w:rsidRPr="008A1E70">
              <w:t>Match of needs of clients</w:t>
            </w:r>
          </w:p>
        </w:tc>
      </w:tr>
      <w:tr w:rsidR="004A5C36" w14:paraId="5D82A0C4" w14:textId="77777777" w:rsidTr="005256BE">
        <w:trPr>
          <w:cantSplit/>
        </w:trPr>
        <w:tc>
          <w:tcPr>
            <w:tcW w:w="8771" w:type="dxa"/>
            <w:tcBorders>
              <w:top w:val="nil"/>
              <w:left w:val="nil"/>
              <w:bottom w:val="nil"/>
              <w:right w:val="nil"/>
            </w:tcBorders>
            <w:shd w:val="clear" w:color="auto" w:fill="F2F2F2"/>
          </w:tcPr>
          <w:p w14:paraId="78D5CAD8" w14:textId="77777777" w:rsidR="00A56A3D" w:rsidRDefault="00A56A3D" w:rsidP="00B750C9">
            <w:pPr>
              <w:pStyle w:val="Box"/>
            </w:pPr>
            <w:r w:rsidRPr="00A56A3D">
              <w:t>Match of needs of clients</w:t>
            </w:r>
            <w:r>
              <w:t xml:space="preserve"> is defined by the following two measures:</w:t>
            </w:r>
          </w:p>
          <w:p w14:paraId="3CD3B7AE" w14:textId="77777777" w:rsidR="00ED5151" w:rsidRPr="00D867B0" w:rsidRDefault="00A56A3D" w:rsidP="00D867B0">
            <w:pPr>
              <w:pStyle w:val="BoxListBullet"/>
              <w:rPr>
                <w:bCs/>
              </w:rPr>
            </w:pPr>
            <w:r w:rsidRPr="00A56A3D">
              <w:t xml:space="preserve">Match of </w:t>
            </w:r>
            <w:r w:rsidR="00263006">
              <w:t xml:space="preserve">client </w:t>
            </w:r>
            <w:r w:rsidRPr="00A56A3D">
              <w:t xml:space="preserve">needs </w:t>
            </w:r>
            <w:r w:rsidR="00263006">
              <w:t>for</w:t>
            </w:r>
            <w:r w:rsidR="00D23B07">
              <w:t xml:space="preserve"> homelessness services</w:t>
            </w:r>
            <w:r w:rsidR="00D867B0">
              <w:t>, defined as t</w:t>
            </w:r>
            <w:r>
              <w:t>he</w:t>
            </w:r>
            <w:r w:rsidR="00ED5151">
              <w:t xml:space="preserve"> </w:t>
            </w:r>
            <w:r>
              <w:t xml:space="preserve">proportion of clients </w:t>
            </w:r>
            <w:r w:rsidR="00ED5151">
              <w:t xml:space="preserve">with closed support periods who </w:t>
            </w:r>
            <w:r w:rsidR="005256BE">
              <w:t>were</w:t>
            </w:r>
            <w:r>
              <w:t xml:space="preserve"> provided with and/or referred for at least one specialist homelessness service</w:t>
            </w:r>
            <w:r w:rsidRPr="008A1E70">
              <w:t xml:space="preserve"> in at least one support period during the reference year</w:t>
            </w:r>
            <w:r w:rsidR="000913E8">
              <w:t>.</w:t>
            </w:r>
          </w:p>
          <w:p w14:paraId="213A67C1" w14:textId="77777777" w:rsidR="00A56A3D" w:rsidRPr="00B750C9" w:rsidRDefault="00A56A3D" w:rsidP="00C148E2">
            <w:pPr>
              <w:pStyle w:val="BoxListBullet"/>
            </w:pPr>
            <w:r w:rsidRPr="00A56A3D">
              <w:t xml:space="preserve">Match of needs </w:t>
            </w:r>
            <w:r w:rsidR="003B7119">
              <w:t>for</w:t>
            </w:r>
            <w:r w:rsidRPr="00A56A3D">
              <w:t xml:space="preserve"> </w:t>
            </w:r>
            <w:r>
              <w:t>y</w:t>
            </w:r>
            <w:r w:rsidR="00B750C9" w:rsidRPr="00B750C9">
              <w:t>oung clients who needed education and/or training assistance</w:t>
            </w:r>
            <w:r w:rsidR="00D867B0">
              <w:t>, defined as t</w:t>
            </w:r>
            <w:r w:rsidRPr="00A56A3D">
              <w:t>he proportion of</w:t>
            </w:r>
            <w:r>
              <w:t xml:space="preserve"> </w:t>
            </w:r>
            <w:r w:rsidR="00C148E2" w:rsidRPr="00C148E2">
              <w:t xml:space="preserve">clients aged 12–18 years </w:t>
            </w:r>
            <w:r w:rsidR="000913E8" w:rsidRPr="001116F1">
              <w:t>(</w:t>
            </w:r>
            <w:r w:rsidR="00C148E2" w:rsidRPr="001116F1">
              <w:t>with closed support periods</w:t>
            </w:r>
            <w:r w:rsidR="000913E8" w:rsidRPr="001116F1">
              <w:t>)</w:t>
            </w:r>
            <w:r w:rsidR="00C148E2" w:rsidRPr="001116F1">
              <w:t xml:space="preserve"> </w:t>
            </w:r>
            <w:r w:rsidR="00C148E2">
              <w:t xml:space="preserve">with an identified need for </w:t>
            </w:r>
            <w:r w:rsidR="00C148E2" w:rsidRPr="00B750C9">
              <w:t>education and/or training assistance</w:t>
            </w:r>
            <w:r w:rsidR="00C148E2">
              <w:t xml:space="preserve"> </w:t>
            </w:r>
            <w:r>
              <w:t xml:space="preserve">who were </w:t>
            </w:r>
            <w:r w:rsidRPr="00A56A3D">
              <w:t>enrolled in formal study or training at the end of support.</w:t>
            </w:r>
          </w:p>
          <w:p w14:paraId="58AB0CE9" w14:textId="4A1A55F7" w:rsidR="00ED5151" w:rsidRPr="008A1E70" w:rsidRDefault="00ED5151" w:rsidP="00ED5151">
            <w:pPr>
              <w:pStyle w:val="Box"/>
              <w:rPr>
                <w:bCs/>
              </w:rPr>
            </w:pPr>
            <w:r w:rsidRPr="008A1E70">
              <w:rPr>
                <w:bCs/>
              </w:rPr>
              <w:t xml:space="preserve">Holding other factors constant, a high or increasing proportion of clients who received </w:t>
            </w:r>
            <w:r w:rsidR="00D23B07">
              <w:rPr>
                <w:bCs/>
              </w:rPr>
              <w:t xml:space="preserve">the </w:t>
            </w:r>
            <w:r w:rsidRPr="008A1E70">
              <w:rPr>
                <w:bCs/>
              </w:rPr>
              <w:t>services they needed</w:t>
            </w:r>
            <w:r w:rsidR="00E934B9">
              <w:rPr>
                <w:bCs/>
              </w:rPr>
              <w:t xml:space="preserve"> and/</w:t>
            </w:r>
            <w:r w:rsidRPr="008A1E70">
              <w:rPr>
                <w:bCs/>
              </w:rPr>
              <w:t xml:space="preserve"> or </w:t>
            </w:r>
            <w:r w:rsidR="00E934B9">
              <w:rPr>
                <w:bCs/>
              </w:rPr>
              <w:t>were referred to another agency</w:t>
            </w:r>
            <w:r w:rsidRPr="008A1E70">
              <w:rPr>
                <w:bCs/>
              </w:rPr>
              <w:t xml:space="preserve"> is desirable.</w:t>
            </w:r>
          </w:p>
          <w:p w14:paraId="351B3085" w14:textId="23EA5C08" w:rsidR="00ED5151" w:rsidRPr="001B7108" w:rsidRDefault="00ED5151" w:rsidP="009F59E7">
            <w:pPr>
              <w:pStyle w:val="Box"/>
            </w:pPr>
            <w:r w:rsidRPr="008A1E70">
              <w:t xml:space="preserve">Jurisdictions with </w:t>
            </w:r>
            <w:r>
              <w:t xml:space="preserve">some </w:t>
            </w:r>
            <w:r w:rsidRPr="008A1E70">
              <w:t xml:space="preserve">central intake </w:t>
            </w:r>
            <w:r>
              <w:t xml:space="preserve">models </w:t>
            </w:r>
            <w:r w:rsidRPr="008A1E70">
              <w:t xml:space="preserve">may record a relatively high number of clients with unmet need for services because all eligible clients receive an assessment but the provision </w:t>
            </w:r>
            <w:r w:rsidR="001116F1">
              <w:t xml:space="preserve">of </w:t>
            </w:r>
            <w:r w:rsidRPr="008A1E70">
              <w:t xml:space="preserve">or referral </w:t>
            </w:r>
            <w:r w:rsidR="001116F1">
              <w:t>for</w:t>
            </w:r>
            <w:r w:rsidRPr="008A1E70">
              <w:t xml:space="preserve"> service is determined by their level of </w:t>
            </w:r>
            <w:r w:rsidR="00FF2EE3">
              <w:t>need relative to other clients.</w:t>
            </w:r>
          </w:p>
          <w:p w14:paraId="6F212B0A" w14:textId="77777777" w:rsidR="00ED5151" w:rsidRPr="008A1E70" w:rsidRDefault="00ED5151" w:rsidP="00ED5151">
            <w:pPr>
              <w:pStyle w:val="Box"/>
            </w:pPr>
            <w:r w:rsidRPr="008A1E70">
              <w:t>Data reported for these</w:t>
            </w:r>
            <w:r w:rsidR="000D18AC">
              <w:t xml:space="preserve"> </w:t>
            </w:r>
            <w:r w:rsidRPr="008A1E70">
              <w:t>measures are:</w:t>
            </w:r>
          </w:p>
          <w:p w14:paraId="667D1ED5" w14:textId="77777777" w:rsidR="00ED5151" w:rsidRPr="008A1E70" w:rsidRDefault="00ED5151" w:rsidP="00ED5151">
            <w:pPr>
              <w:pStyle w:val="BoxListBullet"/>
            </w:pPr>
            <w:r w:rsidRPr="008A1E70">
              <w:t>comparable (subject to caveats) within jurisdictions over time but are not comparable across jurisdictions</w:t>
            </w:r>
          </w:p>
          <w:p w14:paraId="6914C97D" w14:textId="74E9AB83" w:rsidR="004A5C36" w:rsidRDefault="00ED5151" w:rsidP="00E02EF0">
            <w:pPr>
              <w:pStyle w:val="BoxListBullet"/>
            </w:pPr>
            <w:r w:rsidRPr="008A1E70">
              <w:t xml:space="preserve">complete for the current reporting period. </w:t>
            </w:r>
            <w:r>
              <w:t>All required</w:t>
            </w:r>
            <w:r w:rsidR="00E02EF0">
              <w:t xml:space="preserve"> 2015</w:t>
            </w:r>
            <w:r w:rsidR="007E335A">
              <w:noBreakHyphen/>
            </w:r>
            <w:r w:rsidR="00E02EF0">
              <w:t>16</w:t>
            </w:r>
            <w:r>
              <w:t xml:space="preserve"> </w:t>
            </w:r>
            <w:r w:rsidRPr="008A1E70">
              <w:t>data are available for all jurisdictions</w:t>
            </w:r>
            <w:r>
              <w:t>.</w:t>
            </w:r>
          </w:p>
        </w:tc>
      </w:tr>
      <w:tr w:rsidR="004A5C36" w14:paraId="7CEEE59C" w14:textId="77777777" w:rsidTr="005256BE">
        <w:trPr>
          <w:cantSplit/>
        </w:trPr>
        <w:tc>
          <w:tcPr>
            <w:tcW w:w="8771" w:type="dxa"/>
            <w:tcBorders>
              <w:top w:val="nil"/>
              <w:left w:val="nil"/>
              <w:bottom w:val="single" w:sz="6" w:space="0" w:color="78A22F"/>
              <w:right w:val="nil"/>
            </w:tcBorders>
            <w:shd w:val="clear" w:color="auto" w:fill="F2F2F2"/>
          </w:tcPr>
          <w:p w14:paraId="775E6FAB" w14:textId="77777777" w:rsidR="004A5C36" w:rsidRDefault="004A5C36">
            <w:pPr>
              <w:pStyle w:val="Box"/>
              <w:spacing w:before="0" w:line="120" w:lineRule="exact"/>
            </w:pPr>
          </w:p>
        </w:tc>
      </w:tr>
      <w:tr w:rsidR="004A5C36" w:rsidRPr="000863A5" w14:paraId="2CAD2E20" w14:textId="77777777" w:rsidTr="005256BE">
        <w:tc>
          <w:tcPr>
            <w:tcW w:w="8771" w:type="dxa"/>
            <w:tcBorders>
              <w:top w:val="single" w:sz="6" w:space="0" w:color="78A22F"/>
              <w:left w:val="nil"/>
              <w:bottom w:val="nil"/>
              <w:right w:val="nil"/>
            </w:tcBorders>
          </w:tcPr>
          <w:p w14:paraId="73EB807D" w14:textId="77777777" w:rsidR="004A5C36" w:rsidRPr="00626D32" w:rsidRDefault="004A5C36" w:rsidP="005256BE">
            <w:pPr>
              <w:pStyle w:val="BoxSpaceBelow"/>
            </w:pPr>
          </w:p>
        </w:tc>
      </w:tr>
    </w:tbl>
    <w:p w14:paraId="3183DAF9" w14:textId="77777777" w:rsidR="009737E9" w:rsidRDefault="009737E9" w:rsidP="009737E9">
      <w:pPr>
        <w:pStyle w:val="Heading5"/>
      </w:pPr>
      <w:r w:rsidRPr="00263006">
        <w:t>Match of client needs for homelessness services</w:t>
      </w:r>
    </w:p>
    <w:p w14:paraId="365CCD94" w14:textId="13D64563" w:rsidR="00454647" w:rsidRDefault="00454647" w:rsidP="00720A49">
      <w:pPr>
        <w:pStyle w:val="BodyText"/>
      </w:pPr>
      <w:r>
        <w:t>Nationally in 2015</w:t>
      </w:r>
      <w:r w:rsidR="007E335A">
        <w:noBreakHyphen/>
      </w:r>
      <w:r>
        <w:t xml:space="preserve">16, over </w:t>
      </w:r>
      <w:r w:rsidRPr="006620FF">
        <w:t>half (116</w:t>
      </w:r>
      <w:r w:rsidR="007E335A">
        <w:t> </w:t>
      </w:r>
      <w:r w:rsidRPr="006620FF">
        <w:t>044, or 52.5 per cent) of all</w:t>
      </w:r>
      <w:r>
        <w:t xml:space="preserve"> clients with closed support periods who needed </w:t>
      </w:r>
      <w:r w:rsidRPr="00DF3328">
        <w:t>homelessness services</w:t>
      </w:r>
      <w:r>
        <w:t xml:space="preserve"> needed accommodation or accommodation related assistance (table</w:t>
      </w:r>
      <w:r w:rsidR="007E335A">
        <w:t> </w:t>
      </w:r>
      <w:proofErr w:type="spellStart"/>
      <w:r>
        <w:t>19A.14</w:t>
      </w:r>
      <w:proofErr w:type="spellEnd"/>
      <w:r>
        <w:t>). Of these clients, 68.1 per cent were directly provided with and/or referred for a service (38.0 per cent provided with, 14.0 per cent both provided with and referred for and, 16.1 per cent referred only) (figure 19.6). For other support needs, agencies were able to directly provide and/or refer assistance to 83.4 per cent of clients seeking to sustain tenure and 91.2 per cent of clients seeking domestic and family violence related assistance (figure 19.6).</w:t>
      </w:r>
    </w:p>
    <w:p w14:paraId="27271310" w14:textId="1465E7C5" w:rsidR="004E46AB" w:rsidRDefault="004E46AB" w:rsidP="004E46AB">
      <w:pPr>
        <w:pStyle w:val="BodyText"/>
      </w:pPr>
      <w:r>
        <w:t>Nationally in 2015</w:t>
      </w:r>
      <w:r w:rsidR="007E335A">
        <w:noBreakHyphen/>
      </w:r>
      <w:r>
        <w:t>16, agencies directly provided and/or referred a larger proportion of Aboriginal and Torres Strait Islander clients with a need for accommodation or accommo</w:t>
      </w:r>
      <w:r w:rsidR="00C84636">
        <w:t>dation related assistance (76.3 </w:t>
      </w:r>
      <w:r>
        <w:t>per cent) to s</w:t>
      </w:r>
      <w:r w:rsidR="00C84636">
        <w:t>ervices than all clients (table </w:t>
      </w:r>
      <w:proofErr w:type="spellStart"/>
      <w:r>
        <w:t>19A.15</w:t>
      </w:r>
      <w:proofErr w:type="spellEnd"/>
      <w:r>
        <w:t>).</w:t>
      </w:r>
    </w:p>
    <w:p w14:paraId="211306A9" w14:textId="6B8B7C54" w:rsidR="004E46AB" w:rsidRDefault="00CC00F1" w:rsidP="004E46AB">
      <w:pPr>
        <w:pStyle w:val="BodyText"/>
      </w:pPr>
      <w:r>
        <w:t>Data for clients born in non</w:t>
      </w:r>
      <w:r>
        <w:noBreakHyphen/>
      </w:r>
      <w:r w:rsidR="004E46AB">
        <w:t>main English speaking countries are in table</w:t>
      </w:r>
      <w:r w:rsidR="007E335A">
        <w:t> </w:t>
      </w:r>
      <w:proofErr w:type="spellStart"/>
      <w:r w:rsidR="004E46AB">
        <w:t>19A.16</w:t>
      </w:r>
      <w:proofErr w:type="spellEnd"/>
      <w:r w:rsidR="004E46AB">
        <w:t>. Time series data from 2011</w:t>
      </w:r>
      <w:r w:rsidR="007E335A">
        <w:noBreakHyphen/>
      </w:r>
      <w:r w:rsidR="004E46AB">
        <w:t>12 are included in tables</w:t>
      </w:r>
      <w:r w:rsidR="007E335A">
        <w:t> </w:t>
      </w:r>
      <w:proofErr w:type="spellStart"/>
      <w:r w:rsidR="004E46AB">
        <w:t>19A.14</w:t>
      </w:r>
      <w:proofErr w:type="spellEnd"/>
      <w:r w:rsidR="004E46AB">
        <w:t>–</w:t>
      </w:r>
      <w:proofErr w:type="spellStart"/>
      <w:r w:rsidR="004E46AB">
        <w:t>19A.16</w:t>
      </w:r>
      <w:proofErr w:type="spellEnd"/>
      <w:r w:rsidR="004E46AB">
        <w:t>.</w:t>
      </w:r>
    </w:p>
    <w:p w14:paraId="71F33D8F" w14:textId="77777777" w:rsidR="00072EC1" w:rsidRDefault="00072EC1"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14:paraId="211AAE6F" w14:textId="77777777" w:rsidTr="004736EC">
        <w:tc>
          <w:tcPr>
            <w:tcW w:w="8771" w:type="dxa"/>
            <w:tcBorders>
              <w:top w:val="single" w:sz="6" w:space="0" w:color="78A22F"/>
              <w:left w:val="nil"/>
              <w:bottom w:val="nil"/>
              <w:right w:val="nil"/>
            </w:tcBorders>
            <w:shd w:val="clear" w:color="auto" w:fill="auto"/>
          </w:tcPr>
          <w:p w14:paraId="1B8D91AF" w14:textId="452D8A17" w:rsidR="00072EC1" w:rsidRPr="00176D3F" w:rsidRDefault="00072EC1" w:rsidP="001116F1">
            <w:pPr>
              <w:pStyle w:val="FigureTitle"/>
            </w:pPr>
            <w:r w:rsidRPr="00784A05">
              <w:rPr>
                <w:b w:val="0"/>
              </w:rPr>
              <w:t xml:space="preserve">Figure </w:t>
            </w:r>
            <w:bookmarkStart w:id="22" w:name="OLE_LINK7"/>
            <w:r w:rsidR="00A40722">
              <w:rPr>
                <w:b w:val="0"/>
              </w:rPr>
              <w:t>19.</w:t>
            </w:r>
            <w:r w:rsidR="00087EB6">
              <w:rPr>
                <w:b w:val="0"/>
                <w:noProof/>
              </w:rPr>
              <w:t>6</w:t>
            </w:r>
            <w:bookmarkEnd w:id="22"/>
            <w:r>
              <w:tab/>
            </w:r>
            <w:r w:rsidR="001116F1">
              <w:t>Match</w:t>
            </w:r>
            <w:r w:rsidR="00CD76B0" w:rsidRPr="008A1E70">
              <w:t xml:space="preserve"> of </w:t>
            </w:r>
            <w:r w:rsidR="00CD76B0">
              <w:t>c</w:t>
            </w:r>
            <w:r w:rsidR="001116F1">
              <w:t xml:space="preserve">lient </w:t>
            </w:r>
            <w:r w:rsidR="001116F1" w:rsidRPr="008A1E70">
              <w:t>needs</w:t>
            </w:r>
            <w:r w:rsidR="00CD76B0" w:rsidRPr="008A1E70">
              <w:t xml:space="preserve"> </w:t>
            </w:r>
            <w:r w:rsidR="00CD76B0">
              <w:t>(closed support periods)</w:t>
            </w:r>
            <w:r>
              <w:t xml:space="preserve">, </w:t>
            </w:r>
            <w:r w:rsidR="009B29BF">
              <w:t>2015</w:t>
            </w:r>
            <w:r w:rsidR="009B29BF">
              <w:noBreakHyphen/>
            </w:r>
            <w:r w:rsidR="00876113">
              <w:t>16</w:t>
            </w:r>
            <w:r w:rsidRPr="008A1E70">
              <w:rPr>
                <w:rStyle w:val="NoteLabel"/>
                <w:b/>
              </w:rPr>
              <w:t>a</w:t>
            </w:r>
            <w:r>
              <w:t xml:space="preserve"> </w:t>
            </w:r>
          </w:p>
        </w:tc>
      </w:tr>
      <w:tr w:rsidR="00072EC1" w14:paraId="660C22AD" w14:textId="77777777"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072EC1" w14:paraId="52F69C57" w14:textId="77777777" w:rsidTr="000C1770">
              <w:trPr>
                <w:jc w:val="center"/>
              </w:trPr>
              <w:tc>
                <w:tcPr>
                  <w:tcW w:w="5000" w:type="pct"/>
                  <w:tcBorders>
                    <w:top w:val="nil"/>
                    <w:bottom w:val="nil"/>
                  </w:tcBorders>
                </w:tcPr>
                <w:p w14:paraId="17A29338" w14:textId="77777777" w:rsidR="00072EC1" w:rsidRDefault="00793466" w:rsidP="004736EC">
                  <w:pPr>
                    <w:pStyle w:val="Figure"/>
                    <w:spacing w:before="60" w:after="60"/>
                  </w:pPr>
                  <w:r>
                    <w:rPr>
                      <w:noProof/>
                    </w:rPr>
                    <w:drawing>
                      <wp:inline distT="0" distB="0" distL="0" distR="0" wp14:anchorId="0615C20D" wp14:editId="6527AF10">
                        <wp:extent cx="5401310" cy="2560320"/>
                        <wp:effectExtent l="0" t="0" r="8890" b="0"/>
                        <wp:docPr id="5" name="Picture 5" descr="Figure 19.6 Match of client needs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1310" cy="2560320"/>
                                </a:xfrm>
                                <a:prstGeom prst="rect">
                                  <a:avLst/>
                                </a:prstGeom>
                                <a:noFill/>
                              </pic:spPr>
                            </pic:pic>
                          </a:graphicData>
                        </a:graphic>
                      </wp:inline>
                    </w:drawing>
                  </w:r>
                </w:p>
              </w:tc>
            </w:tr>
          </w:tbl>
          <w:p w14:paraId="59D89D01" w14:textId="77777777" w:rsidR="00072EC1" w:rsidRDefault="00072EC1" w:rsidP="004736EC">
            <w:pPr>
              <w:pStyle w:val="Figure"/>
            </w:pPr>
          </w:p>
        </w:tc>
      </w:tr>
      <w:tr w:rsidR="00072EC1" w:rsidRPr="00176D3F" w14:paraId="22D08EA2" w14:textId="77777777" w:rsidTr="004736EC">
        <w:tc>
          <w:tcPr>
            <w:tcW w:w="8771" w:type="dxa"/>
            <w:tcBorders>
              <w:top w:val="nil"/>
              <w:left w:val="nil"/>
              <w:bottom w:val="nil"/>
              <w:right w:val="nil"/>
            </w:tcBorders>
            <w:shd w:val="clear" w:color="auto" w:fill="auto"/>
          </w:tcPr>
          <w:p w14:paraId="7A9B3597" w14:textId="63BE6634" w:rsidR="00072EC1" w:rsidRPr="008C1593" w:rsidRDefault="00072EC1" w:rsidP="00072EC1">
            <w:pPr>
              <w:pStyle w:val="Note"/>
            </w:pPr>
            <w:proofErr w:type="spellStart"/>
            <w:r w:rsidRPr="008C1593">
              <w:rPr>
                <w:rStyle w:val="NoteLabel"/>
                <w:position w:val="0"/>
              </w:rPr>
              <w:t>Accom</w:t>
            </w:r>
            <w:proofErr w:type="spellEnd"/>
            <w:r>
              <w:rPr>
                <w:rStyle w:val="NoteLabel"/>
                <w:b w:val="0"/>
                <w:position w:val="0"/>
              </w:rPr>
              <w:t>:</w:t>
            </w:r>
            <w:r w:rsidRPr="008C1593">
              <w:rPr>
                <w:rStyle w:val="NoteLabel"/>
                <w:b w:val="0"/>
                <w:position w:val="0"/>
              </w:rPr>
              <w:t xml:space="preserve"> Accommodation/</w:t>
            </w:r>
            <w:r w:rsidRPr="008C1593">
              <w:t xml:space="preserve">accommodation related assistance. </w:t>
            </w:r>
            <w:r w:rsidRPr="008C1593">
              <w:rPr>
                <w:b/>
              </w:rPr>
              <w:t>Sustain</w:t>
            </w:r>
            <w:r>
              <w:rPr>
                <w:b/>
              </w:rPr>
              <w:t>:</w:t>
            </w:r>
            <w:r w:rsidRPr="008C1593">
              <w:t xml:space="preserve"> Assistance to sustain tenure.</w:t>
            </w:r>
            <w:r w:rsidRPr="008C1593">
              <w:br/>
            </w:r>
            <w:proofErr w:type="spellStart"/>
            <w:r w:rsidRPr="008C1593">
              <w:rPr>
                <w:b/>
              </w:rPr>
              <w:t>FDV</w:t>
            </w:r>
            <w:proofErr w:type="spellEnd"/>
            <w:r>
              <w:t>:</w:t>
            </w:r>
            <w:r w:rsidRPr="008C1593">
              <w:t xml:space="preserve"> Family/</w:t>
            </w:r>
            <w:r w:rsidR="0091221B">
              <w:t xml:space="preserve"> Domestic and f</w:t>
            </w:r>
            <w:r w:rsidR="0091221B" w:rsidRPr="0091221B">
              <w:t>amily violence</w:t>
            </w:r>
            <w:r w:rsidR="0091221B" w:rsidRPr="0091221B">
              <w:rPr>
                <w:rStyle w:val="NoteLabel"/>
                <w:b w:val="0"/>
                <w:position w:val="0"/>
              </w:rPr>
              <w:t xml:space="preserve"> </w:t>
            </w:r>
            <w:r w:rsidRPr="008C1593">
              <w:rPr>
                <w:rStyle w:val="NoteLabel"/>
                <w:b w:val="0"/>
                <w:position w:val="0"/>
              </w:rPr>
              <w:t>assistance.</w:t>
            </w:r>
          </w:p>
          <w:p w14:paraId="2F63CD87" w14:textId="737042F6" w:rsidR="00072EC1" w:rsidRPr="00176D3F" w:rsidRDefault="00072EC1" w:rsidP="0040797B">
            <w:pPr>
              <w:pStyle w:val="Note"/>
            </w:pPr>
            <w:r>
              <w:rPr>
                <w:rStyle w:val="NoteLabel"/>
              </w:rPr>
              <w:t>a</w:t>
            </w:r>
            <w:r>
              <w:t xml:space="preserve"> </w:t>
            </w:r>
            <w:r w:rsidRPr="006D3797">
              <w:t>See box</w:t>
            </w:r>
            <w:r w:rsidR="007E335A">
              <w:t> </w:t>
            </w:r>
            <w:r w:rsidR="00A40722">
              <w:t>1</w:t>
            </w:r>
            <w:r w:rsidR="00650891">
              <w:t>9</w:t>
            </w:r>
            <w:r w:rsidR="00A40722">
              <w:t>.</w:t>
            </w:r>
            <w:r w:rsidR="0040797B">
              <w:t>5</w:t>
            </w:r>
            <w:r w:rsidRPr="006D3797">
              <w:t xml:space="preserve"> and table</w:t>
            </w:r>
            <w:r w:rsidR="007E335A">
              <w:t> </w:t>
            </w:r>
            <w:proofErr w:type="spellStart"/>
            <w:r w:rsidR="00650891">
              <w:t>19A</w:t>
            </w:r>
            <w:r w:rsidRPr="006D3797">
              <w:t>.</w:t>
            </w:r>
            <w:r>
              <w:t>14</w:t>
            </w:r>
            <w:proofErr w:type="spellEnd"/>
            <w:r w:rsidRPr="006D3797">
              <w:t xml:space="preserve"> for detailed definitions, footnotes and caveats</w:t>
            </w:r>
            <w:r>
              <w:t>.</w:t>
            </w:r>
          </w:p>
        </w:tc>
      </w:tr>
      <w:tr w:rsidR="00072EC1" w:rsidRPr="00176D3F" w14:paraId="38B1F03A" w14:textId="77777777" w:rsidTr="004736EC">
        <w:tc>
          <w:tcPr>
            <w:tcW w:w="8771" w:type="dxa"/>
            <w:tcBorders>
              <w:top w:val="nil"/>
              <w:left w:val="nil"/>
              <w:bottom w:val="nil"/>
              <w:right w:val="nil"/>
            </w:tcBorders>
            <w:shd w:val="clear" w:color="auto" w:fill="auto"/>
          </w:tcPr>
          <w:p w14:paraId="35FCA77B" w14:textId="4ED11A5B" w:rsidR="00072EC1" w:rsidRPr="00176D3F" w:rsidRDefault="00072EC1" w:rsidP="004736EC">
            <w:pPr>
              <w:pStyle w:val="Source"/>
            </w:pPr>
            <w:r>
              <w:rPr>
                <w:i/>
              </w:rPr>
              <w:t>S</w:t>
            </w:r>
            <w:r w:rsidRPr="00784A05">
              <w:rPr>
                <w:i/>
              </w:rPr>
              <w:t>ource</w:t>
            </w:r>
            <w:r w:rsidRPr="00176D3F">
              <w:t xml:space="preserve">: </w:t>
            </w:r>
            <w:proofErr w:type="spellStart"/>
            <w:r w:rsidRPr="00BD10CD">
              <w:rPr>
                <w:color w:val="000000" w:themeColor="text1"/>
              </w:rPr>
              <w:t>AIHW</w:t>
            </w:r>
            <w:proofErr w:type="spellEnd"/>
            <w:r w:rsidRPr="00BD10CD">
              <w:rPr>
                <w:color w:val="000000" w:themeColor="text1"/>
              </w:rPr>
              <w:t xml:space="preserve"> (unpublished) </w:t>
            </w:r>
            <w:r w:rsidR="000C1770" w:rsidRPr="000C1770">
              <w:rPr>
                <w:color w:val="000000" w:themeColor="text1"/>
              </w:rPr>
              <w:t>Specialist Homelessness Services Collection</w:t>
            </w:r>
            <w:r>
              <w:rPr>
                <w:color w:val="000000" w:themeColor="text1"/>
              </w:rPr>
              <w:t xml:space="preserve">; </w:t>
            </w:r>
            <w:r w:rsidRPr="00BD10CD">
              <w:rPr>
                <w:color w:val="000000" w:themeColor="text1"/>
              </w:rPr>
              <w:t>table</w:t>
            </w:r>
            <w:r w:rsidR="007E335A">
              <w:rPr>
                <w:color w:val="000000" w:themeColor="text1"/>
              </w:rPr>
              <w:t> </w:t>
            </w:r>
            <w:proofErr w:type="spellStart"/>
            <w:r w:rsidR="00650891">
              <w:rPr>
                <w:color w:val="000000" w:themeColor="text1"/>
              </w:rPr>
              <w:t>19A</w:t>
            </w:r>
            <w:r w:rsidRPr="00BD10CD">
              <w:rPr>
                <w:color w:val="000000" w:themeColor="text1"/>
              </w:rPr>
              <w:t>.1</w:t>
            </w:r>
            <w:r>
              <w:rPr>
                <w:color w:val="000000" w:themeColor="text1"/>
              </w:rPr>
              <w:t>4</w:t>
            </w:r>
            <w:proofErr w:type="spellEnd"/>
            <w:r w:rsidRPr="00BD10CD">
              <w:rPr>
                <w:color w:val="000000" w:themeColor="text1"/>
              </w:rPr>
              <w:t>.</w:t>
            </w:r>
          </w:p>
        </w:tc>
      </w:tr>
      <w:tr w:rsidR="00072EC1" w14:paraId="15367BE6" w14:textId="77777777" w:rsidTr="004736EC">
        <w:tc>
          <w:tcPr>
            <w:tcW w:w="8771" w:type="dxa"/>
            <w:tcBorders>
              <w:top w:val="nil"/>
              <w:left w:val="nil"/>
              <w:bottom w:val="single" w:sz="6" w:space="0" w:color="78A22F"/>
              <w:right w:val="nil"/>
            </w:tcBorders>
            <w:shd w:val="clear" w:color="auto" w:fill="auto"/>
          </w:tcPr>
          <w:p w14:paraId="1D59B30B" w14:textId="77777777" w:rsidR="00072EC1" w:rsidRDefault="00072EC1" w:rsidP="004736EC">
            <w:pPr>
              <w:pStyle w:val="Figurespace"/>
            </w:pPr>
          </w:p>
        </w:tc>
      </w:tr>
      <w:tr w:rsidR="00072EC1" w:rsidRPr="000863A5" w14:paraId="22B204DD" w14:textId="77777777" w:rsidTr="004736EC">
        <w:tc>
          <w:tcPr>
            <w:tcW w:w="8771" w:type="dxa"/>
            <w:tcBorders>
              <w:top w:val="single" w:sz="6" w:space="0" w:color="78A22F"/>
              <w:left w:val="nil"/>
              <w:bottom w:val="nil"/>
              <w:right w:val="nil"/>
            </w:tcBorders>
          </w:tcPr>
          <w:p w14:paraId="663BE44B" w14:textId="77777777" w:rsidR="00072EC1" w:rsidRPr="00626D32" w:rsidRDefault="00072EC1" w:rsidP="004736EC">
            <w:pPr>
              <w:pStyle w:val="BoxSpaceBelow"/>
            </w:pPr>
          </w:p>
        </w:tc>
      </w:tr>
    </w:tbl>
    <w:p w14:paraId="2271502E" w14:textId="77777777" w:rsidR="00B750C9" w:rsidRDefault="00B750C9" w:rsidP="00B750C9">
      <w:pPr>
        <w:pStyle w:val="Heading5"/>
      </w:pPr>
      <w:r>
        <w:t>Y</w:t>
      </w:r>
      <w:r w:rsidRPr="00B750C9">
        <w:t>oung clients who needed education and/or training assistance</w:t>
      </w:r>
    </w:p>
    <w:p w14:paraId="701DA988" w14:textId="426F1360" w:rsidR="000707E5" w:rsidRDefault="00876B49" w:rsidP="00876B49">
      <w:pPr>
        <w:pStyle w:val="BodyText"/>
      </w:pPr>
      <w:r w:rsidRPr="00876B49">
        <w:t>Nationally in 2015</w:t>
      </w:r>
      <w:r w:rsidR="007E335A">
        <w:noBreakHyphen/>
      </w:r>
      <w:r w:rsidRPr="00876B49">
        <w:t>16, of young clients who needed assistance to obtain or maintain education and/or training, 70.6 per cent were enrolled in formal study or training after support (figure</w:t>
      </w:r>
      <w:r w:rsidR="007E335A">
        <w:t> </w:t>
      </w:r>
      <w:r w:rsidRPr="00876B49">
        <w:t>19.7), an incr</w:t>
      </w:r>
      <w:r w:rsidR="00FC0526">
        <w:t>ease from 66.5 per cent in 2011</w:t>
      </w:r>
      <w:r w:rsidR="00FC0526">
        <w:noBreakHyphen/>
      </w:r>
      <w:r w:rsidRPr="00876B49">
        <w:t>12 (table</w:t>
      </w:r>
      <w:r w:rsidR="007E335A">
        <w:t> </w:t>
      </w:r>
      <w:proofErr w:type="spellStart"/>
      <w:r w:rsidRPr="00876B49">
        <w:t>19A.17</w:t>
      </w:r>
      <w:proofErr w:type="spellEnd"/>
      <w:r w:rsidRPr="00876B49">
        <w:t>).</w:t>
      </w:r>
    </w:p>
    <w:p w14:paraId="3CFDC8C8" w14:textId="77777777" w:rsidR="004C056F" w:rsidRDefault="004C056F"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056F" w14:paraId="4D14A830" w14:textId="77777777" w:rsidTr="004736EC">
        <w:tc>
          <w:tcPr>
            <w:tcW w:w="8771" w:type="dxa"/>
            <w:tcBorders>
              <w:top w:val="single" w:sz="6" w:space="0" w:color="78A22F"/>
              <w:left w:val="nil"/>
              <w:bottom w:val="nil"/>
              <w:right w:val="nil"/>
            </w:tcBorders>
            <w:shd w:val="clear" w:color="auto" w:fill="auto"/>
          </w:tcPr>
          <w:p w14:paraId="6F0C7C97" w14:textId="0E4C4BB8" w:rsidR="004C056F" w:rsidRPr="00176D3F" w:rsidRDefault="004C056F" w:rsidP="00954D7C">
            <w:pPr>
              <w:pStyle w:val="FigureTitle"/>
            </w:pPr>
            <w:r w:rsidRPr="00784A05">
              <w:rPr>
                <w:b w:val="0"/>
              </w:rPr>
              <w:t xml:space="preserve">Figure </w:t>
            </w:r>
            <w:bookmarkStart w:id="23" w:name="OLE_LINK8"/>
            <w:r w:rsidR="00A40722">
              <w:rPr>
                <w:b w:val="0"/>
              </w:rPr>
              <w:t>19.</w:t>
            </w:r>
            <w:r w:rsidR="00087EB6">
              <w:rPr>
                <w:b w:val="0"/>
                <w:noProof/>
              </w:rPr>
              <w:t>7</w:t>
            </w:r>
            <w:bookmarkEnd w:id="23"/>
            <w:r>
              <w:tab/>
            </w:r>
            <w:r w:rsidR="001937C6">
              <w:t>Young c</w:t>
            </w:r>
            <w:r>
              <w:t>li</w:t>
            </w:r>
            <w:r w:rsidRPr="00FB3845">
              <w:t xml:space="preserve">ents who needed </w:t>
            </w:r>
            <w:r w:rsidRPr="008A1E70">
              <w:t>education and/or training assistance</w:t>
            </w:r>
            <w:r>
              <w:t>,</w:t>
            </w:r>
            <w:r w:rsidRPr="00FB3845">
              <w:t xml:space="preserve"> </w:t>
            </w:r>
            <w:r>
              <w:t>by educational enrolment status b</w:t>
            </w:r>
            <w:r w:rsidRPr="008A1E70">
              <w:t>efore and after support</w:t>
            </w:r>
            <w:r>
              <w:t xml:space="preserve"> (</w:t>
            </w:r>
            <w:r w:rsidRPr="00FB3845">
              <w:t>closed support periods</w:t>
            </w:r>
            <w:r>
              <w:t>),</w:t>
            </w:r>
            <w:r w:rsidR="00954D7C">
              <w:t xml:space="preserve"> 2015</w:t>
            </w:r>
            <w:r w:rsidR="007E335A">
              <w:noBreakHyphen/>
            </w:r>
            <w:r w:rsidR="00954D7C">
              <w:t>16</w:t>
            </w:r>
            <w:r w:rsidR="000D18AC" w:rsidRPr="00954D7C">
              <w:rPr>
                <w:rStyle w:val="NoteLabel"/>
                <w:b/>
              </w:rPr>
              <w:t>a</w:t>
            </w:r>
          </w:p>
        </w:tc>
      </w:tr>
      <w:tr w:rsidR="004C056F" w14:paraId="48F8925D" w14:textId="77777777" w:rsidTr="004736E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C056F" w14:paraId="082A5D81" w14:textId="77777777" w:rsidTr="000C1770">
              <w:trPr>
                <w:jc w:val="center"/>
              </w:trPr>
              <w:tc>
                <w:tcPr>
                  <w:tcW w:w="5000" w:type="pct"/>
                  <w:tcBorders>
                    <w:top w:val="nil"/>
                    <w:bottom w:val="nil"/>
                  </w:tcBorders>
                </w:tcPr>
                <w:p w14:paraId="2C8512AE" w14:textId="77777777" w:rsidR="004C056F" w:rsidRDefault="00167E3F" w:rsidP="000B6910">
                  <w:pPr>
                    <w:pStyle w:val="Figure"/>
                    <w:spacing w:before="60" w:after="60"/>
                  </w:pPr>
                  <w:r>
                    <w:rPr>
                      <w:noProof/>
                    </w:rPr>
                    <w:drawing>
                      <wp:inline distT="0" distB="0" distL="0" distR="0" wp14:anchorId="321D8D68" wp14:editId="7D4321FE">
                        <wp:extent cx="5395595" cy="2700655"/>
                        <wp:effectExtent l="0" t="0" r="0" b="4445"/>
                        <wp:docPr id="12" name="Picture 12" descr="Figure 19.7 Young clients who needed education and training assistance, by educational status before and after support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5595" cy="2700655"/>
                                </a:xfrm>
                                <a:prstGeom prst="rect">
                                  <a:avLst/>
                                </a:prstGeom>
                                <a:noFill/>
                              </pic:spPr>
                            </pic:pic>
                          </a:graphicData>
                        </a:graphic>
                      </wp:inline>
                    </w:drawing>
                  </w:r>
                </w:p>
              </w:tc>
            </w:tr>
          </w:tbl>
          <w:p w14:paraId="5C51CB7E" w14:textId="77777777" w:rsidR="004C056F" w:rsidRDefault="004C056F" w:rsidP="004736EC">
            <w:pPr>
              <w:pStyle w:val="Figure"/>
            </w:pPr>
          </w:p>
        </w:tc>
      </w:tr>
      <w:tr w:rsidR="004C056F" w:rsidRPr="00176D3F" w14:paraId="2CC6DA7C" w14:textId="77777777" w:rsidTr="004736EC">
        <w:tc>
          <w:tcPr>
            <w:tcW w:w="8771" w:type="dxa"/>
            <w:tcBorders>
              <w:top w:val="nil"/>
              <w:left w:val="nil"/>
              <w:bottom w:val="nil"/>
              <w:right w:val="nil"/>
            </w:tcBorders>
            <w:shd w:val="clear" w:color="auto" w:fill="auto"/>
          </w:tcPr>
          <w:p w14:paraId="0313E1B7" w14:textId="28174403" w:rsidR="004C056F" w:rsidRPr="00176D3F" w:rsidRDefault="001937C6" w:rsidP="0040797B">
            <w:pPr>
              <w:pStyle w:val="Note"/>
            </w:pPr>
            <w:r>
              <w:rPr>
                <w:rStyle w:val="NoteLabel"/>
              </w:rPr>
              <w:t>a</w:t>
            </w:r>
            <w:r>
              <w:t xml:space="preserve"> </w:t>
            </w:r>
            <w:r w:rsidRPr="006D3797">
              <w:t>See box</w:t>
            </w:r>
            <w:r w:rsidR="007E335A">
              <w:t> </w:t>
            </w:r>
            <w:r w:rsidR="00A40722">
              <w:t>1</w:t>
            </w:r>
            <w:r w:rsidR="00B404DE">
              <w:t>9</w:t>
            </w:r>
            <w:r w:rsidR="00A40722">
              <w:t>.</w:t>
            </w:r>
            <w:r w:rsidR="0040797B">
              <w:t>5</w:t>
            </w:r>
            <w:r w:rsidRPr="006D3797">
              <w:t xml:space="preserve"> and table</w:t>
            </w:r>
            <w:r w:rsidR="007E335A">
              <w:t> </w:t>
            </w:r>
            <w:proofErr w:type="spellStart"/>
            <w:r w:rsidR="00650891">
              <w:t>19A</w:t>
            </w:r>
            <w:r w:rsidRPr="006D3797">
              <w:t>.</w:t>
            </w:r>
            <w:r>
              <w:t>1</w:t>
            </w:r>
            <w:r w:rsidR="004736EC">
              <w:t>7</w:t>
            </w:r>
            <w:proofErr w:type="spellEnd"/>
            <w:r w:rsidRPr="006D3797">
              <w:t xml:space="preserve"> for detailed definitions, footnotes and caveats</w:t>
            </w:r>
            <w:r>
              <w:t>.</w:t>
            </w:r>
          </w:p>
        </w:tc>
      </w:tr>
      <w:tr w:rsidR="004C056F" w:rsidRPr="00176D3F" w14:paraId="3BD05AD9" w14:textId="77777777" w:rsidTr="004736EC">
        <w:tc>
          <w:tcPr>
            <w:tcW w:w="8771" w:type="dxa"/>
            <w:tcBorders>
              <w:top w:val="nil"/>
              <w:left w:val="nil"/>
              <w:bottom w:val="nil"/>
              <w:right w:val="nil"/>
            </w:tcBorders>
            <w:shd w:val="clear" w:color="auto" w:fill="auto"/>
          </w:tcPr>
          <w:p w14:paraId="63B898F2" w14:textId="389199D7" w:rsidR="004C056F" w:rsidRPr="00176D3F" w:rsidRDefault="004C056F" w:rsidP="004736EC">
            <w:pPr>
              <w:pStyle w:val="Source"/>
            </w:pPr>
            <w:r>
              <w:rPr>
                <w:i/>
              </w:rPr>
              <w:t>S</w:t>
            </w:r>
            <w:r w:rsidRPr="00784A05">
              <w:rPr>
                <w:i/>
              </w:rPr>
              <w:t>ource</w:t>
            </w:r>
            <w:r w:rsidRPr="00176D3F">
              <w:t xml:space="preserve">: </w:t>
            </w:r>
            <w:proofErr w:type="spellStart"/>
            <w:r w:rsidRPr="008A1E70">
              <w:t>AIHW</w:t>
            </w:r>
            <w:proofErr w:type="spellEnd"/>
            <w:r w:rsidRPr="008A1E70">
              <w:t xml:space="preserve"> (unpublished) </w:t>
            </w:r>
            <w:r w:rsidR="000C1770" w:rsidRPr="000C1770">
              <w:t>Specialist Homelessness Services Collection</w:t>
            </w:r>
            <w:r>
              <w:rPr>
                <w:i/>
              </w:rPr>
              <w:t>;</w:t>
            </w:r>
            <w:r w:rsidRPr="008A1E70">
              <w:t xml:space="preserve"> table</w:t>
            </w:r>
            <w:r w:rsidR="007E335A">
              <w:t> </w:t>
            </w:r>
            <w:proofErr w:type="spellStart"/>
            <w:r w:rsidR="00650891">
              <w:t>19A</w:t>
            </w:r>
            <w:r w:rsidRPr="008A1E70">
              <w:t>.1</w:t>
            </w:r>
            <w:r>
              <w:t>7</w:t>
            </w:r>
            <w:proofErr w:type="spellEnd"/>
            <w:r w:rsidRPr="008A1E70">
              <w:t>.</w:t>
            </w:r>
          </w:p>
        </w:tc>
      </w:tr>
      <w:tr w:rsidR="004C056F" w14:paraId="266A7EFA" w14:textId="77777777" w:rsidTr="004736EC">
        <w:tc>
          <w:tcPr>
            <w:tcW w:w="8771" w:type="dxa"/>
            <w:tcBorders>
              <w:top w:val="nil"/>
              <w:left w:val="nil"/>
              <w:bottom w:val="single" w:sz="6" w:space="0" w:color="78A22F"/>
              <w:right w:val="nil"/>
            </w:tcBorders>
            <w:shd w:val="clear" w:color="auto" w:fill="auto"/>
          </w:tcPr>
          <w:p w14:paraId="433A15FE" w14:textId="77777777" w:rsidR="004C056F" w:rsidRDefault="004C056F" w:rsidP="004736EC">
            <w:pPr>
              <w:pStyle w:val="Figurespace"/>
            </w:pPr>
          </w:p>
        </w:tc>
      </w:tr>
      <w:tr w:rsidR="004C056F" w:rsidRPr="000863A5" w14:paraId="3B442D5B" w14:textId="77777777" w:rsidTr="004736EC">
        <w:tc>
          <w:tcPr>
            <w:tcW w:w="8771" w:type="dxa"/>
            <w:tcBorders>
              <w:top w:val="single" w:sz="6" w:space="0" w:color="78A22F"/>
              <w:left w:val="nil"/>
              <w:bottom w:val="nil"/>
              <w:right w:val="nil"/>
            </w:tcBorders>
          </w:tcPr>
          <w:p w14:paraId="5E95FE28" w14:textId="77777777" w:rsidR="004C056F" w:rsidRPr="00626D32" w:rsidRDefault="004C056F" w:rsidP="004736EC">
            <w:pPr>
              <w:pStyle w:val="BoxSpaceBelow"/>
            </w:pPr>
          </w:p>
        </w:tc>
      </w:tr>
    </w:tbl>
    <w:p w14:paraId="418CDA52" w14:textId="77777777" w:rsidR="000707E5" w:rsidRPr="008A1E70" w:rsidRDefault="000707E5" w:rsidP="000707E5">
      <w:pPr>
        <w:pStyle w:val="Heading4"/>
      </w:pPr>
      <w:r>
        <w:t xml:space="preserve">Quality — </w:t>
      </w:r>
      <w:r w:rsidRPr="008A1E70">
        <w:t>Client satisfaction</w:t>
      </w:r>
    </w:p>
    <w:p w14:paraId="53A04298" w14:textId="7EC131D4" w:rsidR="000707E5" w:rsidRDefault="000707E5" w:rsidP="000707E5">
      <w:pPr>
        <w:pStyle w:val="BodyText"/>
        <w:spacing w:after="240"/>
      </w:pPr>
      <w:r w:rsidRPr="004F17C9">
        <w:t xml:space="preserve">‘Client satisfaction’ is an </w:t>
      </w:r>
      <w:r w:rsidRPr="00B12608">
        <w:t xml:space="preserve">indicator of governments’ objective to provide high quality </w:t>
      </w:r>
      <w:r w:rsidR="001D5B84" w:rsidRPr="00B12608">
        <w:t xml:space="preserve">specialist homelessness </w:t>
      </w:r>
      <w:r w:rsidRPr="00B12608">
        <w:t xml:space="preserve">services </w:t>
      </w:r>
      <w:r w:rsidRPr="004F17C9">
        <w:t>(box</w:t>
      </w:r>
      <w:r w:rsidR="007E335A">
        <w:t> </w:t>
      </w:r>
      <w:r w:rsidR="00684B32">
        <w:t>19.</w:t>
      </w:r>
      <w:r w:rsidR="006636FC">
        <w:t>6</w:t>
      </w:r>
      <w:r>
        <w:t>).</w:t>
      </w:r>
    </w:p>
    <w:p w14:paraId="4627B402" w14:textId="77777777" w:rsidR="00072EC1" w:rsidRDefault="00072EC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14:paraId="15301C3F" w14:textId="77777777" w:rsidTr="004736EC">
        <w:tc>
          <w:tcPr>
            <w:tcW w:w="8771" w:type="dxa"/>
            <w:tcBorders>
              <w:top w:val="single" w:sz="6" w:space="0" w:color="78A22F"/>
              <w:left w:val="nil"/>
              <w:bottom w:val="nil"/>
              <w:right w:val="nil"/>
            </w:tcBorders>
            <w:shd w:val="clear" w:color="auto" w:fill="F2F2F2"/>
          </w:tcPr>
          <w:p w14:paraId="7C31950D" w14:textId="025E0F3C" w:rsidR="00072EC1" w:rsidRDefault="00072EC1" w:rsidP="00072EC1">
            <w:pPr>
              <w:pStyle w:val="BoxTitle"/>
            </w:pPr>
            <w:r>
              <w:rPr>
                <w:b w:val="0"/>
              </w:rPr>
              <w:t xml:space="preserve">Box </w:t>
            </w:r>
            <w:bookmarkStart w:id="24" w:name="OLE_LINK9"/>
            <w:r w:rsidR="00A40722">
              <w:rPr>
                <w:b w:val="0"/>
              </w:rPr>
              <w:t>19.</w:t>
            </w:r>
            <w:r w:rsidR="00087EB6">
              <w:rPr>
                <w:b w:val="0"/>
                <w:noProof/>
              </w:rPr>
              <w:t>6</w:t>
            </w:r>
            <w:bookmarkEnd w:id="24"/>
            <w:r>
              <w:tab/>
            </w:r>
            <w:r w:rsidRPr="009E5CE0">
              <w:rPr>
                <w:color w:val="000000" w:themeColor="text1"/>
              </w:rPr>
              <w:t>Client satisfaction</w:t>
            </w:r>
          </w:p>
        </w:tc>
      </w:tr>
      <w:tr w:rsidR="00072EC1" w14:paraId="22A961AB" w14:textId="77777777" w:rsidTr="004736EC">
        <w:trPr>
          <w:cantSplit/>
        </w:trPr>
        <w:tc>
          <w:tcPr>
            <w:tcW w:w="8771" w:type="dxa"/>
            <w:tcBorders>
              <w:top w:val="nil"/>
              <w:left w:val="nil"/>
              <w:bottom w:val="nil"/>
              <w:right w:val="nil"/>
            </w:tcBorders>
            <w:shd w:val="clear" w:color="auto" w:fill="F2F2F2"/>
          </w:tcPr>
          <w:p w14:paraId="71B84E90" w14:textId="77777777" w:rsidR="00072EC1" w:rsidRDefault="00072EC1" w:rsidP="004736EC">
            <w:pPr>
              <w:pStyle w:val="Box"/>
              <w:rPr>
                <w:bCs/>
                <w:color w:val="000000" w:themeColor="text1"/>
              </w:rPr>
            </w:pPr>
            <w:r w:rsidRPr="00A424E8">
              <w:rPr>
                <w:bCs/>
                <w:color w:val="000000" w:themeColor="text1"/>
              </w:rPr>
              <w:t xml:space="preserve">‘Client satisfaction’ is defined as the extent to which clients find homelessness services and programs to be </w:t>
            </w:r>
            <w:r>
              <w:rPr>
                <w:bCs/>
                <w:color w:val="000000" w:themeColor="text1"/>
              </w:rPr>
              <w:t>helpful and of a high standard.</w:t>
            </w:r>
          </w:p>
          <w:p w14:paraId="46AAD490" w14:textId="77777777" w:rsidR="00072EC1" w:rsidRDefault="00072EC1" w:rsidP="004736EC">
            <w:pPr>
              <w:pStyle w:val="Box"/>
            </w:pPr>
            <w:r w:rsidRPr="009E5CE0">
              <w:rPr>
                <w:color w:val="000000" w:themeColor="text1"/>
              </w:rPr>
              <w:t xml:space="preserve">This indicator and associated measures </w:t>
            </w:r>
            <w:r>
              <w:rPr>
                <w:color w:val="000000" w:themeColor="text1"/>
              </w:rPr>
              <w:t>are under development.</w:t>
            </w:r>
          </w:p>
        </w:tc>
      </w:tr>
      <w:tr w:rsidR="00072EC1" w14:paraId="4FBBF88C" w14:textId="77777777" w:rsidTr="004736EC">
        <w:trPr>
          <w:cantSplit/>
        </w:trPr>
        <w:tc>
          <w:tcPr>
            <w:tcW w:w="8771" w:type="dxa"/>
            <w:tcBorders>
              <w:top w:val="nil"/>
              <w:left w:val="nil"/>
              <w:bottom w:val="single" w:sz="6" w:space="0" w:color="78A22F"/>
              <w:right w:val="nil"/>
            </w:tcBorders>
            <w:shd w:val="clear" w:color="auto" w:fill="F2F2F2"/>
          </w:tcPr>
          <w:p w14:paraId="5714B04A" w14:textId="77777777" w:rsidR="00072EC1" w:rsidRDefault="00072EC1">
            <w:pPr>
              <w:pStyle w:val="Box"/>
              <w:spacing w:before="0" w:line="120" w:lineRule="exact"/>
            </w:pPr>
          </w:p>
        </w:tc>
      </w:tr>
      <w:tr w:rsidR="00072EC1" w:rsidRPr="000863A5" w14:paraId="67BF1C5B" w14:textId="77777777" w:rsidTr="004736EC">
        <w:tc>
          <w:tcPr>
            <w:tcW w:w="8771" w:type="dxa"/>
            <w:tcBorders>
              <w:top w:val="single" w:sz="6" w:space="0" w:color="78A22F"/>
              <w:left w:val="nil"/>
              <w:bottom w:val="nil"/>
              <w:right w:val="nil"/>
            </w:tcBorders>
          </w:tcPr>
          <w:p w14:paraId="793B01C0" w14:textId="77777777" w:rsidR="00072EC1" w:rsidRPr="00626D32" w:rsidRDefault="00072EC1" w:rsidP="004736EC">
            <w:pPr>
              <w:pStyle w:val="BoxSpaceBelow"/>
            </w:pPr>
          </w:p>
        </w:tc>
      </w:tr>
    </w:tbl>
    <w:p w14:paraId="29AFC7C5" w14:textId="77777777" w:rsidR="000707E5" w:rsidRPr="008A1E70" w:rsidRDefault="000707E5" w:rsidP="000707E5">
      <w:pPr>
        <w:pStyle w:val="Heading3"/>
      </w:pPr>
      <w:r w:rsidRPr="008A1E70">
        <w:t>Efficiency</w:t>
      </w:r>
    </w:p>
    <w:p w14:paraId="578F9BF1" w14:textId="77777777" w:rsidR="000707E5" w:rsidRPr="009E5CE0" w:rsidRDefault="000707E5" w:rsidP="000707E5">
      <w:pPr>
        <w:pStyle w:val="BodyText"/>
        <w:rPr>
          <w:color w:val="000000" w:themeColor="text1"/>
        </w:rPr>
      </w:pPr>
      <w:r w:rsidRPr="009E5CE0">
        <w:rPr>
          <w:color w:val="000000" w:themeColor="text1"/>
        </w:rPr>
        <w:t xml:space="preserve">Across jurisdictions, there </w:t>
      </w:r>
      <w:r>
        <w:rPr>
          <w:color w:val="000000" w:themeColor="text1"/>
        </w:rPr>
        <w:t>may be v</w:t>
      </w:r>
      <w:r w:rsidRPr="009E5CE0">
        <w:rPr>
          <w:color w:val="000000" w:themeColor="text1"/>
        </w:rPr>
        <w:t xml:space="preserve">arying treatments of expenditure items (for example, superannuation) and different counting and reporting rules for generating financial data. Differences in expenditure data across jurisdictions </w:t>
      </w:r>
      <w:r>
        <w:rPr>
          <w:color w:val="000000" w:themeColor="text1"/>
        </w:rPr>
        <w:t xml:space="preserve">may </w:t>
      </w:r>
      <w:r w:rsidRPr="009E5CE0">
        <w:rPr>
          <w:color w:val="000000" w:themeColor="text1"/>
        </w:rPr>
        <w:t xml:space="preserve">reflect </w:t>
      </w:r>
      <w:r>
        <w:rPr>
          <w:color w:val="000000" w:themeColor="text1"/>
        </w:rPr>
        <w:t xml:space="preserve">to some extent </w:t>
      </w:r>
      <w:r w:rsidRPr="009E5CE0">
        <w:rPr>
          <w:color w:val="000000" w:themeColor="text1"/>
        </w:rPr>
        <w:t xml:space="preserve">differences in the way these data are compiled rather than variations in </w:t>
      </w:r>
      <w:r>
        <w:rPr>
          <w:color w:val="000000" w:themeColor="text1"/>
        </w:rPr>
        <w:t>costs.</w:t>
      </w:r>
    </w:p>
    <w:p w14:paraId="3B5E626A" w14:textId="77777777" w:rsidR="000707E5" w:rsidRPr="008A1E70" w:rsidRDefault="000707E5" w:rsidP="000707E5">
      <w:pPr>
        <w:pStyle w:val="Heading4"/>
      </w:pPr>
      <w:r w:rsidRPr="008A1E70">
        <w:lastRenderedPageBreak/>
        <w:t>Cost per completed support period</w:t>
      </w:r>
    </w:p>
    <w:p w14:paraId="2EF24BA2" w14:textId="013B7D99" w:rsidR="000707E5" w:rsidRDefault="000707E5" w:rsidP="000707E5">
      <w:pPr>
        <w:pStyle w:val="BodyText"/>
        <w:spacing w:after="240"/>
      </w:pPr>
      <w:r w:rsidRPr="004F17C9">
        <w:t xml:space="preserve">‘Cost per completed support period’ is an indicator of governments’ objective to </w:t>
      </w:r>
      <w:r w:rsidR="00795D70">
        <w:t>provide specialist homelessness services in an efficient manner</w:t>
      </w:r>
      <w:r w:rsidRPr="004F17C9">
        <w:t xml:space="preserve"> (box</w:t>
      </w:r>
      <w:r>
        <w:t> </w:t>
      </w:r>
      <w:r w:rsidR="00B404DE">
        <w:t>19</w:t>
      </w:r>
      <w:r w:rsidR="00A40722">
        <w:t>.</w:t>
      </w:r>
      <w:r w:rsidR="006636FC">
        <w:t>7</w:t>
      </w:r>
      <w:r>
        <w:t>).</w:t>
      </w:r>
    </w:p>
    <w:p w14:paraId="204C5880" w14:textId="77777777" w:rsidR="00072EC1" w:rsidRDefault="00072EC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2EC1" w14:paraId="1418A659" w14:textId="77777777" w:rsidTr="004736EC">
        <w:tc>
          <w:tcPr>
            <w:tcW w:w="8771" w:type="dxa"/>
            <w:tcBorders>
              <w:top w:val="single" w:sz="6" w:space="0" w:color="78A22F"/>
              <w:left w:val="nil"/>
              <w:bottom w:val="nil"/>
              <w:right w:val="nil"/>
            </w:tcBorders>
            <w:shd w:val="clear" w:color="auto" w:fill="F2F2F2"/>
          </w:tcPr>
          <w:p w14:paraId="2BEBE764" w14:textId="45A5021E" w:rsidR="00072EC1" w:rsidRDefault="00072EC1" w:rsidP="00072EC1">
            <w:pPr>
              <w:pStyle w:val="BoxTitle"/>
            </w:pPr>
            <w:r>
              <w:rPr>
                <w:b w:val="0"/>
              </w:rPr>
              <w:t xml:space="preserve">Box </w:t>
            </w:r>
            <w:bookmarkStart w:id="25" w:name="OLE_LINK10"/>
            <w:r w:rsidR="00A40722">
              <w:rPr>
                <w:b w:val="0"/>
              </w:rPr>
              <w:t>19.</w:t>
            </w:r>
            <w:r w:rsidR="00087EB6">
              <w:rPr>
                <w:b w:val="0"/>
                <w:noProof/>
              </w:rPr>
              <w:t>7</w:t>
            </w:r>
            <w:bookmarkEnd w:id="25"/>
            <w:r>
              <w:tab/>
            </w:r>
            <w:r w:rsidRPr="009E5CE0">
              <w:rPr>
                <w:color w:val="000000" w:themeColor="text1"/>
              </w:rPr>
              <w:t>Cost per completed support period</w:t>
            </w:r>
          </w:p>
        </w:tc>
      </w:tr>
      <w:tr w:rsidR="00072EC1" w14:paraId="3F831E26" w14:textId="77777777" w:rsidTr="004736EC">
        <w:trPr>
          <w:cantSplit/>
        </w:trPr>
        <w:tc>
          <w:tcPr>
            <w:tcW w:w="8771" w:type="dxa"/>
            <w:tcBorders>
              <w:top w:val="nil"/>
              <w:left w:val="nil"/>
              <w:bottom w:val="nil"/>
              <w:right w:val="nil"/>
            </w:tcBorders>
            <w:shd w:val="clear" w:color="auto" w:fill="F2F2F2"/>
          </w:tcPr>
          <w:p w14:paraId="10B24E98" w14:textId="77777777" w:rsidR="00072EC1" w:rsidRPr="009E5CE0" w:rsidRDefault="00072EC1" w:rsidP="00072EC1">
            <w:pPr>
              <w:pStyle w:val="Box"/>
              <w:rPr>
                <w:color w:val="000000" w:themeColor="text1"/>
              </w:rPr>
            </w:pPr>
            <w:r>
              <w:rPr>
                <w:color w:val="000000" w:themeColor="text1"/>
              </w:rPr>
              <w:t xml:space="preserve">‘Cost per completed support period’ </w:t>
            </w:r>
            <w:r w:rsidRPr="009E5CE0">
              <w:rPr>
                <w:color w:val="000000" w:themeColor="text1"/>
              </w:rPr>
              <w:t xml:space="preserve">is defined as total </w:t>
            </w:r>
            <w:r>
              <w:rPr>
                <w:color w:val="000000" w:themeColor="text1"/>
              </w:rPr>
              <w:t xml:space="preserve">recurrent </w:t>
            </w:r>
            <w:r w:rsidRPr="009E5CE0">
              <w:rPr>
                <w:color w:val="000000" w:themeColor="text1"/>
              </w:rPr>
              <w:t>expenditure on homelessness services divided by the num</w:t>
            </w:r>
            <w:r>
              <w:rPr>
                <w:color w:val="000000" w:themeColor="text1"/>
              </w:rPr>
              <w:t>ber of completed support periods.</w:t>
            </w:r>
          </w:p>
          <w:p w14:paraId="237DE1C8" w14:textId="77777777" w:rsidR="00072EC1" w:rsidRPr="00280F26" w:rsidRDefault="00072EC1" w:rsidP="00072EC1">
            <w:pPr>
              <w:pStyle w:val="Box"/>
              <w:rPr>
                <w:color w:val="000000" w:themeColor="text1"/>
              </w:rPr>
            </w:pPr>
            <w:r w:rsidRPr="009E5CE0">
              <w:rPr>
                <w:color w:val="000000" w:themeColor="text1"/>
              </w:rPr>
              <w:t xml:space="preserve">A low or </w:t>
            </w:r>
            <w:r w:rsidRPr="00280F26">
              <w:rPr>
                <w:color w:val="000000" w:themeColor="text1"/>
              </w:rPr>
              <w:t>decreasing cost per completed support period may represent an improvement in efficiency, but may also</w:t>
            </w:r>
            <w:r>
              <w:rPr>
                <w:color w:val="000000" w:themeColor="text1"/>
              </w:rPr>
              <w:t xml:space="preserve"> indicate lower service quality</w:t>
            </w:r>
            <w:r w:rsidR="00624A66" w:rsidRPr="00570CF4">
              <w:rPr>
                <w:color w:val="000000" w:themeColor="text1"/>
              </w:rPr>
              <w:t>, shorter support periods</w:t>
            </w:r>
            <w:r>
              <w:rPr>
                <w:color w:val="000000" w:themeColor="text1"/>
              </w:rPr>
              <w:t>, service delivery across more agencies or changes in client need.</w:t>
            </w:r>
          </w:p>
          <w:p w14:paraId="2F4B70DA" w14:textId="77777777" w:rsidR="00072EC1" w:rsidRPr="00280F26" w:rsidRDefault="00072EC1" w:rsidP="00072EC1">
            <w:pPr>
              <w:pStyle w:val="Box"/>
              <w:rPr>
                <w:color w:val="000000" w:themeColor="text1"/>
              </w:rPr>
            </w:pPr>
            <w:r w:rsidRPr="00280F26">
              <w:rPr>
                <w:color w:val="000000" w:themeColor="text1"/>
              </w:rPr>
              <w:t>Data reported for this indicator are:</w:t>
            </w:r>
          </w:p>
          <w:p w14:paraId="7C3521B3" w14:textId="77777777" w:rsidR="00072EC1" w:rsidRPr="00F46DB4" w:rsidRDefault="00072EC1" w:rsidP="00072EC1">
            <w:pPr>
              <w:pStyle w:val="BoxListBullet"/>
            </w:pPr>
            <w:r w:rsidRPr="00F46DB4">
              <w:t>comparable within jurisdictions over time but are not comparable across jurisdictions</w:t>
            </w:r>
          </w:p>
          <w:p w14:paraId="1D5ACD4F" w14:textId="77777777" w:rsidR="00072EC1" w:rsidRDefault="00072EC1" w:rsidP="00752DC6">
            <w:pPr>
              <w:pStyle w:val="BoxListBullet"/>
            </w:pPr>
            <w:r w:rsidRPr="00F46DB4">
              <w:t xml:space="preserve">complete for the current reporting period. </w:t>
            </w:r>
            <w:r>
              <w:t xml:space="preserve">All required </w:t>
            </w:r>
            <w:r w:rsidR="00752DC6" w:rsidRPr="00752DC6">
              <w:t>2015</w:t>
            </w:r>
            <w:r w:rsidR="00462F17">
              <w:noBreakHyphen/>
            </w:r>
            <w:r w:rsidR="00752DC6" w:rsidRPr="00752DC6">
              <w:t xml:space="preserve">16 </w:t>
            </w:r>
            <w:r w:rsidRPr="00F46DB4">
              <w:t>data are available for all jurisdictions.</w:t>
            </w:r>
          </w:p>
        </w:tc>
      </w:tr>
      <w:tr w:rsidR="00072EC1" w14:paraId="3FA22CD8" w14:textId="77777777" w:rsidTr="004736EC">
        <w:trPr>
          <w:cantSplit/>
        </w:trPr>
        <w:tc>
          <w:tcPr>
            <w:tcW w:w="8771" w:type="dxa"/>
            <w:tcBorders>
              <w:top w:val="nil"/>
              <w:left w:val="nil"/>
              <w:bottom w:val="single" w:sz="6" w:space="0" w:color="78A22F"/>
              <w:right w:val="nil"/>
            </w:tcBorders>
            <w:shd w:val="clear" w:color="auto" w:fill="F2F2F2"/>
          </w:tcPr>
          <w:p w14:paraId="24287877" w14:textId="77777777" w:rsidR="00072EC1" w:rsidRDefault="00072EC1">
            <w:pPr>
              <w:pStyle w:val="Box"/>
              <w:spacing w:before="0" w:line="120" w:lineRule="exact"/>
            </w:pPr>
          </w:p>
        </w:tc>
      </w:tr>
      <w:tr w:rsidR="00072EC1" w:rsidRPr="000863A5" w14:paraId="36DFDE47" w14:textId="77777777" w:rsidTr="004736EC">
        <w:tc>
          <w:tcPr>
            <w:tcW w:w="8771" w:type="dxa"/>
            <w:tcBorders>
              <w:top w:val="single" w:sz="6" w:space="0" w:color="78A22F"/>
              <w:left w:val="nil"/>
              <w:bottom w:val="nil"/>
              <w:right w:val="nil"/>
            </w:tcBorders>
          </w:tcPr>
          <w:p w14:paraId="4B9F3C79" w14:textId="77777777" w:rsidR="00072EC1" w:rsidRPr="00626D32" w:rsidRDefault="00072EC1" w:rsidP="004736EC">
            <w:pPr>
              <w:pStyle w:val="BoxSpaceBelow"/>
            </w:pPr>
          </w:p>
        </w:tc>
      </w:tr>
    </w:tbl>
    <w:p w14:paraId="455F07FC" w14:textId="5674122D" w:rsidR="000707E5" w:rsidRDefault="00C769DF" w:rsidP="0085587E">
      <w:pPr>
        <w:pStyle w:val="BodyText"/>
        <w:spacing w:before="360" w:after="120"/>
      </w:pPr>
      <w:r w:rsidRPr="00C769DF">
        <w:t>Nationally in 2015</w:t>
      </w:r>
      <w:r w:rsidR="007E335A">
        <w:noBreakHyphen/>
      </w:r>
      <w:r w:rsidRPr="00C769DF">
        <w:t>16, the recurrent cost per completed support period was $1839 — similar in real terms to that in 2011</w:t>
      </w:r>
      <w:r w:rsidR="007E335A">
        <w:noBreakHyphen/>
      </w:r>
      <w:r w:rsidRPr="00C769DF">
        <w:t>12 ($1814) following fluctuation in the interim years (figure</w:t>
      </w:r>
      <w:r w:rsidR="007E335A">
        <w:t> </w:t>
      </w:r>
      <w:r w:rsidRPr="00C769DF">
        <w:t>19.8).</w:t>
      </w:r>
    </w:p>
    <w:p w14:paraId="69C21F3E" w14:textId="77777777" w:rsidR="004736EC" w:rsidRDefault="004736EC" w:rsidP="004736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736EC" w14:paraId="3A65E2F2" w14:textId="77777777" w:rsidTr="004736EC">
        <w:tc>
          <w:tcPr>
            <w:tcW w:w="8771" w:type="dxa"/>
            <w:tcBorders>
              <w:top w:val="single" w:sz="6" w:space="0" w:color="78A22F"/>
              <w:left w:val="nil"/>
              <w:bottom w:val="nil"/>
              <w:right w:val="nil"/>
            </w:tcBorders>
            <w:shd w:val="clear" w:color="auto" w:fill="auto"/>
          </w:tcPr>
          <w:p w14:paraId="57357F6A" w14:textId="181A219B" w:rsidR="004736EC" w:rsidRPr="00176D3F" w:rsidRDefault="004736EC" w:rsidP="0085587E">
            <w:pPr>
              <w:pStyle w:val="FigureTitle"/>
              <w:spacing w:before="80" w:after="40" w:line="260" w:lineRule="exact"/>
            </w:pPr>
            <w:r w:rsidRPr="00784A05">
              <w:rPr>
                <w:b w:val="0"/>
              </w:rPr>
              <w:t xml:space="preserve">Figure </w:t>
            </w:r>
            <w:bookmarkStart w:id="26" w:name="OLE_LINK11"/>
            <w:r w:rsidR="00A40722">
              <w:rPr>
                <w:b w:val="0"/>
              </w:rPr>
              <w:t>19.</w:t>
            </w:r>
            <w:r w:rsidR="00087EB6">
              <w:rPr>
                <w:b w:val="0"/>
                <w:noProof/>
              </w:rPr>
              <w:t>8</w:t>
            </w:r>
            <w:bookmarkEnd w:id="26"/>
            <w:r>
              <w:tab/>
            </w:r>
            <w:r w:rsidRPr="008A1E70">
              <w:t xml:space="preserve">Real recurrent cost per completed support period, </w:t>
            </w:r>
            <w:r w:rsidR="00462F17">
              <w:t>2015</w:t>
            </w:r>
            <w:r w:rsidR="00462F17">
              <w:noBreakHyphen/>
              <w:t>16</w:t>
            </w:r>
            <w:r>
              <w:t> </w:t>
            </w:r>
            <w:r w:rsidRPr="008A1E70">
              <w:t>dollars</w:t>
            </w:r>
            <w:r w:rsidRPr="008A1E70">
              <w:rPr>
                <w:rStyle w:val="NoteLabel"/>
                <w:b/>
              </w:rPr>
              <w:t>a</w:t>
            </w:r>
          </w:p>
        </w:tc>
      </w:tr>
      <w:tr w:rsidR="004736EC" w14:paraId="7827B703" w14:textId="77777777" w:rsidTr="005323D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61"/>
            </w:tblGrid>
            <w:tr w:rsidR="004736EC" w14:paraId="73507980" w14:textId="77777777" w:rsidTr="00BB7B86">
              <w:trPr>
                <w:jc w:val="center"/>
              </w:trPr>
              <w:tc>
                <w:tcPr>
                  <w:tcW w:w="8561" w:type="dxa"/>
                  <w:tcBorders>
                    <w:top w:val="nil"/>
                    <w:bottom w:val="nil"/>
                  </w:tcBorders>
                  <w:shd w:val="clear" w:color="auto" w:fill="auto"/>
                </w:tcPr>
                <w:p w14:paraId="71C024CB" w14:textId="77777777" w:rsidR="004736EC" w:rsidRDefault="000C36B6" w:rsidP="000C36B6">
                  <w:pPr>
                    <w:pStyle w:val="Figure"/>
                    <w:jc w:val="left"/>
                  </w:pPr>
                  <w:r>
                    <w:rPr>
                      <w:noProof/>
                    </w:rPr>
                    <w:drawing>
                      <wp:inline distT="0" distB="0" distL="0" distR="0" wp14:anchorId="086E0263" wp14:editId="3ECECA54">
                        <wp:extent cx="5395865" cy="2761307"/>
                        <wp:effectExtent l="0" t="0" r="0" b="1270"/>
                        <wp:docPr id="8" name="Picture 8" descr="Figure 19.8 Real recurrent cost per completed support period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b="4244"/>
                                <a:stretch/>
                              </pic:blipFill>
                              <pic:spPr bwMode="auto">
                                <a:xfrm>
                                  <a:off x="0" y="0"/>
                                  <a:ext cx="5395595" cy="2761169"/>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1522A25" w14:textId="77777777" w:rsidR="004736EC" w:rsidRDefault="004736EC" w:rsidP="004736EC">
            <w:pPr>
              <w:pStyle w:val="Figure"/>
            </w:pPr>
          </w:p>
        </w:tc>
      </w:tr>
      <w:tr w:rsidR="004736EC" w:rsidRPr="00176D3F" w14:paraId="1FF4C964" w14:textId="77777777" w:rsidTr="004736EC">
        <w:tc>
          <w:tcPr>
            <w:tcW w:w="8771" w:type="dxa"/>
            <w:tcBorders>
              <w:top w:val="nil"/>
              <w:left w:val="nil"/>
              <w:bottom w:val="nil"/>
              <w:right w:val="nil"/>
            </w:tcBorders>
            <w:shd w:val="clear" w:color="auto" w:fill="auto"/>
          </w:tcPr>
          <w:p w14:paraId="26A4EBBF" w14:textId="08E079D3" w:rsidR="004736EC" w:rsidRPr="00176D3F" w:rsidRDefault="004736EC" w:rsidP="0085587E">
            <w:pPr>
              <w:pStyle w:val="Note"/>
              <w:keepNext/>
            </w:pPr>
            <w:r>
              <w:rPr>
                <w:rStyle w:val="NoteLabel"/>
              </w:rPr>
              <w:t>a</w:t>
            </w:r>
            <w:r>
              <w:t xml:space="preserve"> </w:t>
            </w:r>
            <w:r w:rsidRPr="006D3797">
              <w:t>See box</w:t>
            </w:r>
            <w:r w:rsidR="007E335A">
              <w:t> </w:t>
            </w:r>
            <w:r w:rsidR="00A40722">
              <w:t>1</w:t>
            </w:r>
            <w:r w:rsidR="00B404DE">
              <w:t>9</w:t>
            </w:r>
            <w:r w:rsidR="00A40722">
              <w:t>.</w:t>
            </w:r>
            <w:r w:rsidR="006636FC">
              <w:t>7</w:t>
            </w:r>
            <w:r w:rsidRPr="006D3797">
              <w:t xml:space="preserve"> and table</w:t>
            </w:r>
            <w:r w:rsidR="007E335A">
              <w:t> </w:t>
            </w:r>
            <w:proofErr w:type="spellStart"/>
            <w:r w:rsidR="00650891">
              <w:t>19A</w:t>
            </w:r>
            <w:r w:rsidRPr="006D3797">
              <w:t>.</w:t>
            </w:r>
            <w:r>
              <w:t>18</w:t>
            </w:r>
            <w:proofErr w:type="spellEnd"/>
            <w:r w:rsidRPr="006D3797">
              <w:t xml:space="preserve"> for detailed definitions, footnotes and caveats</w:t>
            </w:r>
            <w:r>
              <w:t>.</w:t>
            </w:r>
          </w:p>
        </w:tc>
      </w:tr>
      <w:tr w:rsidR="004736EC" w:rsidRPr="00176D3F" w14:paraId="5B853E0F" w14:textId="77777777" w:rsidTr="004736EC">
        <w:tc>
          <w:tcPr>
            <w:tcW w:w="8771" w:type="dxa"/>
            <w:tcBorders>
              <w:top w:val="nil"/>
              <w:left w:val="nil"/>
              <w:bottom w:val="nil"/>
              <w:right w:val="nil"/>
            </w:tcBorders>
            <w:shd w:val="clear" w:color="auto" w:fill="auto"/>
          </w:tcPr>
          <w:p w14:paraId="0CDED45A" w14:textId="29CC0EF1" w:rsidR="004736EC" w:rsidRPr="00176D3F" w:rsidRDefault="004736EC" w:rsidP="0085587E">
            <w:pPr>
              <w:pStyle w:val="Source"/>
              <w:keepNext/>
            </w:pPr>
            <w:r w:rsidRPr="00266589">
              <w:rPr>
                <w:i/>
              </w:rPr>
              <w:t>Source</w:t>
            </w:r>
            <w:r w:rsidRPr="007D1EA0">
              <w:t>:</w:t>
            </w:r>
            <w:r w:rsidRPr="00266589">
              <w:rPr>
                <w:i/>
              </w:rPr>
              <w:t xml:space="preserve"> </w:t>
            </w:r>
            <w:proofErr w:type="spellStart"/>
            <w:r w:rsidRPr="00266589">
              <w:t>AIHW</w:t>
            </w:r>
            <w:proofErr w:type="spellEnd"/>
            <w:r w:rsidRPr="00266589">
              <w:t xml:space="preserve"> (unpublished) </w:t>
            </w:r>
            <w:r w:rsidR="000C1770" w:rsidRPr="000C1770">
              <w:t>Specialist Homelessness Services Collection</w:t>
            </w:r>
            <w:r>
              <w:t xml:space="preserve">; </w:t>
            </w:r>
            <w:r w:rsidRPr="00266589">
              <w:t>Australian, State and Territory governments (unpublished); table</w:t>
            </w:r>
            <w:r>
              <w:t>s</w:t>
            </w:r>
            <w:r w:rsidR="007E335A">
              <w:t> </w:t>
            </w:r>
            <w:proofErr w:type="spellStart"/>
            <w:r w:rsidR="00650891">
              <w:t>19A</w:t>
            </w:r>
            <w:r w:rsidRPr="00266589">
              <w:t>.1</w:t>
            </w:r>
            <w:r>
              <w:t>8</w:t>
            </w:r>
            <w:proofErr w:type="spellEnd"/>
            <w:r w:rsidRPr="00266589">
              <w:t xml:space="preserve"> and </w:t>
            </w:r>
            <w:proofErr w:type="spellStart"/>
            <w:r w:rsidR="00650891">
              <w:t>19A</w:t>
            </w:r>
            <w:r>
              <w:t>.34</w:t>
            </w:r>
            <w:proofErr w:type="spellEnd"/>
            <w:r w:rsidRPr="00266589">
              <w:rPr>
                <w:i/>
              </w:rPr>
              <w:t>.</w:t>
            </w:r>
          </w:p>
        </w:tc>
      </w:tr>
      <w:tr w:rsidR="004736EC" w14:paraId="2E1198FD" w14:textId="77777777" w:rsidTr="004736EC">
        <w:tc>
          <w:tcPr>
            <w:tcW w:w="8771" w:type="dxa"/>
            <w:tcBorders>
              <w:top w:val="nil"/>
              <w:left w:val="nil"/>
              <w:bottom w:val="single" w:sz="6" w:space="0" w:color="78A22F"/>
              <w:right w:val="nil"/>
            </w:tcBorders>
            <w:shd w:val="clear" w:color="auto" w:fill="auto"/>
          </w:tcPr>
          <w:p w14:paraId="21AABC96" w14:textId="77777777" w:rsidR="004736EC" w:rsidRDefault="004736EC" w:rsidP="0085587E">
            <w:pPr>
              <w:pStyle w:val="Figurespace"/>
              <w:keepLines/>
            </w:pPr>
          </w:p>
        </w:tc>
      </w:tr>
      <w:tr w:rsidR="004736EC" w:rsidRPr="000863A5" w14:paraId="1680A754" w14:textId="77777777" w:rsidTr="004736EC">
        <w:tc>
          <w:tcPr>
            <w:tcW w:w="8771" w:type="dxa"/>
            <w:tcBorders>
              <w:top w:val="single" w:sz="6" w:space="0" w:color="78A22F"/>
              <w:left w:val="nil"/>
              <w:bottom w:val="nil"/>
              <w:right w:val="nil"/>
            </w:tcBorders>
          </w:tcPr>
          <w:p w14:paraId="7426FB39" w14:textId="77777777" w:rsidR="004736EC" w:rsidRPr="00626D32" w:rsidRDefault="004736EC" w:rsidP="004736EC">
            <w:pPr>
              <w:pStyle w:val="BoxSpaceBelow"/>
            </w:pPr>
          </w:p>
        </w:tc>
      </w:tr>
    </w:tbl>
    <w:p w14:paraId="60A01176" w14:textId="77777777" w:rsidR="000707E5" w:rsidRPr="00022044" w:rsidRDefault="000707E5" w:rsidP="000707E5">
      <w:pPr>
        <w:pStyle w:val="Heading4"/>
      </w:pPr>
      <w:r w:rsidRPr="00022044">
        <w:lastRenderedPageBreak/>
        <w:t>Cost per client</w:t>
      </w:r>
    </w:p>
    <w:p w14:paraId="77CAD4CC" w14:textId="5C17058D" w:rsidR="000707E5" w:rsidRDefault="000707E5" w:rsidP="000707E5">
      <w:pPr>
        <w:pStyle w:val="BodyText"/>
        <w:spacing w:after="240"/>
      </w:pPr>
      <w:r w:rsidRPr="004F17C9">
        <w:t xml:space="preserve">‘Cost per client’ is an </w:t>
      </w:r>
      <w:r w:rsidRPr="00B12608">
        <w:t xml:space="preserve">indicator of governments’ objective to </w:t>
      </w:r>
      <w:r w:rsidR="00061428" w:rsidRPr="00B12608">
        <w:t>provide specialist homelessness services in an efficient manner</w:t>
      </w:r>
      <w:r w:rsidR="00061428" w:rsidRPr="00B12608" w:rsidDel="00061428">
        <w:t xml:space="preserve"> </w:t>
      </w:r>
      <w:r w:rsidRPr="004F17C9">
        <w:t>(bo</w:t>
      </w:r>
      <w:r>
        <w:t>x </w:t>
      </w:r>
      <w:r w:rsidR="00A40722">
        <w:t>1</w:t>
      </w:r>
      <w:r w:rsidR="00B404DE">
        <w:t>9</w:t>
      </w:r>
      <w:r w:rsidR="00621F58">
        <w:t>.</w:t>
      </w:r>
      <w:r w:rsidR="006636FC">
        <w:t>8</w:t>
      </w:r>
      <w:r>
        <w:t>).</w:t>
      </w:r>
    </w:p>
    <w:p w14:paraId="3B529CC2" w14:textId="77777777" w:rsidR="00290407" w:rsidRDefault="002904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14:paraId="24001428" w14:textId="77777777" w:rsidTr="00B85BFD">
        <w:tc>
          <w:tcPr>
            <w:tcW w:w="8771" w:type="dxa"/>
            <w:tcBorders>
              <w:top w:val="single" w:sz="6" w:space="0" w:color="78A22F"/>
              <w:left w:val="nil"/>
              <w:bottom w:val="nil"/>
              <w:right w:val="nil"/>
            </w:tcBorders>
            <w:shd w:val="clear" w:color="auto" w:fill="F2F2F2"/>
          </w:tcPr>
          <w:p w14:paraId="6B5481AF" w14:textId="6F4B27CA" w:rsidR="00290407" w:rsidRDefault="00290407" w:rsidP="00290407">
            <w:pPr>
              <w:pStyle w:val="BoxTitle"/>
            </w:pPr>
            <w:r>
              <w:rPr>
                <w:b w:val="0"/>
              </w:rPr>
              <w:t xml:space="preserve">Box </w:t>
            </w:r>
            <w:bookmarkStart w:id="27" w:name="OLE_LINK12"/>
            <w:r w:rsidR="00A40722">
              <w:rPr>
                <w:b w:val="0"/>
              </w:rPr>
              <w:t>19.</w:t>
            </w:r>
            <w:r w:rsidR="00087EB6">
              <w:rPr>
                <w:b w:val="0"/>
                <w:noProof/>
              </w:rPr>
              <w:t>8</w:t>
            </w:r>
            <w:bookmarkEnd w:id="27"/>
            <w:r>
              <w:tab/>
            </w:r>
            <w:r w:rsidRPr="009E5CE0">
              <w:rPr>
                <w:color w:val="000000" w:themeColor="text1"/>
              </w:rPr>
              <w:t>Cost per client</w:t>
            </w:r>
          </w:p>
        </w:tc>
      </w:tr>
      <w:tr w:rsidR="00290407" w14:paraId="462A162A" w14:textId="77777777" w:rsidTr="00B85BFD">
        <w:trPr>
          <w:cantSplit/>
        </w:trPr>
        <w:tc>
          <w:tcPr>
            <w:tcW w:w="8771" w:type="dxa"/>
            <w:tcBorders>
              <w:top w:val="nil"/>
              <w:left w:val="nil"/>
              <w:bottom w:val="nil"/>
              <w:right w:val="nil"/>
            </w:tcBorders>
            <w:shd w:val="clear" w:color="auto" w:fill="F2F2F2"/>
          </w:tcPr>
          <w:p w14:paraId="3212067E" w14:textId="77777777" w:rsidR="00290407" w:rsidRPr="009E5CE0" w:rsidRDefault="00290407" w:rsidP="00290407">
            <w:pPr>
              <w:pStyle w:val="Box"/>
              <w:rPr>
                <w:color w:val="000000" w:themeColor="text1"/>
              </w:rPr>
            </w:pPr>
            <w:r>
              <w:rPr>
                <w:color w:val="000000" w:themeColor="text1"/>
              </w:rPr>
              <w:t xml:space="preserve">‘Cost per client’ </w:t>
            </w:r>
            <w:r w:rsidRPr="009E5CE0">
              <w:rPr>
                <w:color w:val="000000" w:themeColor="text1"/>
              </w:rPr>
              <w:t xml:space="preserve">is defined as total </w:t>
            </w:r>
            <w:r>
              <w:rPr>
                <w:color w:val="000000" w:themeColor="text1"/>
              </w:rPr>
              <w:t xml:space="preserve">recurrent </w:t>
            </w:r>
            <w:r w:rsidRPr="009E5CE0">
              <w:rPr>
                <w:color w:val="000000" w:themeColor="text1"/>
              </w:rPr>
              <w:t xml:space="preserve">expenditure on homelessness services divided by the number of </w:t>
            </w:r>
            <w:r>
              <w:rPr>
                <w:color w:val="000000" w:themeColor="text1"/>
              </w:rPr>
              <w:t>clients provided with a service.</w:t>
            </w:r>
          </w:p>
          <w:p w14:paraId="788FDFF2" w14:textId="77777777" w:rsidR="00290407" w:rsidRPr="00BD10CD" w:rsidRDefault="00290407" w:rsidP="00290407">
            <w:pPr>
              <w:pStyle w:val="Box"/>
              <w:rPr>
                <w:color w:val="000000" w:themeColor="text1"/>
              </w:rPr>
            </w:pPr>
            <w:r w:rsidRPr="009E5CE0">
              <w:rPr>
                <w:color w:val="000000" w:themeColor="text1"/>
              </w:rPr>
              <w:t xml:space="preserve">A low or decreasing cost per client </w:t>
            </w:r>
            <w:r>
              <w:rPr>
                <w:color w:val="000000" w:themeColor="text1"/>
              </w:rPr>
              <w:t xml:space="preserve">may </w:t>
            </w:r>
            <w:r w:rsidRPr="009E5CE0">
              <w:rPr>
                <w:color w:val="000000" w:themeColor="text1"/>
              </w:rPr>
              <w:t>represent</w:t>
            </w:r>
            <w:r>
              <w:rPr>
                <w:color w:val="000000" w:themeColor="text1"/>
              </w:rPr>
              <w:t xml:space="preserve"> </w:t>
            </w:r>
            <w:r w:rsidRPr="009E5CE0">
              <w:rPr>
                <w:color w:val="000000" w:themeColor="text1"/>
              </w:rPr>
              <w:t xml:space="preserve">an </w:t>
            </w:r>
            <w:r>
              <w:rPr>
                <w:color w:val="000000" w:themeColor="text1"/>
              </w:rPr>
              <w:t>improvement in efficiency, but may a</w:t>
            </w:r>
            <w:r w:rsidRPr="009E5CE0">
              <w:rPr>
                <w:color w:val="000000" w:themeColor="text1"/>
              </w:rPr>
              <w:t xml:space="preserve">lso indicate lower </w:t>
            </w:r>
            <w:r>
              <w:rPr>
                <w:color w:val="000000" w:themeColor="text1"/>
              </w:rPr>
              <w:t xml:space="preserve">service quality </w:t>
            </w:r>
            <w:r w:rsidRPr="00000AAB">
              <w:rPr>
                <w:color w:val="000000" w:themeColor="text1"/>
              </w:rPr>
              <w:t xml:space="preserve">or </w:t>
            </w:r>
            <w:r>
              <w:rPr>
                <w:color w:val="000000" w:themeColor="text1"/>
              </w:rPr>
              <w:t>less complex client needs.</w:t>
            </w:r>
          </w:p>
          <w:p w14:paraId="428F2E64" w14:textId="77777777" w:rsidR="00290407" w:rsidRPr="00BD10CD" w:rsidRDefault="00290407" w:rsidP="00290407">
            <w:pPr>
              <w:pStyle w:val="Box"/>
              <w:rPr>
                <w:color w:val="000000" w:themeColor="text1"/>
              </w:rPr>
            </w:pPr>
            <w:r w:rsidRPr="00BD10CD">
              <w:rPr>
                <w:color w:val="000000" w:themeColor="text1"/>
              </w:rPr>
              <w:t>Data reported for this indicator are:</w:t>
            </w:r>
          </w:p>
          <w:p w14:paraId="09F38654" w14:textId="77777777" w:rsidR="00290407" w:rsidRPr="00BD10CD" w:rsidRDefault="00290407" w:rsidP="00290407">
            <w:pPr>
              <w:pStyle w:val="BoxListBullet"/>
              <w:rPr>
                <w:color w:val="000000" w:themeColor="text1"/>
              </w:rPr>
            </w:pPr>
            <w:r w:rsidRPr="00BD10CD">
              <w:rPr>
                <w:color w:val="000000" w:themeColor="text1"/>
              </w:rPr>
              <w:t>comparable within jurisdictions over time but are not comparable across jurisdictions</w:t>
            </w:r>
          </w:p>
          <w:p w14:paraId="5E74E961" w14:textId="1DCD66D4" w:rsidR="00290407" w:rsidRPr="005A710D" w:rsidRDefault="00290407" w:rsidP="00A6637C">
            <w:pPr>
              <w:pStyle w:val="BoxListBullet"/>
              <w:rPr>
                <w:color w:val="000000" w:themeColor="text1"/>
              </w:rPr>
            </w:pPr>
            <w:r w:rsidRPr="00BD10CD">
              <w:rPr>
                <w:color w:val="000000" w:themeColor="text1"/>
              </w:rPr>
              <w:t xml:space="preserve">complete for the current reporting period. </w:t>
            </w:r>
            <w:r>
              <w:rPr>
                <w:color w:val="000000" w:themeColor="text1"/>
              </w:rPr>
              <w:t>All required</w:t>
            </w:r>
            <w:r w:rsidR="00A6637C">
              <w:rPr>
                <w:color w:val="000000" w:themeColor="text1"/>
              </w:rPr>
              <w:t xml:space="preserve"> 2015</w:t>
            </w:r>
            <w:r w:rsidR="007E335A">
              <w:rPr>
                <w:color w:val="000000" w:themeColor="text1"/>
              </w:rPr>
              <w:noBreakHyphen/>
            </w:r>
            <w:r w:rsidR="00A6637C">
              <w:rPr>
                <w:color w:val="000000" w:themeColor="text1"/>
              </w:rPr>
              <w:t>16</w:t>
            </w:r>
            <w:r>
              <w:rPr>
                <w:color w:val="000000" w:themeColor="text1"/>
              </w:rPr>
              <w:t xml:space="preserve"> </w:t>
            </w:r>
            <w:r w:rsidRPr="00BD10CD">
              <w:rPr>
                <w:color w:val="000000" w:themeColor="text1"/>
              </w:rPr>
              <w:t>data are available for all jurisdictions</w:t>
            </w:r>
            <w:r>
              <w:rPr>
                <w:color w:val="000000" w:themeColor="text1"/>
              </w:rPr>
              <w:t>.</w:t>
            </w:r>
          </w:p>
        </w:tc>
      </w:tr>
      <w:tr w:rsidR="00290407" w14:paraId="5B6D6C05" w14:textId="77777777" w:rsidTr="00B85BFD">
        <w:trPr>
          <w:cantSplit/>
        </w:trPr>
        <w:tc>
          <w:tcPr>
            <w:tcW w:w="8771" w:type="dxa"/>
            <w:tcBorders>
              <w:top w:val="nil"/>
              <w:left w:val="nil"/>
              <w:bottom w:val="single" w:sz="6" w:space="0" w:color="78A22F"/>
              <w:right w:val="nil"/>
            </w:tcBorders>
            <w:shd w:val="clear" w:color="auto" w:fill="F2F2F2"/>
          </w:tcPr>
          <w:p w14:paraId="57A120A0" w14:textId="77777777" w:rsidR="00290407" w:rsidRDefault="00290407">
            <w:pPr>
              <w:pStyle w:val="Box"/>
              <w:spacing w:before="0" w:line="120" w:lineRule="exact"/>
            </w:pPr>
          </w:p>
        </w:tc>
      </w:tr>
      <w:tr w:rsidR="00290407" w:rsidRPr="000863A5" w14:paraId="1C831C66" w14:textId="77777777" w:rsidTr="00B85BFD">
        <w:tc>
          <w:tcPr>
            <w:tcW w:w="8771" w:type="dxa"/>
            <w:tcBorders>
              <w:top w:val="single" w:sz="6" w:space="0" w:color="78A22F"/>
              <w:left w:val="nil"/>
              <w:bottom w:val="nil"/>
              <w:right w:val="nil"/>
            </w:tcBorders>
          </w:tcPr>
          <w:p w14:paraId="0FD5EA1D" w14:textId="77777777" w:rsidR="00290407" w:rsidRPr="00626D32" w:rsidRDefault="00290407" w:rsidP="00B85BFD">
            <w:pPr>
              <w:pStyle w:val="BoxSpaceBelow"/>
            </w:pPr>
          </w:p>
        </w:tc>
      </w:tr>
    </w:tbl>
    <w:p w14:paraId="6CE541EE" w14:textId="5413C229" w:rsidR="000707E5" w:rsidRPr="001B7108" w:rsidRDefault="000707E5" w:rsidP="009F59E7">
      <w:pPr>
        <w:pStyle w:val="BodyText"/>
      </w:pPr>
      <w:r w:rsidRPr="00FD0D28">
        <w:t>Nationally, the recurrent cost per client accessing homelessness services was</w:t>
      </w:r>
      <w:r w:rsidR="00A6637C">
        <w:t xml:space="preserve"> $2735</w:t>
      </w:r>
      <w:r w:rsidRPr="005323DE">
        <w:t xml:space="preserve"> in </w:t>
      </w:r>
      <w:r w:rsidR="00A6637C">
        <w:rPr>
          <w:color w:val="000000" w:themeColor="text1"/>
        </w:rPr>
        <w:t>2015</w:t>
      </w:r>
      <w:r w:rsidR="007E335A">
        <w:rPr>
          <w:color w:val="000000" w:themeColor="text1"/>
        </w:rPr>
        <w:noBreakHyphen/>
      </w:r>
      <w:r w:rsidR="00A6637C">
        <w:rPr>
          <w:color w:val="000000" w:themeColor="text1"/>
        </w:rPr>
        <w:t>16</w:t>
      </w:r>
      <w:r w:rsidRPr="005323DE">
        <w:t xml:space="preserve"> </w:t>
      </w:r>
      <w:r w:rsidR="00290407" w:rsidRPr="005323DE">
        <w:rPr>
          <w:color w:val="000000" w:themeColor="text1"/>
        </w:rPr>
        <w:t xml:space="preserve">— an increase </w:t>
      </w:r>
      <w:r w:rsidR="0035063F" w:rsidRPr="0035063F">
        <w:rPr>
          <w:color w:val="000000" w:themeColor="text1"/>
        </w:rPr>
        <w:t xml:space="preserve">in real terms of </w:t>
      </w:r>
      <w:r w:rsidR="00A6637C">
        <w:rPr>
          <w:color w:val="000000" w:themeColor="text1"/>
        </w:rPr>
        <w:t>7.2</w:t>
      </w:r>
      <w:r w:rsidR="00290407" w:rsidRPr="005323DE">
        <w:rPr>
          <w:color w:val="000000" w:themeColor="text1"/>
        </w:rPr>
        <w:t> per cent</w:t>
      </w:r>
      <w:r w:rsidR="00290407">
        <w:rPr>
          <w:color w:val="000000" w:themeColor="text1"/>
        </w:rPr>
        <w:t xml:space="preserve"> from 2011</w:t>
      </w:r>
      <w:r w:rsidR="00290407">
        <w:rPr>
          <w:color w:val="000000" w:themeColor="text1"/>
        </w:rPr>
        <w:noBreakHyphen/>
        <w:t xml:space="preserve">12 </w:t>
      </w:r>
      <w:r w:rsidRPr="00FD0D28">
        <w:t>(</w:t>
      </w:r>
      <w:r w:rsidR="00AB3D27">
        <w:t>table</w:t>
      </w:r>
      <w:r w:rsidR="007E335A">
        <w:t> </w:t>
      </w:r>
      <w:proofErr w:type="spellStart"/>
      <w:r w:rsidR="00AB3D27">
        <w:t>19A.19</w:t>
      </w:r>
      <w:proofErr w:type="spellEnd"/>
      <w:r w:rsidRPr="00FD0D28">
        <w:t>).</w:t>
      </w:r>
    </w:p>
    <w:p w14:paraId="321F2F3D" w14:textId="77777777" w:rsidR="000707E5" w:rsidRPr="00022044" w:rsidRDefault="000707E5" w:rsidP="000707E5">
      <w:pPr>
        <w:pStyle w:val="Heading4"/>
      </w:pPr>
      <w:r w:rsidRPr="00022044">
        <w:t>Cost per day of support</w:t>
      </w:r>
    </w:p>
    <w:p w14:paraId="716400AA" w14:textId="0B437980" w:rsidR="000707E5" w:rsidRDefault="000707E5" w:rsidP="000707E5">
      <w:pPr>
        <w:pStyle w:val="BodyText"/>
        <w:spacing w:after="240"/>
      </w:pPr>
      <w:r w:rsidRPr="004F17C9">
        <w:t xml:space="preserve">‘Cost per day of support’ is an </w:t>
      </w:r>
      <w:r w:rsidRPr="00B12608">
        <w:t xml:space="preserve">indicator of governments’ objective to </w:t>
      </w:r>
      <w:r w:rsidR="00061428" w:rsidRPr="00B12608">
        <w:t>provide specialist homelessness services in an efficient manner</w:t>
      </w:r>
      <w:r w:rsidRPr="004F17C9">
        <w:t xml:space="preserve"> (</w:t>
      </w:r>
      <w:r w:rsidR="00B404DE">
        <w:t>box </w:t>
      </w:r>
      <w:r w:rsidR="00327DCA">
        <w:t>19.</w:t>
      </w:r>
      <w:r w:rsidR="006636FC">
        <w:t>9</w:t>
      </w:r>
      <w:r>
        <w:t>).</w:t>
      </w:r>
    </w:p>
    <w:p w14:paraId="247A5ADE" w14:textId="77777777" w:rsidR="00290407" w:rsidRDefault="002904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14:paraId="6E6D4465" w14:textId="77777777" w:rsidTr="00B85BFD">
        <w:tc>
          <w:tcPr>
            <w:tcW w:w="8771" w:type="dxa"/>
            <w:tcBorders>
              <w:top w:val="single" w:sz="6" w:space="0" w:color="78A22F"/>
              <w:left w:val="nil"/>
              <w:bottom w:val="nil"/>
              <w:right w:val="nil"/>
            </w:tcBorders>
            <w:shd w:val="clear" w:color="auto" w:fill="F2F2F2"/>
          </w:tcPr>
          <w:p w14:paraId="04FCB9B7" w14:textId="5370DF5A" w:rsidR="00290407" w:rsidRDefault="00290407" w:rsidP="00290407">
            <w:pPr>
              <w:pStyle w:val="BoxTitle"/>
            </w:pPr>
            <w:r>
              <w:rPr>
                <w:b w:val="0"/>
              </w:rPr>
              <w:t xml:space="preserve">Box </w:t>
            </w:r>
            <w:bookmarkStart w:id="28" w:name="OLE_LINK27"/>
            <w:r w:rsidR="00A40722">
              <w:rPr>
                <w:b w:val="0"/>
              </w:rPr>
              <w:t>19.</w:t>
            </w:r>
            <w:r w:rsidR="00087EB6">
              <w:rPr>
                <w:b w:val="0"/>
                <w:noProof/>
              </w:rPr>
              <w:t>9</w:t>
            </w:r>
            <w:bookmarkEnd w:id="28"/>
            <w:r>
              <w:tab/>
            </w:r>
            <w:r w:rsidRPr="00022044">
              <w:t>Cost per day of support</w:t>
            </w:r>
          </w:p>
        </w:tc>
      </w:tr>
      <w:tr w:rsidR="00290407" w14:paraId="71D3A99B" w14:textId="77777777" w:rsidTr="00B85BFD">
        <w:trPr>
          <w:cantSplit/>
        </w:trPr>
        <w:tc>
          <w:tcPr>
            <w:tcW w:w="8771" w:type="dxa"/>
            <w:tcBorders>
              <w:top w:val="nil"/>
              <w:left w:val="nil"/>
              <w:bottom w:val="nil"/>
              <w:right w:val="nil"/>
            </w:tcBorders>
            <w:shd w:val="clear" w:color="auto" w:fill="F2F2F2"/>
          </w:tcPr>
          <w:p w14:paraId="70E5C941" w14:textId="77777777" w:rsidR="00290407" w:rsidRPr="00022044" w:rsidRDefault="00290407" w:rsidP="00290407">
            <w:pPr>
              <w:pStyle w:val="Box"/>
              <w:rPr>
                <w:bCs/>
              </w:rPr>
            </w:pPr>
            <w:r w:rsidRPr="00022044">
              <w:rPr>
                <w:bCs/>
              </w:rPr>
              <w:t>‘Cost per day of support’ is defined as total recurrent expenditure on homelessness services divided by the number of days of support for clients receiving support and/or supported accommodation.</w:t>
            </w:r>
          </w:p>
          <w:p w14:paraId="3A66B87A" w14:textId="77777777" w:rsidR="00290407" w:rsidRPr="00022044" w:rsidRDefault="00290407" w:rsidP="00290407">
            <w:pPr>
              <w:pStyle w:val="Box"/>
              <w:rPr>
                <w:bCs/>
              </w:rPr>
            </w:pPr>
            <w:r w:rsidRPr="00022044">
              <w:rPr>
                <w:bCs/>
              </w:rPr>
              <w:t>A low or decreasing cost per day of support may represent an improvement in efficiency, but may also indicate lower service quality</w:t>
            </w:r>
            <w:r>
              <w:rPr>
                <w:bCs/>
              </w:rPr>
              <w:t>, less complex client needs or longer waiting times for services.</w:t>
            </w:r>
          </w:p>
          <w:p w14:paraId="11BFEF86" w14:textId="77777777" w:rsidR="00290407" w:rsidRPr="00022044" w:rsidRDefault="00290407" w:rsidP="00290407">
            <w:pPr>
              <w:pStyle w:val="Box"/>
            </w:pPr>
            <w:r w:rsidRPr="00022044">
              <w:t>Data reported for this indicator are:</w:t>
            </w:r>
          </w:p>
          <w:p w14:paraId="0B549AEF" w14:textId="77777777" w:rsidR="00290407" w:rsidRPr="00022044" w:rsidRDefault="00290407" w:rsidP="00290407">
            <w:pPr>
              <w:pStyle w:val="BoxListBullet"/>
            </w:pPr>
            <w:r w:rsidRPr="00022044">
              <w:t>comparable within jurisdictions for the current reporting period but are not comparable across jurisdictions</w:t>
            </w:r>
          </w:p>
          <w:p w14:paraId="47C87F97" w14:textId="77777777" w:rsidR="00290407" w:rsidRDefault="00290407" w:rsidP="008D3310">
            <w:pPr>
              <w:pStyle w:val="BoxListBullet"/>
            </w:pPr>
            <w:r w:rsidRPr="00022044">
              <w:t xml:space="preserve">complete for the current reporting period. </w:t>
            </w:r>
            <w:r>
              <w:t>All required 201</w:t>
            </w:r>
            <w:r w:rsidR="008D3310">
              <w:t>5</w:t>
            </w:r>
            <w:r>
              <w:noBreakHyphen/>
              <w:t>1</w:t>
            </w:r>
            <w:r w:rsidR="008D3310">
              <w:t>6</w:t>
            </w:r>
            <w:r>
              <w:t xml:space="preserve"> </w:t>
            </w:r>
            <w:r w:rsidRPr="00022044">
              <w:t>data are available for all jurisdictions.</w:t>
            </w:r>
          </w:p>
        </w:tc>
      </w:tr>
      <w:tr w:rsidR="00290407" w14:paraId="0FF18C53" w14:textId="77777777" w:rsidTr="00B85BFD">
        <w:trPr>
          <w:cantSplit/>
        </w:trPr>
        <w:tc>
          <w:tcPr>
            <w:tcW w:w="8771" w:type="dxa"/>
            <w:tcBorders>
              <w:top w:val="nil"/>
              <w:left w:val="nil"/>
              <w:bottom w:val="single" w:sz="6" w:space="0" w:color="78A22F"/>
              <w:right w:val="nil"/>
            </w:tcBorders>
            <w:shd w:val="clear" w:color="auto" w:fill="F2F2F2"/>
          </w:tcPr>
          <w:p w14:paraId="601E92C5" w14:textId="77777777" w:rsidR="00290407" w:rsidRDefault="00290407" w:rsidP="00290407">
            <w:pPr>
              <w:pStyle w:val="Box"/>
              <w:spacing w:before="0" w:line="120" w:lineRule="exact"/>
            </w:pPr>
          </w:p>
        </w:tc>
      </w:tr>
      <w:tr w:rsidR="00290407" w:rsidRPr="000863A5" w14:paraId="7DF6D893" w14:textId="77777777" w:rsidTr="00B85BFD">
        <w:tc>
          <w:tcPr>
            <w:tcW w:w="8771" w:type="dxa"/>
            <w:tcBorders>
              <w:top w:val="single" w:sz="6" w:space="0" w:color="78A22F"/>
              <w:left w:val="nil"/>
              <w:bottom w:val="nil"/>
              <w:right w:val="nil"/>
            </w:tcBorders>
          </w:tcPr>
          <w:p w14:paraId="40A11030" w14:textId="77777777" w:rsidR="00290407" w:rsidRPr="00626D32" w:rsidRDefault="00290407" w:rsidP="00B85BFD">
            <w:pPr>
              <w:pStyle w:val="BoxSpaceBelow"/>
            </w:pPr>
          </w:p>
        </w:tc>
      </w:tr>
    </w:tbl>
    <w:p w14:paraId="01DF8920" w14:textId="5D281AD6" w:rsidR="000707E5" w:rsidRPr="004740CE" w:rsidRDefault="0035063F" w:rsidP="000707E5">
      <w:pPr>
        <w:pStyle w:val="BodyText"/>
        <w:spacing w:after="240"/>
        <w:rPr>
          <w:color w:val="000000" w:themeColor="text1"/>
        </w:rPr>
      </w:pPr>
      <w:r w:rsidRPr="0035063F">
        <w:t>Nationally, the recurrent cost per day of support for clients averaged $34.37 in 2015</w:t>
      </w:r>
      <w:r w:rsidR="007E335A">
        <w:noBreakHyphen/>
      </w:r>
      <w:r w:rsidRPr="0035063F">
        <w:t>16 — an increase in real terms of 14.0 per cent from 2012</w:t>
      </w:r>
      <w:r>
        <w:noBreakHyphen/>
      </w:r>
      <w:r w:rsidRPr="0035063F">
        <w:t>13 (figure</w:t>
      </w:r>
      <w:r w:rsidR="007E335A">
        <w:t> </w:t>
      </w:r>
      <w:r w:rsidRPr="0035063F">
        <w:t>19.9).</w:t>
      </w:r>
    </w:p>
    <w:p w14:paraId="779C3EB4" w14:textId="77777777" w:rsidR="00290407" w:rsidRDefault="00290407"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0407" w14:paraId="6B65863C" w14:textId="77777777" w:rsidTr="00B85BFD">
        <w:tc>
          <w:tcPr>
            <w:tcW w:w="8771" w:type="dxa"/>
            <w:tcBorders>
              <w:top w:val="single" w:sz="6" w:space="0" w:color="78A22F"/>
              <w:left w:val="nil"/>
              <w:bottom w:val="nil"/>
              <w:right w:val="nil"/>
            </w:tcBorders>
            <w:shd w:val="clear" w:color="auto" w:fill="auto"/>
          </w:tcPr>
          <w:p w14:paraId="401E746E" w14:textId="5C24467D" w:rsidR="00290407" w:rsidRPr="00176D3F" w:rsidRDefault="00290407" w:rsidP="00290407">
            <w:pPr>
              <w:pStyle w:val="FigureTitle"/>
            </w:pPr>
            <w:r w:rsidRPr="00784A05">
              <w:rPr>
                <w:b w:val="0"/>
              </w:rPr>
              <w:t xml:space="preserve">Figure </w:t>
            </w:r>
            <w:r w:rsidR="00A40722">
              <w:rPr>
                <w:b w:val="0"/>
              </w:rPr>
              <w:t>19.</w:t>
            </w:r>
            <w:r w:rsidR="00087EB6">
              <w:rPr>
                <w:b w:val="0"/>
                <w:noProof/>
              </w:rPr>
              <w:t>9</w:t>
            </w:r>
            <w:r>
              <w:tab/>
            </w:r>
            <w:r w:rsidRPr="00022044">
              <w:t>Real recurrent cost per day of support for clients,</w:t>
            </w:r>
            <w:r>
              <w:t xml:space="preserve"> </w:t>
            </w:r>
            <w:r w:rsidR="00BB7B86">
              <w:t>2015</w:t>
            </w:r>
            <w:r w:rsidR="00BB7B86">
              <w:noBreakHyphen/>
              <w:t>16</w:t>
            </w:r>
            <w:r>
              <w:t> dollars</w:t>
            </w:r>
            <w:r w:rsidRPr="00022044">
              <w:rPr>
                <w:rStyle w:val="NoteLabel"/>
                <w:b/>
              </w:rPr>
              <w:t>a</w:t>
            </w:r>
          </w:p>
        </w:tc>
      </w:tr>
      <w:tr w:rsidR="00290407" w14:paraId="4699E177" w14:textId="77777777" w:rsidTr="005323DE">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61"/>
            </w:tblGrid>
            <w:tr w:rsidR="00290407" w14:paraId="760931AE" w14:textId="77777777" w:rsidTr="00BB7B86">
              <w:trPr>
                <w:jc w:val="center"/>
              </w:trPr>
              <w:tc>
                <w:tcPr>
                  <w:tcW w:w="8561" w:type="dxa"/>
                  <w:tcBorders>
                    <w:top w:val="nil"/>
                    <w:bottom w:val="nil"/>
                  </w:tcBorders>
                </w:tcPr>
                <w:p w14:paraId="30DBA9AD" w14:textId="77777777" w:rsidR="00290407" w:rsidRPr="00315CD9" w:rsidRDefault="00722587" w:rsidP="00315CD9">
                  <w:pPr>
                    <w:pStyle w:val="Figure"/>
                  </w:pPr>
                  <w:r>
                    <w:rPr>
                      <w:noProof/>
                    </w:rPr>
                    <w:drawing>
                      <wp:inline distT="0" distB="0" distL="0" distR="0" wp14:anchorId="608CFDDB" wp14:editId="4066928B">
                        <wp:extent cx="5401310" cy="2700655"/>
                        <wp:effectExtent l="0" t="0" r="8890" b="4445"/>
                        <wp:docPr id="25" name="Picture 25" descr="Figure 19.9 Real recurrent cost per day of support for clients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pic:spPr>
                            </pic:pic>
                          </a:graphicData>
                        </a:graphic>
                      </wp:inline>
                    </w:drawing>
                  </w:r>
                </w:p>
              </w:tc>
            </w:tr>
          </w:tbl>
          <w:p w14:paraId="59C3C643" w14:textId="77777777" w:rsidR="00290407" w:rsidRPr="00315CD9" w:rsidRDefault="00290407" w:rsidP="00315CD9">
            <w:pPr>
              <w:pStyle w:val="Figure"/>
            </w:pPr>
          </w:p>
        </w:tc>
      </w:tr>
      <w:tr w:rsidR="00290407" w:rsidRPr="00176D3F" w14:paraId="6B34EAAF" w14:textId="77777777" w:rsidTr="00B85BFD">
        <w:tc>
          <w:tcPr>
            <w:tcW w:w="8771" w:type="dxa"/>
            <w:tcBorders>
              <w:top w:val="nil"/>
              <w:left w:val="nil"/>
              <w:bottom w:val="nil"/>
              <w:right w:val="nil"/>
            </w:tcBorders>
            <w:shd w:val="clear" w:color="auto" w:fill="auto"/>
          </w:tcPr>
          <w:p w14:paraId="186B6601" w14:textId="1351A3AC" w:rsidR="00290407" w:rsidRPr="00176D3F" w:rsidRDefault="00290407" w:rsidP="006636FC">
            <w:pPr>
              <w:pStyle w:val="Note"/>
            </w:pPr>
            <w:r>
              <w:rPr>
                <w:rStyle w:val="NoteLabel"/>
              </w:rPr>
              <w:t>a</w:t>
            </w:r>
            <w:r>
              <w:t xml:space="preserve"> </w:t>
            </w:r>
            <w:r w:rsidRPr="006D3797">
              <w:t xml:space="preserve">See </w:t>
            </w:r>
            <w:r w:rsidRPr="00570CF4">
              <w:t>box</w:t>
            </w:r>
            <w:r w:rsidR="007E335A">
              <w:t> </w:t>
            </w:r>
            <w:r w:rsidR="00A40722">
              <w:t>1</w:t>
            </w:r>
            <w:r w:rsidR="00B404DE">
              <w:t>9</w:t>
            </w:r>
            <w:r w:rsidR="00A40722">
              <w:t>.</w:t>
            </w:r>
            <w:r w:rsidR="006636FC">
              <w:t>9</w:t>
            </w:r>
            <w:r w:rsidRPr="006D3797">
              <w:t xml:space="preserve"> and table</w:t>
            </w:r>
            <w:r w:rsidR="007E335A">
              <w:t> </w:t>
            </w:r>
            <w:proofErr w:type="spellStart"/>
            <w:r w:rsidR="00650891">
              <w:t>19A</w:t>
            </w:r>
            <w:r w:rsidRPr="006D3797">
              <w:t>.</w:t>
            </w:r>
            <w:r>
              <w:t>20</w:t>
            </w:r>
            <w:proofErr w:type="spellEnd"/>
            <w:r w:rsidRPr="006D3797">
              <w:t xml:space="preserve"> for detailed definitions, footnotes and caveats</w:t>
            </w:r>
            <w:r>
              <w:t>.</w:t>
            </w:r>
          </w:p>
        </w:tc>
      </w:tr>
      <w:tr w:rsidR="00290407" w:rsidRPr="00176D3F" w14:paraId="1C650788" w14:textId="77777777" w:rsidTr="00B85BFD">
        <w:tc>
          <w:tcPr>
            <w:tcW w:w="8771" w:type="dxa"/>
            <w:tcBorders>
              <w:top w:val="nil"/>
              <w:left w:val="nil"/>
              <w:bottom w:val="nil"/>
              <w:right w:val="nil"/>
            </w:tcBorders>
            <w:shd w:val="clear" w:color="auto" w:fill="auto"/>
          </w:tcPr>
          <w:p w14:paraId="681C2FDC" w14:textId="26EF0B9A" w:rsidR="00290407" w:rsidRPr="00176D3F" w:rsidRDefault="00290407" w:rsidP="00FD0EE5">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Pr="000C1770">
              <w:rPr>
                <w:color w:val="000000" w:themeColor="text1"/>
              </w:rPr>
              <w:t>Specialist Homelessness Services Collection</w:t>
            </w:r>
            <w:r>
              <w:rPr>
                <w:color w:val="000000" w:themeColor="text1"/>
              </w:rPr>
              <w:t xml:space="preserve">; </w:t>
            </w:r>
            <w:r w:rsidRPr="00421C75">
              <w:rPr>
                <w:color w:val="000000" w:themeColor="text1"/>
              </w:rPr>
              <w:t>Australian, State and Territory govern</w:t>
            </w:r>
            <w:r>
              <w:rPr>
                <w:color w:val="000000" w:themeColor="text1"/>
              </w:rPr>
              <w:t>ments (unpublished); tables</w:t>
            </w:r>
            <w:r w:rsidR="007E335A">
              <w:rPr>
                <w:color w:val="000000" w:themeColor="text1"/>
              </w:rPr>
              <w:t> </w:t>
            </w:r>
            <w:proofErr w:type="spellStart"/>
            <w:r w:rsidR="00650891">
              <w:rPr>
                <w:color w:val="000000" w:themeColor="text1"/>
              </w:rPr>
              <w:t>19A</w:t>
            </w:r>
            <w:r>
              <w:rPr>
                <w:color w:val="000000" w:themeColor="text1"/>
              </w:rPr>
              <w:t>.20</w:t>
            </w:r>
            <w:proofErr w:type="spellEnd"/>
            <w:r>
              <w:rPr>
                <w:color w:val="000000" w:themeColor="text1"/>
              </w:rPr>
              <w:t xml:space="preserve"> and </w:t>
            </w:r>
            <w:proofErr w:type="spellStart"/>
            <w:r w:rsidR="00650891">
              <w:rPr>
                <w:color w:val="000000" w:themeColor="text1"/>
              </w:rPr>
              <w:t>19A</w:t>
            </w:r>
            <w:r>
              <w:rPr>
                <w:color w:val="000000" w:themeColor="text1"/>
              </w:rPr>
              <w:t>.34</w:t>
            </w:r>
            <w:proofErr w:type="spellEnd"/>
            <w:r>
              <w:rPr>
                <w:color w:val="000000" w:themeColor="text1"/>
              </w:rPr>
              <w:t>.</w:t>
            </w:r>
            <w:r w:rsidR="00FD0EE5">
              <w:rPr>
                <w:color w:val="000000" w:themeColor="text1"/>
              </w:rPr>
              <w:tab/>
            </w:r>
          </w:p>
        </w:tc>
      </w:tr>
      <w:tr w:rsidR="00290407" w14:paraId="7A0D0E3E" w14:textId="77777777" w:rsidTr="00B85BFD">
        <w:tc>
          <w:tcPr>
            <w:tcW w:w="8771" w:type="dxa"/>
            <w:tcBorders>
              <w:top w:val="nil"/>
              <w:left w:val="nil"/>
              <w:bottom w:val="single" w:sz="6" w:space="0" w:color="78A22F"/>
              <w:right w:val="nil"/>
            </w:tcBorders>
            <w:shd w:val="clear" w:color="auto" w:fill="auto"/>
          </w:tcPr>
          <w:p w14:paraId="6ADEA281" w14:textId="77777777" w:rsidR="00290407" w:rsidRDefault="00290407" w:rsidP="00B85BFD">
            <w:pPr>
              <w:pStyle w:val="Figurespace"/>
            </w:pPr>
          </w:p>
        </w:tc>
      </w:tr>
      <w:tr w:rsidR="00290407" w:rsidRPr="000863A5" w14:paraId="2C26C20F" w14:textId="77777777" w:rsidTr="00B85BFD">
        <w:tc>
          <w:tcPr>
            <w:tcW w:w="8771" w:type="dxa"/>
            <w:tcBorders>
              <w:top w:val="single" w:sz="6" w:space="0" w:color="78A22F"/>
              <w:left w:val="nil"/>
              <w:bottom w:val="nil"/>
              <w:right w:val="nil"/>
            </w:tcBorders>
          </w:tcPr>
          <w:p w14:paraId="61E86991" w14:textId="77777777" w:rsidR="00290407" w:rsidRPr="00626D32" w:rsidRDefault="00290407" w:rsidP="00B85BFD">
            <w:pPr>
              <w:pStyle w:val="BoxSpaceBelow"/>
            </w:pPr>
          </w:p>
        </w:tc>
      </w:tr>
    </w:tbl>
    <w:p w14:paraId="65EF7FE1" w14:textId="77777777" w:rsidR="000707E5" w:rsidRPr="004A2EAE" w:rsidRDefault="000707E5" w:rsidP="000707E5">
      <w:pPr>
        <w:pStyle w:val="Heading3"/>
      </w:pPr>
      <w:r w:rsidRPr="004A2EAE">
        <w:t>Outcomes</w:t>
      </w:r>
    </w:p>
    <w:p w14:paraId="3009D10D" w14:textId="72E09F31" w:rsidR="000707E5" w:rsidRDefault="000707E5" w:rsidP="000707E5">
      <w:pPr>
        <w:pStyle w:val="BodyText"/>
        <w:rPr>
          <w:color w:val="000000" w:themeColor="text1"/>
        </w:rPr>
      </w:pPr>
      <w:r w:rsidRPr="009E5CE0">
        <w:rPr>
          <w:color w:val="000000" w:themeColor="text1"/>
        </w:rPr>
        <w:t>Outcomes are the impact of services on the status of an individual or group (see chapter</w:t>
      </w:r>
      <w:r w:rsidR="007E335A">
        <w:rPr>
          <w:color w:val="000000" w:themeColor="text1"/>
        </w:rPr>
        <w:t> </w:t>
      </w:r>
      <w:r w:rsidRPr="009E5CE0">
        <w:rPr>
          <w:color w:val="000000" w:themeColor="text1"/>
        </w:rPr>
        <w:t>1).</w:t>
      </w:r>
    </w:p>
    <w:p w14:paraId="03A5B24C" w14:textId="77777777" w:rsidR="000707E5" w:rsidRPr="004A2EAE" w:rsidRDefault="000707E5" w:rsidP="003654F2">
      <w:pPr>
        <w:pStyle w:val="Heading4"/>
      </w:pPr>
      <w:r w:rsidRPr="004A2EAE">
        <w:t>Achievement of employment on exit</w:t>
      </w:r>
    </w:p>
    <w:p w14:paraId="533F6E61" w14:textId="1EB22465" w:rsidR="009F1CC4" w:rsidRPr="009F59E7" w:rsidRDefault="000707E5" w:rsidP="000707E5">
      <w:pPr>
        <w:pStyle w:val="BodyText"/>
        <w:spacing w:after="240"/>
        <w:rPr>
          <w:bCs/>
        </w:rPr>
      </w:pPr>
      <w:r w:rsidRPr="00F5300B">
        <w:rPr>
          <w:bCs/>
        </w:rPr>
        <w:t xml:space="preserve">‘Achievement of employment on exit’ is an </w:t>
      </w:r>
      <w:r w:rsidRPr="00B12608">
        <w:rPr>
          <w:bCs/>
        </w:rPr>
        <w:t xml:space="preserve">indicator of governments’ objective to </w:t>
      </w:r>
      <w:r w:rsidR="00061428" w:rsidRPr="00B12608">
        <w:rPr>
          <w:bCs/>
        </w:rPr>
        <w:t>re</w:t>
      </w:r>
      <w:r w:rsidR="00061428" w:rsidRPr="00B12608">
        <w:rPr>
          <w:bCs/>
        </w:rPr>
        <w:noBreakHyphen/>
        <w:t>establish the capacity of clients to live independently and to achieve social inclusion and greater economic participation</w:t>
      </w:r>
      <w:r w:rsidRPr="00B12608">
        <w:rPr>
          <w:bCs/>
        </w:rPr>
        <w:t xml:space="preserve"> (</w:t>
      </w:r>
      <w:r>
        <w:rPr>
          <w:bCs/>
        </w:rPr>
        <w:t>box</w:t>
      </w:r>
      <w:r w:rsidR="007E335A">
        <w:rPr>
          <w:bCs/>
        </w:rPr>
        <w:t> </w:t>
      </w:r>
      <w:r w:rsidR="00A40722">
        <w:t>1</w:t>
      </w:r>
      <w:r w:rsidR="00B404DE">
        <w:t>9</w:t>
      </w:r>
      <w:r w:rsidR="00A40722">
        <w:t>.1</w:t>
      </w:r>
      <w:r w:rsidR="00CE6117">
        <w:rPr>
          <w:bCs/>
        </w:rPr>
        <w:t>0</w:t>
      </w:r>
      <w:r w:rsidR="009F59E7">
        <w:rPr>
          <w:bCs/>
        </w:rPr>
        <w:t>).</w:t>
      </w:r>
    </w:p>
    <w:p w14:paraId="48C67E23" w14:textId="77777777" w:rsidR="009F1CC4" w:rsidRDefault="009F1CC4" w:rsidP="009F1C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1CC4" w14:paraId="53E3FF92" w14:textId="77777777" w:rsidTr="00C25CC2">
        <w:tc>
          <w:tcPr>
            <w:tcW w:w="8771" w:type="dxa"/>
            <w:tcBorders>
              <w:top w:val="single" w:sz="6" w:space="0" w:color="78A22F"/>
              <w:left w:val="nil"/>
              <w:bottom w:val="nil"/>
              <w:right w:val="nil"/>
            </w:tcBorders>
            <w:shd w:val="clear" w:color="auto" w:fill="F2F2F2"/>
          </w:tcPr>
          <w:p w14:paraId="01E1F0EA" w14:textId="4134A010" w:rsidR="009F1CC4" w:rsidRDefault="009F1CC4" w:rsidP="00C25CC2">
            <w:pPr>
              <w:pStyle w:val="BoxTitle"/>
            </w:pPr>
            <w:r>
              <w:rPr>
                <w:b w:val="0"/>
              </w:rPr>
              <w:t>Box 19.</w:t>
            </w:r>
            <w:r w:rsidR="00087EB6">
              <w:rPr>
                <w:b w:val="0"/>
                <w:noProof/>
              </w:rPr>
              <w:t>10</w:t>
            </w:r>
            <w:r>
              <w:tab/>
            </w:r>
            <w:r w:rsidRPr="004A2EAE">
              <w:t>Achievement of employment on exit</w:t>
            </w:r>
          </w:p>
        </w:tc>
      </w:tr>
      <w:tr w:rsidR="009F1CC4" w14:paraId="585DC6D6" w14:textId="77777777" w:rsidTr="00C25CC2">
        <w:trPr>
          <w:cantSplit/>
        </w:trPr>
        <w:tc>
          <w:tcPr>
            <w:tcW w:w="8771" w:type="dxa"/>
            <w:tcBorders>
              <w:top w:val="nil"/>
              <w:left w:val="nil"/>
              <w:bottom w:val="nil"/>
              <w:right w:val="nil"/>
            </w:tcBorders>
            <w:shd w:val="clear" w:color="auto" w:fill="F2F2F2"/>
          </w:tcPr>
          <w:p w14:paraId="6CD07794" w14:textId="233CC622" w:rsidR="009F1CC4" w:rsidRPr="001B7108" w:rsidRDefault="009F1CC4" w:rsidP="00C25CC2">
            <w:pPr>
              <w:pStyle w:val="Box"/>
              <w:keepNext w:val="0"/>
            </w:pPr>
            <w:r>
              <w:rPr>
                <w:bCs/>
              </w:rPr>
              <w:t>‘</w:t>
            </w:r>
            <w:r w:rsidRPr="004A2EAE">
              <w:rPr>
                <w:bCs/>
              </w:rPr>
              <w:t>Achievement of employment on exit’</w:t>
            </w:r>
            <w:r w:rsidR="007A0A56">
              <w:rPr>
                <w:bCs/>
              </w:rPr>
              <w:t xml:space="preserve"> is</w:t>
            </w:r>
            <w:r w:rsidRPr="004A2EAE">
              <w:rPr>
                <w:bCs/>
              </w:rPr>
              <w:t xml:space="preserve"> </w:t>
            </w:r>
            <w:r w:rsidR="007A0A56" w:rsidRPr="004A2EAE">
              <w:rPr>
                <w:bCs/>
              </w:rPr>
              <w:t xml:space="preserve">defined </w:t>
            </w:r>
            <w:r w:rsidR="007A0A56">
              <w:rPr>
                <w:bCs/>
              </w:rPr>
              <w:t xml:space="preserve">by three measures, calculated as </w:t>
            </w:r>
            <w:r>
              <w:rPr>
                <w:bCs/>
              </w:rPr>
              <w:t xml:space="preserve">the proportion of </w:t>
            </w:r>
            <w:r w:rsidRPr="004A2EAE">
              <w:rPr>
                <w:bCs/>
              </w:rPr>
              <w:t xml:space="preserve">clients </w:t>
            </w:r>
            <w:r w:rsidRPr="005B1A71">
              <w:rPr>
                <w:bCs/>
              </w:rPr>
              <w:t>aged 15 years or over (with closed support periods) with labour force status ‘employed’ at the end of support, who on presentation</w:t>
            </w:r>
            <w:r>
              <w:rPr>
                <w:bCs/>
              </w:rPr>
              <w:t>:</w:t>
            </w:r>
          </w:p>
          <w:p w14:paraId="14885D0F" w14:textId="3E5E8BD1" w:rsidR="009F1CC4" w:rsidRPr="002D13B0" w:rsidRDefault="009F1CC4" w:rsidP="00C25CC2">
            <w:pPr>
              <w:pStyle w:val="BoxListBullet"/>
            </w:pPr>
            <w:r w:rsidRPr="00D74180">
              <w:t xml:space="preserve">had an </w:t>
            </w:r>
            <w:r w:rsidRPr="004A2EAE">
              <w:t xml:space="preserve">identified need for </w:t>
            </w:r>
            <w:r w:rsidRPr="002D13B0">
              <w:t>employ</w:t>
            </w:r>
            <w:r w:rsidR="002F631B">
              <w:t>ment and/or training assistance</w:t>
            </w:r>
          </w:p>
          <w:p w14:paraId="4E66B854" w14:textId="4C26AB5D" w:rsidR="009F1CC4" w:rsidRPr="002D13B0" w:rsidRDefault="009F1CC4" w:rsidP="00C25CC2">
            <w:pPr>
              <w:pStyle w:val="BoxListBullet"/>
            </w:pPr>
            <w:r w:rsidRPr="00D74180">
              <w:t xml:space="preserve">had an </w:t>
            </w:r>
            <w:r w:rsidRPr="002D13B0">
              <w:t xml:space="preserve">identified need for employment and/or training assistance AND whose labour force status was </w:t>
            </w:r>
            <w:r>
              <w:t>‘</w:t>
            </w:r>
            <w:r w:rsidRPr="002D13B0">
              <w:t>unemployed</w:t>
            </w:r>
            <w:r>
              <w:t>’</w:t>
            </w:r>
          </w:p>
          <w:p w14:paraId="55BA4AFA" w14:textId="77777777" w:rsidR="009F1CC4" w:rsidRPr="002D13B0" w:rsidRDefault="009F1CC4" w:rsidP="00C25CC2">
            <w:pPr>
              <w:pStyle w:val="BoxListBullet"/>
            </w:pPr>
            <w:r w:rsidRPr="00D74180">
              <w:t xml:space="preserve">had an </w:t>
            </w:r>
            <w:r w:rsidRPr="002D13B0">
              <w:t>identified need for employment and/or training assistance AND whose labour force status was ‘not in the labour force’.</w:t>
            </w:r>
          </w:p>
          <w:p w14:paraId="66DB3834" w14:textId="77777777" w:rsidR="009F1CC4" w:rsidRPr="004A2EAE" w:rsidRDefault="009F1CC4" w:rsidP="00C25CC2">
            <w:pPr>
              <w:pStyle w:val="Box"/>
              <w:keepNext w:val="0"/>
              <w:rPr>
                <w:bCs/>
              </w:rPr>
            </w:pPr>
            <w:r w:rsidRPr="004A2EAE">
              <w:rPr>
                <w:bCs/>
              </w:rPr>
              <w:t>Holding other factors constant, a high or increasing proportion of clients achieving employment after support is desirable.</w:t>
            </w:r>
          </w:p>
          <w:p w14:paraId="03080580" w14:textId="77777777" w:rsidR="009F1CC4" w:rsidRDefault="009F1CC4" w:rsidP="00C25CC2">
            <w:pPr>
              <w:pStyle w:val="Box"/>
            </w:pPr>
            <w:r w:rsidRPr="004A2EAE">
              <w:t xml:space="preserve">This indicator compares clients’ employment status before and after support and relates to relatively short term outcomes </w:t>
            </w:r>
            <w:r w:rsidRPr="002D13B0">
              <w:t xml:space="preserve">— that is, outcomes for clients </w:t>
            </w:r>
            <w:r w:rsidRPr="0079588F">
              <w:t>at the end of</w:t>
            </w:r>
            <w:r>
              <w:t xml:space="preserve"> </w:t>
            </w:r>
            <w:r w:rsidRPr="002D13B0">
              <w:t>their support period. Longer term outcomes are important, but more difficult to measure.</w:t>
            </w:r>
          </w:p>
          <w:p w14:paraId="65C7B479" w14:textId="77777777" w:rsidR="009F1CC4" w:rsidRPr="002D13B0" w:rsidRDefault="009F1CC4" w:rsidP="00C25CC2">
            <w:pPr>
              <w:pStyle w:val="Box"/>
            </w:pPr>
            <w:r w:rsidRPr="002D13B0">
              <w:t>Data reported for these measures are:</w:t>
            </w:r>
          </w:p>
          <w:p w14:paraId="39636FE9" w14:textId="77777777" w:rsidR="009F1CC4" w:rsidRPr="004A2EAE" w:rsidRDefault="009F1CC4" w:rsidP="00C25CC2">
            <w:pPr>
              <w:pStyle w:val="BoxListBullet"/>
              <w:keepNext w:val="0"/>
            </w:pPr>
            <w:r w:rsidRPr="004A2EAE">
              <w:t>comparable (subject to caveats) across jurisdictions and over time</w:t>
            </w:r>
          </w:p>
          <w:p w14:paraId="36C901FB" w14:textId="5936FA08" w:rsidR="009F1CC4" w:rsidRDefault="009F1CC4" w:rsidP="00C25CC2">
            <w:pPr>
              <w:pStyle w:val="BoxListBullet"/>
              <w:keepNext w:val="0"/>
            </w:pPr>
            <w:r w:rsidRPr="004A2EAE">
              <w:t xml:space="preserve">complete for the current reporting period. </w:t>
            </w:r>
            <w:r>
              <w:t>All required 2015</w:t>
            </w:r>
            <w:r w:rsidR="007E335A">
              <w:noBreakHyphen/>
            </w:r>
            <w:r>
              <w:t xml:space="preserve">16 </w:t>
            </w:r>
            <w:r w:rsidRPr="004A2EAE">
              <w:t>data are available for all jurisdictions</w:t>
            </w:r>
            <w:r>
              <w:t>.</w:t>
            </w:r>
          </w:p>
        </w:tc>
      </w:tr>
      <w:tr w:rsidR="009F1CC4" w14:paraId="7B19A6D3" w14:textId="77777777" w:rsidTr="00C25CC2">
        <w:trPr>
          <w:cantSplit/>
        </w:trPr>
        <w:tc>
          <w:tcPr>
            <w:tcW w:w="8771" w:type="dxa"/>
            <w:tcBorders>
              <w:top w:val="nil"/>
              <w:left w:val="nil"/>
              <w:bottom w:val="single" w:sz="6" w:space="0" w:color="78A22F"/>
              <w:right w:val="nil"/>
            </w:tcBorders>
            <w:shd w:val="clear" w:color="auto" w:fill="F2F2F2"/>
          </w:tcPr>
          <w:p w14:paraId="20A1D29D" w14:textId="77777777" w:rsidR="009F1CC4" w:rsidRDefault="009F1CC4" w:rsidP="00C25CC2">
            <w:pPr>
              <w:pStyle w:val="Box"/>
              <w:spacing w:before="0" w:line="120" w:lineRule="exact"/>
            </w:pPr>
          </w:p>
        </w:tc>
      </w:tr>
      <w:tr w:rsidR="009F1CC4" w:rsidRPr="000863A5" w14:paraId="0A68C0A8" w14:textId="77777777" w:rsidTr="00C25CC2">
        <w:tc>
          <w:tcPr>
            <w:tcW w:w="8771" w:type="dxa"/>
            <w:tcBorders>
              <w:top w:val="single" w:sz="6" w:space="0" w:color="78A22F"/>
              <w:left w:val="nil"/>
              <w:bottom w:val="nil"/>
              <w:right w:val="nil"/>
            </w:tcBorders>
          </w:tcPr>
          <w:p w14:paraId="2221EC08" w14:textId="77777777" w:rsidR="009F1CC4" w:rsidRPr="00626D32" w:rsidRDefault="009F1CC4" w:rsidP="00C25CC2">
            <w:pPr>
              <w:pStyle w:val="BoxSpaceBelow"/>
            </w:pPr>
          </w:p>
        </w:tc>
      </w:tr>
    </w:tbl>
    <w:p w14:paraId="4A4D3C66" w14:textId="3E2905DF" w:rsidR="000707E5" w:rsidRDefault="00CA12BF" w:rsidP="000707E5">
      <w:pPr>
        <w:pStyle w:val="BodyText"/>
        <w:spacing w:after="240"/>
      </w:pPr>
      <w:r w:rsidRPr="00CA12BF">
        <w:t>Nationally, of those clients who needed assistance to obtain or maintain employment and training when entering homelessness services in 2015</w:t>
      </w:r>
      <w:r w:rsidR="007E335A">
        <w:noBreakHyphen/>
      </w:r>
      <w:r w:rsidRPr="00CA12BF">
        <w:t>16, 18.2 per cent were employed at the end of support, compared with 10.6 per cent before support (for Aboriginal and Torres Strait Islander clients this was 12.1 per cent and 6.5 per cent, respectively) (table</w:t>
      </w:r>
      <w:r w:rsidR="007E335A">
        <w:t> </w:t>
      </w:r>
      <w:proofErr w:type="spellStart"/>
      <w:r w:rsidRPr="00CA12BF">
        <w:t>19A.22</w:t>
      </w:r>
      <w:proofErr w:type="spellEnd"/>
      <w:r w:rsidRPr="00CA12BF">
        <w:t>).</w:t>
      </w:r>
    </w:p>
    <w:p w14:paraId="10130094" w14:textId="4E046C45" w:rsidR="00CA12BF" w:rsidRDefault="00CA12BF" w:rsidP="00CA12BF">
      <w:pPr>
        <w:pStyle w:val="BodyText"/>
        <w:spacing w:after="240"/>
      </w:pPr>
      <w:r>
        <w:t>Amongst those employed after support, 5.7 per cent were employed full</w:t>
      </w:r>
      <w:r>
        <w:noBreakHyphen/>
        <w:t xml:space="preserve">time and </w:t>
      </w:r>
      <w:r>
        <w:br/>
        <w:t>11.8 per cent were employed part</w:t>
      </w:r>
      <w:r>
        <w:noBreakHyphen/>
        <w:t>time after support (figure</w:t>
      </w:r>
      <w:r w:rsidR="007E335A">
        <w:t> </w:t>
      </w:r>
      <w:r>
        <w:t>19.10).</w:t>
      </w:r>
    </w:p>
    <w:p w14:paraId="4409FA58" w14:textId="7EB41DA5" w:rsidR="00CA12BF" w:rsidRPr="001B7108" w:rsidRDefault="00CA12BF" w:rsidP="002F631B">
      <w:pPr>
        <w:pStyle w:val="BodyText"/>
      </w:pPr>
      <w:r>
        <w:t>Nationally in 2015</w:t>
      </w:r>
      <w:r w:rsidR="007E335A">
        <w:noBreakHyphen/>
      </w:r>
      <w:r>
        <w:t>16, for those clients who were unemployed before support,</w:t>
      </w:r>
      <w:r w:rsidR="00F02C24">
        <w:t xml:space="preserve"> 13.3 per </w:t>
      </w:r>
      <w:r>
        <w:t>cent were employed after support, an increase from 11.7 per cent in 2013</w:t>
      </w:r>
      <w:r w:rsidR="007E335A">
        <w:noBreakHyphen/>
      </w:r>
      <w:r>
        <w:t>14 (figure</w:t>
      </w:r>
      <w:r w:rsidR="007E335A">
        <w:t> </w:t>
      </w:r>
      <w:r>
        <w:t>19.11). Of clients who were not in the labour force before support, 9.8</w:t>
      </w:r>
      <w:r w:rsidR="00F02C24">
        <w:t> </w:t>
      </w:r>
      <w:r>
        <w:t>per</w:t>
      </w:r>
      <w:r w:rsidR="00F02C24">
        <w:t> </w:t>
      </w:r>
      <w:r>
        <w:t>cent were employed after support (table</w:t>
      </w:r>
      <w:r w:rsidR="007E335A">
        <w:t> </w:t>
      </w:r>
      <w:proofErr w:type="spellStart"/>
      <w:r>
        <w:t>19A.23</w:t>
      </w:r>
      <w:proofErr w:type="spellEnd"/>
      <w:r>
        <w:t>).</w:t>
      </w:r>
    </w:p>
    <w:p w14:paraId="4DD5CDDF" w14:textId="77777777" w:rsidR="002D13B0" w:rsidRDefault="002D13B0"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13B0" w14:paraId="414E05BD" w14:textId="77777777" w:rsidTr="00B85BFD">
        <w:tc>
          <w:tcPr>
            <w:tcW w:w="8771" w:type="dxa"/>
            <w:tcBorders>
              <w:top w:val="single" w:sz="6" w:space="0" w:color="78A22F"/>
              <w:left w:val="nil"/>
              <w:bottom w:val="nil"/>
              <w:right w:val="nil"/>
            </w:tcBorders>
            <w:shd w:val="clear" w:color="auto" w:fill="auto"/>
          </w:tcPr>
          <w:p w14:paraId="1E47BDEE" w14:textId="537F3E89" w:rsidR="002D13B0" w:rsidRPr="00176D3F" w:rsidRDefault="002D13B0" w:rsidP="00167393">
            <w:pPr>
              <w:pStyle w:val="FigureTitle"/>
            </w:pPr>
            <w:r w:rsidRPr="00784A05">
              <w:rPr>
                <w:b w:val="0"/>
              </w:rPr>
              <w:t xml:space="preserve">Figure </w:t>
            </w:r>
            <w:bookmarkStart w:id="29" w:name="OLE_LINK15"/>
            <w:r w:rsidR="00A40722">
              <w:rPr>
                <w:b w:val="0"/>
              </w:rPr>
              <w:t>19.</w:t>
            </w:r>
            <w:r w:rsidR="00087EB6">
              <w:rPr>
                <w:b w:val="0"/>
                <w:noProof/>
              </w:rPr>
              <w:t>10</w:t>
            </w:r>
            <w:bookmarkEnd w:id="29"/>
            <w:r>
              <w:tab/>
            </w:r>
            <w:r w:rsidR="00AC4D88" w:rsidRPr="006620FF">
              <w:t>Labour force status before and after support, as a proportion of clients who needed employment and/or training assistance (closed support periods)</w:t>
            </w:r>
            <w:r w:rsidRPr="006620FF">
              <w:t>,</w:t>
            </w:r>
            <w:r w:rsidR="00BD47FF" w:rsidRPr="006620FF">
              <w:t xml:space="preserve"> 2015</w:t>
            </w:r>
            <w:r w:rsidR="007E335A">
              <w:noBreakHyphen/>
            </w:r>
            <w:r w:rsidR="00BD47FF" w:rsidRPr="006620FF">
              <w:t>16</w:t>
            </w:r>
            <w:r w:rsidR="00BD47FF" w:rsidRPr="006620FF">
              <w:rPr>
                <w:rStyle w:val="NoteLabel"/>
                <w:b/>
              </w:rPr>
              <w:t>a</w:t>
            </w:r>
          </w:p>
        </w:tc>
      </w:tr>
      <w:tr w:rsidR="002D13B0" w14:paraId="41C512BB" w14:textId="77777777"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2D13B0" w14:paraId="2FE09110" w14:textId="77777777" w:rsidTr="00570CF4">
              <w:trPr>
                <w:jc w:val="center"/>
              </w:trPr>
              <w:tc>
                <w:tcPr>
                  <w:tcW w:w="5000" w:type="pct"/>
                  <w:tcBorders>
                    <w:top w:val="nil"/>
                    <w:bottom w:val="nil"/>
                  </w:tcBorders>
                  <w:shd w:val="clear" w:color="auto" w:fill="auto"/>
                </w:tcPr>
                <w:p w14:paraId="693EF8ED" w14:textId="77777777" w:rsidR="002D13B0" w:rsidRDefault="00BD47FF" w:rsidP="00B85BFD">
                  <w:pPr>
                    <w:pStyle w:val="Figure"/>
                    <w:spacing w:before="60" w:after="60"/>
                  </w:pPr>
                  <w:r>
                    <w:rPr>
                      <w:noProof/>
                    </w:rPr>
                    <w:drawing>
                      <wp:inline distT="0" distB="0" distL="0" distR="0" wp14:anchorId="6D7C3D19" wp14:editId="3BA8E485">
                        <wp:extent cx="5401310" cy="2700655"/>
                        <wp:effectExtent l="0" t="0" r="8890" b="4445"/>
                        <wp:docPr id="10" name="Picture 10" descr="Figure 19.10 Labour force status before and after support, as a proportion of clients who needed employment and/or training assistance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pic:spPr>
                            </pic:pic>
                          </a:graphicData>
                        </a:graphic>
                      </wp:inline>
                    </w:drawing>
                  </w:r>
                </w:p>
              </w:tc>
            </w:tr>
          </w:tbl>
          <w:p w14:paraId="5529DB0B" w14:textId="77777777" w:rsidR="002D13B0" w:rsidRDefault="002D13B0" w:rsidP="00B85BFD">
            <w:pPr>
              <w:pStyle w:val="Figure"/>
            </w:pPr>
          </w:p>
        </w:tc>
      </w:tr>
      <w:tr w:rsidR="002D13B0" w:rsidRPr="00176D3F" w14:paraId="1B78B337" w14:textId="77777777" w:rsidTr="00B85BFD">
        <w:tc>
          <w:tcPr>
            <w:tcW w:w="8771" w:type="dxa"/>
            <w:tcBorders>
              <w:top w:val="nil"/>
              <w:left w:val="nil"/>
              <w:bottom w:val="nil"/>
              <w:right w:val="nil"/>
            </w:tcBorders>
            <w:shd w:val="clear" w:color="auto" w:fill="auto"/>
          </w:tcPr>
          <w:p w14:paraId="406C72B0" w14:textId="1857A70B" w:rsidR="002D13B0" w:rsidRPr="002F631B" w:rsidRDefault="00B33956" w:rsidP="002F631B">
            <w:pPr>
              <w:pStyle w:val="Note"/>
              <w:rPr>
                <w:rStyle w:val="DraftingNote"/>
                <w:b w:val="0"/>
                <w:color w:val="auto"/>
                <w:sz w:val="18"/>
                <w:u w:val="none"/>
              </w:rPr>
            </w:pPr>
            <w:r>
              <w:rPr>
                <w:rStyle w:val="NoteLabel"/>
              </w:rPr>
              <w:t>a</w:t>
            </w:r>
            <w:r>
              <w:t xml:space="preserve"> </w:t>
            </w:r>
            <w:r w:rsidRPr="006D3797">
              <w:t>See box</w:t>
            </w:r>
            <w:r w:rsidR="007E335A">
              <w:t> </w:t>
            </w:r>
            <w:r w:rsidR="00A40722">
              <w:t>1</w:t>
            </w:r>
            <w:r w:rsidR="00B404DE">
              <w:t>9</w:t>
            </w:r>
            <w:r w:rsidR="00A40722">
              <w:t>.1</w:t>
            </w:r>
            <w:r w:rsidR="00293FBD">
              <w:t>0</w:t>
            </w:r>
            <w:r w:rsidRPr="006D3797">
              <w:t xml:space="preserve"> and table</w:t>
            </w:r>
            <w:r w:rsidR="007E335A">
              <w:t> </w:t>
            </w:r>
            <w:proofErr w:type="spellStart"/>
            <w:r w:rsidR="00650891">
              <w:t>19A</w:t>
            </w:r>
            <w:r w:rsidRPr="006D3797">
              <w:t>.</w:t>
            </w:r>
            <w:r>
              <w:t>21</w:t>
            </w:r>
            <w:proofErr w:type="spellEnd"/>
            <w:r w:rsidRPr="006D3797">
              <w:t xml:space="preserve"> for detailed definitions, footnotes and caveats</w:t>
            </w:r>
            <w:r w:rsidR="00BD47FF">
              <w:t>.</w:t>
            </w:r>
          </w:p>
        </w:tc>
      </w:tr>
      <w:tr w:rsidR="002D13B0" w:rsidRPr="00176D3F" w14:paraId="49994499" w14:textId="77777777" w:rsidTr="00B85BFD">
        <w:tc>
          <w:tcPr>
            <w:tcW w:w="8771" w:type="dxa"/>
            <w:tcBorders>
              <w:top w:val="nil"/>
              <w:left w:val="nil"/>
              <w:bottom w:val="nil"/>
              <w:right w:val="nil"/>
            </w:tcBorders>
            <w:shd w:val="clear" w:color="auto" w:fill="auto"/>
          </w:tcPr>
          <w:p w14:paraId="00800054" w14:textId="0BCA6AB5" w:rsidR="002D13B0" w:rsidRPr="00176D3F" w:rsidRDefault="002D13B0" w:rsidP="00B85BFD">
            <w:pPr>
              <w:pStyle w:val="Source"/>
            </w:pPr>
            <w:r>
              <w:rPr>
                <w:i/>
              </w:rPr>
              <w:t>S</w:t>
            </w:r>
            <w:r w:rsidRPr="00784A05">
              <w:rPr>
                <w:i/>
              </w:rPr>
              <w:t>ource</w:t>
            </w:r>
            <w:r w:rsidRPr="00176D3F">
              <w:t xml:space="preserve">: </w:t>
            </w:r>
            <w:proofErr w:type="spellStart"/>
            <w:r w:rsidRPr="00421C75">
              <w:rPr>
                <w:color w:val="000000" w:themeColor="text1"/>
              </w:rPr>
              <w:t>AIHW</w:t>
            </w:r>
            <w:proofErr w:type="spellEnd"/>
            <w:r w:rsidRPr="00421C75">
              <w:rPr>
                <w:color w:val="000000" w:themeColor="text1"/>
              </w:rPr>
              <w:t xml:space="preserve"> (unpublished) </w:t>
            </w:r>
            <w:r w:rsidRPr="000C1770">
              <w:rPr>
                <w:color w:val="000000" w:themeColor="text1"/>
              </w:rPr>
              <w:t>Specialist Homelessness Services Collection</w:t>
            </w:r>
            <w:r>
              <w:rPr>
                <w:color w:val="000000" w:themeColor="text1"/>
              </w:rPr>
              <w:t>; table</w:t>
            </w:r>
            <w:r w:rsidR="007E335A">
              <w:rPr>
                <w:color w:val="000000" w:themeColor="text1"/>
              </w:rPr>
              <w:t> </w:t>
            </w:r>
            <w:proofErr w:type="spellStart"/>
            <w:r w:rsidR="00650891">
              <w:rPr>
                <w:color w:val="000000" w:themeColor="text1"/>
              </w:rPr>
              <w:t>19A</w:t>
            </w:r>
            <w:r>
              <w:rPr>
                <w:color w:val="000000" w:themeColor="text1"/>
              </w:rPr>
              <w:t>.21</w:t>
            </w:r>
            <w:proofErr w:type="spellEnd"/>
            <w:r w:rsidRPr="00421C75">
              <w:rPr>
                <w:color w:val="000000" w:themeColor="text1"/>
              </w:rPr>
              <w:t>.</w:t>
            </w:r>
          </w:p>
        </w:tc>
      </w:tr>
      <w:tr w:rsidR="002D13B0" w14:paraId="71846EA3" w14:textId="77777777" w:rsidTr="00B85BFD">
        <w:tc>
          <w:tcPr>
            <w:tcW w:w="8771" w:type="dxa"/>
            <w:tcBorders>
              <w:top w:val="nil"/>
              <w:left w:val="nil"/>
              <w:bottom w:val="single" w:sz="6" w:space="0" w:color="78A22F"/>
              <w:right w:val="nil"/>
            </w:tcBorders>
            <w:shd w:val="clear" w:color="auto" w:fill="auto"/>
          </w:tcPr>
          <w:p w14:paraId="17E97043" w14:textId="77777777" w:rsidR="002D13B0" w:rsidRDefault="002D13B0" w:rsidP="00B85BFD">
            <w:pPr>
              <w:pStyle w:val="Figurespace"/>
            </w:pPr>
          </w:p>
        </w:tc>
      </w:tr>
      <w:tr w:rsidR="002D13B0" w:rsidRPr="000863A5" w14:paraId="7CD79FD7" w14:textId="77777777" w:rsidTr="00B85BFD">
        <w:tc>
          <w:tcPr>
            <w:tcW w:w="8771" w:type="dxa"/>
            <w:tcBorders>
              <w:top w:val="single" w:sz="6" w:space="0" w:color="78A22F"/>
              <w:left w:val="nil"/>
              <w:bottom w:val="nil"/>
              <w:right w:val="nil"/>
            </w:tcBorders>
          </w:tcPr>
          <w:p w14:paraId="00955B2E" w14:textId="77777777" w:rsidR="002D13B0" w:rsidRPr="00626D32" w:rsidRDefault="002D13B0" w:rsidP="00B85BFD">
            <w:pPr>
              <w:pStyle w:val="BoxSpaceBelow"/>
            </w:pPr>
          </w:p>
        </w:tc>
      </w:tr>
    </w:tbl>
    <w:p w14:paraId="0770C3D2" w14:textId="77777777" w:rsidR="006F174F" w:rsidRDefault="006F174F"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174F" w14:paraId="1B743DC2" w14:textId="77777777" w:rsidTr="00B85BFD">
        <w:tc>
          <w:tcPr>
            <w:tcW w:w="8771" w:type="dxa"/>
            <w:tcBorders>
              <w:top w:val="single" w:sz="6" w:space="0" w:color="78A22F"/>
              <w:left w:val="nil"/>
              <w:bottom w:val="nil"/>
              <w:right w:val="nil"/>
            </w:tcBorders>
            <w:shd w:val="clear" w:color="auto" w:fill="auto"/>
          </w:tcPr>
          <w:p w14:paraId="0C14F7D4" w14:textId="6C3CA61C" w:rsidR="006F174F" w:rsidRPr="00176D3F" w:rsidRDefault="006F174F" w:rsidP="00C048F5">
            <w:pPr>
              <w:pStyle w:val="FigureTitle"/>
            </w:pPr>
            <w:r w:rsidRPr="00784A05">
              <w:rPr>
                <w:b w:val="0"/>
              </w:rPr>
              <w:t xml:space="preserve">Figure </w:t>
            </w:r>
            <w:bookmarkStart w:id="30" w:name="OLE_LINK16"/>
            <w:r w:rsidR="00A40722">
              <w:rPr>
                <w:b w:val="0"/>
              </w:rPr>
              <w:t>19.</w:t>
            </w:r>
            <w:r w:rsidR="00087EB6">
              <w:rPr>
                <w:b w:val="0"/>
                <w:noProof/>
              </w:rPr>
              <w:t>11</w:t>
            </w:r>
            <w:bookmarkEnd w:id="30"/>
            <w:r>
              <w:tab/>
              <w:t xml:space="preserve">Proportion of clients in employment after support, who were </w:t>
            </w:r>
            <w:r w:rsidRPr="004A2EAE">
              <w:t>unemployed before support</w:t>
            </w:r>
            <w:r w:rsidR="00C048F5">
              <w:t xml:space="preserve"> (closed support periods),</w:t>
            </w:r>
            <w:r w:rsidR="00C048F5">
              <w:br/>
            </w:r>
            <w:r w:rsidR="003A088F" w:rsidRPr="003A088F">
              <w:t>2015</w:t>
            </w:r>
            <w:r w:rsidR="007E335A">
              <w:noBreakHyphen/>
            </w:r>
            <w:r w:rsidRPr="003A088F">
              <w:t>1</w:t>
            </w:r>
            <w:r w:rsidR="003A088F" w:rsidRPr="003A088F">
              <w:t>6</w:t>
            </w:r>
            <w:r w:rsidRPr="003A088F">
              <w:rPr>
                <w:rStyle w:val="NoteLabel"/>
                <w:b/>
              </w:rPr>
              <w:t>a, b</w:t>
            </w:r>
          </w:p>
        </w:tc>
      </w:tr>
      <w:tr w:rsidR="006F174F" w14:paraId="55BD4C1E" w14:textId="77777777"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6F174F" w14:paraId="12C5ABD4" w14:textId="77777777" w:rsidTr="000C1770">
              <w:trPr>
                <w:jc w:val="center"/>
              </w:trPr>
              <w:tc>
                <w:tcPr>
                  <w:tcW w:w="5000" w:type="pct"/>
                  <w:tcBorders>
                    <w:top w:val="nil"/>
                    <w:bottom w:val="nil"/>
                  </w:tcBorders>
                </w:tcPr>
                <w:p w14:paraId="557208BA" w14:textId="77777777" w:rsidR="006F174F" w:rsidRDefault="00E87871" w:rsidP="00B85BFD">
                  <w:pPr>
                    <w:pStyle w:val="Figure"/>
                    <w:spacing w:before="60" w:after="60"/>
                  </w:pPr>
                  <w:r>
                    <w:rPr>
                      <w:noProof/>
                    </w:rPr>
                    <w:drawing>
                      <wp:inline distT="0" distB="0" distL="0" distR="0" wp14:anchorId="1F724664" wp14:editId="6BCF4BB9">
                        <wp:extent cx="5391789" cy="2616200"/>
                        <wp:effectExtent l="0" t="0" r="0" b="0"/>
                        <wp:docPr id="6" name="Picture 6" descr="Figure 19.11 Proportion of clients in employment after support, who were unemployed before support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9">
                                  <a:extLst>
                                    <a:ext uri="{28A0092B-C50C-407E-A947-70E740481C1C}">
                                      <a14:useLocalDpi xmlns:a14="http://schemas.microsoft.com/office/drawing/2010/main" val="0"/>
                                    </a:ext>
                                  </a:extLst>
                                </a:blip>
                                <a:srcRect t="-1" b="3059"/>
                                <a:stretch/>
                              </pic:blipFill>
                              <pic:spPr bwMode="auto">
                                <a:xfrm>
                                  <a:off x="0" y="0"/>
                                  <a:ext cx="5395595" cy="26180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45D98D7" w14:textId="77777777" w:rsidR="006F174F" w:rsidRDefault="006F174F" w:rsidP="00B85BFD">
            <w:pPr>
              <w:pStyle w:val="Figure"/>
            </w:pPr>
          </w:p>
        </w:tc>
      </w:tr>
      <w:tr w:rsidR="006F174F" w:rsidRPr="00176D3F" w14:paraId="4A9344B6" w14:textId="77777777" w:rsidTr="00B85BFD">
        <w:tc>
          <w:tcPr>
            <w:tcW w:w="8771" w:type="dxa"/>
            <w:tcBorders>
              <w:top w:val="nil"/>
              <w:left w:val="nil"/>
              <w:bottom w:val="nil"/>
              <w:right w:val="nil"/>
            </w:tcBorders>
            <w:shd w:val="clear" w:color="auto" w:fill="auto"/>
          </w:tcPr>
          <w:p w14:paraId="5A1DF6D6" w14:textId="48748AF3" w:rsidR="006F174F" w:rsidRPr="002F631B" w:rsidRDefault="006F174F" w:rsidP="002F631B">
            <w:pPr>
              <w:pStyle w:val="Note"/>
              <w:rPr>
                <w:rStyle w:val="DraftingNote"/>
                <w:b w:val="0"/>
                <w:color w:val="auto"/>
                <w:sz w:val="18"/>
                <w:u w:val="none"/>
              </w:rPr>
            </w:pPr>
            <w:r>
              <w:rPr>
                <w:rStyle w:val="NoteLabel"/>
              </w:rPr>
              <w:t>a</w:t>
            </w:r>
            <w:r>
              <w:t xml:space="preserve"> </w:t>
            </w:r>
            <w:r w:rsidRPr="006D3797">
              <w:t>See box</w:t>
            </w:r>
            <w:r w:rsidR="007E335A">
              <w:t> </w:t>
            </w:r>
            <w:r w:rsidR="00A40722">
              <w:t>1</w:t>
            </w:r>
            <w:r w:rsidR="00B404DE">
              <w:t>9</w:t>
            </w:r>
            <w:r w:rsidR="00A40722">
              <w:t>.1</w:t>
            </w:r>
            <w:r w:rsidR="00293FBD">
              <w:t>0</w:t>
            </w:r>
            <w:r w:rsidRPr="006D3797">
              <w:t xml:space="preserve"> and table</w:t>
            </w:r>
            <w:r w:rsidR="007E335A">
              <w:t> </w:t>
            </w:r>
            <w:proofErr w:type="spellStart"/>
            <w:r w:rsidR="00650891">
              <w:t>19A</w:t>
            </w:r>
            <w:r w:rsidRPr="006D3797">
              <w:t>.</w:t>
            </w:r>
            <w:r>
              <w:t>2</w:t>
            </w:r>
            <w:r w:rsidR="005501C9">
              <w:t>3</w:t>
            </w:r>
            <w:proofErr w:type="spellEnd"/>
            <w:r w:rsidRPr="006D3797">
              <w:t xml:space="preserve"> for detailed definitions, footnotes and caveats</w:t>
            </w:r>
            <w:r>
              <w:t xml:space="preserve">. </w:t>
            </w:r>
            <w:r w:rsidRPr="00096F38">
              <w:rPr>
                <w:rStyle w:val="NoteLabel"/>
              </w:rPr>
              <w:t>b</w:t>
            </w:r>
            <w:r>
              <w:rPr>
                <w:b/>
                <w:szCs w:val="18"/>
              </w:rPr>
              <w:t xml:space="preserve"> </w:t>
            </w:r>
            <w:r>
              <w:rPr>
                <w:szCs w:val="18"/>
              </w:rPr>
              <w:t>Data are nil or rounded to zero for SA in 2011</w:t>
            </w:r>
            <w:r w:rsidR="007E335A">
              <w:rPr>
                <w:szCs w:val="18"/>
              </w:rPr>
              <w:noBreakHyphen/>
            </w:r>
            <w:r>
              <w:rPr>
                <w:szCs w:val="18"/>
              </w:rPr>
              <w:t>12 and Tasmania for 2012</w:t>
            </w:r>
            <w:r w:rsidR="007E335A">
              <w:rPr>
                <w:szCs w:val="18"/>
              </w:rPr>
              <w:noBreakHyphen/>
            </w:r>
            <w:r>
              <w:rPr>
                <w:szCs w:val="18"/>
              </w:rPr>
              <w:t>13</w:t>
            </w:r>
            <w:r w:rsidR="003A088F">
              <w:rPr>
                <w:szCs w:val="18"/>
              </w:rPr>
              <w:t>.</w:t>
            </w:r>
          </w:p>
        </w:tc>
      </w:tr>
      <w:tr w:rsidR="006F174F" w:rsidRPr="00176D3F" w14:paraId="701670F7" w14:textId="77777777" w:rsidTr="00B85BFD">
        <w:tc>
          <w:tcPr>
            <w:tcW w:w="8771" w:type="dxa"/>
            <w:tcBorders>
              <w:top w:val="nil"/>
              <w:left w:val="nil"/>
              <w:bottom w:val="nil"/>
              <w:right w:val="nil"/>
            </w:tcBorders>
            <w:shd w:val="clear" w:color="auto" w:fill="auto"/>
          </w:tcPr>
          <w:p w14:paraId="0EBFD336" w14:textId="245505D4" w:rsidR="006F174F" w:rsidRPr="00176D3F" w:rsidRDefault="006F174F" w:rsidP="00B85BFD">
            <w:pPr>
              <w:pStyle w:val="Source"/>
            </w:pPr>
            <w:r>
              <w:rPr>
                <w:i/>
              </w:rPr>
              <w:t>S</w:t>
            </w:r>
            <w:r w:rsidRPr="00784A05">
              <w:rPr>
                <w:i/>
              </w:rPr>
              <w:t>ource</w:t>
            </w:r>
            <w:r w:rsidRPr="00176D3F">
              <w:t xml:space="preserve">: </w:t>
            </w:r>
            <w:proofErr w:type="spellStart"/>
            <w:r w:rsidRPr="00621AAD">
              <w:t>AIHW</w:t>
            </w:r>
            <w:proofErr w:type="spellEnd"/>
            <w:r w:rsidRPr="00621AAD">
              <w:t xml:space="preserve"> (unpublished) </w:t>
            </w:r>
            <w:r w:rsidR="000C1770" w:rsidRPr="000C1770">
              <w:t>Specialist Homelessness Services Collection</w:t>
            </w:r>
            <w:r w:rsidRPr="00E749E8">
              <w:t>;</w:t>
            </w:r>
            <w:r>
              <w:t xml:space="preserve"> table</w:t>
            </w:r>
            <w:r w:rsidR="007E335A">
              <w:t> </w:t>
            </w:r>
            <w:proofErr w:type="spellStart"/>
            <w:r w:rsidR="00650891">
              <w:t>19A</w:t>
            </w:r>
            <w:r>
              <w:t>.23</w:t>
            </w:r>
            <w:proofErr w:type="spellEnd"/>
            <w:r w:rsidRPr="005957F7">
              <w:rPr>
                <w:color w:val="000000" w:themeColor="text1"/>
              </w:rPr>
              <w:t>.</w:t>
            </w:r>
          </w:p>
        </w:tc>
      </w:tr>
      <w:tr w:rsidR="006F174F" w14:paraId="0B77A570" w14:textId="77777777" w:rsidTr="00B85BFD">
        <w:tc>
          <w:tcPr>
            <w:tcW w:w="8771" w:type="dxa"/>
            <w:tcBorders>
              <w:top w:val="nil"/>
              <w:left w:val="nil"/>
              <w:bottom w:val="single" w:sz="6" w:space="0" w:color="78A22F"/>
              <w:right w:val="nil"/>
            </w:tcBorders>
            <w:shd w:val="clear" w:color="auto" w:fill="auto"/>
          </w:tcPr>
          <w:p w14:paraId="27F8B655" w14:textId="77777777" w:rsidR="006F174F" w:rsidRDefault="006F174F" w:rsidP="00B85BFD">
            <w:pPr>
              <w:pStyle w:val="Figurespace"/>
            </w:pPr>
          </w:p>
        </w:tc>
      </w:tr>
      <w:tr w:rsidR="006F174F" w:rsidRPr="000863A5" w14:paraId="4468E7A6" w14:textId="77777777" w:rsidTr="00B85BFD">
        <w:tc>
          <w:tcPr>
            <w:tcW w:w="8771" w:type="dxa"/>
            <w:tcBorders>
              <w:top w:val="single" w:sz="6" w:space="0" w:color="78A22F"/>
              <w:left w:val="nil"/>
              <w:bottom w:val="nil"/>
              <w:right w:val="nil"/>
            </w:tcBorders>
          </w:tcPr>
          <w:p w14:paraId="081262E7" w14:textId="77777777" w:rsidR="006F174F" w:rsidRPr="00626D32" w:rsidRDefault="006F174F" w:rsidP="00A81E88">
            <w:pPr>
              <w:pStyle w:val="BoxSpaceBelow"/>
              <w:spacing w:before="40" w:after="0" w:line="60" w:lineRule="exact"/>
            </w:pPr>
          </w:p>
        </w:tc>
      </w:tr>
    </w:tbl>
    <w:p w14:paraId="078B99D5" w14:textId="77777777" w:rsidR="000707E5" w:rsidRPr="0083225A" w:rsidRDefault="000707E5" w:rsidP="000707E5">
      <w:pPr>
        <w:pStyle w:val="Heading4"/>
      </w:pPr>
      <w:r w:rsidRPr="0083225A">
        <w:lastRenderedPageBreak/>
        <w:t>Achievement of income on exit</w:t>
      </w:r>
    </w:p>
    <w:p w14:paraId="119941A5" w14:textId="6C6D0674" w:rsidR="000707E5" w:rsidRDefault="00AB5109" w:rsidP="000707E5">
      <w:pPr>
        <w:pStyle w:val="BodyText"/>
        <w:spacing w:after="240"/>
        <w:rPr>
          <w:bCs/>
          <w:color w:val="000000" w:themeColor="text1"/>
        </w:rPr>
      </w:pPr>
      <w:r w:rsidRPr="00AB5109">
        <w:rPr>
          <w:bCs/>
          <w:color w:val="000000" w:themeColor="text1"/>
        </w:rPr>
        <w:t xml:space="preserve">‘Achievement of income on exit’ is an indicator </w:t>
      </w:r>
      <w:r>
        <w:rPr>
          <w:bCs/>
          <w:color w:val="000000" w:themeColor="text1"/>
        </w:rPr>
        <w:t>of governments’ objective to re</w:t>
      </w:r>
      <w:r>
        <w:rPr>
          <w:bCs/>
          <w:color w:val="000000" w:themeColor="text1"/>
        </w:rPr>
        <w:noBreakHyphen/>
      </w:r>
      <w:r w:rsidRPr="00AB5109">
        <w:rPr>
          <w:bCs/>
          <w:color w:val="000000" w:themeColor="text1"/>
        </w:rPr>
        <w:t>establish the capacity of clients to live independently and to achieve social inclusion and greater economic participation (box</w:t>
      </w:r>
      <w:r w:rsidR="007E335A">
        <w:rPr>
          <w:bCs/>
          <w:color w:val="000000" w:themeColor="text1"/>
        </w:rPr>
        <w:t> </w:t>
      </w:r>
      <w:r w:rsidRPr="00AB5109">
        <w:rPr>
          <w:bCs/>
          <w:color w:val="000000" w:themeColor="text1"/>
        </w:rPr>
        <w:t>19.11).</w:t>
      </w:r>
    </w:p>
    <w:p w14:paraId="3F78126F" w14:textId="77777777" w:rsidR="00CC7CBF" w:rsidRDefault="00CC7CB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7CBF" w14:paraId="3F08FC30" w14:textId="77777777" w:rsidTr="00B85BFD">
        <w:tc>
          <w:tcPr>
            <w:tcW w:w="8771" w:type="dxa"/>
            <w:tcBorders>
              <w:top w:val="single" w:sz="6" w:space="0" w:color="78A22F"/>
              <w:left w:val="nil"/>
              <w:bottom w:val="nil"/>
              <w:right w:val="nil"/>
            </w:tcBorders>
            <w:shd w:val="clear" w:color="auto" w:fill="F2F2F2"/>
          </w:tcPr>
          <w:p w14:paraId="7C680EB4" w14:textId="71639BE8" w:rsidR="00CC7CBF" w:rsidRDefault="00CC7CBF" w:rsidP="00CC7CBF">
            <w:pPr>
              <w:pStyle w:val="BoxTitle"/>
            </w:pPr>
            <w:r>
              <w:rPr>
                <w:b w:val="0"/>
              </w:rPr>
              <w:t xml:space="preserve">Box </w:t>
            </w:r>
            <w:bookmarkStart w:id="31" w:name="OLE_LINK17"/>
            <w:r w:rsidR="00A40722">
              <w:rPr>
                <w:b w:val="0"/>
              </w:rPr>
              <w:t>19.</w:t>
            </w:r>
            <w:r w:rsidR="00087EB6">
              <w:rPr>
                <w:b w:val="0"/>
                <w:noProof/>
              </w:rPr>
              <w:t>11</w:t>
            </w:r>
            <w:bookmarkEnd w:id="31"/>
            <w:r>
              <w:tab/>
            </w:r>
            <w:r w:rsidRPr="009E5CE0">
              <w:rPr>
                <w:color w:val="000000" w:themeColor="text1"/>
              </w:rPr>
              <w:t>Achievement of income on exit</w:t>
            </w:r>
          </w:p>
        </w:tc>
      </w:tr>
      <w:tr w:rsidR="00CC7CBF" w14:paraId="04A269CB" w14:textId="77777777" w:rsidTr="00B85BFD">
        <w:trPr>
          <w:cantSplit/>
        </w:trPr>
        <w:tc>
          <w:tcPr>
            <w:tcW w:w="8771" w:type="dxa"/>
            <w:tcBorders>
              <w:top w:val="nil"/>
              <w:left w:val="nil"/>
              <w:bottom w:val="nil"/>
              <w:right w:val="nil"/>
            </w:tcBorders>
            <w:shd w:val="clear" w:color="auto" w:fill="F2F2F2"/>
          </w:tcPr>
          <w:p w14:paraId="56BF8D63" w14:textId="77777777" w:rsidR="00DF0DB4" w:rsidRPr="00DF0DB4" w:rsidRDefault="00DF0DB4" w:rsidP="00DF0DB4">
            <w:pPr>
              <w:pStyle w:val="Box"/>
              <w:rPr>
                <w:bCs/>
              </w:rPr>
            </w:pPr>
            <w:r w:rsidRPr="00DF0DB4">
              <w:rPr>
                <w:bCs/>
              </w:rPr>
              <w:t>‘Achievement of income on exit’ is defined as the proportion of clients aged 15 years or over (with closed support periods) with an identified need for income assistance at presentation who had an income source at the end of support.</w:t>
            </w:r>
          </w:p>
          <w:p w14:paraId="0D9FE18A" w14:textId="77777777" w:rsidR="00DF0DB4" w:rsidRPr="00DF0DB4" w:rsidRDefault="00DF0DB4" w:rsidP="00DF0DB4">
            <w:pPr>
              <w:pStyle w:val="Box"/>
              <w:rPr>
                <w:bCs/>
              </w:rPr>
            </w:pPr>
            <w:r w:rsidRPr="00DF0DB4">
              <w:rPr>
                <w:bCs/>
              </w:rPr>
              <w:t>This indicator compares these clients’ income status before and after they received support, and relates to relatively short term outcomes.</w:t>
            </w:r>
          </w:p>
          <w:p w14:paraId="499C250D" w14:textId="77777777" w:rsidR="00CC7CBF" w:rsidRDefault="00DF0DB4" w:rsidP="00DF0DB4">
            <w:pPr>
              <w:pStyle w:val="Box"/>
              <w:rPr>
                <w:bCs/>
                <w:color w:val="000000" w:themeColor="text1"/>
              </w:rPr>
            </w:pPr>
            <w:r w:rsidRPr="00DF0DB4">
              <w:rPr>
                <w:bCs/>
              </w:rPr>
              <w:t>Holding other factors constant, a high or increasing proportion of clients that have achieved an income on exit from homelessness services is desirable.</w:t>
            </w:r>
          </w:p>
          <w:p w14:paraId="06464D3A" w14:textId="77777777" w:rsidR="00CC7CBF" w:rsidRPr="00523519" w:rsidRDefault="00CC7CBF" w:rsidP="00CC7CBF">
            <w:pPr>
              <w:pStyle w:val="Box"/>
              <w:rPr>
                <w:color w:val="000000" w:themeColor="text1"/>
              </w:rPr>
            </w:pPr>
            <w:r w:rsidRPr="00523519">
              <w:rPr>
                <w:color w:val="000000" w:themeColor="text1"/>
              </w:rPr>
              <w:t>Data reported for these measures are:</w:t>
            </w:r>
          </w:p>
          <w:p w14:paraId="520D53F4" w14:textId="77777777" w:rsidR="00CC7CBF" w:rsidRPr="00523519" w:rsidRDefault="00CC7CBF" w:rsidP="00CC7CBF">
            <w:pPr>
              <w:pStyle w:val="BoxListBullet"/>
              <w:rPr>
                <w:color w:val="000000" w:themeColor="text1"/>
              </w:rPr>
            </w:pPr>
            <w:r w:rsidRPr="00523519">
              <w:rPr>
                <w:color w:val="000000" w:themeColor="text1"/>
              </w:rPr>
              <w:t>comparable (subject to caveats) across jurisdictions and over time</w:t>
            </w:r>
          </w:p>
          <w:p w14:paraId="645AA615" w14:textId="12E4E8D5" w:rsidR="00CC7CBF" w:rsidRPr="005A710D" w:rsidRDefault="00CC7CBF" w:rsidP="004504E9">
            <w:pPr>
              <w:pStyle w:val="BoxListBullet"/>
              <w:rPr>
                <w:rFonts w:cs="Arial"/>
                <w:color w:val="000000" w:themeColor="text1"/>
                <w:szCs w:val="22"/>
              </w:rPr>
            </w:pPr>
            <w:r w:rsidRPr="00523519">
              <w:rPr>
                <w:color w:val="000000" w:themeColor="text1"/>
              </w:rPr>
              <w:t>complete for the current repor</w:t>
            </w:r>
            <w:r>
              <w:rPr>
                <w:color w:val="000000" w:themeColor="text1"/>
              </w:rPr>
              <w:t>ting period. All required</w:t>
            </w:r>
            <w:r w:rsidR="004504E9">
              <w:rPr>
                <w:color w:val="000000" w:themeColor="text1"/>
              </w:rPr>
              <w:t xml:space="preserve"> 2015</w:t>
            </w:r>
            <w:r w:rsidR="007E335A">
              <w:rPr>
                <w:color w:val="000000" w:themeColor="text1"/>
              </w:rPr>
              <w:noBreakHyphen/>
            </w:r>
            <w:r w:rsidR="004504E9">
              <w:rPr>
                <w:color w:val="000000" w:themeColor="text1"/>
              </w:rPr>
              <w:t>16</w:t>
            </w:r>
            <w:r w:rsidRPr="00523519">
              <w:rPr>
                <w:color w:val="000000" w:themeColor="text1"/>
              </w:rPr>
              <w:t xml:space="preserve"> data are available for all jurisdictions</w:t>
            </w:r>
            <w:r w:rsidR="00A720B7">
              <w:rPr>
                <w:color w:val="000000" w:themeColor="text1"/>
              </w:rPr>
              <w:t>.</w:t>
            </w:r>
          </w:p>
        </w:tc>
      </w:tr>
      <w:tr w:rsidR="00CC7CBF" w14:paraId="44F552C3" w14:textId="77777777" w:rsidTr="00B85BFD">
        <w:trPr>
          <w:cantSplit/>
        </w:trPr>
        <w:tc>
          <w:tcPr>
            <w:tcW w:w="8771" w:type="dxa"/>
            <w:tcBorders>
              <w:top w:val="nil"/>
              <w:left w:val="nil"/>
              <w:bottom w:val="single" w:sz="6" w:space="0" w:color="78A22F"/>
              <w:right w:val="nil"/>
            </w:tcBorders>
            <w:shd w:val="clear" w:color="auto" w:fill="F2F2F2"/>
          </w:tcPr>
          <w:p w14:paraId="65C15561" w14:textId="77777777" w:rsidR="00CC7CBF" w:rsidRDefault="00CC7CBF">
            <w:pPr>
              <w:pStyle w:val="Box"/>
              <w:spacing w:before="0" w:line="120" w:lineRule="exact"/>
            </w:pPr>
          </w:p>
        </w:tc>
      </w:tr>
      <w:tr w:rsidR="00CC7CBF" w:rsidRPr="000863A5" w14:paraId="2A7ED726" w14:textId="77777777" w:rsidTr="00B85BFD">
        <w:tc>
          <w:tcPr>
            <w:tcW w:w="8771" w:type="dxa"/>
            <w:tcBorders>
              <w:top w:val="single" w:sz="6" w:space="0" w:color="78A22F"/>
              <w:left w:val="nil"/>
              <w:bottom w:val="nil"/>
              <w:right w:val="nil"/>
            </w:tcBorders>
          </w:tcPr>
          <w:p w14:paraId="1274EB98" w14:textId="77777777" w:rsidR="00CC7CBF" w:rsidRPr="00626D32" w:rsidRDefault="00CC7CBF" w:rsidP="00B85BFD">
            <w:pPr>
              <w:pStyle w:val="BoxSpaceBelow"/>
            </w:pPr>
          </w:p>
        </w:tc>
      </w:tr>
    </w:tbl>
    <w:p w14:paraId="5F1097BB" w14:textId="29EBCBF8" w:rsidR="000707E5" w:rsidRDefault="00CB2A41" w:rsidP="00CB2A41">
      <w:pPr>
        <w:pStyle w:val="BodyText"/>
      </w:pPr>
      <w:r w:rsidRPr="00CB2A41">
        <w:t>Nationally, of clients who needed income assistance when entering homelessness services in 2015</w:t>
      </w:r>
      <w:r w:rsidR="007E335A">
        <w:noBreakHyphen/>
      </w:r>
      <w:r w:rsidRPr="00CB2A41">
        <w:t>16, 91.9 per cent had an income source after support, a decrease from 94.5</w:t>
      </w:r>
      <w:r w:rsidR="00F02C24">
        <w:t> </w:t>
      </w:r>
      <w:r w:rsidRPr="00CB2A41">
        <w:t>per</w:t>
      </w:r>
      <w:r w:rsidR="00F02C24">
        <w:t> </w:t>
      </w:r>
      <w:r w:rsidRPr="00CB2A41">
        <w:t>cent in 2011</w:t>
      </w:r>
      <w:r w:rsidR="007E335A">
        <w:noBreakHyphen/>
      </w:r>
      <w:r w:rsidRPr="00CB2A41">
        <w:t>12 (figure</w:t>
      </w:r>
      <w:r w:rsidR="007E335A">
        <w:t> </w:t>
      </w:r>
      <w:r w:rsidRPr="00CB2A41">
        <w:t>19.12 and table</w:t>
      </w:r>
      <w:r w:rsidR="007E335A">
        <w:t> </w:t>
      </w:r>
      <w:proofErr w:type="spellStart"/>
      <w:r w:rsidRPr="00CB2A41">
        <w:t>19A.24</w:t>
      </w:r>
      <w:proofErr w:type="spellEnd"/>
      <w:r w:rsidRPr="00CB2A41">
        <w:t>)</w:t>
      </w:r>
      <w:r>
        <w:t>.</w:t>
      </w:r>
    </w:p>
    <w:p w14:paraId="1A99D35A" w14:textId="77777777" w:rsidR="00457F8D" w:rsidRDefault="00457F8D" w:rsidP="00B85B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7F8D" w14:paraId="395E0C79" w14:textId="77777777" w:rsidTr="00B85BFD">
        <w:tc>
          <w:tcPr>
            <w:tcW w:w="8771" w:type="dxa"/>
            <w:tcBorders>
              <w:top w:val="single" w:sz="6" w:space="0" w:color="78A22F"/>
              <w:left w:val="nil"/>
              <w:bottom w:val="nil"/>
              <w:right w:val="nil"/>
            </w:tcBorders>
            <w:shd w:val="clear" w:color="auto" w:fill="auto"/>
          </w:tcPr>
          <w:p w14:paraId="1A4DE52F" w14:textId="34E6B4A9" w:rsidR="00457F8D" w:rsidRPr="00176D3F" w:rsidRDefault="00457F8D" w:rsidP="007B2104">
            <w:pPr>
              <w:pStyle w:val="FigureTitle"/>
            </w:pPr>
            <w:r w:rsidRPr="00784A05">
              <w:rPr>
                <w:b w:val="0"/>
              </w:rPr>
              <w:t xml:space="preserve">Figure </w:t>
            </w:r>
            <w:bookmarkStart w:id="32" w:name="OLE_LINK18"/>
            <w:r w:rsidR="00A40722">
              <w:rPr>
                <w:b w:val="0"/>
              </w:rPr>
              <w:t>19.</w:t>
            </w:r>
            <w:r w:rsidR="00087EB6">
              <w:rPr>
                <w:b w:val="0"/>
                <w:noProof/>
              </w:rPr>
              <w:t>12</w:t>
            </w:r>
            <w:bookmarkEnd w:id="32"/>
            <w:r>
              <w:tab/>
            </w:r>
            <w:r w:rsidR="00D63333" w:rsidRPr="006620FF">
              <w:t>Income status</w:t>
            </w:r>
            <w:r w:rsidR="00DB01AD" w:rsidRPr="006620FF">
              <w:t xml:space="preserve"> before and</w:t>
            </w:r>
            <w:r w:rsidR="00D63333" w:rsidRPr="006620FF">
              <w:t xml:space="preserve"> after support, as a proportion of </w:t>
            </w:r>
            <w:r w:rsidRPr="006620FF">
              <w:t>clients who needed income assistance (closed support periods</w:t>
            </w:r>
            <w:r w:rsidR="008F2E04" w:rsidRPr="006620FF">
              <w:t>)</w:t>
            </w:r>
            <w:r w:rsidRPr="006620FF">
              <w:t>, 201</w:t>
            </w:r>
            <w:r w:rsidR="004504E9" w:rsidRPr="006620FF">
              <w:t>5</w:t>
            </w:r>
            <w:r w:rsidRPr="006620FF">
              <w:noBreakHyphen/>
              <w:t>1</w:t>
            </w:r>
            <w:r w:rsidR="004504E9" w:rsidRPr="006620FF">
              <w:t>6</w:t>
            </w:r>
            <w:r w:rsidRPr="006620FF">
              <w:rPr>
                <w:rStyle w:val="NoteLabel"/>
                <w:b/>
              </w:rPr>
              <w:t>a</w:t>
            </w:r>
          </w:p>
        </w:tc>
      </w:tr>
      <w:tr w:rsidR="00457F8D" w14:paraId="300B5865" w14:textId="77777777" w:rsidTr="00B85BFD">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57F8D" w14:paraId="7BCF6560" w14:textId="77777777" w:rsidTr="000C1770">
              <w:trPr>
                <w:jc w:val="center"/>
              </w:trPr>
              <w:tc>
                <w:tcPr>
                  <w:tcW w:w="5000" w:type="pct"/>
                  <w:tcBorders>
                    <w:top w:val="nil"/>
                    <w:bottom w:val="nil"/>
                  </w:tcBorders>
                </w:tcPr>
                <w:p w14:paraId="681153F9" w14:textId="77777777" w:rsidR="00457F8D" w:rsidRDefault="004504E9" w:rsidP="00B85BFD">
                  <w:pPr>
                    <w:pStyle w:val="Figure"/>
                    <w:spacing w:before="60" w:after="60"/>
                  </w:pPr>
                  <w:r>
                    <w:rPr>
                      <w:noProof/>
                    </w:rPr>
                    <w:drawing>
                      <wp:inline distT="0" distB="0" distL="0" distR="0" wp14:anchorId="584D9D00" wp14:editId="3BFD26DA">
                        <wp:extent cx="5401310" cy="2700655"/>
                        <wp:effectExtent l="0" t="0" r="8890" b="4445"/>
                        <wp:docPr id="13" name="Picture 13" descr="Figure 19.12 Income status before and after support, as a proportion of clients who needed income assistance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pic:spPr>
                            </pic:pic>
                          </a:graphicData>
                        </a:graphic>
                      </wp:inline>
                    </w:drawing>
                  </w:r>
                </w:p>
              </w:tc>
            </w:tr>
          </w:tbl>
          <w:p w14:paraId="5E70FF9F" w14:textId="77777777" w:rsidR="00457F8D" w:rsidRDefault="00457F8D" w:rsidP="00B85BFD">
            <w:pPr>
              <w:pStyle w:val="Figure"/>
            </w:pPr>
          </w:p>
        </w:tc>
      </w:tr>
      <w:tr w:rsidR="00457F8D" w:rsidRPr="00176D3F" w14:paraId="5AB98C6A" w14:textId="77777777" w:rsidTr="00B85BFD">
        <w:tc>
          <w:tcPr>
            <w:tcW w:w="8771" w:type="dxa"/>
            <w:tcBorders>
              <w:top w:val="nil"/>
              <w:left w:val="nil"/>
              <w:bottom w:val="nil"/>
              <w:right w:val="nil"/>
            </w:tcBorders>
            <w:shd w:val="clear" w:color="auto" w:fill="auto"/>
          </w:tcPr>
          <w:p w14:paraId="3E4AE82B" w14:textId="0EE5A6AB" w:rsidR="00457F8D" w:rsidRPr="002F631B" w:rsidRDefault="00CC7CBF" w:rsidP="002F631B">
            <w:pPr>
              <w:pStyle w:val="Note"/>
              <w:rPr>
                <w:rStyle w:val="DraftingNote"/>
                <w:b w:val="0"/>
                <w:color w:val="auto"/>
                <w:sz w:val="18"/>
                <w:u w:val="none"/>
              </w:rPr>
            </w:pPr>
            <w:r>
              <w:rPr>
                <w:rStyle w:val="NoteLabel"/>
              </w:rPr>
              <w:t>a</w:t>
            </w:r>
            <w:r>
              <w:t xml:space="preserve"> </w:t>
            </w:r>
            <w:r w:rsidRPr="006D3797">
              <w:t>See box</w:t>
            </w:r>
            <w:r w:rsidR="007E335A">
              <w:t> </w:t>
            </w:r>
            <w:r w:rsidR="00293FBD">
              <w:t>19.11 an</w:t>
            </w:r>
            <w:r w:rsidRPr="006D3797">
              <w:t>d table</w:t>
            </w:r>
            <w:r w:rsidR="007E335A">
              <w:t> </w:t>
            </w:r>
            <w:proofErr w:type="spellStart"/>
            <w:r w:rsidR="00650891">
              <w:t>19A</w:t>
            </w:r>
            <w:r w:rsidRPr="006D3797">
              <w:t>.</w:t>
            </w:r>
            <w:r>
              <w:t>2</w:t>
            </w:r>
            <w:r w:rsidR="002F4C50">
              <w:t>4</w:t>
            </w:r>
            <w:proofErr w:type="spellEnd"/>
            <w:r w:rsidRPr="006D3797">
              <w:t xml:space="preserve"> for detailed definitions, footnotes and caveats</w:t>
            </w:r>
            <w:r>
              <w:t>.</w:t>
            </w:r>
          </w:p>
        </w:tc>
      </w:tr>
      <w:tr w:rsidR="00457F8D" w:rsidRPr="00176D3F" w14:paraId="689690CC" w14:textId="77777777" w:rsidTr="00B85BFD">
        <w:tc>
          <w:tcPr>
            <w:tcW w:w="8771" w:type="dxa"/>
            <w:tcBorders>
              <w:top w:val="nil"/>
              <w:left w:val="nil"/>
              <w:bottom w:val="nil"/>
              <w:right w:val="nil"/>
            </w:tcBorders>
            <w:shd w:val="clear" w:color="auto" w:fill="auto"/>
          </w:tcPr>
          <w:p w14:paraId="1B4CB3B3" w14:textId="1A17BA63" w:rsidR="00457F8D" w:rsidRPr="00176D3F" w:rsidRDefault="00457F8D" w:rsidP="00B85BFD">
            <w:pPr>
              <w:pStyle w:val="Source"/>
            </w:pPr>
            <w:r>
              <w:rPr>
                <w:i/>
              </w:rPr>
              <w:t>S</w:t>
            </w:r>
            <w:r w:rsidRPr="00784A05">
              <w:rPr>
                <w:i/>
              </w:rPr>
              <w:t>ource</w:t>
            </w:r>
            <w:r w:rsidRPr="00176D3F">
              <w:t xml:space="preserve">: </w:t>
            </w:r>
            <w:proofErr w:type="spellStart"/>
            <w:r w:rsidRPr="00621AAD">
              <w:t>AIHW</w:t>
            </w:r>
            <w:proofErr w:type="spellEnd"/>
            <w:r w:rsidRPr="00621AAD">
              <w:t xml:space="preserve"> (unpublished) </w:t>
            </w:r>
            <w:r w:rsidR="000C1770" w:rsidRPr="000C1770">
              <w:t>Specialist Homelessness Services Collection</w:t>
            </w:r>
            <w:r w:rsidRPr="00C07369">
              <w:t>;</w:t>
            </w:r>
            <w:r>
              <w:t xml:space="preserve"> table</w:t>
            </w:r>
            <w:r w:rsidR="007E335A">
              <w:t> </w:t>
            </w:r>
            <w:proofErr w:type="spellStart"/>
            <w:r w:rsidR="00650891">
              <w:t>19A</w:t>
            </w:r>
            <w:r>
              <w:t>.24</w:t>
            </w:r>
            <w:proofErr w:type="spellEnd"/>
            <w:r>
              <w:t>.</w:t>
            </w:r>
          </w:p>
        </w:tc>
      </w:tr>
      <w:tr w:rsidR="00457F8D" w14:paraId="26DB175A" w14:textId="77777777" w:rsidTr="00B85BFD">
        <w:tc>
          <w:tcPr>
            <w:tcW w:w="8771" w:type="dxa"/>
            <w:tcBorders>
              <w:top w:val="nil"/>
              <w:left w:val="nil"/>
              <w:bottom w:val="single" w:sz="6" w:space="0" w:color="78A22F"/>
              <w:right w:val="nil"/>
            </w:tcBorders>
            <w:shd w:val="clear" w:color="auto" w:fill="auto"/>
          </w:tcPr>
          <w:p w14:paraId="733DD9D8" w14:textId="77777777" w:rsidR="00457F8D" w:rsidRDefault="00457F8D" w:rsidP="00B85BFD">
            <w:pPr>
              <w:pStyle w:val="Figurespace"/>
            </w:pPr>
          </w:p>
        </w:tc>
      </w:tr>
      <w:tr w:rsidR="00457F8D" w:rsidRPr="000863A5" w14:paraId="4274A01F" w14:textId="77777777" w:rsidTr="00B85BFD">
        <w:tc>
          <w:tcPr>
            <w:tcW w:w="8771" w:type="dxa"/>
            <w:tcBorders>
              <w:top w:val="single" w:sz="6" w:space="0" w:color="78A22F"/>
              <w:left w:val="nil"/>
              <w:bottom w:val="nil"/>
              <w:right w:val="nil"/>
            </w:tcBorders>
          </w:tcPr>
          <w:p w14:paraId="3E1B901E" w14:textId="77777777" w:rsidR="00457F8D" w:rsidRPr="00626D32" w:rsidRDefault="00457F8D" w:rsidP="00B85BFD">
            <w:pPr>
              <w:pStyle w:val="BoxSpaceBelow"/>
            </w:pPr>
          </w:p>
        </w:tc>
      </w:tr>
    </w:tbl>
    <w:p w14:paraId="0F2F9B35" w14:textId="58543019" w:rsidR="00CB2A41" w:rsidRPr="00CB2A41" w:rsidRDefault="00CB2A41" w:rsidP="00CB2A41">
      <w:pPr>
        <w:pStyle w:val="BodyText"/>
        <w:rPr>
          <w:color w:val="000000" w:themeColor="text1"/>
        </w:rPr>
      </w:pPr>
      <w:r w:rsidRPr="00CB2A41">
        <w:rPr>
          <w:color w:val="000000" w:themeColor="text1"/>
        </w:rPr>
        <w:t>The main sources of income after support were a government pension/allowance (increased from 72.1 per cent before support to 79.9 per cent after support) and employee/business income (increased from 6.1 per cent before support to 7.2 per cent after support) – though these proportions varied across jurisdictions (figure</w:t>
      </w:r>
      <w:r w:rsidR="007E335A">
        <w:rPr>
          <w:color w:val="000000" w:themeColor="text1"/>
        </w:rPr>
        <w:t> </w:t>
      </w:r>
      <w:r w:rsidRPr="00CB2A41">
        <w:rPr>
          <w:color w:val="000000" w:themeColor="text1"/>
        </w:rPr>
        <w:t>19.12).</w:t>
      </w:r>
    </w:p>
    <w:p w14:paraId="306200D8" w14:textId="5607DA70" w:rsidR="00F077E5" w:rsidRDefault="00CB2A41" w:rsidP="00CB2A41">
      <w:pPr>
        <w:pStyle w:val="BodyText"/>
      </w:pPr>
      <w:r w:rsidRPr="00CB2A41">
        <w:rPr>
          <w:color w:val="000000" w:themeColor="text1"/>
        </w:rPr>
        <w:t>Nationally, of Aboriginal and Torres Strait Islander clients who needed income assistance when entering homelessness services in 2015</w:t>
      </w:r>
      <w:r w:rsidR="007E335A">
        <w:rPr>
          <w:color w:val="000000" w:themeColor="text1"/>
        </w:rPr>
        <w:noBreakHyphen/>
      </w:r>
      <w:r w:rsidRPr="00CB2A41">
        <w:rPr>
          <w:color w:val="000000" w:themeColor="text1"/>
        </w:rPr>
        <w:t>16, 93.4 per cent had an income source after support, a decrease from 96.2 per cent in 2011</w:t>
      </w:r>
      <w:r w:rsidR="007E335A">
        <w:rPr>
          <w:color w:val="000000" w:themeColor="text1"/>
        </w:rPr>
        <w:noBreakHyphen/>
      </w:r>
      <w:r w:rsidRPr="00CB2A41">
        <w:rPr>
          <w:color w:val="000000" w:themeColor="text1"/>
        </w:rPr>
        <w:t>12 (table</w:t>
      </w:r>
      <w:r w:rsidR="007E335A">
        <w:rPr>
          <w:color w:val="000000" w:themeColor="text1"/>
        </w:rPr>
        <w:t> </w:t>
      </w:r>
      <w:proofErr w:type="spellStart"/>
      <w:r w:rsidRPr="00CB2A41">
        <w:rPr>
          <w:color w:val="000000" w:themeColor="text1"/>
        </w:rPr>
        <w:t>19A.25</w:t>
      </w:r>
      <w:proofErr w:type="spellEnd"/>
      <w:r w:rsidRPr="00CB2A41">
        <w:rPr>
          <w:color w:val="000000" w:themeColor="text1"/>
        </w:rPr>
        <w:t>)</w:t>
      </w:r>
      <w:r>
        <w:rPr>
          <w:color w:val="000000" w:themeColor="text1"/>
        </w:rPr>
        <w:t>.</w:t>
      </w:r>
    </w:p>
    <w:p w14:paraId="3AC727F9" w14:textId="77777777" w:rsidR="000707E5" w:rsidRPr="002F4C50" w:rsidRDefault="000707E5" w:rsidP="002F4C50">
      <w:pPr>
        <w:pStyle w:val="Heading4"/>
      </w:pPr>
      <w:r w:rsidRPr="002F4C50">
        <w:t>Achievement of independent housing on exit</w:t>
      </w:r>
    </w:p>
    <w:p w14:paraId="05555C91" w14:textId="17A0DE32" w:rsidR="000707E5" w:rsidRDefault="000707E5" w:rsidP="000707E5">
      <w:pPr>
        <w:pStyle w:val="BodyText"/>
        <w:spacing w:after="240"/>
        <w:rPr>
          <w:bCs/>
        </w:rPr>
      </w:pPr>
      <w:r w:rsidRPr="0007743E">
        <w:t>‘</w:t>
      </w:r>
      <w:r w:rsidRPr="0007743E">
        <w:rPr>
          <w:bCs/>
        </w:rPr>
        <w:t xml:space="preserve">Achievement of independent housing’ is an </w:t>
      </w:r>
      <w:r w:rsidRPr="00B12608">
        <w:rPr>
          <w:bCs/>
        </w:rPr>
        <w:t xml:space="preserve">indicator of governments’ objective to </w:t>
      </w:r>
      <w:r w:rsidR="00061428" w:rsidRPr="00B12608">
        <w:rPr>
          <w:bCs/>
        </w:rPr>
        <w:t>re</w:t>
      </w:r>
      <w:r w:rsidR="00061428" w:rsidRPr="00B12608">
        <w:rPr>
          <w:bCs/>
        </w:rPr>
        <w:noBreakHyphen/>
        <w:t xml:space="preserve">establish the capacity of clients to live independently and to achieve social inclusion and greater economic participation </w:t>
      </w:r>
      <w:r>
        <w:rPr>
          <w:bCs/>
        </w:rPr>
        <w:t>(box</w:t>
      </w:r>
      <w:r w:rsidR="007E335A">
        <w:rPr>
          <w:bCs/>
        </w:rPr>
        <w:t> </w:t>
      </w:r>
      <w:r w:rsidR="00A40722">
        <w:t>1</w:t>
      </w:r>
      <w:r w:rsidR="00B404DE">
        <w:t>9</w:t>
      </w:r>
      <w:r w:rsidR="00A40722">
        <w:t>.1</w:t>
      </w:r>
      <w:r w:rsidR="00611C5B">
        <w:rPr>
          <w:bCs/>
        </w:rPr>
        <w:t>2</w:t>
      </w:r>
      <w:r>
        <w:rPr>
          <w:bCs/>
        </w:rPr>
        <w:t>).</w:t>
      </w:r>
    </w:p>
    <w:p w14:paraId="36CCE9BD" w14:textId="77777777" w:rsidR="002F4C50" w:rsidRDefault="002F4C5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4C50" w14:paraId="3909A9C1" w14:textId="77777777" w:rsidTr="00B85BFD">
        <w:tc>
          <w:tcPr>
            <w:tcW w:w="8771" w:type="dxa"/>
            <w:tcBorders>
              <w:top w:val="single" w:sz="6" w:space="0" w:color="78A22F"/>
              <w:left w:val="nil"/>
              <w:bottom w:val="nil"/>
              <w:right w:val="nil"/>
            </w:tcBorders>
            <w:shd w:val="clear" w:color="auto" w:fill="F2F2F2"/>
          </w:tcPr>
          <w:p w14:paraId="6E2FC0F0" w14:textId="4E3425D3" w:rsidR="002F4C50" w:rsidRDefault="002F4C50">
            <w:pPr>
              <w:pStyle w:val="BoxTitle"/>
            </w:pPr>
            <w:bookmarkStart w:id="33" w:name="OLE_LINK2"/>
            <w:r>
              <w:rPr>
                <w:b w:val="0"/>
              </w:rPr>
              <w:t xml:space="preserve">Box </w:t>
            </w:r>
            <w:bookmarkStart w:id="34" w:name="OLE_LINK19"/>
            <w:r w:rsidR="00A40722">
              <w:rPr>
                <w:b w:val="0"/>
              </w:rPr>
              <w:t>19.</w:t>
            </w:r>
            <w:r w:rsidR="00087EB6">
              <w:rPr>
                <w:b w:val="0"/>
                <w:noProof/>
              </w:rPr>
              <w:t>12</w:t>
            </w:r>
            <w:bookmarkEnd w:id="33"/>
            <w:bookmarkEnd w:id="34"/>
            <w:r>
              <w:tab/>
            </w:r>
            <w:r w:rsidRPr="0083225A">
              <w:t>Achievement of independent housing on exit</w:t>
            </w:r>
          </w:p>
        </w:tc>
      </w:tr>
      <w:tr w:rsidR="002F4C50" w14:paraId="4E680A60" w14:textId="77777777" w:rsidTr="00B85BFD">
        <w:trPr>
          <w:cantSplit/>
        </w:trPr>
        <w:tc>
          <w:tcPr>
            <w:tcW w:w="8771" w:type="dxa"/>
            <w:tcBorders>
              <w:top w:val="nil"/>
              <w:left w:val="nil"/>
              <w:bottom w:val="nil"/>
              <w:right w:val="nil"/>
            </w:tcBorders>
            <w:shd w:val="clear" w:color="auto" w:fill="F2F2F2"/>
          </w:tcPr>
          <w:p w14:paraId="42C2209D" w14:textId="77777777" w:rsidR="00553561" w:rsidRDefault="002F4C50" w:rsidP="002F4C50">
            <w:pPr>
              <w:pStyle w:val="Box"/>
              <w:keepNext w:val="0"/>
              <w:rPr>
                <w:bCs/>
              </w:rPr>
            </w:pPr>
            <w:r>
              <w:rPr>
                <w:bCs/>
              </w:rPr>
              <w:t>‘</w:t>
            </w:r>
            <w:r w:rsidRPr="004A2EAE">
              <w:rPr>
                <w:bCs/>
              </w:rPr>
              <w:t xml:space="preserve">Achievement of </w:t>
            </w:r>
            <w:r w:rsidRPr="0083225A">
              <w:t>independent housing</w:t>
            </w:r>
            <w:r w:rsidRPr="004A2EAE">
              <w:rPr>
                <w:bCs/>
              </w:rPr>
              <w:t xml:space="preserve"> on exit’ is defined </w:t>
            </w:r>
            <w:r>
              <w:rPr>
                <w:bCs/>
              </w:rPr>
              <w:t>by</w:t>
            </w:r>
            <w:r w:rsidR="003C5165">
              <w:rPr>
                <w:bCs/>
              </w:rPr>
              <w:t xml:space="preserve"> two measures</w:t>
            </w:r>
            <w:r w:rsidR="00553561">
              <w:rPr>
                <w:bCs/>
              </w:rPr>
              <w:t>:</w:t>
            </w:r>
          </w:p>
          <w:p w14:paraId="2C69F629" w14:textId="77777777" w:rsidR="002F4C50" w:rsidRPr="0003094F" w:rsidRDefault="002F4C50" w:rsidP="0003094F">
            <w:pPr>
              <w:pStyle w:val="BoxListBullet"/>
              <w:rPr>
                <w:bCs/>
              </w:rPr>
            </w:pPr>
            <w:r>
              <w:rPr>
                <w:bCs/>
              </w:rPr>
              <w:t xml:space="preserve">the proportion of </w:t>
            </w:r>
            <w:r w:rsidRPr="004A2EAE">
              <w:rPr>
                <w:bCs/>
              </w:rPr>
              <w:t xml:space="preserve">clients </w:t>
            </w:r>
            <w:r>
              <w:rPr>
                <w:bCs/>
              </w:rPr>
              <w:t>(</w:t>
            </w:r>
            <w:r w:rsidRPr="004A2EAE">
              <w:rPr>
                <w:bCs/>
              </w:rPr>
              <w:t>wi</w:t>
            </w:r>
            <w:r>
              <w:rPr>
                <w:bCs/>
              </w:rPr>
              <w:t>th closed support periods</w:t>
            </w:r>
            <w:r w:rsidR="00B85BFD">
              <w:rPr>
                <w:bCs/>
              </w:rPr>
              <w:t>,</w:t>
            </w:r>
            <w:r>
              <w:rPr>
                <w:bCs/>
              </w:rPr>
              <w:t xml:space="preserve"> </w:t>
            </w:r>
            <w:r w:rsidR="00B85BFD">
              <w:rPr>
                <w:bCs/>
              </w:rPr>
              <w:t>all ages</w:t>
            </w:r>
            <w:r>
              <w:rPr>
                <w:bCs/>
              </w:rPr>
              <w:t xml:space="preserve">) </w:t>
            </w:r>
            <w:r w:rsidR="00B85BFD">
              <w:t>who achieved independent housing at the end of support</w:t>
            </w:r>
            <w:r>
              <w:t xml:space="preserve">, </w:t>
            </w:r>
            <w:r w:rsidR="00B85BFD">
              <w:t>who on presentation</w:t>
            </w:r>
            <w:r w:rsidR="009D3270">
              <w:t xml:space="preserve"> were</w:t>
            </w:r>
            <w:r w:rsidR="003C5165">
              <w:t>:</w:t>
            </w:r>
          </w:p>
          <w:p w14:paraId="7815558A" w14:textId="77777777" w:rsidR="002F4C50" w:rsidRDefault="009D3270" w:rsidP="00553561">
            <w:pPr>
              <w:pStyle w:val="BoxListBullet2"/>
            </w:pPr>
            <w:r w:rsidRPr="009D3270">
              <w:rPr>
                <w:i/>
              </w:rPr>
              <w:t>clients with an identified need for assistance to obtain or maintain independent housing</w:t>
            </w:r>
            <w:r>
              <w:t>, including to</w:t>
            </w:r>
            <w:r w:rsidR="00B85BFD">
              <w:t xml:space="preserve"> obtain long term housing</w:t>
            </w:r>
            <w:r w:rsidR="00C07369">
              <w:t>,</w:t>
            </w:r>
            <w:r w:rsidR="00B85BFD" w:rsidRPr="0083225A">
              <w:t xml:space="preserve"> sustain tenancy or prev</w:t>
            </w:r>
            <w:r w:rsidR="00B85BFD">
              <w:t>ent tenancy failure or eviction,</w:t>
            </w:r>
            <w:r w:rsidR="00B85BFD" w:rsidRPr="0083225A">
              <w:t xml:space="preserve"> or</w:t>
            </w:r>
            <w:r w:rsidR="00C07369">
              <w:t>,</w:t>
            </w:r>
            <w:r w:rsidR="00B85BFD" w:rsidRPr="0083225A">
              <w:t xml:space="preserve"> prevent foreclosures or for mortgage arrears</w:t>
            </w:r>
          </w:p>
          <w:p w14:paraId="657F7662" w14:textId="77777777" w:rsidR="00B85BFD" w:rsidRPr="00B85BFD" w:rsidRDefault="005F2F29" w:rsidP="00553561">
            <w:pPr>
              <w:pStyle w:val="BoxListBullet2"/>
              <w:rPr>
                <w:bCs/>
              </w:rPr>
            </w:pPr>
            <w:r w:rsidRPr="009D3270">
              <w:rPr>
                <w:i/>
              </w:rPr>
              <w:t xml:space="preserve">clients </w:t>
            </w:r>
            <w:r w:rsidR="00B85BFD" w:rsidRPr="009D3270">
              <w:rPr>
                <w:i/>
              </w:rPr>
              <w:t>living in non</w:t>
            </w:r>
            <w:r w:rsidR="00B85BFD" w:rsidRPr="009D3270">
              <w:rPr>
                <w:i/>
              </w:rPr>
              <w:noBreakHyphen/>
              <w:t>independent/supported housing</w:t>
            </w:r>
          </w:p>
          <w:p w14:paraId="65ED7321" w14:textId="1246330E" w:rsidR="005F2F29" w:rsidRPr="005F2F29" w:rsidRDefault="005F2F29" w:rsidP="009D3270">
            <w:pPr>
              <w:pStyle w:val="BoxListBullet"/>
              <w:rPr>
                <w:bCs/>
              </w:rPr>
            </w:pPr>
            <w:r w:rsidRPr="009D3270">
              <w:rPr>
                <w:bCs/>
              </w:rPr>
              <w:t xml:space="preserve">the proportion of clients </w:t>
            </w:r>
            <w:r w:rsidR="00162F4B" w:rsidRPr="009D3270">
              <w:rPr>
                <w:bCs/>
              </w:rPr>
              <w:t xml:space="preserve">(with a support period that closed during the financial year, all ages) </w:t>
            </w:r>
            <w:r w:rsidR="00162F4B" w:rsidRPr="009D3270">
              <w:rPr>
                <w:i/>
              </w:rPr>
              <w:t>with an identified need for assistance to obtain or maintain independent housing</w:t>
            </w:r>
            <w:r w:rsidR="00162F4B">
              <w:rPr>
                <w:i/>
              </w:rPr>
              <w:t xml:space="preserve"> </w:t>
            </w:r>
            <w:r w:rsidR="00162F4B" w:rsidRPr="00162F4B">
              <w:t xml:space="preserve">— </w:t>
            </w:r>
            <w:r w:rsidR="00162F4B">
              <w:t>including a need to obtain long term housing,</w:t>
            </w:r>
            <w:r w:rsidR="00162F4B" w:rsidRPr="0083225A">
              <w:t xml:space="preserve"> sustain tenancy or prev</w:t>
            </w:r>
            <w:r w:rsidR="00162F4B">
              <w:t>ent tenancy failure or eviction,</w:t>
            </w:r>
            <w:r w:rsidR="00162F4B" w:rsidRPr="0083225A">
              <w:t xml:space="preserve"> or</w:t>
            </w:r>
            <w:r w:rsidR="00162F4B">
              <w:t>,</w:t>
            </w:r>
            <w:r w:rsidR="00162F4B" w:rsidRPr="0083225A">
              <w:t xml:space="preserve"> prevent foreclosures or for mortgage arrears</w:t>
            </w:r>
            <w:r w:rsidR="00162F4B" w:rsidRPr="009D3270">
              <w:rPr>
                <w:bCs/>
              </w:rPr>
              <w:t xml:space="preserve"> </w:t>
            </w:r>
            <w:r w:rsidR="00162F4B" w:rsidRPr="00162F4B">
              <w:t xml:space="preserve">— </w:t>
            </w:r>
            <w:r w:rsidRPr="005F2F29">
              <w:rPr>
                <w:i/>
              </w:rPr>
              <w:t xml:space="preserve">who achieved independent housing at the end of support and did not present again during the </w:t>
            </w:r>
            <w:r w:rsidR="00162F4B">
              <w:rPr>
                <w:i/>
              </w:rPr>
              <w:t>reference</w:t>
            </w:r>
            <w:r w:rsidRPr="005F2F29">
              <w:rPr>
                <w:i/>
              </w:rPr>
              <w:t xml:space="preserve"> year</w:t>
            </w:r>
            <w:r>
              <w:t xml:space="preserve"> with an identified need for any of the</w:t>
            </w:r>
            <w:r w:rsidR="00162F4B">
              <w:t>se</w:t>
            </w:r>
            <w:r>
              <w:t xml:space="preserve"> services</w:t>
            </w:r>
            <w:r w:rsidR="00162F4B">
              <w:t>.</w:t>
            </w:r>
          </w:p>
          <w:p w14:paraId="6166978C" w14:textId="77777777" w:rsidR="002F4C50" w:rsidRPr="0083225A" w:rsidRDefault="002F4C50" w:rsidP="002F4C50">
            <w:pPr>
              <w:pStyle w:val="Box"/>
              <w:rPr>
                <w:bCs/>
              </w:rPr>
            </w:pPr>
            <w:r w:rsidRPr="0083225A">
              <w:rPr>
                <w:bCs/>
              </w:rPr>
              <w:t xml:space="preserve">Holding other factors constant, a high or increasing proportion of </w:t>
            </w:r>
            <w:r>
              <w:rPr>
                <w:bCs/>
              </w:rPr>
              <w:t xml:space="preserve">clients who achieved independent housing in closed support periods </w:t>
            </w:r>
            <w:r w:rsidR="00162F4B">
              <w:rPr>
                <w:bCs/>
              </w:rPr>
              <w:t>is desirable.</w:t>
            </w:r>
          </w:p>
          <w:p w14:paraId="37D0B88A" w14:textId="77777777" w:rsidR="002F4C50" w:rsidRPr="0083225A" w:rsidRDefault="00162F4B" w:rsidP="002F4C50">
            <w:pPr>
              <w:pStyle w:val="Box"/>
            </w:pPr>
            <w:r>
              <w:rPr>
                <w:bCs/>
              </w:rPr>
              <w:t>The reported data</w:t>
            </w:r>
            <w:r w:rsidR="002F4C50" w:rsidRPr="0083225A">
              <w:rPr>
                <w:bCs/>
              </w:rPr>
              <w:t xml:space="preserve"> </w:t>
            </w:r>
            <w:r>
              <w:rPr>
                <w:bCs/>
              </w:rPr>
              <w:t>are for</w:t>
            </w:r>
            <w:r w:rsidR="002F4C50" w:rsidRPr="0083225A">
              <w:rPr>
                <w:bCs/>
              </w:rPr>
              <w:t xml:space="preserve"> relatively short term outcomes </w:t>
            </w:r>
            <w:r w:rsidR="00C9777D">
              <w:rPr>
                <w:bCs/>
              </w:rPr>
              <w:t>achieved within a financial year</w:t>
            </w:r>
            <w:r w:rsidR="002F4C50" w:rsidRPr="0083225A">
              <w:rPr>
                <w:bCs/>
              </w:rPr>
              <w:t>. Longer term outcomes are also important, but more difficult to measure</w:t>
            </w:r>
            <w:r w:rsidR="002F4C50" w:rsidRPr="0083225A">
              <w:t>.</w:t>
            </w:r>
          </w:p>
          <w:p w14:paraId="5D446870" w14:textId="77777777" w:rsidR="002F4C50" w:rsidRPr="0083225A" w:rsidRDefault="002F4C50" w:rsidP="002F4C50">
            <w:pPr>
              <w:pStyle w:val="Box"/>
            </w:pPr>
            <w:r w:rsidRPr="0083225A">
              <w:t>Data reported for these measures are:</w:t>
            </w:r>
          </w:p>
          <w:p w14:paraId="24677684" w14:textId="77777777" w:rsidR="002F4C50" w:rsidRPr="0083225A" w:rsidRDefault="002F4C50" w:rsidP="003E4EAF">
            <w:pPr>
              <w:pStyle w:val="BoxListBullet"/>
            </w:pPr>
            <w:r w:rsidRPr="0083225A">
              <w:t>comparable (subject to caveats) across jurisdictions and over time</w:t>
            </w:r>
          </w:p>
          <w:p w14:paraId="303A7A06" w14:textId="6D039E6A" w:rsidR="002F4C50" w:rsidRDefault="002F4C50" w:rsidP="003E4EAF">
            <w:pPr>
              <w:pStyle w:val="BoxListBullet"/>
            </w:pPr>
            <w:r w:rsidRPr="0083225A">
              <w:t xml:space="preserve">complete for the current reporting period. </w:t>
            </w:r>
            <w:r>
              <w:t>All required</w:t>
            </w:r>
            <w:r w:rsidR="00162F4B">
              <w:t xml:space="preserve"> 2015</w:t>
            </w:r>
            <w:r w:rsidR="007E335A">
              <w:noBreakHyphen/>
            </w:r>
            <w:r w:rsidR="00162F4B">
              <w:t>16</w:t>
            </w:r>
            <w:r>
              <w:t xml:space="preserve"> </w:t>
            </w:r>
            <w:r w:rsidRPr="0083225A">
              <w:t>data are available for all jurisdictions</w:t>
            </w:r>
            <w:r>
              <w:t>.</w:t>
            </w:r>
          </w:p>
        </w:tc>
      </w:tr>
      <w:tr w:rsidR="002F4C50" w14:paraId="558532F3" w14:textId="77777777" w:rsidTr="00B85BFD">
        <w:trPr>
          <w:cantSplit/>
        </w:trPr>
        <w:tc>
          <w:tcPr>
            <w:tcW w:w="8771" w:type="dxa"/>
            <w:tcBorders>
              <w:top w:val="nil"/>
              <w:left w:val="nil"/>
              <w:bottom w:val="single" w:sz="6" w:space="0" w:color="78A22F"/>
              <w:right w:val="nil"/>
            </w:tcBorders>
            <w:shd w:val="clear" w:color="auto" w:fill="F2F2F2"/>
          </w:tcPr>
          <w:p w14:paraId="0862E8AF" w14:textId="77777777" w:rsidR="002F4C50" w:rsidRDefault="002F4C50">
            <w:pPr>
              <w:pStyle w:val="Box"/>
              <w:spacing w:before="0" w:line="120" w:lineRule="exact"/>
            </w:pPr>
          </w:p>
        </w:tc>
      </w:tr>
      <w:tr w:rsidR="002F4C50" w:rsidRPr="000863A5" w14:paraId="19953825" w14:textId="77777777" w:rsidTr="00B85BFD">
        <w:tc>
          <w:tcPr>
            <w:tcW w:w="8771" w:type="dxa"/>
            <w:tcBorders>
              <w:top w:val="single" w:sz="6" w:space="0" w:color="78A22F"/>
              <w:left w:val="nil"/>
              <w:bottom w:val="nil"/>
              <w:right w:val="nil"/>
            </w:tcBorders>
          </w:tcPr>
          <w:p w14:paraId="72008903" w14:textId="77777777" w:rsidR="002F4C50" w:rsidRPr="00626D32" w:rsidRDefault="002F4C50" w:rsidP="00B85BFD">
            <w:pPr>
              <w:pStyle w:val="BoxSpaceBelow"/>
            </w:pPr>
          </w:p>
        </w:tc>
      </w:tr>
    </w:tbl>
    <w:p w14:paraId="0C97A741" w14:textId="77777777" w:rsidR="00EB1138" w:rsidRDefault="00EB1138" w:rsidP="00EB1138">
      <w:pPr>
        <w:pStyle w:val="Heading5"/>
      </w:pPr>
      <w:r>
        <w:t xml:space="preserve">Clients </w:t>
      </w:r>
      <w:r w:rsidR="00B06BCD">
        <w:t xml:space="preserve">with an identified need for </w:t>
      </w:r>
      <w:r>
        <w:t>assistance to obtain or maintain independent housing</w:t>
      </w:r>
    </w:p>
    <w:p w14:paraId="30F82ADA" w14:textId="3773C15D" w:rsidR="00D5753C" w:rsidRPr="00D5753C" w:rsidRDefault="00D5753C" w:rsidP="00D5753C">
      <w:pPr>
        <w:pStyle w:val="BodyText"/>
        <w:rPr>
          <w:color w:val="000000" w:themeColor="text1"/>
        </w:rPr>
      </w:pPr>
      <w:r w:rsidRPr="00D5753C">
        <w:rPr>
          <w:color w:val="000000" w:themeColor="text1"/>
        </w:rPr>
        <w:t>Nationally in 2015</w:t>
      </w:r>
      <w:r w:rsidR="007E335A">
        <w:rPr>
          <w:color w:val="000000" w:themeColor="text1"/>
        </w:rPr>
        <w:noBreakHyphen/>
      </w:r>
      <w:r w:rsidRPr="00D5753C">
        <w:rPr>
          <w:color w:val="000000" w:themeColor="text1"/>
        </w:rPr>
        <w:t xml:space="preserve">16, 64.0 per cent of clients who had an identified need for assistance with obtaining or maintaining independent housing achieved independent housing </w:t>
      </w:r>
      <w:r w:rsidR="002742FE">
        <w:rPr>
          <w:color w:val="000000" w:themeColor="text1"/>
        </w:rPr>
        <w:t>after support</w:t>
      </w:r>
      <w:r w:rsidRPr="00D5753C">
        <w:rPr>
          <w:color w:val="000000" w:themeColor="text1"/>
        </w:rPr>
        <w:t>, compared with 61.2 per cent in 2012</w:t>
      </w:r>
      <w:r w:rsidR="007E335A">
        <w:rPr>
          <w:color w:val="000000" w:themeColor="text1"/>
        </w:rPr>
        <w:noBreakHyphen/>
      </w:r>
      <w:r w:rsidRPr="00D5753C">
        <w:rPr>
          <w:color w:val="000000" w:themeColor="text1"/>
        </w:rPr>
        <w:t>13. This included clients who moved or returned to private rental housing (39.5 per cent) and to public or community rental housing (21.3 per cent) (figure</w:t>
      </w:r>
      <w:r w:rsidR="007E335A">
        <w:rPr>
          <w:color w:val="000000" w:themeColor="text1"/>
        </w:rPr>
        <w:t> </w:t>
      </w:r>
      <w:r w:rsidRPr="00D5753C">
        <w:rPr>
          <w:color w:val="000000" w:themeColor="text1"/>
        </w:rPr>
        <w:t>19.13).</w:t>
      </w:r>
    </w:p>
    <w:p w14:paraId="3B90B68D" w14:textId="5D402058" w:rsidR="000707E5" w:rsidRPr="00D5753C" w:rsidRDefault="00D5753C" w:rsidP="00D5753C">
      <w:pPr>
        <w:pStyle w:val="BodyText"/>
        <w:rPr>
          <w:color w:val="000000" w:themeColor="text1"/>
        </w:rPr>
      </w:pPr>
      <w:r w:rsidRPr="00D5753C">
        <w:rPr>
          <w:color w:val="000000" w:themeColor="text1"/>
        </w:rPr>
        <w:t xml:space="preserve">For the 36.0 per cent clients who did not achieve independent housing </w:t>
      </w:r>
      <w:r w:rsidR="002742FE">
        <w:rPr>
          <w:color w:val="000000" w:themeColor="text1"/>
        </w:rPr>
        <w:t>after support</w:t>
      </w:r>
      <w:r w:rsidRPr="00D5753C">
        <w:rPr>
          <w:color w:val="000000" w:themeColor="text1"/>
        </w:rPr>
        <w:t>, data by type of tenure is available in table</w:t>
      </w:r>
      <w:r w:rsidR="007E335A">
        <w:rPr>
          <w:color w:val="000000" w:themeColor="text1"/>
        </w:rPr>
        <w:t> </w:t>
      </w:r>
      <w:proofErr w:type="spellStart"/>
      <w:r w:rsidRPr="00D5753C">
        <w:rPr>
          <w:color w:val="000000" w:themeColor="text1"/>
        </w:rPr>
        <w:t>19A.26</w:t>
      </w:r>
      <w:proofErr w:type="spellEnd"/>
      <w:r w:rsidRPr="00D5753C">
        <w:rPr>
          <w:color w:val="000000" w:themeColor="text1"/>
        </w:rPr>
        <w:t>.</w:t>
      </w:r>
    </w:p>
    <w:p w14:paraId="39B81265" w14:textId="77777777" w:rsidR="00190CBF" w:rsidRDefault="00190CBF" w:rsidP="004F06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0CBF" w14:paraId="3E563A2B" w14:textId="77777777" w:rsidTr="006620FF">
        <w:tc>
          <w:tcPr>
            <w:tcW w:w="8771" w:type="dxa"/>
            <w:tcBorders>
              <w:top w:val="single" w:sz="6" w:space="0" w:color="78A22F"/>
              <w:left w:val="nil"/>
              <w:bottom w:val="nil"/>
              <w:right w:val="nil"/>
            </w:tcBorders>
            <w:shd w:val="clear" w:color="auto" w:fill="auto"/>
          </w:tcPr>
          <w:p w14:paraId="65A677FE" w14:textId="351FAFC5" w:rsidR="00190CBF" w:rsidRPr="00176D3F" w:rsidRDefault="00190CBF" w:rsidP="000D18AC">
            <w:pPr>
              <w:pStyle w:val="FigureTitle"/>
            </w:pPr>
            <w:r w:rsidRPr="00784A05">
              <w:rPr>
                <w:b w:val="0"/>
              </w:rPr>
              <w:t xml:space="preserve">Figure </w:t>
            </w:r>
            <w:bookmarkStart w:id="35" w:name="OLE_LINK20"/>
            <w:r w:rsidR="00A40722">
              <w:rPr>
                <w:b w:val="0"/>
              </w:rPr>
              <w:t>19.</w:t>
            </w:r>
            <w:r w:rsidR="00087EB6">
              <w:rPr>
                <w:b w:val="0"/>
                <w:noProof/>
              </w:rPr>
              <w:t>13</w:t>
            </w:r>
            <w:bookmarkEnd w:id="35"/>
            <w:r>
              <w:tab/>
            </w:r>
            <w:r w:rsidR="0025492D" w:rsidRPr="006620FF">
              <w:t>Housing tenure type after support, as a proportion of clients who needed assistance to obtain or maintain independent housing (closed support periods)</w:t>
            </w:r>
            <w:r w:rsidR="0025492D" w:rsidRPr="006620FF">
              <w:rPr>
                <w:rStyle w:val="NoteLabel"/>
                <w:b/>
              </w:rPr>
              <w:t>a, b</w:t>
            </w:r>
          </w:p>
        </w:tc>
      </w:tr>
      <w:tr w:rsidR="00190CBF" w14:paraId="5E43AD0F" w14:textId="77777777" w:rsidTr="006620FF">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190CBF" w14:paraId="2DCB54EC" w14:textId="77777777" w:rsidTr="000C1770">
              <w:trPr>
                <w:jc w:val="center"/>
              </w:trPr>
              <w:tc>
                <w:tcPr>
                  <w:tcW w:w="5000" w:type="pct"/>
                  <w:tcBorders>
                    <w:top w:val="nil"/>
                    <w:bottom w:val="nil"/>
                  </w:tcBorders>
                </w:tcPr>
                <w:p w14:paraId="0D0256DF" w14:textId="3429AA1B" w:rsidR="00190CBF" w:rsidRDefault="00AF198A" w:rsidP="00B26C02">
                  <w:pPr>
                    <w:pStyle w:val="Figure"/>
                    <w:spacing w:before="60" w:after="60"/>
                  </w:pPr>
                  <w:r>
                    <w:rPr>
                      <w:noProof/>
                    </w:rPr>
                    <w:drawing>
                      <wp:inline distT="0" distB="0" distL="0" distR="0" wp14:anchorId="384D1D25" wp14:editId="159C95EB">
                        <wp:extent cx="5401310" cy="2700655"/>
                        <wp:effectExtent l="0" t="0" r="8890" b="4445"/>
                        <wp:docPr id="9" name="Picture 9" descr="Figure 19.13 Housing tenure type after support, as a proportion of clients who needed assistance to obtain or maintain independent housing (closed support perio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pic:spPr>
                            </pic:pic>
                          </a:graphicData>
                        </a:graphic>
                      </wp:inline>
                    </w:drawing>
                  </w:r>
                </w:p>
              </w:tc>
            </w:tr>
          </w:tbl>
          <w:p w14:paraId="6C85A624" w14:textId="77777777" w:rsidR="00190CBF" w:rsidRDefault="00190CBF" w:rsidP="004F06C0">
            <w:pPr>
              <w:pStyle w:val="Figure"/>
            </w:pPr>
          </w:p>
        </w:tc>
      </w:tr>
      <w:tr w:rsidR="00190CBF" w:rsidRPr="00176D3F" w14:paraId="2429FB2E" w14:textId="77777777" w:rsidTr="004F06C0">
        <w:tc>
          <w:tcPr>
            <w:tcW w:w="8771" w:type="dxa"/>
            <w:tcBorders>
              <w:top w:val="nil"/>
              <w:left w:val="nil"/>
              <w:bottom w:val="nil"/>
              <w:right w:val="nil"/>
            </w:tcBorders>
            <w:shd w:val="clear" w:color="auto" w:fill="auto"/>
          </w:tcPr>
          <w:p w14:paraId="65530D8F" w14:textId="2761E0C7" w:rsidR="00EB1138" w:rsidRPr="00EB1138" w:rsidRDefault="00EB1138" w:rsidP="00EB1138">
            <w:pPr>
              <w:pStyle w:val="Note"/>
              <w:rPr>
                <w:rStyle w:val="NoteLabel"/>
                <w:b w:val="0"/>
                <w:position w:val="0"/>
              </w:rPr>
            </w:pPr>
            <w:r w:rsidRPr="00570CF4">
              <w:rPr>
                <w:rStyle w:val="NoteLabel"/>
                <w:b w:val="0"/>
                <w:position w:val="0"/>
              </w:rPr>
              <w:t>Other independent housing includes: ‘Purchasing/purchase</w:t>
            </w:r>
            <w:r w:rsidR="00F02C24">
              <w:rPr>
                <w:rStyle w:val="NoteLabel"/>
                <w:b w:val="0"/>
                <w:position w:val="0"/>
              </w:rPr>
              <w:t>d own home’ and ‘Other rental’.</w:t>
            </w:r>
          </w:p>
          <w:p w14:paraId="3E3C237B" w14:textId="44CCBEBA" w:rsidR="00AC3966" w:rsidRPr="002F631B" w:rsidRDefault="004F06C0" w:rsidP="002F631B">
            <w:pPr>
              <w:pStyle w:val="Note"/>
            </w:pPr>
            <w:r>
              <w:rPr>
                <w:rStyle w:val="NoteLabel"/>
              </w:rPr>
              <w:t>a</w:t>
            </w:r>
            <w:r>
              <w:t xml:space="preserve"> </w:t>
            </w:r>
            <w:r w:rsidRPr="006D3797">
              <w:t>See box</w:t>
            </w:r>
            <w:r w:rsidR="007E335A">
              <w:t> </w:t>
            </w:r>
            <w:r w:rsidR="00A40722">
              <w:t>1</w:t>
            </w:r>
            <w:r w:rsidR="00B404DE">
              <w:t>9</w:t>
            </w:r>
            <w:r w:rsidR="00A40722">
              <w:t>.1</w:t>
            </w:r>
            <w:r w:rsidR="00611C5B">
              <w:t>2</w:t>
            </w:r>
            <w:r w:rsidRPr="006D3797">
              <w:t xml:space="preserve"> and table</w:t>
            </w:r>
            <w:r w:rsidR="007E335A">
              <w:t> </w:t>
            </w:r>
            <w:proofErr w:type="spellStart"/>
            <w:r w:rsidR="00650891">
              <w:t>19A</w:t>
            </w:r>
            <w:r w:rsidRPr="006D3797">
              <w:t>.</w:t>
            </w:r>
            <w:r>
              <w:t>2</w:t>
            </w:r>
            <w:r w:rsidR="00EB1138">
              <w:t>6</w:t>
            </w:r>
            <w:proofErr w:type="spellEnd"/>
            <w:r w:rsidRPr="006D3797">
              <w:t xml:space="preserve"> for detailed definitions, footnotes and caveats</w:t>
            </w:r>
            <w:r>
              <w:t>.</w:t>
            </w:r>
            <w:r w:rsidR="00A84BE8">
              <w:t xml:space="preserve"> </w:t>
            </w:r>
            <w:r w:rsidR="00A84BE8">
              <w:rPr>
                <w:rStyle w:val="NoteLabel"/>
              </w:rPr>
              <w:t>b</w:t>
            </w:r>
            <w:r w:rsidR="00A84BE8">
              <w:t xml:space="preserve"> </w:t>
            </w:r>
            <w:r w:rsidR="00EB1138">
              <w:t xml:space="preserve">Data </w:t>
            </w:r>
            <w:r w:rsidR="000316A7">
              <w:t xml:space="preserve">are </w:t>
            </w:r>
            <w:r w:rsidR="00EB1138">
              <w:t xml:space="preserve">not available for </w:t>
            </w:r>
            <w:r w:rsidR="00EB1138" w:rsidRPr="005025D1">
              <w:t xml:space="preserve">SA </w:t>
            </w:r>
            <w:r w:rsidR="00EB1138">
              <w:t xml:space="preserve">in </w:t>
            </w:r>
            <w:r w:rsidRPr="005025D1">
              <w:t>2011</w:t>
            </w:r>
            <w:r>
              <w:noBreakHyphen/>
            </w:r>
            <w:r w:rsidRPr="005025D1">
              <w:t>12.</w:t>
            </w:r>
          </w:p>
        </w:tc>
      </w:tr>
      <w:tr w:rsidR="00190CBF" w:rsidRPr="00176D3F" w14:paraId="037A1D6E" w14:textId="77777777" w:rsidTr="004F06C0">
        <w:tc>
          <w:tcPr>
            <w:tcW w:w="8771" w:type="dxa"/>
            <w:tcBorders>
              <w:top w:val="nil"/>
              <w:left w:val="nil"/>
              <w:bottom w:val="nil"/>
              <w:right w:val="nil"/>
            </w:tcBorders>
            <w:shd w:val="clear" w:color="auto" w:fill="auto"/>
          </w:tcPr>
          <w:p w14:paraId="7995D0D9" w14:textId="4932A761" w:rsidR="00190CBF" w:rsidRPr="00176D3F" w:rsidRDefault="004F06C0" w:rsidP="004F06C0">
            <w:pPr>
              <w:pStyle w:val="Source"/>
            </w:pPr>
            <w:r>
              <w:rPr>
                <w:i/>
              </w:rPr>
              <w:t>Source</w:t>
            </w:r>
            <w:r w:rsidRPr="007D1EA0">
              <w:t>:</w:t>
            </w:r>
            <w:r>
              <w:rPr>
                <w:i/>
              </w:rPr>
              <w:t xml:space="preserve"> </w:t>
            </w:r>
            <w:proofErr w:type="spellStart"/>
            <w:r w:rsidRPr="001071DA">
              <w:t>AIHW</w:t>
            </w:r>
            <w:proofErr w:type="spellEnd"/>
            <w:r w:rsidRPr="001071DA">
              <w:t xml:space="preserve"> (unpublished) </w:t>
            </w:r>
            <w:r w:rsidR="000C1770" w:rsidRPr="000C1770">
              <w:t>Specialist Homelessness Services Collection</w:t>
            </w:r>
            <w:r>
              <w:t xml:space="preserve">; </w:t>
            </w:r>
            <w:r w:rsidRPr="001071DA">
              <w:t>table</w:t>
            </w:r>
            <w:r w:rsidR="007E335A">
              <w:t> </w:t>
            </w:r>
            <w:proofErr w:type="spellStart"/>
            <w:r w:rsidR="00650891">
              <w:t>19A</w:t>
            </w:r>
            <w:r w:rsidRPr="001071DA">
              <w:t>.2</w:t>
            </w:r>
            <w:r>
              <w:t>6</w:t>
            </w:r>
            <w:proofErr w:type="spellEnd"/>
            <w:r>
              <w:t>.</w:t>
            </w:r>
          </w:p>
        </w:tc>
      </w:tr>
      <w:tr w:rsidR="00190CBF" w14:paraId="4FBEE991" w14:textId="77777777" w:rsidTr="004F06C0">
        <w:tc>
          <w:tcPr>
            <w:tcW w:w="8771" w:type="dxa"/>
            <w:tcBorders>
              <w:top w:val="nil"/>
              <w:left w:val="nil"/>
              <w:bottom w:val="single" w:sz="6" w:space="0" w:color="78A22F"/>
              <w:right w:val="nil"/>
            </w:tcBorders>
            <w:shd w:val="clear" w:color="auto" w:fill="auto"/>
          </w:tcPr>
          <w:p w14:paraId="7EC7BD87" w14:textId="77777777" w:rsidR="00190CBF" w:rsidRDefault="00190CBF" w:rsidP="004F06C0">
            <w:pPr>
              <w:pStyle w:val="Figurespace"/>
            </w:pPr>
          </w:p>
        </w:tc>
      </w:tr>
      <w:tr w:rsidR="00190CBF" w:rsidRPr="000863A5" w14:paraId="7CC66350" w14:textId="77777777" w:rsidTr="004F06C0">
        <w:tc>
          <w:tcPr>
            <w:tcW w:w="8771" w:type="dxa"/>
            <w:tcBorders>
              <w:top w:val="single" w:sz="6" w:space="0" w:color="78A22F"/>
              <w:left w:val="nil"/>
              <w:bottom w:val="nil"/>
              <w:right w:val="nil"/>
            </w:tcBorders>
          </w:tcPr>
          <w:p w14:paraId="6A132D86" w14:textId="77777777" w:rsidR="00190CBF" w:rsidRPr="00626D32" w:rsidRDefault="00190CBF" w:rsidP="004F06C0">
            <w:pPr>
              <w:pStyle w:val="BoxSpaceBelow"/>
            </w:pPr>
          </w:p>
        </w:tc>
      </w:tr>
    </w:tbl>
    <w:p w14:paraId="61DCFB02" w14:textId="7D9C51B9" w:rsidR="000707E5" w:rsidRDefault="000707E5" w:rsidP="000707E5">
      <w:pPr>
        <w:pStyle w:val="BodyText"/>
      </w:pPr>
      <w:r w:rsidRPr="00B410FF">
        <w:t>Nationally, of Aboriginal and Torres Strait Islander clients who had an identified need for assistance with obtaining or maintaining independent housing</w:t>
      </w:r>
      <w:r w:rsidR="00396CA5">
        <w:t>, 63.3</w:t>
      </w:r>
      <w:r w:rsidRPr="00B410FF">
        <w:t xml:space="preserve"> per cent achieved independent housing in</w:t>
      </w:r>
      <w:r w:rsidR="00396CA5">
        <w:t xml:space="preserve"> 2015</w:t>
      </w:r>
      <w:r w:rsidR="007E335A">
        <w:noBreakHyphen/>
      </w:r>
      <w:r w:rsidR="00396CA5">
        <w:t>16</w:t>
      </w:r>
      <w:r w:rsidRPr="00B410FF">
        <w:t xml:space="preserve">. </w:t>
      </w:r>
      <w:r w:rsidR="00EB1138">
        <w:t>Compared to all clients, Aboriginal and Torres Strait Islander clients</w:t>
      </w:r>
      <w:r w:rsidR="005501C9">
        <w:t xml:space="preserve"> had</w:t>
      </w:r>
      <w:r w:rsidR="00EB1138">
        <w:t xml:space="preserve"> </w:t>
      </w:r>
      <w:r w:rsidR="00B06BCD">
        <w:t xml:space="preserve">a lower proportion of clients </w:t>
      </w:r>
      <w:r w:rsidR="005501C9">
        <w:t xml:space="preserve">that </w:t>
      </w:r>
      <w:r w:rsidRPr="00B410FF">
        <w:t>move</w:t>
      </w:r>
      <w:r w:rsidR="00B06BCD">
        <w:t>d</w:t>
      </w:r>
      <w:r w:rsidR="00EB1138">
        <w:t xml:space="preserve"> or return</w:t>
      </w:r>
      <w:r w:rsidR="00B06BCD">
        <w:t>ed</w:t>
      </w:r>
      <w:r w:rsidRPr="00B410FF">
        <w:t xml:space="preserve"> to private rental housing (</w:t>
      </w:r>
      <w:r w:rsidR="00396CA5">
        <w:t>27.0 </w:t>
      </w:r>
      <w:r w:rsidRPr="00B410FF">
        <w:t xml:space="preserve">per cent), </w:t>
      </w:r>
      <w:r w:rsidR="00EB1138">
        <w:t xml:space="preserve">but more </w:t>
      </w:r>
      <w:r w:rsidR="00B06BCD">
        <w:t xml:space="preserve">clients </w:t>
      </w:r>
      <w:r w:rsidR="005501C9">
        <w:t xml:space="preserve">that </w:t>
      </w:r>
      <w:r w:rsidR="00B06BCD">
        <w:t xml:space="preserve">moved </w:t>
      </w:r>
      <w:r w:rsidR="005501C9">
        <w:t xml:space="preserve">to </w:t>
      </w:r>
      <w:r w:rsidR="00B06BCD">
        <w:t xml:space="preserve">or returned </w:t>
      </w:r>
      <w:r w:rsidRPr="00B410FF">
        <w:t>to public or community rental housing (</w:t>
      </w:r>
      <w:r w:rsidR="00396CA5">
        <w:t>33.6</w:t>
      </w:r>
      <w:r w:rsidRPr="00B410FF">
        <w:t> per cent) (table</w:t>
      </w:r>
      <w:r w:rsidR="007E335A">
        <w:t> </w:t>
      </w:r>
      <w:proofErr w:type="spellStart"/>
      <w:r w:rsidR="00650891">
        <w:t>19A</w:t>
      </w:r>
      <w:r w:rsidRPr="00B410FF">
        <w:t>.27</w:t>
      </w:r>
      <w:proofErr w:type="spellEnd"/>
      <w:r w:rsidRPr="00B410FF">
        <w:t>).</w:t>
      </w:r>
    </w:p>
    <w:p w14:paraId="75965ACF" w14:textId="5E6C8C01" w:rsidR="00EB1138" w:rsidRDefault="00EB1138" w:rsidP="00EB1138">
      <w:pPr>
        <w:pStyle w:val="Heading5"/>
      </w:pPr>
      <w:r>
        <w:t xml:space="preserve">Clients </w:t>
      </w:r>
      <w:r w:rsidR="00B06BCD">
        <w:t>living in non</w:t>
      </w:r>
      <w:r w:rsidR="00B06BCD">
        <w:noBreakHyphen/>
        <w:t>independent housing prior to presenting</w:t>
      </w:r>
    </w:p>
    <w:p w14:paraId="2426A44C" w14:textId="25E761C8" w:rsidR="000707E5" w:rsidRDefault="00AA7404" w:rsidP="000707E5">
      <w:pPr>
        <w:pStyle w:val="BodyText"/>
        <w:spacing w:after="240"/>
        <w:rPr>
          <w:color w:val="000000" w:themeColor="text1"/>
        </w:rPr>
      </w:pPr>
      <w:r>
        <w:t>Of those clients who were living in non</w:t>
      </w:r>
      <w:r>
        <w:noBreakHyphen/>
        <w:t xml:space="preserve">independent housing </w:t>
      </w:r>
      <w:r w:rsidR="000707E5" w:rsidRPr="00FC3937">
        <w:t>and who needed assistance</w:t>
      </w:r>
      <w:r w:rsidR="000707E5" w:rsidRPr="00205B3F">
        <w:rPr>
          <w:color w:val="000000" w:themeColor="text1"/>
        </w:rPr>
        <w:t xml:space="preserve"> to obtain independent housing,</w:t>
      </w:r>
      <w:r w:rsidR="003C6430">
        <w:rPr>
          <w:color w:val="000000" w:themeColor="text1"/>
        </w:rPr>
        <w:t xml:space="preserve"> 37.2</w:t>
      </w:r>
      <w:r w:rsidR="000707E5" w:rsidRPr="00205B3F">
        <w:rPr>
          <w:color w:val="000000" w:themeColor="text1"/>
        </w:rPr>
        <w:t xml:space="preserve"> </w:t>
      </w:r>
      <w:r w:rsidR="000707E5" w:rsidRPr="00570CF4">
        <w:rPr>
          <w:color w:val="000000" w:themeColor="text1"/>
        </w:rPr>
        <w:t>per cent</w:t>
      </w:r>
      <w:r w:rsidR="000707E5" w:rsidRPr="00205B3F">
        <w:rPr>
          <w:color w:val="000000" w:themeColor="text1"/>
        </w:rPr>
        <w:t xml:space="preserve"> achieved independent housing in</w:t>
      </w:r>
      <w:r w:rsidR="003C6430">
        <w:rPr>
          <w:color w:val="000000" w:themeColor="text1"/>
        </w:rPr>
        <w:t xml:space="preserve"> 2015</w:t>
      </w:r>
      <w:r w:rsidR="007E335A">
        <w:rPr>
          <w:color w:val="000000" w:themeColor="text1"/>
        </w:rPr>
        <w:noBreakHyphen/>
      </w:r>
      <w:r w:rsidR="003C6430">
        <w:rPr>
          <w:color w:val="000000" w:themeColor="text1"/>
        </w:rPr>
        <w:t>16</w:t>
      </w:r>
      <w:r w:rsidR="000707E5" w:rsidRPr="00205B3F">
        <w:rPr>
          <w:color w:val="000000" w:themeColor="text1"/>
        </w:rPr>
        <w:t xml:space="preserve">, </w:t>
      </w:r>
      <w:r w:rsidR="003C6430">
        <w:rPr>
          <w:color w:val="000000" w:themeColor="text1"/>
        </w:rPr>
        <w:t xml:space="preserve">an increase from 33.0 </w:t>
      </w:r>
      <w:r w:rsidR="000707E5" w:rsidRPr="00570CF4">
        <w:rPr>
          <w:color w:val="000000" w:themeColor="text1"/>
        </w:rPr>
        <w:t>per cent</w:t>
      </w:r>
      <w:r w:rsidR="000707E5" w:rsidRPr="00205B3F">
        <w:rPr>
          <w:color w:val="000000" w:themeColor="text1"/>
        </w:rPr>
        <w:t xml:space="preserve"> in </w:t>
      </w:r>
      <w:r w:rsidR="003C6430">
        <w:rPr>
          <w:color w:val="000000" w:themeColor="text1"/>
        </w:rPr>
        <w:t>2012</w:t>
      </w:r>
      <w:r w:rsidR="007E335A">
        <w:rPr>
          <w:color w:val="000000" w:themeColor="text1"/>
        </w:rPr>
        <w:noBreakHyphen/>
      </w:r>
      <w:r w:rsidR="003C6430">
        <w:rPr>
          <w:color w:val="000000" w:themeColor="text1"/>
        </w:rPr>
        <w:t>13</w:t>
      </w:r>
      <w:r w:rsidR="000707E5" w:rsidRPr="00205B3F">
        <w:rPr>
          <w:color w:val="000000" w:themeColor="text1"/>
        </w:rPr>
        <w:t xml:space="preserve"> (table</w:t>
      </w:r>
      <w:r w:rsidR="007E335A">
        <w:rPr>
          <w:color w:val="000000" w:themeColor="text1"/>
        </w:rPr>
        <w:t> </w:t>
      </w:r>
      <w:proofErr w:type="spellStart"/>
      <w:r w:rsidR="00650891">
        <w:rPr>
          <w:color w:val="000000" w:themeColor="text1"/>
        </w:rPr>
        <w:t>19A</w:t>
      </w:r>
      <w:r w:rsidR="000707E5" w:rsidRPr="00205B3F">
        <w:rPr>
          <w:color w:val="000000" w:themeColor="text1"/>
        </w:rPr>
        <w:t>.28</w:t>
      </w:r>
      <w:proofErr w:type="spellEnd"/>
      <w:r w:rsidR="000707E5" w:rsidRPr="00205B3F">
        <w:rPr>
          <w:color w:val="000000" w:themeColor="text1"/>
        </w:rPr>
        <w:t>). This included clients who moved to private rental housing (</w:t>
      </w:r>
      <w:r w:rsidR="003C6430">
        <w:rPr>
          <w:color w:val="000000" w:themeColor="text1"/>
        </w:rPr>
        <w:t>19.1</w:t>
      </w:r>
      <w:r w:rsidR="000707E5" w:rsidRPr="00205B3F">
        <w:rPr>
          <w:color w:val="000000" w:themeColor="text1"/>
        </w:rPr>
        <w:t> per cent), and to public</w:t>
      </w:r>
      <w:r w:rsidR="000707E5">
        <w:rPr>
          <w:color w:val="000000" w:themeColor="text1"/>
        </w:rPr>
        <w:t xml:space="preserve"> </w:t>
      </w:r>
      <w:r w:rsidR="000707E5" w:rsidRPr="00205B3F">
        <w:rPr>
          <w:color w:val="000000" w:themeColor="text1"/>
        </w:rPr>
        <w:t>or community rental housing (</w:t>
      </w:r>
      <w:r w:rsidR="003C6430">
        <w:rPr>
          <w:color w:val="000000" w:themeColor="text1"/>
        </w:rPr>
        <w:t>16.3 per </w:t>
      </w:r>
      <w:r w:rsidR="000707E5" w:rsidRPr="00205B3F">
        <w:rPr>
          <w:color w:val="000000" w:themeColor="text1"/>
        </w:rPr>
        <w:t>cent) (figure </w:t>
      </w:r>
      <w:r w:rsidR="00A40722">
        <w:t>1</w:t>
      </w:r>
      <w:r w:rsidR="00B404DE">
        <w:t>9</w:t>
      </w:r>
      <w:r w:rsidR="00A40722">
        <w:t>.1</w:t>
      </w:r>
      <w:r w:rsidR="00270FDD">
        <w:rPr>
          <w:color w:val="000000" w:themeColor="text1"/>
        </w:rPr>
        <w:t>4</w:t>
      </w:r>
      <w:r w:rsidR="000707E5" w:rsidRPr="00205B3F">
        <w:rPr>
          <w:color w:val="000000" w:themeColor="text1"/>
        </w:rPr>
        <w:t>)</w:t>
      </w:r>
      <w:r w:rsidR="00920C3B" w:rsidRPr="00D5753C">
        <w:rPr>
          <w:color w:val="000000" w:themeColor="text1"/>
        </w:rPr>
        <w:t>.</w:t>
      </w:r>
    </w:p>
    <w:p w14:paraId="7979BD11" w14:textId="77777777" w:rsidR="00AA7404" w:rsidRDefault="00AA7404" w:rsidP="00CA16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7404" w14:paraId="7F18650E" w14:textId="77777777" w:rsidTr="00CA1668">
        <w:tc>
          <w:tcPr>
            <w:tcW w:w="8771" w:type="dxa"/>
            <w:tcBorders>
              <w:top w:val="single" w:sz="6" w:space="0" w:color="78A22F"/>
              <w:left w:val="nil"/>
              <w:bottom w:val="nil"/>
              <w:right w:val="nil"/>
            </w:tcBorders>
            <w:shd w:val="clear" w:color="auto" w:fill="auto"/>
          </w:tcPr>
          <w:p w14:paraId="4E571DA0" w14:textId="6F5A5D91" w:rsidR="00AA7404" w:rsidRPr="00176D3F" w:rsidRDefault="00AA7404" w:rsidP="00AC7702">
            <w:pPr>
              <w:pStyle w:val="FigureTitle"/>
            </w:pPr>
            <w:r w:rsidRPr="00784A05">
              <w:rPr>
                <w:b w:val="0"/>
              </w:rPr>
              <w:t xml:space="preserve">Figure </w:t>
            </w:r>
            <w:bookmarkStart w:id="36" w:name="OLE_LINK21"/>
            <w:r w:rsidR="00A40722">
              <w:rPr>
                <w:b w:val="0"/>
              </w:rPr>
              <w:t>19.</w:t>
            </w:r>
            <w:r w:rsidR="00087EB6">
              <w:rPr>
                <w:b w:val="0"/>
                <w:noProof/>
              </w:rPr>
              <w:t>14</w:t>
            </w:r>
            <w:bookmarkEnd w:id="36"/>
            <w:r>
              <w:tab/>
            </w:r>
            <w:r w:rsidR="00920C3B" w:rsidRPr="006620FF">
              <w:t>Independent housing tenure type after support, as a proportion of clients who were living in non</w:t>
            </w:r>
            <w:r w:rsidR="007E335A">
              <w:noBreakHyphen/>
            </w:r>
            <w:r w:rsidR="00920C3B" w:rsidRPr="006620FF">
              <w:t>independent housing before support (closed support periods), 2015</w:t>
            </w:r>
            <w:r w:rsidR="007E335A">
              <w:noBreakHyphen/>
            </w:r>
            <w:r w:rsidR="00920C3B" w:rsidRPr="006620FF">
              <w:t>16</w:t>
            </w:r>
            <w:r w:rsidR="00920C3B" w:rsidRPr="006620FF">
              <w:rPr>
                <w:rStyle w:val="NoteLabel"/>
                <w:b/>
              </w:rPr>
              <w:t>a</w:t>
            </w:r>
          </w:p>
        </w:tc>
      </w:tr>
      <w:tr w:rsidR="00AA7404" w14:paraId="1B6744FC" w14:textId="77777777" w:rsidTr="00CA1668">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AA7404" w14:paraId="51959226" w14:textId="77777777" w:rsidTr="000C1770">
              <w:trPr>
                <w:jc w:val="center"/>
              </w:trPr>
              <w:tc>
                <w:tcPr>
                  <w:tcW w:w="5000" w:type="pct"/>
                  <w:tcBorders>
                    <w:top w:val="nil"/>
                    <w:bottom w:val="nil"/>
                  </w:tcBorders>
                </w:tcPr>
                <w:p w14:paraId="65E9B36F" w14:textId="77777777" w:rsidR="00AA7404" w:rsidRDefault="00AC7702" w:rsidP="00CA1668">
                  <w:pPr>
                    <w:pStyle w:val="Figure"/>
                    <w:spacing w:before="60" w:after="60"/>
                  </w:pPr>
                  <w:r>
                    <w:rPr>
                      <w:noProof/>
                    </w:rPr>
                    <w:drawing>
                      <wp:inline distT="0" distB="0" distL="0" distR="0" wp14:anchorId="40A91672" wp14:editId="3C4FD367">
                        <wp:extent cx="5395595" cy="2700655"/>
                        <wp:effectExtent l="0" t="0" r="0" b="4445"/>
                        <wp:docPr id="15" name="Picture 15" descr="Figure 19.14 Independent housing tenure type after support, as a proportion of clients who were living in non-independent housing before support (closed support period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5595" cy="2700655"/>
                                </a:xfrm>
                                <a:prstGeom prst="rect">
                                  <a:avLst/>
                                </a:prstGeom>
                                <a:noFill/>
                              </pic:spPr>
                            </pic:pic>
                          </a:graphicData>
                        </a:graphic>
                      </wp:inline>
                    </w:drawing>
                  </w:r>
                </w:p>
              </w:tc>
            </w:tr>
          </w:tbl>
          <w:p w14:paraId="72149A10" w14:textId="77777777" w:rsidR="00AA7404" w:rsidRDefault="00AA7404" w:rsidP="00CA1668">
            <w:pPr>
              <w:pStyle w:val="Figure"/>
            </w:pPr>
          </w:p>
        </w:tc>
      </w:tr>
      <w:tr w:rsidR="00AA7404" w:rsidRPr="00176D3F" w14:paraId="7FCFEA10" w14:textId="77777777" w:rsidTr="00CA1668">
        <w:tc>
          <w:tcPr>
            <w:tcW w:w="8771" w:type="dxa"/>
            <w:tcBorders>
              <w:top w:val="nil"/>
              <w:left w:val="nil"/>
              <w:bottom w:val="nil"/>
              <w:right w:val="nil"/>
            </w:tcBorders>
            <w:shd w:val="clear" w:color="auto" w:fill="auto"/>
          </w:tcPr>
          <w:p w14:paraId="63CE440C" w14:textId="77777777" w:rsidR="00A84BE8" w:rsidRDefault="00A84BE8" w:rsidP="000D087B">
            <w:pPr>
              <w:pStyle w:val="Note"/>
              <w:rPr>
                <w:rStyle w:val="NoteLabel"/>
              </w:rPr>
            </w:pPr>
            <w:r w:rsidRPr="00570CF4">
              <w:rPr>
                <w:rStyle w:val="NoteLabel"/>
                <w:b w:val="0"/>
                <w:position w:val="0"/>
              </w:rPr>
              <w:t>Other independent housing includes: ‘Purchasing/purchased own home’ and ‘Other rental’.</w:t>
            </w:r>
          </w:p>
          <w:p w14:paraId="7B156BA7" w14:textId="425309EF" w:rsidR="00AA7404" w:rsidRPr="00176D3F" w:rsidRDefault="00132081" w:rsidP="00611C5B">
            <w:pPr>
              <w:pStyle w:val="Note"/>
            </w:pPr>
            <w:r>
              <w:rPr>
                <w:rStyle w:val="NoteLabel"/>
              </w:rPr>
              <w:t>a</w:t>
            </w:r>
            <w:r>
              <w:t xml:space="preserve"> </w:t>
            </w:r>
            <w:r w:rsidRPr="006D3797">
              <w:t>See box</w:t>
            </w:r>
            <w:r w:rsidR="007E335A">
              <w:t> </w:t>
            </w:r>
            <w:r w:rsidR="00A40722">
              <w:t>1</w:t>
            </w:r>
            <w:r w:rsidR="00180617">
              <w:t>9</w:t>
            </w:r>
            <w:r w:rsidR="00A40722">
              <w:t>.1</w:t>
            </w:r>
            <w:r w:rsidR="00611C5B">
              <w:rPr>
                <w:bCs/>
              </w:rPr>
              <w:t>2</w:t>
            </w:r>
            <w:r w:rsidRPr="006D3797">
              <w:t xml:space="preserve"> and table</w:t>
            </w:r>
            <w:r w:rsidR="007E335A">
              <w:t> </w:t>
            </w:r>
            <w:proofErr w:type="spellStart"/>
            <w:r w:rsidR="00650891">
              <w:t>19A</w:t>
            </w:r>
            <w:r w:rsidRPr="006D3797">
              <w:t>.</w:t>
            </w:r>
            <w:r>
              <w:t>28</w:t>
            </w:r>
            <w:proofErr w:type="spellEnd"/>
            <w:r w:rsidRPr="006D3797">
              <w:t xml:space="preserve"> for detailed definitions, footnotes and caveats</w:t>
            </w:r>
            <w:r>
              <w:t xml:space="preserve">. </w:t>
            </w:r>
          </w:p>
        </w:tc>
      </w:tr>
      <w:tr w:rsidR="00AA7404" w:rsidRPr="00176D3F" w14:paraId="2890B5CA" w14:textId="77777777" w:rsidTr="00CA1668">
        <w:tc>
          <w:tcPr>
            <w:tcW w:w="8771" w:type="dxa"/>
            <w:tcBorders>
              <w:top w:val="nil"/>
              <w:left w:val="nil"/>
              <w:bottom w:val="nil"/>
              <w:right w:val="nil"/>
            </w:tcBorders>
            <w:shd w:val="clear" w:color="auto" w:fill="auto"/>
          </w:tcPr>
          <w:p w14:paraId="66536684" w14:textId="27C3D9E6" w:rsidR="00AA7404" w:rsidRPr="00176D3F" w:rsidRDefault="000D087B" w:rsidP="00CA1668">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sidRPr="00F943D8">
              <w:t>;</w:t>
            </w:r>
            <w:r>
              <w:rPr>
                <w:i/>
              </w:rPr>
              <w:t xml:space="preserve"> </w:t>
            </w:r>
            <w:r w:rsidRPr="001071DA">
              <w:t>table</w:t>
            </w:r>
            <w:r w:rsidR="007E335A">
              <w:t> </w:t>
            </w:r>
            <w:proofErr w:type="spellStart"/>
            <w:r w:rsidR="00650891">
              <w:t>19A</w:t>
            </w:r>
            <w:r w:rsidRPr="001071DA">
              <w:t>.2</w:t>
            </w:r>
            <w:r>
              <w:t>8</w:t>
            </w:r>
            <w:proofErr w:type="spellEnd"/>
            <w:r>
              <w:t>.</w:t>
            </w:r>
          </w:p>
        </w:tc>
      </w:tr>
      <w:tr w:rsidR="00AA7404" w14:paraId="16AD8984" w14:textId="77777777" w:rsidTr="00CA1668">
        <w:tc>
          <w:tcPr>
            <w:tcW w:w="8771" w:type="dxa"/>
            <w:tcBorders>
              <w:top w:val="nil"/>
              <w:left w:val="nil"/>
              <w:bottom w:val="single" w:sz="6" w:space="0" w:color="78A22F"/>
              <w:right w:val="nil"/>
            </w:tcBorders>
            <w:shd w:val="clear" w:color="auto" w:fill="auto"/>
          </w:tcPr>
          <w:p w14:paraId="529AC612" w14:textId="77777777" w:rsidR="00AA7404" w:rsidRDefault="00AA7404" w:rsidP="00CA1668">
            <w:pPr>
              <w:pStyle w:val="Figurespace"/>
            </w:pPr>
          </w:p>
        </w:tc>
      </w:tr>
      <w:tr w:rsidR="00AA7404" w:rsidRPr="000863A5" w14:paraId="6E51CDF2" w14:textId="77777777" w:rsidTr="00CA1668">
        <w:tc>
          <w:tcPr>
            <w:tcW w:w="8771" w:type="dxa"/>
            <w:tcBorders>
              <w:top w:val="single" w:sz="6" w:space="0" w:color="78A22F"/>
              <w:left w:val="nil"/>
              <w:bottom w:val="nil"/>
              <w:right w:val="nil"/>
            </w:tcBorders>
          </w:tcPr>
          <w:p w14:paraId="1A8152CA" w14:textId="77777777" w:rsidR="00AA7404" w:rsidRPr="00626D32" w:rsidRDefault="00AA7404" w:rsidP="00CA1668">
            <w:pPr>
              <w:pStyle w:val="BoxSpaceBelow"/>
            </w:pPr>
          </w:p>
        </w:tc>
      </w:tr>
    </w:tbl>
    <w:p w14:paraId="5356B074" w14:textId="77777777" w:rsidR="000D087B" w:rsidRDefault="000D087B" w:rsidP="000D087B">
      <w:pPr>
        <w:pStyle w:val="Heading5"/>
        <w:rPr>
          <w:color w:val="000000" w:themeColor="text1"/>
        </w:rPr>
      </w:pPr>
      <w:r>
        <w:rPr>
          <w:bCs/>
        </w:rPr>
        <w:t>C</w:t>
      </w:r>
      <w:r w:rsidRPr="004A2EAE">
        <w:rPr>
          <w:bCs/>
        </w:rPr>
        <w:t xml:space="preserve">lients </w:t>
      </w:r>
      <w:r>
        <w:t xml:space="preserve">who achieved independent housing and who did not present again </w:t>
      </w:r>
    </w:p>
    <w:p w14:paraId="3FBC2F94" w14:textId="3ADF88FE" w:rsidR="00C92AAC" w:rsidRDefault="000707E5" w:rsidP="000707E5">
      <w:pPr>
        <w:pStyle w:val="BodyText"/>
        <w:spacing w:after="240"/>
        <w:rPr>
          <w:color w:val="000000" w:themeColor="text1"/>
        </w:rPr>
      </w:pPr>
      <w:r w:rsidRPr="008159AF">
        <w:rPr>
          <w:color w:val="000000" w:themeColor="text1"/>
        </w:rPr>
        <w:t>Nationally</w:t>
      </w:r>
      <w:r w:rsidR="00753D35">
        <w:rPr>
          <w:color w:val="000000" w:themeColor="text1"/>
        </w:rPr>
        <w:t xml:space="preserve"> in</w:t>
      </w:r>
      <w:r w:rsidR="00524A4D">
        <w:rPr>
          <w:color w:val="000000" w:themeColor="text1"/>
        </w:rPr>
        <w:t xml:space="preserve"> 2015</w:t>
      </w:r>
      <w:r w:rsidR="007E335A">
        <w:rPr>
          <w:color w:val="000000" w:themeColor="text1"/>
        </w:rPr>
        <w:noBreakHyphen/>
      </w:r>
      <w:r w:rsidR="00524A4D">
        <w:rPr>
          <w:color w:val="000000" w:themeColor="text1"/>
        </w:rPr>
        <w:t>16,</w:t>
      </w:r>
      <w:r w:rsidRPr="008159AF">
        <w:rPr>
          <w:color w:val="000000" w:themeColor="text1"/>
        </w:rPr>
        <w:t xml:space="preserve"> </w:t>
      </w:r>
      <w:r w:rsidR="00524A4D">
        <w:rPr>
          <w:color w:val="000000" w:themeColor="text1"/>
        </w:rPr>
        <w:t>88.6</w:t>
      </w:r>
      <w:r w:rsidR="00753D35">
        <w:rPr>
          <w:color w:val="000000" w:themeColor="text1"/>
        </w:rPr>
        <w:t xml:space="preserve"> per cent of </w:t>
      </w:r>
      <w:r w:rsidR="00753D35" w:rsidRPr="008159AF">
        <w:rPr>
          <w:color w:val="000000" w:themeColor="text1"/>
        </w:rPr>
        <w:t xml:space="preserve">clients </w:t>
      </w:r>
      <w:r w:rsidR="008E5E40" w:rsidRPr="008E5E40">
        <w:rPr>
          <w:color w:val="000000" w:themeColor="text1"/>
        </w:rPr>
        <w:t>with an identified need for assistance to obtain or maintain independent housing — including a need to obtain long term housing, sustain tenancy or prevent tenancy failure or eviction, or, prevent foreclosures or for mortgage arrears — who achieved independent housing at the end of support did not present again during the reference year with an identified need for any of these services.</w:t>
      </w:r>
      <w:r w:rsidR="008E5E40">
        <w:rPr>
          <w:color w:val="000000" w:themeColor="text1"/>
        </w:rPr>
        <w:t xml:space="preserve"> </w:t>
      </w:r>
      <w:r w:rsidR="007E52D3" w:rsidRPr="007E52D3">
        <w:rPr>
          <w:color w:val="000000" w:themeColor="text1"/>
        </w:rPr>
        <w:t>This proportion was 90.8 per cent in 2011</w:t>
      </w:r>
      <w:r w:rsidR="007E335A">
        <w:rPr>
          <w:color w:val="000000" w:themeColor="text1"/>
        </w:rPr>
        <w:noBreakHyphen/>
      </w:r>
      <w:r w:rsidR="007E52D3" w:rsidRPr="007E52D3">
        <w:rPr>
          <w:color w:val="000000" w:themeColor="text1"/>
        </w:rPr>
        <w:t xml:space="preserve">12 </w:t>
      </w:r>
      <w:r w:rsidR="001A2956">
        <w:rPr>
          <w:color w:val="000000" w:themeColor="text1"/>
        </w:rPr>
        <w:t>(figure</w:t>
      </w:r>
      <w:r w:rsidR="007E335A">
        <w:rPr>
          <w:color w:val="000000" w:themeColor="text1"/>
        </w:rPr>
        <w:t> </w:t>
      </w:r>
      <w:r w:rsidR="001A2956">
        <w:t>19.1</w:t>
      </w:r>
      <w:r w:rsidR="00270FDD">
        <w:rPr>
          <w:color w:val="000000" w:themeColor="text1"/>
        </w:rPr>
        <w:t>5</w:t>
      </w:r>
      <w:r w:rsidR="001A2956">
        <w:rPr>
          <w:color w:val="000000" w:themeColor="text1"/>
        </w:rPr>
        <w:t>).</w:t>
      </w:r>
    </w:p>
    <w:p w14:paraId="317A07A6" w14:textId="15035F5C" w:rsidR="000707E5" w:rsidRPr="00DB4690" w:rsidRDefault="00753D35" w:rsidP="00DB4690">
      <w:pPr>
        <w:pStyle w:val="BodyText"/>
      </w:pPr>
      <w:r w:rsidRPr="00570CF4">
        <w:rPr>
          <w:color w:val="000000" w:themeColor="text1"/>
        </w:rPr>
        <w:t xml:space="preserve">This </w:t>
      </w:r>
      <w:r w:rsidR="002F285D" w:rsidRPr="00570CF4">
        <w:rPr>
          <w:color w:val="000000" w:themeColor="text1"/>
        </w:rPr>
        <w:t xml:space="preserve">proportion </w:t>
      </w:r>
      <w:r w:rsidRPr="00570CF4">
        <w:rPr>
          <w:color w:val="000000" w:themeColor="text1"/>
        </w:rPr>
        <w:t>mainly comprised clients in private rental (</w:t>
      </w:r>
      <w:r w:rsidR="00524A4D">
        <w:rPr>
          <w:color w:val="000000" w:themeColor="text1"/>
        </w:rPr>
        <w:t>61.0</w:t>
      </w:r>
      <w:r w:rsidRPr="00570CF4">
        <w:rPr>
          <w:color w:val="000000" w:themeColor="text1"/>
        </w:rPr>
        <w:t> per cent) or public housing rental (</w:t>
      </w:r>
      <w:r w:rsidR="00524A4D">
        <w:rPr>
          <w:color w:val="000000" w:themeColor="text1"/>
        </w:rPr>
        <w:t>24.6</w:t>
      </w:r>
      <w:r w:rsidRPr="00570CF4">
        <w:rPr>
          <w:color w:val="000000" w:themeColor="text1"/>
        </w:rPr>
        <w:t xml:space="preserve"> per cent) after support, although the proportions vary across jurisdictions </w:t>
      </w:r>
      <w:r w:rsidR="000707E5">
        <w:rPr>
          <w:color w:val="000000" w:themeColor="text1"/>
        </w:rPr>
        <w:t>(</w:t>
      </w:r>
      <w:r w:rsidR="008E5E40">
        <w:rPr>
          <w:color w:val="000000" w:themeColor="text1"/>
        </w:rPr>
        <w:t>table </w:t>
      </w:r>
      <w:proofErr w:type="spellStart"/>
      <w:r w:rsidR="001A2956">
        <w:rPr>
          <w:color w:val="000000" w:themeColor="text1"/>
        </w:rPr>
        <w:t>19A.29</w:t>
      </w:r>
      <w:proofErr w:type="spellEnd"/>
      <w:r w:rsidR="001A2956">
        <w:rPr>
          <w:color w:val="000000" w:themeColor="text1"/>
        </w:rPr>
        <w:t>)</w:t>
      </w:r>
      <w:r w:rsidR="000707E5">
        <w:rPr>
          <w:color w:val="000000" w:themeColor="text1"/>
        </w:rPr>
        <w:t>.</w:t>
      </w:r>
    </w:p>
    <w:p w14:paraId="31843EB3" w14:textId="0543F30F" w:rsidR="001A2956" w:rsidRPr="001A2956" w:rsidRDefault="001A2956" w:rsidP="001A2956">
      <w:pPr>
        <w:pStyle w:val="BodyText"/>
      </w:pPr>
      <w:r>
        <w:t>Data for Aboriginal and Torres Strait Islander clients are presented in table </w:t>
      </w:r>
      <w:proofErr w:type="spellStart"/>
      <w:r>
        <w:t>19A.30</w:t>
      </w:r>
      <w:proofErr w:type="spellEnd"/>
      <w:r>
        <w:t>.</w:t>
      </w:r>
    </w:p>
    <w:p w14:paraId="3966393C" w14:textId="77777777" w:rsidR="00B642B8" w:rsidRDefault="00B642B8" w:rsidP="003C516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642B8" w14:paraId="41A38BE3" w14:textId="77777777" w:rsidTr="00EA2F1C">
        <w:trPr>
          <w:tblHeader/>
        </w:trPr>
        <w:tc>
          <w:tcPr>
            <w:tcW w:w="8771" w:type="dxa"/>
            <w:tcBorders>
              <w:top w:val="single" w:sz="6" w:space="0" w:color="78A22F"/>
              <w:left w:val="nil"/>
              <w:bottom w:val="nil"/>
              <w:right w:val="nil"/>
            </w:tcBorders>
            <w:shd w:val="clear" w:color="auto" w:fill="auto"/>
          </w:tcPr>
          <w:p w14:paraId="21AE9554" w14:textId="129AA32E" w:rsidR="00B642B8" w:rsidRPr="00176D3F" w:rsidRDefault="00B642B8" w:rsidP="00DB1B4E">
            <w:pPr>
              <w:pStyle w:val="FigureTitle"/>
            </w:pPr>
            <w:r w:rsidRPr="00784A05">
              <w:rPr>
                <w:b w:val="0"/>
              </w:rPr>
              <w:t xml:space="preserve">Figure </w:t>
            </w:r>
            <w:r>
              <w:rPr>
                <w:b w:val="0"/>
              </w:rPr>
              <w:t>19.</w:t>
            </w:r>
            <w:r w:rsidR="00087EB6">
              <w:rPr>
                <w:b w:val="0"/>
                <w:noProof/>
              </w:rPr>
              <w:t>15</w:t>
            </w:r>
            <w:r w:rsidRPr="006620FF">
              <w:tab/>
            </w:r>
            <w:r w:rsidR="00920C3B" w:rsidRPr="006620FF">
              <w:t>Clients who did not re</w:t>
            </w:r>
            <w:r w:rsidR="007E335A">
              <w:noBreakHyphen/>
            </w:r>
            <w:r w:rsidR="00920C3B" w:rsidRPr="006620FF">
              <w:t>present needing housing/</w:t>
            </w:r>
            <w:r w:rsidR="00DB1B4E" w:rsidRPr="006620FF">
              <w:t xml:space="preserve"> </w:t>
            </w:r>
            <w:r w:rsidR="00920C3B" w:rsidRPr="006620FF">
              <w:t xml:space="preserve">accommodation assistance, as a proportion of clients </w:t>
            </w:r>
            <w:r w:rsidR="00DB1B4E" w:rsidRPr="006620FF">
              <w:t>who needed</w:t>
            </w:r>
            <w:r w:rsidR="00920C3B" w:rsidRPr="006620FF">
              <w:t xml:space="preserve"> assistance to obtain or maintain</w:t>
            </w:r>
            <w:r w:rsidR="00DB1B4E" w:rsidRPr="006620FF">
              <w:t xml:space="preserve"> —</w:t>
            </w:r>
            <w:r w:rsidR="00920C3B" w:rsidRPr="006620FF">
              <w:t xml:space="preserve"> </w:t>
            </w:r>
            <w:r w:rsidR="00DB1B4E" w:rsidRPr="006620FF">
              <w:t xml:space="preserve">and achieved — </w:t>
            </w:r>
            <w:r w:rsidR="00920C3B" w:rsidRPr="006620FF">
              <w:t>independent housing</w:t>
            </w:r>
            <w:r w:rsidRPr="006620FF">
              <w:rPr>
                <w:rStyle w:val="NoteLabel"/>
                <w:b/>
              </w:rPr>
              <w:t>a</w:t>
            </w:r>
          </w:p>
        </w:tc>
      </w:tr>
      <w:tr w:rsidR="00B642B8" w14:paraId="035C2D0F" w14:textId="77777777" w:rsidTr="00EA2F1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642B8" w:rsidRPr="00B1465D" w14:paraId="6962AA4D" w14:textId="77777777" w:rsidTr="00EA2F1C">
              <w:trPr>
                <w:tblHeader/>
                <w:jc w:val="center"/>
              </w:trPr>
              <w:tc>
                <w:tcPr>
                  <w:tcW w:w="5000" w:type="pct"/>
                  <w:tcBorders>
                    <w:top w:val="nil"/>
                    <w:bottom w:val="nil"/>
                  </w:tcBorders>
                </w:tcPr>
                <w:p w14:paraId="3A3A4B2C" w14:textId="77777777" w:rsidR="00B642B8" w:rsidRPr="00B1465D" w:rsidRDefault="00E43695" w:rsidP="00EA2F1C">
                  <w:pPr>
                    <w:pStyle w:val="Figure"/>
                    <w:spacing w:before="60" w:after="60"/>
                    <w:rPr>
                      <w:rFonts w:ascii="Arial" w:hAnsi="Arial" w:cs="Arial"/>
                      <w:sz w:val="18"/>
                      <w:szCs w:val="18"/>
                    </w:rPr>
                  </w:pPr>
                  <w:r>
                    <w:rPr>
                      <w:rFonts w:ascii="Arial" w:hAnsi="Arial" w:cs="Arial"/>
                      <w:noProof/>
                      <w:sz w:val="18"/>
                      <w:szCs w:val="18"/>
                    </w:rPr>
                    <w:drawing>
                      <wp:inline distT="0" distB="0" distL="0" distR="0" wp14:anchorId="69233749" wp14:editId="61A651EB">
                        <wp:extent cx="5401310" cy="2877820"/>
                        <wp:effectExtent l="0" t="0" r="8890" b="0"/>
                        <wp:docPr id="16" name="Picture 16" descr="Figure 19.15 Clients who did not re-present needing housing or accommodation assistance, as a proportion of clients who needed assistance to obtain or maintain (and achieved) independent housing&#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1310" cy="2877820"/>
                                </a:xfrm>
                                <a:prstGeom prst="rect">
                                  <a:avLst/>
                                </a:prstGeom>
                                <a:noFill/>
                              </pic:spPr>
                            </pic:pic>
                          </a:graphicData>
                        </a:graphic>
                      </wp:inline>
                    </w:drawing>
                  </w:r>
                </w:p>
              </w:tc>
            </w:tr>
          </w:tbl>
          <w:p w14:paraId="092C4B94" w14:textId="77777777" w:rsidR="00B642B8" w:rsidRDefault="00B642B8" w:rsidP="00EA2F1C">
            <w:pPr>
              <w:pStyle w:val="Figure"/>
            </w:pPr>
          </w:p>
        </w:tc>
      </w:tr>
      <w:tr w:rsidR="00B642B8" w:rsidRPr="00176D3F" w14:paraId="6A425EDB" w14:textId="77777777" w:rsidTr="00EA2F1C">
        <w:tc>
          <w:tcPr>
            <w:tcW w:w="8771" w:type="dxa"/>
            <w:tcBorders>
              <w:top w:val="nil"/>
              <w:left w:val="nil"/>
              <w:bottom w:val="nil"/>
              <w:right w:val="nil"/>
            </w:tcBorders>
            <w:shd w:val="clear" w:color="auto" w:fill="auto"/>
          </w:tcPr>
          <w:p w14:paraId="02394616" w14:textId="1F32860A" w:rsidR="00B642B8" w:rsidRPr="00176D3F" w:rsidRDefault="00E43695" w:rsidP="00621F58">
            <w:pPr>
              <w:pStyle w:val="Note"/>
            </w:pPr>
            <w:r>
              <w:rPr>
                <w:rStyle w:val="NoteLabel"/>
              </w:rPr>
              <w:t>a</w:t>
            </w:r>
            <w:r>
              <w:t xml:space="preserve"> </w:t>
            </w:r>
            <w:r w:rsidRPr="006D3797">
              <w:t>See box</w:t>
            </w:r>
            <w:r w:rsidR="007E335A">
              <w:t> </w:t>
            </w:r>
            <w:r>
              <w:t>19.1</w:t>
            </w:r>
            <w:r w:rsidR="00611C5B">
              <w:rPr>
                <w:bCs/>
              </w:rPr>
              <w:t>2</w:t>
            </w:r>
            <w:r w:rsidRPr="006D3797">
              <w:t xml:space="preserve"> and table</w:t>
            </w:r>
            <w:r w:rsidR="007E335A">
              <w:t> </w:t>
            </w:r>
            <w:proofErr w:type="spellStart"/>
            <w:r>
              <w:t>19A</w:t>
            </w:r>
            <w:r w:rsidRPr="006D3797">
              <w:t>.</w:t>
            </w:r>
            <w:r>
              <w:t>29</w:t>
            </w:r>
            <w:proofErr w:type="spellEnd"/>
            <w:r w:rsidRPr="006D3797">
              <w:t xml:space="preserve"> for detailed definitions, footnotes and caveats</w:t>
            </w:r>
            <w:r>
              <w:t>.</w:t>
            </w:r>
          </w:p>
        </w:tc>
      </w:tr>
      <w:tr w:rsidR="00E43695" w:rsidRPr="00176D3F" w14:paraId="53B3866A" w14:textId="77777777" w:rsidTr="00EA2F1C">
        <w:tc>
          <w:tcPr>
            <w:tcW w:w="8771" w:type="dxa"/>
            <w:tcBorders>
              <w:top w:val="nil"/>
              <w:left w:val="nil"/>
              <w:bottom w:val="nil"/>
              <w:right w:val="nil"/>
            </w:tcBorders>
            <w:shd w:val="clear" w:color="auto" w:fill="auto"/>
          </w:tcPr>
          <w:p w14:paraId="0F3DDF7D" w14:textId="7FFD8325" w:rsidR="00E43695" w:rsidRPr="00176D3F" w:rsidRDefault="00E43695" w:rsidP="00EA2F1C">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Pr="000C1770">
              <w:t>Specialist Homelessness Services Collection</w:t>
            </w:r>
            <w:r>
              <w:rPr>
                <w:i/>
              </w:rPr>
              <w:t xml:space="preserve">; </w:t>
            </w:r>
            <w:r w:rsidRPr="001071DA">
              <w:t>table</w:t>
            </w:r>
            <w:r w:rsidR="007E335A">
              <w:t> </w:t>
            </w:r>
            <w:proofErr w:type="spellStart"/>
            <w:r>
              <w:t>19A</w:t>
            </w:r>
            <w:r w:rsidRPr="001071DA">
              <w:t>.2</w:t>
            </w:r>
            <w:r>
              <w:t>9</w:t>
            </w:r>
            <w:proofErr w:type="spellEnd"/>
            <w:r>
              <w:t>.</w:t>
            </w:r>
          </w:p>
        </w:tc>
      </w:tr>
      <w:tr w:rsidR="00E43695" w14:paraId="7787E525" w14:textId="77777777" w:rsidTr="00EA2F1C">
        <w:tc>
          <w:tcPr>
            <w:tcW w:w="8771" w:type="dxa"/>
            <w:tcBorders>
              <w:top w:val="nil"/>
              <w:left w:val="nil"/>
              <w:bottom w:val="single" w:sz="6" w:space="0" w:color="78A22F"/>
              <w:right w:val="nil"/>
            </w:tcBorders>
            <w:shd w:val="clear" w:color="auto" w:fill="auto"/>
          </w:tcPr>
          <w:p w14:paraId="29387FB4" w14:textId="77777777" w:rsidR="00E43695" w:rsidRDefault="00E43695" w:rsidP="00EA2F1C">
            <w:pPr>
              <w:pStyle w:val="Figurespace"/>
            </w:pPr>
          </w:p>
        </w:tc>
      </w:tr>
      <w:tr w:rsidR="00E43695" w:rsidRPr="000863A5" w14:paraId="36AD2147" w14:textId="77777777" w:rsidTr="00EA2F1C">
        <w:tc>
          <w:tcPr>
            <w:tcW w:w="8771" w:type="dxa"/>
            <w:tcBorders>
              <w:top w:val="single" w:sz="6" w:space="0" w:color="78A22F"/>
              <w:left w:val="nil"/>
              <w:bottom w:val="nil"/>
              <w:right w:val="nil"/>
            </w:tcBorders>
          </w:tcPr>
          <w:p w14:paraId="336EA498" w14:textId="597A8DB2" w:rsidR="00E43695" w:rsidRPr="00626D32" w:rsidRDefault="00E43695" w:rsidP="00EA2F1C">
            <w:pPr>
              <w:pStyle w:val="BoxSpaceBelow"/>
            </w:pPr>
          </w:p>
        </w:tc>
      </w:tr>
    </w:tbl>
    <w:p w14:paraId="4C931584" w14:textId="77777777" w:rsidR="000707E5" w:rsidRPr="00856B79" w:rsidRDefault="000707E5" w:rsidP="000707E5">
      <w:pPr>
        <w:pStyle w:val="Heading4"/>
      </w:pPr>
      <w:r w:rsidRPr="00856B79">
        <w:t>Proportion of people experiencing repeat periods of homelessness</w:t>
      </w:r>
    </w:p>
    <w:p w14:paraId="41AD475D" w14:textId="3470BD96" w:rsidR="000707E5" w:rsidRDefault="000707E5" w:rsidP="000707E5">
      <w:pPr>
        <w:pStyle w:val="BodyText"/>
        <w:spacing w:after="240"/>
        <w:rPr>
          <w:bCs/>
        </w:rPr>
      </w:pPr>
      <w:r w:rsidRPr="00131139">
        <w:rPr>
          <w:bCs/>
        </w:rPr>
        <w:t xml:space="preserve">‘Proportion of people experiencing repeat periods of homelessness’ is an </w:t>
      </w:r>
      <w:r w:rsidRPr="00B12608">
        <w:rPr>
          <w:bCs/>
        </w:rPr>
        <w:t xml:space="preserve">indicator of governments’ objective to </w:t>
      </w:r>
      <w:r w:rsidR="00061428" w:rsidRPr="00B12608">
        <w:rPr>
          <w:bCs/>
        </w:rPr>
        <w:t>re</w:t>
      </w:r>
      <w:r w:rsidR="007E335A">
        <w:rPr>
          <w:bCs/>
        </w:rPr>
        <w:noBreakHyphen/>
      </w:r>
      <w:r w:rsidR="00061428" w:rsidRPr="00B12608">
        <w:rPr>
          <w:bCs/>
        </w:rPr>
        <w:t>establish the capacity of clients to live independently and achieve sustainable housing</w:t>
      </w:r>
      <w:r w:rsidR="007E335A">
        <w:rPr>
          <w:bCs/>
        </w:rPr>
        <w:t>’</w:t>
      </w:r>
      <w:r>
        <w:rPr>
          <w:bCs/>
        </w:rPr>
        <w:t xml:space="preserve"> (box</w:t>
      </w:r>
      <w:r w:rsidR="007E335A">
        <w:rPr>
          <w:bCs/>
        </w:rPr>
        <w:t> </w:t>
      </w:r>
      <w:r w:rsidR="00A40722">
        <w:t>1</w:t>
      </w:r>
      <w:r w:rsidR="00B404DE">
        <w:t>9</w:t>
      </w:r>
      <w:r w:rsidR="00A40722">
        <w:t>.1</w:t>
      </w:r>
      <w:r w:rsidR="002B36BA">
        <w:rPr>
          <w:bCs/>
        </w:rPr>
        <w:t>3</w:t>
      </w:r>
      <w:r>
        <w:rPr>
          <w:bCs/>
        </w:rPr>
        <w:t>).</w:t>
      </w:r>
    </w:p>
    <w:p w14:paraId="2F978F88" w14:textId="77777777" w:rsidR="00C2344B" w:rsidRDefault="00C2344B" w:rsidP="00C234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344B" w14:paraId="553E3DEF" w14:textId="77777777" w:rsidTr="001F7787">
        <w:tc>
          <w:tcPr>
            <w:tcW w:w="8771" w:type="dxa"/>
            <w:tcBorders>
              <w:top w:val="single" w:sz="6" w:space="0" w:color="78A22F"/>
              <w:left w:val="nil"/>
              <w:bottom w:val="nil"/>
              <w:right w:val="nil"/>
            </w:tcBorders>
            <w:shd w:val="clear" w:color="auto" w:fill="F2F2F2"/>
          </w:tcPr>
          <w:p w14:paraId="646A1897" w14:textId="39EF90E2" w:rsidR="00C2344B" w:rsidRDefault="00C2344B" w:rsidP="001F7787">
            <w:pPr>
              <w:pStyle w:val="BoxTitle"/>
            </w:pPr>
            <w:r>
              <w:rPr>
                <w:b w:val="0"/>
              </w:rPr>
              <w:t xml:space="preserve">Box </w:t>
            </w:r>
            <w:bookmarkStart w:id="37" w:name="OLE_LINK22"/>
            <w:r w:rsidR="00A40722">
              <w:rPr>
                <w:b w:val="0"/>
              </w:rPr>
              <w:t>19.</w:t>
            </w:r>
            <w:r w:rsidR="00087EB6">
              <w:rPr>
                <w:b w:val="0"/>
                <w:noProof/>
              </w:rPr>
              <w:t>13</w:t>
            </w:r>
            <w:bookmarkEnd w:id="37"/>
            <w:r>
              <w:tab/>
              <w:t xml:space="preserve">Clients </w:t>
            </w:r>
            <w:r w:rsidRPr="006C5088">
              <w:t>experiencing repeat periods of homelessness</w:t>
            </w:r>
          </w:p>
        </w:tc>
      </w:tr>
      <w:tr w:rsidR="00C2344B" w14:paraId="42276E5B" w14:textId="77777777" w:rsidTr="001F7787">
        <w:trPr>
          <w:cantSplit/>
        </w:trPr>
        <w:tc>
          <w:tcPr>
            <w:tcW w:w="8771" w:type="dxa"/>
            <w:tcBorders>
              <w:top w:val="nil"/>
              <w:left w:val="nil"/>
              <w:bottom w:val="nil"/>
              <w:right w:val="nil"/>
            </w:tcBorders>
            <w:shd w:val="clear" w:color="auto" w:fill="F2F2F2"/>
          </w:tcPr>
          <w:p w14:paraId="4FDAD4F0" w14:textId="77777777" w:rsidR="00C2344B" w:rsidRDefault="00C2344B" w:rsidP="00C2344B">
            <w:pPr>
              <w:pStyle w:val="Box"/>
              <w:rPr>
                <w:bCs/>
                <w:color w:val="000000" w:themeColor="text1"/>
              </w:rPr>
            </w:pPr>
            <w:r>
              <w:rPr>
                <w:bCs/>
                <w:color w:val="000000" w:themeColor="text1"/>
              </w:rPr>
              <w:t xml:space="preserve">‘Clients experiencing repeat periods of homelessness’ is defined as the </w:t>
            </w:r>
            <w:r w:rsidRPr="002608E2">
              <w:rPr>
                <w:bCs/>
                <w:color w:val="000000" w:themeColor="text1"/>
              </w:rPr>
              <w:t>number of</w:t>
            </w:r>
            <w:r w:rsidR="00B3426C">
              <w:rPr>
                <w:bCs/>
                <w:color w:val="000000" w:themeColor="text1"/>
              </w:rPr>
              <w:t xml:space="preserve"> </w:t>
            </w:r>
            <w:r w:rsidR="00B3426C">
              <w:t xml:space="preserve">specialist homelessness service </w:t>
            </w:r>
            <w:r w:rsidRPr="002608E2">
              <w:rPr>
                <w:bCs/>
                <w:color w:val="000000" w:themeColor="text1"/>
              </w:rPr>
              <w:t>clients who change status from ‘homeless’ to ‘not homeless’ and back to ‘homeless</w:t>
            </w:r>
            <w:r>
              <w:rPr>
                <w:bCs/>
                <w:color w:val="000000" w:themeColor="text1"/>
              </w:rPr>
              <w:t>’ in the reporting period, divided by the number o</w:t>
            </w:r>
            <w:r w:rsidRPr="002608E2">
              <w:rPr>
                <w:bCs/>
                <w:color w:val="000000" w:themeColor="text1"/>
              </w:rPr>
              <w:t xml:space="preserve">f clients who experienced homelessness </w:t>
            </w:r>
            <w:r w:rsidR="009C3D34">
              <w:rPr>
                <w:bCs/>
                <w:color w:val="000000" w:themeColor="text1"/>
              </w:rPr>
              <w:t xml:space="preserve">at any time </w:t>
            </w:r>
            <w:r>
              <w:rPr>
                <w:bCs/>
                <w:color w:val="000000" w:themeColor="text1"/>
              </w:rPr>
              <w:t xml:space="preserve">in the </w:t>
            </w:r>
            <w:r w:rsidRPr="002608E2">
              <w:rPr>
                <w:bCs/>
                <w:color w:val="000000" w:themeColor="text1"/>
              </w:rPr>
              <w:t>reporting period.</w:t>
            </w:r>
          </w:p>
          <w:p w14:paraId="1927D03C" w14:textId="77777777" w:rsidR="00C2344B" w:rsidRDefault="00C2344B" w:rsidP="00C2344B">
            <w:pPr>
              <w:pStyle w:val="Box"/>
            </w:pPr>
            <w:r w:rsidRPr="002608E2">
              <w:t xml:space="preserve">This is a proxy measure as it only captures homelessness people who </w:t>
            </w:r>
            <w:r w:rsidR="002131AC">
              <w:t xml:space="preserve">are clients of </w:t>
            </w:r>
            <w:r w:rsidRPr="002608E2">
              <w:t>specialist homelessness services rather than all those in the population who experience homelessness.</w:t>
            </w:r>
          </w:p>
          <w:p w14:paraId="276C477E" w14:textId="77777777" w:rsidR="00C2344B" w:rsidRPr="001B1609" w:rsidRDefault="00C2344B" w:rsidP="00C2344B">
            <w:pPr>
              <w:pStyle w:val="Box"/>
            </w:pPr>
            <w:r w:rsidRPr="001B1609">
              <w:t>A client is defined as being homeless in each month where at least one of the following describes their housing situation:</w:t>
            </w:r>
          </w:p>
          <w:p w14:paraId="7FFF815D" w14:textId="77777777" w:rsidR="00C2344B" w:rsidRPr="001B1609" w:rsidRDefault="00C2344B" w:rsidP="00C2344B">
            <w:pPr>
              <w:pStyle w:val="BoxListBullet"/>
            </w:pPr>
            <w:r>
              <w:rPr>
                <w:i/>
              </w:rPr>
              <w:t>d</w:t>
            </w:r>
            <w:r w:rsidRPr="001B1609">
              <w:rPr>
                <w:i/>
              </w:rPr>
              <w:t>welling type</w:t>
            </w:r>
            <w:r w:rsidRPr="001B1609">
              <w:t xml:space="preserve"> is caravan, tent, cabin, boat, improvised building/dwelling, no dwelling/street/park/in the open, motor vehicle, boarding/rooming house, emergency accommodation, hotel/motel/bed and breakfast</w:t>
            </w:r>
          </w:p>
          <w:p w14:paraId="0812CFC3" w14:textId="77777777" w:rsidR="00C2344B" w:rsidRPr="001B1609" w:rsidRDefault="00C2344B" w:rsidP="00C2344B">
            <w:pPr>
              <w:pStyle w:val="BoxListBullet"/>
            </w:pPr>
            <w:r>
              <w:rPr>
                <w:i/>
              </w:rPr>
              <w:t>t</w:t>
            </w:r>
            <w:r w:rsidRPr="001B1609">
              <w:rPr>
                <w:i/>
              </w:rPr>
              <w:t>enure type</w:t>
            </w:r>
            <w:r w:rsidRPr="001B1609">
              <w:t xml:space="preserve"> is renting or living rent free in any of transitional housing, caravan park, boarding/rooming house, or emergency accommodation/night shelter/women</w:t>
            </w:r>
            <w:r w:rsidR="007D1EA0">
              <w:t>’</w:t>
            </w:r>
            <w:r w:rsidRPr="001B1609">
              <w:t>s refuge/youth shelter;</w:t>
            </w:r>
            <w:r>
              <w:t xml:space="preserve"> OR if the client has no tenure</w:t>
            </w:r>
          </w:p>
          <w:p w14:paraId="54B932CC" w14:textId="77777777" w:rsidR="00C2344B" w:rsidRPr="001B1609" w:rsidRDefault="00C2344B" w:rsidP="00C2344B">
            <w:pPr>
              <w:pStyle w:val="BoxListBullet"/>
            </w:pPr>
            <w:r>
              <w:rPr>
                <w:i/>
              </w:rPr>
              <w:t>c</w:t>
            </w:r>
            <w:r w:rsidRPr="001B1609">
              <w:rPr>
                <w:i/>
              </w:rPr>
              <w:t>onditions of occupancy</w:t>
            </w:r>
            <w:r w:rsidRPr="001B1609">
              <w:t xml:space="preserve"> is </w:t>
            </w:r>
            <w:r>
              <w:t>c</w:t>
            </w:r>
            <w:r w:rsidRPr="001B1609">
              <w:t>ouch surfer</w:t>
            </w:r>
            <w:r>
              <w:t>.</w:t>
            </w:r>
          </w:p>
          <w:p w14:paraId="5FDE9679" w14:textId="77777777" w:rsidR="00C2344B" w:rsidRDefault="00C2344B" w:rsidP="00C2344B">
            <w:pPr>
              <w:pStyle w:val="Box"/>
            </w:pPr>
            <w:r w:rsidRPr="001B1609">
              <w:t>Regardless of tenure or conditions of occupancy, a client is not considered to be homeless if the dwelling type is reported as ‘Institution’ in one of these categories: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List of institution categories for which a client is not considered homeless"/>
            </w:tblPr>
            <w:tblGrid>
              <w:gridCol w:w="3713"/>
              <w:gridCol w:w="4776"/>
            </w:tblGrid>
            <w:tr w:rsidR="00C2344B" w14:paraId="46F3E38C" w14:textId="77777777" w:rsidTr="001F7787">
              <w:tc>
                <w:tcPr>
                  <w:tcW w:w="3713" w:type="dxa"/>
                </w:tcPr>
                <w:p w14:paraId="793F7C0A" w14:textId="77777777" w:rsidR="00C2344B" w:rsidRDefault="00C2344B" w:rsidP="001F7787">
                  <w:pPr>
                    <w:pStyle w:val="BoxListBullet"/>
                  </w:pPr>
                  <w:r>
                    <w:t>hospital (excluding psychiatric)</w:t>
                  </w:r>
                </w:p>
                <w:p w14:paraId="138694E8" w14:textId="77777777" w:rsidR="00C2344B" w:rsidRDefault="00C2344B" w:rsidP="001F7787">
                  <w:pPr>
                    <w:pStyle w:val="BoxListBullet"/>
                  </w:pPr>
                  <w:r>
                    <w:t>psychiatric hospital/unit</w:t>
                  </w:r>
                </w:p>
                <w:p w14:paraId="2D0B32C4" w14:textId="77777777" w:rsidR="00C2344B" w:rsidRPr="001B1609" w:rsidRDefault="00C2344B" w:rsidP="001F7787">
                  <w:pPr>
                    <w:pStyle w:val="BoxListBullet"/>
                  </w:pPr>
                  <w:r>
                    <w:t>d</w:t>
                  </w:r>
                  <w:r w:rsidRPr="001B1609">
                    <w:t>isability support</w:t>
                  </w:r>
                </w:p>
                <w:p w14:paraId="21A762AB" w14:textId="77777777" w:rsidR="00C2344B" w:rsidRDefault="00C2344B" w:rsidP="001F7787">
                  <w:pPr>
                    <w:pStyle w:val="BoxListBullet"/>
                  </w:pPr>
                  <w:r>
                    <w:t>r</w:t>
                  </w:r>
                  <w:r w:rsidRPr="001B1609">
                    <w:t>ehabilitation</w:t>
                  </w:r>
                </w:p>
                <w:p w14:paraId="2D810F51" w14:textId="77777777" w:rsidR="00C2344B" w:rsidRDefault="00C2344B" w:rsidP="001F7787">
                  <w:pPr>
                    <w:pStyle w:val="BoxListBullet"/>
                  </w:pPr>
                  <w:r>
                    <w:t>adult correctional facility</w:t>
                  </w:r>
                </w:p>
              </w:tc>
              <w:tc>
                <w:tcPr>
                  <w:tcW w:w="4776" w:type="dxa"/>
                </w:tcPr>
                <w:p w14:paraId="4B355E0F" w14:textId="77777777" w:rsidR="00C2344B" w:rsidRPr="001B1609" w:rsidRDefault="00C2344B" w:rsidP="001F7787">
                  <w:pPr>
                    <w:pStyle w:val="BoxListBullet"/>
                  </w:pPr>
                  <w:r>
                    <w:t>y</w:t>
                  </w:r>
                  <w:r w:rsidRPr="001B1609">
                    <w:t>outh/juvenile justice correctional centre</w:t>
                  </w:r>
                </w:p>
                <w:p w14:paraId="596631CD" w14:textId="77777777" w:rsidR="00C2344B" w:rsidRPr="001B1609" w:rsidRDefault="00C2344B" w:rsidP="001F7787">
                  <w:pPr>
                    <w:pStyle w:val="BoxListBullet"/>
                  </w:pPr>
                  <w:r>
                    <w:t>b</w:t>
                  </w:r>
                  <w:r w:rsidRPr="001B1609">
                    <w:t>oarding school/residential college</w:t>
                  </w:r>
                </w:p>
                <w:p w14:paraId="409162D5" w14:textId="77777777" w:rsidR="00C2344B" w:rsidRDefault="00C2344B" w:rsidP="001F7787">
                  <w:pPr>
                    <w:pStyle w:val="BoxListBullet"/>
                  </w:pPr>
                  <w:r>
                    <w:t>a</w:t>
                  </w:r>
                  <w:r w:rsidRPr="001B1609">
                    <w:t>ged care facility</w:t>
                  </w:r>
                </w:p>
                <w:p w14:paraId="24896BA8" w14:textId="77777777" w:rsidR="00C2344B" w:rsidRDefault="00C2344B" w:rsidP="001F7787">
                  <w:pPr>
                    <w:pStyle w:val="BoxListBullet"/>
                  </w:pPr>
                  <w:r>
                    <w:t>i</w:t>
                  </w:r>
                  <w:r w:rsidRPr="001B1609">
                    <w:t>mmigration detention centre</w:t>
                  </w:r>
                  <w:r>
                    <w:t>.</w:t>
                  </w:r>
                </w:p>
              </w:tc>
            </w:tr>
          </w:tbl>
          <w:p w14:paraId="156D51B2" w14:textId="77777777" w:rsidR="00C2344B" w:rsidRDefault="00C2344B" w:rsidP="00C2344B">
            <w:pPr>
              <w:pStyle w:val="Box"/>
            </w:pPr>
            <w:r w:rsidRPr="00247A5A">
              <w:t>Holding other factors constant, a low or decreasing proportion of clients who required housing or accommodation support more than once is desirable.</w:t>
            </w:r>
          </w:p>
          <w:p w14:paraId="1DE3D95B" w14:textId="77777777" w:rsidR="00C2344B" w:rsidRDefault="00C2344B" w:rsidP="00C2344B">
            <w:pPr>
              <w:pStyle w:val="Box"/>
            </w:pPr>
            <w:r>
              <w:t>Data reported for this indicator are:</w:t>
            </w:r>
          </w:p>
          <w:p w14:paraId="49163AAB" w14:textId="77777777" w:rsidR="00C2344B" w:rsidRDefault="00C2344B" w:rsidP="00C2344B">
            <w:pPr>
              <w:pStyle w:val="BoxListBullet"/>
            </w:pPr>
            <w:r>
              <w:t>comparable (subject to caveats) across jurisdictions and over time</w:t>
            </w:r>
          </w:p>
          <w:p w14:paraId="74D59E51" w14:textId="4A477D7E" w:rsidR="00C2344B" w:rsidRDefault="00C2344B" w:rsidP="006B25CF">
            <w:pPr>
              <w:pStyle w:val="BoxListBullet"/>
            </w:pPr>
            <w:r>
              <w:t>complete for the current reporting period. All required</w:t>
            </w:r>
            <w:r w:rsidR="006B25CF">
              <w:t xml:space="preserve"> 2015</w:t>
            </w:r>
            <w:r w:rsidR="007E335A">
              <w:noBreakHyphen/>
            </w:r>
            <w:r w:rsidR="006B25CF">
              <w:t>16</w:t>
            </w:r>
            <w:r>
              <w:t xml:space="preserve"> data are available for all jurisdictions.</w:t>
            </w:r>
          </w:p>
        </w:tc>
      </w:tr>
      <w:tr w:rsidR="00C2344B" w14:paraId="7F7EC8F3" w14:textId="77777777" w:rsidTr="001F7787">
        <w:trPr>
          <w:cantSplit/>
        </w:trPr>
        <w:tc>
          <w:tcPr>
            <w:tcW w:w="8771" w:type="dxa"/>
            <w:tcBorders>
              <w:top w:val="nil"/>
              <w:left w:val="nil"/>
              <w:bottom w:val="single" w:sz="6" w:space="0" w:color="78A22F"/>
              <w:right w:val="nil"/>
            </w:tcBorders>
            <w:shd w:val="clear" w:color="auto" w:fill="F2F2F2"/>
          </w:tcPr>
          <w:p w14:paraId="7DC1664E" w14:textId="77777777" w:rsidR="00C2344B" w:rsidRDefault="00C2344B" w:rsidP="001F7787">
            <w:pPr>
              <w:pStyle w:val="Box"/>
              <w:spacing w:before="0" w:line="120" w:lineRule="exact"/>
            </w:pPr>
          </w:p>
        </w:tc>
      </w:tr>
      <w:tr w:rsidR="00C2344B" w:rsidRPr="000863A5" w14:paraId="3E3B47D8" w14:textId="77777777" w:rsidTr="001F7787">
        <w:tc>
          <w:tcPr>
            <w:tcW w:w="8771" w:type="dxa"/>
            <w:tcBorders>
              <w:top w:val="single" w:sz="6" w:space="0" w:color="78A22F"/>
              <w:left w:val="nil"/>
              <w:bottom w:val="nil"/>
              <w:right w:val="nil"/>
            </w:tcBorders>
          </w:tcPr>
          <w:p w14:paraId="3DF013FB" w14:textId="77777777" w:rsidR="00C2344B" w:rsidRPr="00626D32" w:rsidRDefault="00C2344B" w:rsidP="001F7787">
            <w:pPr>
              <w:pStyle w:val="BoxSpaceBelow"/>
            </w:pPr>
          </w:p>
        </w:tc>
      </w:tr>
    </w:tbl>
    <w:p w14:paraId="03400423" w14:textId="16CB73C8" w:rsidR="005857C8" w:rsidRDefault="005857C8" w:rsidP="005857C8">
      <w:pPr>
        <w:pStyle w:val="BodyText"/>
      </w:pPr>
      <w:r>
        <w:t>Nationally, of all clients who experienc</w:t>
      </w:r>
      <w:r w:rsidR="002F631B">
        <w:t>ed homelessness in 2015</w:t>
      </w:r>
      <w:r w:rsidR="007E335A">
        <w:noBreakHyphen/>
      </w:r>
      <w:r w:rsidR="002F631B">
        <w:t>16, 5.6 </w:t>
      </w:r>
      <w:r>
        <w:t>per</w:t>
      </w:r>
      <w:r w:rsidR="002F631B">
        <w:t> </w:t>
      </w:r>
      <w:r>
        <w:t>cent experienced it more than once in the reporting year — following an increase from 4.3 to 5.7 per cent in the period 2012</w:t>
      </w:r>
      <w:r w:rsidR="007E335A">
        <w:noBreakHyphen/>
      </w:r>
      <w:r>
        <w:t>13 to 2014</w:t>
      </w:r>
      <w:r w:rsidR="007E335A">
        <w:noBreakHyphen/>
      </w:r>
      <w:r>
        <w:t>15 (figure</w:t>
      </w:r>
      <w:r w:rsidR="007E335A">
        <w:t> </w:t>
      </w:r>
      <w:r>
        <w:t>19.16). For Aboriginal and Torres Strait Islander clients, the proportion who experienced repeat homelessness in 2015</w:t>
      </w:r>
      <w:r w:rsidR="007E335A">
        <w:noBreakHyphen/>
      </w:r>
      <w:r>
        <w:t>16 was 6.7</w:t>
      </w:r>
      <w:r w:rsidR="002F631B">
        <w:t> </w:t>
      </w:r>
      <w:r>
        <w:t>per</w:t>
      </w:r>
      <w:r w:rsidR="002F631B">
        <w:t> </w:t>
      </w:r>
      <w:r>
        <w:t>cent (figure</w:t>
      </w:r>
      <w:r w:rsidR="007E335A">
        <w:t> </w:t>
      </w:r>
      <w:r>
        <w:t>19.16).</w:t>
      </w:r>
    </w:p>
    <w:p w14:paraId="49EB5DF3" w14:textId="16AB8117" w:rsidR="000707E5" w:rsidRDefault="005857C8" w:rsidP="005857C8">
      <w:pPr>
        <w:pStyle w:val="BodyText"/>
      </w:pPr>
      <w:r>
        <w:t>Nationally in 2015</w:t>
      </w:r>
      <w:r w:rsidR="007E335A">
        <w:noBreakHyphen/>
      </w:r>
      <w:r>
        <w:t>16, capital city clients had lower ra</w:t>
      </w:r>
      <w:r w:rsidR="002F631B">
        <w:t>tes of repeat homelessness (5.4 per </w:t>
      </w:r>
      <w:r>
        <w:t>cent) than those clients living in the rest of state (5.9 per cent) (table</w:t>
      </w:r>
      <w:r w:rsidR="007E335A">
        <w:t> </w:t>
      </w:r>
      <w:proofErr w:type="spellStart"/>
      <w:r>
        <w:t>19A.31</w:t>
      </w:r>
      <w:proofErr w:type="spellEnd"/>
      <w:r>
        <w:t>).</w:t>
      </w:r>
    </w:p>
    <w:p w14:paraId="658005B3" w14:textId="77777777" w:rsidR="00C2344B" w:rsidRDefault="00C2344B" w:rsidP="001F77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344B" w14:paraId="4EA7848D" w14:textId="77777777" w:rsidTr="001F7787">
        <w:tc>
          <w:tcPr>
            <w:tcW w:w="8771" w:type="dxa"/>
            <w:tcBorders>
              <w:top w:val="single" w:sz="6" w:space="0" w:color="78A22F"/>
              <w:left w:val="nil"/>
              <w:bottom w:val="nil"/>
              <w:right w:val="nil"/>
            </w:tcBorders>
            <w:shd w:val="clear" w:color="auto" w:fill="auto"/>
          </w:tcPr>
          <w:p w14:paraId="7B678D60" w14:textId="7385900C" w:rsidR="00C2344B" w:rsidRPr="00176D3F" w:rsidRDefault="00C2344B" w:rsidP="00C2344B">
            <w:pPr>
              <w:pStyle w:val="FigureTitle"/>
            </w:pPr>
            <w:r w:rsidRPr="00784A05">
              <w:rPr>
                <w:b w:val="0"/>
              </w:rPr>
              <w:t xml:space="preserve">Figure </w:t>
            </w:r>
            <w:bookmarkStart w:id="38" w:name="OLE_LINK24"/>
            <w:r w:rsidR="00A40722">
              <w:rPr>
                <w:b w:val="0"/>
              </w:rPr>
              <w:t>19.</w:t>
            </w:r>
            <w:r w:rsidR="00087EB6">
              <w:rPr>
                <w:b w:val="0"/>
                <w:noProof/>
              </w:rPr>
              <w:t>16</w:t>
            </w:r>
            <w:bookmarkEnd w:id="38"/>
            <w:r>
              <w:tab/>
            </w:r>
            <w:r w:rsidRPr="006C5088">
              <w:t>Clients who had more than one period of homelessness, all clients and Aboriginal and Torres Strait Islander clients</w:t>
            </w:r>
            <w:r w:rsidRPr="00A6327B">
              <w:rPr>
                <w:rStyle w:val="NoteLabel"/>
                <w:b/>
              </w:rPr>
              <w:t>a</w:t>
            </w:r>
          </w:p>
        </w:tc>
      </w:tr>
      <w:tr w:rsidR="00C2344B" w14:paraId="27F0EA45" w14:textId="77777777" w:rsidTr="001F7787">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61"/>
            </w:tblGrid>
            <w:tr w:rsidR="00C2344B" w14:paraId="488AF236" w14:textId="77777777" w:rsidTr="00F070E8">
              <w:trPr>
                <w:jc w:val="center"/>
              </w:trPr>
              <w:tc>
                <w:tcPr>
                  <w:tcW w:w="8561" w:type="dxa"/>
                  <w:tcBorders>
                    <w:top w:val="nil"/>
                    <w:bottom w:val="nil"/>
                  </w:tcBorders>
                </w:tcPr>
                <w:p w14:paraId="0B94E5A0" w14:textId="77777777" w:rsidR="00C2344B" w:rsidRDefault="00085EF0" w:rsidP="00C2344B">
                  <w:pPr>
                    <w:pStyle w:val="Figure"/>
                    <w:spacing w:before="60" w:after="60"/>
                  </w:pPr>
                  <w:r>
                    <w:rPr>
                      <w:noProof/>
                    </w:rPr>
                    <w:drawing>
                      <wp:inline distT="0" distB="0" distL="0" distR="0" wp14:anchorId="12914E5A" wp14:editId="1B0EE5A9">
                        <wp:extent cx="5401310" cy="1969135"/>
                        <wp:effectExtent l="0" t="0" r="8890" b="0"/>
                        <wp:docPr id="17" name="Picture 17" descr="Figure 19.16 Clients who had more than one period of homelessness, All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1310" cy="1969135"/>
                                </a:xfrm>
                                <a:prstGeom prst="rect">
                                  <a:avLst/>
                                </a:prstGeom>
                                <a:noFill/>
                              </pic:spPr>
                            </pic:pic>
                          </a:graphicData>
                        </a:graphic>
                      </wp:inline>
                    </w:drawing>
                  </w:r>
                </w:p>
                <w:p w14:paraId="6A39DAC7" w14:textId="77777777" w:rsidR="00C2344B" w:rsidRDefault="00F070E8" w:rsidP="001F7787">
                  <w:pPr>
                    <w:pStyle w:val="Figure"/>
                    <w:spacing w:before="60" w:after="60"/>
                  </w:pPr>
                  <w:r>
                    <w:rPr>
                      <w:noProof/>
                    </w:rPr>
                    <w:drawing>
                      <wp:inline distT="0" distB="0" distL="0" distR="0" wp14:anchorId="65010508" wp14:editId="40CE30A0">
                        <wp:extent cx="5401310" cy="2176145"/>
                        <wp:effectExtent l="0" t="0" r="8890" b="0"/>
                        <wp:docPr id="20" name="Picture 20" descr="Figure 19.16 Clients who had more than one period of homelessness, Aboriginal and Torres Strait Islander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1310" cy="2176145"/>
                                </a:xfrm>
                                <a:prstGeom prst="rect">
                                  <a:avLst/>
                                </a:prstGeom>
                                <a:noFill/>
                              </pic:spPr>
                            </pic:pic>
                          </a:graphicData>
                        </a:graphic>
                      </wp:inline>
                    </w:drawing>
                  </w:r>
                </w:p>
              </w:tc>
            </w:tr>
          </w:tbl>
          <w:p w14:paraId="157AED5E" w14:textId="77777777" w:rsidR="00C2344B" w:rsidRDefault="00C2344B" w:rsidP="001F7787">
            <w:pPr>
              <w:pStyle w:val="Figure"/>
            </w:pPr>
          </w:p>
        </w:tc>
      </w:tr>
      <w:tr w:rsidR="00C2344B" w:rsidRPr="00176D3F" w14:paraId="2EB4CD59" w14:textId="77777777" w:rsidTr="001F7787">
        <w:tc>
          <w:tcPr>
            <w:tcW w:w="8771" w:type="dxa"/>
            <w:tcBorders>
              <w:top w:val="nil"/>
              <w:left w:val="nil"/>
              <w:bottom w:val="nil"/>
              <w:right w:val="nil"/>
            </w:tcBorders>
            <w:shd w:val="clear" w:color="auto" w:fill="auto"/>
          </w:tcPr>
          <w:p w14:paraId="6058189B" w14:textId="18DD719C" w:rsidR="00C2344B" w:rsidRPr="00176D3F" w:rsidRDefault="00C2344B" w:rsidP="002B36BA">
            <w:pPr>
              <w:pStyle w:val="Note"/>
            </w:pPr>
            <w:r>
              <w:rPr>
                <w:rStyle w:val="NoteLabel"/>
              </w:rPr>
              <w:t>a</w:t>
            </w:r>
            <w:r>
              <w:t xml:space="preserve"> </w:t>
            </w:r>
            <w:r w:rsidRPr="006D3797">
              <w:t>See box</w:t>
            </w:r>
            <w:r w:rsidR="007E335A">
              <w:t> </w:t>
            </w:r>
            <w:r w:rsidR="00A40722">
              <w:t>1</w:t>
            </w:r>
            <w:r w:rsidR="00B404DE">
              <w:t>9</w:t>
            </w:r>
            <w:r w:rsidR="00A40722">
              <w:t>.1</w:t>
            </w:r>
            <w:r w:rsidR="002B36BA">
              <w:rPr>
                <w:bCs/>
              </w:rPr>
              <w:t>3</w:t>
            </w:r>
            <w:r w:rsidRPr="006D3797">
              <w:t xml:space="preserve"> and table</w:t>
            </w:r>
            <w:r w:rsidR="007A3D6D">
              <w:t>s</w:t>
            </w:r>
            <w:r w:rsidR="007E335A">
              <w:t> </w:t>
            </w:r>
            <w:proofErr w:type="spellStart"/>
            <w:r w:rsidR="00650891">
              <w:t>19A</w:t>
            </w:r>
            <w:r w:rsidRPr="006D3797">
              <w:t>.</w:t>
            </w:r>
            <w:r w:rsidR="00F950D7">
              <w:t>31</w:t>
            </w:r>
            <w:proofErr w:type="spellEnd"/>
            <w:r w:rsidR="00F950D7">
              <w:t>–</w:t>
            </w:r>
            <w:r>
              <w:t xml:space="preserve">32 </w:t>
            </w:r>
            <w:r w:rsidRPr="006D3797">
              <w:t>or detailed definitions, footnotes and caveats</w:t>
            </w:r>
            <w:r>
              <w:t xml:space="preserve">. </w:t>
            </w:r>
          </w:p>
        </w:tc>
      </w:tr>
      <w:tr w:rsidR="00C2344B" w:rsidRPr="00176D3F" w14:paraId="6F4182F5" w14:textId="77777777" w:rsidTr="001F7787">
        <w:tc>
          <w:tcPr>
            <w:tcW w:w="8771" w:type="dxa"/>
            <w:tcBorders>
              <w:top w:val="nil"/>
              <w:left w:val="nil"/>
              <w:bottom w:val="nil"/>
              <w:right w:val="nil"/>
            </w:tcBorders>
            <w:shd w:val="clear" w:color="auto" w:fill="auto"/>
          </w:tcPr>
          <w:p w14:paraId="69369D68" w14:textId="2697D410" w:rsidR="00C2344B" w:rsidRPr="00176D3F" w:rsidRDefault="00C2344B" w:rsidP="00C2344B">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sidRPr="003F1DD4">
              <w:t>;</w:t>
            </w:r>
            <w:r>
              <w:rPr>
                <w:i/>
              </w:rPr>
              <w:t xml:space="preserve"> </w:t>
            </w:r>
            <w:r w:rsidRPr="001071DA">
              <w:t>table</w:t>
            </w:r>
            <w:r w:rsidR="007A3D6D">
              <w:t>s</w:t>
            </w:r>
            <w:r w:rsidR="007E335A">
              <w:t> </w:t>
            </w:r>
            <w:proofErr w:type="spellStart"/>
            <w:r w:rsidR="00650891">
              <w:t>19A</w:t>
            </w:r>
            <w:r w:rsidRPr="001071DA">
              <w:t>.</w:t>
            </w:r>
            <w:r w:rsidR="00F950D7">
              <w:t>31</w:t>
            </w:r>
            <w:proofErr w:type="spellEnd"/>
            <w:r w:rsidR="00F950D7">
              <w:t>–</w:t>
            </w:r>
            <w:r>
              <w:t>32.</w:t>
            </w:r>
          </w:p>
        </w:tc>
      </w:tr>
      <w:tr w:rsidR="00C2344B" w14:paraId="11DFB9A1" w14:textId="77777777" w:rsidTr="001F7787">
        <w:tc>
          <w:tcPr>
            <w:tcW w:w="8771" w:type="dxa"/>
            <w:tcBorders>
              <w:top w:val="nil"/>
              <w:left w:val="nil"/>
              <w:bottom w:val="single" w:sz="6" w:space="0" w:color="78A22F"/>
              <w:right w:val="nil"/>
            </w:tcBorders>
            <w:shd w:val="clear" w:color="auto" w:fill="auto"/>
          </w:tcPr>
          <w:p w14:paraId="3F49EB96" w14:textId="77777777" w:rsidR="00C2344B" w:rsidRDefault="00C2344B" w:rsidP="001F7787">
            <w:pPr>
              <w:pStyle w:val="Figurespace"/>
            </w:pPr>
          </w:p>
        </w:tc>
      </w:tr>
      <w:tr w:rsidR="00C2344B" w:rsidRPr="000863A5" w14:paraId="2A63DA6E" w14:textId="77777777" w:rsidTr="001F7787">
        <w:tc>
          <w:tcPr>
            <w:tcW w:w="8771" w:type="dxa"/>
            <w:tcBorders>
              <w:top w:val="single" w:sz="6" w:space="0" w:color="78A22F"/>
              <w:left w:val="nil"/>
              <w:bottom w:val="nil"/>
              <w:right w:val="nil"/>
            </w:tcBorders>
          </w:tcPr>
          <w:p w14:paraId="4EE10AB0" w14:textId="77777777" w:rsidR="00C2344B" w:rsidRPr="00626D32" w:rsidRDefault="00C2344B" w:rsidP="001F7787">
            <w:pPr>
              <w:pStyle w:val="BoxSpaceBelow"/>
            </w:pPr>
          </w:p>
        </w:tc>
      </w:tr>
    </w:tbl>
    <w:p w14:paraId="53BF754B" w14:textId="77777777" w:rsidR="000707E5" w:rsidRPr="00856B79" w:rsidRDefault="000707E5" w:rsidP="007B37E2">
      <w:pPr>
        <w:pStyle w:val="Heading4"/>
      </w:pPr>
      <w:r w:rsidRPr="00856B79">
        <w:t xml:space="preserve">Goals </w:t>
      </w:r>
      <w:r w:rsidRPr="007B37E2">
        <w:t>achieved</w:t>
      </w:r>
      <w:r w:rsidRPr="00856B79">
        <w:t xml:space="preserve"> on exit from service</w:t>
      </w:r>
    </w:p>
    <w:p w14:paraId="73039516" w14:textId="5D1C2686" w:rsidR="007B37E2" w:rsidRPr="002F631B" w:rsidRDefault="000707E5" w:rsidP="002F631B">
      <w:pPr>
        <w:pStyle w:val="BodyText"/>
      </w:pPr>
      <w:r w:rsidRPr="004E4C69">
        <w:t xml:space="preserve">‘Goals achieved on exit’ is </w:t>
      </w:r>
      <w:r w:rsidRPr="00B12608">
        <w:t>an indicator of governments’ objective to</w:t>
      </w:r>
      <w:r w:rsidR="00B12608" w:rsidRPr="00B12608">
        <w:t xml:space="preserve"> support clients to</w:t>
      </w:r>
      <w:r w:rsidRPr="00B12608">
        <w:t xml:space="preserve"> </w:t>
      </w:r>
      <w:r w:rsidR="00B12608" w:rsidRPr="00B12608">
        <w:t>achieve sustainable housing, social inclusion and greater economic participation</w:t>
      </w:r>
      <w:r w:rsidR="00B12608" w:rsidRPr="00B12608" w:rsidDel="00B12608">
        <w:t xml:space="preserve"> </w:t>
      </w:r>
      <w:r w:rsidRPr="00B12608">
        <w:t>(</w:t>
      </w:r>
      <w:r w:rsidR="00B15769">
        <w:t>box </w:t>
      </w:r>
      <w:r w:rsidR="00A40722">
        <w:t>1</w:t>
      </w:r>
      <w:r w:rsidR="00B404DE">
        <w:t>9</w:t>
      </w:r>
      <w:r w:rsidR="00A40722">
        <w:t>.1</w:t>
      </w:r>
      <w:r w:rsidR="002B36BA">
        <w:t>4</w:t>
      </w:r>
      <w:r>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37E2" w14:paraId="7658A8AB" w14:textId="77777777" w:rsidTr="001F7787">
        <w:tc>
          <w:tcPr>
            <w:tcW w:w="8771" w:type="dxa"/>
            <w:tcBorders>
              <w:top w:val="single" w:sz="6" w:space="0" w:color="78A22F"/>
              <w:left w:val="nil"/>
              <w:bottom w:val="nil"/>
              <w:right w:val="nil"/>
            </w:tcBorders>
            <w:shd w:val="clear" w:color="auto" w:fill="F2F2F2"/>
          </w:tcPr>
          <w:p w14:paraId="6B7B5AD6" w14:textId="0049EF98" w:rsidR="007B37E2" w:rsidRDefault="007B37E2" w:rsidP="001F7787">
            <w:pPr>
              <w:pStyle w:val="BoxTitle"/>
            </w:pPr>
            <w:r>
              <w:rPr>
                <w:b w:val="0"/>
              </w:rPr>
              <w:lastRenderedPageBreak/>
              <w:t xml:space="preserve">Box </w:t>
            </w:r>
            <w:bookmarkStart w:id="39" w:name="OLE_LINK25"/>
            <w:r w:rsidR="00A40722">
              <w:rPr>
                <w:b w:val="0"/>
              </w:rPr>
              <w:t>19.</w:t>
            </w:r>
            <w:r w:rsidR="00087EB6">
              <w:rPr>
                <w:b w:val="0"/>
                <w:noProof/>
              </w:rPr>
              <w:t>14</w:t>
            </w:r>
            <w:bookmarkEnd w:id="39"/>
            <w:r>
              <w:tab/>
            </w:r>
            <w:r w:rsidRPr="00856B79">
              <w:t>Goals achieved on exit from service</w:t>
            </w:r>
          </w:p>
        </w:tc>
      </w:tr>
      <w:tr w:rsidR="007B37E2" w14:paraId="37E1114F" w14:textId="77777777" w:rsidTr="001F7787">
        <w:trPr>
          <w:cantSplit/>
        </w:trPr>
        <w:tc>
          <w:tcPr>
            <w:tcW w:w="8771" w:type="dxa"/>
            <w:tcBorders>
              <w:top w:val="nil"/>
              <w:left w:val="nil"/>
              <w:bottom w:val="nil"/>
              <w:right w:val="nil"/>
            </w:tcBorders>
            <w:shd w:val="clear" w:color="auto" w:fill="F2F2F2"/>
          </w:tcPr>
          <w:p w14:paraId="424B9BBC" w14:textId="77777777" w:rsidR="007B37E2" w:rsidRPr="00856B79" w:rsidRDefault="007B37E2" w:rsidP="001F7787">
            <w:pPr>
              <w:pStyle w:val="Box"/>
              <w:rPr>
                <w:bCs/>
              </w:rPr>
            </w:pPr>
            <w:r w:rsidRPr="00856B79">
              <w:rPr>
                <w:bCs/>
              </w:rPr>
              <w:t xml:space="preserve">‘Goals achieved on exit from service’ is defined as the proportion of </w:t>
            </w:r>
            <w:r>
              <w:rPr>
                <w:bCs/>
              </w:rPr>
              <w:t>closed support periods with an individual case management plan where ‘no goals’, up to half the goals’, ‘</w:t>
            </w:r>
            <w:r w:rsidR="00AE5369" w:rsidRPr="00AE5369">
              <w:rPr>
                <w:bCs/>
              </w:rPr>
              <w:t xml:space="preserve">more </w:t>
            </w:r>
            <w:r w:rsidR="00AE5369">
              <w:rPr>
                <w:bCs/>
              </w:rPr>
              <w:t xml:space="preserve">than half </w:t>
            </w:r>
            <w:r w:rsidR="00AE5369" w:rsidRPr="00AE5369">
              <w:rPr>
                <w:bCs/>
              </w:rPr>
              <w:t xml:space="preserve">but not all goals </w:t>
            </w:r>
            <w:r>
              <w:rPr>
                <w:bCs/>
              </w:rPr>
              <w:t>or ‘all goals’ have been achieved.</w:t>
            </w:r>
          </w:p>
          <w:p w14:paraId="69A25FA0" w14:textId="77777777" w:rsidR="007B37E2" w:rsidRPr="00856B79" w:rsidRDefault="007B37E2" w:rsidP="001F7787">
            <w:pPr>
              <w:pStyle w:val="Box"/>
              <w:rPr>
                <w:bCs/>
              </w:rPr>
            </w:pPr>
            <w:r w:rsidRPr="00856B79">
              <w:rPr>
                <w:bCs/>
              </w:rPr>
              <w:t>This indicator should be interpreted in conjunction with the ‘development of an agreed case management plan’ indicator.</w:t>
            </w:r>
          </w:p>
          <w:p w14:paraId="153B5F49" w14:textId="77777777" w:rsidR="007B37E2" w:rsidRPr="00856B79" w:rsidRDefault="007B37E2" w:rsidP="001F7787">
            <w:pPr>
              <w:pStyle w:val="Box"/>
              <w:rPr>
                <w:bCs/>
              </w:rPr>
            </w:pPr>
            <w:r w:rsidRPr="00856B79">
              <w:rPr>
                <w:bCs/>
              </w:rPr>
              <w:t>Holding other factors constant, a high or increasing proportion of achieved goals is desirable.</w:t>
            </w:r>
          </w:p>
          <w:p w14:paraId="21C3250D" w14:textId="77777777" w:rsidR="007B37E2" w:rsidRPr="00856B79" w:rsidRDefault="007B37E2" w:rsidP="001F7787">
            <w:pPr>
              <w:pStyle w:val="Box"/>
            </w:pPr>
            <w:r w:rsidRPr="00856B79">
              <w:t>Data reported for these measures are:</w:t>
            </w:r>
          </w:p>
          <w:p w14:paraId="567119AC" w14:textId="77777777" w:rsidR="007B37E2" w:rsidRPr="00856B79" w:rsidRDefault="007B37E2" w:rsidP="001F7787">
            <w:pPr>
              <w:pStyle w:val="BoxListBullet"/>
            </w:pPr>
            <w:r w:rsidRPr="00856B79">
              <w:t>comparable (subject to caveats) across jurisdictions and over time</w:t>
            </w:r>
          </w:p>
          <w:p w14:paraId="4BF2ACEE" w14:textId="3D30BF9B" w:rsidR="007B37E2" w:rsidRPr="005A710D" w:rsidRDefault="007B37E2" w:rsidP="00795CA2">
            <w:pPr>
              <w:pStyle w:val="BoxListBullet"/>
              <w:rPr>
                <w:color w:val="000000" w:themeColor="text2"/>
              </w:rPr>
            </w:pPr>
            <w:r w:rsidRPr="00856B79">
              <w:t xml:space="preserve">complete for the current reporting period. </w:t>
            </w:r>
            <w:r>
              <w:t xml:space="preserve">All required </w:t>
            </w:r>
            <w:r w:rsidR="00795CA2">
              <w:t>2015</w:t>
            </w:r>
            <w:r w:rsidR="007E335A">
              <w:noBreakHyphen/>
            </w:r>
            <w:r w:rsidR="00795CA2">
              <w:t>16</w:t>
            </w:r>
            <w:r>
              <w:t xml:space="preserve"> </w:t>
            </w:r>
            <w:r w:rsidRPr="00856B79">
              <w:t>data are available for all jurisdictions</w:t>
            </w:r>
          </w:p>
        </w:tc>
      </w:tr>
      <w:tr w:rsidR="007B37E2" w14:paraId="55998783" w14:textId="77777777" w:rsidTr="001F7787">
        <w:trPr>
          <w:cantSplit/>
        </w:trPr>
        <w:tc>
          <w:tcPr>
            <w:tcW w:w="8771" w:type="dxa"/>
            <w:tcBorders>
              <w:top w:val="nil"/>
              <w:left w:val="nil"/>
              <w:bottom w:val="single" w:sz="6" w:space="0" w:color="78A22F"/>
              <w:right w:val="nil"/>
            </w:tcBorders>
            <w:shd w:val="clear" w:color="auto" w:fill="F2F2F2"/>
          </w:tcPr>
          <w:p w14:paraId="5061DE49" w14:textId="77777777" w:rsidR="007B37E2" w:rsidRDefault="007B37E2" w:rsidP="001F7787">
            <w:pPr>
              <w:pStyle w:val="Box"/>
              <w:spacing w:before="0" w:line="120" w:lineRule="exact"/>
            </w:pPr>
          </w:p>
        </w:tc>
      </w:tr>
      <w:tr w:rsidR="007B37E2" w:rsidRPr="000863A5" w14:paraId="0EE38154" w14:textId="77777777" w:rsidTr="001F7787">
        <w:tc>
          <w:tcPr>
            <w:tcW w:w="8771" w:type="dxa"/>
            <w:tcBorders>
              <w:top w:val="single" w:sz="6" w:space="0" w:color="78A22F"/>
              <w:left w:val="nil"/>
              <w:bottom w:val="nil"/>
              <w:right w:val="nil"/>
            </w:tcBorders>
          </w:tcPr>
          <w:p w14:paraId="7DF08321" w14:textId="77777777" w:rsidR="007B37E2" w:rsidRPr="00626D32" w:rsidRDefault="007B37E2" w:rsidP="001F7787">
            <w:pPr>
              <w:pStyle w:val="BoxSpaceBelow"/>
            </w:pPr>
          </w:p>
        </w:tc>
      </w:tr>
    </w:tbl>
    <w:p w14:paraId="48E51C34" w14:textId="5EB77A17" w:rsidR="000707E5" w:rsidRDefault="000707E5" w:rsidP="000707E5">
      <w:pPr>
        <w:pStyle w:val="BodyText"/>
        <w:rPr>
          <w:color w:val="000000" w:themeColor="text1"/>
        </w:rPr>
      </w:pPr>
      <w:r w:rsidRPr="00952FEE">
        <w:rPr>
          <w:color w:val="000000" w:themeColor="text1"/>
        </w:rPr>
        <w:t>Nationally</w:t>
      </w:r>
      <w:r>
        <w:rPr>
          <w:color w:val="000000" w:themeColor="text1"/>
        </w:rPr>
        <w:t xml:space="preserve"> in</w:t>
      </w:r>
      <w:r w:rsidR="008502E6">
        <w:rPr>
          <w:color w:val="000000" w:themeColor="text1"/>
        </w:rPr>
        <w:t xml:space="preserve"> 2015</w:t>
      </w:r>
      <w:r w:rsidR="007E335A">
        <w:rPr>
          <w:color w:val="000000" w:themeColor="text1"/>
        </w:rPr>
        <w:noBreakHyphen/>
      </w:r>
      <w:r w:rsidR="008502E6">
        <w:rPr>
          <w:color w:val="000000" w:themeColor="text1"/>
        </w:rPr>
        <w:t>16</w:t>
      </w:r>
      <w:r w:rsidRPr="00952FEE">
        <w:rPr>
          <w:color w:val="000000" w:themeColor="text1"/>
        </w:rPr>
        <w:t xml:space="preserve">, </w:t>
      </w:r>
      <w:r>
        <w:rPr>
          <w:color w:val="000000" w:themeColor="text1"/>
        </w:rPr>
        <w:t>at least half of all</w:t>
      </w:r>
      <w:r w:rsidRPr="00952FEE">
        <w:rPr>
          <w:color w:val="000000" w:themeColor="text1"/>
        </w:rPr>
        <w:t xml:space="preserve"> case management goals were achieved at the end of support for </w:t>
      </w:r>
      <w:r w:rsidR="008502E6">
        <w:rPr>
          <w:color w:val="000000" w:themeColor="text1"/>
        </w:rPr>
        <w:t>68.4</w:t>
      </w:r>
      <w:r w:rsidR="002C4A26" w:rsidRPr="008502E6">
        <w:rPr>
          <w:color w:val="000000" w:themeColor="text1"/>
        </w:rPr>
        <w:t> </w:t>
      </w:r>
      <w:r w:rsidRPr="00952FEE">
        <w:rPr>
          <w:color w:val="000000" w:themeColor="text1"/>
        </w:rPr>
        <w:t>per cent of closed support periods with individual case management plans</w:t>
      </w:r>
      <w:r>
        <w:rPr>
          <w:color w:val="000000" w:themeColor="text1"/>
        </w:rPr>
        <w:t xml:space="preserve"> —</w:t>
      </w:r>
      <w:r w:rsidR="008502E6">
        <w:rPr>
          <w:color w:val="000000" w:themeColor="text1"/>
        </w:rPr>
        <w:t xml:space="preserve"> continuing a downward trend from 72.0 per cent in 2013</w:t>
      </w:r>
      <w:r w:rsidR="007E335A">
        <w:rPr>
          <w:color w:val="000000" w:themeColor="text1"/>
        </w:rPr>
        <w:noBreakHyphen/>
      </w:r>
      <w:r w:rsidR="008502E6">
        <w:rPr>
          <w:color w:val="000000" w:themeColor="text1"/>
        </w:rPr>
        <w:t>14</w:t>
      </w:r>
      <w:r w:rsidRPr="00952FEE">
        <w:rPr>
          <w:color w:val="000000" w:themeColor="text1"/>
        </w:rPr>
        <w:t xml:space="preserve"> (figure</w:t>
      </w:r>
      <w:r w:rsidR="002C4A26">
        <w:rPr>
          <w:color w:val="000000" w:themeColor="text1"/>
        </w:rPr>
        <w:t> </w:t>
      </w:r>
      <w:r w:rsidR="00A40722">
        <w:t>1</w:t>
      </w:r>
      <w:r w:rsidR="00B404DE">
        <w:t>9</w:t>
      </w:r>
      <w:r w:rsidR="00A40722">
        <w:t>.</w:t>
      </w:r>
      <w:r w:rsidR="00270FDD">
        <w:rPr>
          <w:color w:val="000000" w:themeColor="text1"/>
        </w:rPr>
        <w:t>17</w:t>
      </w:r>
      <w:r w:rsidRPr="00952FEE">
        <w:rPr>
          <w:color w:val="000000" w:themeColor="text1"/>
        </w:rPr>
        <w:t>).</w:t>
      </w:r>
    </w:p>
    <w:p w14:paraId="1877C292" w14:textId="77777777" w:rsidR="007B37E2" w:rsidRDefault="007B37E2" w:rsidP="001F77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37E2" w14:paraId="798A515C" w14:textId="77777777" w:rsidTr="001F7787">
        <w:tc>
          <w:tcPr>
            <w:tcW w:w="8771" w:type="dxa"/>
            <w:tcBorders>
              <w:top w:val="single" w:sz="6" w:space="0" w:color="78A22F"/>
              <w:left w:val="nil"/>
              <w:bottom w:val="nil"/>
              <w:right w:val="nil"/>
            </w:tcBorders>
            <w:shd w:val="clear" w:color="auto" w:fill="auto"/>
          </w:tcPr>
          <w:p w14:paraId="4570200C" w14:textId="2922261E" w:rsidR="007B37E2" w:rsidRPr="00176D3F" w:rsidRDefault="007B37E2" w:rsidP="007B37E2">
            <w:pPr>
              <w:pStyle w:val="FigureTitle"/>
            </w:pPr>
            <w:r w:rsidRPr="00784A05">
              <w:rPr>
                <w:b w:val="0"/>
              </w:rPr>
              <w:t xml:space="preserve">Figure </w:t>
            </w:r>
            <w:bookmarkStart w:id="40" w:name="OLE_LINK26"/>
            <w:r w:rsidR="00A40722">
              <w:rPr>
                <w:b w:val="0"/>
              </w:rPr>
              <w:t>19.</w:t>
            </w:r>
            <w:r w:rsidR="00087EB6">
              <w:rPr>
                <w:b w:val="0"/>
                <w:noProof/>
              </w:rPr>
              <w:t>17</w:t>
            </w:r>
            <w:bookmarkEnd w:id="40"/>
            <w:r>
              <w:tab/>
              <w:t>Case management goals achieved (closed support periods)</w:t>
            </w:r>
            <w:r w:rsidRPr="0097546E">
              <w:rPr>
                <w:rStyle w:val="NoteLabel"/>
                <w:b/>
              </w:rPr>
              <w:t>a</w:t>
            </w:r>
            <w:r>
              <w:rPr>
                <w:rStyle w:val="NoteLabel"/>
                <w:b/>
              </w:rPr>
              <w:t>, b</w:t>
            </w:r>
          </w:p>
        </w:tc>
      </w:tr>
      <w:tr w:rsidR="007B37E2" w14:paraId="6E39E734" w14:textId="77777777" w:rsidTr="001F778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B37E2" w14:paraId="6741F3B3" w14:textId="77777777" w:rsidTr="001D4138">
              <w:trPr>
                <w:jc w:val="center"/>
              </w:trPr>
              <w:tc>
                <w:tcPr>
                  <w:tcW w:w="8504" w:type="dxa"/>
                  <w:tcBorders>
                    <w:top w:val="nil"/>
                    <w:bottom w:val="nil"/>
                  </w:tcBorders>
                </w:tcPr>
                <w:p w14:paraId="4A6030EE" w14:textId="77777777" w:rsidR="007B37E2" w:rsidRDefault="00C02063" w:rsidP="007B37E2">
                  <w:pPr>
                    <w:pStyle w:val="Figure"/>
                    <w:spacing w:before="60" w:after="60"/>
                  </w:pPr>
                  <w:r>
                    <w:rPr>
                      <w:noProof/>
                    </w:rPr>
                    <w:drawing>
                      <wp:inline distT="0" distB="0" distL="0" distR="0" wp14:anchorId="518C1766" wp14:editId="33BE5969">
                        <wp:extent cx="5401310" cy="2700655"/>
                        <wp:effectExtent l="0" t="0" r="8890" b="4445"/>
                        <wp:docPr id="2" name="Picture 2" descr="Figure 19.17 Case management goals achieved (closed support perio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1310" cy="2700655"/>
                                </a:xfrm>
                                <a:prstGeom prst="rect">
                                  <a:avLst/>
                                </a:prstGeom>
                                <a:noFill/>
                              </pic:spPr>
                            </pic:pic>
                          </a:graphicData>
                        </a:graphic>
                      </wp:inline>
                    </w:drawing>
                  </w:r>
                </w:p>
              </w:tc>
            </w:tr>
          </w:tbl>
          <w:p w14:paraId="682F00AD" w14:textId="77777777" w:rsidR="007B37E2" w:rsidRDefault="007B37E2" w:rsidP="001F7787">
            <w:pPr>
              <w:pStyle w:val="Figure"/>
            </w:pPr>
          </w:p>
        </w:tc>
      </w:tr>
      <w:tr w:rsidR="007B37E2" w:rsidRPr="00176D3F" w14:paraId="2991019C" w14:textId="77777777" w:rsidTr="001F7787">
        <w:tc>
          <w:tcPr>
            <w:tcW w:w="8771" w:type="dxa"/>
            <w:tcBorders>
              <w:top w:val="nil"/>
              <w:left w:val="nil"/>
              <w:bottom w:val="nil"/>
              <w:right w:val="nil"/>
            </w:tcBorders>
            <w:shd w:val="clear" w:color="auto" w:fill="auto"/>
          </w:tcPr>
          <w:p w14:paraId="3E67A77B" w14:textId="3C8F65CD" w:rsidR="007B37E2" w:rsidRPr="00176D3F" w:rsidRDefault="007B37E2" w:rsidP="00C1347C">
            <w:pPr>
              <w:pStyle w:val="Note"/>
            </w:pPr>
            <w:r>
              <w:rPr>
                <w:rStyle w:val="NoteLabel"/>
              </w:rPr>
              <w:t>a</w:t>
            </w:r>
            <w:r>
              <w:t xml:space="preserve"> </w:t>
            </w:r>
            <w:r w:rsidRPr="006D3797">
              <w:t>See box</w:t>
            </w:r>
            <w:r w:rsidR="007E335A">
              <w:t> </w:t>
            </w:r>
            <w:r w:rsidR="00A40722">
              <w:t>1</w:t>
            </w:r>
            <w:r w:rsidR="00B404DE">
              <w:t>9</w:t>
            </w:r>
            <w:r w:rsidR="00A40722">
              <w:t>.1</w:t>
            </w:r>
            <w:r w:rsidR="00C1347C">
              <w:rPr>
                <w:bCs/>
              </w:rPr>
              <w:t>4</w:t>
            </w:r>
            <w:r w:rsidRPr="006D3797">
              <w:t xml:space="preserve"> and table</w:t>
            </w:r>
            <w:r w:rsidR="007E335A">
              <w:t> </w:t>
            </w:r>
            <w:proofErr w:type="spellStart"/>
            <w:r w:rsidR="00650891">
              <w:t>19A</w:t>
            </w:r>
            <w:r w:rsidRPr="006D3797">
              <w:t>.</w:t>
            </w:r>
            <w:r w:rsidR="00AF1945">
              <w:t>33</w:t>
            </w:r>
            <w:proofErr w:type="spellEnd"/>
            <w:r w:rsidRPr="006D3797">
              <w:t xml:space="preserve"> for detailed definitions, footnotes and caveats</w:t>
            </w:r>
            <w:r>
              <w:t xml:space="preserve">. </w:t>
            </w:r>
            <w:r>
              <w:rPr>
                <w:rStyle w:val="NoteLabel"/>
              </w:rPr>
              <w:t>b</w:t>
            </w:r>
            <w:r>
              <w:t xml:space="preserve"> </w:t>
            </w:r>
            <w:r w:rsidR="00C85B76">
              <w:t>SA 2013</w:t>
            </w:r>
            <w:r w:rsidR="007E335A">
              <w:noBreakHyphen/>
            </w:r>
            <w:r w:rsidR="00C85B76">
              <w:t>14 case management goals achieved data are not available</w:t>
            </w:r>
            <w:r>
              <w:t>.</w:t>
            </w:r>
          </w:p>
        </w:tc>
      </w:tr>
      <w:tr w:rsidR="007B37E2" w:rsidRPr="00176D3F" w14:paraId="471D7288" w14:textId="77777777" w:rsidTr="001F7787">
        <w:tc>
          <w:tcPr>
            <w:tcW w:w="8771" w:type="dxa"/>
            <w:tcBorders>
              <w:top w:val="nil"/>
              <w:left w:val="nil"/>
              <w:bottom w:val="nil"/>
              <w:right w:val="nil"/>
            </w:tcBorders>
            <w:shd w:val="clear" w:color="auto" w:fill="auto"/>
          </w:tcPr>
          <w:p w14:paraId="3AF7950A" w14:textId="4A67597C" w:rsidR="007B37E2" w:rsidRPr="00176D3F" w:rsidRDefault="007B37E2" w:rsidP="00AF1945">
            <w:pPr>
              <w:pStyle w:val="Source"/>
            </w:pPr>
            <w:r>
              <w:rPr>
                <w:i/>
              </w:rPr>
              <w:t>So</w:t>
            </w:r>
            <w:r w:rsidRPr="00784A05">
              <w:rPr>
                <w:i/>
              </w:rPr>
              <w:t>urce</w:t>
            </w:r>
            <w:r w:rsidRPr="00176D3F">
              <w:t xml:space="preserve">: </w:t>
            </w:r>
            <w:proofErr w:type="spellStart"/>
            <w:r w:rsidRPr="001071DA">
              <w:t>AIHW</w:t>
            </w:r>
            <w:proofErr w:type="spellEnd"/>
            <w:r w:rsidRPr="001071DA">
              <w:t xml:space="preserve"> (unpublished) </w:t>
            </w:r>
            <w:r w:rsidR="000C1770" w:rsidRPr="000C1770">
              <w:t>Specialist Homelessness Services Collection</w:t>
            </w:r>
            <w:r>
              <w:rPr>
                <w:i/>
              </w:rPr>
              <w:t xml:space="preserve">; </w:t>
            </w:r>
            <w:r w:rsidRPr="001071DA">
              <w:t>table</w:t>
            </w:r>
            <w:r w:rsidR="007E335A">
              <w:t> </w:t>
            </w:r>
            <w:proofErr w:type="spellStart"/>
            <w:r w:rsidR="00650891">
              <w:t>19A</w:t>
            </w:r>
            <w:r w:rsidRPr="001071DA">
              <w:t>.</w:t>
            </w:r>
            <w:r>
              <w:t>3</w:t>
            </w:r>
            <w:r w:rsidR="00AF1945">
              <w:t>3</w:t>
            </w:r>
            <w:proofErr w:type="spellEnd"/>
            <w:r>
              <w:t>.</w:t>
            </w:r>
          </w:p>
        </w:tc>
      </w:tr>
      <w:tr w:rsidR="007B37E2" w14:paraId="03843279" w14:textId="77777777" w:rsidTr="001F7787">
        <w:tc>
          <w:tcPr>
            <w:tcW w:w="8771" w:type="dxa"/>
            <w:tcBorders>
              <w:top w:val="nil"/>
              <w:left w:val="nil"/>
              <w:bottom w:val="single" w:sz="6" w:space="0" w:color="78A22F"/>
              <w:right w:val="nil"/>
            </w:tcBorders>
            <w:shd w:val="clear" w:color="auto" w:fill="auto"/>
          </w:tcPr>
          <w:p w14:paraId="4FBF9356" w14:textId="77777777" w:rsidR="007B37E2" w:rsidRDefault="007B37E2" w:rsidP="000D18AC">
            <w:pPr>
              <w:pStyle w:val="Figurespace"/>
              <w:keepNext w:val="0"/>
            </w:pPr>
          </w:p>
        </w:tc>
      </w:tr>
    </w:tbl>
    <w:p w14:paraId="0190F279" w14:textId="6F06D843" w:rsidR="000707E5" w:rsidRDefault="00A40722" w:rsidP="000707E5">
      <w:pPr>
        <w:pStyle w:val="Heading2"/>
      </w:pPr>
      <w:bookmarkStart w:id="41" w:name="_Toc309313620"/>
      <w:bookmarkStart w:id="42" w:name="_Toc341801420"/>
      <w:bookmarkStart w:id="43" w:name="_Toc459884921"/>
      <w:r>
        <w:lastRenderedPageBreak/>
        <w:t>19.</w:t>
      </w:r>
      <w:r w:rsidR="00087EB6">
        <w:rPr>
          <w:noProof/>
        </w:rPr>
        <w:t>4</w:t>
      </w:r>
      <w:r w:rsidR="000707E5">
        <w:tab/>
      </w:r>
      <w:r w:rsidR="000707E5" w:rsidRPr="00CB4E91">
        <w:t>Definitions of key terms</w:t>
      </w:r>
      <w:bookmarkEnd w:id="41"/>
      <w:bookmarkEnd w:id="42"/>
      <w:bookmarkEnd w:id="43"/>
    </w:p>
    <w:p w14:paraId="30B2CD5F" w14:textId="77777777" w:rsidR="000707E5" w:rsidRPr="00C40C3C" w:rsidRDefault="000707E5" w:rsidP="000707E5">
      <w:pPr>
        <w:pStyle w:val="Space"/>
      </w:pPr>
    </w:p>
    <w:tbl>
      <w:tblPr>
        <w:tblW w:w="0" w:type="auto"/>
        <w:tblInd w:w="108" w:type="dxa"/>
        <w:tblLayout w:type="fixed"/>
        <w:tblLook w:val="0000" w:firstRow="0" w:lastRow="0" w:firstColumn="0" w:lastColumn="0" w:noHBand="0" w:noVBand="0"/>
      </w:tblPr>
      <w:tblGrid>
        <w:gridCol w:w="1701"/>
        <w:gridCol w:w="7088"/>
      </w:tblGrid>
      <w:tr w:rsidR="000707E5" w:rsidRPr="00CD7195" w14:paraId="52E232AB" w14:textId="77777777" w:rsidTr="00094389">
        <w:tc>
          <w:tcPr>
            <w:tcW w:w="1701" w:type="dxa"/>
            <w:shd w:val="clear" w:color="auto" w:fill="auto"/>
          </w:tcPr>
          <w:p w14:paraId="567D7EF1" w14:textId="77777777" w:rsidR="000707E5" w:rsidRPr="00690ED2" w:rsidRDefault="000707E5" w:rsidP="00094389">
            <w:pPr>
              <w:pStyle w:val="Box"/>
              <w:jc w:val="left"/>
              <w:rPr>
                <w:b/>
              </w:rPr>
            </w:pPr>
            <w:r w:rsidRPr="00690ED2">
              <w:rPr>
                <w:b/>
              </w:rPr>
              <w:t>Age</w:t>
            </w:r>
          </w:p>
        </w:tc>
        <w:tc>
          <w:tcPr>
            <w:tcW w:w="7088" w:type="dxa"/>
            <w:shd w:val="clear" w:color="auto" w:fill="auto"/>
          </w:tcPr>
          <w:p w14:paraId="277BC931" w14:textId="77777777" w:rsidR="000707E5" w:rsidRPr="00CD7195" w:rsidRDefault="000707E5" w:rsidP="002131AC">
            <w:pPr>
              <w:pStyle w:val="Box"/>
              <w:spacing w:line="240" w:lineRule="auto"/>
            </w:pPr>
            <w:r w:rsidRPr="00CD7195">
              <w:t>Age is calculated as age of the client on the start date of their first support period of the reporting period or the first date of the reporting period, whichever of the two is the later date.</w:t>
            </w:r>
          </w:p>
        </w:tc>
      </w:tr>
      <w:tr w:rsidR="000707E5" w:rsidRPr="00CD7195" w14:paraId="033520CC" w14:textId="77777777" w:rsidTr="00094389">
        <w:tc>
          <w:tcPr>
            <w:tcW w:w="1701" w:type="dxa"/>
            <w:shd w:val="clear" w:color="auto" w:fill="auto"/>
          </w:tcPr>
          <w:p w14:paraId="4ABEAA1B" w14:textId="77777777" w:rsidR="000707E5" w:rsidRPr="002131AC" w:rsidRDefault="000707E5" w:rsidP="002131AC">
            <w:pPr>
              <w:pStyle w:val="Box"/>
              <w:jc w:val="left"/>
              <w:rPr>
                <w:b/>
              </w:rPr>
            </w:pPr>
            <w:r w:rsidRPr="002131AC">
              <w:rPr>
                <w:b/>
              </w:rPr>
              <w:t>Client</w:t>
            </w:r>
          </w:p>
        </w:tc>
        <w:tc>
          <w:tcPr>
            <w:tcW w:w="7088" w:type="dxa"/>
            <w:shd w:val="clear" w:color="auto" w:fill="auto"/>
          </w:tcPr>
          <w:p w14:paraId="0F909B70" w14:textId="77777777" w:rsidR="00E7011D" w:rsidRDefault="000707E5" w:rsidP="00094389">
            <w:pPr>
              <w:pStyle w:val="Box"/>
              <w:spacing w:line="240" w:lineRule="auto"/>
            </w:pPr>
            <w:r w:rsidRPr="00954BC6">
              <w:t>A person who receives a s</w:t>
            </w:r>
            <w:r w:rsidR="00E7011D">
              <w:t>pecialist homelessness service.</w:t>
            </w:r>
          </w:p>
          <w:p w14:paraId="39A7D20F" w14:textId="77777777" w:rsidR="000707E5" w:rsidRDefault="000707E5" w:rsidP="00094389">
            <w:pPr>
              <w:pStyle w:val="Box"/>
              <w:spacing w:line="240" w:lineRule="auto"/>
            </w:pPr>
            <w:r w:rsidRPr="00954BC6">
              <w:t xml:space="preserve">To be a client, the person must directly receive a service and not just be a beneficiary of a service. Children who present with a parent or guardian and receive a service are considered to be a client. This includes a service that they share with their parent or guardian </w:t>
            </w:r>
            <w:r>
              <w:t>such as meals or accommodation.</w:t>
            </w:r>
          </w:p>
          <w:p w14:paraId="76325007" w14:textId="77777777" w:rsidR="000707E5" w:rsidRPr="00CD7195" w:rsidRDefault="000707E5" w:rsidP="00094389">
            <w:pPr>
              <w:pStyle w:val="Box"/>
              <w:spacing w:line="240" w:lineRule="auto"/>
            </w:pPr>
            <w:r w:rsidRPr="00954BC6">
              <w:t>Children who present with a parent or guardian but do not directly receive a service are not considered to be clients. This includes situations where the parent or guardian receives assistance to prevent tenancy failure or eviction.</w:t>
            </w:r>
          </w:p>
        </w:tc>
      </w:tr>
      <w:tr w:rsidR="000707E5" w:rsidRPr="00CD7195" w14:paraId="7B9D3C81" w14:textId="77777777" w:rsidTr="00094389">
        <w:tc>
          <w:tcPr>
            <w:tcW w:w="1701" w:type="dxa"/>
            <w:shd w:val="clear" w:color="auto" w:fill="auto"/>
          </w:tcPr>
          <w:p w14:paraId="2837D627" w14:textId="77777777" w:rsidR="000707E5" w:rsidRPr="00690ED2" w:rsidRDefault="000707E5" w:rsidP="00094389">
            <w:pPr>
              <w:pStyle w:val="Box"/>
              <w:jc w:val="left"/>
              <w:rPr>
                <w:b/>
              </w:rPr>
            </w:pPr>
          </w:p>
        </w:tc>
        <w:tc>
          <w:tcPr>
            <w:tcW w:w="7088" w:type="dxa"/>
            <w:shd w:val="clear" w:color="auto" w:fill="auto"/>
          </w:tcPr>
          <w:p w14:paraId="011F57D0" w14:textId="77777777" w:rsidR="000707E5" w:rsidRPr="00954BC6" w:rsidRDefault="000707E5" w:rsidP="00094389">
            <w:pPr>
              <w:pStyle w:val="Box"/>
            </w:pPr>
            <w:r w:rsidRPr="00954BC6">
              <w:t>Clients can be counted differently according to the data item that is being reported:</w:t>
            </w:r>
          </w:p>
          <w:p w14:paraId="2A786F2D" w14:textId="18705268" w:rsidR="000707E5" w:rsidRPr="00CD7195" w:rsidRDefault="000707E5" w:rsidP="00094389">
            <w:pPr>
              <w:pStyle w:val="BoxListBullet"/>
              <w:spacing w:line="240" w:lineRule="auto"/>
            </w:pPr>
            <w:r w:rsidRPr="00CD7195">
              <w:t>Clients (demographic)</w:t>
            </w:r>
            <w:r w:rsidR="007E335A">
              <w:t xml:space="preserve"> </w:t>
            </w:r>
            <w:r w:rsidRPr="00CD7195">
              <w:t>—</w:t>
            </w:r>
            <w:r w:rsidR="007E335A">
              <w:t xml:space="preserve"> </w:t>
            </w:r>
            <w:r w:rsidRPr="00CD7195">
              <w:t>For clients with multiple support periods, reported data is determined based on the information at the start date of the client’s first support period in the reporting period or the first date of the reporting period, whichever is later</w:t>
            </w:r>
          </w:p>
          <w:p w14:paraId="694DD60E" w14:textId="7423E32B" w:rsidR="000707E5" w:rsidRPr="00CD7195" w:rsidRDefault="000707E5" w:rsidP="00094389">
            <w:pPr>
              <w:pStyle w:val="BoxListBullet"/>
              <w:spacing w:line="240" w:lineRule="auto"/>
            </w:pPr>
            <w:r w:rsidRPr="00CD7195">
              <w:t>Clients (counted by support periods)</w:t>
            </w:r>
            <w:r w:rsidR="007E335A">
              <w:t xml:space="preserve"> </w:t>
            </w:r>
            <w:r w:rsidRPr="00CD7195">
              <w:t>—</w:t>
            </w:r>
            <w:r w:rsidR="007E335A">
              <w:t xml:space="preserve"> </w:t>
            </w:r>
            <w:r w:rsidRPr="00CD7195">
              <w:t>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14:paraId="6A19D214" w14:textId="77777777" w:rsidR="000707E5" w:rsidRPr="00CD7195" w:rsidRDefault="000707E5" w:rsidP="00094389">
            <w:pPr>
              <w:pStyle w:val="BoxListBullet"/>
              <w:spacing w:line="240" w:lineRule="auto"/>
            </w:pPr>
            <w:r w:rsidRPr="00CD7195">
              <w:t>Clients (outcomes) – Clients are counted based on closed support periods where a valid response is recorded both when presenting to an agency and at the end of support.</w:t>
            </w:r>
          </w:p>
        </w:tc>
      </w:tr>
      <w:tr w:rsidR="000707E5" w:rsidRPr="00CD7195" w14:paraId="14FE17BD" w14:textId="77777777" w:rsidTr="00094389">
        <w:tc>
          <w:tcPr>
            <w:tcW w:w="1701" w:type="dxa"/>
            <w:shd w:val="clear" w:color="auto" w:fill="auto"/>
          </w:tcPr>
          <w:p w14:paraId="5A2708A3" w14:textId="77777777" w:rsidR="000707E5" w:rsidRPr="00690ED2" w:rsidRDefault="000707E5" w:rsidP="00094389">
            <w:pPr>
              <w:pStyle w:val="Box"/>
              <w:jc w:val="left"/>
              <w:rPr>
                <w:b/>
              </w:rPr>
            </w:pPr>
            <w:r w:rsidRPr="00690ED2">
              <w:rPr>
                <w:b/>
              </w:rPr>
              <w:t>Closed support period</w:t>
            </w:r>
          </w:p>
        </w:tc>
        <w:tc>
          <w:tcPr>
            <w:tcW w:w="7088" w:type="dxa"/>
            <w:shd w:val="clear" w:color="auto" w:fill="auto"/>
          </w:tcPr>
          <w:p w14:paraId="26834516" w14:textId="77777777" w:rsidR="000707E5" w:rsidRPr="00CD7195" w:rsidRDefault="000707E5" w:rsidP="00094389">
            <w:pPr>
              <w:keepNext/>
              <w:keepLines/>
              <w:spacing w:before="120" w:after="120" w:line="220" w:lineRule="atLeast"/>
              <w:ind w:left="6" w:right="113"/>
              <w:rPr>
                <w:rFonts w:ascii="Arial" w:hAnsi="Arial"/>
                <w:sz w:val="20"/>
                <w:szCs w:val="20"/>
              </w:rPr>
            </w:pPr>
            <w:r w:rsidRPr="00CD7195">
              <w:rPr>
                <w:rFonts w:ascii="Arial" w:hAnsi="Arial"/>
                <w:sz w:val="20"/>
                <w:szCs w:val="20"/>
              </w:rPr>
              <w:t>A support period that had finished on or before the end of the reporting period.</w:t>
            </w:r>
          </w:p>
        </w:tc>
      </w:tr>
      <w:tr w:rsidR="000707E5" w:rsidRPr="00CB4E91" w14:paraId="2ED3B1C3" w14:textId="77777777" w:rsidTr="00094389">
        <w:trPr>
          <w:trHeight w:val="584"/>
        </w:trPr>
        <w:tc>
          <w:tcPr>
            <w:tcW w:w="1701" w:type="dxa"/>
            <w:shd w:val="clear" w:color="auto" w:fill="auto"/>
          </w:tcPr>
          <w:p w14:paraId="72E170B8" w14:textId="77777777" w:rsidR="000707E5" w:rsidRPr="00690ED2" w:rsidRDefault="000707E5" w:rsidP="00094389">
            <w:pPr>
              <w:pStyle w:val="Box"/>
              <w:jc w:val="left"/>
              <w:rPr>
                <w:b/>
              </w:rPr>
            </w:pPr>
            <w:r w:rsidRPr="00690ED2">
              <w:rPr>
                <w:b/>
              </w:rPr>
              <w:t>Comparability</w:t>
            </w:r>
          </w:p>
        </w:tc>
        <w:tc>
          <w:tcPr>
            <w:tcW w:w="7088" w:type="dxa"/>
            <w:shd w:val="clear" w:color="auto" w:fill="auto"/>
          </w:tcPr>
          <w:p w14:paraId="4DAE327D" w14:textId="77777777" w:rsidR="000707E5" w:rsidRPr="00CD7195" w:rsidRDefault="000707E5" w:rsidP="00094389">
            <w:pPr>
              <w:pStyle w:val="Box"/>
              <w:spacing w:line="240" w:lineRule="auto"/>
            </w:pPr>
            <w:r w:rsidRPr="00CD7195">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707E5" w:rsidRPr="00CB4E91" w14:paraId="7DD19359" w14:textId="77777777" w:rsidTr="00094389">
        <w:trPr>
          <w:trHeight w:val="584"/>
        </w:trPr>
        <w:tc>
          <w:tcPr>
            <w:tcW w:w="1701" w:type="dxa"/>
            <w:shd w:val="clear" w:color="auto" w:fill="auto"/>
          </w:tcPr>
          <w:p w14:paraId="0A576334" w14:textId="77777777" w:rsidR="000707E5" w:rsidRPr="00690ED2" w:rsidRDefault="000707E5" w:rsidP="00094389">
            <w:pPr>
              <w:pStyle w:val="Box"/>
              <w:jc w:val="left"/>
              <w:rPr>
                <w:b/>
              </w:rPr>
            </w:pPr>
            <w:r w:rsidRPr="00690ED2">
              <w:rPr>
                <w:b/>
              </w:rPr>
              <w:t>Completeness</w:t>
            </w:r>
          </w:p>
        </w:tc>
        <w:tc>
          <w:tcPr>
            <w:tcW w:w="7088" w:type="dxa"/>
            <w:shd w:val="clear" w:color="auto" w:fill="auto"/>
          </w:tcPr>
          <w:p w14:paraId="558581CE" w14:textId="1656EDFA" w:rsidR="000707E5" w:rsidRPr="00CD7195" w:rsidRDefault="000707E5" w:rsidP="00094389">
            <w:pPr>
              <w:pStyle w:val="Box"/>
              <w:spacing w:line="240" w:lineRule="auto"/>
            </w:pPr>
            <w:r w:rsidRPr="00CD7195">
              <w:t>Data are considered complete if all required data are available for all jurisdictions that provide the service</w:t>
            </w:r>
            <w:r w:rsidR="000147E3">
              <w:t>.</w:t>
            </w:r>
          </w:p>
        </w:tc>
      </w:tr>
    </w:tbl>
    <w:p w14:paraId="6C0EC387" w14:textId="77777777" w:rsidR="000707E5" w:rsidRDefault="000707E5" w:rsidP="000707E5"/>
    <w:tbl>
      <w:tblPr>
        <w:tblW w:w="0" w:type="auto"/>
        <w:tblInd w:w="108" w:type="dxa"/>
        <w:tblLayout w:type="fixed"/>
        <w:tblLook w:val="0000" w:firstRow="0" w:lastRow="0" w:firstColumn="0" w:lastColumn="0" w:noHBand="0" w:noVBand="0"/>
      </w:tblPr>
      <w:tblGrid>
        <w:gridCol w:w="1843"/>
        <w:gridCol w:w="6946"/>
      </w:tblGrid>
      <w:tr w:rsidR="000707E5" w:rsidRPr="00CB4E91" w14:paraId="3208DAE0" w14:textId="77777777" w:rsidTr="008D5D8E">
        <w:trPr>
          <w:trHeight w:val="584"/>
        </w:trPr>
        <w:tc>
          <w:tcPr>
            <w:tcW w:w="1843" w:type="dxa"/>
            <w:shd w:val="clear" w:color="auto" w:fill="auto"/>
          </w:tcPr>
          <w:p w14:paraId="0D6FF82C" w14:textId="77777777" w:rsidR="000707E5" w:rsidRPr="00690ED2" w:rsidRDefault="000707E5" w:rsidP="00094389">
            <w:pPr>
              <w:pStyle w:val="Box"/>
              <w:jc w:val="left"/>
              <w:rPr>
                <w:b/>
              </w:rPr>
            </w:pPr>
            <w:r w:rsidRPr="00690ED2">
              <w:rPr>
                <w:b/>
              </w:rPr>
              <w:lastRenderedPageBreak/>
              <w:t>Disability</w:t>
            </w:r>
          </w:p>
        </w:tc>
        <w:tc>
          <w:tcPr>
            <w:tcW w:w="6946" w:type="dxa"/>
            <w:shd w:val="clear" w:color="auto" w:fill="auto"/>
          </w:tcPr>
          <w:p w14:paraId="1B9079A4" w14:textId="7A914B6D" w:rsidR="000707E5" w:rsidRPr="00CD7195" w:rsidRDefault="00551952" w:rsidP="00094389">
            <w:pPr>
              <w:pStyle w:val="Box"/>
              <w:spacing w:line="240" w:lineRule="auto"/>
            </w:pPr>
            <w:r>
              <w:t>S</w:t>
            </w:r>
            <w:r w:rsidRPr="00551952">
              <w:t>pecialist homelessness services</w:t>
            </w:r>
            <w:r w:rsidR="000707E5" w:rsidRPr="00CD7195">
              <w:t xml:space="preserve"> clients who have identified as having a long</w:t>
            </w:r>
            <w:r w:rsidR="007E335A">
              <w:noBreakHyphen/>
            </w:r>
            <w:r w:rsidR="000707E5" w:rsidRPr="00CD7195">
              <w:t xml:space="preserve">term health condition or disability </w:t>
            </w:r>
            <w:r w:rsidR="00F64079">
              <w:t>and</w:t>
            </w:r>
            <w:r w:rsidR="000707E5" w:rsidRPr="00CD7195">
              <w:t xml:space="preserve"> need</w:t>
            </w:r>
            <w:r w:rsidR="00F64079">
              <w:t>ing</w:t>
            </w:r>
            <w:r w:rsidR="000707E5" w:rsidRPr="00CD7195">
              <w:t xml:space="preserve"> assistance with core activities (self</w:t>
            </w:r>
            <w:r w:rsidR="007E335A">
              <w:noBreakHyphen/>
            </w:r>
            <w:r w:rsidR="000707E5" w:rsidRPr="00CD7195">
              <w:t xml:space="preserve">care, mobility </w:t>
            </w:r>
            <w:r w:rsidR="00F64079">
              <w:t>and/</w:t>
            </w:r>
            <w:r w:rsidR="000707E5" w:rsidRPr="00CD7195">
              <w:t>or communication).</w:t>
            </w:r>
          </w:p>
          <w:p w14:paraId="10975143" w14:textId="45688845" w:rsidR="000707E5" w:rsidRPr="00CD7195" w:rsidRDefault="000707E5" w:rsidP="00094389">
            <w:pPr>
              <w:pStyle w:val="Box"/>
              <w:spacing w:line="240" w:lineRule="auto"/>
            </w:pPr>
            <w:r w:rsidRPr="00CD7195">
              <w:t xml:space="preserve">From July 2013, the </w:t>
            </w:r>
            <w:r w:rsidR="00551952" w:rsidRPr="00551952">
              <w:t>specialist homelessness services</w:t>
            </w:r>
            <w:r w:rsidR="00551952">
              <w:t xml:space="preserve"> collection (!)</w:t>
            </w:r>
            <w:r w:rsidRPr="00CD7195">
              <w:t xml:space="preserve"> collects information on whether, and to what extent, a long</w:t>
            </w:r>
            <w:r w:rsidR="007E335A">
              <w:noBreakHyphen/>
            </w:r>
            <w:r w:rsidRPr="00CD7195">
              <w:t>term health condition or disability restricts clients’ everyday activities across the following three life areas</w:t>
            </w:r>
            <w:r>
              <w:t xml:space="preserve"> and they need help/supervision with these tasks</w:t>
            </w:r>
            <w:r w:rsidRPr="00CD7195">
              <w:t>:</w:t>
            </w:r>
          </w:p>
          <w:p w14:paraId="18153229" w14:textId="08871ED3" w:rsidR="000707E5" w:rsidRDefault="000707E5" w:rsidP="008D5D8E">
            <w:pPr>
              <w:pStyle w:val="BoxListBullet"/>
              <w:spacing w:before="60" w:line="240" w:lineRule="auto"/>
            </w:pPr>
            <w:r w:rsidRPr="00CD7195">
              <w:t>self</w:t>
            </w:r>
            <w:r w:rsidR="007E335A">
              <w:noBreakHyphen/>
            </w:r>
            <w:r w:rsidRPr="00CD7195">
              <w:t>care</w:t>
            </w:r>
          </w:p>
          <w:p w14:paraId="003218EE" w14:textId="4AF2C477" w:rsidR="000707E5" w:rsidRPr="00CD7195" w:rsidRDefault="000707E5" w:rsidP="008D5D8E">
            <w:pPr>
              <w:pStyle w:val="BoxListBullet"/>
              <w:spacing w:before="60" w:line="240" w:lineRule="auto"/>
            </w:pPr>
            <w:r w:rsidRPr="00CD7195">
              <w:t>mo</w:t>
            </w:r>
            <w:r w:rsidR="002F631B">
              <w:t>bility</w:t>
            </w:r>
          </w:p>
          <w:p w14:paraId="1CF30142" w14:textId="77777777" w:rsidR="000707E5" w:rsidRPr="00CD7195" w:rsidRDefault="000707E5" w:rsidP="008D5D8E">
            <w:pPr>
              <w:pStyle w:val="BoxListBullet"/>
              <w:spacing w:before="60" w:line="240" w:lineRule="auto"/>
            </w:pPr>
            <w:r w:rsidRPr="00CD7195">
              <w:t>communication.</w:t>
            </w:r>
          </w:p>
          <w:p w14:paraId="31840D8E" w14:textId="13475243" w:rsidR="000707E5" w:rsidRPr="00CD7195" w:rsidRDefault="000707E5" w:rsidP="00094389">
            <w:pPr>
              <w:pStyle w:val="Box"/>
            </w:pPr>
            <w:r w:rsidRPr="00CD7195">
              <w:t>The information is consistent with data collected in the 2011 Census and the 2014</w:t>
            </w:r>
            <w:r w:rsidR="00F64079">
              <w:t xml:space="preserve"> and 2016</w:t>
            </w:r>
            <w:r w:rsidRPr="00CD7195">
              <w:t xml:space="preserve"> National Social Housing Survey. Questions are based on the </w:t>
            </w:r>
            <w:r w:rsidR="00F64079">
              <w:t xml:space="preserve">Census </w:t>
            </w:r>
            <w:r w:rsidRPr="00CD7195">
              <w:t>‘Core Activity Need for Assistance’</w:t>
            </w:r>
            <w:r w:rsidR="00F64079">
              <w:t xml:space="preserve"> concept</w:t>
            </w:r>
            <w:r w:rsidRPr="00CD7195">
              <w:t>.</w:t>
            </w:r>
          </w:p>
        </w:tc>
      </w:tr>
      <w:tr w:rsidR="000707E5" w:rsidRPr="00CB4E91" w14:paraId="729F88F1" w14:textId="77777777" w:rsidTr="008D5D8E">
        <w:tc>
          <w:tcPr>
            <w:tcW w:w="1843" w:type="dxa"/>
            <w:shd w:val="clear" w:color="auto" w:fill="auto"/>
          </w:tcPr>
          <w:p w14:paraId="18C1987F" w14:textId="77777777" w:rsidR="000707E5" w:rsidRPr="00690ED2" w:rsidRDefault="000707E5" w:rsidP="00094389">
            <w:pPr>
              <w:pStyle w:val="Box"/>
              <w:jc w:val="left"/>
              <w:rPr>
                <w:b/>
              </w:rPr>
            </w:pPr>
            <w:r w:rsidRPr="00690ED2">
              <w:rPr>
                <w:b/>
                <w:bCs/>
              </w:rPr>
              <w:t>No tenure</w:t>
            </w:r>
          </w:p>
        </w:tc>
        <w:tc>
          <w:tcPr>
            <w:tcW w:w="6946" w:type="dxa"/>
            <w:shd w:val="clear" w:color="auto" w:fill="auto"/>
          </w:tcPr>
          <w:p w14:paraId="560400CC" w14:textId="77777777" w:rsidR="000707E5" w:rsidRPr="00954BC6" w:rsidRDefault="000707E5" w:rsidP="00517249">
            <w:pPr>
              <w:pStyle w:val="Box"/>
            </w:pPr>
            <w:r w:rsidRPr="00954BC6">
              <w:t>A type of housing tenure recorded for clients who are sleeping rough or do not have a legal right to occupy a dwelling and may be asked to leave at any time. It includes couch surfing, living in an institutional setting, living on the streets, sleeping in parks, squatting, using cars or railway carriages, improvised dwellings or living in long grass.</w:t>
            </w:r>
          </w:p>
        </w:tc>
      </w:tr>
      <w:tr w:rsidR="000707E5" w:rsidRPr="00CB4E91" w14:paraId="6EEAA6AD" w14:textId="77777777" w:rsidTr="008D5D8E">
        <w:tc>
          <w:tcPr>
            <w:tcW w:w="1843" w:type="dxa"/>
            <w:shd w:val="clear" w:color="auto" w:fill="auto"/>
          </w:tcPr>
          <w:p w14:paraId="6D5588E6" w14:textId="77777777" w:rsidR="000707E5" w:rsidRPr="00690ED2" w:rsidRDefault="000707E5" w:rsidP="00094389">
            <w:pPr>
              <w:pStyle w:val="Box"/>
              <w:jc w:val="left"/>
              <w:rPr>
                <w:b/>
              </w:rPr>
            </w:pPr>
            <w:r w:rsidRPr="00690ED2">
              <w:rPr>
                <w:b/>
                <w:bCs/>
              </w:rPr>
              <w:t>Non</w:t>
            </w:r>
            <w:r>
              <w:rPr>
                <w:b/>
                <w:bCs/>
              </w:rPr>
              <w:noBreakHyphen/>
            </w:r>
            <w:r w:rsidR="008D5D8E">
              <w:rPr>
                <w:b/>
                <w:bCs/>
              </w:rPr>
              <w:br/>
            </w:r>
            <w:r w:rsidRPr="00690ED2">
              <w:rPr>
                <w:b/>
                <w:bCs/>
              </w:rPr>
              <w:t>conventional accommodation</w:t>
            </w:r>
          </w:p>
        </w:tc>
        <w:tc>
          <w:tcPr>
            <w:tcW w:w="6946" w:type="dxa"/>
            <w:shd w:val="clear" w:color="auto" w:fill="auto"/>
          </w:tcPr>
          <w:p w14:paraId="0571C96F" w14:textId="77777777" w:rsidR="000707E5" w:rsidRDefault="000707E5" w:rsidP="00094389">
            <w:pPr>
              <w:pStyle w:val="Box"/>
            </w:pPr>
            <w:r w:rsidRPr="00CD7195">
              <w:t>Non</w:t>
            </w:r>
            <w:r>
              <w:noBreakHyphen/>
            </w:r>
            <w:r w:rsidRPr="00954BC6">
              <w:t>conventional</w:t>
            </w:r>
            <w:r w:rsidRPr="00CD7195">
              <w:t xml:space="preserve"> accommodation is defined as:</w:t>
            </w:r>
          </w:p>
          <w:tbl>
            <w:tblPr>
              <w:tblStyle w:val="TableGrid"/>
              <w:tblW w:w="63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Categories of non-conventional accommodation"/>
            </w:tblPr>
            <w:tblGrid>
              <w:gridCol w:w="2552"/>
              <w:gridCol w:w="3846"/>
            </w:tblGrid>
            <w:tr w:rsidR="000707E5" w14:paraId="7E29DB63" w14:textId="77777777" w:rsidTr="00094389">
              <w:tc>
                <w:tcPr>
                  <w:tcW w:w="2552" w:type="dxa"/>
                </w:tcPr>
                <w:p w14:paraId="79494DC2" w14:textId="77777777" w:rsidR="000707E5" w:rsidRPr="00954BC6" w:rsidRDefault="000707E5" w:rsidP="008D5D8E">
                  <w:pPr>
                    <w:pStyle w:val="BoxListBullet"/>
                    <w:spacing w:before="60"/>
                  </w:pPr>
                  <w:r w:rsidRPr="00954BC6">
                    <w:t>living on the streets</w:t>
                  </w:r>
                </w:p>
                <w:p w14:paraId="0C3912A7" w14:textId="77777777" w:rsidR="000707E5" w:rsidRPr="00954BC6" w:rsidRDefault="000707E5" w:rsidP="008D5D8E">
                  <w:pPr>
                    <w:pStyle w:val="BoxListBullet"/>
                    <w:spacing w:before="60"/>
                  </w:pPr>
                  <w:r w:rsidRPr="00954BC6">
                    <w:t>sleeping in parks</w:t>
                  </w:r>
                </w:p>
                <w:p w14:paraId="048D37DC" w14:textId="77777777" w:rsidR="000707E5" w:rsidRDefault="000707E5" w:rsidP="008D5D8E">
                  <w:pPr>
                    <w:pStyle w:val="BoxListBullet"/>
                    <w:spacing w:before="60"/>
                  </w:pPr>
                  <w:r>
                    <w:t>squatting</w:t>
                  </w:r>
                </w:p>
              </w:tc>
              <w:tc>
                <w:tcPr>
                  <w:tcW w:w="3846" w:type="dxa"/>
                </w:tcPr>
                <w:p w14:paraId="38A4A653" w14:textId="77777777" w:rsidR="000707E5" w:rsidRPr="00954BC6" w:rsidRDefault="000707E5" w:rsidP="008D5D8E">
                  <w:pPr>
                    <w:pStyle w:val="BoxListBullet"/>
                    <w:spacing w:before="60"/>
                  </w:pPr>
                  <w:r w:rsidRPr="00954BC6">
                    <w:t>staying in cars or railway carriages</w:t>
                  </w:r>
                </w:p>
                <w:p w14:paraId="1F8D88DC" w14:textId="77777777" w:rsidR="000707E5" w:rsidRDefault="000707E5" w:rsidP="008D5D8E">
                  <w:pPr>
                    <w:pStyle w:val="BoxListBullet"/>
                    <w:spacing w:before="60"/>
                  </w:pPr>
                  <w:r w:rsidRPr="00954BC6">
                    <w:t>living in improvised dwellings</w:t>
                  </w:r>
                </w:p>
                <w:p w14:paraId="13C81712" w14:textId="77777777" w:rsidR="000707E5" w:rsidRDefault="000707E5" w:rsidP="008D5D8E">
                  <w:pPr>
                    <w:pStyle w:val="BoxListBullet"/>
                    <w:spacing w:before="60"/>
                  </w:pPr>
                  <w:r w:rsidRPr="00954BC6">
                    <w:t>living in long grass.</w:t>
                  </w:r>
                </w:p>
              </w:tc>
            </w:tr>
          </w:tbl>
          <w:p w14:paraId="26D25A9B" w14:textId="77777777" w:rsidR="000707E5" w:rsidRPr="00CD7195" w:rsidRDefault="000707E5" w:rsidP="00094389">
            <w:pPr>
              <w:pStyle w:val="BoxListBullet"/>
              <w:numPr>
                <w:ilvl w:val="0"/>
                <w:numId w:val="0"/>
              </w:numPr>
              <w:ind w:left="284"/>
            </w:pPr>
          </w:p>
        </w:tc>
      </w:tr>
      <w:tr w:rsidR="006E3B63" w:rsidRPr="00CB4E91" w14:paraId="1BB4F4ED" w14:textId="77777777" w:rsidTr="008D5D8E">
        <w:tc>
          <w:tcPr>
            <w:tcW w:w="1843" w:type="dxa"/>
            <w:shd w:val="clear" w:color="auto" w:fill="auto"/>
          </w:tcPr>
          <w:p w14:paraId="3B0927CB" w14:textId="65FE1FDA" w:rsidR="006E3B63" w:rsidRPr="006E3B63" w:rsidRDefault="009F23A2" w:rsidP="006E3B63">
            <w:pPr>
              <w:pStyle w:val="Box"/>
              <w:ind w:right="-108"/>
              <w:jc w:val="left"/>
              <w:rPr>
                <w:b/>
                <w:bCs/>
              </w:rPr>
            </w:pPr>
            <w:r w:rsidRPr="009F23A2">
              <w:rPr>
                <w:b/>
              </w:rPr>
              <w:t>Non</w:t>
            </w:r>
            <w:r w:rsidR="007E335A">
              <w:rPr>
                <w:b/>
              </w:rPr>
              <w:noBreakHyphen/>
            </w:r>
            <w:r w:rsidRPr="009F23A2">
              <w:rPr>
                <w:b/>
              </w:rPr>
              <w:t>main English speaking countries</w:t>
            </w:r>
          </w:p>
        </w:tc>
        <w:tc>
          <w:tcPr>
            <w:tcW w:w="6946" w:type="dxa"/>
            <w:shd w:val="clear" w:color="auto" w:fill="auto"/>
          </w:tcPr>
          <w:p w14:paraId="694874C7" w14:textId="13E077D8" w:rsidR="006E3B63" w:rsidRPr="00CD7195" w:rsidRDefault="009F23A2" w:rsidP="009F23A2">
            <w:pPr>
              <w:pStyle w:val="Box"/>
            </w:pPr>
            <w:r w:rsidRPr="009F23A2">
              <w:t>Non</w:t>
            </w:r>
            <w:r w:rsidR="007E335A">
              <w:noBreakHyphen/>
            </w:r>
            <w:r w:rsidRPr="009F23A2">
              <w:t xml:space="preserve">main English speaking countries </w:t>
            </w:r>
            <w:r>
              <w:t>(n</w:t>
            </w:r>
            <w:r w:rsidR="006E3B63" w:rsidRPr="006E3B63">
              <w:t>on</w:t>
            </w:r>
            <w:r w:rsidR="006E3B63">
              <w:noBreakHyphen/>
            </w:r>
            <w:r w:rsidR="006E3B63" w:rsidRPr="006E3B63">
              <w:t>MESC</w:t>
            </w:r>
            <w:r>
              <w:t>)</w:t>
            </w:r>
            <w:r w:rsidR="006E3B63" w:rsidRPr="006E3B63">
              <w:t xml:space="preserve"> are all countries except Australia, United Kingdom, Republic of Ireland, New Zealand, Canada, United States of America and South Africa.</w:t>
            </w:r>
          </w:p>
        </w:tc>
      </w:tr>
      <w:tr w:rsidR="000707E5" w:rsidRPr="00CB4E91" w14:paraId="140D877B" w14:textId="77777777" w:rsidTr="008D5D8E">
        <w:tc>
          <w:tcPr>
            <w:tcW w:w="1843" w:type="dxa"/>
            <w:shd w:val="clear" w:color="auto" w:fill="auto"/>
          </w:tcPr>
          <w:p w14:paraId="0824DA87" w14:textId="77777777" w:rsidR="000707E5" w:rsidRPr="00690ED2" w:rsidRDefault="000707E5" w:rsidP="00094389">
            <w:pPr>
              <w:pStyle w:val="Box"/>
              <w:jc w:val="left"/>
              <w:rPr>
                <w:b/>
              </w:rPr>
            </w:pPr>
            <w:r w:rsidRPr="00690ED2">
              <w:rPr>
                <w:b/>
                <w:bCs/>
              </w:rPr>
              <w:t>Ongoing support period</w:t>
            </w:r>
          </w:p>
        </w:tc>
        <w:tc>
          <w:tcPr>
            <w:tcW w:w="6946" w:type="dxa"/>
            <w:shd w:val="clear" w:color="auto" w:fill="auto"/>
          </w:tcPr>
          <w:p w14:paraId="08E029E3" w14:textId="77777777" w:rsidR="000707E5" w:rsidRPr="00CD7195" w:rsidRDefault="000707E5" w:rsidP="00094389">
            <w:pPr>
              <w:pStyle w:val="Box"/>
            </w:pPr>
            <w:r w:rsidRPr="00CD7195">
              <w:t>A support period is considered ongoing at the end of the reporting</w:t>
            </w:r>
            <w:r>
              <w:t xml:space="preserve"> </w:t>
            </w:r>
            <w:r w:rsidRPr="00CD7195">
              <w:t>period if each of the following conditions is met:</w:t>
            </w:r>
          </w:p>
          <w:p w14:paraId="1AB3AFD3" w14:textId="77777777" w:rsidR="000707E5" w:rsidRPr="00954BC6" w:rsidRDefault="000707E5" w:rsidP="008D5D8E">
            <w:pPr>
              <w:pStyle w:val="BoxListBullet"/>
              <w:spacing w:before="60"/>
            </w:pPr>
            <w:r w:rsidRPr="00954BC6">
              <w:t>no support end</w:t>
            </w:r>
            <w:r>
              <w:noBreakHyphen/>
            </w:r>
            <w:r w:rsidRPr="00954BC6">
              <w:t>date is provided</w:t>
            </w:r>
          </w:p>
          <w:p w14:paraId="7A6CFAA1" w14:textId="77777777" w:rsidR="000707E5" w:rsidRPr="00954BC6" w:rsidRDefault="000707E5" w:rsidP="008D5D8E">
            <w:pPr>
              <w:pStyle w:val="BoxListBullet"/>
              <w:spacing w:before="60"/>
            </w:pPr>
            <w:r w:rsidRPr="00954BC6">
              <w:t>no after</w:t>
            </w:r>
            <w:r>
              <w:noBreakHyphen/>
            </w:r>
            <w:r w:rsidRPr="00954BC6">
              <w:t>support information is provided</w:t>
            </w:r>
          </w:p>
          <w:p w14:paraId="41D7EF8B" w14:textId="77777777" w:rsidR="000707E5" w:rsidRPr="00CD7195" w:rsidRDefault="000707E5" w:rsidP="008D5D8E">
            <w:pPr>
              <w:pStyle w:val="BoxListBullet"/>
              <w:spacing w:before="60"/>
            </w:pPr>
            <w:r w:rsidRPr="00954BC6">
              <w:t>corresponding client data was received in the month following the end of the reporting period.</w:t>
            </w:r>
          </w:p>
        </w:tc>
      </w:tr>
      <w:tr w:rsidR="000707E5" w:rsidRPr="00CB4E91" w14:paraId="77CFA2E7" w14:textId="77777777" w:rsidTr="008D5D8E">
        <w:tc>
          <w:tcPr>
            <w:tcW w:w="1843" w:type="dxa"/>
            <w:shd w:val="clear" w:color="auto" w:fill="auto"/>
          </w:tcPr>
          <w:p w14:paraId="6613474F" w14:textId="77777777" w:rsidR="000707E5" w:rsidRPr="00954BC6" w:rsidRDefault="000707E5" w:rsidP="00094389">
            <w:pPr>
              <w:pStyle w:val="Box"/>
              <w:jc w:val="left"/>
              <w:rPr>
                <w:b/>
                <w:bCs/>
              </w:rPr>
            </w:pPr>
            <w:r w:rsidRPr="00954BC6">
              <w:rPr>
                <w:b/>
                <w:bCs/>
              </w:rPr>
              <w:t>Real expenditure</w:t>
            </w:r>
          </w:p>
        </w:tc>
        <w:tc>
          <w:tcPr>
            <w:tcW w:w="6946" w:type="dxa"/>
            <w:shd w:val="clear" w:color="auto" w:fill="auto"/>
          </w:tcPr>
          <w:p w14:paraId="0CA3826F" w14:textId="40D24A96" w:rsidR="000707E5" w:rsidRPr="00954BC6" w:rsidRDefault="000707E5" w:rsidP="00F02C24">
            <w:pPr>
              <w:pStyle w:val="Box"/>
            </w:pPr>
            <w:r w:rsidRPr="00954BC6">
              <w:t>Actual expenditure adjusted for changes in prices. Adjustments are made using the General Government Final Consumption Expenditure (</w:t>
            </w:r>
            <w:proofErr w:type="spellStart"/>
            <w:r w:rsidRPr="00954BC6">
              <w:t>GGFCE</w:t>
            </w:r>
            <w:proofErr w:type="spellEnd"/>
            <w:r w:rsidRPr="00954BC6">
              <w:t>) chain price deflator (201</w:t>
            </w:r>
            <w:r w:rsidR="00F02C24">
              <w:t>5</w:t>
            </w:r>
            <w:r w:rsidRPr="00954BC6">
              <w:noBreakHyphen/>
              <w:t>1</w:t>
            </w:r>
            <w:r w:rsidR="00F02C24">
              <w:t>6</w:t>
            </w:r>
            <w:r w:rsidRPr="00954BC6">
              <w:t>=100).</w:t>
            </w:r>
          </w:p>
        </w:tc>
      </w:tr>
      <w:tr w:rsidR="000707E5" w:rsidRPr="00CB4E91" w14:paraId="4090F641" w14:textId="77777777" w:rsidTr="008D5D8E">
        <w:tc>
          <w:tcPr>
            <w:tcW w:w="1843" w:type="dxa"/>
            <w:shd w:val="clear" w:color="auto" w:fill="auto"/>
          </w:tcPr>
          <w:p w14:paraId="73A97C2A" w14:textId="77777777" w:rsidR="000707E5" w:rsidRPr="00954BC6" w:rsidRDefault="000707E5" w:rsidP="00094389">
            <w:pPr>
              <w:pStyle w:val="Box"/>
              <w:jc w:val="left"/>
              <w:rPr>
                <w:b/>
                <w:bCs/>
              </w:rPr>
            </w:pPr>
            <w:r w:rsidRPr="00954BC6">
              <w:rPr>
                <w:b/>
                <w:bCs/>
              </w:rPr>
              <w:t>Referral</w:t>
            </w:r>
          </w:p>
        </w:tc>
        <w:tc>
          <w:tcPr>
            <w:tcW w:w="6946" w:type="dxa"/>
            <w:shd w:val="clear" w:color="auto" w:fill="auto"/>
          </w:tcPr>
          <w:p w14:paraId="480D4806" w14:textId="77777777" w:rsidR="000707E5" w:rsidRPr="00954BC6" w:rsidRDefault="000707E5" w:rsidP="00094389">
            <w:pPr>
              <w:pStyle w:val="Box"/>
            </w:pPr>
            <w:r w:rsidRPr="00954BC6">
              <w:t>When an agency contacts another agency and that agency accepts the person concerned for an appointment or interview. A referral is not provided if the person is not accepted for an appointment or interview.</w:t>
            </w:r>
          </w:p>
        </w:tc>
      </w:tr>
      <w:tr w:rsidR="00CB42CD" w:rsidRPr="00CB4E91" w14:paraId="3D83A4F3" w14:textId="77777777" w:rsidTr="008D5D8E">
        <w:tc>
          <w:tcPr>
            <w:tcW w:w="1843" w:type="dxa"/>
            <w:shd w:val="clear" w:color="auto" w:fill="auto"/>
          </w:tcPr>
          <w:p w14:paraId="0B28C251" w14:textId="17E0F431" w:rsidR="00CB42CD" w:rsidRPr="00954BC6" w:rsidRDefault="00CB42CD" w:rsidP="007313F2">
            <w:pPr>
              <w:pStyle w:val="Box"/>
              <w:jc w:val="left"/>
              <w:rPr>
                <w:b/>
                <w:bCs/>
              </w:rPr>
            </w:pPr>
            <w:r>
              <w:rPr>
                <w:b/>
                <w:bCs/>
              </w:rPr>
              <w:t>S</w:t>
            </w:r>
            <w:r w:rsidRPr="00CB42CD">
              <w:rPr>
                <w:b/>
                <w:bCs/>
              </w:rPr>
              <w:t>everely crowded</w:t>
            </w:r>
            <w:r>
              <w:rPr>
                <w:b/>
                <w:bCs/>
              </w:rPr>
              <w:t xml:space="preserve"> dwelling</w:t>
            </w:r>
          </w:p>
        </w:tc>
        <w:tc>
          <w:tcPr>
            <w:tcW w:w="6946" w:type="dxa"/>
            <w:shd w:val="clear" w:color="auto" w:fill="auto"/>
          </w:tcPr>
          <w:p w14:paraId="35B36056" w14:textId="4FC1877A" w:rsidR="00CB42CD" w:rsidRPr="00954BC6" w:rsidRDefault="00CB42CD" w:rsidP="00094389">
            <w:pPr>
              <w:pStyle w:val="Box"/>
            </w:pPr>
            <w:r w:rsidRPr="00CB42CD">
              <w:t xml:space="preserve">The ABS categorises a dwelling as severely crowded if it requires four or more extra bedrooms to accommodate the number of people who usually live there, based on the Canadian National Occupancy Standard (ABS </w:t>
            </w:r>
            <w:proofErr w:type="spellStart"/>
            <w:r w:rsidRPr="00CB42CD">
              <w:t>2012b</w:t>
            </w:r>
            <w:proofErr w:type="spellEnd"/>
            <w:r w:rsidRPr="00CB42CD">
              <w:t>).</w:t>
            </w:r>
          </w:p>
        </w:tc>
      </w:tr>
    </w:tbl>
    <w:p w14:paraId="144400EB" w14:textId="77777777" w:rsidR="006E3B63" w:rsidRDefault="006E3B63"/>
    <w:tbl>
      <w:tblPr>
        <w:tblW w:w="0" w:type="auto"/>
        <w:tblInd w:w="108" w:type="dxa"/>
        <w:tblLayout w:type="fixed"/>
        <w:tblLook w:val="0000" w:firstRow="0" w:lastRow="0" w:firstColumn="0" w:lastColumn="0" w:noHBand="0" w:noVBand="0"/>
      </w:tblPr>
      <w:tblGrid>
        <w:gridCol w:w="1843"/>
        <w:gridCol w:w="28"/>
        <w:gridCol w:w="6918"/>
      </w:tblGrid>
      <w:tr w:rsidR="008D5D8E" w:rsidRPr="00CB4E91" w14:paraId="26A07528" w14:textId="77777777" w:rsidTr="008D5D8E">
        <w:tc>
          <w:tcPr>
            <w:tcW w:w="1843" w:type="dxa"/>
            <w:shd w:val="clear" w:color="auto" w:fill="auto"/>
          </w:tcPr>
          <w:p w14:paraId="0FE40107" w14:textId="77777777" w:rsidR="008D5D8E" w:rsidRPr="008D5D8E" w:rsidRDefault="008D5D8E" w:rsidP="001F7787">
            <w:pPr>
              <w:pStyle w:val="Box"/>
              <w:jc w:val="left"/>
              <w:rPr>
                <w:b/>
                <w:bCs/>
              </w:rPr>
            </w:pPr>
            <w:r w:rsidRPr="00690ED2">
              <w:rPr>
                <w:b/>
                <w:bCs/>
              </w:rPr>
              <w:lastRenderedPageBreak/>
              <w:t>Short</w:t>
            </w:r>
            <w:r>
              <w:rPr>
                <w:b/>
                <w:bCs/>
              </w:rPr>
              <w:noBreakHyphen/>
            </w:r>
            <w:r w:rsidRPr="00690ED2">
              <w:rPr>
                <w:b/>
                <w:bCs/>
              </w:rPr>
              <w:t>term or emergency accommodation</w:t>
            </w:r>
          </w:p>
        </w:tc>
        <w:tc>
          <w:tcPr>
            <w:tcW w:w="6946" w:type="dxa"/>
            <w:gridSpan w:val="2"/>
            <w:shd w:val="clear" w:color="auto" w:fill="auto"/>
          </w:tcPr>
          <w:p w14:paraId="39083239" w14:textId="77777777" w:rsidR="008D5D8E" w:rsidRPr="00954BC6" w:rsidRDefault="008D5D8E" w:rsidP="001F7787">
            <w:pPr>
              <w:pStyle w:val="Box"/>
            </w:pPr>
            <w:r w:rsidRPr="00CD7195">
              <w:t>Short</w:t>
            </w:r>
            <w:r>
              <w:noBreakHyphen/>
            </w:r>
            <w:r w:rsidRPr="00CD7195">
              <w:t xml:space="preserve">term or </w:t>
            </w:r>
            <w:r w:rsidRPr="00954BC6">
              <w:t>emergency</w:t>
            </w:r>
            <w:r w:rsidRPr="00CD7195">
              <w:t xml:space="preserve"> accommodation</w:t>
            </w:r>
            <w:r>
              <w:t xml:space="preserve"> </w:t>
            </w:r>
            <w:r w:rsidRPr="00CD7195">
              <w:t>includes:</w:t>
            </w:r>
            <w:r>
              <w:t xml:space="preserve"> </w:t>
            </w:r>
            <w:r w:rsidRPr="00954BC6">
              <w:t>refuges</w:t>
            </w:r>
            <w:r>
              <w:t xml:space="preserve">; </w:t>
            </w:r>
            <w:r w:rsidRPr="00954BC6">
              <w:t>crisis shelter</w:t>
            </w:r>
            <w:r>
              <w:t xml:space="preserve">; </w:t>
            </w:r>
            <w:r w:rsidRPr="00954BC6">
              <w:t>couch surfing</w:t>
            </w:r>
            <w:r>
              <w:t xml:space="preserve">; </w:t>
            </w:r>
            <w:r w:rsidRPr="00954BC6">
              <w:t>living temporarily with friends and relatives</w:t>
            </w:r>
            <w:r>
              <w:t xml:space="preserve">; </w:t>
            </w:r>
            <w:r w:rsidRPr="00954BC6">
              <w:t>insecure accommodation on a short</w:t>
            </w:r>
            <w:r>
              <w:noBreakHyphen/>
            </w:r>
            <w:r w:rsidRPr="00954BC6">
              <w:t>term basis</w:t>
            </w:r>
            <w:r>
              <w:t xml:space="preserve">; and, </w:t>
            </w:r>
            <w:r w:rsidRPr="00954BC6">
              <w:t>emergency accommodation arranged by a specialist homelessness agency (e.g. in hotels, motels etc.).</w:t>
            </w:r>
          </w:p>
          <w:p w14:paraId="0A7B95E5" w14:textId="77777777" w:rsidR="008D5D8E" w:rsidRPr="00CD7195" w:rsidRDefault="008D5D8E" w:rsidP="001F7787">
            <w:pPr>
              <w:pStyle w:val="Box"/>
            </w:pPr>
            <w:r w:rsidRPr="00CD7195">
              <w:t xml:space="preserve">The </w:t>
            </w:r>
            <w:r w:rsidRPr="00954BC6">
              <w:t>following</w:t>
            </w:r>
            <w:r w:rsidRPr="00CD7195">
              <w:t xml:space="preserve"> short</w:t>
            </w:r>
            <w:r>
              <w:noBreakHyphen/>
            </w:r>
            <w:r w:rsidRPr="00CD7195">
              <w:t>term accommodation options are not included:</w:t>
            </w:r>
          </w:p>
          <w:p w14:paraId="423215DC" w14:textId="77777777" w:rsidR="008D5D8E" w:rsidRPr="00954BC6" w:rsidRDefault="008D5D8E" w:rsidP="008D5D8E">
            <w:pPr>
              <w:pStyle w:val="BoxListBullet"/>
              <w:spacing w:before="60"/>
            </w:pPr>
            <w:r w:rsidRPr="00954BC6">
              <w:t>hotels, motels, caravan parks and other temporary accommodation used when a person is on holiday or travelling</w:t>
            </w:r>
          </w:p>
          <w:p w14:paraId="167D5E15" w14:textId="77777777" w:rsidR="008D5D8E" w:rsidRPr="00954BC6" w:rsidRDefault="008D5D8E" w:rsidP="008D5D8E">
            <w:pPr>
              <w:pStyle w:val="BoxListBullet"/>
              <w:spacing w:before="60"/>
            </w:pPr>
            <w:r w:rsidRPr="008D5D8E">
              <w:t>custodial</w:t>
            </w:r>
            <w:r w:rsidRPr="00954BC6">
              <w:t xml:space="preserve"> and care arrangements, such as prisons and hospitals</w:t>
            </w:r>
          </w:p>
          <w:p w14:paraId="628F1834" w14:textId="77777777" w:rsidR="008D5D8E" w:rsidRPr="00CD7195" w:rsidRDefault="008D5D8E" w:rsidP="008D5D8E">
            <w:pPr>
              <w:pStyle w:val="BoxListBullet"/>
              <w:spacing w:before="60"/>
            </w:pPr>
            <w:r w:rsidRPr="00954BC6">
              <w:t>temporary accommodation used by a person while renovating usual residence or building a new residence (e.g. weekenders, caravans).</w:t>
            </w:r>
          </w:p>
        </w:tc>
      </w:tr>
      <w:tr w:rsidR="000707E5" w:rsidRPr="00CB4E91" w14:paraId="1C446288" w14:textId="77777777" w:rsidTr="00094389">
        <w:tc>
          <w:tcPr>
            <w:tcW w:w="1871" w:type="dxa"/>
            <w:gridSpan w:val="2"/>
            <w:shd w:val="clear" w:color="auto" w:fill="auto"/>
          </w:tcPr>
          <w:p w14:paraId="74BB5971" w14:textId="77777777" w:rsidR="000707E5" w:rsidRPr="00690ED2" w:rsidRDefault="000707E5" w:rsidP="00094389">
            <w:pPr>
              <w:pStyle w:val="Box"/>
              <w:jc w:val="left"/>
              <w:rPr>
                <w:b/>
              </w:rPr>
            </w:pPr>
            <w:r w:rsidRPr="00690ED2">
              <w:rPr>
                <w:b/>
                <w:bCs/>
              </w:rPr>
              <w:t>Specialist homelessness agency</w:t>
            </w:r>
          </w:p>
        </w:tc>
        <w:tc>
          <w:tcPr>
            <w:tcW w:w="6918" w:type="dxa"/>
            <w:shd w:val="clear" w:color="auto" w:fill="auto"/>
          </w:tcPr>
          <w:p w14:paraId="5263430E" w14:textId="77777777" w:rsidR="000707E5" w:rsidRPr="00954BC6" w:rsidRDefault="000707E5" w:rsidP="00094389">
            <w:pPr>
              <w:pStyle w:val="Box"/>
            </w:pPr>
            <w:r w:rsidRPr="00CD7195">
              <w:t xml:space="preserve">An organisation that receives government funding to deliver specialist </w:t>
            </w:r>
            <w:r w:rsidRPr="00954BC6">
              <w:t>homelessness services. Assistance is provided to clients aimed at responding to or preventing homelessness. Agencies may also receive funding from other sources.</w:t>
            </w:r>
          </w:p>
          <w:p w14:paraId="4510456E" w14:textId="4B817791" w:rsidR="000707E5" w:rsidRPr="00CD7195" w:rsidRDefault="000707E5" w:rsidP="00551952">
            <w:pPr>
              <w:pStyle w:val="Box"/>
              <w:spacing w:after="120"/>
            </w:pPr>
            <w:r w:rsidRPr="00954BC6">
              <w:t xml:space="preserve">Inclusion of agencies in the </w:t>
            </w:r>
            <w:r w:rsidR="00551952" w:rsidRPr="00551952">
              <w:t xml:space="preserve">specialist homelessness services </w:t>
            </w:r>
            <w:r w:rsidR="00551952">
              <w:t>collection</w:t>
            </w:r>
            <w:r w:rsidRPr="00954BC6">
              <w:t xml:space="preserve"> is determined by the state and territory departments responsible for administering the government response to homelessness. Not all funde</w:t>
            </w:r>
            <w:r w:rsidRPr="00CD7195">
              <w:t>d agencies are required to participate in data collection.</w:t>
            </w:r>
          </w:p>
        </w:tc>
      </w:tr>
      <w:tr w:rsidR="000707E5" w:rsidRPr="00CB4E91" w14:paraId="6AE456FE" w14:textId="77777777" w:rsidTr="00094389">
        <w:tc>
          <w:tcPr>
            <w:tcW w:w="1871" w:type="dxa"/>
            <w:gridSpan w:val="2"/>
            <w:shd w:val="clear" w:color="auto" w:fill="auto"/>
          </w:tcPr>
          <w:p w14:paraId="0684BF85" w14:textId="77777777" w:rsidR="000707E5" w:rsidRPr="00690ED2" w:rsidRDefault="000707E5" w:rsidP="00094389">
            <w:pPr>
              <w:pStyle w:val="Box"/>
              <w:keepNext w:val="0"/>
              <w:jc w:val="left"/>
              <w:rPr>
                <w:b/>
                <w:bCs/>
              </w:rPr>
            </w:pPr>
            <w:r w:rsidRPr="00690ED2">
              <w:rPr>
                <w:b/>
                <w:bCs/>
              </w:rPr>
              <w:t>Specialist homelessness service(s)</w:t>
            </w:r>
          </w:p>
        </w:tc>
        <w:tc>
          <w:tcPr>
            <w:tcW w:w="6918" w:type="dxa"/>
            <w:shd w:val="clear" w:color="auto" w:fill="auto"/>
          </w:tcPr>
          <w:p w14:paraId="2DB40911" w14:textId="77777777" w:rsidR="000707E5" w:rsidRPr="00CD7195" w:rsidRDefault="000707E5" w:rsidP="00094389">
            <w:pPr>
              <w:pStyle w:val="Box"/>
            </w:pPr>
            <w:r w:rsidRPr="00954BC6">
              <w:t>Assistance</w:t>
            </w:r>
            <w:r w:rsidRPr="00CD7195">
              <w:t xml:space="preserve"> provided by a specialist homelessness agency</w:t>
            </w:r>
            <w:r>
              <w:t xml:space="preserve"> </w:t>
            </w:r>
            <w:r w:rsidRPr="00CD7195">
              <w:t>to a client aimed at responding to or preventing homelessness. The specialist homelessness services that are in scope for this collection and that may be provided during a support period are:</w:t>
            </w:r>
          </w:p>
          <w:p w14:paraId="6ECC8A0B" w14:textId="77777777" w:rsidR="000707E5" w:rsidRPr="00CD7195" w:rsidRDefault="000707E5" w:rsidP="00094389">
            <w:pPr>
              <w:pStyle w:val="Box"/>
            </w:pPr>
            <w:r w:rsidRPr="00C84BB5">
              <w:rPr>
                <w:i/>
              </w:rPr>
              <w:t>Housing/accommodation services</w:t>
            </w:r>
            <w:r w:rsidRPr="00CD7195">
              <w:t>:</w:t>
            </w:r>
          </w:p>
          <w:p w14:paraId="37D8C307" w14:textId="77777777" w:rsidR="000707E5" w:rsidRPr="00954BC6" w:rsidRDefault="000707E5" w:rsidP="00094389">
            <w:pPr>
              <w:pStyle w:val="BoxListBullet"/>
              <w:spacing w:before="60" w:line="240" w:lineRule="atLeast"/>
              <w:jc w:val="left"/>
            </w:pPr>
            <w:r w:rsidRPr="00954BC6">
              <w:t>short</w:t>
            </w:r>
            <w:r>
              <w:noBreakHyphen/>
            </w:r>
            <w:r w:rsidRPr="00954BC6">
              <w:t>term or emergency accommodation</w:t>
            </w:r>
          </w:p>
          <w:p w14:paraId="11BEC747" w14:textId="77777777" w:rsidR="000707E5" w:rsidRPr="00954BC6" w:rsidRDefault="000707E5" w:rsidP="00094389">
            <w:pPr>
              <w:pStyle w:val="BoxListBullet"/>
              <w:spacing w:before="60" w:line="240" w:lineRule="atLeast"/>
              <w:jc w:val="left"/>
            </w:pPr>
            <w:r w:rsidRPr="00954BC6">
              <w:t>medium</w:t>
            </w:r>
            <w:r>
              <w:noBreakHyphen/>
            </w:r>
            <w:r w:rsidRPr="00954BC6">
              <w:t>term/transitional housing</w:t>
            </w:r>
          </w:p>
          <w:p w14:paraId="5EEF9933" w14:textId="77777777" w:rsidR="000707E5" w:rsidRPr="00954BC6" w:rsidRDefault="000707E5" w:rsidP="00094389">
            <w:pPr>
              <w:pStyle w:val="BoxListBullet"/>
              <w:spacing w:before="60" w:line="240" w:lineRule="atLeast"/>
              <w:jc w:val="left"/>
            </w:pPr>
            <w:r w:rsidRPr="00954BC6">
              <w:t>long</w:t>
            </w:r>
            <w:r>
              <w:noBreakHyphen/>
            </w:r>
            <w:r w:rsidRPr="00954BC6">
              <w:t>term housing</w:t>
            </w:r>
          </w:p>
          <w:p w14:paraId="28D53263" w14:textId="77777777" w:rsidR="000707E5" w:rsidRPr="00954BC6" w:rsidRDefault="000707E5" w:rsidP="00094389">
            <w:pPr>
              <w:pStyle w:val="BoxListBullet"/>
              <w:spacing w:before="60" w:line="240" w:lineRule="atLeast"/>
              <w:jc w:val="left"/>
            </w:pPr>
            <w:r w:rsidRPr="00954BC6">
              <w:t>assistance to sustain tenancy or prevent tenancy failure or eviction</w:t>
            </w:r>
          </w:p>
          <w:p w14:paraId="15FAD948" w14:textId="77777777" w:rsidR="000707E5" w:rsidRDefault="000707E5" w:rsidP="00094389">
            <w:pPr>
              <w:pStyle w:val="BoxListBullet"/>
              <w:spacing w:before="60" w:line="240" w:lineRule="atLeast"/>
              <w:jc w:val="left"/>
            </w:pPr>
            <w:r w:rsidRPr="00954BC6">
              <w:t>assistance to prevent foreclosures or for mortgage arrears.</w:t>
            </w:r>
          </w:p>
          <w:p w14:paraId="536E666A" w14:textId="77777777" w:rsidR="006E3B63" w:rsidRDefault="006E3B63" w:rsidP="006E3B63">
            <w:pPr>
              <w:pStyle w:val="Box"/>
            </w:pPr>
            <w:r w:rsidRPr="00C84BB5">
              <w:rPr>
                <w:i/>
              </w:rPr>
              <w:t>Specialised services</w:t>
            </w:r>
            <w:r w:rsidRPr="00CD7195">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Categories of specialised services"/>
            </w:tblPr>
            <w:tblGrid>
              <w:gridCol w:w="3470"/>
              <w:gridCol w:w="3402"/>
            </w:tblGrid>
            <w:tr w:rsidR="006E3B63" w14:paraId="4E29CAFB" w14:textId="77777777" w:rsidTr="00D70D08">
              <w:tc>
                <w:tcPr>
                  <w:tcW w:w="3470" w:type="dxa"/>
                  <w:shd w:val="clear" w:color="auto" w:fill="FFFFFF" w:themeFill="background1"/>
                </w:tcPr>
                <w:p w14:paraId="4D5BC062" w14:textId="77777777" w:rsidR="006E3B63" w:rsidRPr="00C84BB5" w:rsidRDefault="006E3B63" w:rsidP="00D70D08">
                  <w:pPr>
                    <w:pStyle w:val="BoxListBullet"/>
                    <w:spacing w:before="60" w:line="240" w:lineRule="atLeast"/>
                    <w:jc w:val="left"/>
                  </w:pPr>
                  <w:r w:rsidRPr="00C84BB5">
                    <w:t>child protection services</w:t>
                  </w:r>
                </w:p>
                <w:p w14:paraId="53F03B34" w14:textId="77777777" w:rsidR="006E3B63" w:rsidRPr="00C84BB5" w:rsidRDefault="006E3B63" w:rsidP="00D70D08">
                  <w:pPr>
                    <w:pStyle w:val="BoxListBullet"/>
                    <w:spacing w:before="60" w:line="240" w:lineRule="atLeast"/>
                    <w:jc w:val="left"/>
                  </w:pPr>
                  <w:r w:rsidRPr="00C84BB5">
                    <w:t>parenting skills education</w:t>
                  </w:r>
                </w:p>
                <w:p w14:paraId="421C1E4B" w14:textId="77777777" w:rsidR="006E3B63" w:rsidRPr="00C84BB5" w:rsidRDefault="006E3B63" w:rsidP="00D70D08">
                  <w:pPr>
                    <w:pStyle w:val="BoxListBullet"/>
                    <w:spacing w:before="60" w:line="240" w:lineRule="atLeast"/>
                    <w:jc w:val="left"/>
                  </w:pPr>
                  <w:r w:rsidRPr="00C84BB5">
                    <w:t>child</w:t>
                  </w:r>
                  <w:r w:rsidRPr="00C84BB5">
                    <w:noBreakHyphen/>
                    <w:t>specific specialist counselling services</w:t>
                  </w:r>
                </w:p>
                <w:p w14:paraId="4BC30C5F" w14:textId="77777777" w:rsidR="006E3B63" w:rsidRPr="00C84BB5" w:rsidRDefault="006E3B63" w:rsidP="00D70D08">
                  <w:pPr>
                    <w:pStyle w:val="BoxListBullet"/>
                    <w:spacing w:before="60" w:line="240" w:lineRule="atLeast"/>
                    <w:jc w:val="left"/>
                  </w:pPr>
                  <w:r w:rsidRPr="00C84BB5">
                    <w:t>psychological services</w:t>
                  </w:r>
                </w:p>
                <w:p w14:paraId="14BE6C49" w14:textId="77777777" w:rsidR="006E3B63" w:rsidRPr="00C84BB5" w:rsidRDefault="006E3B63" w:rsidP="00D70D08">
                  <w:pPr>
                    <w:pStyle w:val="BoxListBullet"/>
                    <w:spacing w:before="60" w:line="240" w:lineRule="atLeast"/>
                    <w:jc w:val="left"/>
                  </w:pPr>
                  <w:r w:rsidRPr="00C84BB5">
                    <w:t>psychiatric services</w:t>
                  </w:r>
                </w:p>
                <w:p w14:paraId="684CE2D7" w14:textId="77777777" w:rsidR="006E3B63" w:rsidRPr="00C84BB5" w:rsidRDefault="006E3B63" w:rsidP="00D70D08">
                  <w:pPr>
                    <w:pStyle w:val="BoxListBullet"/>
                    <w:spacing w:before="60" w:line="240" w:lineRule="atLeast"/>
                    <w:jc w:val="left"/>
                  </w:pPr>
                  <w:r w:rsidRPr="00C84BB5">
                    <w:t>mental health services</w:t>
                  </w:r>
                </w:p>
                <w:p w14:paraId="68A74664" w14:textId="77777777" w:rsidR="006E3B63" w:rsidRPr="00C84BB5" w:rsidRDefault="006E3B63" w:rsidP="00D70D08">
                  <w:pPr>
                    <w:pStyle w:val="BoxListBullet"/>
                    <w:spacing w:before="60" w:line="240" w:lineRule="atLeast"/>
                    <w:jc w:val="left"/>
                  </w:pPr>
                  <w:r w:rsidRPr="00C84BB5">
                    <w:t>pregnancy assistance</w:t>
                  </w:r>
                </w:p>
                <w:p w14:paraId="744466EE" w14:textId="77777777" w:rsidR="006E3B63" w:rsidRPr="00C84BB5" w:rsidRDefault="006E3B63" w:rsidP="00D70D08">
                  <w:pPr>
                    <w:pStyle w:val="BoxListBullet"/>
                    <w:spacing w:before="60" w:line="240" w:lineRule="atLeast"/>
                    <w:jc w:val="left"/>
                  </w:pPr>
                  <w:r w:rsidRPr="00C84BB5">
                    <w:t>family planning support</w:t>
                  </w:r>
                </w:p>
                <w:p w14:paraId="7F2DBB48" w14:textId="77777777" w:rsidR="006E3B63" w:rsidRPr="00C84BB5" w:rsidRDefault="006E3B63" w:rsidP="00D70D08">
                  <w:pPr>
                    <w:pStyle w:val="BoxListBullet"/>
                    <w:spacing w:before="60" w:line="240" w:lineRule="atLeast"/>
                    <w:jc w:val="left"/>
                  </w:pPr>
                  <w:r w:rsidRPr="00C84BB5">
                    <w:t>physical disability services</w:t>
                  </w:r>
                </w:p>
                <w:p w14:paraId="1876BF0E" w14:textId="77777777" w:rsidR="006E3B63" w:rsidRPr="00C84BB5" w:rsidRDefault="006E3B63" w:rsidP="00D70D08">
                  <w:pPr>
                    <w:pStyle w:val="BoxListBullet"/>
                    <w:spacing w:before="60" w:line="240" w:lineRule="atLeast"/>
                    <w:jc w:val="left"/>
                  </w:pPr>
                  <w:r w:rsidRPr="00C84BB5">
                    <w:t>intellectual disability services</w:t>
                  </w:r>
                </w:p>
                <w:p w14:paraId="1E8C4658" w14:textId="77777777" w:rsidR="006E3B63" w:rsidRPr="00C84BB5" w:rsidRDefault="006E3B63" w:rsidP="00D70D08">
                  <w:pPr>
                    <w:pStyle w:val="BoxListBullet"/>
                    <w:spacing w:before="60" w:line="240" w:lineRule="atLeast"/>
                    <w:jc w:val="left"/>
                  </w:pPr>
                  <w:r w:rsidRPr="00C84BB5">
                    <w:t>health/medical services</w:t>
                  </w:r>
                </w:p>
              </w:tc>
              <w:tc>
                <w:tcPr>
                  <w:tcW w:w="3402" w:type="dxa"/>
                  <w:shd w:val="clear" w:color="auto" w:fill="FFFFFF" w:themeFill="background1"/>
                </w:tcPr>
                <w:p w14:paraId="067351AC" w14:textId="0944A029" w:rsidR="006E3B63" w:rsidRPr="00C84BB5" w:rsidRDefault="002F631B" w:rsidP="00D70D08">
                  <w:pPr>
                    <w:pStyle w:val="BoxListBullet"/>
                    <w:spacing w:before="60" w:line="240" w:lineRule="atLeast"/>
                    <w:jc w:val="left"/>
                  </w:pPr>
                  <w:r>
                    <w:t>professional legal services</w:t>
                  </w:r>
                </w:p>
                <w:p w14:paraId="1110F3B3" w14:textId="77777777" w:rsidR="006E3B63" w:rsidRPr="00C84BB5" w:rsidRDefault="006E3B63" w:rsidP="00D70D08">
                  <w:pPr>
                    <w:pStyle w:val="BoxListBullet"/>
                    <w:spacing w:before="60" w:line="240" w:lineRule="atLeast"/>
                    <w:jc w:val="left"/>
                  </w:pPr>
                  <w:r w:rsidRPr="00C84BB5">
                    <w:t>financial advice and counselling</w:t>
                  </w:r>
                </w:p>
                <w:p w14:paraId="5261E70E" w14:textId="77777777" w:rsidR="006E3B63" w:rsidRPr="00C84BB5" w:rsidRDefault="006E3B63" w:rsidP="00D70D08">
                  <w:pPr>
                    <w:pStyle w:val="BoxListBullet"/>
                    <w:spacing w:before="60" w:line="240" w:lineRule="atLeast"/>
                    <w:jc w:val="left"/>
                  </w:pPr>
                  <w:r w:rsidRPr="00C84BB5">
                    <w:t>counselling for problem gambling</w:t>
                  </w:r>
                </w:p>
                <w:p w14:paraId="10E9D370" w14:textId="77777777" w:rsidR="006E3B63" w:rsidRPr="00C84BB5" w:rsidRDefault="006E3B63" w:rsidP="00D70D08">
                  <w:pPr>
                    <w:pStyle w:val="BoxListBullet"/>
                    <w:spacing w:before="60" w:line="240" w:lineRule="atLeast"/>
                    <w:jc w:val="left"/>
                  </w:pPr>
                  <w:r w:rsidRPr="00C84BB5">
                    <w:t>drug/alcohol counselling</w:t>
                  </w:r>
                </w:p>
                <w:p w14:paraId="756130DF" w14:textId="77777777" w:rsidR="006E3B63" w:rsidRPr="00C84BB5" w:rsidRDefault="006E3B63" w:rsidP="00D70D08">
                  <w:pPr>
                    <w:pStyle w:val="BoxListBullet"/>
                    <w:spacing w:before="60" w:line="240" w:lineRule="atLeast"/>
                    <w:jc w:val="left"/>
                  </w:pPr>
                  <w:r w:rsidRPr="00C84BB5">
                    <w:t>specialist counselling services</w:t>
                  </w:r>
                </w:p>
                <w:p w14:paraId="2C9CDC44" w14:textId="77777777" w:rsidR="006E3B63" w:rsidRPr="00C84BB5" w:rsidRDefault="006E3B63" w:rsidP="00D70D08">
                  <w:pPr>
                    <w:pStyle w:val="BoxListBullet"/>
                    <w:spacing w:before="60" w:line="240" w:lineRule="atLeast"/>
                    <w:jc w:val="left"/>
                  </w:pPr>
                  <w:r w:rsidRPr="00C84BB5">
                    <w:t>interpreter services</w:t>
                  </w:r>
                </w:p>
                <w:p w14:paraId="18BADCEB" w14:textId="77777777" w:rsidR="006E3B63" w:rsidRPr="00C84BB5" w:rsidRDefault="006E3B63" w:rsidP="00D70D08">
                  <w:pPr>
                    <w:pStyle w:val="BoxListBullet"/>
                    <w:spacing w:before="60" w:line="240" w:lineRule="atLeast"/>
                    <w:jc w:val="left"/>
                  </w:pPr>
                  <w:r w:rsidRPr="00C84BB5">
                    <w:t>assistance with immigration services</w:t>
                  </w:r>
                </w:p>
                <w:p w14:paraId="53B9F066" w14:textId="77777777" w:rsidR="006E3B63" w:rsidRPr="00C84BB5" w:rsidRDefault="006E3B63" w:rsidP="00D70D08">
                  <w:pPr>
                    <w:pStyle w:val="BoxListBullet"/>
                    <w:spacing w:before="60" w:line="240" w:lineRule="atLeast"/>
                    <w:jc w:val="left"/>
                  </w:pPr>
                  <w:r w:rsidRPr="00C84BB5">
                    <w:t>culturally specific services</w:t>
                  </w:r>
                </w:p>
                <w:p w14:paraId="1F484868" w14:textId="77777777" w:rsidR="006E3B63" w:rsidRPr="00C84BB5" w:rsidRDefault="006E3B63" w:rsidP="00D70D08">
                  <w:pPr>
                    <w:pStyle w:val="BoxListBullet"/>
                    <w:spacing w:before="60" w:line="240" w:lineRule="atLeast"/>
                    <w:jc w:val="left"/>
                  </w:pPr>
                  <w:r w:rsidRPr="00C84BB5">
                    <w:t>assistance to connect culturally</w:t>
                  </w:r>
                </w:p>
                <w:p w14:paraId="330E7EF8" w14:textId="77777777" w:rsidR="006E3B63" w:rsidRPr="00C84BB5" w:rsidRDefault="006E3B63" w:rsidP="00D70D08">
                  <w:pPr>
                    <w:pStyle w:val="BoxListBullet"/>
                    <w:spacing w:before="60" w:line="240" w:lineRule="atLeast"/>
                    <w:jc w:val="left"/>
                  </w:pPr>
                  <w:r w:rsidRPr="00C84BB5">
                    <w:t>other specialised services.</w:t>
                  </w:r>
                </w:p>
              </w:tc>
            </w:tr>
          </w:tbl>
          <w:p w14:paraId="345CE5B0" w14:textId="77777777" w:rsidR="006E3B63" w:rsidRPr="00CD7195" w:rsidRDefault="006E3B63" w:rsidP="006E3B63">
            <w:pPr>
              <w:pStyle w:val="BoxListBullet"/>
              <w:numPr>
                <w:ilvl w:val="0"/>
                <w:numId w:val="0"/>
              </w:numPr>
              <w:spacing w:before="60" w:line="240" w:lineRule="atLeast"/>
              <w:ind w:left="284"/>
              <w:jc w:val="left"/>
            </w:pPr>
          </w:p>
        </w:tc>
      </w:tr>
      <w:tr w:rsidR="006E3B63" w:rsidRPr="00CB4E91" w14:paraId="33EF6CEF" w14:textId="77777777" w:rsidTr="00094389">
        <w:tc>
          <w:tcPr>
            <w:tcW w:w="1871" w:type="dxa"/>
            <w:gridSpan w:val="2"/>
            <w:shd w:val="clear" w:color="auto" w:fill="auto"/>
          </w:tcPr>
          <w:p w14:paraId="54EA481B" w14:textId="77777777" w:rsidR="006E3B63" w:rsidRPr="00690ED2" w:rsidRDefault="006E3B63" w:rsidP="00094389">
            <w:pPr>
              <w:pStyle w:val="Continued"/>
              <w:keepNext/>
              <w:jc w:val="left"/>
            </w:pPr>
            <w:r w:rsidRPr="008D5D8E">
              <w:lastRenderedPageBreak/>
              <w:t>Specialist homelessness service(s) — continued</w:t>
            </w:r>
          </w:p>
        </w:tc>
        <w:tc>
          <w:tcPr>
            <w:tcW w:w="6918" w:type="dxa"/>
            <w:shd w:val="clear" w:color="auto" w:fill="auto"/>
          </w:tcPr>
          <w:p w14:paraId="3ADD1B23" w14:textId="77777777" w:rsidR="006E3B63" w:rsidRPr="008D5D8E" w:rsidRDefault="006E3B63" w:rsidP="00D70D08">
            <w:pPr>
              <w:pStyle w:val="Box"/>
              <w:rPr>
                <w:i/>
              </w:rPr>
            </w:pPr>
            <w:r w:rsidRPr="008D5D8E">
              <w:rPr>
                <w:i/>
              </w:rPr>
              <w:t>General assistance and support services: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Categories of general assistance and support services"/>
            </w:tblPr>
            <w:tblGrid>
              <w:gridCol w:w="3351"/>
              <w:gridCol w:w="3351"/>
            </w:tblGrid>
            <w:tr w:rsidR="006E3B63" w:rsidRPr="00B01CE3" w14:paraId="2C478B30" w14:textId="77777777" w:rsidTr="00D70D08">
              <w:tc>
                <w:tcPr>
                  <w:tcW w:w="2500" w:type="pct"/>
                  <w:shd w:val="clear" w:color="auto" w:fill="FFFFFF" w:themeFill="background1"/>
                </w:tcPr>
                <w:p w14:paraId="4F66D3B2" w14:textId="77777777" w:rsidR="006E3B63" w:rsidRPr="00954BC6" w:rsidRDefault="006E3B63" w:rsidP="00D70D08">
                  <w:pPr>
                    <w:pStyle w:val="BoxListBullet"/>
                    <w:spacing w:before="60" w:line="240" w:lineRule="atLeast"/>
                    <w:jc w:val="left"/>
                  </w:pPr>
                  <w:r w:rsidRPr="00954BC6">
                    <w:t>assertive outreach</w:t>
                  </w:r>
                </w:p>
                <w:p w14:paraId="36D44688" w14:textId="77777777" w:rsidR="006E3B63" w:rsidRPr="00954BC6" w:rsidRDefault="006E3B63" w:rsidP="00D70D08">
                  <w:pPr>
                    <w:pStyle w:val="BoxListBullet"/>
                    <w:spacing w:before="60" w:line="240" w:lineRule="atLeast"/>
                    <w:jc w:val="left"/>
                  </w:pPr>
                  <w:r w:rsidRPr="00954BC6">
                    <w:t>assistance to obtain/maintain government allowance</w:t>
                  </w:r>
                </w:p>
                <w:p w14:paraId="08A29458" w14:textId="77777777" w:rsidR="006E3B63" w:rsidRPr="00954BC6" w:rsidRDefault="006E3B63" w:rsidP="00D70D08">
                  <w:pPr>
                    <w:pStyle w:val="BoxListBullet"/>
                    <w:spacing w:before="60" w:line="240" w:lineRule="atLeast"/>
                    <w:jc w:val="left"/>
                  </w:pPr>
                  <w:r w:rsidRPr="00954BC6">
                    <w:t>employment assistance</w:t>
                  </w:r>
                </w:p>
                <w:p w14:paraId="6021ABA4" w14:textId="77777777" w:rsidR="006E3B63" w:rsidRPr="00954BC6" w:rsidRDefault="006E3B63" w:rsidP="00D70D08">
                  <w:pPr>
                    <w:pStyle w:val="BoxListBullet"/>
                    <w:spacing w:before="60" w:line="240" w:lineRule="atLeast"/>
                    <w:jc w:val="left"/>
                  </w:pPr>
                  <w:r w:rsidRPr="00954BC6">
                    <w:t>training assistance</w:t>
                  </w:r>
                </w:p>
                <w:p w14:paraId="06C28AD9" w14:textId="77777777" w:rsidR="006E3B63" w:rsidRPr="00954BC6" w:rsidRDefault="006E3B63" w:rsidP="00D70D08">
                  <w:pPr>
                    <w:pStyle w:val="BoxListBullet"/>
                    <w:spacing w:before="60" w:line="240" w:lineRule="atLeast"/>
                    <w:jc w:val="left"/>
                  </w:pPr>
                  <w:r w:rsidRPr="00954BC6">
                    <w:t>educational assistance</w:t>
                  </w:r>
                </w:p>
                <w:p w14:paraId="70555942" w14:textId="77777777" w:rsidR="006E3B63" w:rsidRPr="00954BC6" w:rsidRDefault="006E3B63" w:rsidP="00D70D08">
                  <w:pPr>
                    <w:pStyle w:val="BoxListBullet"/>
                    <w:spacing w:before="60" w:line="240" w:lineRule="atLeast"/>
                    <w:jc w:val="left"/>
                  </w:pPr>
                  <w:r w:rsidRPr="00954BC6">
                    <w:t>financial information</w:t>
                  </w:r>
                </w:p>
                <w:p w14:paraId="154E1C2F" w14:textId="77777777" w:rsidR="006E3B63" w:rsidRPr="00954BC6" w:rsidRDefault="006E3B63" w:rsidP="00D70D08">
                  <w:pPr>
                    <w:pStyle w:val="BoxListBullet"/>
                    <w:spacing w:before="60" w:line="240" w:lineRule="atLeast"/>
                    <w:jc w:val="left"/>
                  </w:pPr>
                  <w:r w:rsidRPr="00954BC6">
                    <w:t>material aid/brokerage</w:t>
                  </w:r>
                </w:p>
                <w:p w14:paraId="709BFD6E" w14:textId="77777777" w:rsidR="006E3B63" w:rsidRPr="00954BC6" w:rsidRDefault="006E3B63" w:rsidP="00D70D08">
                  <w:pPr>
                    <w:pStyle w:val="BoxListBullet"/>
                    <w:spacing w:before="60" w:line="240" w:lineRule="atLeast"/>
                    <w:jc w:val="left"/>
                  </w:pPr>
                  <w:r w:rsidRPr="00954BC6">
                    <w:t>assistance for incest/sexual</w:t>
                  </w:r>
                </w:p>
                <w:p w14:paraId="2B56544E" w14:textId="5B006AFF" w:rsidR="006E3B63" w:rsidRDefault="006E3B63" w:rsidP="0091221B">
                  <w:pPr>
                    <w:pStyle w:val="BoxListBullet"/>
                  </w:pPr>
                  <w:r w:rsidRPr="00954BC6">
                    <w:t xml:space="preserve">assistance for </w:t>
                  </w:r>
                  <w:r w:rsidR="0091221B" w:rsidRPr="0091221B">
                    <w:t>domestic and family violence</w:t>
                  </w:r>
                </w:p>
                <w:p w14:paraId="29ED0B2E" w14:textId="77777777" w:rsidR="006E3B63" w:rsidRPr="00954BC6" w:rsidRDefault="006E3B63" w:rsidP="006E3B63">
                  <w:pPr>
                    <w:pStyle w:val="BoxListBullet"/>
                    <w:spacing w:before="60" w:line="240" w:lineRule="atLeast"/>
                    <w:jc w:val="left"/>
                  </w:pPr>
                  <w:r w:rsidRPr="00954BC6">
                    <w:t>family/relationship assistance</w:t>
                  </w:r>
                </w:p>
                <w:p w14:paraId="05D2AB32" w14:textId="77777777" w:rsidR="006E3B63" w:rsidRPr="00954BC6" w:rsidRDefault="006E3B63" w:rsidP="006E3B63">
                  <w:pPr>
                    <w:pStyle w:val="BoxListBullet"/>
                    <w:spacing w:before="60" w:line="240" w:lineRule="atLeast"/>
                    <w:jc w:val="left"/>
                  </w:pPr>
                  <w:r w:rsidRPr="00954BC6">
                    <w:t>assistance for trauma</w:t>
                  </w:r>
                </w:p>
                <w:p w14:paraId="7DFE5B93" w14:textId="77777777" w:rsidR="006E3B63" w:rsidRPr="00954BC6" w:rsidRDefault="006E3B63" w:rsidP="006E3B63">
                  <w:pPr>
                    <w:pStyle w:val="BoxListBullet"/>
                    <w:spacing w:before="60" w:line="240" w:lineRule="atLeast"/>
                    <w:jc w:val="left"/>
                  </w:pPr>
                  <w:r w:rsidRPr="00954BC6">
                    <w:t>assistance with challenging social/behavioural problems</w:t>
                  </w:r>
                </w:p>
                <w:p w14:paraId="220C225F" w14:textId="77777777" w:rsidR="006E3B63" w:rsidRPr="00954BC6" w:rsidRDefault="006E3B63" w:rsidP="006E3B63">
                  <w:pPr>
                    <w:pStyle w:val="BoxListBullet"/>
                    <w:spacing w:before="60" w:line="240" w:lineRule="atLeast"/>
                    <w:jc w:val="left"/>
                  </w:pPr>
                  <w:r w:rsidRPr="00954BC6">
                    <w:t>living skills/personal development</w:t>
                  </w:r>
                </w:p>
                <w:p w14:paraId="468F55AD" w14:textId="77777777" w:rsidR="006E3B63" w:rsidRPr="00954BC6" w:rsidRDefault="006E3B63" w:rsidP="006E3B63">
                  <w:pPr>
                    <w:pStyle w:val="BoxListBullet"/>
                    <w:spacing w:before="60" w:line="240" w:lineRule="atLeast"/>
                    <w:jc w:val="left"/>
                  </w:pPr>
                  <w:r w:rsidRPr="00954BC6">
                    <w:t>legal information</w:t>
                  </w:r>
                </w:p>
              </w:tc>
              <w:tc>
                <w:tcPr>
                  <w:tcW w:w="2500" w:type="pct"/>
                  <w:shd w:val="clear" w:color="auto" w:fill="FFFFFF" w:themeFill="background1"/>
                </w:tcPr>
                <w:p w14:paraId="03D6AC69" w14:textId="77777777" w:rsidR="006E3B63" w:rsidRPr="00954BC6" w:rsidRDefault="006E3B63" w:rsidP="00D70D08">
                  <w:pPr>
                    <w:pStyle w:val="BoxListBullet"/>
                    <w:spacing w:before="60" w:line="240" w:lineRule="atLeast"/>
                    <w:jc w:val="left"/>
                  </w:pPr>
                  <w:r w:rsidRPr="00954BC6">
                    <w:t>court support</w:t>
                  </w:r>
                </w:p>
                <w:p w14:paraId="5DA0F476" w14:textId="77777777" w:rsidR="006E3B63" w:rsidRPr="00954BC6" w:rsidRDefault="006E3B63" w:rsidP="00D70D08">
                  <w:pPr>
                    <w:pStyle w:val="BoxListBullet"/>
                    <w:spacing w:before="60" w:line="240" w:lineRule="atLeast"/>
                    <w:jc w:val="left"/>
                  </w:pPr>
                  <w:r w:rsidRPr="00954BC6">
                    <w:t>advice/information</w:t>
                  </w:r>
                </w:p>
                <w:p w14:paraId="02CF352D" w14:textId="77777777" w:rsidR="006E3B63" w:rsidRPr="00954BC6" w:rsidRDefault="006E3B63" w:rsidP="00D70D08">
                  <w:pPr>
                    <w:pStyle w:val="BoxListBullet"/>
                    <w:spacing w:before="60" w:line="240" w:lineRule="atLeast"/>
                    <w:jc w:val="left"/>
                  </w:pPr>
                  <w:r w:rsidRPr="00954BC6">
                    <w:t>retrieval/storage/removal of personal belongings</w:t>
                  </w:r>
                </w:p>
                <w:p w14:paraId="6237BECF" w14:textId="77777777" w:rsidR="006E3B63" w:rsidRPr="00954BC6" w:rsidRDefault="006E3B63" w:rsidP="00D70D08">
                  <w:pPr>
                    <w:pStyle w:val="BoxListBullet"/>
                    <w:spacing w:before="60" w:line="240" w:lineRule="atLeast"/>
                    <w:jc w:val="left"/>
                  </w:pPr>
                  <w:r w:rsidRPr="00954BC6">
                    <w:t>advocacy/liaison on behalf of client</w:t>
                  </w:r>
                </w:p>
                <w:p w14:paraId="0FA005A3" w14:textId="77777777" w:rsidR="006E3B63" w:rsidRPr="00954BC6" w:rsidRDefault="006E3B63" w:rsidP="00D70D08">
                  <w:pPr>
                    <w:pStyle w:val="BoxListBullet"/>
                    <w:spacing w:before="60" w:line="240" w:lineRule="atLeast"/>
                    <w:jc w:val="left"/>
                  </w:pPr>
                  <w:r w:rsidRPr="00954BC6">
                    <w:t>school liaison</w:t>
                  </w:r>
                </w:p>
                <w:p w14:paraId="0905010E" w14:textId="77777777" w:rsidR="006E3B63" w:rsidRDefault="006E3B63" w:rsidP="00D70D08">
                  <w:pPr>
                    <w:pStyle w:val="BoxListBullet"/>
                    <w:spacing w:before="60" w:line="240" w:lineRule="atLeast"/>
                    <w:jc w:val="left"/>
                  </w:pPr>
                  <w:r w:rsidRPr="00954BC6">
                    <w:t>child c</w:t>
                  </w:r>
                  <w:r>
                    <w:t>are</w:t>
                  </w:r>
                </w:p>
                <w:p w14:paraId="20062A77" w14:textId="77777777" w:rsidR="006E3B63" w:rsidRPr="00954BC6" w:rsidRDefault="006E3B63" w:rsidP="00D70D08">
                  <w:pPr>
                    <w:pStyle w:val="BoxListBullet"/>
                    <w:spacing w:before="60" w:line="240" w:lineRule="atLeast"/>
                    <w:jc w:val="left"/>
                  </w:pPr>
                  <w:r w:rsidRPr="00954BC6">
                    <w:t>structured play/skills development</w:t>
                  </w:r>
                </w:p>
                <w:p w14:paraId="2797C96F" w14:textId="77777777" w:rsidR="006E3B63" w:rsidRDefault="006E3B63" w:rsidP="00D70D08">
                  <w:pPr>
                    <w:pStyle w:val="BoxListBullet"/>
                    <w:spacing w:before="60" w:line="240" w:lineRule="atLeast"/>
                    <w:jc w:val="left"/>
                  </w:pPr>
                  <w:r w:rsidRPr="00954BC6">
                    <w:t>child contact and residence arrangements</w:t>
                  </w:r>
                </w:p>
                <w:p w14:paraId="051775A1" w14:textId="77777777" w:rsidR="006E3B63" w:rsidRPr="00954BC6" w:rsidRDefault="006E3B63" w:rsidP="006E3B63">
                  <w:pPr>
                    <w:pStyle w:val="BoxListBullet"/>
                    <w:spacing w:before="60" w:line="240" w:lineRule="atLeast"/>
                    <w:jc w:val="left"/>
                  </w:pPr>
                  <w:r w:rsidRPr="00954BC6">
                    <w:t>meals</w:t>
                  </w:r>
                </w:p>
                <w:p w14:paraId="70084DD8" w14:textId="77777777" w:rsidR="006E3B63" w:rsidRPr="00954BC6" w:rsidRDefault="006E3B63" w:rsidP="006E3B63">
                  <w:pPr>
                    <w:pStyle w:val="BoxListBullet"/>
                    <w:spacing w:before="60" w:line="240" w:lineRule="atLeast"/>
                    <w:jc w:val="left"/>
                  </w:pPr>
                  <w:r w:rsidRPr="00954BC6">
                    <w:t>laundry/shower facilities</w:t>
                  </w:r>
                </w:p>
                <w:p w14:paraId="099F45B1" w14:textId="77777777" w:rsidR="006E3B63" w:rsidRPr="00954BC6" w:rsidRDefault="006E3B63" w:rsidP="006E3B63">
                  <w:pPr>
                    <w:pStyle w:val="BoxListBullet"/>
                    <w:spacing w:before="60" w:line="240" w:lineRule="atLeast"/>
                    <w:jc w:val="left"/>
                  </w:pPr>
                  <w:r w:rsidRPr="00954BC6">
                    <w:t>recreation</w:t>
                  </w:r>
                </w:p>
                <w:p w14:paraId="3E415245" w14:textId="77777777" w:rsidR="006E3B63" w:rsidRPr="00954BC6" w:rsidRDefault="006E3B63" w:rsidP="006E3B63">
                  <w:pPr>
                    <w:pStyle w:val="BoxListBullet"/>
                    <w:spacing w:before="60" w:line="240" w:lineRule="atLeast"/>
                    <w:jc w:val="left"/>
                  </w:pPr>
                  <w:r w:rsidRPr="00954BC6">
                    <w:t>transport</w:t>
                  </w:r>
                </w:p>
                <w:p w14:paraId="6AFDF908" w14:textId="77777777" w:rsidR="006E3B63" w:rsidRPr="00954BC6" w:rsidRDefault="006E3B63" w:rsidP="006E3B63">
                  <w:pPr>
                    <w:pStyle w:val="BoxListBullet"/>
                    <w:spacing w:before="60" w:line="240" w:lineRule="atLeast"/>
                    <w:jc w:val="left"/>
                  </w:pPr>
                  <w:r w:rsidRPr="00954BC6">
                    <w:t>other basic assistance.</w:t>
                  </w:r>
                </w:p>
              </w:tc>
            </w:tr>
          </w:tbl>
          <w:p w14:paraId="4FB37DD6" w14:textId="77777777" w:rsidR="006E3B63" w:rsidRPr="00CD7195" w:rsidRDefault="006E3B63" w:rsidP="00D70D08">
            <w:pPr>
              <w:pStyle w:val="TableBullet"/>
              <w:numPr>
                <w:ilvl w:val="0"/>
                <w:numId w:val="0"/>
              </w:numPr>
              <w:ind w:left="170"/>
              <w:rPr>
                <w:sz w:val="20"/>
              </w:rPr>
            </w:pPr>
          </w:p>
        </w:tc>
      </w:tr>
      <w:tr w:rsidR="000707E5" w:rsidRPr="00CB4E91" w14:paraId="5E96CEF6" w14:textId="77777777" w:rsidTr="00094389">
        <w:tc>
          <w:tcPr>
            <w:tcW w:w="1871" w:type="dxa"/>
            <w:gridSpan w:val="2"/>
            <w:shd w:val="clear" w:color="auto" w:fill="auto"/>
          </w:tcPr>
          <w:p w14:paraId="0332DFC6" w14:textId="77777777" w:rsidR="000707E5" w:rsidRPr="00954BC6" w:rsidRDefault="000707E5" w:rsidP="00094389">
            <w:pPr>
              <w:pStyle w:val="Box"/>
              <w:jc w:val="left"/>
              <w:rPr>
                <w:b/>
              </w:rPr>
            </w:pPr>
            <w:r w:rsidRPr="00954BC6">
              <w:rPr>
                <w:b/>
              </w:rPr>
              <w:t>Support period</w:t>
            </w:r>
          </w:p>
        </w:tc>
        <w:tc>
          <w:tcPr>
            <w:tcW w:w="6918" w:type="dxa"/>
            <w:shd w:val="clear" w:color="auto" w:fill="auto"/>
          </w:tcPr>
          <w:p w14:paraId="51BF6554" w14:textId="77777777" w:rsidR="000707E5" w:rsidRPr="00954BC6" w:rsidRDefault="000707E5" w:rsidP="00094389">
            <w:pPr>
              <w:pStyle w:val="Box"/>
            </w:pPr>
            <w:r w:rsidRPr="00954BC6">
              <w:t>The period of time a client receives services from an agency is referred to as a support period. A support period starts on the day the client first receives a service from an agency</w:t>
            </w:r>
            <w:r>
              <w:t xml:space="preserve"> and</w:t>
            </w:r>
            <w:r w:rsidRPr="00954BC6">
              <w:t xml:space="preserve"> ends when:</w:t>
            </w:r>
          </w:p>
          <w:p w14:paraId="369F1C6A" w14:textId="77777777" w:rsidR="000707E5" w:rsidRPr="00CD7195" w:rsidRDefault="000707E5" w:rsidP="00094389">
            <w:pPr>
              <w:pStyle w:val="BoxListBullet"/>
              <w:spacing w:line="240" w:lineRule="auto"/>
            </w:pPr>
            <w:r w:rsidRPr="00CD7195">
              <w:t>the relationship between the client and the agency ends</w:t>
            </w:r>
          </w:p>
          <w:p w14:paraId="1111D146" w14:textId="77777777" w:rsidR="000707E5" w:rsidRPr="00CD7195" w:rsidRDefault="000707E5" w:rsidP="00094389">
            <w:pPr>
              <w:pStyle w:val="BoxListBullet"/>
              <w:spacing w:line="240" w:lineRule="auto"/>
            </w:pPr>
            <w:r w:rsidRPr="00CD7195">
              <w:t>the client has reached their maximum amount of support the agency can offer</w:t>
            </w:r>
          </w:p>
          <w:p w14:paraId="739617D5" w14:textId="77777777" w:rsidR="000707E5" w:rsidRDefault="000707E5" w:rsidP="00094389">
            <w:pPr>
              <w:pStyle w:val="BoxListBullet"/>
              <w:spacing w:line="240" w:lineRule="auto"/>
            </w:pPr>
            <w:r w:rsidRPr="00CD7195">
              <w:t>a client has not received any services from the agency for a whole calendar month</w:t>
            </w:r>
            <w:r w:rsidR="00E7011D">
              <w:t xml:space="preserve"> and does not have </w:t>
            </w:r>
            <w:r w:rsidR="006F43D0">
              <w:t>an appointment booked with the agency</w:t>
            </w:r>
          </w:p>
          <w:p w14:paraId="601D496D" w14:textId="77777777" w:rsidR="000707E5" w:rsidRPr="00CD7195" w:rsidRDefault="000707E5" w:rsidP="00094389">
            <w:pPr>
              <w:pStyle w:val="BoxListBullet"/>
              <w:spacing w:line="240" w:lineRule="auto"/>
            </w:pPr>
            <w:r w:rsidRPr="00CD7195">
              <w:t>there is no ongoing relationship.</w:t>
            </w:r>
          </w:p>
        </w:tc>
      </w:tr>
      <w:tr w:rsidR="000707E5" w:rsidRPr="00CB4E91" w14:paraId="73ED2990" w14:textId="77777777" w:rsidTr="00094389">
        <w:tc>
          <w:tcPr>
            <w:tcW w:w="1871" w:type="dxa"/>
            <w:gridSpan w:val="2"/>
            <w:shd w:val="clear" w:color="auto" w:fill="FFFFFF" w:themeFill="background1"/>
          </w:tcPr>
          <w:p w14:paraId="5A8E9094" w14:textId="77777777" w:rsidR="000707E5" w:rsidRPr="00690ED2" w:rsidRDefault="000707E5" w:rsidP="00094389">
            <w:pPr>
              <w:pStyle w:val="Box"/>
              <w:jc w:val="left"/>
              <w:rPr>
                <w:b/>
              </w:rPr>
            </w:pPr>
            <w:r w:rsidRPr="00690ED2">
              <w:rPr>
                <w:b/>
              </w:rPr>
              <w:t>Unmet demand</w:t>
            </w:r>
          </w:p>
        </w:tc>
        <w:tc>
          <w:tcPr>
            <w:tcW w:w="6918" w:type="dxa"/>
            <w:shd w:val="clear" w:color="auto" w:fill="FFFFFF" w:themeFill="background1"/>
          </w:tcPr>
          <w:p w14:paraId="2A4D561C" w14:textId="77777777" w:rsidR="000707E5" w:rsidRPr="00CD7195" w:rsidRDefault="000707E5" w:rsidP="00094389">
            <w:pPr>
              <w:pStyle w:val="Box"/>
            </w:pPr>
            <w:r w:rsidRPr="00CD7195">
              <w:t xml:space="preserve">A </w:t>
            </w:r>
            <w:r w:rsidRPr="00C84BB5">
              <w:t>homeless</w:t>
            </w:r>
            <w:r w:rsidRPr="00CD7195">
              <w:t xml:space="preserve"> person who seeks supported accommodation or support, but is not provided with that supported accommodation or support. The person may receive one</w:t>
            </w:r>
            <w:r>
              <w:noBreakHyphen/>
            </w:r>
            <w:r w:rsidRPr="00CD7195">
              <w:t>off assistance.</w:t>
            </w:r>
          </w:p>
        </w:tc>
      </w:tr>
    </w:tbl>
    <w:p w14:paraId="4CEBC5A6" w14:textId="77777777" w:rsidR="003B7119" w:rsidRDefault="003B7119" w:rsidP="003B7119">
      <w:pPr>
        <w:pStyle w:val="BodyText"/>
        <w:rPr>
          <w:rFonts w:ascii="Arial" w:hAnsi="Arial"/>
          <w:sz w:val="32"/>
        </w:rPr>
      </w:pPr>
      <w:bookmarkStart w:id="44" w:name="_Toc341801422"/>
      <w:bookmarkStart w:id="45" w:name="_Toc396143174"/>
      <w:r>
        <w:br w:type="page"/>
      </w:r>
    </w:p>
    <w:p w14:paraId="0C0A3DCF" w14:textId="4E3085F2" w:rsidR="000707E5" w:rsidRPr="006B71EA" w:rsidRDefault="00A40722" w:rsidP="00AE69D5">
      <w:pPr>
        <w:pStyle w:val="Heading2"/>
      </w:pPr>
      <w:bookmarkStart w:id="46" w:name="_Toc459884922"/>
      <w:r>
        <w:lastRenderedPageBreak/>
        <w:t>19.</w:t>
      </w:r>
      <w:r w:rsidR="00087EB6">
        <w:rPr>
          <w:noProof/>
        </w:rPr>
        <w:t>5</w:t>
      </w:r>
      <w:r w:rsidR="000707E5" w:rsidRPr="006602B5">
        <w:tab/>
      </w:r>
      <w:r w:rsidR="000707E5" w:rsidRPr="00AE69D5">
        <w:t>References</w:t>
      </w:r>
      <w:bookmarkEnd w:id="44"/>
      <w:bookmarkEnd w:id="45"/>
      <w:bookmarkEnd w:id="46"/>
      <w:r w:rsidR="000707E5" w:rsidRPr="006B71EA">
        <w:t xml:space="preserve"> </w:t>
      </w:r>
    </w:p>
    <w:p w14:paraId="7FF1F321" w14:textId="77777777" w:rsidR="000707E5" w:rsidRPr="001B7108" w:rsidRDefault="000707E5" w:rsidP="003F1008">
      <w:pPr>
        <w:pStyle w:val="Reference"/>
      </w:pPr>
      <w:r w:rsidRPr="006B71EA">
        <w:t xml:space="preserve">ABS </w:t>
      </w:r>
      <w:proofErr w:type="spellStart"/>
      <w:r w:rsidRPr="00AE69D5">
        <w:t>2012a</w:t>
      </w:r>
      <w:proofErr w:type="spellEnd"/>
      <w:r w:rsidRPr="006B71EA">
        <w:t>, Methodology for Estimating Homelessness from the Census of Population and Housing</w:t>
      </w:r>
      <w:r>
        <w:t>, Cat. no. 2049.0.55.001</w:t>
      </w:r>
      <w:r w:rsidRPr="006B71EA">
        <w:t>.</w:t>
      </w:r>
    </w:p>
    <w:p w14:paraId="00093D64" w14:textId="77777777" w:rsidR="000707E5" w:rsidRPr="00954BC6" w:rsidRDefault="000707E5" w:rsidP="000707E5">
      <w:pPr>
        <w:pStyle w:val="Reference"/>
      </w:pPr>
      <w:r w:rsidRPr="006B71EA">
        <w:t>—— </w:t>
      </w:r>
      <w:proofErr w:type="spellStart"/>
      <w:r w:rsidRPr="006B71EA">
        <w:t>2012b</w:t>
      </w:r>
      <w:proofErr w:type="spellEnd"/>
      <w:r w:rsidRPr="006B71EA">
        <w:t>, Information Paper: A Statistical Definition of Homelessness</w:t>
      </w:r>
      <w:r>
        <w:t>, Cat. n</w:t>
      </w:r>
      <w:r w:rsidRPr="006B71EA">
        <w:t>o.</w:t>
      </w:r>
      <w:r>
        <w:t> </w:t>
      </w:r>
      <w:r w:rsidRPr="006B71EA">
        <w:t>4922.0, Canb</w:t>
      </w:r>
      <w:r>
        <w:t>erra.</w:t>
      </w:r>
    </w:p>
    <w:p w14:paraId="7D84D74D" w14:textId="77777777" w:rsidR="000707E5" w:rsidRPr="006B71EA" w:rsidRDefault="000707E5" w:rsidP="000707E5">
      <w:pPr>
        <w:pStyle w:val="Reference"/>
      </w:pPr>
      <w:r w:rsidRPr="006B71EA">
        <w:t>—— </w:t>
      </w:r>
      <w:proofErr w:type="spellStart"/>
      <w:r w:rsidRPr="006B71EA">
        <w:t>2012c</w:t>
      </w:r>
      <w:proofErr w:type="spellEnd"/>
      <w:r w:rsidRPr="006B71EA">
        <w:t>, Census of Population and Housing: Estimating homelessness</w:t>
      </w:r>
      <w:r>
        <w:t>, Cat. </w:t>
      </w:r>
      <w:r w:rsidRPr="006B71EA">
        <w:t>no.</w:t>
      </w:r>
      <w:r>
        <w:t> </w:t>
      </w:r>
      <w:r w:rsidRPr="006B71EA">
        <w:t>2049.0, Canberra.</w:t>
      </w:r>
    </w:p>
    <w:p w14:paraId="1BD25941" w14:textId="4EEB80F2" w:rsidR="007C08CD" w:rsidRPr="001B7108" w:rsidRDefault="000707E5" w:rsidP="003F1008">
      <w:pPr>
        <w:pStyle w:val="Reference"/>
      </w:pPr>
      <w:proofErr w:type="spellStart"/>
      <w:r w:rsidRPr="00884610">
        <w:t>COAG</w:t>
      </w:r>
      <w:proofErr w:type="spellEnd"/>
      <w:r w:rsidRPr="00884610">
        <w:t xml:space="preserve"> (Council of Australian Governments) 2012, </w:t>
      </w:r>
      <w:r w:rsidRPr="00884610">
        <w:rPr>
          <w:i/>
        </w:rPr>
        <w:t>National Affordable Housing Agreement</w:t>
      </w:r>
      <w:r w:rsidRPr="00884610">
        <w:t xml:space="preserve">, viewed </w:t>
      </w:r>
      <w:r w:rsidR="00B86E6F" w:rsidRPr="00884610">
        <w:t>26</w:t>
      </w:r>
      <w:r w:rsidR="007E335A">
        <w:t> </w:t>
      </w:r>
      <w:r w:rsidR="00B86E6F" w:rsidRPr="00884610">
        <w:t>August 2016</w:t>
      </w:r>
      <w:r w:rsidR="00884610">
        <w:t>,</w:t>
      </w:r>
      <w:r w:rsidR="00B86E6F" w:rsidRPr="00884610">
        <w:t xml:space="preserve"> </w:t>
      </w:r>
      <w:proofErr w:type="spellStart"/>
      <w:r w:rsidR="00D46808" w:rsidRPr="00884610">
        <w:t>www.federalfinancialrelations.gov.au</w:t>
      </w:r>
      <w:proofErr w:type="spellEnd"/>
      <w:r w:rsidR="00D46808" w:rsidRPr="00884610">
        <w:t>/content</w:t>
      </w:r>
      <w:r w:rsidR="00D46808" w:rsidRPr="00884610">
        <w:br/>
        <w:t>/</w:t>
      </w:r>
      <w:proofErr w:type="spellStart"/>
      <w:r w:rsidR="00D46808" w:rsidRPr="00884610">
        <w:t>national_agreements.aspx</w:t>
      </w:r>
      <w:proofErr w:type="spellEnd"/>
      <w:r w:rsidR="00884610">
        <w:t>.</w:t>
      </w:r>
    </w:p>
    <w:p w14:paraId="6FB6C8C9" w14:textId="46965871" w:rsidR="007466A4" w:rsidRPr="001B7108" w:rsidRDefault="000707E5" w:rsidP="003F1008">
      <w:pPr>
        <w:pStyle w:val="Reference"/>
      </w:pPr>
      <w:r>
        <w:rPr>
          <w:rStyle w:val="ReferenceChar"/>
        </w:rPr>
        <w:t xml:space="preserve">—— </w:t>
      </w:r>
      <w:r w:rsidR="00E85FF3" w:rsidRPr="00E85FF3">
        <w:rPr>
          <w:rStyle w:val="ReferenceChar"/>
        </w:rPr>
        <w:t xml:space="preserve">2015 National Partnership Agreement On Homelessness </w:t>
      </w:r>
      <w:r w:rsidR="00E85FF3">
        <w:rPr>
          <w:rStyle w:val="ReferenceChar"/>
        </w:rPr>
        <w:t>—</w:t>
      </w:r>
      <w:r w:rsidR="00E85FF3" w:rsidRPr="00E85FF3">
        <w:rPr>
          <w:rStyle w:val="ReferenceChar"/>
        </w:rPr>
        <w:t xml:space="preserve"> 2015</w:t>
      </w:r>
      <w:r w:rsidR="007E335A">
        <w:rPr>
          <w:rStyle w:val="ReferenceChar"/>
        </w:rPr>
        <w:noBreakHyphen/>
      </w:r>
      <w:r w:rsidR="00E85FF3" w:rsidRPr="00E85FF3">
        <w:rPr>
          <w:rStyle w:val="ReferenceChar"/>
        </w:rPr>
        <w:t>2017</w:t>
      </w:r>
      <w:r>
        <w:rPr>
          <w:rStyle w:val="ReferenceChar"/>
        </w:rPr>
        <w:t xml:space="preserve">, </w:t>
      </w:r>
      <w:r w:rsidRPr="00884610">
        <w:rPr>
          <w:rStyle w:val="ReferenceChar"/>
        </w:rPr>
        <w:t xml:space="preserve">viewed </w:t>
      </w:r>
      <w:r w:rsidR="00E85FF3">
        <w:rPr>
          <w:rStyle w:val="ReferenceChar"/>
        </w:rPr>
        <w:t>18 </w:t>
      </w:r>
      <w:r w:rsidRPr="00884610">
        <w:rPr>
          <w:rStyle w:val="ReferenceChar"/>
        </w:rPr>
        <w:t>August 201</w:t>
      </w:r>
      <w:r w:rsidR="00E85FF3">
        <w:rPr>
          <w:rStyle w:val="ReferenceChar"/>
        </w:rPr>
        <w:t>6</w:t>
      </w:r>
      <w:r w:rsidRPr="00884610">
        <w:rPr>
          <w:rStyle w:val="ReferenceChar"/>
        </w:rPr>
        <w:t xml:space="preserve">, </w:t>
      </w:r>
      <w:r w:rsidRPr="00884610">
        <w:t>&lt;</w:t>
      </w:r>
      <w:proofErr w:type="spellStart"/>
      <w:r w:rsidRPr="00884610">
        <w:t>www.federalfinancialrelations.gov.au</w:t>
      </w:r>
      <w:proofErr w:type="spellEnd"/>
      <w:r w:rsidRPr="00884610">
        <w:t>/content/</w:t>
      </w:r>
      <w:proofErr w:type="spellStart"/>
      <w:r w:rsidRPr="00884610">
        <w:t>n</w:t>
      </w:r>
      <w:r w:rsidRPr="008A63EF">
        <w:t>pa</w:t>
      </w:r>
      <w:proofErr w:type="spellEnd"/>
      <w:r w:rsidRPr="008A63EF">
        <w:t>/</w:t>
      </w:r>
      <w:proofErr w:type="spellStart"/>
      <w:r>
        <w:t>housing</w:t>
      </w:r>
      <w:r w:rsidRPr="008A63EF">
        <w:t>.aspx</w:t>
      </w:r>
      <w:proofErr w:type="spellEnd"/>
      <w:r>
        <w:t>&gt;.</w:t>
      </w:r>
    </w:p>
    <w:sectPr w:rsidR="007466A4" w:rsidRPr="001B7108" w:rsidSect="00CA053F">
      <w:headerReference w:type="even" r:id="rId27"/>
      <w:headerReference w:type="default" r:id="rId28"/>
      <w:footerReference w:type="even" r:id="rId29"/>
      <w:footerReference w:type="default" r:id="rId30"/>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07E8E" w14:textId="77777777" w:rsidR="00486582" w:rsidRDefault="00486582">
      <w:r>
        <w:separator/>
      </w:r>
    </w:p>
  </w:endnote>
  <w:endnote w:type="continuationSeparator" w:id="0">
    <w:p w14:paraId="0AEF36A7" w14:textId="77777777" w:rsidR="00486582" w:rsidRDefault="00486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6582" w14:paraId="7F26C112" w14:textId="77777777" w:rsidTr="002F40B2">
      <w:trPr>
        <w:trHeight w:hRule="exact" w:val="567"/>
      </w:trPr>
      <w:tc>
        <w:tcPr>
          <w:tcW w:w="510" w:type="dxa"/>
        </w:tcPr>
        <w:p w14:paraId="76FA4EA4" w14:textId="77777777" w:rsidR="00486582" w:rsidRPr="00A24443" w:rsidRDefault="00486582" w:rsidP="002F40B2">
          <w:pPr>
            <w:pStyle w:val="Footer"/>
            <w:tabs>
              <w:tab w:val="left" w:pos="0"/>
            </w:tabs>
            <w:ind w:right="0"/>
            <w:rPr>
              <w:rStyle w:val="PageNumber"/>
              <w:caps w:val="0"/>
            </w:rPr>
          </w:pPr>
          <w:r>
            <w:rPr>
              <w:rStyle w:val="PageNumber"/>
              <w:caps w:val="0"/>
            </w:rPr>
            <w:t>19.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E2EDF">
            <w:rPr>
              <w:rStyle w:val="PageNumber"/>
              <w:caps w:val="0"/>
              <w:noProof/>
            </w:rPr>
            <w:t>2</w:t>
          </w:r>
          <w:r w:rsidRPr="00A24443">
            <w:rPr>
              <w:rStyle w:val="PageNumber"/>
              <w:caps w:val="0"/>
            </w:rPr>
            <w:fldChar w:fldCharType="end"/>
          </w:r>
        </w:p>
      </w:tc>
      <w:tc>
        <w:tcPr>
          <w:tcW w:w="7767" w:type="dxa"/>
        </w:tcPr>
        <w:p w14:paraId="7BA7F338" w14:textId="5FB5F6A7" w:rsidR="00486582" w:rsidRPr="0013739A" w:rsidRDefault="00486582" w:rsidP="002F40B2">
          <w:pPr>
            <w:pStyle w:val="Footer"/>
            <w:rPr>
              <w:rFonts w:cs="Arial"/>
            </w:rPr>
          </w:pPr>
          <w:r>
            <w:rPr>
              <w:rFonts w:cs="Arial"/>
            </w:rPr>
            <w:t>Report on Government Services 2017</w:t>
          </w:r>
          <w:bookmarkStart w:id="47" w:name="DraftReportEven"/>
          <w:bookmarkEnd w:id="47"/>
        </w:p>
      </w:tc>
      <w:tc>
        <w:tcPr>
          <w:tcW w:w="510" w:type="dxa"/>
        </w:tcPr>
        <w:p w14:paraId="752A9F1B" w14:textId="77777777" w:rsidR="00486582" w:rsidRDefault="00486582" w:rsidP="002F40B2">
          <w:pPr>
            <w:pStyle w:val="Footer"/>
          </w:pPr>
        </w:p>
      </w:tc>
    </w:tr>
  </w:tbl>
  <w:p w14:paraId="0CC9CFE5" w14:textId="77777777" w:rsidR="00486582" w:rsidRDefault="00486582" w:rsidP="002F40B2">
    <w:pPr>
      <w:pStyle w:val="FooterEnd"/>
    </w:pPr>
  </w:p>
  <w:p w14:paraId="35393D83" w14:textId="77777777" w:rsidR="00486582" w:rsidRDefault="0048658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6582" w14:paraId="66DEDF0E" w14:textId="77777777" w:rsidTr="002F40B2">
      <w:trPr>
        <w:trHeight w:hRule="exact" w:val="567"/>
      </w:trPr>
      <w:tc>
        <w:tcPr>
          <w:tcW w:w="510" w:type="dxa"/>
        </w:tcPr>
        <w:p w14:paraId="56E3C49B" w14:textId="77777777" w:rsidR="00486582" w:rsidRDefault="00486582">
          <w:pPr>
            <w:pStyle w:val="Footer"/>
            <w:ind w:right="360" w:firstLine="360"/>
          </w:pPr>
        </w:p>
      </w:tc>
      <w:tc>
        <w:tcPr>
          <w:tcW w:w="7767" w:type="dxa"/>
        </w:tcPr>
        <w:p w14:paraId="7AFA59D4" w14:textId="518AF096" w:rsidR="00486582" w:rsidRPr="00BA5B14" w:rsidRDefault="00486582" w:rsidP="002F40B2">
          <w:pPr>
            <w:pStyle w:val="Footer"/>
            <w:jc w:val="right"/>
            <w:rPr>
              <w:rFonts w:cs="Arial"/>
            </w:rPr>
          </w:pPr>
          <w:r>
            <w:rPr>
              <w:rFonts w:cs="Arial"/>
            </w:rPr>
            <w:t>Homelessness services</w:t>
          </w:r>
        </w:p>
      </w:tc>
      <w:tc>
        <w:tcPr>
          <w:tcW w:w="510" w:type="dxa"/>
        </w:tcPr>
        <w:p w14:paraId="71550CF4" w14:textId="77777777" w:rsidR="00486582" w:rsidRPr="00A24443" w:rsidRDefault="00486582">
          <w:pPr>
            <w:pStyle w:val="Footer"/>
            <w:jc w:val="right"/>
            <w:rPr>
              <w:caps w:val="0"/>
            </w:rPr>
          </w:pPr>
          <w:r>
            <w:rPr>
              <w:rStyle w:val="PageNumber"/>
              <w:caps w:val="0"/>
            </w:rPr>
            <w:t>19.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76416">
            <w:rPr>
              <w:rStyle w:val="PageNumber"/>
              <w:caps w:val="0"/>
              <w:noProof/>
            </w:rPr>
            <w:t>1</w:t>
          </w:r>
          <w:r w:rsidRPr="00A24443">
            <w:rPr>
              <w:rStyle w:val="PageNumber"/>
              <w:caps w:val="0"/>
            </w:rPr>
            <w:fldChar w:fldCharType="end"/>
          </w:r>
        </w:p>
      </w:tc>
    </w:tr>
  </w:tbl>
  <w:p w14:paraId="0F200404" w14:textId="77777777" w:rsidR="00486582" w:rsidRDefault="00486582">
    <w:pPr>
      <w:pStyle w:val="FooterEnd"/>
    </w:pPr>
  </w:p>
  <w:p w14:paraId="5A46BE74" w14:textId="77777777" w:rsidR="00486582" w:rsidRDefault="0048658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212F9" w14:textId="77777777" w:rsidR="00486582" w:rsidRDefault="00486582">
      <w:r>
        <w:separator/>
      </w:r>
    </w:p>
  </w:footnote>
  <w:footnote w:type="continuationSeparator" w:id="0">
    <w:p w14:paraId="7C442839" w14:textId="77777777" w:rsidR="00486582" w:rsidRDefault="00486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486582" w14:paraId="03660CFE" w14:textId="77777777" w:rsidTr="007603DD">
      <w:tc>
        <w:tcPr>
          <w:tcW w:w="2155" w:type="dxa"/>
          <w:tcBorders>
            <w:top w:val="single" w:sz="24" w:space="0" w:color="auto"/>
          </w:tcBorders>
        </w:tcPr>
        <w:p w14:paraId="0EC43614" w14:textId="77777777" w:rsidR="00486582" w:rsidRDefault="00486582" w:rsidP="00836DB1">
          <w:pPr>
            <w:pStyle w:val="HeaderEven"/>
          </w:pPr>
        </w:p>
      </w:tc>
      <w:tc>
        <w:tcPr>
          <w:tcW w:w="6634" w:type="dxa"/>
          <w:tcBorders>
            <w:top w:val="single" w:sz="6" w:space="0" w:color="auto"/>
          </w:tcBorders>
        </w:tcPr>
        <w:p w14:paraId="185B58B0" w14:textId="28A202DC" w:rsidR="00486582" w:rsidRDefault="00486582" w:rsidP="004F14D1">
          <w:pPr>
            <w:pStyle w:val="HeaderEven"/>
            <w:jc w:val="right"/>
          </w:pPr>
        </w:p>
      </w:tc>
    </w:tr>
  </w:tbl>
  <w:p w14:paraId="7D0D1076" w14:textId="77777777" w:rsidR="00486582" w:rsidRDefault="00486582" w:rsidP="00210849">
    <w:pPr>
      <w:pStyle w:val="HeaderEnd"/>
    </w:pPr>
  </w:p>
  <w:p w14:paraId="793D74CD" w14:textId="77777777" w:rsidR="00486582" w:rsidRDefault="0048658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6582" w14:paraId="5DB51323" w14:textId="77777777" w:rsidTr="00836DB1">
      <w:tc>
        <w:tcPr>
          <w:tcW w:w="6634" w:type="dxa"/>
          <w:tcBorders>
            <w:top w:val="single" w:sz="6" w:space="0" w:color="auto"/>
          </w:tcBorders>
        </w:tcPr>
        <w:p w14:paraId="12B2B0CE" w14:textId="4EBFA176" w:rsidR="00486582" w:rsidRDefault="00486582" w:rsidP="00836DB1">
          <w:pPr>
            <w:pStyle w:val="HeaderOdd"/>
          </w:pPr>
        </w:p>
      </w:tc>
      <w:tc>
        <w:tcPr>
          <w:tcW w:w="2155" w:type="dxa"/>
          <w:tcBorders>
            <w:top w:val="single" w:sz="24" w:space="0" w:color="auto"/>
          </w:tcBorders>
        </w:tcPr>
        <w:p w14:paraId="6C358ED3" w14:textId="77777777" w:rsidR="00486582" w:rsidRDefault="00486582" w:rsidP="00836DB1">
          <w:pPr>
            <w:pStyle w:val="HeaderOdd"/>
          </w:pPr>
        </w:p>
      </w:tc>
    </w:tr>
  </w:tbl>
  <w:p w14:paraId="06AC0181" w14:textId="77777777" w:rsidR="00486582" w:rsidRDefault="00486582" w:rsidP="00210849">
    <w:pPr>
      <w:pStyle w:val="HeaderEnd"/>
    </w:pPr>
  </w:p>
  <w:p w14:paraId="0FC278E6" w14:textId="77777777" w:rsidR="00486582" w:rsidRDefault="0048658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AC72229"/>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9B72D56"/>
    <w:multiLevelType w:val="hybridMultilevel"/>
    <w:tmpl w:val="B192C522"/>
    <w:lvl w:ilvl="0" w:tplc="D598CA62">
      <w:start w:val="6"/>
      <w:numFmt w:val="bullet"/>
      <w:lvlText w:val="-"/>
      <w:lvlJc w:val="left"/>
      <w:pPr>
        <w:ind w:left="420" w:hanging="360"/>
      </w:pPr>
      <w:rPr>
        <w:rFonts w:ascii="Arial" w:eastAsia="Times New Roman"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9"/>
  </w:num>
  <w:num w:numId="3">
    <w:abstractNumId w:val="17"/>
  </w:num>
  <w:num w:numId="4">
    <w:abstractNumId w:val="15"/>
  </w:num>
  <w:num w:numId="5">
    <w:abstractNumId w:val="24"/>
  </w:num>
  <w:num w:numId="6">
    <w:abstractNumId w:val="25"/>
  </w:num>
  <w:num w:numId="7">
    <w:abstractNumId w:val="13"/>
  </w:num>
  <w:num w:numId="8">
    <w:abstractNumId w:val="18"/>
  </w:num>
  <w:num w:numId="9">
    <w:abstractNumId w:val="19"/>
  </w:num>
  <w:num w:numId="10">
    <w:abstractNumId w:val="3"/>
  </w:num>
  <w:num w:numId="11">
    <w:abstractNumId w:val="7"/>
  </w:num>
  <w:num w:numId="12">
    <w:abstractNumId w:val="14"/>
  </w:num>
  <w:num w:numId="13">
    <w:abstractNumId w:val="16"/>
  </w:num>
  <w:num w:numId="14">
    <w:abstractNumId w:val="6"/>
  </w:num>
  <w:num w:numId="15">
    <w:abstractNumId w:val="20"/>
  </w:num>
  <w:num w:numId="16">
    <w:abstractNumId w:val="2"/>
  </w:num>
  <w:num w:numId="17">
    <w:abstractNumId w:val="21"/>
  </w:num>
  <w:num w:numId="18">
    <w:abstractNumId w:val="4"/>
  </w:num>
  <w:num w:numId="19">
    <w:abstractNumId w:val="23"/>
  </w:num>
  <w:num w:numId="20">
    <w:abstractNumId w:val="8"/>
  </w:num>
  <w:num w:numId="21">
    <w:abstractNumId w:val="22"/>
  </w:num>
  <w:num w:numId="22">
    <w:abstractNumId w:val="10"/>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12"/>
  </w:num>
  <w:num w:numId="26">
    <w:abstractNumId w:val="17"/>
  </w:num>
  <w:num w:numId="27">
    <w:abstractNumId w:val="17"/>
  </w:num>
  <w:num w:numId="2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78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Homelessness services"/>
    <w:docVar w:name="ShortReportTitle" w:val="Report on Government Services 2017"/>
    <w:docVar w:name="SideNote" w:val="1"/>
    <w:docVar w:name="UseShortChapter" w:val="0"/>
    <w:docVar w:name="UseShortReport" w:val="0"/>
  </w:docVars>
  <w:rsids>
    <w:rsidRoot w:val="00B35BD8"/>
    <w:rsid w:val="00000178"/>
    <w:rsid w:val="00000497"/>
    <w:rsid w:val="0000057F"/>
    <w:rsid w:val="000007C3"/>
    <w:rsid w:val="00000AAB"/>
    <w:rsid w:val="000015C1"/>
    <w:rsid w:val="000016DD"/>
    <w:rsid w:val="00001B07"/>
    <w:rsid w:val="00002576"/>
    <w:rsid w:val="00002710"/>
    <w:rsid w:val="00003E7A"/>
    <w:rsid w:val="00004028"/>
    <w:rsid w:val="00004607"/>
    <w:rsid w:val="00004C0A"/>
    <w:rsid w:val="00004D06"/>
    <w:rsid w:val="000051A2"/>
    <w:rsid w:val="00005A73"/>
    <w:rsid w:val="00005C41"/>
    <w:rsid w:val="00005FC1"/>
    <w:rsid w:val="00006B2D"/>
    <w:rsid w:val="00006BDD"/>
    <w:rsid w:val="00006CC6"/>
    <w:rsid w:val="00006D6F"/>
    <w:rsid w:val="00006E1E"/>
    <w:rsid w:val="00006F10"/>
    <w:rsid w:val="000073E4"/>
    <w:rsid w:val="00007DA8"/>
    <w:rsid w:val="0001025A"/>
    <w:rsid w:val="00010A23"/>
    <w:rsid w:val="00010A60"/>
    <w:rsid w:val="000112F4"/>
    <w:rsid w:val="0001183D"/>
    <w:rsid w:val="0001185B"/>
    <w:rsid w:val="00011B2A"/>
    <w:rsid w:val="00011DF8"/>
    <w:rsid w:val="0001215B"/>
    <w:rsid w:val="0001221E"/>
    <w:rsid w:val="00012284"/>
    <w:rsid w:val="00012609"/>
    <w:rsid w:val="000133C7"/>
    <w:rsid w:val="00013526"/>
    <w:rsid w:val="0001384D"/>
    <w:rsid w:val="00013B3A"/>
    <w:rsid w:val="00013B6F"/>
    <w:rsid w:val="000140B0"/>
    <w:rsid w:val="000141E1"/>
    <w:rsid w:val="0001456B"/>
    <w:rsid w:val="000146EB"/>
    <w:rsid w:val="000147A0"/>
    <w:rsid w:val="000147E3"/>
    <w:rsid w:val="00014CA4"/>
    <w:rsid w:val="00015128"/>
    <w:rsid w:val="000151EF"/>
    <w:rsid w:val="00016016"/>
    <w:rsid w:val="00016F1B"/>
    <w:rsid w:val="0001733A"/>
    <w:rsid w:val="0001765F"/>
    <w:rsid w:val="0001789E"/>
    <w:rsid w:val="000205E1"/>
    <w:rsid w:val="000206B8"/>
    <w:rsid w:val="000216C1"/>
    <w:rsid w:val="000216C4"/>
    <w:rsid w:val="00022044"/>
    <w:rsid w:val="00022660"/>
    <w:rsid w:val="000226A8"/>
    <w:rsid w:val="000227FE"/>
    <w:rsid w:val="00022870"/>
    <w:rsid w:val="000228B4"/>
    <w:rsid w:val="00022953"/>
    <w:rsid w:val="00022D8D"/>
    <w:rsid w:val="00023067"/>
    <w:rsid w:val="000234D4"/>
    <w:rsid w:val="000234E2"/>
    <w:rsid w:val="0002361F"/>
    <w:rsid w:val="00023E59"/>
    <w:rsid w:val="00023F22"/>
    <w:rsid w:val="00023F48"/>
    <w:rsid w:val="0002414F"/>
    <w:rsid w:val="00024237"/>
    <w:rsid w:val="000243BC"/>
    <w:rsid w:val="00024728"/>
    <w:rsid w:val="00025044"/>
    <w:rsid w:val="000252D7"/>
    <w:rsid w:val="0002546A"/>
    <w:rsid w:val="00025832"/>
    <w:rsid w:val="00025E5F"/>
    <w:rsid w:val="0002631F"/>
    <w:rsid w:val="000263BD"/>
    <w:rsid w:val="000266C7"/>
    <w:rsid w:val="000267AB"/>
    <w:rsid w:val="000268BB"/>
    <w:rsid w:val="0003027E"/>
    <w:rsid w:val="00030539"/>
    <w:rsid w:val="000305F4"/>
    <w:rsid w:val="0003094F"/>
    <w:rsid w:val="00030D9F"/>
    <w:rsid w:val="00030E45"/>
    <w:rsid w:val="00031251"/>
    <w:rsid w:val="00031304"/>
    <w:rsid w:val="000314F7"/>
    <w:rsid w:val="0003166B"/>
    <w:rsid w:val="000316A7"/>
    <w:rsid w:val="000316A8"/>
    <w:rsid w:val="00031A08"/>
    <w:rsid w:val="00031EDE"/>
    <w:rsid w:val="00032030"/>
    <w:rsid w:val="000320F3"/>
    <w:rsid w:val="00032408"/>
    <w:rsid w:val="000325B9"/>
    <w:rsid w:val="00032889"/>
    <w:rsid w:val="000330D3"/>
    <w:rsid w:val="00033A07"/>
    <w:rsid w:val="0003409B"/>
    <w:rsid w:val="00034137"/>
    <w:rsid w:val="00034613"/>
    <w:rsid w:val="00034B85"/>
    <w:rsid w:val="00034B96"/>
    <w:rsid w:val="00034E05"/>
    <w:rsid w:val="00035116"/>
    <w:rsid w:val="000354AD"/>
    <w:rsid w:val="000355D4"/>
    <w:rsid w:val="00035606"/>
    <w:rsid w:val="000358DC"/>
    <w:rsid w:val="00035C27"/>
    <w:rsid w:val="00035FFD"/>
    <w:rsid w:val="00036043"/>
    <w:rsid w:val="000362FE"/>
    <w:rsid w:val="000365EB"/>
    <w:rsid w:val="000365F8"/>
    <w:rsid w:val="00037040"/>
    <w:rsid w:val="000374C0"/>
    <w:rsid w:val="00037A05"/>
    <w:rsid w:val="00037F14"/>
    <w:rsid w:val="00040340"/>
    <w:rsid w:val="000405B6"/>
    <w:rsid w:val="00040759"/>
    <w:rsid w:val="0004098F"/>
    <w:rsid w:val="00041252"/>
    <w:rsid w:val="00041356"/>
    <w:rsid w:val="00041CCB"/>
    <w:rsid w:val="00041E6A"/>
    <w:rsid w:val="00042359"/>
    <w:rsid w:val="000426DE"/>
    <w:rsid w:val="000429F9"/>
    <w:rsid w:val="00042E95"/>
    <w:rsid w:val="00043253"/>
    <w:rsid w:val="0004335B"/>
    <w:rsid w:val="0004364F"/>
    <w:rsid w:val="0004371C"/>
    <w:rsid w:val="00043761"/>
    <w:rsid w:val="00043887"/>
    <w:rsid w:val="00043A8B"/>
    <w:rsid w:val="00043DA6"/>
    <w:rsid w:val="00044036"/>
    <w:rsid w:val="00044474"/>
    <w:rsid w:val="00045B10"/>
    <w:rsid w:val="00045E1D"/>
    <w:rsid w:val="00046100"/>
    <w:rsid w:val="00046425"/>
    <w:rsid w:val="00046C83"/>
    <w:rsid w:val="0004710D"/>
    <w:rsid w:val="00047D24"/>
    <w:rsid w:val="000510B1"/>
    <w:rsid w:val="00051184"/>
    <w:rsid w:val="0005140F"/>
    <w:rsid w:val="00051999"/>
    <w:rsid w:val="00051B5D"/>
    <w:rsid w:val="00051C74"/>
    <w:rsid w:val="00051F32"/>
    <w:rsid w:val="00052088"/>
    <w:rsid w:val="00052238"/>
    <w:rsid w:val="000522F9"/>
    <w:rsid w:val="0005274B"/>
    <w:rsid w:val="00052762"/>
    <w:rsid w:val="00052D45"/>
    <w:rsid w:val="00053B07"/>
    <w:rsid w:val="00053B3B"/>
    <w:rsid w:val="00054BF1"/>
    <w:rsid w:val="00054C95"/>
    <w:rsid w:val="00054DEE"/>
    <w:rsid w:val="00054F3A"/>
    <w:rsid w:val="00054F40"/>
    <w:rsid w:val="0005506B"/>
    <w:rsid w:val="0005522E"/>
    <w:rsid w:val="000553FD"/>
    <w:rsid w:val="00055791"/>
    <w:rsid w:val="000558B6"/>
    <w:rsid w:val="00055E96"/>
    <w:rsid w:val="00055EDE"/>
    <w:rsid w:val="00056C30"/>
    <w:rsid w:val="00057250"/>
    <w:rsid w:val="00057479"/>
    <w:rsid w:val="000575B5"/>
    <w:rsid w:val="0006029A"/>
    <w:rsid w:val="00060315"/>
    <w:rsid w:val="0006071C"/>
    <w:rsid w:val="00061021"/>
    <w:rsid w:val="00061391"/>
    <w:rsid w:val="0006139A"/>
    <w:rsid w:val="00061428"/>
    <w:rsid w:val="00061C4A"/>
    <w:rsid w:val="00061FB3"/>
    <w:rsid w:val="00062470"/>
    <w:rsid w:val="00062CEE"/>
    <w:rsid w:val="00062DFE"/>
    <w:rsid w:val="000633CA"/>
    <w:rsid w:val="000633EA"/>
    <w:rsid w:val="00063AA8"/>
    <w:rsid w:val="00063BF7"/>
    <w:rsid w:val="0006449E"/>
    <w:rsid w:val="000644D3"/>
    <w:rsid w:val="0006457C"/>
    <w:rsid w:val="00064867"/>
    <w:rsid w:val="000650C6"/>
    <w:rsid w:val="0006568D"/>
    <w:rsid w:val="0006650C"/>
    <w:rsid w:val="00066DCD"/>
    <w:rsid w:val="00066F6B"/>
    <w:rsid w:val="000676A9"/>
    <w:rsid w:val="00067765"/>
    <w:rsid w:val="00067BE7"/>
    <w:rsid w:val="00067CEE"/>
    <w:rsid w:val="00067D5F"/>
    <w:rsid w:val="000707E5"/>
    <w:rsid w:val="0007098A"/>
    <w:rsid w:val="00070BA6"/>
    <w:rsid w:val="00070BAD"/>
    <w:rsid w:val="00071055"/>
    <w:rsid w:val="00071807"/>
    <w:rsid w:val="00071E96"/>
    <w:rsid w:val="00071F19"/>
    <w:rsid w:val="0007238E"/>
    <w:rsid w:val="00072CF6"/>
    <w:rsid w:val="00072DFE"/>
    <w:rsid w:val="00072EC1"/>
    <w:rsid w:val="000733EA"/>
    <w:rsid w:val="000734B9"/>
    <w:rsid w:val="000742A2"/>
    <w:rsid w:val="000752EF"/>
    <w:rsid w:val="000753E6"/>
    <w:rsid w:val="00075964"/>
    <w:rsid w:val="000762CC"/>
    <w:rsid w:val="00076763"/>
    <w:rsid w:val="0007691D"/>
    <w:rsid w:val="00076F0E"/>
    <w:rsid w:val="00077350"/>
    <w:rsid w:val="0007743E"/>
    <w:rsid w:val="00077575"/>
    <w:rsid w:val="00077590"/>
    <w:rsid w:val="00077DA5"/>
    <w:rsid w:val="00080120"/>
    <w:rsid w:val="000801D0"/>
    <w:rsid w:val="000802CC"/>
    <w:rsid w:val="0008032D"/>
    <w:rsid w:val="000804DC"/>
    <w:rsid w:val="000809AE"/>
    <w:rsid w:val="00081079"/>
    <w:rsid w:val="00081A6A"/>
    <w:rsid w:val="00081AEF"/>
    <w:rsid w:val="00081C6B"/>
    <w:rsid w:val="00081E48"/>
    <w:rsid w:val="000821DC"/>
    <w:rsid w:val="00082709"/>
    <w:rsid w:val="000827A6"/>
    <w:rsid w:val="00082C01"/>
    <w:rsid w:val="00083453"/>
    <w:rsid w:val="00083456"/>
    <w:rsid w:val="00083A29"/>
    <w:rsid w:val="000841E5"/>
    <w:rsid w:val="00084E0B"/>
    <w:rsid w:val="00084F01"/>
    <w:rsid w:val="000851ED"/>
    <w:rsid w:val="000857EA"/>
    <w:rsid w:val="000858C9"/>
    <w:rsid w:val="00085EF0"/>
    <w:rsid w:val="000863DD"/>
    <w:rsid w:val="000864F4"/>
    <w:rsid w:val="000866CA"/>
    <w:rsid w:val="00086B73"/>
    <w:rsid w:val="000872F7"/>
    <w:rsid w:val="00087779"/>
    <w:rsid w:val="000877B8"/>
    <w:rsid w:val="0008783F"/>
    <w:rsid w:val="000878E6"/>
    <w:rsid w:val="00087953"/>
    <w:rsid w:val="00087EB6"/>
    <w:rsid w:val="00090902"/>
    <w:rsid w:val="00090B25"/>
    <w:rsid w:val="00090D77"/>
    <w:rsid w:val="0009103D"/>
    <w:rsid w:val="000913E8"/>
    <w:rsid w:val="000916A7"/>
    <w:rsid w:val="00091B21"/>
    <w:rsid w:val="00091DE3"/>
    <w:rsid w:val="00091E7A"/>
    <w:rsid w:val="00092064"/>
    <w:rsid w:val="0009208D"/>
    <w:rsid w:val="000921D9"/>
    <w:rsid w:val="00092241"/>
    <w:rsid w:val="000922A5"/>
    <w:rsid w:val="00092351"/>
    <w:rsid w:val="00092A3C"/>
    <w:rsid w:val="00092CDE"/>
    <w:rsid w:val="00092E3C"/>
    <w:rsid w:val="000930D4"/>
    <w:rsid w:val="00093657"/>
    <w:rsid w:val="00093A1F"/>
    <w:rsid w:val="00093A27"/>
    <w:rsid w:val="00093D30"/>
    <w:rsid w:val="00094389"/>
    <w:rsid w:val="00094BB7"/>
    <w:rsid w:val="00095543"/>
    <w:rsid w:val="00095E93"/>
    <w:rsid w:val="00096CE7"/>
    <w:rsid w:val="00096F38"/>
    <w:rsid w:val="00096F7B"/>
    <w:rsid w:val="00097199"/>
    <w:rsid w:val="000977C5"/>
    <w:rsid w:val="00097A6C"/>
    <w:rsid w:val="000A00CC"/>
    <w:rsid w:val="000A0769"/>
    <w:rsid w:val="000A0821"/>
    <w:rsid w:val="000A0A71"/>
    <w:rsid w:val="000A0B61"/>
    <w:rsid w:val="000A0E0E"/>
    <w:rsid w:val="000A1209"/>
    <w:rsid w:val="000A18CB"/>
    <w:rsid w:val="000A1C8F"/>
    <w:rsid w:val="000A1D09"/>
    <w:rsid w:val="000A1EE4"/>
    <w:rsid w:val="000A22AF"/>
    <w:rsid w:val="000A23F4"/>
    <w:rsid w:val="000A2CA8"/>
    <w:rsid w:val="000A2D86"/>
    <w:rsid w:val="000A3071"/>
    <w:rsid w:val="000A3157"/>
    <w:rsid w:val="000A3CE7"/>
    <w:rsid w:val="000A3D19"/>
    <w:rsid w:val="000A3F12"/>
    <w:rsid w:val="000A428E"/>
    <w:rsid w:val="000A4342"/>
    <w:rsid w:val="000A4746"/>
    <w:rsid w:val="000A4E1E"/>
    <w:rsid w:val="000A52AA"/>
    <w:rsid w:val="000A56D8"/>
    <w:rsid w:val="000A58B5"/>
    <w:rsid w:val="000A5C99"/>
    <w:rsid w:val="000A5E9B"/>
    <w:rsid w:val="000A62CE"/>
    <w:rsid w:val="000A6662"/>
    <w:rsid w:val="000A67F2"/>
    <w:rsid w:val="000A6BB4"/>
    <w:rsid w:val="000A6CA2"/>
    <w:rsid w:val="000B06B6"/>
    <w:rsid w:val="000B0C2F"/>
    <w:rsid w:val="000B0E72"/>
    <w:rsid w:val="000B13FE"/>
    <w:rsid w:val="000B14F9"/>
    <w:rsid w:val="000B17C5"/>
    <w:rsid w:val="000B1C98"/>
    <w:rsid w:val="000B1E0C"/>
    <w:rsid w:val="000B1FFF"/>
    <w:rsid w:val="000B201B"/>
    <w:rsid w:val="000B217E"/>
    <w:rsid w:val="000B24D9"/>
    <w:rsid w:val="000B2587"/>
    <w:rsid w:val="000B2681"/>
    <w:rsid w:val="000B2847"/>
    <w:rsid w:val="000B288E"/>
    <w:rsid w:val="000B2A91"/>
    <w:rsid w:val="000B2F52"/>
    <w:rsid w:val="000B3919"/>
    <w:rsid w:val="000B3AE3"/>
    <w:rsid w:val="000B40BD"/>
    <w:rsid w:val="000B42D9"/>
    <w:rsid w:val="000B46A9"/>
    <w:rsid w:val="000B5230"/>
    <w:rsid w:val="000B58FE"/>
    <w:rsid w:val="000B5EC5"/>
    <w:rsid w:val="000B60E9"/>
    <w:rsid w:val="000B6557"/>
    <w:rsid w:val="000B6910"/>
    <w:rsid w:val="000B74D6"/>
    <w:rsid w:val="000B7C97"/>
    <w:rsid w:val="000B7FD3"/>
    <w:rsid w:val="000C0140"/>
    <w:rsid w:val="000C02C0"/>
    <w:rsid w:val="000C02E2"/>
    <w:rsid w:val="000C0303"/>
    <w:rsid w:val="000C095F"/>
    <w:rsid w:val="000C0E53"/>
    <w:rsid w:val="000C1466"/>
    <w:rsid w:val="000C16A4"/>
    <w:rsid w:val="000C1770"/>
    <w:rsid w:val="000C1F40"/>
    <w:rsid w:val="000C2210"/>
    <w:rsid w:val="000C28F8"/>
    <w:rsid w:val="000C2D82"/>
    <w:rsid w:val="000C2F45"/>
    <w:rsid w:val="000C36B6"/>
    <w:rsid w:val="000C3767"/>
    <w:rsid w:val="000C4037"/>
    <w:rsid w:val="000C43F5"/>
    <w:rsid w:val="000C4429"/>
    <w:rsid w:val="000C465C"/>
    <w:rsid w:val="000C4CB7"/>
    <w:rsid w:val="000C4CCB"/>
    <w:rsid w:val="000C5613"/>
    <w:rsid w:val="000C5A73"/>
    <w:rsid w:val="000C5DE2"/>
    <w:rsid w:val="000C60B5"/>
    <w:rsid w:val="000C617B"/>
    <w:rsid w:val="000C6BE5"/>
    <w:rsid w:val="000C6E42"/>
    <w:rsid w:val="000C7359"/>
    <w:rsid w:val="000C7CEC"/>
    <w:rsid w:val="000C7F8D"/>
    <w:rsid w:val="000D039A"/>
    <w:rsid w:val="000D0848"/>
    <w:rsid w:val="000D087B"/>
    <w:rsid w:val="000D118A"/>
    <w:rsid w:val="000D18AC"/>
    <w:rsid w:val="000D1952"/>
    <w:rsid w:val="000D1A7B"/>
    <w:rsid w:val="000D1CBD"/>
    <w:rsid w:val="000D1D88"/>
    <w:rsid w:val="000D2287"/>
    <w:rsid w:val="000D2318"/>
    <w:rsid w:val="000D2F6C"/>
    <w:rsid w:val="000D2F8A"/>
    <w:rsid w:val="000D3C26"/>
    <w:rsid w:val="000D3C6C"/>
    <w:rsid w:val="000D3E6A"/>
    <w:rsid w:val="000D3E70"/>
    <w:rsid w:val="000D3EFA"/>
    <w:rsid w:val="000D4250"/>
    <w:rsid w:val="000D42BD"/>
    <w:rsid w:val="000D4526"/>
    <w:rsid w:val="000D4821"/>
    <w:rsid w:val="000D48B2"/>
    <w:rsid w:val="000D4B9B"/>
    <w:rsid w:val="000D4BCA"/>
    <w:rsid w:val="000D4D6C"/>
    <w:rsid w:val="000D551B"/>
    <w:rsid w:val="000D5819"/>
    <w:rsid w:val="000D5A0F"/>
    <w:rsid w:val="000D5A53"/>
    <w:rsid w:val="000D5C46"/>
    <w:rsid w:val="000D5F86"/>
    <w:rsid w:val="000D5F96"/>
    <w:rsid w:val="000D619B"/>
    <w:rsid w:val="000D66B5"/>
    <w:rsid w:val="000D6A0D"/>
    <w:rsid w:val="000D6C06"/>
    <w:rsid w:val="000D782E"/>
    <w:rsid w:val="000D7A3D"/>
    <w:rsid w:val="000D7E95"/>
    <w:rsid w:val="000D7EC6"/>
    <w:rsid w:val="000E0555"/>
    <w:rsid w:val="000E05E0"/>
    <w:rsid w:val="000E07BF"/>
    <w:rsid w:val="000E0A3E"/>
    <w:rsid w:val="000E0D89"/>
    <w:rsid w:val="000E10CC"/>
    <w:rsid w:val="000E1A06"/>
    <w:rsid w:val="000E1BE1"/>
    <w:rsid w:val="000E1DDC"/>
    <w:rsid w:val="000E2B1B"/>
    <w:rsid w:val="000E3502"/>
    <w:rsid w:val="000E372D"/>
    <w:rsid w:val="000E3891"/>
    <w:rsid w:val="000E3BA7"/>
    <w:rsid w:val="000E3CE4"/>
    <w:rsid w:val="000E437F"/>
    <w:rsid w:val="000E439E"/>
    <w:rsid w:val="000E4DD8"/>
    <w:rsid w:val="000E521D"/>
    <w:rsid w:val="000E5C3D"/>
    <w:rsid w:val="000E603D"/>
    <w:rsid w:val="000E6177"/>
    <w:rsid w:val="000E6E5B"/>
    <w:rsid w:val="000E7703"/>
    <w:rsid w:val="000E7DA1"/>
    <w:rsid w:val="000E7F97"/>
    <w:rsid w:val="000F0643"/>
    <w:rsid w:val="000F0C18"/>
    <w:rsid w:val="000F0C4E"/>
    <w:rsid w:val="000F0C78"/>
    <w:rsid w:val="000F0CBF"/>
    <w:rsid w:val="000F0CDF"/>
    <w:rsid w:val="000F0F68"/>
    <w:rsid w:val="000F1032"/>
    <w:rsid w:val="000F1832"/>
    <w:rsid w:val="000F1B2C"/>
    <w:rsid w:val="000F25A0"/>
    <w:rsid w:val="000F27A4"/>
    <w:rsid w:val="000F2FB6"/>
    <w:rsid w:val="000F3ABB"/>
    <w:rsid w:val="000F3D4C"/>
    <w:rsid w:val="000F41AF"/>
    <w:rsid w:val="000F45D2"/>
    <w:rsid w:val="000F46F1"/>
    <w:rsid w:val="000F4878"/>
    <w:rsid w:val="000F4BC9"/>
    <w:rsid w:val="000F4BFC"/>
    <w:rsid w:val="000F4D93"/>
    <w:rsid w:val="000F5DB9"/>
    <w:rsid w:val="000F621B"/>
    <w:rsid w:val="000F65C4"/>
    <w:rsid w:val="000F66CC"/>
    <w:rsid w:val="000F6895"/>
    <w:rsid w:val="000F6AE5"/>
    <w:rsid w:val="000F6B6C"/>
    <w:rsid w:val="000F6D51"/>
    <w:rsid w:val="000F6E42"/>
    <w:rsid w:val="000F74ED"/>
    <w:rsid w:val="000F78CE"/>
    <w:rsid w:val="000F7AAB"/>
    <w:rsid w:val="000F7BE8"/>
    <w:rsid w:val="0010047C"/>
    <w:rsid w:val="0010069A"/>
    <w:rsid w:val="00100EDA"/>
    <w:rsid w:val="00101207"/>
    <w:rsid w:val="00101315"/>
    <w:rsid w:val="00101619"/>
    <w:rsid w:val="001018B0"/>
    <w:rsid w:val="00101B43"/>
    <w:rsid w:val="00101D45"/>
    <w:rsid w:val="0010216A"/>
    <w:rsid w:val="001021AE"/>
    <w:rsid w:val="00102488"/>
    <w:rsid w:val="00102DC3"/>
    <w:rsid w:val="00102EBF"/>
    <w:rsid w:val="00102F87"/>
    <w:rsid w:val="001032F5"/>
    <w:rsid w:val="00103658"/>
    <w:rsid w:val="00103830"/>
    <w:rsid w:val="00103BCB"/>
    <w:rsid w:val="00103F64"/>
    <w:rsid w:val="00104615"/>
    <w:rsid w:val="00104810"/>
    <w:rsid w:val="00104B85"/>
    <w:rsid w:val="00105547"/>
    <w:rsid w:val="001056FC"/>
    <w:rsid w:val="00105B41"/>
    <w:rsid w:val="00106285"/>
    <w:rsid w:val="0010647E"/>
    <w:rsid w:val="001064F7"/>
    <w:rsid w:val="00106CF7"/>
    <w:rsid w:val="001070D2"/>
    <w:rsid w:val="001071DA"/>
    <w:rsid w:val="00107A6D"/>
    <w:rsid w:val="00107A9C"/>
    <w:rsid w:val="00107C14"/>
    <w:rsid w:val="001103B9"/>
    <w:rsid w:val="0011063C"/>
    <w:rsid w:val="00110A5C"/>
    <w:rsid w:val="001116F1"/>
    <w:rsid w:val="00111D3A"/>
    <w:rsid w:val="0011201F"/>
    <w:rsid w:val="0011219A"/>
    <w:rsid w:val="001121E5"/>
    <w:rsid w:val="00112332"/>
    <w:rsid w:val="00112542"/>
    <w:rsid w:val="00112935"/>
    <w:rsid w:val="0011337B"/>
    <w:rsid w:val="00113725"/>
    <w:rsid w:val="0011372F"/>
    <w:rsid w:val="001139DD"/>
    <w:rsid w:val="00113ABB"/>
    <w:rsid w:val="00113DAE"/>
    <w:rsid w:val="00113FA5"/>
    <w:rsid w:val="001143B4"/>
    <w:rsid w:val="00114417"/>
    <w:rsid w:val="00114638"/>
    <w:rsid w:val="0011519D"/>
    <w:rsid w:val="001153FF"/>
    <w:rsid w:val="0011544C"/>
    <w:rsid w:val="00115C34"/>
    <w:rsid w:val="00115D00"/>
    <w:rsid w:val="00115D7E"/>
    <w:rsid w:val="00115EE0"/>
    <w:rsid w:val="00115F2F"/>
    <w:rsid w:val="00116344"/>
    <w:rsid w:val="00116C27"/>
    <w:rsid w:val="00116F3F"/>
    <w:rsid w:val="00117B23"/>
    <w:rsid w:val="00117DF5"/>
    <w:rsid w:val="001200F4"/>
    <w:rsid w:val="001201D2"/>
    <w:rsid w:val="00120283"/>
    <w:rsid w:val="00120298"/>
    <w:rsid w:val="0012047E"/>
    <w:rsid w:val="001209FB"/>
    <w:rsid w:val="00120A29"/>
    <w:rsid w:val="00120AC2"/>
    <w:rsid w:val="00120EF6"/>
    <w:rsid w:val="001211F8"/>
    <w:rsid w:val="0012207F"/>
    <w:rsid w:val="00122478"/>
    <w:rsid w:val="00122B7A"/>
    <w:rsid w:val="001230A4"/>
    <w:rsid w:val="001230C4"/>
    <w:rsid w:val="001237DF"/>
    <w:rsid w:val="00123EF3"/>
    <w:rsid w:val="001243C7"/>
    <w:rsid w:val="001245DE"/>
    <w:rsid w:val="001246EE"/>
    <w:rsid w:val="001249A6"/>
    <w:rsid w:val="00124AC5"/>
    <w:rsid w:val="0012504B"/>
    <w:rsid w:val="00125061"/>
    <w:rsid w:val="00125118"/>
    <w:rsid w:val="0012548B"/>
    <w:rsid w:val="00125820"/>
    <w:rsid w:val="00125B61"/>
    <w:rsid w:val="00125F3C"/>
    <w:rsid w:val="0012665F"/>
    <w:rsid w:val="00126680"/>
    <w:rsid w:val="00127A74"/>
    <w:rsid w:val="00127E28"/>
    <w:rsid w:val="00130445"/>
    <w:rsid w:val="00130A3E"/>
    <w:rsid w:val="00130BBA"/>
    <w:rsid w:val="00131139"/>
    <w:rsid w:val="00131242"/>
    <w:rsid w:val="0013143F"/>
    <w:rsid w:val="001318C4"/>
    <w:rsid w:val="0013200C"/>
    <w:rsid w:val="00132081"/>
    <w:rsid w:val="001322BC"/>
    <w:rsid w:val="00132600"/>
    <w:rsid w:val="0013266C"/>
    <w:rsid w:val="00132724"/>
    <w:rsid w:val="00132847"/>
    <w:rsid w:val="001329A2"/>
    <w:rsid w:val="00132E71"/>
    <w:rsid w:val="001337BC"/>
    <w:rsid w:val="00133905"/>
    <w:rsid w:val="0013399E"/>
    <w:rsid w:val="001339B5"/>
    <w:rsid w:val="00133BC4"/>
    <w:rsid w:val="00133C3B"/>
    <w:rsid w:val="00133C67"/>
    <w:rsid w:val="00133D75"/>
    <w:rsid w:val="00133F58"/>
    <w:rsid w:val="001340BD"/>
    <w:rsid w:val="0013427B"/>
    <w:rsid w:val="001346C8"/>
    <w:rsid w:val="001348BE"/>
    <w:rsid w:val="001348DA"/>
    <w:rsid w:val="001354C9"/>
    <w:rsid w:val="00135B36"/>
    <w:rsid w:val="00136004"/>
    <w:rsid w:val="00136B70"/>
    <w:rsid w:val="00136EE5"/>
    <w:rsid w:val="0013735B"/>
    <w:rsid w:val="00137621"/>
    <w:rsid w:val="001400DE"/>
    <w:rsid w:val="00140AC4"/>
    <w:rsid w:val="00140D05"/>
    <w:rsid w:val="001414D6"/>
    <w:rsid w:val="001418E3"/>
    <w:rsid w:val="00141CAA"/>
    <w:rsid w:val="001421F8"/>
    <w:rsid w:val="001424FB"/>
    <w:rsid w:val="0014257C"/>
    <w:rsid w:val="001425BE"/>
    <w:rsid w:val="001427E5"/>
    <w:rsid w:val="00142A08"/>
    <w:rsid w:val="00142AA1"/>
    <w:rsid w:val="00142B64"/>
    <w:rsid w:val="001436FA"/>
    <w:rsid w:val="001437A3"/>
    <w:rsid w:val="00143837"/>
    <w:rsid w:val="001438CD"/>
    <w:rsid w:val="00144134"/>
    <w:rsid w:val="001443E6"/>
    <w:rsid w:val="00144509"/>
    <w:rsid w:val="00144E31"/>
    <w:rsid w:val="001452A1"/>
    <w:rsid w:val="00145345"/>
    <w:rsid w:val="00145513"/>
    <w:rsid w:val="00145FDA"/>
    <w:rsid w:val="00146107"/>
    <w:rsid w:val="001467D8"/>
    <w:rsid w:val="0014697E"/>
    <w:rsid w:val="00146A84"/>
    <w:rsid w:val="00146D93"/>
    <w:rsid w:val="00146FF0"/>
    <w:rsid w:val="0014716B"/>
    <w:rsid w:val="001471BE"/>
    <w:rsid w:val="001473C1"/>
    <w:rsid w:val="00147557"/>
    <w:rsid w:val="001478DF"/>
    <w:rsid w:val="00147CB4"/>
    <w:rsid w:val="00147F6D"/>
    <w:rsid w:val="00147FE0"/>
    <w:rsid w:val="0015038F"/>
    <w:rsid w:val="001507C9"/>
    <w:rsid w:val="00150BAE"/>
    <w:rsid w:val="001512BA"/>
    <w:rsid w:val="00151317"/>
    <w:rsid w:val="0015162E"/>
    <w:rsid w:val="00151905"/>
    <w:rsid w:val="00151931"/>
    <w:rsid w:val="001519A3"/>
    <w:rsid w:val="001521DE"/>
    <w:rsid w:val="0015240F"/>
    <w:rsid w:val="001525C6"/>
    <w:rsid w:val="00152715"/>
    <w:rsid w:val="001528FF"/>
    <w:rsid w:val="001546AC"/>
    <w:rsid w:val="00154775"/>
    <w:rsid w:val="00154B46"/>
    <w:rsid w:val="00154E32"/>
    <w:rsid w:val="00154EC1"/>
    <w:rsid w:val="001551B0"/>
    <w:rsid w:val="0015554C"/>
    <w:rsid w:val="00155D6F"/>
    <w:rsid w:val="001561DE"/>
    <w:rsid w:val="00156B46"/>
    <w:rsid w:val="00156C1C"/>
    <w:rsid w:val="00156C88"/>
    <w:rsid w:val="00156D55"/>
    <w:rsid w:val="001570DC"/>
    <w:rsid w:val="001575AA"/>
    <w:rsid w:val="001577B1"/>
    <w:rsid w:val="00157DB3"/>
    <w:rsid w:val="00160941"/>
    <w:rsid w:val="0016096B"/>
    <w:rsid w:val="00160977"/>
    <w:rsid w:val="00160CFB"/>
    <w:rsid w:val="0016124C"/>
    <w:rsid w:val="00161873"/>
    <w:rsid w:val="00161B30"/>
    <w:rsid w:val="00161C03"/>
    <w:rsid w:val="00162107"/>
    <w:rsid w:val="00162202"/>
    <w:rsid w:val="00162213"/>
    <w:rsid w:val="001624D2"/>
    <w:rsid w:val="0016294C"/>
    <w:rsid w:val="00162D91"/>
    <w:rsid w:val="00162EF7"/>
    <w:rsid w:val="00162F4B"/>
    <w:rsid w:val="001632EA"/>
    <w:rsid w:val="001636B6"/>
    <w:rsid w:val="001636CC"/>
    <w:rsid w:val="0016384A"/>
    <w:rsid w:val="00163FF6"/>
    <w:rsid w:val="0016407A"/>
    <w:rsid w:val="00164333"/>
    <w:rsid w:val="00164A20"/>
    <w:rsid w:val="001656BB"/>
    <w:rsid w:val="00165938"/>
    <w:rsid w:val="00165B37"/>
    <w:rsid w:val="00166051"/>
    <w:rsid w:val="00166366"/>
    <w:rsid w:val="00166891"/>
    <w:rsid w:val="00167393"/>
    <w:rsid w:val="00167C89"/>
    <w:rsid w:val="00167E3F"/>
    <w:rsid w:val="0017069C"/>
    <w:rsid w:val="00171859"/>
    <w:rsid w:val="0017206D"/>
    <w:rsid w:val="001722C9"/>
    <w:rsid w:val="00172B5F"/>
    <w:rsid w:val="00172E13"/>
    <w:rsid w:val="00172E3F"/>
    <w:rsid w:val="00172EEF"/>
    <w:rsid w:val="00172F5E"/>
    <w:rsid w:val="001733CF"/>
    <w:rsid w:val="001735C5"/>
    <w:rsid w:val="00173CAC"/>
    <w:rsid w:val="0017421E"/>
    <w:rsid w:val="001745A4"/>
    <w:rsid w:val="00174676"/>
    <w:rsid w:val="001748D0"/>
    <w:rsid w:val="00174A31"/>
    <w:rsid w:val="00174AAA"/>
    <w:rsid w:val="00174F2C"/>
    <w:rsid w:val="00175892"/>
    <w:rsid w:val="00175A37"/>
    <w:rsid w:val="00175A50"/>
    <w:rsid w:val="00175E03"/>
    <w:rsid w:val="00175FD9"/>
    <w:rsid w:val="0017679F"/>
    <w:rsid w:val="001801BE"/>
    <w:rsid w:val="00180578"/>
    <w:rsid w:val="00180617"/>
    <w:rsid w:val="00180B10"/>
    <w:rsid w:val="00181829"/>
    <w:rsid w:val="00181FCA"/>
    <w:rsid w:val="00182395"/>
    <w:rsid w:val="00182850"/>
    <w:rsid w:val="00182AA1"/>
    <w:rsid w:val="00182DD5"/>
    <w:rsid w:val="00182E77"/>
    <w:rsid w:val="001830DE"/>
    <w:rsid w:val="0018366F"/>
    <w:rsid w:val="00183750"/>
    <w:rsid w:val="00183FE9"/>
    <w:rsid w:val="001842F9"/>
    <w:rsid w:val="00184436"/>
    <w:rsid w:val="00184BD1"/>
    <w:rsid w:val="001851FE"/>
    <w:rsid w:val="0018581C"/>
    <w:rsid w:val="00185F9E"/>
    <w:rsid w:val="0018615F"/>
    <w:rsid w:val="001861EC"/>
    <w:rsid w:val="00186932"/>
    <w:rsid w:val="0018697D"/>
    <w:rsid w:val="0018764F"/>
    <w:rsid w:val="00187683"/>
    <w:rsid w:val="0018778C"/>
    <w:rsid w:val="001878E0"/>
    <w:rsid w:val="00187B8E"/>
    <w:rsid w:val="001908FF"/>
    <w:rsid w:val="00190BD9"/>
    <w:rsid w:val="00190C25"/>
    <w:rsid w:val="00190CBF"/>
    <w:rsid w:val="00191048"/>
    <w:rsid w:val="00191322"/>
    <w:rsid w:val="0019135D"/>
    <w:rsid w:val="00191678"/>
    <w:rsid w:val="00191B3C"/>
    <w:rsid w:val="00191DF6"/>
    <w:rsid w:val="0019223F"/>
    <w:rsid w:val="001923C6"/>
    <w:rsid w:val="00192584"/>
    <w:rsid w:val="0019262A"/>
    <w:rsid w:val="00192BE4"/>
    <w:rsid w:val="00192D95"/>
    <w:rsid w:val="00193189"/>
    <w:rsid w:val="0019333F"/>
    <w:rsid w:val="0019339B"/>
    <w:rsid w:val="001937C6"/>
    <w:rsid w:val="001937E8"/>
    <w:rsid w:val="00193AA9"/>
    <w:rsid w:val="00193AC3"/>
    <w:rsid w:val="0019414A"/>
    <w:rsid w:val="00194152"/>
    <w:rsid w:val="001944AC"/>
    <w:rsid w:val="001948B4"/>
    <w:rsid w:val="001949CE"/>
    <w:rsid w:val="001952D9"/>
    <w:rsid w:val="0019542F"/>
    <w:rsid w:val="001956A0"/>
    <w:rsid w:val="001959EC"/>
    <w:rsid w:val="00195F9D"/>
    <w:rsid w:val="0019633E"/>
    <w:rsid w:val="00196405"/>
    <w:rsid w:val="00196C0C"/>
    <w:rsid w:val="00196C0E"/>
    <w:rsid w:val="00196C80"/>
    <w:rsid w:val="00196F7B"/>
    <w:rsid w:val="00196FC7"/>
    <w:rsid w:val="00197914"/>
    <w:rsid w:val="0019794D"/>
    <w:rsid w:val="001979FB"/>
    <w:rsid w:val="00197AB7"/>
    <w:rsid w:val="00197AE3"/>
    <w:rsid w:val="00197B1F"/>
    <w:rsid w:val="00197DCE"/>
    <w:rsid w:val="00197EC8"/>
    <w:rsid w:val="001A02C0"/>
    <w:rsid w:val="001A0446"/>
    <w:rsid w:val="001A07A3"/>
    <w:rsid w:val="001A12D5"/>
    <w:rsid w:val="001A1894"/>
    <w:rsid w:val="001A18A4"/>
    <w:rsid w:val="001A1FA5"/>
    <w:rsid w:val="001A266E"/>
    <w:rsid w:val="001A2672"/>
    <w:rsid w:val="001A27A7"/>
    <w:rsid w:val="001A2953"/>
    <w:rsid w:val="001A2956"/>
    <w:rsid w:val="001A2BDB"/>
    <w:rsid w:val="001A2FBA"/>
    <w:rsid w:val="001A3260"/>
    <w:rsid w:val="001A32EA"/>
    <w:rsid w:val="001A34BF"/>
    <w:rsid w:val="001A3604"/>
    <w:rsid w:val="001A36BA"/>
    <w:rsid w:val="001A3B92"/>
    <w:rsid w:val="001A4290"/>
    <w:rsid w:val="001A49E1"/>
    <w:rsid w:val="001A4AB3"/>
    <w:rsid w:val="001A4B99"/>
    <w:rsid w:val="001A4D5B"/>
    <w:rsid w:val="001A5951"/>
    <w:rsid w:val="001A597C"/>
    <w:rsid w:val="001A5D45"/>
    <w:rsid w:val="001A6259"/>
    <w:rsid w:val="001A6891"/>
    <w:rsid w:val="001A6DDD"/>
    <w:rsid w:val="001A7042"/>
    <w:rsid w:val="001A7134"/>
    <w:rsid w:val="001A725F"/>
    <w:rsid w:val="001B05EA"/>
    <w:rsid w:val="001B1154"/>
    <w:rsid w:val="001B1609"/>
    <w:rsid w:val="001B1784"/>
    <w:rsid w:val="001B212A"/>
    <w:rsid w:val="001B2657"/>
    <w:rsid w:val="001B2AFB"/>
    <w:rsid w:val="001B2CAB"/>
    <w:rsid w:val="001B2DFC"/>
    <w:rsid w:val="001B2FDC"/>
    <w:rsid w:val="001B379F"/>
    <w:rsid w:val="001B3D3A"/>
    <w:rsid w:val="001B3D53"/>
    <w:rsid w:val="001B43DD"/>
    <w:rsid w:val="001B47DF"/>
    <w:rsid w:val="001B49D2"/>
    <w:rsid w:val="001B51B1"/>
    <w:rsid w:val="001B55C8"/>
    <w:rsid w:val="001B58CE"/>
    <w:rsid w:val="001B592F"/>
    <w:rsid w:val="001B5B95"/>
    <w:rsid w:val="001B6420"/>
    <w:rsid w:val="001B68EA"/>
    <w:rsid w:val="001B6BF0"/>
    <w:rsid w:val="001B6FE7"/>
    <w:rsid w:val="001B7108"/>
    <w:rsid w:val="001B71A4"/>
    <w:rsid w:val="001B7317"/>
    <w:rsid w:val="001B778B"/>
    <w:rsid w:val="001B7BFD"/>
    <w:rsid w:val="001B7D7C"/>
    <w:rsid w:val="001C0159"/>
    <w:rsid w:val="001C0EF4"/>
    <w:rsid w:val="001C12AE"/>
    <w:rsid w:val="001C161A"/>
    <w:rsid w:val="001C1D1A"/>
    <w:rsid w:val="001C244C"/>
    <w:rsid w:val="001C28BE"/>
    <w:rsid w:val="001C2B3B"/>
    <w:rsid w:val="001C2B47"/>
    <w:rsid w:val="001C2D5C"/>
    <w:rsid w:val="001C30C8"/>
    <w:rsid w:val="001C33A4"/>
    <w:rsid w:val="001C36F3"/>
    <w:rsid w:val="001C36F9"/>
    <w:rsid w:val="001C38ED"/>
    <w:rsid w:val="001C3D44"/>
    <w:rsid w:val="001C461A"/>
    <w:rsid w:val="001C4829"/>
    <w:rsid w:val="001C4C75"/>
    <w:rsid w:val="001C56D9"/>
    <w:rsid w:val="001C59AA"/>
    <w:rsid w:val="001C5BB2"/>
    <w:rsid w:val="001C5BF5"/>
    <w:rsid w:val="001C5DB9"/>
    <w:rsid w:val="001C5DEB"/>
    <w:rsid w:val="001C5E65"/>
    <w:rsid w:val="001C61FB"/>
    <w:rsid w:val="001C64EB"/>
    <w:rsid w:val="001C6789"/>
    <w:rsid w:val="001C68D9"/>
    <w:rsid w:val="001C68EB"/>
    <w:rsid w:val="001C700A"/>
    <w:rsid w:val="001C7549"/>
    <w:rsid w:val="001D043C"/>
    <w:rsid w:val="001D0511"/>
    <w:rsid w:val="001D10A3"/>
    <w:rsid w:val="001D19D5"/>
    <w:rsid w:val="001D19FE"/>
    <w:rsid w:val="001D1C42"/>
    <w:rsid w:val="001D20D1"/>
    <w:rsid w:val="001D214B"/>
    <w:rsid w:val="001D28B0"/>
    <w:rsid w:val="001D2EE7"/>
    <w:rsid w:val="001D2FB9"/>
    <w:rsid w:val="001D3831"/>
    <w:rsid w:val="001D4068"/>
    <w:rsid w:val="001D4138"/>
    <w:rsid w:val="001D435D"/>
    <w:rsid w:val="001D4674"/>
    <w:rsid w:val="001D471F"/>
    <w:rsid w:val="001D49C5"/>
    <w:rsid w:val="001D4BD2"/>
    <w:rsid w:val="001D4C83"/>
    <w:rsid w:val="001D4C9D"/>
    <w:rsid w:val="001D4DB2"/>
    <w:rsid w:val="001D5040"/>
    <w:rsid w:val="001D5813"/>
    <w:rsid w:val="001D5B84"/>
    <w:rsid w:val="001D5D0B"/>
    <w:rsid w:val="001D6205"/>
    <w:rsid w:val="001D6210"/>
    <w:rsid w:val="001D6368"/>
    <w:rsid w:val="001D6722"/>
    <w:rsid w:val="001D689D"/>
    <w:rsid w:val="001D6A02"/>
    <w:rsid w:val="001D6A14"/>
    <w:rsid w:val="001D6A48"/>
    <w:rsid w:val="001D6D0B"/>
    <w:rsid w:val="001D711D"/>
    <w:rsid w:val="001D717D"/>
    <w:rsid w:val="001D7DFE"/>
    <w:rsid w:val="001D7E9F"/>
    <w:rsid w:val="001E0C9F"/>
    <w:rsid w:val="001E1055"/>
    <w:rsid w:val="001E1281"/>
    <w:rsid w:val="001E1625"/>
    <w:rsid w:val="001E16C6"/>
    <w:rsid w:val="001E1B64"/>
    <w:rsid w:val="001E1EB5"/>
    <w:rsid w:val="001E2113"/>
    <w:rsid w:val="001E22A7"/>
    <w:rsid w:val="001E2339"/>
    <w:rsid w:val="001E2A5C"/>
    <w:rsid w:val="001E2F2A"/>
    <w:rsid w:val="001E316E"/>
    <w:rsid w:val="001E4568"/>
    <w:rsid w:val="001E47B5"/>
    <w:rsid w:val="001E60C3"/>
    <w:rsid w:val="001E61F6"/>
    <w:rsid w:val="001E65AB"/>
    <w:rsid w:val="001E6B53"/>
    <w:rsid w:val="001E6D7F"/>
    <w:rsid w:val="001E723E"/>
    <w:rsid w:val="001E7AB2"/>
    <w:rsid w:val="001E7B4B"/>
    <w:rsid w:val="001E7C87"/>
    <w:rsid w:val="001E7E81"/>
    <w:rsid w:val="001F011F"/>
    <w:rsid w:val="001F04F2"/>
    <w:rsid w:val="001F06FF"/>
    <w:rsid w:val="001F07D0"/>
    <w:rsid w:val="001F07E9"/>
    <w:rsid w:val="001F103D"/>
    <w:rsid w:val="001F117E"/>
    <w:rsid w:val="001F140F"/>
    <w:rsid w:val="001F1511"/>
    <w:rsid w:val="001F169B"/>
    <w:rsid w:val="001F1A59"/>
    <w:rsid w:val="001F1C5F"/>
    <w:rsid w:val="001F21AD"/>
    <w:rsid w:val="001F29DD"/>
    <w:rsid w:val="001F2D2A"/>
    <w:rsid w:val="001F2F25"/>
    <w:rsid w:val="001F33B6"/>
    <w:rsid w:val="001F399A"/>
    <w:rsid w:val="001F3B38"/>
    <w:rsid w:val="001F3CE7"/>
    <w:rsid w:val="001F45E1"/>
    <w:rsid w:val="001F4BD3"/>
    <w:rsid w:val="001F5222"/>
    <w:rsid w:val="001F527C"/>
    <w:rsid w:val="001F56C7"/>
    <w:rsid w:val="001F5799"/>
    <w:rsid w:val="001F5A8F"/>
    <w:rsid w:val="001F5BA6"/>
    <w:rsid w:val="001F6039"/>
    <w:rsid w:val="001F63DE"/>
    <w:rsid w:val="001F6468"/>
    <w:rsid w:val="001F70A9"/>
    <w:rsid w:val="001F7182"/>
    <w:rsid w:val="001F72BC"/>
    <w:rsid w:val="001F74AF"/>
    <w:rsid w:val="001F751B"/>
    <w:rsid w:val="001F758A"/>
    <w:rsid w:val="001F759A"/>
    <w:rsid w:val="001F7652"/>
    <w:rsid w:val="001F7787"/>
    <w:rsid w:val="001F780D"/>
    <w:rsid w:val="001F7DAE"/>
    <w:rsid w:val="00200398"/>
    <w:rsid w:val="00200B19"/>
    <w:rsid w:val="00200D34"/>
    <w:rsid w:val="00200EF3"/>
    <w:rsid w:val="0020107E"/>
    <w:rsid w:val="0020130A"/>
    <w:rsid w:val="002013F7"/>
    <w:rsid w:val="002014E6"/>
    <w:rsid w:val="0020154F"/>
    <w:rsid w:val="00201731"/>
    <w:rsid w:val="002017DB"/>
    <w:rsid w:val="00201D30"/>
    <w:rsid w:val="00201DEC"/>
    <w:rsid w:val="00201E11"/>
    <w:rsid w:val="00201E9F"/>
    <w:rsid w:val="00201EDE"/>
    <w:rsid w:val="00202244"/>
    <w:rsid w:val="00202E22"/>
    <w:rsid w:val="00202F39"/>
    <w:rsid w:val="00203048"/>
    <w:rsid w:val="0020325D"/>
    <w:rsid w:val="002033B3"/>
    <w:rsid w:val="002036DF"/>
    <w:rsid w:val="002038C0"/>
    <w:rsid w:val="00204716"/>
    <w:rsid w:val="0020496B"/>
    <w:rsid w:val="00204B71"/>
    <w:rsid w:val="00204F16"/>
    <w:rsid w:val="00205408"/>
    <w:rsid w:val="00205B3F"/>
    <w:rsid w:val="00205C06"/>
    <w:rsid w:val="00205F85"/>
    <w:rsid w:val="0020609C"/>
    <w:rsid w:val="002062B2"/>
    <w:rsid w:val="0020631F"/>
    <w:rsid w:val="00206724"/>
    <w:rsid w:val="00210243"/>
    <w:rsid w:val="0021028B"/>
    <w:rsid w:val="0021051E"/>
    <w:rsid w:val="00210849"/>
    <w:rsid w:val="00210BCB"/>
    <w:rsid w:val="00210C53"/>
    <w:rsid w:val="00210F99"/>
    <w:rsid w:val="00211749"/>
    <w:rsid w:val="00212137"/>
    <w:rsid w:val="002121E6"/>
    <w:rsid w:val="0021236C"/>
    <w:rsid w:val="002123A9"/>
    <w:rsid w:val="00212BA4"/>
    <w:rsid w:val="00212BE9"/>
    <w:rsid w:val="00212F76"/>
    <w:rsid w:val="002131AC"/>
    <w:rsid w:val="00213384"/>
    <w:rsid w:val="002134B3"/>
    <w:rsid w:val="00213F6B"/>
    <w:rsid w:val="00214539"/>
    <w:rsid w:val="002147D2"/>
    <w:rsid w:val="00214929"/>
    <w:rsid w:val="00214A27"/>
    <w:rsid w:val="00214C72"/>
    <w:rsid w:val="00215CD9"/>
    <w:rsid w:val="00215D59"/>
    <w:rsid w:val="002160CC"/>
    <w:rsid w:val="00216375"/>
    <w:rsid w:val="002163D2"/>
    <w:rsid w:val="002168CA"/>
    <w:rsid w:val="00216B6C"/>
    <w:rsid w:val="002174A7"/>
    <w:rsid w:val="0021751B"/>
    <w:rsid w:val="0022002E"/>
    <w:rsid w:val="002201CF"/>
    <w:rsid w:val="0022028E"/>
    <w:rsid w:val="0022032C"/>
    <w:rsid w:val="00220FCB"/>
    <w:rsid w:val="002213A3"/>
    <w:rsid w:val="002218A1"/>
    <w:rsid w:val="00221D03"/>
    <w:rsid w:val="00221DFE"/>
    <w:rsid w:val="00221E66"/>
    <w:rsid w:val="002220E0"/>
    <w:rsid w:val="00222392"/>
    <w:rsid w:val="00223599"/>
    <w:rsid w:val="00223C12"/>
    <w:rsid w:val="00223D7B"/>
    <w:rsid w:val="00224654"/>
    <w:rsid w:val="00224AAE"/>
    <w:rsid w:val="00224E37"/>
    <w:rsid w:val="00225774"/>
    <w:rsid w:val="0022577A"/>
    <w:rsid w:val="00225BF3"/>
    <w:rsid w:val="0022603D"/>
    <w:rsid w:val="00226221"/>
    <w:rsid w:val="0022622A"/>
    <w:rsid w:val="0022623E"/>
    <w:rsid w:val="002268C4"/>
    <w:rsid w:val="00226AF9"/>
    <w:rsid w:val="00226F68"/>
    <w:rsid w:val="0022720D"/>
    <w:rsid w:val="0022733F"/>
    <w:rsid w:val="0022775F"/>
    <w:rsid w:val="00227BAA"/>
    <w:rsid w:val="00227E83"/>
    <w:rsid w:val="002300BD"/>
    <w:rsid w:val="00230701"/>
    <w:rsid w:val="002308FA"/>
    <w:rsid w:val="00230E48"/>
    <w:rsid w:val="00230F64"/>
    <w:rsid w:val="00230F6D"/>
    <w:rsid w:val="00231223"/>
    <w:rsid w:val="0023158B"/>
    <w:rsid w:val="002317C2"/>
    <w:rsid w:val="00231DC3"/>
    <w:rsid w:val="002321D0"/>
    <w:rsid w:val="00232357"/>
    <w:rsid w:val="00232EC1"/>
    <w:rsid w:val="002331EA"/>
    <w:rsid w:val="00233E2E"/>
    <w:rsid w:val="00234831"/>
    <w:rsid w:val="00234C9E"/>
    <w:rsid w:val="00234F13"/>
    <w:rsid w:val="00235076"/>
    <w:rsid w:val="002351E6"/>
    <w:rsid w:val="002351F0"/>
    <w:rsid w:val="00235499"/>
    <w:rsid w:val="0023561F"/>
    <w:rsid w:val="00235744"/>
    <w:rsid w:val="00235C6E"/>
    <w:rsid w:val="00236229"/>
    <w:rsid w:val="00236278"/>
    <w:rsid w:val="00236613"/>
    <w:rsid w:val="00237246"/>
    <w:rsid w:val="0023756F"/>
    <w:rsid w:val="002377A3"/>
    <w:rsid w:val="002378AB"/>
    <w:rsid w:val="002378F6"/>
    <w:rsid w:val="002401B9"/>
    <w:rsid w:val="00240B1C"/>
    <w:rsid w:val="00241067"/>
    <w:rsid w:val="0024168E"/>
    <w:rsid w:val="002418EB"/>
    <w:rsid w:val="00241E98"/>
    <w:rsid w:val="00242108"/>
    <w:rsid w:val="002424A7"/>
    <w:rsid w:val="00242A72"/>
    <w:rsid w:val="00242BC7"/>
    <w:rsid w:val="00243028"/>
    <w:rsid w:val="00243704"/>
    <w:rsid w:val="00243878"/>
    <w:rsid w:val="00243A3E"/>
    <w:rsid w:val="002442C7"/>
    <w:rsid w:val="0024446E"/>
    <w:rsid w:val="00244B8B"/>
    <w:rsid w:val="00244BE9"/>
    <w:rsid w:val="00244C08"/>
    <w:rsid w:val="0024524D"/>
    <w:rsid w:val="002455A5"/>
    <w:rsid w:val="002456F3"/>
    <w:rsid w:val="00245815"/>
    <w:rsid w:val="002458D6"/>
    <w:rsid w:val="00245AFF"/>
    <w:rsid w:val="00245BA8"/>
    <w:rsid w:val="0024636D"/>
    <w:rsid w:val="00246515"/>
    <w:rsid w:val="0024690E"/>
    <w:rsid w:val="00246C81"/>
    <w:rsid w:val="00246D2E"/>
    <w:rsid w:val="00246FCC"/>
    <w:rsid w:val="00247240"/>
    <w:rsid w:val="00247A5A"/>
    <w:rsid w:val="00247CB4"/>
    <w:rsid w:val="002503F4"/>
    <w:rsid w:val="002507A5"/>
    <w:rsid w:val="00250BDB"/>
    <w:rsid w:val="00250EB5"/>
    <w:rsid w:val="00250FAB"/>
    <w:rsid w:val="002515E8"/>
    <w:rsid w:val="0025160F"/>
    <w:rsid w:val="00251837"/>
    <w:rsid w:val="00252739"/>
    <w:rsid w:val="002528F9"/>
    <w:rsid w:val="00252A86"/>
    <w:rsid w:val="00252DAC"/>
    <w:rsid w:val="00252E68"/>
    <w:rsid w:val="002532FB"/>
    <w:rsid w:val="0025330F"/>
    <w:rsid w:val="002533F5"/>
    <w:rsid w:val="00253557"/>
    <w:rsid w:val="00253662"/>
    <w:rsid w:val="00253682"/>
    <w:rsid w:val="00253D55"/>
    <w:rsid w:val="0025418F"/>
    <w:rsid w:val="002547CF"/>
    <w:rsid w:val="0025492D"/>
    <w:rsid w:val="00254CE0"/>
    <w:rsid w:val="00254ECA"/>
    <w:rsid w:val="00255265"/>
    <w:rsid w:val="0025556B"/>
    <w:rsid w:val="00255818"/>
    <w:rsid w:val="00255F91"/>
    <w:rsid w:val="00256006"/>
    <w:rsid w:val="00256014"/>
    <w:rsid w:val="00256192"/>
    <w:rsid w:val="00256250"/>
    <w:rsid w:val="002563C4"/>
    <w:rsid w:val="00256553"/>
    <w:rsid w:val="00256B92"/>
    <w:rsid w:val="00256DE9"/>
    <w:rsid w:val="002573E8"/>
    <w:rsid w:val="0025757A"/>
    <w:rsid w:val="002576A2"/>
    <w:rsid w:val="00257944"/>
    <w:rsid w:val="00257D28"/>
    <w:rsid w:val="00257E36"/>
    <w:rsid w:val="002602C2"/>
    <w:rsid w:val="0026044D"/>
    <w:rsid w:val="002605DF"/>
    <w:rsid w:val="00260760"/>
    <w:rsid w:val="002608E2"/>
    <w:rsid w:val="00260BEC"/>
    <w:rsid w:val="00261889"/>
    <w:rsid w:val="002619BD"/>
    <w:rsid w:val="00261B67"/>
    <w:rsid w:val="00262044"/>
    <w:rsid w:val="0026227C"/>
    <w:rsid w:val="0026255B"/>
    <w:rsid w:val="00262628"/>
    <w:rsid w:val="00262BA6"/>
    <w:rsid w:val="00262C6A"/>
    <w:rsid w:val="00263006"/>
    <w:rsid w:val="0026335D"/>
    <w:rsid w:val="0026343B"/>
    <w:rsid w:val="00263CAA"/>
    <w:rsid w:val="00263FD4"/>
    <w:rsid w:val="00264874"/>
    <w:rsid w:val="00264ABA"/>
    <w:rsid w:val="0026500A"/>
    <w:rsid w:val="00265455"/>
    <w:rsid w:val="00265A15"/>
    <w:rsid w:val="002661BB"/>
    <w:rsid w:val="00266589"/>
    <w:rsid w:val="00266635"/>
    <w:rsid w:val="00266664"/>
    <w:rsid w:val="00266951"/>
    <w:rsid w:val="00266AF6"/>
    <w:rsid w:val="00266FC4"/>
    <w:rsid w:val="00267485"/>
    <w:rsid w:val="00267D4B"/>
    <w:rsid w:val="00267E3D"/>
    <w:rsid w:val="00267F85"/>
    <w:rsid w:val="00270ED7"/>
    <w:rsid w:val="00270FDD"/>
    <w:rsid w:val="002712C8"/>
    <w:rsid w:val="0027134A"/>
    <w:rsid w:val="002713DB"/>
    <w:rsid w:val="0027143D"/>
    <w:rsid w:val="00271853"/>
    <w:rsid w:val="002718CE"/>
    <w:rsid w:val="00271930"/>
    <w:rsid w:val="002719ED"/>
    <w:rsid w:val="00271B75"/>
    <w:rsid w:val="00271EB8"/>
    <w:rsid w:val="00272265"/>
    <w:rsid w:val="002723B8"/>
    <w:rsid w:val="0027279D"/>
    <w:rsid w:val="00272DEB"/>
    <w:rsid w:val="00273160"/>
    <w:rsid w:val="0027338D"/>
    <w:rsid w:val="00273FFC"/>
    <w:rsid w:val="002742FE"/>
    <w:rsid w:val="002744CB"/>
    <w:rsid w:val="0027482D"/>
    <w:rsid w:val="00274AC6"/>
    <w:rsid w:val="00274D4D"/>
    <w:rsid w:val="00275273"/>
    <w:rsid w:val="002752F0"/>
    <w:rsid w:val="002753A8"/>
    <w:rsid w:val="00275800"/>
    <w:rsid w:val="00275B35"/>
    <w:rsid w:val="00275D66"/>
    <w:rsid w:val="002761BB"/>
    <w:rsid w:val="002769CD"/>
    <w:rsid w:val="002769EE"/>
    <w:rsid w:val="00276A09"/>
    <w:rsid w:val="00277004"/>
    <w:rsid w:val="00277507"/>
    <w:rsid w:val="0027784E"/>
    <w:rsid w:val="00280025"/>
    <w:rsid w:val="0028023C"/>
    <w:rsid w:val="00280AA4"/>
    <w:rsid w:val="00280F26"/>
    <w:rsid w:val="0028106B"/>
    <w:rsid w:val="0028182C"/>
    <w:rsid w:val="00281F54"/>
    <w:rsid w:val="00282075"/>
    <w:rsid w:val="00282450"/>
    <w:rsid w:val="002824E1"/>
    <w:rsid w:val="00282716"/>
    <w:rsid w:val="00282971"/>
    <w:rsid w:val="00282C4E"/>
    <w:rsid w:val="00283097"/>
    <w:rsid w:val="00283099"/>
    <w:rsid w:val="00283943"/>
    <w:rsid w:val="00283EA0"/>
    <w:rsid w:val="00284359"/>
    <w:rsid w:val="00284B30"/>
    <w:rsid w:val="00284E3A"/>
    <w:rsid w:val="0028529B"/>
    <w:rsid w:val="0028543C"/>
    <w:rsid w:val="00285DB8"/>
    <w:rsid w:val="00285FE6"/>
    <w:rsid w:val="00286267"/>
    <w:rsid w:val="002863C7"/>
    <w:rsid w:val="002869F9"/>
    <w:rsid w:val="00286B3E"/>
    <w:rsid w:val="00286CEA"/>
    <w:rsid w:val="00286E89"/>
    <w:rsid w:val="00286FF5"/>
    <w:rsid w:val="00287482"/>
    <w:rsid w:val="002878E4"/>
    <w:rsid w:val="002902E1"/>
    <w:rsid w:val="00290407"/>
    <w:rsid w:val="00290705"/>
    <w:rsid w:val="00290E89"/>
    <w:rsid w:val="0029106F"/>
    <w:rsid w:val="002912FF"/>
    <w:rsid w:val="0029138D"/>
    <w:rsid w:val="00291984"/>
    <w:rsid w:val="00291ABF"/>
    <w:rsid w:val="00291C0E"/>
    <w:rsid w:val="00291DE6"/>
    <w:rsid w:val="00291EAD"/>
    <w:rsid w:val="00291F8C"/>
    <w:rsid w:val="0029211A"/>
    <w:rsid w:val="00292373"/>
    <w:rsid w:val="00292406"/>
    <w:rsid w:val="002925BC"/>
    <w:rsid w:val="002929BF"/>
    <w:rsid w:val="00292ABF"/>
    <w:rsid w:val="00292C2F"/>
    <w:rsid w:val="00292E1D"/>
    <w:rsid w:val="00292E3B"/>
    <w:rsid w:val="00293669"/>
    <w:rsid w:val="00293EFF"/>
    <w:rsid w:val="00293FBD"/>
    <w:rsid w:val="00294195"/>
    <w:rsid w:val="00294BC3"/>
    <w:rsid w:val="00295868"/>
    <w:rsid w:val="00295CAC"/>
    <w:rsid w:val="00296078"/>
    <w:rsid w:val="00296E96"/>
    <w:rsid w:val="002976AD"/>
    <w:rsid w:val="002977CB"/>
    <w:rsid w:val="0029784D"/>
    <w:rsid w:val="002979AC"/>
    <w:rsid w:val="00297AC9"/>
    <w:rsid w:val="002A0198"/>
    <w:rsid w:val="002A049C"/>
    <w:rsid w:val="002A05CE"/>
    <w:rsid w:val="002A0728"/>
    <w:rsid w:val="002A08A0"/>
    <w:rsid w:val="002A094B"/>
    <w:rsid w:val="002A094E"/>
    <w:rsid w:val="002A0A66"/>
    <w:rsid w:val="002A0A9B"/>
    <w:rsid w:val="002A0D56"/>
    <w:rsid w:val="002A0EED"/>
    <w:rsid w:val="002A1787"/>
    <w:rsid w:val="002A186F"/>
    <w:rsid w:val="002A1CC2"/>
    <w:rsid w:val="002A1CCA"/>
    <w:rsid w:val="002A2873"/>
    <w:rsid w:val="002A2961"/>
    <w:rsid w:val="002A2AFE"/>
    <w:rsid w:val="002A2F94"/>
    <w:rsid w:val="002A322B"/>
    <w:rsid w:val="002A328D"/>
    <w:rsid w:val="002A3308"/>
    <w:rsid w:val="002A379B"/>
    <w:rsid w:val="002A4AD8"/>
    <w:rsid w:val="002A50CB"/>
    <w:rsid w:val="002A51DA"/>
    <w:rsid w:val="002A579E"/>
    <w:rsid w:val="002A618D"/>
    <w:rsid w:val="002A748C"/>
    <w:rsid w:val="002A749F"/>
    <w:rsid w:val="002A7811"/>
    <w:rsid w:val="002A7898"/>
    <w:rsid w:val="002A7EF1"/>
    <w:rsid w:val="002A7EF8"/>
    <w:rsid w:val="002B00B4"/>
    <w:rsid w:val="002B0500"/>
    <w:rsid w:val="002B0725"/>
    <w:rsid w:val="002B07BA"/>
    <w:rsid w:val="002B08F5"/>
    <w:rsid w:val="002B0BDD"/>
    <w:rsid w:val="002B1110"/>
    <w:rsid w:val="002B1814"/>
    <w:rsid w:val="002B19E8"/>
    <w:rsid w:val="002B297D"/>
    <w:rsid w:val="002B3390"/>
    <w:rsid w:val="002B36BA"/>
    <w:rsid w:val="002B3E3A"/>
    <w:rsid w:val="002B4111"/>
    <w:rsid w:val="002B531A"/>
    <w:rsid w:val="002B5450"/>
    <w:rsid w:val="002B54B5"/>
    <w:rsid w:val="002B5944"/>
    <w:rsid w:val="002B5C01"/>
    <w:rsid w:val="002B5CB5"/>
    <w:rsid w:val="002B5D8B"/>
    <w:rsid w:val="002B5F90"/>
    <w:rsid w:val="002B62F8"/>
    <w:rsid w:val="002B6C0E"/>
    <w:rsid w:val="002B6D18"/>
    <w:rsid w:val="002B6E67"/>
    <w:rsid w:val="002B6E72"/>
    <w:rsid w:val="002B70BA"/>
    <w:rsid w:val="002B71EB"/>
    <w:rsid w:val="002B72F5"/>
    <w:rsid w:val="002B7311"/>
    <w:rsid w:val="002B767A"/>
    <w:rsid w:val="002B7A0D"/>
    <w:rsid w:val="002B7B64"/>
    <w:rsid w:val="002C0357"/>
    <w:rsid w:val="002C073F"/>
    <w:rsid w:val="002C089E"/>
    <w:rsid w:val="002C09C3"/>
    <w:rsid w:val="002C0B6B"/>
    <w:rsid w:val="002C11C0"/>
    <w:rsid w:val="002C15B6"/>
    <w:rsid w:val="002C1635"/>
    <w:rsid w:val="002C1905"/>
    <w:rsid w:val="002C1918"/>
    <w:rsid w:val="002C19F0"/>
    <w:rsid w:val="002C20BD"/>
    <w:rsid w:val="002C23FF"/>
    <w:rsid w:val="002C289F"/>
    <w:rsid w:val="002C2AED"/>
    <w:rsid w:val="002C2BB2"/>
    <w:rsid w:val="002C2BCC"/>
    <w:rsid w:val="002C2E83"/>
    <w:rsid w:val="002C2FDF"/>
    <w:rsid w:val="002C313C"/>
    <w:rsid w:val="002C32D6"/>
    <w:rsid w:val="002C334F"/>
    <w:rsid w:val="002C34FA"/>
    <w:rsid w:val="002C351B"/>
    <w:rsid w:val="002C3521"/>
    <w:rsid w:val="002C380D"/>
    <w:rsid w:val="002C4238"/>
    <w:rsid w:val="002C4296"/>
    <w:rsid w:val="002C4A26"/>
    <w:rsid w:val="002C4FCC"/>
    <w:rsid w:val="002C5B6F"/>
    <w:rsid w:val="002C5C6D"/>
    <w:rsid w:val="002C5C9F"/>
    <w:rsid w:val="002C64B7"/>
    <w:rsid w:val="002C6680"/>
    <w:rsid w:val="002C6823"/>
    <w:rsid w:val="002C6AD0"/>
    <w:rsid w:val="002C6CF3"/>
    <w:rsid w:val="002C721C"/>
    <w:rsid w:val="002C7457"/>
    <w:rsid w:val="002C78B3"/>
    <w:rsid w:val="002C7B7B"/>
    <w:rsid w:val="002D05B6"/>
    <w:rsid w:val="002D067E"/>
    <w:rsid w:val="002D080E"/>
    <w:rsid w:val="002D0EC6"/>
    <w:rsid w:val="002D13B0"/>
    <w:rsid w:val="002D13EC"/>
    <w:rsid w:val="002D1467"/>
    <w:rsid w:val="002D1FC8"/>
    <w:rsid w:val="002D2113"/>
    <w:rsid w:val="002D266D"/>
    <w:rsid w:val="002D318B"/>
    <w:rsid w:val="002D33F1"/>
    <w:rsid w:val="002D3521"/>
    <w:rsid w:val="002D38FB"/>
    <w:rsid w:val="002D3A8D"/>
    <w:rsid w:val="002D3C11"/>
    <w:rsid w:val="002D3D05"/>
    <w:rsid w:val="002D3D83"/>
    <w:rsid w:val="002D3E15"/>
    <w:rsid w:val="002D4321"/>
    <w:rsid w:val="002D4424"/>
    <w:rsid w:val="002D44AA"/>
    <w:rsid w:val="002D4781"/>
    <w:rsid w:val="002D47AF"/>
    <w:rsid w:val="002D5116"/>
    <w:rsid w:val="002D53A5"/>
    <w:rsid w:val="002D540B"/>
    <w:rsid w:val="002D627A"/>
    <w:rsid w:val="002D6533"/>
    <w:rsid w:val="002D6C59"/>
    <w:rsid w:val="002D709B"/>
    <w:rsid w:val="002D7124"/>
    <w:rsid w:val="002D7A7E"/>
    <w:rsid w:val="002D7B91"/>
    <w:rsid w:val="002E01C7"/>
    <w:rsid w:val="002E05AB"/>
    <w:rsid w:val="002E09D5"/>
    <w:rsid w:val="002E0AFB"/>
    <w:rsid w:val="002E0DEF"/>
    <w:rsid w:val="002E0E13"/>
    <w:rsid w:val="002E0F2C"/>
    <w:rsid w:val="002E1247"/>
    <w:rsid w:val="002E1C4E"/>
    <w:rsid w:val="002E1DE3"/>
    <w:rsid w:val="002E2958"/>
    <w:rsid w:val="002E2C59"/>
    <w:rsid w:val="002E2C65"/>
    <w:rsid w:val="002E3086"/>
    <w:rsid w:val="002E30E2"/>
    <w:rsid w:val="002E32A2"/>
    <w:rsid w:val="002E3331"/>
    <w:rsid w:val="002E3482"/>
    <w:rsid w:val="002E349D"/>
    <w:rsid w:val="002E3902"/>
    <w:rsid w:val="002E3A83"/>
    <w:rsid w:val="002E3D13"/>
    <w:rsid w:val="002E4301"/>
    <w:rsid w:val="002E430C"/>
    <w:rsid w:val="002E475A"/>
    <w:rsid w:val="002E4E77"/>
    <w:rsid w:val="002E53B6"/>
    <w:rsid w:val="002E53BF"/>
    <w:rsid w:val="002E55D6"/>
    <w:rsid w:val="002E5772"/>
    <w:rsid w:val="002E5B5F"/>
    <w:rsid w:val="002E5BE5"/>
    <w:rsid w:val="002E5CA4"/>
    <w:rsid w:val="002E5E63"/>
    <w:rsid w:val="002E60EE"/>
    <w:rsid w:val="002E61E0"/>
    <w:rsid w:val="002E62E0"/>
    <w:rsid w:val="002E6DF6"/>
    <w:rsid w:val="002E72FE"/>
    <w:rsid w:val="002E7D80"/>
    <w:rsid w:val="002E7FAA"/>
    <w:rsid w:val="002F068E"/>
    <w:rsid w:val="002F0C23"/>
    <w:rsid w:val="002F0C2F"/>
    <w:rsid w:val="002F0F2A"/>
    <w:rsid w:val="002F13CC"/>
    <w:rsid w:val="002F1436"/>
    <w:rsid w:val="002F285D"/>
    <w:rsid w:val="002F2957"/>
    <w:rsid w:val="002F297D"/>
    <w:rsid w:val="002F2A35"/>
    <w:rsid w:val="002F2B87"/>
    <w:rsid w:val="002F2E82"/>
    <w:rsid w:val="002F3162"/>
    <w:rsid w:val="002F34A0"/>
    <w:rsid w:val="002F35F6"/>
    <w:rsid w:val="002F36E4"/>
    <w:rsid w:val="002F3FAC"/>
    <w:rsid w:val="002F40B2"/>
    <w:rsid w:val="002F4327"/>
    <w:rsid w:val="002F4479"/>
    <w:rsid w:val="002F4C50"/>
    <w:rsid w:val="002F50FB"/>
    <w:rsid w:val="002F557D"/>
    <w:rsid w:val="002F56C4"/>
    <w:rsid w:val="002F5E85"/>
    <w:rsid w:val="002F60F7"/>
    <w:rsid w:val="002F631B"/>
    <w:rsid w:val="002F6577"/>
    <w:rsid w:val="002F6F08"/>
    <w:rsid w:val="002F715A"/>
    <w:rsid w:val="002F7540"/>
    <w:rsid w:val="002F7B59"/>
    <w:rsid w:val="002F7C82"/>
    <w:rsid w:val="00300784"/>
    <w:rsid w:val="00300D97"/>
    <w:rsid w:val="00301052"/>
    <w:rsid w:val="00301C7E"/>
    <w:rsid w:val="00302225"/>
    <w:rsid w:val="0030251B"/>
    <w:rsid w:val="003028DA"/>
    <w:rsid w:val="003033A5"/>
    <w:rsid w:val="00303E5C"/>
    <w:rsid w:val="003044CA"/>
    <w:rsid w:val="003045FF"/>
    <w:rsid w:val="00304859"/>
    <w:rsid w:val="00304E72"/>
    <w:rsid w:val="00304FF3"/>
    <w:rsid w:val="003056E7"/>
    <w:rsid w:val="0030579F"/>
    <w:rsid w:val="0030584C"/>
    <w:rsid w:val="00305BFE"/>
    <w:rsid w:val="00305C4E"/>
    <w:rsid w:val="00306205"/>
    <w:rsid w:val="00306A63"/>
    <w:rsid w:val="00306C4C"/>
    <w:rsid w:val="00306CD4"/>
    <w:rsid w:val="00307577"/>
    <w:rsid w:val="00307756"/>
    <w:rsid w:val="003106DC"/>
    <w:rsid w:val="00310BE5"/>
    <w:rsid w:val="00310EAD"/>
    <w:rsid w:val="00310F75"/>
    <w:rsid w:val="00311505"/>
    <w:rsid w:val="00311936"/>
    <w:rsid w:val="00311AFA"/>
    <w:rsid w:val="00312053"/>
    <w:rsid w:val="003121B9"/>
    <w:rsid w:val="0031229E"/>
    <w:rsid w:val="0031246E"/>
    <w:rsid w:val="00312F50"/>
    <w:rsid w:val="00312F5D"/>
    <w:rsid w:val="00312F79"/>
    <w:rsid w:val="00312F88"/>
    <w:rsid w:val="0031302B"/>
    <w:rsid w:val="003131FD"/>
    <w:rsid w:val="00313367"/>
    <w:rsid w:val="003133AE"/>
    <w:rsid w:val="0031379E"/>
    <w:rsid w:val="0031388F"/>
    <w:rsid w:val="00313DB3"/>
    <w:rsid w:val="00314A24"/>
    <w:rsid w:val="00314DBE"/>
    <w:rsid w:val="00314E68"/>
    <w:rsid w:val="00315815"/>
    <w:rsid w:val="00315A5B"/>
    <w:rsid w:val="00315C24"/>
    <w:rsid w:val="00315CD9"/>
    <w:rsid w:val="0031691C"/>
    <w:rsid w:val="00317153"/>
    <w:rsid w:val="003178B1"/>
    <w:rsid w:val="003208A4"/>
    <w:rsid w:val="0032090D"/>
    <w:rsid w:val="003209F9"/>
    <w:rsid w:val="00320D3E"/>
    <w:rsid w:val="00321836"/>
    <w:rsid w:val="00322503"/>
    <w:rsid w:val="00322827"/>
    <w:rsid w:val="00323524"/>
    <w:rsid w:val="0032375F"/>
    <w:rsid w:val="00323A07"/>
    <w:rsid w:val="00323C58"/>
    <w:rsid w:val="0032409A"/>
    <w:rsid w:val="003244AE"/>
    <w:rsid w:val="0032468B"/>
    <w:rsid w:val="00324827"/>
    <w:rsid w:val="00324920"/>
    <w:rsid w:val="00324BC6"/>
    <w:rsid w:val="00324C8F"/>
    <w:rsid w:val="00325223"/>
    <w:rsid w:val="00325445"/>
    <w:rsid w:val="003255CC"/>
    <w:rsid w:val="00325F86"/>
    <w:rsid w:val="0032636F"/>
    <w:rsid w:val="0032642E"/>
    <w:rsid w:val="00326688"/>
    <w:rsid w:val="00327165"/>
    <w:rsid w:val="00327DCA"/>
    <w:rsid w:val="00330209"/>
    <w:rsid w:val="00330322"/>
    <w:rsid w:val="0033037F"/>
    <w:rsid w:val="00330414"/>
    <w:rsid w:val="00330D9F"/>
    <w:rsid w:val="00330E4B"/>
    <w:rsid w:val="00330E65"/>
    <w:rsid w:val="003312BB"/>
    <w:rsid w:val="0033159C"/>
    <w:rsid w:val="0033172B"/>
    <w:rsid w:val="00331913"/>
    <w:rsid w:val="00332037"/>
    <w:rsid w:val="003321C8"/>
    <w:rsid w:val="00332E70"/>
    <w:rsid w:val="00332EE5"/>
    <w:rsid w:val="00333B36"/>
    <w:rsid w:val="00333F65"/>
    <w:rsid w:val="00334102"/>
    <w:rsid w:val="0033417A"/>
    <w:rsid w:val="00334434"/>
    <w:rsid w:val="00334760"/>
    <w:rsid w:val="0033491B"/>
    <w:rsid w:val="00334A51"/>
    <w:rsid w:val="00334C90"/>
    <w:rsid w:val="00334D2A"/>
    <w:rsid w:val="00334F07"/>
    <w:rsid w:val="003357D0"/>
    <w:rsid w:val="003358F4"/>
    <w:rsid w:val="00335B24"/>
    <w:rsid w:val="00335C99"/>
    <w:rsid w:val="00335CFB"/>
    <w:rsid w:val="0033607D"/>
    <w:rsid w:val="00336718"/>
    <w:rsid w:val="00336E8B"/>
    <w:rsid w:val="003374DC"/>
    <w:rsid w:val="00337902"/>
    <w:rsid w:val="00337F56"/>
    <w:rsid w:val="003400AF"/>
    <w:rsid w:val="003404CD"/>
    <w:rsid w:val="00341924"/>
    <w:rsid w:val="0034246F"/>
    <w:rsid w:val="00342A95"/>
    <w:rsid w:val="00342EAF"/>
    <w:rsid w:val="0034342E"/>
    <w:rsid w:val="003434CA"/>
    <w:rsid w:val="00343645"/>
    <w:rsid w:val="00343806"/>
    <w:rsid w:val="00343C4A"/>
    <w:rsid w:val="003449E4"/>
    <w:rsid w:val="00344AB7"/>
    <w:rsid w:val="00344B92"/>
    <w:rsid w:val="00344D69"/>
    <w:rsid w:val="00344F50"/>
    <w:rsid w:val="003450B6"/>
    <w:rsid w:val="00345299"/>
    <w:rsid w:val="003455FC"/>
    <w:rsid w:val="00345A74"/>
    <w:rsid w:val="00345EE1"/>
    <w:rsid w:val="003461F3"/>
    <w:rsid w:val="003462AE"/>
    <w:rsid w:val="00346333"/>
    <w:rsid w:val="00346354"/>
    <w:rsid w:val="0034654E"/>
    <w:rsid w:val="0034667E"/>
    <w:rsid w:val="00346991"/>
    <w:rsid w:val="00346D01"/>
    <w:rsid w:val="0034738F"/>
    <w:rsid w:val="00347550"/>
    <w:rsid w:val="003479C2"/>
    <w:rsid w:val="00347C26"/>
    <w:rsid w:val="003500F4"/>
    <w:rsid w:val="00350318"/>
    <w:rsid w:val="003504FE"/>
    <w:rsid w:val="0035060A"/>
    <w:rsid w:val="0035063F"/>
    <w:rsid w:val="003508DE"/>
    <w:rsid w:val="00350923"/>
    <w:rsid w:val="00350C41"/>
    <w:rsid w:val="00350F04"/>
    <w:rsid w:val="0035102B"/>
    <w:rsid w:val="00351A10"/>
    <w:rsid w:val="00351D65"/>
    <w:rsid w:val="00352178"/>
    <w:rsid w:val="00352372"/>
    <w:rsid w:val="00352DB4"/>
    <w:rsid w:val="003531BE"/>
    <w:rsid w:val="00353312"/>
    <w:rsid w:val="0035390A"/>
    <w:rsid w:val="003539C9"/>
    <w:rsid w:val="00353A86"/>
    <w:rsid w:val="00353E9F"/>
    <w:rsid w:val="00354269"/>
    <w:rsid w:val="00354328"/>
    <w:rsid w:val="00354387"/>
    <w:rsid w:val="003548B5"/>
    <w:rsid w:val="00355A29"/>
    <w:rsid w:val="00355F40"/>
    <w:rsid w:val="003563A5"/>
    <w:rsid w:val="00356522"/>
    <w:rsid w:val="0035678C"/>
    <w:rsid w:val="00356C7C"/>
    <w:rsid w:val="00356DAE"/>
    <w:rsid w:val="003574B3"/>
    <w:rsid w:val="00357CBE"/>
    <w:rsid w:val="003600D0"/>
    <w:rsid w:val="003603DC"/>
    <w:rsid w:val="00360603"/>
    <w:rsid w:val="003607EC"/>
    <w:rsid w:val="00361105"/>
    <w:rsid w:val="003614D4"/>
    <w:rsid w:val="0036227A"/>
    <w:rsid w:val="003623E0"/>
    <w:rsid w:val="00362616"/>
    <w:rsid w:val="00362AE2"/>
    <w:rsid w:val="00362DCE"/>
    <w:rsid w:val="00362E19"/>
    <w:rsid w:val="00362FC6"/>
    <w:rsid w:val="003632F5"/>
    <w:rsid w:val="003634BC"/>
    <w:rsid w:val="003635A9"/>
    <w:rsid w:val="00363ABF"/>
    <w:rsid w:val="00363D96"/>
    <w:rsid w:val="00363E0E"/>
    <w:rsid w:val="00364058"/>
    <w:rsid w:val="0036486F"/>
    <w:rsid w:val="00364C7D"/>
    <w:rsid w:val="00364DA7"/>
    <w:rsid w:val="00364E31"/>
    <w:rsid w:val="00364F40"/>
    <w:rsid w:val="00364FD2"/>
    <w:rsid w:val="003652C2"/>
    <w:rsid w:val="00365423"/>
    <w:rsid w:val="003654F2"/>
    <w:rsid w:val="0036578D"/>
    <w:rsid w:val="003658D8"/>
    <w:rsid w:val="0036599B"/>
    <w:rsid w:val="00365A03"/>
    <w:rsid w:val="003661FF"/>
    <w:rsid w:val="0036636C"/>
    <w:rsid w:val="0036644D"/>
    <w:rsid w:val="00366659"/>
    <w:rsid w:val="00366FAE"/>
    <w:rsid w:val="003677A5"/>
    <w:rsid w:val="00367882"/>
    <w:rsid w:val="003705D2"/>
    <w:rsid w:val="0037083C"/>
    <w:rsid w:val="00370873"/>
    <w:rsid w:val="003711A0"/>
    <w:rsid w:val="003711E8"/>
    <w:rsid w:val="003713F3"/>
    <w:rsid w:val="00371AB1"/>
    <w:rsid w:val="003721CA"/>
    <w:rsid w:val="0037267E"/>
    <w:rsid w:val="00372825"/>
    <w:rsid w:val="003729AE"/>
    <w:rsid w:val="00372B6D"/>
    <w:rsid w:val="003732F9"/>
    <w:rsid w:val="00373B2F"/>
    <w:rsid w:val="00374072"/>
    <w:rsid w:val="003744FC"/>
    <w:rsid w:val="00374B7A"/>
    <w:rsid w:val="00374C44"/>
    <w:rsid w:val="00375462"/>
    <w:rsid w:val="00375657"/>
    <w:rsid w:val="00375715"/>
    <w:rsid w:val="00375B40"/>
    <w:rsid w:val="00375D9B"/>
    <w:rsid w:val="003766BA"/>
    <w:rsid w:val="00376B17"/>
    <w:rsid w:val="00376EC9"/>
    <w:rsid w:val="00376F52"/>
    <w:rsid w:val="00377795"/>
    <w:rsid w:val="00377C91"/>
    <w:rsid w:val="00377D4C"/>
    <w:rsid w:val="00377F9F"/>
    <w:rsid w:val="0038097C"/>
    <w:rsid w:val="00381420"/>
    <w:rsid w:val="0038247E"/>
    <w:rsid w:val="0038259C"/>
    <w:rsid w:val="00382A18"/>
    <w:rsid w:val="00382D9D"/>
    <w:rsid w:val="00382F59"/>
    <w:rsid w:val="0038329B"/>
    <w:rsid w:val="003832D1"/>
    <w:rsid w:val="0038364B"/>
    <w:rsid w:val="00383A74"/>
    <w:rsid w:val="00383B67"/>
    <w:rsid w:val="00383ED9"/>
    <w:rsid w:val="00383EDD"/>
    <w:rsid w:val="003840C6"/>
    <w:rsid w:val="003841DD"/>
    <w:rsid w:val="00385001"/>
    <w:rsid w:val="00385108"/>
    <w:rsid w:val="0038561C"/>
    <w:rsid w:val="003859FC"/>
    <w:rsid w:val="00386163"/>
    <w:rsid w:val="003864B5"/>
    <w:rsid w:val="00386A3D"/>
    <w:rsid w:val="00386DAC"/>
    <w:rsid w:val="00386E95"/>
    <w:rsid w:val="003871D9"/>
    <w:rsid w:val="003874A6"/>
    <w:rsid w:val="003876B3"/>
    <w:rsid w:val="003876E1"/>
    <w:rsid w:val="00387707"/>
    <w:rsid w:val="00387A47"/>
    <w:rsid w:val="00387D33"/>
    <w:rsid w:val="00387D75"/>
    <w:rsid w:val="003910E1"/>
    <w:rsid w:val="0039131A"/>
    <w:rsid w:val="003914F4"/>
    <w:rsid w:val="003916C7"/>
    <w:rsid w:val="0039178F"/>
    <w:rsid w:val="00391C9C"/>
    <w:rsid w:val="00392289"/>
    <w:rsid w:val="0039302C"/>
    <w:rsid w:val="00393E6B"/>
    <w:rsid w:val="00393E90"/>
    <w:rsid w:val="00393ECA"/>
    <w:rsid w:val="00394378"/>
    <w:rsid w:val="003946C5"/>
    <w:rsid w:val="00394803"/>
    <w:rsid w:val="00395AA9"/>
    <w:rsid w:val="00395B82"/>
    <w:rsid w:val="00395D9E"/>
    <w:rsid w:val="003969C4"/>
    <w:rsid w:val="00396CA5"/>
    <w:rsid w:val="0039780C"/>
    <w:rsid w:val="00397940"/>
    <w:rsid w:val="00397952"/>
    <w:rsid w:val="00397C32"/>
    <w:rsid w:val="00397E35"/>
    <w:rsid w:val="00397E6A"/>
    <w:rsid w:val="003A0213"/>
    <w:rsid w:val="003A0814"/>
    <w:rsid w:val="003A088F"/>
    <w:rsid w:val="003A0AB0"/>
    <w:rsid w:val="003A147C"/>
    <w:rsid w:val="003A18A3"/>
    <w:rsid w:val="003A1A0A"/>
    <w:rsid w:val="003A1C7D"/>
    <w:rsid w:val="003A2AE2"/>
    <w:rsid w:val="003A2D08"/>
    <w:rsid w:val="003A310D"/>
    <w:rsid w:val="003A338F"/>
    <w:rsid w:val="003A34EA"/>
    <w:rsid w:val="003A35A7"/>
    <w:rsid w:val="003A35ED"/>
    <w:rsid w:val="003A3695"/>
    <w:rsid w:val="003A3A24"/>
    <w:rsid w:val="003A44E3"/>
    <w:rsid w:val="003A4DC6"/>
    <w:rsid w:val="003A5025"/>
    <w:rsid w:val="003A5647"/>
    <w:rsid w:val="003A5B21"/>
    <w:rsid w:val="003A5E3E"/>
    <w:rsid w:val="003A60E7"/>
    <w:rsid w:val="003A6383"/>
    <w:rsid w:val="003A6498"/>
    <w:rsid w:val="003A66F2"/>
    <w:rsid w:val="003A6C8F"/>
    <w:rsid w:val="003A6FD4"/>
    <w:rsid w:val="003A70D4"/>
    <w:rsid w:val="003A721F"/>
    <w:rsid w:val="003A744A"/>
    <w:rsid w:val="003A74F7"/>
    <w:rsid w:val="003A7758"/>
    <w:rsid w:val="003A7B89"/>
    <w:rsid w:val="003A7BED"/>
    <w:rsid w:val="003B01A5"/>
    <w:rsid w:val="003B02E3"/>
    <w:rsid w:val="003B0453"/>
    <w:rsid w:val="003B13D8"/>
    <w:rsid w:val="003B1457"/>
    <w:rsid w:val="003B160D"/>
    <w:rsid w:val="003B1769"/>
    <w:rsid w:val="003B1B37"/>
    <w:rsid w:val="003B1C04"/>
    <w:rsid w:val="003B1C24"/>
    <w:rsid w:val="003B1C78"/>
    <w:rsid w:val="003B1D91"/>
    <w:rsid w:val="003B229C"/>
    <w:rsid w:val="003B22AE"/>
    <w:rsid w:val="003B235D"/>
    <w:rsid w:val="003B2B01"/>
    <w:rsid w:val="003B2C4F"/>
    <w:rsid w:val="003B2C75"/>
    <w:rsid w:val="003B2D99"/>
    <w:rsid w:val="003B4460"/>
    <w:rsid w:val="003B4553"/>
    <w:rsid w:val="003B4794"/>
    <w:rsid w:val="003B4842"/>
    <w:rsid w:val="003B4A34"/>
    <w:rsid w:val="003B4B3F"/>
    <w:rsid w:val="003B4BC0"/>
    <w:rsid w:val="003B4E4E"/>
    <w:rsid w:val="003B5570"/>
    <w:rsid w:val="003B590B"/>
    <w:rsid w:val="003B5BB4"/>
    <w:rsid w:val="003B5C00"/>
    <w:rsid w:val="003B5C93"/>
    <w:rsid w:val="003B5CB3"/>
    <w:rsid w:val="003B5D5E"/>
    <w:rsid w:val="003B6152"/>
    <w:rsid w:val="003B61D5"/>
    <w:rsid w:val="003B6224"/>
    <w:rsid w:val="003B64F5"/>
    <w:rsid w:val="003B6530"/>
    <w:rsid w:val="003B7119"/>
    <w:rsid w:val="003B74B7"/>
    <w:rsid w:val="003B78ED"/>
    <w:rsid w:val="003B7BE1"/>
    <w:rsid w:val="003B7BEF"/>
    <w:rsid w:val="003B7D45"/>
    <w:rsid w:val="003B7E30"/>
    <w:rsid w:val="003B7ED9"/>
    <w:rsid w:val="003C00E0"/>
    <w:rsid w:val="003C04E5"/>
    <w:rsid w:val="003C06A5"/>
    <w:rsid w:val="003C11A8"/>
    <w:rsid w:val="003C145F"/>
    <w:rsid w:val="003C14A4"/>
    <w:rsid w:val="003C154A"/>
    <w:rsid w:val="003C163A"/>
    <w:rsid w:val="003C1787"/>
    <w:rsid w:val="003C1AF2"/>
    <w:rsid w:val="003C20A8"/>
    <w:rsid w:val="003C2122"/>
    <w:rsid w:val="003C212A"/>
    <w:rsid w:val="003C265D"/>
    <w:rsid w:val="003C2FA6"/>
    <w:rsid w:val="003C2FF2"/>
    <w:rsid w:val="003C401F"/>
    <w:rsid w:val="003C441D"/>
    <w:rsid w:val="003C45B6"/>
    <w:rsid w:val="003C46EF"/>
    <w:rsid w:val="003C4B25"/>
    <w:rsid w:val="003C4DE0"/>
    <w:rsid w:val="003C4EC8"/>
    <w:rsid w:val="003C5165"/>
    <w:rsid w:val="003C53DD"/>
    <w:rsid w:val="003C6430"/>
    <w:rsid w:val="003C6C93"/>
    <w:rsid w:val="003C6D1F"/>
    <w:rsid w:val="003C74B1"/>
    <w:rsid w:val="003C7778"/>
    <w:rsid w:val="003C786F"/>
    <w:rsid w:val="003C7A20"/>
    <w:rsid w:val="003C7A72"/>
    <w:rsid w:val="003C7D85"/>
    <w:rsid w:val="003D0462"/>
    <w:rsid w:val="003D0BE4"/>
    <w:rsid w:val="003D12AE"/>
    <w:rsid w:val="003D2417"/>
    <w:rsid w:val="003D2418"/>
    <w:rsid w:val="003D2941"/>
    <w:rsid w:val="003D2B5C"/>
    <w:rsid w:val="003D2E3F"/>
    <w:rsid w:val="003D2E9D"/>
    <w:rsid w:val="003D3121"/>
    <w:rsid w:val="003D3267"/>
    <w:rsid w:val="003D35B4"/>
    <w:rsid w:val="003D3778"/>
    <w:rsid w:val="003D3C21"/>
    <w:rsid w:val="003D4B83"/>
    <w:rsid w:val="003D516F"/>
    <w:rsid w:val="003D5314"/>
    <w:rsid w:val="003D5510"/>
    <w:rsid w:val="003D5687"/>
    <w:rsid w:val="003D5E08"/>
    <w:rsid w:val="003D6164"/>
    <w:rsid w:val="003D6205"/>
    <w:rsid w:val="003D637D"/>
    <w:rsid w:val="003D6E9B"/>
    <w:rsid w:val="003D70CC"/>
    <w:rsid w:val="003D78B0"/>
    <w:rsid w:val="003D7CFF"/>
    <w:rsid w:val="003D7D86"/>
    <w:rsid w:val="003E025E"/>
    <w:rsid w:val="003E068E"/>
    <w:rsid w:val="003E0EF9"/>
    <w:rsid w:val="003E1AC7"/>
    <w:rsid w:val="003E1C34"/>
    <w:rsid w:val="003E1D97"/>
    <w:rsid w:val="003E1F56"/>
    <w:rsid w:val="003E2204"/>
    <w:rsid w:val="003E2B17"/>
    <w:rsid w:val="003E2C5F"/>
    <w:rsid w:val="003E2DAD"/>
    <w:rsid w:val="003E2E6C"/>
    <w:rsid w:val="003E2EB2"/>
    <w:rsid w:val="003E2EC4"/>
    <w:rsid w:val="003E45DE"/>
    <w:rsid w:val="003E48F1"/>
    <w:rsid w:val="003E4CC1"/>
    <w:rsid w:val="003E4EAF"/>
    <w:rsid w:val="003E4EE5"/>
    <w:rsid w:val="003E5247"/>
    <w:rsid w:val="003E5638"/>
    <w:rsid w:val="003E57CF"/>
    <w:rsid w:val="003E5E09"/>
    <w:rsid w:val="003E6339"/>
    <w:rsid w:val="003E6389"/>
    <w:rsid w:val="003E680A"/>
    <w:rsid w:val="003E6934"/>
    <w:rsid w:val="003E7034"/>
    <w:rsid w:val="003E73A4"/>
    <w:rsid w:val="003E73D2"/>
    <w:rsid w:val="003E74F5"/>
    <w:rsid w:val="003E759E"/>
    <w:rsid w:val="003E781E"/>
    <w:rsid w:val="003E7EBE"/>
    <w:rsid w:val="003E7EE1"/>
    <w:rsid w:val="003F0335"/>
    <w:rsid w:val="003F050B"/>
    <w:rsid w:val="003F0A2F"/>
    <w:rsid w:val="003F0BB9"/>
    <w:rsid w:val="003F0E0F"/>
    <w:rsid w:val="003F1008"/>
    <w:rsid w:val="003F13C4"/>
    <w:rsid w:val="003F14F4"/>
    <w:rsid w:val="003F17B2"/>
    <w:rsid w:val="003F1B9F"/>
    <w:rsid w:val="003F1BA4"/>
    <w:rsid w:val="003F1D98"/>
    <w:rsid w:val="003F1DD4"/>
    <w:rsid w:val="003F1E43"/>
    <w:rsid w:val="003F2219"/>
    <w:rsid w:val="003F231F"/>
    <w:rsid w:val="003F2C06"/>
    <w:rsid w:val="003F2ECF"/>
    <w:rsid w:val="003F2F46"/>
    <w:rsid w:val="003F3249"/>
    <w:rsid w:val="003F39EC"/>
    <w:rsid w:val="003F3B58"/>
    <w:rsid w:val="003F3C0C"/>
    <w:rsid w:val="003F3FFE"/>
    <w:rsid w:val="003F49D2"/>
    <w:rsid w:val="003F4D53"/>
    <w:rsid w:val="003F4DA7"/>
    <w:rsid w:val="003F4DB5"/>
    <w:rsid w:val="003F4F1E"/>
    <w:rsid w:val="003F5039"/>
    <w:rsid w:val="003F5095"/>
    <w:rsid w:val="003F548D"/>
    <w:rsid w:val="003F5575"/>
    <w:rsid w:val="003F560D"/>
    <w:rsid w:val="003F57F9"/>
    <w:rsid w:val="003F5CD4"/>
    <w:rsid w:val="003F5E9B"/>
    <w:rsid w:val="003F61CA"/>
    <w:rsid w:val="003F627B"/>
    <w:rsid w:val="003F693F"/>
    <w:rsid w:val="003F6F71"/>
    <w:rsid w:val="003F7055"/>
    <w:rsid w:val="003F7118"/>
    <w:rsid w:val="003F7277"/>
    <w:rsid w:val="003F7492"/>
    <w:rsid w:val="003F7911"/>
    <w:rsid w:val="003F7C22"/>
    <w:rsid w:val="003F7CCD"/>
    <w:rsid w:val="00400138"/>
    <w:rsid w:val="004004B5"/>
    <w:rsid w:val="004009BB"/>
    <w:rsid w:val="004009CE"/>
    <w:rsid w:val="00400AC8"/>
    <w:rsid w:val="00400D27"/>
    <w:rsid w:val="004011B8"/>
    <w:rsid w:val="00401378"/>
    <w:rsid w:val="00401779"/>
    <w:rsid w:val="00402033"/>
    <w:rsid w:val="00402679"/>
    <w:rsid w:val="004028C8"/>
    <w:rsid w:val="0040347E"/>
    <w:rsid w:val="004035A5"/>
    <w:rsid w:val="004035FF"/>
    <w:rsid w:val="004038D9"/>
    <w:rsid w:val="00403994"/>
    <w:rsid w:val="00403C55"/>
    <w:rsid w:val="00403D40"/>
    <w:rsid w:val="00404057"/>
    <w:rsid w:val="0040415C"/>
    <w:rsid w:val="0040436F"/>
    <w:rsid w:val="00404509"/>
    <w:rsid w:val="00404EC6"/>
    <w:rsid w:val="0040543E"/>
    <w:rsid w:val="00405DFA"/>
    <w:rsid w:val="00406007"/>
    <w:rsid w:val="0040631D"/>
    <w:rsid w:val="00407419"/>
    <w:rsid w:val="00407434"/>
    <w:rsid w:val="0040772F"/>
    <w:rsid w:val="0040775A"/>
    <w:rsid w:val="0040797B"/>
    <w:rsid w:val="00407AB0"/>
    <w:rsid w:val="004104A9"/>
    <w:rsid w:val="00410807"/>
    <w:rsid w:val="004109BE"/>
    <w:rsid w:val="00410C92"/>
    <w:rsid w:val="004111A4"/>
    <w:rsid w:val="0041156B"/>
    <w:rsid w:val="00411745"/>
    <w:rsid w:val="00411787"/>
    <w:rsid w:val="0041187A"/>
    <w:rsid w:val="00411C98"/>
    <w:rsid w:val="00411FF5"/>
    <w:rsid w:val="00412EAF"/>
    <w:rsid w:val="0041306C"/>
    <w:rsid w:val="004133A1"/>
    <w:rsid w:val="004138F8"/>
    <w:rsid w:val="00413B09"/>
    <w:rsid w:val="00413FDE"/>
    <w:rsid w:val="00414017"/>
    <w:rsid w:val="00414F7D"/>
    <w:rsid w:val="0041549C"/>
    <w:rsid w:val="00415725"/>
    <w:rsid w:val="00415E45"/>
    <w:rsid w:val="00416018"/>
    <w:rsid w:val="00416075"/>
    <w:rsid w:val="00416404"/>
    <w:rsid w:val="0041644E"/>
    <w:rsid w:val="004164E9"/>
    <w:rsid w:val="00416731"/>
    <w:rsid w:val="00416F9A"/>
    <w:rsid w:val="00416FDE"/>
    <w:rsid w:val="00417061"/>
    <w:rsid w:val="004173CD"/>
    <w:rsid w:val="0041782D"/>
    <w:rsid w:val="004178E2"/>
    <w:rsid w:val="00417BA0"/>
    <w:rsid w:val="00417BD8"/>
    <w:rsid w:val="00417DE1"/>
    <w:rsid w:val="00417E7D"/>
    <w:rsid w:val="00420115"/>
    <w:rsid w:val="00420212"/>
    <w:rsid w:val="0042040A"/>
    <w:rsid w:val="00420736"/>
    <w:rsid w:val="00420739"/>
    <w:rsid w:val="00420B8D"/>
    <w:rsid w:val="00420D19"/>
    <w:rsid w:val="00420F93"/>
    <w:rsid w:val="00420FD7"/>
    <w:rsid w:val="00421144"/>
    <w:rsid w:val="0042119B"/>
    <w:rsid w:val="00421534"/>
    <w:rsid w:val="00421C1A"/>
    <w:rsid w:val="00421C75"/>
    <w:rsid w:val="00421DAE"/>
    <w:rsid w:val="004220DF"/>
    <w:rsid w:val="0042220E"/>
    <w:rsid w:val="00422316"/>
    <w:rsid w:val="00423436"/>
    <w:rsid w:val="004249C3"/>
    <w:rsid w:val="00424DE4"/>
    <w:rsid w:val="00424DF6"/>
    <w:rsid w:val="004258AE"/>
    <w:rsid w:val="00425DB3"/>
    <w:rsid w:val="00426105"/>
    <w:rsid w:val="0042728E"/>
    <w:rsid w:val="004276F9"/>
    <w:rsid w:val="00430150"/>
    <w:rsid w:val="00430501"/>
    <w:rsid w:val="0043071D"/>
    <w:rsid w:val="00431672"/>
    <w:rsid w:val="004317CB"/>
    <w:rsid w:val="004319A3"/>
    <w:rsid w:val="00431C8E"/>
    <w:rsid w:val="00431E50"/>
    <w:rsid w:val="004325C5"/>
    <w:rsid w:val="00432EBC"/>
    <w:rsid w:val="00433007"/>
    <w:rsid w:val="00433476"/>
    <w:rsid w:val="00433A37"/>
    <w:rsid w:val="00433C33"/>
    <w:rsid w:val="00433D30"/>
    <w:rsid w:val="00434654"/>
    <w:rsid w:val="00434918"/>
    <w:rsid w:val="00434947"/>
    <w:rsid w:val="00434C33"/>
    <w:rsid w:val="00435821"/>
    <w:rsid w:val="0043586F"/>
    <w:rsid w:val="004359D0"/>
    <w:rsid w:val="00435ADC"/>
    <w:rsid w:val="00435DD3"/>
    <w:rsid w:val="00435E07"/>
    <w:rsid w:val="004361D1"/>
    <w:rsid w:val="0043637A"/>
    <w:rsid w:val="004363F2"/>
    <w:rsid w:val="00436462"/>
    <w:rsid w:val="00436618"/>
    <w:rsid w:val="0043699D"/>
    <w:rsid w:val="00436B98"/>
    <w:rsid w:val="00436F84"/>
    <w:rsid w:val="00437104"/>
    <w:rsid w:val="00437223"/>
    <w:rsid w:val="004403D2"/>
    <w:rsid w:val="00440A5B"/>
    <w:rsid w:val="00440BC1"/>
    <w:rsid w:val="00440C61"/>
    <w:rsid w:val="00440ECF"/>
    <w:rsid w:val="0044167F"/>
    <w:rsid w:val="004416D0"/>
    <w:rsid w:val="00442142"/>
    <w:rsid w:val="0044225A"/>
    <w:rsid w:val="00442266"/>
    <w:rsid w:val="00442360"/>
    <w:rsid w:val="0044253B"/>
    <w:rsid w:val="0044283F"/>
    <w:rsid w:val="004429C7"/>
    <w:rsid w:val="004430DF"/>
    <w:rsid w:val="0044386C"/>
    <w:rsid w:val="0044393E"/>
    <w:rsid w:val="00443BCC"/>
    <w:rsid w:val="00443D13"/>
    <w:rsid w:val="00443F0F"/>
    <w:rsid w:val="00444477"/>
    <w:rsid w:val="00444A40"/>
    <w:rsid w:val="00444D48"/>
    <w:rsid w:val="00444F1B"/>
    <w:rsid w:val="00444FB8"/>
    <w:rsid w:val="0044512A"/>
    <w:rsid w:val="0044549C"/>
    <w:rsid w:val="0044562D"/>
    <w:rsid w:val="0044564B"/>
    <w:rsid w:val="00445E6F"/>
    <w:rsid w:val="00445F10"/>
    <w:rsid w:val="00445FC8"/>
    <w:rsid w:val="0044619B"/>
    <w:rsid w:val="004461F9"/>
    <w:rsid w:val="00446613"/>
    <w:rsid w:val="00446EDB"/>
    <w:rsid w:val="004473F4"/>
    <w:rsid w:val="004477F5"/>
    <w:rsid w:val="00447A80"/>
    <w:rsid w:val="00450168"/>
    <w:rsid w:val="004504E9"/>
    <w:rsid w:val="004505B8"/>
    <w:rsid w:val="004507B4"/>
    <w:rsid w:val="004508EC"/>
    <w:rsid w:val="00451339"/>
    <w:rsid w:val="004515A5"/>
    <w:rsid w:val="00451F9A"/>
    <w:rsid w:val="004529CB"/>
    <w:rsid w:val="00452A4C"/>
    <w:rsid w:val="00452A9B"/>
    <w:rsid w:val="00452E24"/>
    <w:rsid w:val="004536AC"/>
    <w:rsid w:val="004539F7"/>
    <w:rsid w:val="00453E6F"/>
    <w:rsid w:val="0045409B"/>
    <w:rsid w:val="004545B6"/>
    <w:rsid w:val="00454647"/>
    <w:rsid w:val="0045466B"/>
    <w:rsid w:val="00454AF5"/>
    <w:rsid w:val="00455009"/>
    <w:rsid w:val="00455277"/>
    <w:rsid w:val="0045530C"/>
    <w:rsid w:val="004555F9"/>
    <w:rsid w:val="00455E9A"/>
    <w:rsid w:val="004562E5"/>
    <w:rsid w:val="00456779"/>
    <w:rsid w:val="00456FFE"/>
    <w:rsid w:val="00457090"/>
    <w:rsid w:val="00457151"/>
    <w:rsid w:val="004571CE"/>
    <w:rsid w:val="0045721E"/>
    <w:rsid w:val="0045724E"/>
    <w:rsid w:val="00457413"/>
    <w:rsid w:val="004574C2"/>
    <w:rsid w:val="0045797A"/>
    <w:rsid w:val="004579D9"/>
    <w:rsid w:val="00457B6E"/>
    <w:rsid w:val="00457E7C"/>
    <w:rsid w:val="00457F8D"/>
    <w:rsid w:val="00460761"/>
    <w:rsid w:val="00460CFA"/>
    <w:rsid w:val="0046129F"/>
    <w:rsid w:val="004612C7"/>
    <w:rsid w:val="004615B5"/>
    <w:rsid w:val="004615D2"/>
    <w:rsid w:val="00461819"/>
    <w:rsid w:val="00461A16"/>
    <w:rsid w:val="0046209D"/>
    <w:rsid w:val="004621D7"/>
    <w:rsid w:val="004625D9"/>
    <w:rsid w:val="00462C11"/>
    <w:rsid w:val="00462D52"/>
    <w:rsid w:val="00462DA3"/>
    <w:rsid w:val="00462F17"/>
    <w:rsid w:val="00463202"/>
    <w:rsid w:val="0046385E"/>
    <w:rsid w:val="004639BB"/>
    <w:rsid w:val="00463A8C"/>
    <w:rsid w:val="00464316"/>
    <w:rsid w:val="00464341"/>
    <w:rsid w:val="00464940"/>
    <w:rsid w:val="0046495D"/>
    <w:rsid w:val="00464962"/>
    <w:rsid w:val="00464BD1"/>
    <w:rsid w:val="00464C8C"/>
    <w:rsid w:val="004651AE"/>
    <w:rsid w:val="004656A7"/>
    <w:rsid w:val="004657B9"/>
    <w:rsid w:val="00465838"/>
    <w:rsid w:val="00465A39"/>
    <w:rsid w:val="00465A4C"/>
    <w:rsid w:val="00465BB5"/>
    <w:rsid w:val="00465E1A"/>
    <w:rsid w:val="00466188"/>
    <w:rsid w:val="00467220"/>
    <w:rsid w:val="00467302"/>
    <w:rsid w:val="00467CBD"/>
    <w:rsid w:val="004701DC"/>
    <w:rsid w:val="0047035F"/>
    <w:rsid w:val="00470612"/>
    <w:rsid w:val="00470A53"/>
    <w:rsid w:val="00471268"/>
    <w:rsid w:val="00471275"/>
    <w:rsid w:val="004713B7"/>
    <w:rsid w:val="0047145E"/>
    <w:rsid w:val="00471518"/>
    <w:rsid w:val="004715E0"/>
    <w:rsid w:val="00471CFD"/>
    <w:rsid w:val="004727C9"/>
    <w:rsid w:val="00472BCF"/>
    <w:rsid w:val="004734FA"/>
    <w:rsid w:val="004736EC"/>
    <w:rsid w:val="00474002"/>
    <w:rsid w:val="004740BA"/>
    <w:rsid w:val="004740CE"/>
    <w:rsid w:val="0047515F"/>
    <w:rsid w:val="00476123"/>
    <w:rsid w:val="0047668A"/>
    <w:rsid w:val="004770DC"/>
    <w:rsid w:val="00477FB2"/>
    <w:rsid w:val="004800E4"/>
    <w:rsid w:val="004803D0"/>
    <w:rsid w:val="00480B24"/>
    <w:rsid w:val="00480C06"/>
    <w:rsid w:val="0048182D"/>
    <w:rsid w:val="00481887"/>
    <w:rsid w:val="004820FE"/>
    <w:rsid w:val="004821F8"/>
    <w:rsid w:val="00482B3A"/>
    <w:rsid w:val="00482CD7"/>
    <w:rsid w:val="00482F1B"/>
    <w:rsid w:val="004831DA"/>
    <w:rsid w:val="004840CD"/>
    <w:rsid w:val="00484460"/>
    <w:rsid w:val="004844D5"/>
    <w:rsid w:val="00484533"/>
    <w:rsid w:val="0048454D"/>
    <w:rsid w:val="0048457E"/>
    <w:rsid w:val="0048513D"/>
    <w:rsid w:val="00485B30"/>
    <w:rsid w:val="00485B6D"/>
    <w:rsid w:val="00485D22"/>
    <w:rsid w:val="00485FD8"/>
    <w:rsid w:val="00486396"/>
    <w:rsid w:val="00486582"/>
    <w:rsid w:val="00486A0F"/>
    <w:rsid w:val="00486A10"/>
    <w:rsid w:val="00486B19"/>
    <w:rsid w:val="00486B7A"/>
    <w:rsid w:val="00486BFC"/>
    <w:rsid w:val="00487906"/>
    <w:rsid w:val="00487A6F"/>
    <w:rsid w:val="00487C91"/>
    <w:rsid w:val="00487CBA"/>
    <w:rsid w:val="004913C6"/>
    <w:rsid w:val="00491C35"/>
    <w:rsid w:val="0049210F"/>
    <w:rsid w:val="0049229B"/>
    <w:rsid w:val="004929AA"/>
    <w:rsid w:val="00492C9B"/>
    <w:rsid w:val="00492E14"/>
    <w:rsid w:val="0049301E"/>
    <w:rsid w:val="00493106"/>
    <w:rsid w:val="004931AD"/>
    <w:rsid w:val="00493302"/>
    <w:rsid w:val="00493B2F"/>
    <w:rsid w:val="00493D18"/>
    <w:rsid w:val="00493FFC"/>
    <w:rsid w:val="00494459"/>
    <w:rsid w:val="00494631"/>
    <w:rsid w:val="004948C5"/>
    <w:rsid w:val="00494980"/>
    <w:rsid w:val="00494D92"/>
    <w:rsid w:val="00495EE5"/>
    <w:rsid w:val="00495F42"/>
    <w:rsid w:val="004960B6"/>
    <w:rsid w:val="004961C2"/>
    <w:rsid w:val="0049645F"/>
    <w:rsid w:val="004965CD"/>
    <w:rsid w:val="004966D5"/>
    <w:rsid w:val="00496771"/>
    <w:rsid w:val="00496B28"/>
    <w:rsid w:val="0049722D"/>
    <w:rsid w:val="004972EB"/>
    <w:rsid w:val="0049739C"/>
    <w:rsid w:val="004973F0"/>
    <w:rsid w:val="00497740"/>
    <w:rsid w:val="00497D78"/>
    <w:rsid w:val="00497D95"/>
    <w:rsid w:val="004A0D8C"/>
    <w:rsid w:val="004A0F0B"/>
    <w:rsid w:val="004A101D"/>
    <w:rsid w:val="004A1B2C"/>
    <w:rsid w:val="004A1DA9"/>
    <w:rsid w:val="004A1F18"/>
    <w:rsid w:val="004A255C"/>
    <w:rsid w:val="004A2D1A"/>
    <w:rsid w:val="004A2DEE"/>
    <w:rsid w:val="004A2EAE"/>
    <w:rsid w:val="004A3031"/>
    <w:rsid w:val="004A34AA"/>
    <w:rsid w:val="004A3A62"/>
    <w:rsid w:val="004A41F0"/>
    <w:rsid w:val="004A524E"/>
    <w:rsid w:val="004A53C1"/>
    <w:rsid w:val="004A53D0"/>
    <w:rsid w:val="004A570D"/>
    <w:rsid w:val="004A571D"/>
    <w:rsid w:val="004A5B69"/>
    <w:rsid w:val="004A5C36"/>
    <w:rsid w:val="004A5CB4"/>
    <w:rsid w:val="004A62F2"/>
    <w:rsid w:val="004A67AF"/>
    <w:rsid w:val="004A6995"/>
    <w:rsid w:val="004A6A5E"/>
    <w:rsid w:val="004A6E14"/>
    <w:rsid w:val="004A774E"/>
    <w:rsid w:val="004A77BC"/>
    <w:rsid w:val="004A7862"/>
    <w:rsid w:val="004A79E6"/>
    <w:rsid w:val="004A7A06"/>
    <w:rsid w:val="004A7A70"/>
    <w:rsid w:val="004A7AD7"/>
    <w:rsid w:val="004A7D7D"/>
    <w:rsid w:val="004B0062"/>
    <w:rsid w:val="004B00D3"/>
    <w:rsid w:val="004B077B"/>
    <w:rsid w:val="004B0BE6"/>
    <w:rsid w:val="004B1055"/>
    <w:rsid w:val="004B106F"/>
    <w:rsid w:val="004B1098"/>
    <w:rsid w:val="004B1326"/>
    <w:rsid w:val="004B1419"/>
    <w:rsid w:val="004B18C9"/>
    <w:rsid w:val="004B198F"/>
    <w:rsid w:val="004B208D"/>
    <w:rsid w:val="004B259E"/>
    <w:rsid w:val="004B2889"/>
    <w:rsid w:val="004B2B5F"/>
    <w:rsid w:val="004B2BEE"/>
    <w:rsid w:val="004B2D76"/>
    <w:rsid w:val="004B2DF0"/>
    <w:rsid w:val="004B300E"/>
    <w:rsid w:val="004B31A1"/>
    <w:rsid w:val="004B353D"/>
    <w:rsid w:val="004B3F15"/>
    <w:rsid w:val="004B40A1"/>
    <w:rsid w:val="004B41AA"/>
    <w:rsid w:val="004B438F"/>
    <w:rsid w:val="004B5064"/>
    <w:rsid w:val="004B51F7"/>
    <w:rsid w:val="004B60E2"/>
    <w:rsid w:val="004B622F"/>
    <w:rsid w:val="004B6C7E"/>
    <w:rsid w:val="004B7563"/>
    <w:rsid w:val="004B7850"/>
    <w:rsid w:val="004C0513"/>
    <w:rsid w:val="004C056F"/>
    <w:rsid w:val="004C068A"/>
    <w:rsid w:val="004C0878"/>
    <w:rsid w:val="004C0BAB"/>
    <w:rsid w:val="004C0D6B"/>
    <w:rsid w:val="004C0D7D"/>
    <w:rsid w:val="004C0E25"/>
    <w:rsid w:val="004C1551"/>
    <w:rsid w:val="004C1723"/>
    <w:rsid w:val="004C19D9"/>
    <w:rsid w:val="004C1CFB"/>
    <w:rsid w:val="004C1FB9"/>
    <w:rsid w:val="004C22DA"/>
    <w:rsid w:val="004C271A"/>
    <w:rsid w:val="004C2990"/>
    <w:rsid w:val="004C2E21"/>
    <w:rsid w:val="004C2FDD"/>
    <w:rsid w:val="004C3085"/>
    <w:rsid w:val="004C319C"/>
    <w:rsid w:val="004C4309"/>
    <w:rsid w:val="004C460B"/>
    <w:rsid w:val="004C4707"/>
    <w:rsid w:val="004C500F"/>
    <w:rsid w:val="004C503E"/>
    <w:rsid w:val="004C5B44"/>
    <w:rsid w:val="004C615B"/>
    <w:rsid w:val="004C7006"/>
    <w:rsid w:val="004C7111"/>
    <w:rsid w:val="004C711D"/>
    <w:rsid w:val="004C777F"/>
    <w:rsid w:val="004D03B3"/>
    <w:rsid w:val="004D0939"/>
    <w:rsid w:val="004D0A37"/>
    <w:rsid w:val="004D0A80"/>
    <w:rsid w:val="004D0BB3"/>
    <w:rsid w:val="004D0CD9"/>
    <w:rsid w:val="004D1534"/>
    <w:rsid w:val="004D15E0"/>
    <w:rsid w:val="004D1C9C"/>
    <w:rsid w:val="004D1DA6"/>
    <w:rsid w:val="004D2262"/>
    <w:rsid w:val="004D23AA"/>
    <w:rsid w:val="004D2466"/>
    <w:rsid w:val="004D2715"/>
    <w:rsid w:val="004D297A"/>
    <w:rsid w:val="004D299A"/>
    <w:rsid w:val="004D2B58"/>
    <w:rsid w:val="004D2E8E"/>
    <w:rsid w:val="004D2EBC"/>
    <w:rsid w:val="004D3416"/>
    <w:rsid w:val="004D345D"/>
    <w:rsid w:val="004D3780"/>
    <w:rsid w:val="004D3CF1"/>
    <w:rsid w:val="004D3F88"/>
    <w:rsid w:val="004D3FC4"/>
    <w:rsid w:val="004D44C0"/>
    <w:rsid w:val="004D5756"/>
    <w:rsid w:val="004D5768"/>
    <w:rsid w:val="004D57D1"/>
    <w:rsid w:val="004D5A50"/>
    <w:rsid w:val="004D6319"/>
    <w:rsid w:val="004D636F"/>
    <w:rsid w:val="004D6591"/>
    <w:rsid w:val="004D691E"/>
    <w:rsid w:val="004D6F56"/>
    <w:rsid w:val="004D75E2"/>
    <w:rsid w:val="004D782B"/>
    <w:rsid w:val="004D7926"/>
    <w:rsid w:val="004E02D7"/>
    <w:rsid w:val="004E065F"/>
    <w:rsid w:val="004E0820"/>
    <w:rsid w:val="004E0AAF"/>
    <w:rsid w:val="004E1124"/>
    <w:rsid w:val="004E19D1"/>
    <w:rsid w:val="004E1A5E"/>
    <w:rsid w:val="004E1F98"/>
    <w:rsid w:val="004E22DE"/>
    <w:rsid w:val="004E241F"/>
    <w:rsid w:val="004E311D"/>
    <w:rsid w:val="004E340E"/>
    <w:rsid w:val="004E359E"/>
    <w:rsid w:val="004E380D"/>
    <w:rsid w:val="004E3CC4"/>
    <w:rsid w:val="004E4169"/>
    <w:rsid w:val="004E43B2"/>
    <w:rsid w:val="004E46AB"/>
    <w:rsid w:val="004E491E"/>
    <w:rsid w:val="004E4960"/>
    <w:rsid w:val="004E4B74"/>
    <w:rsid w:val="004E4C69"/>
    <w:rsid w:val="004E4F58"/>
    <w:rsid w:val="004E508E"/>
    <w:rsid w:val="004E5228"/>
    <w:rsid w:val="004E53E4"/>
    <w:rsid w:val="004E547D"/>
    <w:rsid w:val="004E57B8"/>
    <w:rsid w:val="004E5AFD"/>
    <w:rsid w:val="004E5B44"/>
    <w:rsid w:val="004E5B62"/>
    <w:rsid w:val="004E5F38"/>
    <w:rsid w:val="004E5F8D"/>
    <w:rsid w:val="004E628A"/>
    <w:rsid w:val="004E6834"/>
    <w:rsid w:val="004E6891"/>
    <w:rsid w:val="004E6B33"/>
    <w:rsid w:val="004E73A7"/>
    <w:rsid w:val="004E773C"/>
    <w:rsid w:val="004E7845"/>
    <w:rsid w:val="004E78D3"/>
    <w:rsid w:val="004E7A38"/>
    <w:rsid w:val="004E7D43"/>
    <w:rsid w:val="004E7DB5"/>
    <w:rsid w:val="004E7E6F"/>
    <w:rsid w:val="004E7F04"/>
    <w:rsid w:val="004F02D0"/>
    <w:rsid w:val="004F04CE"/>
    <w:rsid w:val="004F05B2"/>
    <w:rsid w:val="004F06C0"/>
    <w:rsid w:val="004F09D2"/>
    <w:rsid w:val="004F12C6"/>
    <w:rsid w:val="004F14D1"/>
    <w:rsid w:val="004F17C9"/>
    <w:rsid w:val="004F1A75"/>
    <w:rsid w:val="004F1AC6"/>
    <w:rsid w:val="004F1C94"/>
    <w:rsid w:val="004F2344"/>
    <w:rsid w:val="004F2354"/>
    <w:rsid w:val="004F2356"/>
    <w:rsid w:val="004F2B40"/>
    <w:rsid w:val="004F2BE5"/>
    <w:rsid w:val="004F33EA"/>
    <w:rsid w:val="004F3801"/>
    <w:rsid w:val="004F3B74"/>
    <w:rsid w:val="004F448E"/>
    <w:rsid w:val="004F44DF"/>
    <w:rsid w:val="004F44F5"/>
    <w:rsid w:val="004F466D"/>
    <w:rsid w:val="004F48E4"/>
    <w:rsid w:val="004F4945"/>
    <w:rsid w:val="004F497A"/>
    <w:rsid w:val="004F4CAF"/>
    <w:rsid w:val="004F52FE"/>
    <w:rsid w:val="004F5C82"/>
    <w:rsid w:val="004F6032"/>
    <w:rsid w:val="004F687F"/>
    <w:rsid w:val="004F698D"/>
    <w:rsid w:val="004F6AF9"/>
    <w:rsid w:val="004F70AF"/>
    <w:rsid w:val="004F772F"/>
    <w:rsid w:val="004F795A"/>
    <w:rsid w:val="004F7CB8"/>
    <w:rsid w:val="004F7DC4"/>
    <w:rsid w:val="004F7F54"/>
    <w:rsid w:val="00500A1D"/>
    <w:rsid w:val="00501429"/>
    <w:rsid w:val="005014BA"/>
    <w:rsid w:val="00501714"/>
    <w:rsid w:val="00501814"/>
    <w:rsid w:val="00501E89"/>
    <w:rsid w:val="00501EAE"/>
    <w:rsid w:val="005021A2"/>
    <w:rsid w:val="005025D1"/>
    <w:rsid w:val="0050275D"/>
    <w:rsid w:val="00502C59"/>
    <w:rsid w:val="00502CE1"/>
    <w:rsid w:val="00502D26"/>
    <w:rsid w:val="00502D50"/>
    <w:rsid w:val="00503427"/>
    <w:rsid w:val="00503467"/>
    <w:rsid w:val="00503F3F"/>
    <w:rsid w:val="00505418"/>
    <w:rsid w:val="00505563"/>
    <w:rsid w:val="00505887"/>
    <w:rsid w:val="005065E2"/>
    <w:rsid w:val="0050691F"/>
    <w:rsid w:val="00507797"/>
    <w:rsid w:val="00507971"/>
    <w:rsid w:val="00507FE8"/>
    <w:rsid w:val="0051044A"/>
    <w:rsid w:val="00510D38"/>
    <w:rsid w:val="005111FF"/>
    <w:rsid w:val="005115FE"/>
    <w:rsid w:val="00511E37"/>
    <w:rsid w:val="00511FA1"/>
    <w:rsid w:val="005123F3"/>
    <w:rsid w:val="0051258F"/>
    <w:rsid w:val="005125E1"/>
    <w:rsid w:val="005127D6"/>
    <w:rsid w:val="00512B7A"/>
    <w:rsid w:val="00512D45"/>
    <w:rsid w:val="00512E30"/>
    <w:rsid w:val="005133F0"/>
    <w:rsid w:val="00513480"/>
    <w:rsid w:val="0051360F"/>
    <w:rsid w:val="00513F11"/>
    <w:rsid w:val="00514304"/>
    <w:rsid w:val="0051442B"/>
    <w:rsid w:val="0051450E"/>
    <w:rsid w:val="005145F0"/>
    <w:rsid w:val="0051473A"/>
    <w:rsid w:val="005149B9"/>
    <w:rsid w:val="00514B89"/>
    <w:rsid w:val="00514E72"/>
    <w:rsid w:val="0051507E"/>
    <w:rsid w:val="005156CB"/>
    <w:rsid w:val="00515913"/>
    <w:rsid w:val="00515E3B"/>
    <w:rsid w:val="00515FA1"/>
    <w:rsid w:val="00516002"/>
    <w:rsid w:val="00516666"/>
    <w:rsid w:val="005169D6"/>
    <w:rsid w:val="00516DA8"/>
    <w:rsid w:val="00517249"/>
    <w:rsid w:val="0051771E"/>
    <w:rsid w:val="0051795F"/>
    <w:rsid w:val="005179C3"/>
    <w:rsid w:val="00517C8F"/>
    <w:rsid w:val="0052017A"/>
    <w:rsid w:val="00520262"/>
    <w:rsid w:val="005205F3"/>
    <w:rsid w:val="00520B8E"/>
    <w:rsid w:val="00520C1E"/>
    <w:rsid w:val="00521173"/>
    <w:rsid w:val="00521263"/>
    <w:rsid w:val="0052139B"/>
    <w:rsid w:val="005217D2"/>
    <w:rsid w:val="00521C97"/>
    <w:rsid w:val="0052209F"/>
    <w:rsid w:val="0052243A"/>
    <w:rsid w:val="005226FC"/>
    <w:rsid w:val="00522701"/>
    <w:rsid w:val="00522C86"/>
    <w:rsid w:val="00522ED1"/>
    <w:rsid w:val="00522FD3"/>
    <w:rsid w:val="0052318B"/>
    <w:rsid w:val="0052320A"/>
    <w:rsid w:val="005232AE"/>
    <w:rsid w:val="00523519"/>
    <w:rsid w:val="005235F3"/>
    <w:rsid w:val="0052383E"/>
    <w:rsid w:val="00523994"/>
    <w:rsid w:val="00523B8D"/>
    <w:rsid w:val="00523BC6"/>
    <w:rsid w:val="00523DD6"/>
    <w:rsid w:val="00523E53"/>
    <w:rsid w:val="00523EC6"/>
    <w:rsid w:val="00523F13"/>
    <w:rsid w:val="005245E0"/>
    <w:rsid w:val="00524A4D"/>
    <w:rsid w:val="00524A89"/>
    <w:rsid w:val="00524D17"/>
    <w:rsid w:val="00524E0B"/>
    <w:rsid w:val="00524F58"/>
    <w:rsid w:val="0052524B"/>
    <w:rsid w:val="00525461"/>
    <w:rsid w:val="0052553B"/>
    <w:rsid w:val="005256BE"/>
    <w:rsid w:val="005262F0"/>
    <w:rsid w:val="0052634B"/>
    <w:rsid w:val="00526444"/>
    <w:rsid w:val="00526598"/>
    <w:rsid w:val="005266EB"/>
    <w:rsid w:val="00526715"/>
    <w:rsid w:val="00526BD4"/>
    <w:rsid w:val="00526CF5"/>
    <w:rsid w:val="00527129"/>
    <w:rsid w:val="0052718B"/>
    <w:rsid w:val="0052723C"/>
    <w:rsid w:val="005273DB"/>
    <w:rsid w:val="00527C5D"/>
    <w:rsid w:val="00527EC3"/>
    <w:rsid w:val="005309C3"/>
    <w:rsid w:val="00530F81"/>
    <w:rsid w:val="00531424"/>
    <w:rsid w:val="00531A77"/>
    <w:rsid w:val="005323DE"/>
    <w:rsid w:val="0053299E"/>
    <w:rsid w:val="00532FBF"/>
    <w:rsid w:val="00533430"/>
    <w:rsid w:val="0053399E"/>
    <w:rsid w:val="00533D25"/>
    <w:rsid w:val="00533DB8"/>
    <w:rsid w:val="00534396"/>
    <w:rsid w:val="005347CF"/>
    <w:rsid w:val="005357DB"/>
    <w:rsid w:val="00535B0A"/>
    <w:rsid w:val="005360D5"/>
    <w:rsid w:val="00536A6E"/>
    <w:rsid w:val="00536C5F"/>
    <w:rsid w:val="0053765E"/>
    <w:rsid w:val="00537674"/>
    <w:rsid w:val="00537883"/>
    <w:rsid w:val="00537F1B"/>
    <w:rsid w:val="00537F33"/>
    <w:rsid w:val="00537F88"/>
    <w:rsid w:val="00540561"/>
    <w:rsid w:val="00541370"/>
    <w:rsid w:val="0054188A"/>
    <w:rsid w:val="00541999"/>
    <w:rsid w:val="00541F8F"/>
    <w:rsid w:val="0054206F"/>
    <w:rsid w:val="00542118"/>
    <w:rsid w:val="005424C1"/>
    <w:rsid w:val="005425DD"/>
    <w:rsid w:val="0054282C"/>
    <w:rsid w:val="005429D7"/>
    <w:rsid w:val="005435C9"/>
    <w:rsid w:val="005439E8"/>
    <w:rsid w:val="00543EE7"/>
    <w:rsid w:val="005444F6"/>
    <w:rsid w:val="00544BA5"/>
    <w:rsid w:val="00544C44"/>
    <w:rsid w:val="0054525E"/>
    <w:rsid w:val="005452FF"/>
    <w:rsid w:val="0054584A"/>
    <w:rsid w:val="005459C8"/>
    <w:rsid w:val="00545B4C"/>
    <w:rsid w:val="00545B53"/>
    <w:rsid w:val="00545C72"/>
    <w:rsid w:val="00545D28"/>
    <w:rsid w:val="00545ECA"/>
    <w:rsid w:val="00545FB3"/>
    <w:rsid w:val="005469EA"/>
    <w:rsid w:val="00546B4D"/>
    <w:rsid w:val="00546F4C"/>
    <w:rsid w:val="0054732D"/>
    <w:rsid w:val="005473D0"/>
    <w:rsid w:val="0054783B"/>
    <w:rsid w:val="0054792D"/>
    <w:rsid w:val="00547C5F"/>
    <w:rsid w:val="00547D0B"/>
    <w:rsid w:val="005501C9"/>
    <w:rsid w:val="00550401"/>
    <w:rsid w:val="0055049F"/>
    <w:rsid w:val="005508A5"/>
    <w:rsid w:val="00550C3D"/>
    <w:rsid w:val="00550CF7"/>
    <w:rsid w:val="00551428"/>
    <w:rsid w:val="00551952"/>
    <w:rsid w:val="00551BB8"/>
    <w:rsid w:val="0055216E"/>
    <w:rsid w:val="005522FA"/>
    <w:rsid w:val="00552301"/>
    <w:rsid w:val="00552799"/>
    <w:rsid w:val="0055296B"/>
    <w:rsid w:val="00552A63"/>
    <w:rsid w:val="00552D77"/>
    <w:rsid w:val="005532ED"/>
    <w:rsid w:val="00553379"/>
    <w:rsid w:val="00553561"/>
    <w:rsid w:val="0055374E"/>
    <w:rsid w:val="00554177"/>
    <w:rsid w:val="0055429D"/>
    <w:rsid w:val="0055430F"/>
    <w:rsid w:val="00554582"/>
    <w:rsid w:val="005546E8"/>
    <w:rsid w:val="0055547C"/>
    <w:rsid w:val="00555533"/>
    <w:rsid w:val="005558C3"/>
    <w:rsid w:val="005559D0"/>
    <w:rsid w:val="00555E0F"/>
    <w:rsid w:val="00555FC0"/>
    <w:rsid w:val="00556212"/>
    <w:rsid w:val="00556A06"/>
    <w:rsid w:val="00557099"/>
    <w:rsid w:val="005570CF"/>
    <w:rsid w:val="005575D3"/>
    <w:rsid w:val="0055764E"/>
    <w:rsid w:val="00557CA3"/>
    <w:rsid w:val="00557D9E"/>
    <w:rsid w:val="005600D1"/>
    <w:rsid w:val="005601BB"/>
    <w:rsid w:val="00560336"/>
    <w:rsid w:val="00560637"/>
    <w:rsid w:val="00560A27"/>
    <w:rsid w:val="0056194C"/>
    <w:rsid w:val="00561AA6"/>
    <w:rsid w:val="005623AD"/>
    <w:rsid w:val="005624E3"/>
    <w:rsid w:val="0056254E"/>
    <w:rsid w:val="00562D53"/>
    <w:rsid w:val="00563080"/>
    <w:rsid w:val="00563360"/>
    <w:rsid w:val="005633BE"/>
    <w:rsid w:val="005641BC"/>
    <w:rsid w:val="005643AC"/>
    <w:rsid w:val="005644BD"/>
    <w:rsid w:val="00564A8D"/>
    <w:rsid w:val="00564E5B"/>
    <w:rsid w:val="00565210"/>
    <w:rsid w:val="00565409"/>
    <w:rsid w:val="00565712"/>
    <w:rsid w:val="00565C08"/>
    <w:rsid w:val="00565D9C"/>
    <w:rsid w:val="00565E11"/>
    <w:rsid w:val="00565EAC"/>
    <w:rsid w:val="00565F67"/>
    <w:rsid w:val="00566435"/>
    <w:rsid w:val="00566455"/>
    <w:rsid w:val="00566CC3"/>
    <w:rsid w:val="0056713F"/>
    <w:rsid w:val="0056734B"/>
    <w:rsid w:val="00567395"/>
    <w:rsid w:val="005674C7"/>
    <w:rsid w:val="00567759"/>
    <w:rsid w:val="00567878"/>
    <w:rsid w:val="005678A1"/>
    <w:rsid w:val="0056791C"/>
    <w:rsid w:val="005679A8"/>
    <w:rsid w:val="00570CF4"/>
    <w:rsid w:val="00570D77"/>
    <w:rsid w:val="0057149A"/>
    <w:rsid w:val="005719BE"/>
    <w:rsid w:val="00571E78"/>
    <w:rsid w:val="0057201C"/>
    <w:rsid w:val="005721AA"/>
    <w:rsid w:val="0057221C"/>
    <w:rsid w:val="005722D0"/>
    <w:rsid w:val="00572D22"/>
    <w:rsid w:val="0057305D"/>
    <w:rsid w:val="005734B2"/>
    <w:rsid w:val="00573B40"/>
    <w:rsid w:val="00573D2F"/>
    <w:rsid w:val="00573E62"/>
    <w:rsid w:val="00574439"/>
    <w:rsid w:val="005745FC"/>
    <w:rsid w:val="00574836"/>
    <w:rsid w:val="005748C6"/>
    <w:rsid w:val="00574F46"/>
    <w:rsid w:val="00575132"/>
    <w:rsid w:val="00575603"/>
    <w:rsid w:val="00575853"/>
    <w:rsid w:val="0057641C"/>
    <w:rsid w:val="005764B4"/>
    <w:rsid w:val="00576789"/>
    <w:rsid w:val="00576797"/>
    <w:rsid w:val="00576A76"/>
    <w:rsid w:val="00576ADA"/>
    <w:rsid w:val="00576D60"/>
    <w:rsid w:val="005773ED"/>
    <w:rsid w:val="0057792C"/>
    <w:rsid w:val="00577A8C"/>
    <w:rsid w:val="00577E8D"/>
    <w:rsid w:val="0058001C"/>
    <w:rsid w:val="00580855"/>
    <w:rsid w:val="00581198"/>
    <w:rsid w:val="00581BA0"/>
    <w:rsid w:val="00581D73"/>
    <w:rsid w:val="00581E1A"/>
    <w:rsid w:val="005823BC"/>
    <w:rsid w:val="005828A8"/>
    <w:rsid w:val="00582F8A"/>
    <w:rsid w:val="0058300A"/>
    <w:rsid w:val="00583113"/>
    <w:rsid w:val="005832E2"/>
    <w:rsid w:val="00583509"/>
    <w:rsid w:val="005835C9"/>
    <w:rsid w:val="005835EC"/>
    <w:rsid w:val="00583B09"/>
    <w:rsid w:val="00583BDC"/>
    <w:rsid w:val="005848D0"/>
    <w:rsid w:val="005849AD"/>
    <w:rsid w:val="00584D38"/>
    <w:rsid w:val="00585005"/>
    <w:rsid w:val="005853B7"/>
    <w:rsid w:val="005856E5"/>
    <w:rsid w:val="005857C8"/>
    <w:rsid w:val="00585974"/>
    <w:rsid w:val="00585DF1"/>
    <w:rsid w:val="00585FDA"/>
    <w:rsid w:val="005862B7"/>
    <w:rsid w:val="0058651A"/>
    <w:rsid w:val="00586932"/>
    <w:rsid w:val="00587864"/>
    <w:rsid w:val="00587A57"/>
    <w:rsid w:val="00587C47"/>
    <w:rsid w:val="00587CB0"/>
    <w:rsid w:val="00587D70"/>
    <w:rsid w:val="00587DA3"/>
    <w:rsid w:val="00587EAB"/>
    <w:rsid w:val="00590149"/>
    <w:rsid w:val="00590596"/>
    <w:rsid w:val="00590AA3"/>
    <w:rsid w:val="00591465"/>
    <w:rsid w:val="00591669"/>
    <w:rsid w:val="00591797"/>
    <w:rsid w:val="00591F57"/>
    <w:rsid w:val="00591FA9"/>
    <w:rsid w:val="0059212D"/>
    <w:rsid w:val="0059215C"/>
    <w:rsid w:val="00592176"/>
    <w:rsid w:val="005922CB"/>
    <w:rsid w:val="0059248B"/>
    <w:rsid w:val="00592C25"/>
    <w:rsid w:val="00592DAB"/>
    <w:rsid w:val="00592E22"/>
    <w:rsid w:val="00592EAE"/>
    <w:rsid w:val="00592EE0"/>
    <w:rsid w:val="00593056"/>
    <w:rsid w:val="0059316B"/>
    <w:rsid w:val="00593403"/>
    <w:rsid w:val="005935C9"/>
    <w:rsid w:val="005936DC"/>
    <w:rsid w:val="0059376A"/>
    <w:rsid w:val="005937B0"/>
    <w:rsid w:val="005937D3"/>
    <w:rsid w:val="005937F2"/>
    <w:rsid w:val="00593B9D"/>
    <w:rsid w:val="00593F63"/>
    <w:rsid w:val="0059416C"/>
    <w:rsid w:val="0059468F"/>
    <w:rsid w:val="0059486D"/>
    <w:rsid w:val="00594916"/>
    <w:rsid w:val="00594C4E"/>
    <w:rsid w:val="00594F87"/>
    <w:rsid w:val="00595330"/>
    <w:rsid w:val="0059545F"/>
    <w:rsid w:val="005957F7"/>
    <w:rsid w:val="0059586E"/>
    <w:rsid w:val="0059615C"/>
    <w:rsid w:val="00596896"/>
    <w:rsid w:val="005974EB"/>
    <w:rsid w:val="00597AB6"/>
    <w:rsid w:val="005A00FE"/>
    <w:rsid w:val="005A01EF"/>
    <w:rsid w:val="005A027C"/>
    <w:rsid w:val="005A048C"/>
    <w:rsid w:val="005A0DBB"/>
    <w:rsid w:val="005A1240"/>
    <w:rsid w:val="005A21E3"/>
    <w:rsid w:val="005A257E"/>
    <w:rsid w:val="005A2A89"/>
    <w:rsid w:val="005A2B3E"/>
    <w:rsid w:val="005A2C50"/>
    <w:rsid w:val="005A3298"/>
    <w:rsid w:val="005A32C8"/>
    <w:rsid w:val="005A368A"/>
    <w:rsid w:val="005A3C49"/>
    <w:rsid w:val="005A3CD5"/>
    <w:rsid w:val="005A3EAE"/>
    <w:rsid w:val="005A3EDC"/>
    <w:rsid w:val="005A43CB"/>
    <w:rsid w:val="005A4786"/>
    <w:rsid w:val="005A480E"/>
    <w:rsid w:val="005A4964"/>
    <w:rsid w:val="005A4C95"/>
    <w:rsid w:val="005A4D61"/>
    <w:rsid w:val="005A5011"/>
    <w:rsid w:val="005A51C5"/>
    <w:rsid w:val="005A6158"/>
    <w:rsid w:val="005A649B"/>
    <w:rsid w:val="005A6614"/>
    <w:rsid w:val="005A676A"/>
    <w:rsid w:val="005A709B"/>
    <w:rsid w:val="005A710D"/>
    <w:rsid w:val="005A74A8"/>
    <w:rsid w:val="005A74F7"/>
    <w:rsid w:val="005A7671"/>
    <w:rsid w:val="005A7B62"/>
    <w:rsid w:val="005B00B7"/>
    <w:rsid w:val="005B0292"/>
    <w:rsid w:val="005B07BC"/>
    <w:rsid w:val="005B0F54"/>
    <w:rsid w:val="005B130F"/>
    <w:rsid w:val="005B14B4"/>
    <w:rsid w:val="005B15CA"/>
    <w:rsid w:val="005B17A8"/>
    <w:rsid w:val="005B18BE"/>
    <w:rsid w:val="005B1A71"/>
    <w:rsid w:val="005B1F10"/>
    <w:rsid w:val="005B20B8"/>
    <w:rsid w:val="005B2C76"/>
    <w:rsid w:val="005B2DE1"/>
    <w:rsid w:val="005B2F44"/>
    <w:rsid w:val="005B301D"/>
    <w:rsid w:val="005B318A"/>
    <w:rsid w:val="005B32A2"/>
    <w:rsid w:val="005B36CF"/>
    <w:rsid w:val="005B39A9"/>
    <w:rsid w:val="005B3DF5"/>
    <w:rsid w:val="005B3E2C"/>
    <w:rsid w:val="005B4C1A"/>
    <w:rsid w:val="005B5BDB"/>
    <w:rsid w:val="005B60DA"/>
    <w:rsid w:val="005B623F"/>
    <w:rsid w:val="005B6A4E"/>
    <w:rsid w:val="005B7088"/>
    <w:rsid w:val="005B7732"/>
    <w:rsid w:val="005B7828"/>
    <w:rsid w:val="005B7872"/>
    <w:rsid w:val="005B7B39"/>
    <w:rsid w:val="005B7BDC"/>
    <w:rsid w:val="005C02DE"/>
    <w:rsid w:val="005C0AD9"/>
    <w:rsid w:val="005C0B92"/>
    <w:rsid w:val="005C0C54"/>
    <w:rsid w:val="005C0D1C"/>
    <w:rsid w:val="005C1112"/>
    <w:rsid w:val="005C1637"/>
    <w:rsid w:val="005C1BEA"/>
    <w:rsid w:val="005C1DEF"/>
    <w:rsid w:val="005C1E97"/>
    <w:rsid w:val="005C1F8B"/>
    <w:rsid w:val="005C2659"/>
    <w:rsid w:val="005C2F79"/>
    <w:rsid w:val="005C2FD8"/>
    <w:rsid w:val="005C32F9"/>
    <w:rsid w:val="005C3B9B"/>
    <w:rsid w:val="005C3CB4"/>
    <w:rsid w:val="005C4641"/>
    <w:rsid w:val="005C47E1"/>
    <w:rsid w:val="005C4C75"/>
    <w:rsid w:val="005C5381"/>
    <w:rsid w:val="005C5736"/>
    <w:rsid w:val="005C5A0F"/>
    <w:rsid w:val="005C5E96"/>
    <w:rsid w:val="005C5FFF"/>
    <w:rsid w:val="005C6863"/>
    <w:rsid w:val="005C6C70"/>
    <w:rsid w:val="005C76F8"/>
    <w:rsid w:val="005C7F3B"/>
    <w:rsid w:val="005C7FBF"/>
    <w:rsid w:val="005D0149"/>
    <w:rsid w:val="005D0362"/>
    <w:rsid w:val="005D0515"/>
    <w:rsid w:val="005D05DB"/>
    <w:rsid w:val="005D0614"/>
    <w:rsid w:val="005D1D84"/>
    <w:rsid w:val="005D1EB0"/>
    <w:rsid w:val="005D2494"/>
    <w:rsid w:val="005D3992"/>
    <w:rsid w:val="005D438E"/>
    <w:rsid w:val="005D4899"/>
    <w:rsid w:val="005D4CF6"/>
    <w:rsid w:val="005D50FF"/>
    <w:rsid w:val="005D525C"/>
    <w:rsid w:val="005D5AAD"/>
    <w:rsid w:val="005D6A90"/>
    <w:rsid w:val="005D7309"/>
    <w:rsid w:val="005D7919"/>
    <w:rsid w:val="005D797E"/>
    <w:rsid w:val="005D7E32"/>
    <w:rsid w:val="005E0C21"/>
    <w:rsid w:val="005E0C56"/>
    <w:rsid w:val="005E0EDB"/>
    <w:rsid w:val="005E0F07"/>
    <w:rsid w:val="005E101D"/>
    <w:rsid w:val="005E115E"/>
    <w:rsid w:val="005E13EA"/>
    <w:rsid w:val="005E13FC"/>
    <w:rsid w:val="005E1AA2"/>
    <w:rsid w:val="005E24D6"/>
    <w:rsid w:val="005E2682"/>
    <w:rsid w:val="005E2695"/>
    <w:rsid w:val="005E2AA7"/>
    <w:rsid w:val="005E2BB1"/>
    <w:rsid w:val="005E3115"/>
    <w:rsid w:val="005E3AA6"/>
    <w:rsid w:val="005E3DCA"/>
    <w:rsid w:val="005E42F7"/>
    <w:rsid w:val="005E435D"/>
    <w:rsid w:val="005E4906"/>
    <w:rsid w:val="005E4972"/>
    <w:rsid w:val="005E4BA9"/>
    <w:rsid w:val="005E4BB0"/>
    <w:rsid w:val="005E53E8"/>
    <w:rsid w:val="005E5750"/>
    <w:rsid w:val="005E5A24"/>
    <w:rsid w:val="005E5BD7"/>
    <w:rsid w:val="005E60DB"/>
    <w:rsid w:val="005E620C"/>
    <w:rsid w:val="005E6B23"/>
    <w:rsid w:val="005E6B88"/>
    <w:rsid w:val="005E7092"/>
    <w:rsid w:val="005E76A0"/>
    <w:rsid w:val="005E789B"/>
    <w:rsid w:val="005E7A1F"/>
    <w:rsid w:val="005E7AFF"/>
    <w:rsid w:val="005F028A"/>
    <w:rsid w:val="005F062A"/>
    <w:rsid w:val="005F0743"/>
    <w:rsid w:val="005F0B31"/>
    <w:rsid w:val="005F0FD9"/>
    <w:rsid w:val="005F1181"/>
    <w:rsid w:val="005F1587"/>
    <w:rsid w:val="005F15CC"/>
    <w:rsid w:val="005F1A75"/>
    <w:rsid w:val="005F1B36"/>
    <w:rsid w:val="005F20BE"/>
    <w:rsid w:val="005F247A"/>
    <w:rsid w:val="005F255C"/>
    <w:rsid w:val="005F2B28"/>
    <w:rsid w:val="005F2CB8"/>
    <w:rsid w:val="005F2F29"/>
    <w:rsid w:val="005F3002"/>
    <w:rsid w:val="005F30F7"/>
    <w:rsid w:val="005F3AA0"/>
    <w:rsid w:val="005F3C69"/>
    <w:rsid w:val="005F41B2"/>
    <w:rsid w:val="005F4224"/>
    <w:rsid w:val="005F4585"/>
    <w:rsid w:val="005F488A"/>
    <w:rsid w:val="005F4956"/>
    <w:rsid w:val="005F4C02"/>
    <w:rsid w:val="005F4D3A"/>
    <w:rsid w:val="005F4D8B"/>
    <w:rsid w:val="005F4EBF"/>
    <w:rsid w:val="005F4FBC"/>
    <w:rsid w:val="005F5092"/>
    <w:rsid w:val="005F5C74"/>
    <w:rsid w:val="005F6B6D"/>
    <w:rsid w:val="005F6B76"/>
    <w:rsid w:val="005F6BD1"/>
    <w:rsid w:val="005F6FE7"/>
    <w:rsid w:val="005F70B3"/>
    <w:rsid w:val="005F783A"/>
    <w:rsid w:val="005F7856"/>
    <w:rsid w:val="006007BA"/>
    <w:rsid w:val="006007D0"/>
    <w:rsid w:val="00600C0C"/>
    <w:rsid w:val="00600F7F"/>
    <w:rsid w:val="0060113B"/>
    <w:rsid w:val="0060118B"/>
    <w:rsid w:val="00601B7D"/>
    <w:rsid w:val="00602065"/>
    <w:rsid w:val="00602073"/>
    <w:rsid w:val="00602189"/>
    <w:rsid w:val="0060220C"/>
    <w:rsid w:val="006022DF"/>
    <w:rsid w:val="006027F8"/>
    <w:rsid w:val="00602958"/>
    <w:rsid w:val="00602AC5"/>
    <w:rsid w:val="00603F62"/>
    <w:rsid w:val="00604331"/>
    <w:rsid w:val="00604A82"/>
    <w:rsid w:val="00604CEA"/>
    <w:rsid w:val="00605221"/>
    <w:rsid w:val="006056B7"/>
    <w:rsid w:val="006058C4"/>
    <w:rsid w:val="00605B10"/>
    <w:rsid w:val="00605B32"/>
    <w:rsid w:val="00606471"/>
    <w:rsid w:val="006067DC"/>
    <w:rsid w:val="006067DE"/>
    <w:rsid w:val="0060684D"/>
    <w:rsid w:val="00606962"/>
    <w:rsid w:val="00606AEC"/>
    <w:rsid w:val="00606CEA"/>
    <w:rsid w:val="00606FA0"/>
    <w:rsid w:val="006078F6"/>
    <w:rsid w:val="00607CA8"/>
    <w:rsid w:val="0061000A"/>
    <w:rsid w:val="006104E6"/>
    <w:rsid w:val="00610CC3"/>
    <w:rsid w:val="00610E4F"/>
    <w:rsid w:val="00610ED8"/>
    <w:rsid w:val="006112D7"/>
    <w:rsid w:val="00611583"/>
    <w:rsid w:val="00611B59"/>
    <w:rsid w:val="00611B5C"/>
    <w:rsid w:val="00611C0E"/>
    <w:rsid w:val="00611C5B"/>
    <w:rsid w:val="006122DE"/>
    <w:rsid w:val="0061230C"/>
    <w:rsid w:val="00612608"/>
    <w:rsid w:val="00612E20"/>
    <w:rsid w:val="006140AC"/>
    <w:rsid w:val="00614275"/>
    <w:rsid w:val="0061444B"/>
    <w:rsid w:val="0061492D"/>
    <w:rsid w:val="0061497C"/>
    <w:rsid w:val="00614BF0"/>
    <w:rsid w:val="006151BB"/>
    <w:rsid w:val="00615808"/>
    <w:rsid w:val="006159EE"/>
    <w:rsid w:val="00615EFF"/>
    <w:rsid w:val="006165B1"/>
    <w:rsid w:val="006165C6"/>
    <w:rsid w:val="00616F29"/>
    <w:rsid w:val="0061764C"/>
    <w:rsid w:val="00617C58"/>
    <w:rsid w:val="006200C9"/>
    <w:rsid w:val="00620282"/>
    <w:rsid w:val="006206A1"/>
    <w:rsid w:val="00620997"/>
    <w:rsid w:val="00620CCD"/>
    <w:rsid w:val="006210A7"/>
    <w:rsid w:val="006211E8"/>
    <w:rsid w:val="00621622"/>
    <w:rsid w:val="006218AB"/>
    <w:rsid w:val="00621AAD"/>
    <w:rsid w:val="00621D3A"/>
    <w:rsid w:val="00621F58"/>
    <w:rsid w:val="006220BA"/>
    <w:rsid w:val="00622440"/>
    <w:rsid w:val="006225DB"/>
    <w:rsid w:val="00622630"/>
    <w:rsid w:val="006229D6"/>
    <w:rsid w:val="00622BBE"/>
    <w:rsid w:val="00622C54"/>
    <w:rsid w:val="00622DC4"/>
    <w:rsid w:val="006239A5"/>
    <w:rsid w:val="00623ABE"/>
    <w:rsid w:val="00623BB3"/>
    <w:rsid w:val="0062491F"/>
    <w:rsid w:val="00624A66"/>
    <w:rsid w:val="00624DAB"/>
    <w:rsid w:val="0062505C"/>
    <w:rsid w:val="00625206"/>
    <w:rsid w:val="00625714"/>
    <w:rsid w:val="0062586D"/>
    <w:rsid w:val="00625A7B"/>
    <w:rsid w:val="00625D58"/>
    <w:rsid w:val="00625FE2"/>
    <w:rsid w:val="006260D0"/>
    <w:rsid w:val="00626A22"/>
    <w:rsid w:val="00626DC7"/>
    <w:rsid w:val="00627526"/>
    <w:rsid w:val="0062766B"/>
    <w:rsid w:val="006302C3"/>
    <w:rsid w:val="0063044F"/>
    <w:rsid w:val="00630855"/>
    <w:rsid w:val="0063098C"/>
    <w:rsid w:val="00630BFD"/>
    <w:rsid w:val="00630D19"/>
    <w:rsid w:val="00630F42"/>
    <w:rsid w:val="00631355"/>
    <w:rsid w:val="006313CB"/>
    <w:rsid w:val="006315BF"/>
    <w:rsid w:val="00631D0C"/>
    <w:rsid w:val="00632525"/>
    <w:rsid w:val="00632893"/>
    <w:rsid w:val="006330A3"/>
    <w:rsid w:val="00633434"/>
    <w:rsid w:val="006335C8"/>
    <w:rsid w:val="006340F1"/>
    <w:rsid w:val="006347EF"/>
    <w:rsid w:val="00634E35"/>
    <w:rsid w:val="006354C7"/>
    <w:rsid w:val="00635E1C"/>
    <w:rsid w:val="0063604C"/>
    <w:rsid w:val="006367B2"/>
    <w:rsid w:val="0063695E"/>
    <w:rsid w:val="00636A37"/>
    <w:rsid w:val="00636CD2"/>
    <w:rsid w:val="00636F91"/>
    <w:rsid w:val="00637215"/>
    <w:rsid w:val="00637342"/>
    <w:rsid w:val="00637B69"/>
    <w:rsid w:val="00637D13"/>
    <w:rsid w:val="00637F06"/>
    <w:rsid w:val="00637F0D"/>
    <w:rsid w:val="006404C0"/>
    <w:rsid w:val="006407F4"/>
    <w:rsid w:val="006409B1"/>
    <w:rsid w:val="00641B24"/>
    <w:rsid w:val="00642492"/>
    <w:rsid w:val="0064263A"/>
    <w:rsid w:val="00642F08"/>
    <w:rsid w:val="0064352C"/>
    <w:rsid w:val="00643707"/>
    <w:rsid w:val="00643B83"/>
    <w:rsid w:val="00643CC9"/>
    <w:rsid w:val="00643E74"/>
    <w:rsid w:val="006441E4"/>
    <w:rsid w:val="006444DE"/>
    <w:rsid w:val="00644533"/>
    <w:rsid w:val="00644887"/>
    <w:rsid w:val="00644B6D"/>
    <w:rsid w:val="00644CE3"/>
    <w:rsid w:val="006453BC"/>
    <w:rsid w:val="006454CC"/>
    <w:rsid w:val="0064577C"/>
    <w:rsid w:val="00645E83"/>
    <w:rsid w:val="006460C9"/>
    <w:rsid w:val="00646220"/>
    <w:rsid w:val="00646B57"/>
    <w:rsid w:val="00646C46"/>
    <w:rsid w:val="00646CCD"/>
    <w:rsid w:val="006471A2"/>
    <w:rsid w:val="006472AC"/>
    <w:rsid w:val="0064798B"/>
    <w:rsid w:val="00647E09"/>
    <w:rsid w:val="00650891"/>
    <w:rsid w:val="0065095D"/>
    <w:rsid w:val="006516CE"/>
    <w:rsid w:val="00652878"/>
    <w:rsid w:val="006528EA"/>
    <w:rsid w:val="00653E2E"/>
    <w:rsid w:val="00653E41"/>
    <w:rsid w:val="006545AD"/>
    <w:rsid w:val="006546FD"/>
    <w:rsid w:val="00654719"/>
    <w:rsid w:val="00654947"/>
    <w:rsid w:val="00654B00"/>
    <w:rsid w:val="00655573"/>
    <w:rsid w:val="00655A47"/>
    <w:rsid w:val="00655C7C"/>
    <w:rsid w:val="0065679C"/>
    <w:rsid w:val="00656A14"/>
    <w:rsid w:val="006575B2"/>
    <w:rsid w:val="00657605"/>
    <w:rsid w:val="0065799E"/>
    <w:rsid w:val="00657FC6"/>
    <w:rsid w:val="006602B5"/>
    <w:rsid w:val="006606D6"/>
    <w:rsid w:val="00661A5D"/>
    <w:rsid w:val="006620FF"/>
    <w:rsid w:val="0066235F"/>
    <w:rsid w:val="00662636"/>
    <w:rsid w:val="00663096"/>
    <w:rsid w:val="00663445"/>
    <w:rsid w:val="006636FC"/>
    <w:rsid w:val="006637E3"/>
    <w:rsid w:val="00663B28"/>
    <w:rsid w:val="00663CEE"/>
    <w:rsid w:val="00663E48"/>
    <w:rsid w:val="00663F10"/>
    <w:rsid w:val="00664118"/>
    <w:rsid w:val="006645B2"/>
    <w:rsid w:val="006649E5"/>
    <w:rsid w:val="006650BB"/>
    <w:rsid w:val="00665107"/>
    <w:rsid w:val="00665128"/>
    <w:rsid w:val="006652CE"/>
    <w:rsid w:val="006653E9"/>
    <w:rsid w:val="00665F1D"/>
    <w:rsid w:val="00666036"/>
    <w:rsid w:val="00666369"/>
    <w:rsid w:val="0066690E"/>
    <w:rsid w:val="00666948"/>
    <w:rsid w:val="006672C7"/>
    <w:rsid w:val="00670427"/>
    <w:rsid w:val="0067050A"/>
    <w:rsid w:val="0067086D"/>
    <w:rsid w:val="00670C90"/>
    <w:rsid w:val="00670E5F"/>
    <w:rsid w:val="00671133"/>
    <w:rsid w:val="0067168A"/>
    <w:rsid w:val="006716D6"/>
    <w:rsid w:val="006719AA"/>
    <w:rsid w:val="00671AF9"/>
    <w:rsid w:val="00671F3F"/>
    <w:rsid w:val="00671F71"/>
    <w:rsid w:val="006730C1"/>
    <w:rsid w:val="00673142"/>
    <w:rsid w:val="006731AA"/>
    <w:rsid w:val="00673C18"/>
    <w:rsid w:val="00673D47"/>
    <w:rsid w:val="006740AC"/>
    <w:rsid w:val="006740E7"/>
    <w:rsid w:val="00674612"/>
    <w:rsid w:val="0067475C"/>
    <w:rsid w:val="00674FB2"/>
    <w:rsid w:val="00675A92"/>
    <w:rsid w:val="006760AA"/>
    <w:rsid w:val="006760BA"/>
    <w:rsid w:val="00676405"/>
    <w:rsid w:val="0067699C"/>
    <w:rsid w:val="00676C20"/>
    <w:rsid w:val="00676D08"/>
    <w:rsid w:val="0067701B"/>
    <w:rsid w:val="00677099"/>
    <w:rsid w:val="006773AE"/>
    <w:rsid w:val="0067745C"/>
    <w:rsid w:val="00677607"/>
    <w:rsid w:val="00677AC8"/>
    <w:rsid w:val="00677C69"/>
    <w:rsid w:val="0068050F"/>
    <w:rsid w:val="006806CF"/>
    <w:rsid w:val="006808CB"/>
    <w:rsid w:val="00680E26"/>
    <w:rsid w:val="006814BF"/>
    <w:rsid w:val="00681598"/>
    <w:rsid w:val="00681BC6"/>
    <w:rsid w:val="00681DFA"/>
    <w:rsid w:val="00682ABE"/>
    <w:rsid w:val="0068352C"/>
    <w:rsid w:val="006837DA"/>
    <w:rsid w:val="006841D3"/>
    <w:rsid w:val="006842D6"/>
    <w:rsid w:val="00684719"/>
    <w:rsid w:val="00684B32"/>
    <w:rsid w:val="006850E7"/>
    <w:rsid w:val="0068552E"/>
    <w:rsid w:val="006855E2"/>
    <w:rsid w:val="00685620"/>
    <w:rsid w:val="00685717"/>
    <w:rsid w:val="00685AC6"/>
    <w:rsid w:val="00685D9D"/>
    <w:rsid w:val="00686168"/>
    <w:rsid w:val="006866DE"/>
    <w:rsid w:val="00686C3C"/>
    <w:rsid w:val="00686CC7"/>
    <w:rsid w:val="00686E08"/>
    <w:rsid w:val="00686E7C"/>
    <w:rsid w:val="00686F86"/>
    <w:rsid w:val="00686F8D"/>
    <w:rsid w:val="00686FED"/>
    <w:rsid w:val="00687229"/>
    <w:rsid w:val="006872D0"/>
    <w:rsid w:val="00687319"/>
    <w:rsid w:val="0068751A"/>
    <w:rsid w:val="006900B5"/>
    <w:rsid w:val="006901A2"/>
    <w:rsid w:val="00690437"/>
    <w:rsid w:val="00690ED2"/>
    <w:rsid w:val="00690F1F"/>
    <w:rsid w:val="00690F57"/>
    <w:rsid w:val="0069137D"/>
    <w:rsid w:val="00691789"/>
    <w:rsid w:val="0069184A"/>
    <w:rsid w:val="0069286B"/>
    <w:rsid w:val="00692A42"/>
    <w:rsid w:val="00692A9D"/>
    <w:rsid w:val="00692B28"/>
    <w:rsid w:val="006935D6"/>
    <w:rsid w:val="00693622"/>
    <w:rsid w:val="0069383F"/>
    <w:rsid w:val="00693EF6"/>
    <w:rsid w:val="006946CF"/>
    <w:rsid w:val="0069491C"/>
    <w:rsid w:val="00695805"/>
    <w:rsid w:val="0069583B"/>
    <w:rsid w:val="006958AA"/>
    <w:rsid w:val="00696318"/>
    <w:rsid w:val="00696E5A"/>
    <w:rsid w:val="00696EFD"/>
    <w:rsid w:val="00697344"/>
    <w:rsid w:val="006975E7"/>
    <w:rsid w:val="00697601"/>
    <w:rsid w:val="006979BE"/>
    <w:rsid w:val="00697D55"/>
    <w:rsid w:val="00697D62"/>
    <w:rsid w:val="006A02AB"/>
    <w:rsid w:val="006A0BE9"/>
    <w:rsid w:val="006A0DA8"/>
    <w:rsid w:val="006A155F"/>
    <w:rsid w:val="006A1726"/>
    <w:rsid w:val="006A19C0"/>
    <w:rsid w:val="006A1CCC"/>
    <w:rsid w:val="006A1D5F"/>
    <w:rsid w:val="006A1DC1"/>
    <w:rsid w:val="006A1E6A"/>
    <w:rsid w:val="006A1F07"/>
    <w:rsid w:val="006A272C"/>
    <w:rsid w:val="006A35A1"/>
    <w:rsid w:val="006A3ADC"/>
    <w:rsid w:val="006A3B8A"/>
    <w:rsid w:val="006A3CBF"/>
    <w:rsid w:val="006A3F6E"/>
    <w:rsid w:val="006A3F86"/>
    <w:rsid w:val="006A4116"/>
    <w:rsid w:val="006A4408"/>
    <w:rsid w:val="006A45BF"/>
    <w:rsid w:val="006A4910"/>
    <w:rsid w:val="006A4FAA"/>
    <w:rsid w:val="006A5264"/>
    <w:rsid w:val="006A55C1"/>
    <w:rsid w:val="006A61AC"/>
    <w:rsid w:val="006A63FA"/>
    <w:rsid w:val="006A6A78"/>
    <w:rsid w:val="006A6F3D"/>
    <w:rsid w:val="006A77DE"/>
    <w:rsid w:val="006A792D"/>
    <w:rsid w:val="006A7965"/>
    <w:rsid w:val="006A7EF1"/>
    <w:rsid w:val="006B0188"/>
    <w:rsid w:val="006B0652"/>
    <w:rsid w:val="006B1038"/>
    <w:rsid w:val="006B1458"/>
    <w:rsid w:val="006B1EDC"/>
    <w:rsid w:val="006B25CF"/>
    <w:rsid w:val="006B2748"/>
    <w:rsid w:val="006B2C36"/>
    <w:rsid w:val="006B2C5D"/>
    <w:rsid w:val="006B2E83"/>
    <w:rsid w:val="006B2FED"/>
    <w:rsid w:val="006B323B"/>
    <w:rsid w:val="006B43E6"/>
    <w:rsid w:val="006B4488"/>
    <w:rsid w:val="006B4696"/>
    <w:rsid w:val="006B4B42"/>
    <w:rsid w:val="006B520E"/>
    <w:rsid w:val="006B5B9C"/>
    <w:rsid w:val="006B5BEF"/>
    <w:rsid w:val="006B5DC1"/>
    <w:rsid w:val="006B6161"/>
    <w:rsid w:val="006B70C8"/>
    <w:rsid w:val="006B71EA"/>
    <w:rsid w:val="006B73E9"/>
    <w:rsid w:val="006B78AE"/>
    <w:rsid w:val="006B7957"/>
    <w:rsid w:val="006B7A20"/>
    <w:rsid w:val="006B7C8C"/>
    <w:rsid w:val="006C0AB1"/>
    <w:rsid w:val="006C0D28"/>
    <w:rsid w:val="006C0FD7"/>
    <w:rsid w:val="006C17A3"/>
    <w:rsid w:val="006C1D09"/>
    <w:rsid w:val="006C1FE8"/>
    <w:rsid w:val="006C23A6"/>
    <w:rsid w:val="006C2E56"/>
    <w:rsid w:val="006C2F27"/>
    <w:rsid w:val="006C320D"/>
    <w:rsid w:val="006C3338"/>
    <w:rsid w:val="006C33F8"/>
    <w:rsid w:val="006C371E"/>
    <w:rsid w:val="006C391C"/>
    <w:rsid w:val="006C3EAA"/>
    <w:rsid w:val="006C3EB0"/>
    <w:rsid w:val="006C3F57"/>
    <w:rsid w:val="006C43DB"/>
    <w:rsid w:val="006C4652"/>
    <w:rsid w:val="006C4E62"/>
    <w:rsid w:val="006C5088"/>
    <w:rsid w:val="006C52B2"/>
    <w:rsid w:val="006C56FE"/>
    <w:rsid w:val="006C5A74"/>
    <w:rsid w:val="006C5DC6"/>
    <w:rsid w:val="006C5E0F"/>
    <w:rsid w:val="006C5E29"/>
    <w:rsid w:val="006C64D5"/>
    <w:rsid w:val="006C6937"/>
    <w:rsid w:val="006C6F1A"/>
    <w:rsid w:val="006C72C1"/>
    <w:rsid w:val="006C75AE"/>
    <w:rsid w:val="006C78C1"/>
    <w:rsid w:val="006C79EB"/>
    <w:rsid w:val="006C7BC5"/>
    <w:rsid w:val="006C7C08"/>
    <w:rsid w:val="006C7E13"/>
    <w:rsid w:val="006D0274"/>
    <w:rsid w:val="006D09BD"/>
    <w:rsid w:val="006D09E2"/>
    <w:rsid w:val="006D0A24"/>
    <w:rsid w:val="006D1223"/>
    <w:rsid w:val="006D1229"/>
    <w:rsid w:val="006D2044"/>
    <w:rsid w:val="006D272C"/>
    <w:rsid w:val="006D2B40"/>
    <w:rsid w:val="006D2CF3"/>
    <w:rsid w:val="006D31BC"/>
    <w:rsid w:val="006D3797"/>
    <w:rsid w:val="006D390E"/>
    <w:rsid w:val="006D3CBA"/>
    <w:rsid w:val="006D44A6"/>
    <w:rsid w:val="006D4746"/>
    <w:rsid w:val="006D4810"/>
    <w:rsid w:val="006D5312"/>
    <w:rsid w:val="006D5A1D"/>
    <w:rsid w:val="006D5B71"/>
    <w:rsid w:val="006D61E6"/>
    <w:rsid w:val="006D6435"/>
    <w:rsid w:val="006D672A"/>
    <w:rsid w:val="006D69D1"/>
    <w:rsid w:val="006D6F54"/>
    <w:rsid w:val="006D71E7"/>
    <w:rsid w:val="006D7D2C"/>
    <w:rsid w:val="006D7DE0"/>
    <w:rsid w:val="006D7FB6"/>
    <w:rsid w:val="006E0277"/>
    <w:rsid w:val="006E0CF9"/>
    <w:rsid w:val="006E1382"/>
    <w:rsid w:val="006E1D93"/>
    <w:rsid w:val="006E2628"/>
    <w:rsid w:val="006E272E"/>
    <w:rsid w:val="006E2AAB"/>
    <w:rsid w:val="006E2F88"/>
    <w:rsid w:val="006E3B63"/>
    <w:rsid w:val="006E3DF5"/>
    <w:rsid w:val="006E3FA2"/>
    <w:rsid w:val="006E4070"/>
    <w:rsid w:val="006E443E"/>
    <w:rsid w:val="006E4AE2"/>
    <w:rsid w:val="006E5594"/>
    <w:rsid w:val="006E5596"/>
    <w:rsid w:val="006E59AC"/>
    <w:rsid w:val="006E5D3D"/>
    <w:rsid w:val="006E5EED"/>
    <w:rsid w:val="006E66EF"/>
    <w:rsid w:val="006E672E"/>
    <w:rsid w:val="006E69D8"/>
    <w:rsid w:val="006E6D23"/>
    <w:rsid w:val="006E754A"/>
    <w:rsid w:val="006E7B27"/>
    <w:rsid w:val="006E7B8A"/>
    <w:rsid w:val="006E7C3C"/>
    <w:rsid w:val="006E7C43"/>
    <w:rsid w:val="006F05FF"/>
    <w:rsid w:val="006F0904"/>
    <w:rsid w:val="006F09D2"/>
    <w:rsid w:val="006F0CE5"/>
    <w:rsid w:val="006F1314"/>
    <w:rsid w:val="006F174F"/>
    <w:rsid w:val="006F2108"/>
    <w:rsid w:val="006F215C"/>
    <w:rsid w:val="006F2654"/>
    <w:rsid w:val="006F2EF6"/>
    <w:rsid w:val="006F3315"/>
    <w:rsid w:val="006F3B75"/>
    <w:rsid w:val="006F3FB9"/>
    <w:rsid w:val="006F4003"/>
    <w:rsid w:val="006F43D0"/>
    <w:rsid w:val="006F4428"/>
    <w:rsid w:val="006F52DC"/>
    <w:rsid w:val="006F5C29"/>
    <w:rsid w:val="006F6168"/>
    <w:rsid w:val="006F61C5"/>
    <w:rsid w:val="006F6505"/>
    <w:rsid w:val="006F6E76"/>
    <w:rsid w:val="006F6F12"/>
    <w:rsid w:val="006F717C"/>
    <w:rsid w:val="006F71F5"/>
    <w:rsid w:val="006F7BB1"/>
    <w:rsid w:val="006F7D27"/>
    <w:rsid w:val="006F7FA1"/>
    <w:rsid w:val="00700AA1"/>
    <w:rsid w:val="00700B2A"/>
    <w:rsid w:val="00700FBF"/>
    <w:rsid w:val="00701204"/>
    <w:rsid w:val="00701481"/>
    <w:rsid w:val="007016EB"/>
    <w:rsid w:val="007017E2"/>
    <w:rsid w:val="00701FE1"/>
    <w:rsid w:val="00702784"/>
    <w:rsid w:val="00702BE0"/>
    <w:rsid w:val="00702CE5"/>
    <w:rsid w:val="007033E2"/>
    <w:rsid w:val="00703F6A"/>
    <w:rsid w:val="0070477D"/>
    <w:rsid w:val="00704784"/>
    <w:rsid w:val="007047BC"/>
    <w:rsid w:val="0070493A"/>
    <w:rsid w:val="00704D24"/>
    <w:rsid w:val="00704D6E"/>
    <w:rsid w:val="00705E5B"/>
    <w:rsid w:val="00706397"/>
    <w:rsid w:val="00706475"/>
    <w:rsid w:val="00706509"/>
    <w:rsid w:val="00707AD2"/>
    <w:rsid w:val="00707C86"/>
    <w:rsid w:val="00707E1C"/>
    <w:rsid w:val="00710655"/>
    <w:rsid w:val="0071085B"/>
    <w:rsid w:val="00710867"/>
    <w:rsid w:val="00710929"/>
    <w:rsid w:val="00711073"/>
    <w:rsid w:val="007114E7"/>
    <w:rsid w:val="00711AF3"/>
    <w:rsid w:val="00711E86"/>
    <w:rsid w:val="00711F20"/>
    <w:rsid w:val="0071243B"/>
    <w:rsid w:val="007124F1"/>
    <w:rsid w:val="00712650"/>
    <w:rsid w:val="0071270A"/>
    <w:rsid w:val="00712D87"/>
    <w:rsid w:val="00712F72"/>
    <w:rsid w:val="00713467"/>
    <w:rsid w:val="0071396E"/>
    <w:rsid w:val="0071414F"/>
    <w:rsid w:val="00714BA0"/>
    <w:rsid w:val="00714CEE"/>
    <w:rsid w:val="00714E89"/>
    <w:rsid w:val="00715A86"/>
    <w:rsid w:val="0071691A"/>
    <w:rsid w:val="00716963"/>
    <w:rsid w:val="0071698D"/>
    <w:rsid w:val="00716B93"/>
    <w:rsid w:val="00716C27"/>
    <w:rsid w:val="00716EA1"/>
    <w:rsid w:val="00717BEB"/>
    <w:rsid w:val="00717C66"/>
    <w:rsid w:val="00717E54"/>
    <w:rsid w:val="00717F8E"/>
    <w:rsid w:val="00720029"/>
    <w:rsid w:val="00720092"/>
    <w:rsid w:val="007207E1"/>
    <w:rsid w:val="00720A49"/>
    <w:rsid w:val="00720D24"/>
    <w:rsid w:val="0072120D"/>
    <w:rsid w:val="00721A0E"/>
    <w:rsid w:val="00721B45"/>
    <w:rsid w:val="00722587"/>
    <w:rsid w:val="007229F1"/>
    <w:rsid w:val="007230B9"/>
    <w:rsid w:val="00723705"/>
    <w:rsid w:val="00723F7C"/>
    <w:rsid w:val="0072425A"/>
    <w:rsid w:val="007244BF"/>
    <w:rsid w:val="007248AC"/>
    <w:rsid w:val="0072502D"/>
    <w:rsid w:val="007254FC"/>
    <w:rsid w:val="00725739"/>
    <w:rsid w:val="00725830"/>
    <w:rsid w:val="0072630A"/>
    <w:rsid w:val="00726A51"/>
    <w:rsid w:val="00726F98"/>
    <w:rsid w:val="0072708E"/>
    <w:rsid w:val="007272D5"/>
    <w:rsid w:val="00727914"/>
    <w:rsid w:val="00727AC4"/>
    <w:rsid w:val="007300B3"/>
    <w:rsid w:val="007302F6"/>
    <w:rsid w:val="00730369"/>
    <w:rsid w:val="00730C3B"/>
    <w:rsid w:val="007313F2"/>
    <w:rsid w:val="0073152E"/>
    <w:rsid w:val="00731F26"/>
    <w:rsid w:val="00731F94"/>
    <w:rsid w:val="0073267F"/>
    <w:rsid w:val="00732839"/>
    <w:rsid w:val="007328F7"/>
    <w:rsid w:val="00732C8B"/>
    <w:rsid w:val="00733481"/>
    <w:rsid w:val="00733511"/>
    <w:rsid w:val="00733591"/>
    <w:rsid w:val="00733B76"/>
    <w:rsid w:val="00733ECE"/>
    <w:rsid w:val="0073454A"/>
    <w:rsid w:val="00734785"/>
    <w:rsid w:val="007348DB"/>
    <w:rsid w:val="00734D73"/>
    <w:rsid w:val="00734DA9"/>
    <w:rsid w:val="00735AB0"/>
    <w:rsid w:val="00736332"/>
    <w:rsid w:val="00736523"/>
    <w:rsid w:val="00736CEE"/>
    <w:rsid w:val="00737209"/>
    <w:rsid w:val="00737403"/>
    <w:rsid w:val="007414BD"/>
    <w:rsid w:val="00741822"/>
    <w:rsid w:val="00741886"/>
    <w:rsid w:val="007418F1"/>
    <w:rsid w:val="00741CB5"/>
    <w:rsid w:val="00742012"/>
    <w:rsid w:val="00742034"/>
    <w:rsid w:val="00742566"/>
    <w:rsid w:val="00742EB9"/>
    <w:rsid w:val="00743082"/>
    <w:rsid w:val="0074322E"/>
    <w:rsid w:val="00743744"/>
    <w:rsid w:val="00743F18"/>
    <w:rsid w:val="00744055"/>
    <w:rsid w:val="007442DD"/>
    <w:rsid w:val="007443C1"/>
    <w:rsid w:val="0074442A"/>
    <w:rsid w:val="007449F5"/>
    <w:rsid w:val="00744D35"/>
    <w:rsid w:val="0074571F"/>
    <w:rsid w:val="00745A45"/>
    <w:rsid w:val="00745BC9"/>
    <w:rsid w:val="00745CB3"/>
    <w:rsid w:val="00746192"/>
    <w:rsid w:val="00746496"/>
    <w:rsid w:val="00746537"/>
    <w:rsid w:val="007466A4"/>
    <w:rsid w:val="007466D3"/>
    <w:rsid w:val="00746B97"/>
    <w:rsid w:val="00746CA7"/>
    <w:rsid w:val="007470BA"/>
    <w:rsid w:val="007470C9"/>
    <w:rsid w:val="007470E3"/>
    <w:rsid w:val="00747208"/>
    <w:rsid w:val="0074764C"/>
    <w:rsid w:val="00747D7B"/>
    <w:rsid w:val="007500A5"/>
    <w:rsid w:val="0075074B"/>
    <w:rsid w:val="007508B9"/>
    <w:rsid w:val="0075091B"/>
    <w:rsid w:val="00750AA9"/>
    <w:rsid w:val="00750B87"/>
    <w:rsid w:val="00750CE9"/>
    <w:rsid w:val="00750EA5"/>
    <w:rsid w:val="007515EC"/>
    <w:rsid w:val="007516E8"/>
    <w:rsid w:val="00751EBA"/>
    <w:rsid w:val="00752232"/>
    <w:rsid w:val="007524E8"/>
    <w:rsid w:val="00752792"/>
    <w:rsid w:val="007527EB"/>
    <w:rsid w:val="0075282D"/>
    <w:rsid w:val="00752A72"/>
    <w:rsid w:val="00752B44"/>
    <w:rsid w:val="00752DC6"/>
    <w:rsid w:val="0075317F"/>
    <w:rsid w:val="00753304"/>
    <w:rsid w:val="00753682"/>
    <w:rsid w:val="007536A6"/>
    <w:rsid w:val="00753825"/>
    <w:rsid w:val="00753C2F"/>
    <w:rsid w:val="00753D35"/>
    <w:rsid w:val="007545F4"/>
    <w:rsid w:val="00754627"/>
    <w:rsid w:val="00754B24"/>
    <w:rsid w:val="00754E6E"/>
    <w:rsid w:val="00754FF6"/>
    <w:rsid w:val="00755A54"/>
    <w:rsid w:val="00755B71"/>
    <w:rsid w:val="00755B8B"/>
    <w:rsid w:val="007560CA"/>
    <w:rsid w:val="007563FD"/>
    <w:rsid w:val="00756764"/>
    <w:rsid w:val="007568D8"/>
    <w:rsid w:val="0075735C"/>
    <w:rsid w:val="007575F7"/>
    <w:rsid w:val="0075779E"/>
    <w:rsid w:val="00757898"/>
    <w:rsid w:val="00757DE9"/>
    <w:rsid w:val="00760148"/>
    <w:rsid w:val="007603AA"/>
    <w:rsid w:val="007603D0"/>
    <w:rsid w:val="007603DD"/>
    <w:rsid w:val="007606F1"/>
    <w:rsid w:val="00760D54"/>
    <w:rsid w:val="00760E8D"/>
    <w:rsid w:val="007612EB"/>
    <w:rsid w:val="007613FF"/>
    <w:rsid w:val="0076177D"/>
    <w:rsid w:val="00761981"/>
    <w:rsid w:val="00761B70"/>
    <w:rsid w:val="00761D61"/>
    <w:rsid w:val="0076210E"/>
    <w:rsid w:val="007623FC"/>
    <w:rsid w:val="007624DF"/>
    <w:rsid w:val="007624F3"/>
    <w:rsid w:val="00762AD2"/>
    <w:rsid w:val="007630F3"/>
    <w:rsid w:val="007632C8"/>
    <w:rsid w:val="00763500"/>
    <w:rsid w:val="00763827"/>
    <w:rsid w:val="0076451D"/>
    <w:rsid w:val="007657EA"/>
    <w:rsid w:val="007663D3"/>
    <w:rsid w:val="007664F0"/>
    <w:rsid w:val="007672D4"/>
    <w:rsid w:val="0076734C"/>
    <w:rsid w:val="00767989"/>
    <w:rsid w:val="00767D94"/>
    <w:rsid w:val="00767DA5"/>
    <w:rsid w:val="00767E49"/>
    <w:rsid w:val="007701B4"/>
    <w:rsid w:val="00770345"/>
    <w:rsid w:val="007705CC"/>
    <w:rsid w:val="00770865"/>
    <w:rsid w:val="00770C35"/>
    <w:rsid w:val="00770D5E"/>
    <w:rsid w:val="007710B7"/>
    <w:rsid w:val="00771303"/>
    <w:rsid w:val="0077158B"/>
    <w:rsid w:val="0077163E"/>
    <w:rsid w:val="007720CD"/>
    <w:rsid w:val="0077231C"/>
    <w:rsid w:val="00772DDE"/>
    <w:rsid w:val="00772FE7"/>
    <w:rsid w:val="0077302E"/>
    <w:rsid w:val="00773074"/>
    <w:rsid w:val="007742C9"/>
    <w:rsid w:val="007745B8"/>
    <w:rsid w:val="00774BD3"/>
    <w:rsid w:val="00774C6F"/>
    <w:rsid w:val="00775380"/>
    <w:rsid w:val="007753BE"/>
    <w:rsid w:val="00775502"/>
    <w:rsid w:val="00775B5C"/>
    <w:rsid w:val="00776B96"/>
    <w:rsid w:val="0077766F"/>
    <w:rsid w:val="00780758"/>
    <w:rsid w:val="0078168D"/>
    <w:rsid w:val="0078172D"/>
    <w:rsid w:val="00782744"/>
    <w:rsid w:val="0078279C"/>
    <w:rsid w:val="00782A40"/>
    <w:rsid w:val="00782C11"/>
    <w:rsid w:val="00782D13"/>
    <w:rsid w:val="00782F71"/>
    <w:rsid w:val="00783149"/>
    <w:rsid w:val="007832AB"/>
    <w:rsid w:val="0078340D"/>
    <w:rsid w:val="00783449"/>
    <w:rsid w:val="007835AB"/>
    <w:rsid w:val="00783675"/>
    <w:rsid w:val="00783676"/>
    <w:rsid w:val="00783FD8"/>
    <w:rsid w:val="007843D1"/>
    <w:rsid w:val="00784565"/>
    <w:rsid w:val="00784636"/>
    <w:rsid w:val="0078478D"/>
    <w:rsid w:val="00784823"/>
    <w:rsid w:val="00784B47"/>
    <w:rsid w:val="00784E67"/>
    <w:rsid w:val="00785232"/>
    <w:rsid w:val="00785635"/>
    <w:rsid w:val="007858E5"/>
    <w:rsid w:val="007865FB"/>
    <w:rsid w:val="00786A00"/>
    <w:rsid w:val="00786A91"/>
    <w:rsid w:val="00786DB7"/>
    <w:rsid w:val="00786F49"/>
    <w:rsid w:val="0078769D"/>
    <w:rsid w:val="00787AF6"/>
    <w:rsid w:val="007900AB"/>
    <w:rsid w:val="007902D2"/>
    <w:rsid w:val="0079034F"/>
    <w:rsid w:val="00790485"/>
    <w:rsid w:val="0079055C"/>
    <w:rsid w:val="00791ACB"/>
    <w:rsid w:val="00791CB8"/>
    <w:rsid w:val="0079263B"/>
    <w:rsid w:val="00792AA2"/>
    <w:rsid w:val="00792B81"/>
    <w:rsid w:val="00792C70"/>
    <w:rsid w:val="00792FF8"/>
    <w:rsid w:val="00793466"/>
    <w:rsid w:val="00793646"/>
    <w:rsid w:val="00793EB4"/>
    <w:rsid w:val="00794443"/>
    <w:rsid w:val="0079588F"/>
    <w:rsid w:val="007958D1"/>
    <w:rsid w:val="007959F8"/>
    <w:rsid w:val="00795ADA"/>
    <w:rsid w:val="00795CA2"/>
    <w:rsid w:val="00795D69"/>
    <w:rsid w:val="00795D70"/>
    <w:rsid w:val="00796109"/>
    <w:rsid w:val="00796327"/>
    <w:rsid w:val="007969DA"/>
    <w:rsid w:val="00796A6A"/>
    <w:rsid w:val="00796F46"/>
    <w:rsid w:val="007970C3"/>
    <w:rsid w:val="007A000A"/>
    <w:rsid w:val="007A0A56"/>
    <w:rsid w:val="007A0C18"/>
    <w:rsid w:val="007A0C7F"/>
    <w:rsid w:val="007A0D80"/>
    <w:rsid w:val="007A0F22"/>
    <w:rsid w:val="007A0F7A"/>
    <w:rsid w:val="007A14CB"/>
    <w:rsid w:val="007A16BC"/>
    <w:rsid w:val="007A17E8"/>
    <w:rsid w:val="007A1EC5"/>
    <w:rsid w:val="007A237A"/>
    <w:rsid w:val="007A280C"/>
    <w:rsid w:val="007A287C"/>
    <w:rsid w:val="007A294F"/>
    <w:rsid w:val="007A2A0F"/>
    <w:rsid w:val="007A2A80"/>
    <w:rsid w:val="007A2BA6"/>
    <w:rsid w:val="007A2C81"/>
    <w:rsid w:val="007A2E1A"/>
    <w:rsid w:val="007A2EA0"/>
    <w:rsid w:val="007A2FCE"/>
    <w:rsid w:val="007A3293"/>
    <w:rsid w:val="007A3365"/>
    <w:rsid w:val="007A3552"/>
    <w:rsid w:val="007A3591"/>
    <w:rsid w:val="007A35C4"/>
    <w:rsid w:val="007A35C7"/>
    <w:rsid w:val="007A3D6D"/>
    <w:rsid w:val="007A42A5"/>
    <w:rsid w:val="007A4423"/>
    <w:rsid w:val="007A467A"/>
    <w:rsid w:val="007A485C"/>
    <w:rsid w:val="007A5083"/>
    <w:rsid w:val="007A532D"/>
    <w:rsid w:val="007A53F4"/>
    <w:rsid w:val="007A54CB"/>
    <w:rsid w:val="007A5581"/>
    <w:rsid w:val="007A566B"/>
    <w:rsid w:val="007A68AB"/>
    <w:rsid w:val="007A6AC9"/>
    <w:rsid w:val="007A6C3D"/>
    <w:rsid w:val="007A71BD"/>
    <w:rsid w:val="007A72EA"/>
    <w:rsid w:val="007A7820"/>
    <w:rsid w:val="007B04F6"/>
    <w:rsid w:val="007B1023"/>
    <w:rsid w:val="007B1070"/>
    <w:rsid w:val="007B124F"/>
    <w:rsid w:val="007B1345"/>
    <w:rsid w:val="007B13BA"/>
    <w:rsid w:val="007B13D6"/>
    <w:rsid w:val="007B18C1"/>
    <w:rsid w:val="007B1974"/>
    <w:rsid w:val="007B2104"/>
    <w:rsid w:val="007B22A5"/>
    <w:rsid w:val="007B23A8"/>
    <w:rsid w:val="007B2574"/>
    <w:rsid w:val="007B2989"/>
    <w:rsid w:val="007B29E9"/>
    <w:rsid w:val="007B2F6D"/>
    <w:rsid w:val="007B32BD"/>
    <w:rsid w:val="007B379C"/>
    <w:rsid w:val="007B37E2"/>
    <w:rsid w:val="007B413D"/>
    <w:rsid w:val="007B4922"/>
    <w:rsid w:val="007B49B3"/>
    <w:rsid w:val="007B5070"/>
    <w:rsid w:val="007B5428"/>
    <w:rsid w:val="007B546E"/>
    <w:rsid w:val="007B56B7"/>
    <w:rsid w:val="007B581F"/>
    <w:rsid w:val="007B5894"/>
    <w:rsid w:val="007B5AE1"/>
    <w:rsid w:val="007B5CB6"/>
    <w:rsid w:val="007B5E5A"/>
    <w:rsid w:val="007B6060"/>
    <w:rsid w:val="007B62AA"/>
    <w:rsid w:val="007B6960"/>
    <w:rsid w:val="007B6D59"/>
    <w:rsid w:val="007B72F7"/>
    <w:rsid w:val="007B7BCC"/>
    <w:rsid w:val="007B7FF4"/>
    <w:rsid w:val="007C03ED"/>
    <w:rsid w:val="007C05A5"/>
    <w:rsid w:val="007C08CD"/>
    <w:rsid w:val="007C0AC1"/>
    <w:rsid w:val="007C0B43"/>
    <w:rsid w:val="007C0F7A"/>
    <w:rsid w:val="007C0FE1"/>
    <w:rsid w:val="007C1047"/>
    <w:rsid w:val="007C1454"/>
    <w:rsid w:val="007C14FF"/>
    <w:rsid w:val="007C1547"/>
    <w:rsid w:val="007C1BBA"/>
    <w:rsid w:val="007C1D38"/>
    <w:rsid w:val="007C1D46"/>
    <w:rsid w:val="007C1D9C"/>
    <w:rsid w:val="007C2434"/>
    <w:rsid w:val="007C24F3"/>
    <w:rsid w:val="007C26F9"/>
    <w:rsid w:val="007C2898"/>
    <w:rsid w:val="007C2E05"/>
    <w:rsid w:val="007C2E76"/>
    <w:rsid w:val="007C3478"/>
    <w:rsid w:val="007C34AF"/>
    <w:rsid w:val="007C35E2"/>
    <w:rsid w:val="007C3718"/>
    <w:rsid w:val="007C3A86"/>
    <w:rsid w:val="007C3B5F"/>
    <w:rsid w:val="007C3FCC"/>
    <w:rsid w:val="007C46AF"/>
    <w:rsid w:val="007C4A4F"/>
    <w:rsid w:val="007C5013"/>
    <w:rsid w:val="007C50B6"/>
    <w:rsid w:val="007C5444"/>
    <w:rsid w:val="007C619E"/>
    <w:rsid w:val="007C6445"/>
    <w:rsid w:val="007C6C1A"/>
    <w:rsid w:val="007C6C9E"/>
    <w:rsid w:val="007C6E4D"/>
    <w:rsid w:val="007C7268"/>
    <w:rsid w:val="007C7447"/>
    <w:rsid w:val="007C7730"/>
    <w:rsid w:val="007C797C"/>
    <w:rsid w:val="007D055D"/>
    <w:rsid w:val="007D069A"/>
    <w:rsid w:val="007D0B6D"/>
    <w:rsid w:val="007D0D76"/>
    <w:rsid w:val="007D10C6"/>
    <w:rsid w:val="007D1876"/>
    <w:rsid w:val="007D1EA0"/>
    <w:rsid w:val="007D23D7"/>
    <w:rsid w:val="007D2742"/>
    <w:rsid w:val="007D393C"/>
    <w:rsid w:val="007D3AE4"/>
    <w:rsid w:val="007D3F6D"/>
    <w:rsid w:val="007D43EF"/>
    <w:rsid w:val="007D4478"/>
    <w:rsid w:val="007D4632"/>
    <w:rsid w:val="007D480B"/>
    <w:rsid w:val="007D4B35"/>
    <w:rsid w:val="007D4C68"/>
    <w:rsid w:val="007D4E63"/>
    <w:rsid w:val="007D51F6"/>
    <w:rsid w:val="007D5257"/>
    <w:rsid w:val="007D5328"/>
    <w:rsid w:val="007D5771"/>
    <w:rsid w:val="007D5CE0"/>
    <w:rsid w:val="007D635C"/>
    <w:rsid w:val="007D6553"/>
    <w:rsid w:val="007D6722"/>
    <w:rsid w:val="007D6FD8"/>
    <w:rsid w:val="007D720C"/>
    <w:rsid w:val="007D7775"/>
    <w:rsid w:val="007D7BBD"/>
    <w:rsid w:val="007E044F"/>
    <w:rsid w:val="007E0990"/>
    <w:rsid w:val="007E0B5F"/>
    <w:rsid w:val="007E0D1E"/>
    <w:rsid w:val="007E1147"/>
    <w:rsid w:val="007E1275"/>
    <w:rsid w:val="007E1781"/>
    <w:rsid w:val="007E1B8B"/>
    <w:rsid w:val="007E1DB2"/>
    <w:rsid w:val="007E1DB9"/>
    <w:rsid w:val="007E1DDA"/>
    <w:rsid w:val="007E1F51"/>
    <w:rsid w:val="007E2289"/>
    <w:rsid w:val="007E2535"/>
    <w:rsid w:val="007E25C0"/>
    <w:rsid w:val="007E2700"/>
    <w:rsid w:val="007E2F37"/>
    <w:rsid w:val="007E335A"/>
    <w:rsid w:val="007E3782"/>
    <w:rsid w:val="007E52D3"/>
    <w:rsid w:val="007E56FE"/>
    <w:rsid w:val="007E5962"/>
    <w:rsid w:val="007E64B8"/>
    <w:rsid w:val="007E66A2"/>
    <w:rsid w:val="007E6911"/>
    <w:rsid w:val="007E6F88"/>
    <w:rsid w:val="007E7176"/>
    <w:rsid w:val="007E793D"/>
    <w:rsid w:val="007E7FE9"/>
    <w:rsid w:val="007F0931"/>
    <w:rsid w:val="007F14FA"/>
    <w:rsid w:val="007F1EA6"/>
    <w:rsid w:val="007F1F73"/>
    <w:rsid w:val="007F2420"/>
    <w:rsid w:val="007F259C"/>
    <w:rsid w:val="007F330C"/>
    <w:rsid w:val="007F347A"/>
    <w:rsid w:val="007F38CD"/>
    <w:rsid w:val="007F39D1"/>
    <w:rsid w:val="007F4B39"/>
    <w:rsid w:val="007F4C08"/>
    <w:rsid w:val="007F4DEE"/>
    <w:rsid w:val="007F53D2"/>
    <w:rsid w:val="007F5959"/>
    <w:rsid w:val="007F5A48"/>
    <w:rsid w:val="007F5D8E"/>
    <w:rsid w:val="007F6ADC"/>
    <w:rsid w:val="007F6E13"/>
    <w:rsid w:val="007F6FAD"/>
    <w:rsid w:val="007F7240"/>
    <w:rsid w:val="007F763F"/>
    <w:rsid w:val="0080068A"/>
    <w:rsid w:val="0080086F"/>
    <w:rsid w:val="00800BD7"/>
    <w:rsid w:val="00800C5C"/>
    <w:rsid w:val="00800F3C"/>
    <w:rsid w:val="00801400"/>
    <w:rsid w:val="0080201A"/>
    <w:rsid w:val="008023B0"/>
    <w:rsid w:val="00802D7D"/>
    <w:rsid w:val="00803025"/>
    <w:rsid w:val="008033D8"/>
    <w:rsid w:val="0080354C"/>
    <w:rsid w:val="0080354D"/>
    <w:rsid w:val="0080394A"/>
    <w:rsid w:val="00803FDB"/>
    <w:rsid w:val="00804677"/>
    <w:rsid w:val="008047FE"/>
    <w:rsid w:val="00804BDE"/>
    <w:rsid w:val="00804C75"/>
    <w:rsid w:val="00804F8F"/>
    <w:rsid w:val="0080530A"/>
    <w:rsid w:val="0080593B"/>
    <w:rsid w:val="008059EB"/>
    <w:rsid w:val="00806774"/>
    <w:rsid w:val="008068CE"/>
    <w:rsid w:val="00806B4E"/>
    <w:rsid w:val="00806E32"/>
    <w:rsid w:val="00807045"/>
    <w:rsid w:val="00807128"/>
    <w:rsid w:val="008071F9"/>
    <w:rsid w:val="008078A1"/>
    <w:rsid w:val="008078F9"/>
    <w:rsid w:val="00807D68"/>
    <w:rsid w:val="00807D88"/>
    <w:rsid w:val="00810764"/>
    <w:rsid w:val="00810968"/>
    <w:rsid w:val="00810D1F"/>
    <w:rsid w:val="00810EA2"/>
    <w:rsid w:val="00811644"/>
    <w:rsid w:val="0081164D"/>
    <w:rsid w:val="00811712"/>
    <w:rsid w:val="008117AF"/>
    <w:rsid w:val="008117BE"/>
    <w:rsid w:val="0081224C"/>
    <w:rsid w:val="008125CA"/>
    <w:rsid w:val="008128AC"/>
    <w:rsid w:val="008129A9"/>
    <w:rsid w:val="00812A47"/>
    <w:rsid w:val="0081352B"/>
    <w:rsid w:val="008136C2"/>
    <w:rsid w:val="008136E6"/>
    <w:rsid w:val="008138D6"/>
    <w:rsid w:val="00813CF4"/>
    <w:rsid w:val="00813D63"/>
    <w:rsid w:val="00813F7C"/>
    <w:rsid w:val="00814CC6"/>
    <w:rsid w:val="00814DE8"/>
    <w:rsid w:val="008159AF"/>
    <w:rsid w:val="00816066"/>
    <w:rsid w:val="0081625B"/>
    <w:rsid w:val="0081646F"/>
    <w:rsid w:val="0081648A"/>
    <w:rsid w:val="00816520"/>
    <w:rsid w:val="008167AC"/>
    <w:rsid w:val="00816FAD"/>
    <w:rsid w:val="00817283"/>
    <w:rsid w:val="008175D1"/>
    <w:rsid w:val="00817D27"/>
    <w:rsid w:val="008201BE"/>
    <w:rsid w:val="008202BB"/>
    <w:rsid w:val="00820B59"/>
    <w:rsid w:val="00820CA2"/>
    <w:rsid w:val="00820ECE"/>
    <w:rsid w:val="00820FF2"/>
    <w:rsid w:val="00821156"/>
    <w:rsid w:val="0082186F"/>
    <w:rsid w:val="00821F73"/>
    <w:rsid w:val="00822313"/>
    <w:rsid w:val="008223E3"/>
    <w:rsid w:val="00822562"/>
    <w:rsid w:val="00822B84"/>
    <w:rsid w:val="00822ED3"/>
    <w:rsid w:val="008232DC"/>
    <w:rsid w:val="00823DAD"/>
    <w:rsid w:val="00823FDF"/>
    <w:rsid w:val="0082413E"/>
    <w:rsid w:val="00824543"/>
    <w:rsid w:val="00824891"/>
    <w:rsid w:val="008248B3"/>
    <w:rsid w:val="00824F39"/>
    <w:rsid w:val="00824F6A"/>
    <w:rsid w:val="008251D6"/>
    <w:rsid w:val="00825582"/>
    <w:rsid w:val="00825E75"/>
    <w:rsid w:val="00825FD1"/>
    <w:rsid w:val="00826392"/>
    <w:rsid w:val="0082640C"/>
    <w:rsid w:val="008264BE"/>
    <w:rsid w:val="00826AE9"/>
    <w:rsid w:val="008270A1"/>
    <w:rsid w:val="008270DB"/>
    <w:rsid w:val="00827452"/>
    <w:rsid w:val="008274B4"/>
    <w:rsid w:val="00827A16"/>
    <w:rsid w:val="00830206"/>
    <w:rsid w:val="00830662"/>
    <w:rsid w:val="0083083B"/>
    <w:rsid w:val="00831152"/>
    <w:rsid w:val="00831353"/>
    <w:rsid w:val="00831576"/>
    <w:rsid w:val="008315C4"/>
    <w:rsid w:val="00831813"/>
    <w:rsid w:val="00831832"/>
    <w:rsid w:val="00832073"/>
    <w:rsid w:val="0083225A"/>
    <w:rsid w:val="00832281"/>
    <w:rsid w:val="00832322"/>
    <w:rsid w:val="008325E4"/>
    <w:rsid w:val="00832931"/>
    <w:rsid w:val="00832985"/>
    <w:rsid w:val="00832B22"/>
    <w:rsid w:val="00833297"/>
    <w:rsid w:val="00833494"/>
    <w:rsid w:val="008337B8"/>
    <w:rsid w:val="008339D9"/>
    <w:rsid w:val="00833A63"/>
    <w:rsid w:val="00833D9B"/>
    <w:rsid w:val="00833FCE"/>
    <w:rsid w:val="008350F4"/>
    <w:rsid w:val="00835E3D"/>
    <w:rsid w:val="00835E89"/>
    <w:rsid w:val="008365F7"/>
    <w:rsid w:val="00836DB1"/>
    <w:rsid w:val="008370AB"/>
    <w:rsid w:val="0083765E"/>
    <w:rsid w:val="00837863"/>
    <w:rsid w:val="00837FE4"/>
    <w:rsid w:val="00840273"/>
    <w:rsid w:val="00840585"/>
    <w:rsid w:val="00840A7E"/>
    <w:rsid w:val="00840EB9"/>
    <w:rsid w:val="00841011"/>
    <w:rsid w:val="00841593"/>
    <w:rsid w:val="00841735"/>
    <w:rsid w:val="008420AF"/>
    <w:rsid w:val="00842146"/>
    <w:rsid w:val="0084227E"/>
    <w:rsid w:val="008424A4"/>
    <w:rsid w:val="008427A0"/>
    <w:rsid w:val="00842E17"/>
    <w:rsid w:val="00843067"/>
    <w:rsid w:val="00843612"/>
    <w:rsid w:val="00843870"/>
    <w:rsid w:val="00843B59"/>
    <w:rsid w:val="0084466B"/>
    <w:rsid w:val="00844F95"/>
    <w:rsid w:val="0084512E"/>
    <w:rsid w:val="00845731"/>
    <w:rsid w:val="00845830"/>
    <w:rsid w:val="008461D5"/>
    <w:rsid w:val="00846288"/>
    <w:rsid w:val="00846C1A"/>
    <w:rsid w:val="00847BF1"/>
    <w:rsid w:val="00847C6F"/>
    <w:rsid w:val="0085011B"/>
    <w:rsid w:val="008502B5"/>
    <w:rsid w:val="008502E6"/>
    <w:rsid w:val="0085045F"/>
    <w:rsid w:val="00850DAB"/>
    <w:rsid w:val="008511D9"/>
    <w:rsid w:val="00851305"/>
    <w:rsid w:val="008514A4"/>
    <w:rsid w:val="00851AE0"/>
    <w:rsid w:val="00851B3F"/>
    <w:rsid w:val="00851DE4"/>
    <w:rsid w:val="0085235D"/>
    <w:rsid w:val="00852816"/>
    <w:rsid w:val="00852F9D"/>
    <w:rsid w:val="00853505"/>
    <w:rsid w:val="00853682"/>
    <w:rsid w:val="00853730"/>
    <w:rsid w:val="00853859"/>
    <w:rsid w:val="00853B34"/>
    <w:rsid w:val="00853D5C"/>
    <w:rsid w:val="00853EA5"/>
    <w:rsid w:val="0085422B"/>
    <w:rsid w:val="008547A3"/>
    <w:rsid w:val="00854ADC"/>
    <w:rsid w:val="0085506E"/>
    <w:rsid w:val="0085587E"/>
    <w:rsid w:val="008558B7"/>
    <w:rsid w:val="00855B69"/>
    <w:rsid w:val="008560FA"/>
    <w:rsid w:val="00856226"/>
    <w:rsid w:val="008562A9"/>
    <w:rsid w:val="008563D9"/>
    <w:rsid w:val="00856486"/>
    <w:rsid w:val="008566D9"/>
    <w:rsid w:val="0085671A"/>
    <w:rsid w:val="008567F7"/>
    <w:rsid w:val="00856B79"/>
    <w:rsid w:val="00856B99"/>
    <w:rsid w:val="00856CAB"/>
    <w:rsid w:val="008570E1"/>
    <w:rsid w:val="0085730F"/>
    <w:rsid w:val="008579EA"/>
    <w:rsid w:val="00857EFB"/>
    <w:rsid w:val="008608E7"/>
    <w:rsid w:val="00860B1D"/>
    <w:rsid w:val="00860BA0"/>
    <w:rsid w:val="00860EA6"/>
    <w:rsid w:val="00861015"/>
    <w:rsid w:val="008612A9"/>
    <w:rsid w:val="008612F9"/>
    <w:rsid w:val="00861688"/>
    <w:rsid w:val="00861934"/>
    <w:rsid w:val="00862105"/>
    <w:rsid w:val="008623CE"/>
    <w:rsid w:val="00862930"/>
    <w:rsid w:val="00862F01"/>
    <w:rsid w:val="00862FD5"/>
    <w:rsid w:val="00863343"/>
    <w:rsid w:val="00863612"/>
    <w:rsid w:val="00863EC8"/>
    <w:rsid w:val="008640AF"/>
    <w:rsid w:val="00864189"/>
    <w:rsid w:val="008644B6"/>
    <w:rsid w:val="008646F3"/>
    <w:rsid w:val="00864750"/>
    <w:rsid w:val="00864B37"/>
    <w:rsid w:val="00865373"/>
    <w:rsid w:val="00865567"/>
    <w:rsid w:val="0086618D"/>
    <w:rsid w:val="00866328"/>
    <w:rsid w:val="0086676B"/>
    <w:rsid w:val="008676EC"/>
    <w:rsid w:val="00867D52"/>
    <w:rsid w:val="00870732"/>
    <w:rsid w:val="0087124F"/>
    <w:rsid w:val="0087172B"/>
    <w:rsid w:val="008719B9"/>
    <w:rsid w:val="00871C98"/>
    <w:rsid w:val="00871E5D"/>
    <w:rsid w:val="008724E7"/>
    <w:rsid w:val="00872909"/>
    <w:rsid w:val="00872991"/>
    <w:rsid w:val="008734E4"/>
    <w:rsid w:val="0087373C"/>
    <w:rsid w:val="00873830"/>
    <w:rsid w:val="00874170"/>
    <w:rsid w:val="00874A1C"/>
    <w:rsid w:val="00874AC8"/>
    <w:rsid w:val="00874D73"/>
    <w:rsid w:val="00874E9A"/>
    <w:rsid w:val="00875265"/>
    <w:rsid w:val="0087530F"/>
    <w:rsid w:val="00875449"/>
    <w:rsid w:val="0087582C"/>
    <w:rsid w:val="00875D58"/>
    <w:rsid w:val="00875D64"/>
    <w:rsid w:val="00875EE5"/>
    <w:rsid w:val="008760C9"/>
    <w:rsid w:val="00876113"/>
    <w:rsid w:val="00876257"/>
    <w:rsid w:val="00876294"/>
    <w:rsid w:val="008766CA"/>
    <w:rsid w:val="008768B3"/>
    <w:rsid w:val="00876B49"/>
    <w:rsid w:val="00877226"/>
    <w:rsid w:val="00877252"/>
    <w:rsid w:val="008779AC"/>
    <w:rsid w:val="00877AB8"/>
    <w:rsid w:val="00877E2A"/>
    <w:rsid w:val="008801EA"/>
    <w:rsid w:val="008803D5"/>
    <w:rsid w:val="00880B28"/>
    <w:rsid w:val="00880BFF"/>
    <w:rsid w:val="00880D10"/>
    <w:rsid w:val="00881705"/>
    <w:rsid w:val="008821F8"/>
    <w:rsid w:val="00882D21"/>
    <w:rsid w:val="00883266"/>
    <w:rsid w:val="00883297"/>
    <w:rsid w:val="008838C7"/>
    <w:rsid w:val="00883989"/>
    <w:rsid w:val="00883A78"/>
    <w:rsid w:val="00883BF0"/>
    <w:rsid w:val="00884021"/>
    <w:rsid w:val="0088418A"/>
    <w:rsid w:val="0088446A"/>
    <w:rsid w:val="00884610"/>
    <w:rsid w:val="008849EA"/>
    <w:rsid w:val="00884F54"/>
    <w:rsid w:val="0088500F"/>
    <w:rsid w:val="0088525B"/>
    <w:rsid w:val="008852C0"/>
    <w:rsid w:val="008853F7"/>
    <w:rsid w:val="0088560E"/>
    <w:rsid w:val="00885A48"/>
    <w:rsid w:val="008866A7"/>
    <w:rsid w:val="00886865"/>
    <w:rsid w:val="00886E3B"/>
    <w:rsid w:val="0088717C"/>
    <w:rsid w:val="008907A0"/>
    <w:rsid w:val="00890900"/>
    <w:rsid w:val="00890960"/>
    <w:rsid w:val="0089096D"/>
    <w:rsid w:val="00890D11"/>
    <w:rsid w:val="008911A1"/>
    <w:rsid w:val="008915CA"/>
    <w:rsid w:val="00891B51"/>
    <w:rsid w:val="00891CE1"/>
    <w:rsid w:val="00891CE9"/>
    <w:rsid w:val="008920D1"/>
    <w:rsid w:val="00892160"/>
    <w:rsid w:val="008921F7"/>
    <w:rsid w:val="008922D7"/>
    <w:rsid w:val="008923A9"/>
    <w:rsid w:val="008924C2"/>
    <w:rsid w:val="00892610"/>
    <w:rsid w:val="008926B4"/>
    <w:rsid w:val="00892939"/>
    <w:rsid w:val="00892CDB"/>
    <w:rsid w:val="008938ED"/>
    <w:rsid w:val="00893FF2"/>
    <w:rsid w:val="008941AA"/>
    <w:rsid w:val="0089444F"/>
    <w:rsid w:val="00894622"/>
    <w:rsid w:val="00894805"/>
    <w:rsid w:val="00894D83"/>
    <w:rsid w:val="00894EE0"/>
    <w:rsid w:val="008955C7"/>
    <w:rsid w:val="00895DC9"/>
    <w:rsid w:val="008962EF"/>
    <w:rsid w:val="00896395"/>
    <w:rsid w:val="00896BF6"/>
    <w:rsid w:val="00896E1F"/>
    <w:rsid w:val="00897091"/>
    <w:rsid w:val="00897220"/>
    <w:rsid w:val="00897468"/>
    <w:rsid w:val="0089769E"/>
    <w:rsid w:val="00897895"/>
    <w:rsid w:val="00897B4A"/>
    <w:rsid w:val="00897E15"/>
    <w:rsid w:val="00897E49"/>
    <w:rsid w:val="008A022C"/>
    <w:rsid w:val="008A052D"/>
    <w:rsid w:val="008A0D1C"/>
    <w:rsid w:val="008A0DA2"/>
    <w:rsid w:val="008A1136"/>
    <w:rsid w:val="008A1E70"/>
    <w:rsid w:val="008A1F5C"/>
    <w:rsid w:val="008A24C3"/>
    <w:rsid w:val="008A272B"/>
    <w:rsid w:val="008A2AF9"/>
    <w:rsid w:val="008A2B26"/>
    <w:rsid w:val="008A2CD9"/>
    <w:rsid w:val="008A2E17"/>
    <w:rsid w:val="008A3284"/>
    <w:rsid w:val="008A36C2"/>
    <w:rsid w:val="008A469F"/>
    <w:rsid w:val="008A4A09"/>
    <w:rsid w:val="008A501F"/>
    <w:rsid w:val="008A535D"/>
    <w:rsid w:val="008A53AF"/>
    <w:rsid w:val="008A593F"/>
    <w:rsid w:val="008A5DAA"/>
    <w:rsid w:val="008A61CF"/>
    <w:rsid w:val="008A71BA"/>
    <w:rsid w:val="008A7570"/>
    <w:rsid w:val="008A7BC7"/>
    <w:rsid w:val="008B017B"/>
    <w:rsid w:val="008B16E7"/>
    <w:rsid w:val="008B173C"/>
    <w:rsid w:val="008B2037"/>
    <w:rsid w:val="008B2242"/>
    <w:rsid w:val="008B23D0"/>
    <w:rsid w:val="008B2434"/>
    <w:rsid w:val="008B2567"/>
    <w:rsid w:val="008B26E5"/>
    <w:rsid w:val="008B2844"/>
    <w:rsid w:val="008B2A7F"/>
    <w:rsid w:val="008B2D84"/>
    <w:rsid w:val="008B384A"/>
    <w:rsid w:val="008B3CAA"/>
    <w:rsid w:val="008B4013"/>
    <w:rsid w:val="008B4978"/>
    <w:rsid w:val="008B50C6"/>
    <w:rsid w:val="008B51DD"/>
    <w:rsid w:val="008B5662"/>
    <w:rsid w:val="008B57CF"/>
    <w:rsid w:val="008B583A"/>
    <w:rsid w:val="008B5939"/>
    <w:rsid w:val="008B593F"/>
    <w:rsid w:val="008B5E86"/>
    <w:rsid w:val="008B5F23"/>
    <w:rsid w:val="008B612F"/>
    <w:rsid w:val="008B6641"/>
    <w:rsid w:val="008B6764"/>
    <w:rsid w:val="008B6850"/>
    <w:rsid w:val="008B69B3"/>
    <w:rsid w:val="008B6FED"/>
    <w:rsid w:val="008B726A"/>
    <w:rsid w:val="008B783C"/>
    <w:rsid w:val="008B7BFD"/>
    <w:rsid w:val="008C03CA"/>
    <w:rsid w:val="008C05BF"/>
    <w:rsid w:val="008C0709"/>
    <w:rsid w:val="008C10BF"/>
    <w:rsid w:val="008C1490"/>
    <w:rsid w:val="008C1593"/>
    <w:rsid w:val="008C16B5"/>
    <w:rsid w:val="008C186D"/>
    <w:rsid w:val="008C1CC8"/>
    <w:rsid w:val="008C201D"/>
    <w:rsid w:val="008C224C"/>
    <w:rsid w:val="008C2BA1"/>
    <w:rsid w:val="008C31FB"/>
    <w:rsid w:val="008C3393"/>
    <w:rsid w:val="008C3A9B"/>
    <w:rsid w:val="008C3EA8"/>
    <w:rsid w:val="008C418B"/>
    <w:rsid w:val="008C45B5"/>
    <w:rsid w:val="008C4DE9"/>
    <w:rsid w:val="008C4FD2"/>
    <w:rsid w:val="008C5026"/>
    <w:rsid w:val="008C5038"/>
    <w:rsid w:val="008C53F1"/>
    <w:rsid w:val="008C59A2"/>
    <w:rsid w:val="008C702E"/>
    <w:rsid w:val="008C71CC"/>
    <w:rsid w:val="008C7D7E"/>
    <w:rsid w:val="008D04B5"/>
    <w:rsid w:val="008D0650"/>
    <w:rsid w:val="008D07A2"/>
    <w:rsid w:val="008D0C39"/>
    <w:rsid w:val="008D0D2D"/>
    <w:rsid w:val="008D1148"/>
    <w:rsid w:val="008D22AF"/>
    <w:rsid w:val="008D24A3"/>
    <w:rsid w:val="008D27C4"/>
    <w:rsid w:val="008D2C39"/>
    <w:rsid w:val="008D3310"/>
    <w:rsid w:val="008D339D"/>
    <w:rsid w:val="008D3B98"/>
    <w:rsid w:val="008D3EDC"/>
    <w:rsid w:val="008D43AB"/>
    <w:rsid w:val="008D4488"/>
    <w:rsid w:val="008D4532"/>
    <w:rsid w:val="008D45CA"/>
    <w:rsid w:val="008D4BA7"/>
    <w:rsid w:val="008D5511"/>
    <w:rsid w:val="008D5555"/>
    <w:rsid w:val="008D5D8E"/>
    <w:rsid w:val="008D5DAB"/>
    <w:rsid w:val="008D5FB7"/>
    <w:rsid w:val="008D630A"/>
    <w:rsid w:val="008D66D5"/>
    <w:rsid w:val="008D682A"/>
    <w:rsid w:val="008D6943"/>
    <w:rsid w:val="008D6AA5"/>
    <w:rsid w:val="008D6F1A"/>
    <w:rsid w:val="008D6F32"/>
    <w:rsid w:val="008D705E"/>
    <w:rsid w:val="008D7102"/>
    <w:rsid w:val="008D71E3"/>
    <w:rsid w:val="008D7831"/>
    <w:rsid w:val="008D7CEE"/>
    <w:rsid w:val="008D7E26"/>
    <w:rsid w:val="008E0B55"/>
    <w:rsid w:val="008E14C5"/>
    <w:rsid w:val="008E1690"/>
    <w:rsid w:val="008E23D2"/>
    <w:rsid w:val="008E2767"/>
    <w:rsid w:val="008E293B"/>
    <w:rsid w:val="008E2CE6"/>
    <w:rsid w:val="008E3128"/>
    <w:rsid w:val="008E313A"/>
    <w:rsid w:val="008E370D"/>
    <w:rsid w:val="008E4110"/>
    <w:rsid w:val="008E43AD"/>
    <w:rsid w:val="008E4831"/>
    <w:rsid w:val="008E4A23"/>
    <w:rsid w:val="008E4F01"/>
    <w:rsid w:val="008E5666"/>
    <w:rsid w:val="008E5797"/>
    <w:rsid w:val="008E57C2"/>
    <w:rsid w:val="008E5E40"/>
    <w:rsid w:val="008E5FB6"/>
    <w:rsid w:val="008E62C7"/>
    <w:rsid w:val="008E658F"/>
    <w:rsid w:val="008E661D"/>
    <w:rsid w:val="008E7369"/>
    <w:rsid w:val="008E7CF3"/>
    <w:rsid w:val="008E7EFE"/>
    <w:rsid w:val="008F0020"/>
    <w:rsid w:val="008F003E"/>
    <w:rsid w:val="008F055F"/>
    <w:rsid w:val="008F0710"/>
    <w:rsid w:val="008F0973"/>
    <w:rsid w:val="008F1B47"/>
    <w:rsid w:val="008F1D2F"/>
    <w:rsid w:val="008F1E41"/>
    <w:rsid w:val="008F20BA"/>
    <w:rsid w:val="008F21DD"/>
    <w:rsid w:val="008F2285"/>
    <w:rsid w:val="008F2E04"/>
    <w:rsid w:val="008F2F58"/>
    <w:rsid w:val="008F318F"/>
    <w:rsid w:val="008F364D"/>
    <w:rsid w:val="008F37BB"/>
    <w:rsid w:val="008F38E6"/>
    <w:rsid w:val="008F3C60"/>
    <w:rsid w:val="008F41A7"/>
    <w:rsid w:val="008F4257"/>
    <w:rsid w:val="008F4895"/>
    <w:rsid w:val="008F4BF2"/>
    <w:rsid w:val="008F4DC6"/>
    <w:rsid w:val="008F5D16"/>
    <w:rsid w:val="008F619F"/>
    <w:rsid w:val="008F62F8"/>
    <w:rsid w:val="008F6354"/>
    <w:rsid w:val="008F63FD"/>
    <w:rsid w:val="008F652C"/>
    <w:rsid w:val="008F65E7"/>
    <w:rsid w:val="008F689B"/>
    <w:rsid w:val="008F6A1E"/>
    <w:rsid w:val="008F7924"/>
    <w:rsid w:val="009006C5"/>
    <w:rsid w:val="00900B3F"/>
    <w:rsid w:val="00900FFB"/>
    <w:rsid w:val="00901052"/>
    <w:rsid w:val="00901057"/>
    <w:rsid w:val="00901494"/>
    <w:rsid w:val="00901AB3"/>
    <w:rsid w:val="00901AC7"/>
    <w:rsid w:val="00902236"/>
    <w:rsid w:val="00902430"/>
    <w:rsid w:val="0090254A"/>
    <w:rsid w:val="0090267E"/>
    <w:rsid w:val="00902B8D"/>
    <w:rsid w:val="00903330"/>
    <w:rsid w:val="00903722"/>
    <w:rsid w:val="00903C2A"/>
    <w:rsid w:val="00903E58"/>
    <w:rsid w:val="00903E8E"/>
    <w:rsid w:val="00903FE0"/>
    <w:rsid w:val="00904329"/>
    <w:rsid w:val="0090456D"/>
    <w:rsid w:val="0090462E"/>
    <w:rsid w:val="00904BFA"/>
    <w:rsid w:val="00904CDC"/>
    <w:rsid w:val="00904EEF"/>
    <w:rsid w:val="00904F8B"/>
    <w:rsid w:val="00905035"/>
    <w:rsid w:val="0090555C"/>
    <w:rsid w:val="0090622D"/>
    <w:rsid w:val="00906402"/>
    <w:rsid w:val="00906599"/>
    <w:rsid w:val="00906B61"/>
    <w:rsid w:val="00906CCE"/>
    <w:rsid w:val="00907261"/>
    <w:rsid w:val="009072E9"/>
    <w:rsid w:val="00907C93"/>
    <w:rsid w:val="00907E0D"/>
    <w:rsid w:val="009100D7"/>
    <w:rsid w:val="00910B3B"/>
    <w:rsid w:val="0091164B"/>
    <w:rsid w:val="0091205B"/>
    <w:rsid w:val="0091207A"/>
    <w:rsid w:val="0091221B"/>
    <w:rsid w:val="00912295"/>
    <w:rsid w:val="00912309"/>
    <w:rsid w:val="0091254D"/>
    <w:rsid w:val="00912900"/>
    <w:rsid w:val="00912A7B"/>
    <w:rsid w:val="00912CC3"/>
    <w:rsid w:val="00912EF3"/>
    <w:rsid w:val="0091344B"/>
    <w:rsid w:val="0091345F"/>
    <w:rsid w:val="00913942"/>
    <w:rsid w:val="00913994"/>
    <w:rsid w:val="00913AB8"/>
    <w:rsid w:val="00913AFE"/>
    <w:rsid w:val="00913D12"/>
    <w:rsid w:val="00913F55"/>
    <w:rsid w:val="009141AE"/>
    <w:rsid w:val="00914304"/>
    <w:rsid w:val="00914564"/>
    <w:rsid w:val="00914750"/>
    <w:rsid w:val="0091475D"/>
    <w:rsid w:val="00914B87"/>
    <w:rsid w:val="0091503A"/>
    <w:rsid w:val="00915448"/>
    <w:rsid w:val="009155F8"/>
    <w:rsid w:val="00915ABC"/>
    <w:rsid w:val="00915D3B"/>
    <w:rsid w:val="00915D9A"/>
    <w:rsid w:val="00916196"/>
    <w:rsid w:val="00916284"/>
    <w:rsid w:val="0091704C"/>
    <w:rsid w:val="009176EE"/>
    <w:rsid w:val="00917C71"/>
    <w:rsid w:val="00917DA5"/>
    <w:rsid w:val="009204AB"/>
    <w:rsid w:val="009208F1"/>
    <w:rsid w:val="00920C0A"/>
    <w:rsid w:val="00920C3B"/>
    <w:rsid w:val="00920FA8"/>
    <w:rsid w:val="00921FBE"/>
    <w:rsid w:val="0092233C"/>
    <w:rsid w:val="00922866"/>
    <w:rsid w:val="0092325D"/>
    <w:rsid w:val="0092346B"/>
    <w:rsid w:val="009236BE"/>
    <w:rsid w:val="00923747"/>
    <w:rsid w:val="00923984"/>
    <w:rsid w:val="00923C78"/>
    <w:rsid w:val="00923D6F"/>
    <w:rsid w:val="00924317"/>
    <w:rsid w:val="00924605"/>
    <w:rsid w:val="00924B6C"/>
    <w:rsid w:val="00924EA2"/>
    <w:rsid w:val="009250F3"/>
    <w:rsid w:val="00925C7A"/>
    <w:rsid w:val="00925D4F"/>
    <w:rsid w:val="00926911"/>
    <w:rsid w:val="00926CBA"/>
    <w:rsid w:val="00926D5B"/>
    <w:rsid w:val="00926EA8"/>
    <w:rsid w:val="00927090"/>
    <w:rsid w:val="009271A0"/>
    <w:rsid w:val="009272EB"/>
    <w:rsid w:val="009272F0"/>
    <w:rsid w:val="0092760A"/>
    <w:rsid w:val="0092765E"/>
    <w:rsid w:val="009277B3"/>
    <w:rsid w:val="00927A46"/>
    <w:rsid w:val="00927A79"/>
    <w:rsid w:val="00927D68"/>
    <w:rsid w:val="0093048C"/>
    <w:rsid w:val="00930917"/>
    <w:rsid w:val="00930D3D"/>
    <w:rsid w:val="00931016"/>
    <w:rsid w:val="009316DB"/>
    <w:rsid w:val="00931982"/>
    <w:rsid w:val="00931A76"/>
    <w:rsid w:val="00931F63"/>
    <w:rsid w:val="00932633"/>
    <w:rsid w:val="009327C8"/>
    <w:rsid w:val="00932DE1"/>
    <w:rsid w:val="00932E8B"/>
    <w:rsid w:val="0093330D"/>
    <w:rsid w:val="00933711"/>
    <w:rsid w:val="0093378A"/>
    <w:rsid w:val="00933825"/>
    <w:rsid w:val="0093391D"/>
    <w:rsid w:val="0093396A"/>
    <w:rsid w:val="00933C53"/>
    <w:rsid w:val="00933E82"/>
    <w:rsid w:val="00933FBF"/>
    <w:rsid w:val="009340D1"/>
    <w:rsid w:val="00934C9F"/>
    <w:rsid w:val="009351FB"/>
    <w:rsid w:val="009353CC"/>
    <w:rsid w:val="00935448"/>
    <w:rsid w:val="009354D8"/>
    <w:rsid w:val="0093550F"/>
    <w:rsid w:val="00935575"/>
    <w:rsid w:val="00935598"/>
    <w:rsid w:val="00935AF0"/>
    <w:rsid w:val="00935B66"/>
    <w:rsid w:val="00935C19"/>
    <w:rsid w:val="00935D90"/>
    <w:rsid w:val="00935DE2"/>
    <w:rsid w:val="009367CC"/>
    <w:rsid w:val="0093680B"/>
    <w:rsid w:val="0093687B"/>
    <w:rsid w:val="0093698F"/>
    <w:rsid w:val="00936A11"/>
    <w:rsid w:val="00936D52"/>
    <w:rsid w:val="009377D9"/>
    <w:rsid w:val="00937E9E"/>
    <w:rsid w:val="00940037"/>
    <w:rsid w:val="00940377"/>
    <w:rsid w:val="00940957"/>
    <w:rsid w:val="00940EC4"/>
    <w:rsid w:val="00941347"/>
    <w:rsid w:val="009414F7"/>
    <w:rsid w:val="009417D2"/>
    <w:rsid w:val="00941E27"/>
    <w:rsid w:val="00942898"/>
    <w:rsid w:val="00942B16"/>
    <w:rsid w:val="00942DDC"/>
    <w:rsid w:val="00942F92"/>
    <w:rsid w:val="009430F2"/>
    <w:rsid w:val="009437CE"/>
    <w:rsid w:val="00943B71"/>
    <w:rsid w:val="00943BE9"/>
    <w:rsid w:val="00943CA4"/>
    <w:rsid w:val="00943ECD"/>
    <w:rsid w:val="00945101"/>
    <w:rsid w:val="009453CB"/>
    <w:rsid w:val="009458BF"/>
    <w:rsid w:val="00945A62"/>
    <w:rsid w:val="00945C75"/>
    <w:rsid w:val="00946202"/>
    <w:rsid w:val="00946575"/>
    <w:rsid w:val="00946930"/>
    <w:rsid w:val="00946AAE"/>
    <w:rsid w:val="00946BF2"/>
    <w:rsid w:val="00946FBB"/>
    <w:rsid w:val="009473F4"/>
    <w:rsid w:val="00947485"/>
    <w:rsid w:val="00947687"/>
    <w:rsid w:val="00947736"/>
    <w:rsid w:val="009479F3"/>
    <w:rsid w:val="00950260"/>
    <w:rsid w:val="00950C97"/>
    <w:rsid w:val="00950EBF"/>
    <w:rsid w:val="00951E73"/>
    <w:rsid w:val="009524E6"/>
    <w:rsid w:val="00952567"/>
    <w:rsid w:val="00952BAE"/>
    <w:rsid w:val="00952D88"/>
    <w:rsid w:val="00952FEE"/>
    <w:rsid w:val="00953211"/>
    <w:rsid w:val="00953ABB"/>
    <w:rsid w:val="00954498"/>
    <w:rsid w:val="00954682"/>
    <w:rsid w:val="00954BC6"/>
    <w:rsid w:val="00954D7C"/>
    <w:rsid w:val="009550B3"/>
    <w:rsid w:val="009551A4"/>
    <w:rsid w:val="00955441"/>
    <w:rsid w:val="00955B60"/>
    <w:rsid w:val="00956037"/>
    <w:rsid w:val="0095619F"/>
    <w:rsid w:val="0095659B"/>
    <w:rsid w:val="00956FF8"/>
    <w:rsid w:val="00957023"/>
    <w:rsid w:val="00957DD3"/>
    <w:rsid w:val="00957F79"/>
    <w:rsid w:val="0096008C"/>
    <w:rsid w:val="009603FB"/>
    <w:rsid w:val="00960672"/>
    <w:rsid w:val="0096068F"/>
    <w:rsid w:val="009606FE"/>
    <w:rsid w:val="0096081C"/>
    <w:rsid w:val="00960B35"/>
    <w:rsid w:val="00961807"/>
    <w:rsid w:val="00961975"/>
    <w:rsid w:val="00961FE9"/>
    <w:rsid w:val="009623D1"/>
    <w:rsid w:val="00962A95"/>
    <w:rsid w:val="00962C85"/>
    <w:rsid w:val="009632CE"/>
    <w:rsid w:val="00963A43"/>
    <w:rsid w:val="00963A48"/>
    <w:rsid w:val="00963B0C"/>
    <w:rsid w:val="00963CEC"/>
    <w:rsid w:val="0096414A"/>
    <w:rsid w:val="0096464D"/>
    <w:rsid w:val="009648EA"/>
    <w:rsid w:val="00965414"/>
    <w:rsid w:val="00965909"/>
    <w:rsid w:val="00965D0F"/>
    <w:rsid w:val="00965E8A"/>
    <w:rsid w:val="00966460"/>
    <w:rsid w:val="009666AC"/>
    <w:rsid w:val="009667DE"/>
    <w:rsid w:val="0096683D"/>
    <w:rsid w:val="00966B76"/>
    <w:rsid w:val="00966D00"/>
    <w:rsid w:val="00966D85"/>
    <w:rsid w:val="00967014"/>
    <w:rsid w:val="00967134"/>
    <w:rsid w:val="00967410"/>
    <w:rsid w:val="009675AD"/>
    <w:rsid w:val="0096769F"/>
    <w:rsid w:val="009678BF"/>
    <w:rsid w:val="009678E1"/>
    <w:rsid w:val="00967B20"/>
    <w:rsid w:val="00967C86"/>
    <w:rsid w:val="00967FB1"/>
    <w:rsid w:val="00970008"/>
    <w:rsid w:val="009709F2"/>
    <w:rsid w:val="00970B3F"/>
    <w:rsid w:val="00970CFA"/>
    <w:rsid w:val="00970DDE"/>
    <w:rsid w:val="0097121A"/>
    <w:rsid w:val="009714B8"/>
    <w:rsid w:val="00971840"/>
    <w:rsid w:val="00971B24"/>
    <w:rsid w:val="00971BEE"/>
    <w:rsid w:val="0097279C"/>
    <w:rsid w:val="00972D54"/>
    <w:rsid w:val="00972E72"/>
    <w:rsid w:val="00972FBE"/>
    <w:rsid w:val="009737E9"/>
    <w:rsid w:val="00973A37"/>
    <w:rsid w:val="00973AFA"/>
    <w:rsid w:val="00973B52"/>
    <w:rsid w:val="009745C7"/>
    <w:rsid w:val="009745F5"/>
    <w:rsid w:val="009746A1"/>
    <w:rsid w:val="00974907"/>
    <w:rsid w:val="00974CE4"/>
    <w:rsid w:val="00974D17"/>
    <w:rsid w:val="0097546E"/>
    <w:rsid w:val="00975503"/>
    <w:rsid w:val="009756A7"/>
    <w:rsid w:val="009759FC"/>
    <w:rsid w:val="00975CA5"/>
    <w:rsid w:val="00975FE4"/>
    <w:rsid w:val="0097636B"/>
    <w:rsid w:val="009766C4"/>
    <w:rsid w:val="009769A4"/>
    <w:rsid w:val="009769FB"/>
    <w:rsid w:val="00976F26"/>
    <w:rsid w:val="00977282"/>
    <w:rsid w:val="009772C4"/>
    <w:rsid w:val="009774CD"/>
    <w:rsid w:val="009774E3"/>
    <w:rsid w:val="00977609"/>
    <w:rsid w:val="00977657"/>
    <w:rsid w:val="00977973"/>
    <w:rsid w:val="00977B5E"/>
    <w:rsid w:val="00980248"/>
    <w:rsid w:val="009802E4"/>
    <w:rsid w:val="00980327"/>
    <w:rsid w:val="009803C9"/>
    <w:rsid w:val="0098159D"/>
    <w:rsid w:val="0098172D"/>
    <w:rsid w:val="00981786"/>
    <w:rsid w:val="009817F8"/>
    <w:rsid w:val="009818F5"/>
    <w:rsid w:val="00981D60"/>
    <w:rsid w:val="00982A1A"/>
    <w:rsid w:val="00982E0F"/>
    <w:rsid w:val="0098307E"/>
    <w:rsid w:val="00983AAE"/>
    <w:rsid w:val="00983F62"/>
    <w:rsid w:val="009843C2"/>
    <w:rsid w:val="00984527"/>
    <w:rsid w:val="009845D3"/>
    <w:rsid w:val="009846C1"/>
    <w:rsid w:val="00984792"/>
    <w:rsid w:val="00984997"/>
    <w:rsid w:val="009849CE"/>
    <w:rsid w:val="00984A3A"/>
    <w:rsid w:val="009852E7"/>
    <w:rsid w:val="00985567"/>
    <w:rsid w:val="0098580B"/>
    <w:rsid w:val="00985913"/>
    <w:rsid w:val="00985D7C"/>
    <w:rsid w:val="009869DF"/>
    <w:rsid w:val="0098758D"/>
    <w:rsid w:val="00987681"/>
    <w:rsid w:val="009876E8"/>
    <w:rsid w:val="00987911"/>
    <w:rsid w:val="009904D9"/>
    <w:rsid w:val="009905B8"/>
    <w:rsid w:val="00990972"/>
    <w:rsid w:val="00990A3A"/>
    <w:rsid w:val="00990FD4"/>
    <w:rsid w:val="00991389"/>
    <w:rsid w:val="009914BA"/>
    <w:rsid w:val="0099183D"/>
    <w:rsid w:val="00991F0E"/>
    <w:rsid w:val="00992C1F"/>
    <w:rsid w:val="009930A7"/>
    <w:rsid w:val="0099332E"/>
    <w:rsid w:val="009934FB"/>
    <w:rsid w:val="0099384B"/>
    <w:rsid w:val="00993A5C"/>
    <w:rsid w:val="00993B28"/>
    <w:rsid w:val="00993C9A"/>
    <w:rsid w:val="00993F0A"/>
    <w:rsid w:val="00994AE6"/>
    <w:rsid w:val="00994FA2"/>
    <w:rsid w:val="00994FD4"/>
    <w:rsid w:val="00995489"/>
    <w:rsid w:val="009954D6"/>
    <w:rsid w:val="009954FE"/>
    <w:rsid w:val="00995DFE"/>
    <w:rsid w:val="00995E2A"/>
    <w:rsid w:val="00995FF3"/>
    <w:rsid w:val="0099601E"/>
    <w:rsid w:val="00996B90"/>
    <w:rsid w:val="0099766A"/>
    <w:rsid w:val="00997684"/>
    <w:rsid w:val="00997916"/>
    <w:rsid w:val="009A05A2"/>
    <w:rsid w:val="009A0CCE"/>
    <w:rsid w:val="009A0D47"/>
    <w:rsid w:val="009A0D7E"/>
    <w:rsid w:val="009A0E7A"/>
    <w:rsid w:val="009A110F"/>
    <w:rsid w:val="009A187B"/>
    <w:rsid w:val="009A1DB8"/>
    <w:rsid w:val="009A2526"/>
    <w:rsid w:val="009A2AF8"/>
    <w:rsid w:val="009A3388"/>
    <w:rsid w:val="009A36B5"/>
    <w:rsid w:val="009A3991"/>
    <w:rsid w:val="009A3EF4"/>
    <w:rsid w:val="009A42F3"/>
    <w:rsid w:val="009A4360"/>
    <w:rsid w:val="009A4543"/>
    <w:rsid w:val="009A4724"/>
    <w:rsid w:val="009A482D"/>
    <w:rsid w:val="009A4842"/>
    <w:rsid w:val="009A493B"/>
    <w:rsid w:val="009A4A33"/>
    <w:rsid w:val="009A4F2E"/>
    <w:rsid w:val="009A5114"/>
    <w:rsid w:val="009A5600"/>
    <w:rsid w:val="009A568B"/>
    <w:rsid w:val="009A581C"/>
    <w:rsid w:val="009A59D0"/>
    <w:rsid w:val="009A61B5"/>
    <w:rsid w:val="009A654E"/>
    <w:rsid w:val="009A6CB2"/>
    <w:rsid w:val="009A723A"/>
    <w:rsid w:val="009A75DA"/>
    <w:rsid w:val="009A7AAE"/>
    <w:rsid w:val="009A7D34"/>
    <w:rsid w:val="009A7EB6"/>
    <w:rsid w:val="009B1258"/>
    <w:rsid w:val="009B132D"/>
    <w:rsid w:val="009B1E53"/>
    <w:rsid w:val="009B1F5D"/>
    <w:rsid w:val="009B21FF"/>
    <w:rsid w:val="009B23B7"/>
    <w:rsid w:val="009B29BF"/>
    <w:rsid w:val="009B2CEB"/>
    <w:rsid w:val="009B2E8B"/>
    <w:rsid w:val="009B365A"/>
    <w:rsid w:val="009B3877"/>
    <w:rsid w:val="009B3BA1"/>
    <w:rsid w:val="009B3F6F"/>
    <w:rsid w:val="009B4D67"/>
    <w:rsid w:val="009B54C0"/>
    <w:rsid w:val="009B57DD"/>
    <w:rsid w:val="009B5BC2"/>
    <w:rsid w:val="009B5DA4"/>
    <w:rsid w:val="009B6151"/>
    <w:rsid w:val="009B6416"/>
    <w:rsid w:val="009B65E4"/>
    <w:rsid w:val="009B68C0"/>
    <w:rsid w:val="009B77A0"/>
    <w:rsid w:val="009B7975"/>
    <w:rsid w:val="009B7A4A"/>
    <w:rsid w:val="009B7E4B"/>
    <w:rsid w:val="009C08B2"/>
    <w:rsid w:val="009C08CC"/>
    <w:rsid w:val="009C117F"/>
    <w:rsid w:val="009C13A6"/>
    <w:rsid w:val="009C1493"/>
    <w:rsid w:val="009C17C7"/>
    <w:rsid w:val="009C1950"/>
    <w:rsid w:val="009C1D96"/>
    <w:rsid w:val="009C24B1"/>
    <w:rsid w:val="009C2904"/>
    <w:rsid w:val="009C2AAB"/>
    <w:rsid w:val="009C2C95"/>
    <w:rsid w:val="009C3590"/>
    <w:rsid w:val="009C3D34"/>
    <w:rsid w:val="009C40BE"/>
    <w:rsid w:val="009C4262"/>
    <w:rsid w:val="009C4311"/>
    <w:rsid w:val="009C46C8"/>
    <w:rsid w:val="009C4999"/>
    <w:rsid w:val="009C4BA2"/>
    <w:rsid w:val="009C4C63"/>
    <w:rsid w:val="009C4F57"/>
    <w:rsid w:val="009C501A"/>
    <w:rsid w:val="009C50D4"/>
    <w:rsid w:val="009C5161"/>
    <w:rsid w:val="009C56CE"/>
    <w:rsid w:val="009C5811"/>
    <w:rsid w:val="009C636E"/>
    <w:rsid w:val="009C67DE"/>
    <w:rsid w:val="009C7718"/>
    <w:rsid w:val="009C78AE"/>
    <w:rsid w:val="009C7A9E"/>
    <w:rsid w:val="009C7C31"/>
    <w:rsid w:val="009C7F5F"/>
    <w:rsid w:val="009C7F77"/>
    <w:rsid w:val="009C7F99"/>
    <w:rsid w:val="009D03C8"/>
    <w:rsid w:val="009D0DD8"/>
    <w:rsid w:val="009D150C"/>
    <w:rsid w:val="009D1546"/>
    <w:rsid w:val="009D16C3"/>
    <w:rsid w:val="009D1D02"/>
    <w:rsid w:val="009D2052"/>
    <w:rsid w:val="009D208B"/>
    <w:rsid w:val="009D2368"/>
    <w:rsid w:val="009D23AC"/>
    <w:rsid w:val="009D2441"/>
    <w:rsid w:val="009D3270"/>
    <w:rsid w:val="009D32FC"/>
    <w:rsid w:val="009D3418"/>
    <w:rsid w:val="009D3A70"/>
    <w:rsid w:val="009D3F22"/>
    <w:rsid w:val="009D4429"/>
    <w:rsid w:val="009D4677"/>
    <w:rsid w:val="009D4926"/>
    <w:rsid w:val="009D4C75"/>
    <w:rsid w:val="009D51C1"/>
    <w:rsid w:val="009D5B89"/>
    <w:rsid w:val="009D5E21"/>
    <w:rsid w:val="009D6554"/>
    <w:rsid w:val="009D6A8D"/>
    <w:rsid w:val="009D6CF0"/>
    <w:rsid w:val="009D6F03"/>
    <w:rsid w:val="009D728E"/>
    <w:rsid w:val="009D72CE"/>
    <w:rsid w:val="009D7482"/>
    <w:rsid w:val="009D7A57"/>
    <w:rsid w:val="009D7ABA"/>
    <w:rsid w:val="009E029E"/>
    <w:rsid w:val="009E0505"/>
    <w:rsid w:val="009E057D"/>
    <w:rsid w:val="009E0D74"/>
    <w:rsid w:val="009E0DD3"/>
    <w:rsid w:val="009E12B1"/>
    <w:rsid w:val="009E1456"/>
    <w:rsid w:val="009E1D0A"/>
    <w:rsid w:val="009E1D6F"/>
    <w:rsid w:val="009E2125"/>
    <w:rsid w:val="009E2523"/>
    <w:rsid w:val="009E269F"/>
    <w:rsid w:val="009E2BFC"/>
    <w:rsid w:val="009E2DED"/>
    <w:rsid w:val="009E2EEB"/>
    <w:rsid w:val="009E305E"/>
    <w:rsid w:val="009E3AB9"/>
    <w:rsid w:val="009E3BDD"/>
    <w:rsid w:val="009E3F1D"/>
    <w:rsid w:val="009E4751"/>
    <w:rsid w:val="009E4A01"/>
    <w:rsid w:val="009E53D2"/>
    <w:rsid w:val="009E57B7"/>
    <w:rsid w:val="009E595D"/>
    <w:rsid w:val="009E5AEC"/>
    <w:rsid w:val="009E5CE0"/>
    <w:rsid w:val="009E5D4E"/>
    <w:rsid w:val="009E5F62"/>
    <w:rsid w:val="009E6140"/>
    <w:rsid w:val="009E6711"/>
    <w:rsid w:val="009E6A45"/>
    <w:rsid w:val="009E6A68"/>
    <w:rsid w:val="009E6C56"/>
    <w:rsid w:val="009E6CFC"/>
    <w:rsid w:val="009E6EA1"/>
    <w:rsid w:val="009E6F08"/>
    <w:rsid w:val="009E70D4"/>
    <w:rsid w:val="009F0DCA"/>
    <w:rsid w:val="009F1007"/>
    <w:rsid w:val="009F1567"/>
    <w:rsid w:val="009F1652"/>
    <w:rsid w:val="009F16BB"/>
    <w:rsid w:val="009F1CC4"/>
    <w:rsid w:val="009F20A2"/>
    <w:rsid w:val="009F23A2"/>
    <w:rsid w:val="009F2B3A"/>
    <w:rsid w:val="009F30F4"/>
    <w:rsid w:val="009F3316"/>
    <w:rsid w:val="009F3731"/>
    <w:rsid w:val="009F3A1E"/>
    <w:rsid w:val="009F3B6C"/>
    <w:rsid w:val="009F439F"/>
    <w:rsid w:val="009F4568"/>
    <w:rsid w:val="009F4860"/>
    <w:rsid w:val="009F48BD"/>
    <w:rsid w:val="009F4FF0"/>
    <w:rsid w:val="009F5383"/>
    <w:rsid w:val="009F5507"/>
    <w:rsid w:val="009F56E6"/>
    <w:rsid w:val="009F592E"/>
    <w:rsid w:val="009F5965"/>
    <w:rsid w:val="009F59E7"/>
    <w:rsid w:val="009F60A2"/>
    <w:rsid w:val="009F672E"/>
    <w:rsid w:val="009F69B2"/>
    <w:rsid w:val="009F6A79"/>
    <w:rsid w:val="009F6F2A"/>
    <w:rsid w:val="009F7719"/>
    <w:rsid w:val="009F78D6"/>
    <w:rsid w:val="009F7C29"/>
    <w:rsid w:val="009F7EF2"/>
    <w:rsid w:val="009F7FFA"/>
    <w:rsid w:val="00A004E1"/>
    <w:rsid w:val="00A006C4"/>
    <w:rsid w:val="00A00958"/>
    <w:rsid w:val="00A012D6"/>
    <w:rsid w:val="00A01332"/>
    <w:rsid w:val="00A01517"/>
    <w:rsid w:val="00A01E4D"/>
    <w:rsid w:val="00A01E8B"/>
    <w:rsid w:val="00A0212B"/>
    <w:rsid w:val="00A022C4"/>
    <w:rsid w:val="00A022FF"/>
    <w:rsid w:val="00A025E3"/>
    <w:rsid w:val="00A02F56"/>
    <w:rsid w:val="00A030D4"/>
    <w:rsid w:val="00A033A0"/>
    <w:rsid w:val="00A0369B"/>
    <w:rsid w:val="00A03998"/>
    <w:rsid w:val="00A03E94"/>
    <w:rsid w:val="00A03EDC"/>
    <w:rsid w:val="00A04294"/>
    <w:rsid w:val="00A05863"/>
    <w:rsid w:val="00A05DC4"/>
    <w:rsid w:val="00A0606A"/>
    <w:rsid w:val="00A0680C"/>
    <w:rsid w:val="00A071ED"/>
    <w:rsid w:val="00A07270"/>
    <w:rsid w:val="00A0727D"/>
    <w:rsid w:val="00A072A1"/>
    <w:rsid w:val="00A07435"/>
    <w:rsid w:val="00A106EC"/>
    <w:rsid w:val="00A10705"/>
    <w:rsid w:val="00A10AB3"/>
    <w:rsid w:val="00A10C9C"/>
    <w:rsid w:val="00A10E48"/>
    <w:rsid w:val="00A10F0C"/>
    <w:rsid w:val="00A11225"/>
    <w:rsid w:val="00A11280"/>
    <w:rsid w:val="00A118BC"/>
    <w:rsid w:val="00A11AFC"/>
    <w:rsid w:val="00A11EBA"/>
    <w:rsid w:val="00A1270A"/>
    <w:rsid w:val="00A127A1"/>
    <w:rsid w:val="00A12AAF"/>
    <w:rsid w:val="00A12BE8"/>
    <w:rsid w:val="00A1352C"/>
    <w:rsid w:val="00A135AA"/>
    <w:rsid w:val="00A13C08"/>
    <w:rsid w:val="00A13CEA"/>
    <w:rsid w:val="00A14164"/>
    <w:rsid w:val="00A14174"/>
    <w:rsid w:val="00A14479"/>
    <w:rsid w:val="00A14657"/>
    <w:rsid w:val="00A146F7"/>
    <w:rsid w:val="00A14A59"/>
    <w:rsid w:val="00A1521F"/>
    <w:rsid w:val="00A1532C"/>
    <w:rsid w:val="00A15488"/>
    <w:rsid w:val="00A15685"/>
    <w:rsid w:val="00A15975"/>
    <w:rsid w:val="00A159EF"/>
    <w:rsid w:val="00A15A63"/>
    <w:rsid w:val="00A15E95"/>
    <w:rsid w:val="00A16103"/>
    <w:rsid w:val="00A161B5"/>
    <w:rsid w:val="00A161F1"/>
    <w:rsid w:val="00A16461"/>
    <w:rsid w:val="00A16BC0"/>
    <w:rsid w:val="00A16E16"/>
    <w:rsid w:val="00A16E57"/>
    <w:rsid w:val="00A16FD5"/>
    <w:rsid w:val="00A1725A"/>
    <w:rsid w:val="00A17703"/>
    <w:rsid w:val="00A1779C"/>
    <w:rsid w:val="00A17A23"/>
    <w:rsid w:val="00A17A5C"/>
    <w:rsid w:val="00A17BA9"/>
    <w:rsid w:val="00A17BAB"/>
    <w:rsid w:val="00A20426"/>
    <w:rsid w:val="00A20988"/>
    <w:rsid w:val="00A20BD6"/>
    <w:rsid w:val="00A2135A"/>
    <w:rsid w:val="00A213D0"/>
    <w:rsid w:val="00A214B1"/>
    <w:rsid w:val="00A21572"/>
    <w:rsid w:val="00A21841"/>
    <w:rsid w:val="00A2198B"/>
    <w:rsid w:val="00A219C5"/>
    <w:rsid w:val="00A21D13"/>
    <w:rsid w:val="00A2207D"/>
    <w:rsid w:val="00A2215B"/>
    <w:rsid w:val="00A225CD"/>
    <w:rsid w:val="00A22C31"/>
    <w:rsid w:val="00A22E77"/>
    <w:rsid w:val="00A23A43"/>
    <w:rsid w:val="00A23E95"/>
    <w:rsid w:val="00A241A2"/>
    <w:rsid w:val="00A2433A"/>
    <w:rsid w:val="00A24472"/>
    <w:rsid w:val="00A24478"/>
    <w:rsid w:val="00A24795"/>
    <w:rsid w:val="00A254B3"/>
    <w:rsid w:val="00A2562A"/>
    <w:rsid w:val="00A25779"/>
    <w:rsid w:val="00A25968"/>
    <w:rsid w:val="00A25C3B"/>
    <w:rsid w:val="00A25F56"/>
    <w:rsid w:val="00A26DC8"/>
    <w:rsid w:val="00A2738E"/>
    <w:rsid w:val="00A27C29"/>
    <w:rsid w:val="00A27C4C"/>
    <w:rsid w:val="00A27C57"/>
    <w:rsid w:val="00A27FC0"/>
    <w:rsid w:val="00A30186"/>
    <w:rsid w:val="00A305FF"/>
    <w:rsid w:val="00A30814"/>
    <w:rsid w:val="00A30998"/>
    <w:rsid w:val="00A30A34"/>
    <w:rsid w:val="00A30A8D"/>
    <w:rsid w:val="00A3133E"/>
    <w:rsid w:val="00A31BBF"/>
    <w:rsid w:val="00A31C97"/>
    <w:rsid w:val="00A31CAF"/>
    <w:rsid w:val="00A31EBC"/>
    <w:rsid w:val="00A3244F"/>
    <w:rsid w:val="00A32899"/>
    <w:rsid w:val="00A330EA"/>
    <w:rsid w:val="00A33257"/>
    <w:rsid w:val="00A33931"/>
    <w:rsid w:val="00A33EE2"/>
    <w:rsid w:val="00A3426B"/>
    <w:rsid w:val="00A34632"/>
    <w:rsid w:val="00A348F8"/>
    <w:rsid w:val="00A34C4A"/>
    <w:rsid w:val="00A34C66"/>
    <w:rsid w:val="00A35596"/>
    <w:rsid w:val="00A355EF"/>
    <w:rsid w:val="00A356BD"/>
    <w:rsid w:val="00A35C5B"/>
    <w:rsid w:val="00A35CE8"/>
    <w:rsid w:val="00A360BC"/>
    <w:rsid w:val="00A36133"/>
    <w:rsid w:val="00A362B2"/>
    <w:rsid w:val="00A363A8"/>
    <w:rsid w:val="00A36AC5"/>
    <w:rsid w:val="00A36B35"/>
    <w:rsid w:val="00A3765C"/>
    <w:rsid w:val="00A402FB"/>
    <w:rsid w:val="00A40437"/>
    <w:rsid w:val="00A40722"/>
    <w:rsid w:val="00A4176F"/>
    <w:rsid w:val="00A4190D"/>
    <w:rsid w:val="00A41EAD"/>
    <w:rsid w:val="00A422AD"/>
    <w:rsid w:val="00A424E8"/>
    <w:rsid w:val="00A425D3"/>
    <w:rsid w:val="00A42679"/>
    <w:rsid w:val="00A42715"/>
    <w:rsid w:val="00A430ED"/>
    <w:rsid w:val="00A43187"/>
    <w:rsid w:val="00A432C1"/>
    <w:rsid w:val="00A43AC8"/>
    <w:rsid w:val="00A43F57"/>
    <w:rsid w:val="00A44576"/>
    <w:rsid w:val="00A44A7C"/>
    <w:rsid w:val="00A450C4"/>
    <w:rsid w:val="00A45F88"/>
    <w:rsid w:val="00A46336"/>
    <w:rsid w:val="00A4674F"/>
    <w:rsid w:val="00A46BA4"/>
    <w:rsid w:val="00A46E6C"/>
    <w:rsid w:val="00A46EC5"/>
    <w:rsid w:val="00A473F2"/>
    <w:rsid w:val="00A476BC"/>
    <w:rsid w:val="00A47B59"/>
    <w:rsid w:val="00A47CEE"/>
    <w:rsid w:val="00A47D8E"/>
    <w:rsid w:val="00A47F79"/>
    <w:rsid w:val="00A50A82"/>
    <w:rsid w:val="00A520E3"/>
    <w:rsid w:val="00A52692"/>
    <w:rsid w:val="00A527E0"/>
    <w:rsid w:val="00A529D1"/>
    <w:rsid w:val="00A52B1C"/>
    <w:rsid w:val="00A52D05"/>
    <w:rsid w:val="00A52F85"/>
    <w:rsid w:val="00A53101"/>
    <w:rsid w:val="00A5311C"/>
    <w:rsid w:val="00A53155"/>
    <w:rsid w:val="00A53AC9"/>
    <w:rsid w:val="00A53B93"/>
    <w:rsid w:val="00A53C08"/>
    <w:rsid w:val="00A53DBC"/>
    <w:rsid w:val="00A542B4"/>
    <w:rsid w:val="00A5440E"/>
    <w:rsid w:val="00A545C5"/>
    <w:rsid w:val="00A54B5C"/>
    <w:rsid w:val="00A54FAC"/>
    <w:rsid w:val="00A5530D"/>
    <w:rsid w:val="00A554CA"/>
    <w:rsid w:val="00A55A94"/>
    <w:rsid w:val="00A5612B"/>
    <w:rsid w:val="00A56159"/>
    <w:rsid w:val="00A56A3D"/>
    <w:rsid w:val="00A57044"/>
    <w:rsid w:val="00A5726D"/>
    <w:rsid w:val="00A5736B"/>
    <w:rsid w:val="00A5753B"/>
    <w:rsid w:val="00A57924"/>
    <w:rsid w:val="00A5798E"/>
    <w:rsid w:val="00A57E4C"/>
    <w:rsid w:val="00A57E57"/>
    <w:rsid w:val="00A57EBC"/>
    <w:rsid w:val="00A57FB5"/>
    <w:rsid w:val="00A6034F"/>
    <w:rsid w:val="00A60849"/>
    <w:rsid w:val="00A60924"/>
    <w:rsid w:val="00A6110C"/>
    <w:rsid w:val="00A61964"/>
    <w:rsid w:val="00A61BD1"/>
    <w:rsid w:val="00A61C98"/>
    <w:rsid w:val="00A61F10"/>
    <w:rsid w:val="00A61F26"/>
    <w:rsid w:val="00A62139"/>
    <w:rsid w:val="00A6245A"/>
    <w:rsid w:val="00A62542"/>
    <w:rsid w:val="00A62CEE"/>
    <w:rsid w:val="00A631C9"/>
    <w:rsid w:val="00A6327B"/>
    <w:rsid w:val="00A633FB"/>
    <w:rsid w:val="00A63689"/>
    <w:rsid w:val="00A63E88"/>
    <w:rsid w:val="00A641B1"/>
    <w:rsid w:val="00A641D7"/>
    <w:rsid w:val="00A64A01"/>
    <w:rsid w:val="00A64A1D"/>
    <w:rsid w:val="00A64AE4"/>
    <w:rsid w:val="00A64F6B"/>
    <w:rsid w:val="00A65046"/>
    <w:rsid w:val="00A65047"/>
    <w:rsid w:val="00A65109"/>
    <w:rsid w:val="00A65184"/>
    <w:rsid w:val="00A6552E"/>
    <w:rsid w:val="00A6557F"/>
    <w:rsid w:val="00A65970"/>
    <w:rsid w:val="00A65B51"/>
    <w:rsid w:val="00A65E70"/>
    <w:rsid w:val="00A66325"/>
    <w:rsid w:val="00A6637C"/>
    <w:rsid w:val="00A663EF"/>
    <w:rsid w:val="00A6659C"/>
    <w:rsid w:val="00A669C0"/>
    <w:rsid w:val="00A66C15"/>
    <w:rsid w:val="00A66FC1"/>
    <w:rsid w:val="00A670CB"/>
    <w:rsid w:val="00A67153"/>
    <w:rsid w:val="00A67220"/>
    <w:rsid w:val="00A674F3"/>
    <w:rsid w:val="00A675BB"/>
    <w:rsid w:val="00A67BA8"/>
    <w:rsid w:val="00A67BB3"/>
    <w:rsid w:val="00A7003B"/>
    <w:rsid w:val="00A7028A"/>
    <w:rsid w:val="00A704E0"/>
    <w:rsid w:val="00A70C4D"/>
    <w:rsid w:val="00A70E04"/>
    <w:rsid w:val="00A70F75"/>
    <w:rsid w:val="00A70F81"/>
    <w:rsid w:val="00A71398"/>
    <w:rsid w:val="00A7177F"/>
    <w:rsid w:val="00A7193D"/>
    <w:rsid w:val="00A71A72"/>
    <w:rsid w:val="00A720B7"/>
    <w:rsid w:val="00A720F6"/>
    <w:rsid w:val="00A722BD"/>
    <w:rsid w:val="00A7238D"/>
    <w:rsid w:val="00A72413"/>
    <w:rsid w:val="00A7255F"/>
    <w:rsid w:val="00A72705"/>
    <w:rsid w:val="00A727D5"/>
    <w:rsid w:val="00A728BA"/>
    <w:rsid w:val="00A72FB2"/>
    <w:rsid w:val="00A737E9"/>
    <w:rsid w:val="00A73836"/>
    <w:rsid w:val="00A73856"/>
    <w:rsid w:val="00A73E7E"/>
    <w:rsid w:val="00A7491E"/>
    <w:rsid w:val="00A74D60"/>
    <w:rsid w:val="00A757C6"/>
    <w:rsid w:val="00A7669A"/>
    <w:rsid w:val="00A76823"/>
    <w:rsid w:val="00A76A3F"/>
    <w:rsid w:val="00A771F6"/>
    <w:rsid w:val="00A7766C"/>
    <w:rsid w:val="00A77775"/>
    <w:rsid w:val="00A77978"/>
    <w:rsid w:val="00A77CC1"/>
    <w:rsid w:val="00A77F87"/>
    <w:rsid w:val="00A80083"/>
    <w:rsid w:val="00A800F8"/>
    <w:rsid w:val="00A803FB"/>
    <w:rsid w:val="00A80773"/>
    <w:rsid w:val="00A812D3"/>
    <w:rsid w:val="00A813BD"/>
    <w:rsid w:val="00A81710"/>
    <w:rsid w:val="00A81C40"/>
    <w:rsid w:val="00A81E88"/>
    <w:rsid w:val="00A8243C"/>
    <w:rsid w:val="00A82506"/>
    <w:rsid w:val="00A82946"/>
    <w:rsid w:val="00A82B81"/>
    <w:rsid w:val="00A82E8B"/>
    <w:rsid w:val="00A8328A"/>
    <w:rsid w:val="00A83584"/>
    <w:rsid w:val="00A83A79"/>
    <w:rsid w:val="00A840F9"/>
    <w:rsid w:val="00A8439C"/>
    <w:rsid w:val="00A843FB"/>
    <w:rsid w:val="00A8457E"/>
    <w:rsid w:val="00A8477C"/>
    <w:rsid w:val="00A84962"/>
    <w:rsid w:val="00A84A27"/>
    <w:rsid w:val="00A84BE8"/>
    <w:rsid w:val="00A84E1A"/>
    <w:rsid w:val="00A84F33"/>
    <w:rsid w:val="00A852B9"/>
    <w:rsid w:val="00A85577"/>
    <w:rsid w:val="00A85592"/>
    <w:rsid w:val="00A85638"/>
    <w:rsid w:val="00A857ED"/>
    <w:rsid w:val="00A85BA3"/>
    <w:rsid w:val="00A860F5"/>
    <w:rsid w:val="00A866B9"/>
    <w:rsid w:val="00A86C02"/>
    <w:rsid w:val="00A86DB2"/>
    <w:rsid w:val="00A871B7"/>
    <w:rsid w:val="00A87232"/>
    <w:rsid w:val="00A87954"/>
    <w:rsid w:val="00A87B22"/>
    <w:rsid w:val="00A90218"/>
    <w:rsid w:val="00A90C6E"/>
    <w:rsid w:val="00A91051"/>
    <w:rsid w:val="00A910B7"/>
    <w:rsid w:val="00A9181E"/>
    <w:rsid w:val="00A92498"/>
    <w:rsid w:val="00A926A9"/>
    <w:rsid w:val="00A92F5C"/>
    <w:rsid w:val="00A930B2"/>
    <w:rsid w:val="00A932C2"/>
    <w:rsid w:val="00A935B1"/>
    <w:rsid w:val="00A936DF"/>
    <w:rsid w:val="00A938ED"/>
    <w:rsid w:val="00A93EAA"/>
    <w:rsid w:val="00A9406D"/>
    <w:rsid w:val="00A94B71"/>
    <w:rsid w:val="00A94CF5"/>
    <w:rsid w:val="00A95721"/>
    <w:rsid w:val="00A959C7"/>
    <w:rsid w:val="00A95A1A"/>
    <w:rsid w:val="00A95DDD"/>
    <w:rsid w:val="00A95F00"/>
    <w:rsid w:val="00A963E9"/>
    <w:rsid w:val="00A965DE"/>
    <w:rsid w:val="00A96795"/>
    <w:rsid w:val="00A967EF"/>
    <w:rsid w:val="00A9681D"/>
    <w:rsid w:val="00A96905"/>
    <w:rsid w:val="00A96BFF"/>
    <w:rsid w:val="00A96DA1"/>
    <w:rsid w:val="00A96E1E"/>
    <w:rsid w:val="00A97237"/>
    <w:rsid w:val="00A97424"/>
    <w:rsid w:val="00A97841"/>
    <w:rsid w:val="00A97CDC"/>
    <w:rsid w:val="00AA0D6D"/>
    <w:rsid w:val="00AA15CA"/>
    <w:rsid w:val="00AA167B"/>
    <w:rsid w:val="00AA169B"/>
    <w:rsid w:val="00AA1790"/>
    <w:rsid w:val="00AA17CD"/>
    <w:rsid w:val="00AA19F6"/>
    <w:rsid w:val="00AA1BA3"/>
    <w:rsid w:val="00AA1E8C"/>
    <w:rsid w:val="00AA22C5"/>
    <w:rsid w:val="00AA2FF1"/>
    <w:rsid w:val="00AA3018"/>
    <w:rsid w:val="00AA303E"/>
    <w:rsid w:val="00AA35C2"/>
    <w:rsid w:val="00AA37CD"/>
    <w:rsid w:val="00AA389B"/>
    <w:rsid w:val="00AA3A4C"/>
    <w:rsid w:val="00AA3A65"/>
    <w:rsid w:val="00AA3BC0"/>
    <w:rsid w:val="00AA4027"/>
    <w:rsid w:val="00AA40DE"/>
    <w:rsid w:val="00AA41B1"/>
    <w:rsid w:val="00AA4620"/>
    <w:rsid w:val="00AA464C"/>
    <w:rsid w:val="00AA4785"/>
    <w:rsid w:val="00AA48BA"/>
    <w:rsid w:val="00AA49C8"/>
    <w:rsid w:val="00AA4FC4"/>
    <w:rsid w:val="00AA4FFE"/>
    <w:rsid w:val="00AA5570"/>
    <w:rsid w:val="00AA56FE"/>
    <w:rsid w:val="00AA5C48"/>
    <w:rsid w:val="00AA617B"/>
    <w:rsid w:val="00AA661C"/>
    <w:rsid w:val="00AA700F"/>
    <w:rsid w:val="00AA7277"/>
    <w:rsid w:val="00AA72CD"/>
    <w:rsid w:val="00AA7404"/>
    <w:rsid w:val="00AA78E8"/>
    <w:rsid w:val="00AA7965"/>
    <w:rsid w:val="00AA79CC"/>
    <w:rsid w:val="00AA7AB1"/>
    <w:rsid w:val="00AA7B67"/>
    <w:rsid w:val="00AB0AB0"/>
    <w:rsid w:val="00AB0BFB"/>
    <w:rsid w:val="00AB0D86"/>
    <w:rsid w:val="00AB1334"/>
    <w:rsid w:val="00AB19A6"/>
    <w:rsid w:val="00AB1BF5"/>
    <w:rsid w:val="00AB1F77"/>
    <w:rsid w:val="00AB1FD7"/>
    <w:rsid w:val="00AB2285"/>
    <w:rsid w:val="00AB2347"/>
    <w:rsid w:val="00AB2527"/>
    <w:rsid w:val="00AB258F"/>
    <w:rsid w:val="00AB27ED"/>
    <w:rsid w:val="00AB2B30"/>
    <w:rsid w:val="00AB3040"/>
    <w:rsid w:val="00AB391C"/>
    <w:rsid w:val="00AB398D"/>
    <w:rsid w:val="00AB3D27"/>
    <w:rsid w:val="00AB41D3"/>
    <w:rsid w:val="00AB45DA"/>
    <w:rsid w:val="00AB462E"/>
    <w:rsid w:val="00AB5109"/>
    <w:rsid w:val="00AB5775"/>
    <w:rsid w:val="00AB6BC9"/>
    <w:rsid w:val="00AB6C20"/>
    <w:rsid w:val="00AB6F31"/>
    <w:rsid w:val="00AB74F0"/>
    <w:rsid w:val="00AB78D6"/>
    <w:rsid w:val="00AC026B"/>
    <w:rsid w:val="00AC0B0E"/>
    <w:rsid w:val="00AC0B55"/>
    <w:rsid w:val="00AC0C8D"/>
    <w:rsid w:val="00AC10EC"/>
    <w:rsid w:val="00AC16BD"/>
    <w:rsid w:val="00AC16E1"/>
    <w:rsid w:val="00AC18FE"/>
    <w:rsid w:val="00AC1B70"/>
    <w:rsid w:val="00AC1DA2"/>
    <w:rsid w:val="00AC1FA8"/>
    <w:rsid w:val="00AC2997"/>
    <w:rsid w:val="00AC2D53"/>
    <w:rsid w:val="00AC3966"/>
    <w:rsid w:val="00AC40EA"/>
    <w:rsid w:val="00AC49C5"/>
    <w:rsid w:val="00AC4C37"/>
    <w:rsid w:val="00AC4D88"/>
    <w:rsid w:val="00AC4E41"/>
    <w:rsid w:val="00AC5946"/>
    <w:rsid w:val="00AC5F08"/>
    <w:rsid w:val="00AC5FA6"/>
    <w:rsid w:val="00AC60CE"/>
    <w:rsid w:val="00AC629B"/>
    <w:rsid w:val="00AC64A6"/>
    <w:rsid w:val="00AC6902"/>
    <w:rsid w:val="00AC6D5C"/>
    <w:rsid w:val="00AC7168"/>
    <w:rsid w:val="00AC757F"/>
    <w:rsid w:val="00AC7702"/>
    <w:rsid w:val="00AC7BE7"/>
    <w:rsid w:val="00AC7DB1"/>
    <w:rsid w:val="00AC7E9A"/>
    <w:rsid w:val="00AC7F60"/>
    <w:rsid w:val="00AD05C8"/>
    <w:rsid w:val="00AD074A"/>
    <w:rsid w:val="00AD0C32"/>
    <w:rsid w:val="00AD0C7B"/>
    <w:rsid w:val="00AD1170"/>
    <w:rsid w:val="00AD145B"/>
    <w:rsid w:val="00AD1810"/>
    <w:rsid w:val="00AD25FC"/>
    <w:rsid w:val="00AD28D3"/>
    <w:rsid w:val="00AD2A66"/>
    <w:rsid w:val="00AD2CD8"/>
    <w:rsid w:val="00AD2EF1"/>
    <w:rsid w:val="00AD31E6"/>
    <w:rsid w:val="00AD32D2"/>
    <w:rsid w:val="00AD34A2"/>
    <w:rsid w:val="00AD467A"/>
    <w:rsid w:val="00AD4CE7"/>
    <w:rsid w:val="00AD52E9"/>
    <w:rsid w:val="00AD54A4"/>
    <w:rsid w:val="00AD5A8C"/>
    <w:rsid w:val="00AD5D7E"/>
    <w:rsid w:val="00AD5DD2"/>
    <w:rsid w:val="00AD65B3"/>
    <w:rsid w:val="00AD720F"/>
    <w:rsid w:val="00AD7DA8"/>
    <w:rsid w:val="00AE0330"/>
    <w:rsid w:val="00AE065E"/>
    <w:rsid w:val="00AE0A38"/>
    <w:rsid w:val="00AE15EC"/>
    <w:rsid w:val="00AE1C38"/>
    <w:rsid w:val="00AE1F00"/>
    <w:rsid w:val="00AE20EE"/>
    <w:rsid w:val="00AE254B"/>
    <w:rsid w:val="00AE3034"/>
    <w:rsid w:val="00AE3748"/>
    <w:rsid w:val="00AE376D"/>
    <w:rsid w:val="00AE3BA4"/>
    <w:rsid w:val="00AE3E35"/>
    <w:rsid w:val="00AE412A"/>
    <w:rsid w:val="00AE4E83"/>
    <w:rsid w:val="00AE50B4"/>
    <w:rsid w:val="00AE5369"/>
    <w:rsid w:val="00AE543F"/>
    <w:rsid w:val="00AE5617"/>
    <w:rsid w:val="00AE5A5C"/>
    <w:rsid w:val="00AE5B04"/>
    <w:rsid w:val="00AE61E5"/>
    <w:rsid w:val="00AE69D5"/>
    <w:rsid w:val="00AE7433"/>
    <w:rsid w:val="00AE75E7"/>
    <w:rsid w:val="00AE780F"/>
    <w:rsid w:val="00AE7965"/>
    <w:rsid w:val="00AE79A8"/>
    <w:rsid w:val="00AF0527"/>
    <w:rsid w:val="00AF0637"/>
    <w:rsid w:val="00AF0714"/>
    <w:rsid w:val="00AF074C"/>
    <w:rsid w:val="00AF0D3D"/>
    <w:rsid w:val="00AF0E36"/>
    <w:rsid w:val="00AF1595"/>
    <w:rsid w:val="00AF184F"/>
    <w:rsid w:val="00AF1945"/>
    <w:rsid w:val="00AF198A"/>
    <w:rsid w:val="00AF1B76"/>
    <w:rsid w:val="00AF1F5E"/>
    <w:rsid w:val="00AF22AF"/>
    <w:rsid w:val="00AF2311"/>
    <w:rsid w:val="00AF2329"/>
    <w:rsid w:val="00AF264C"/>
    <w:rsid w:val="00AF2CE9"/>
    <w:rsid w:val="00AF2D12"/>
    <w:rsid w:val="00AF31B1"/>
    <w:rsid w:val="00AF347D"/>
    <w:rsid w:val="00AF35C9"/>
    <w:rsid w:val="00AF3831"/>
    <w:rsid w:val="00AF3ABA"/>
    <w:rsid w:val="00AF4253"/>
    <w:rsid w:val="00AF48B7"/>
    <w:rsid w:val="00AF4B7E"/>
    <w:rsid w:val="00AF5379"/>
    <w:rsid w:val="00AF54F8"/>
    <w:rsid w:val="00AF58DB"/>
    <w:rsid w:val="00AF5BA2"/>
    <w:rsid w:val="00AF5E77"/>
    <w:rsid w:val="00AF6BE9"/>
    <w:rsid w:val="00AF6ECF"/>
    <w:rsid w:val="00AF7185"/>
    <w:rsid w:val="00AF7328"/>
    <w:rsid w:val="00AF787C"/>
    <w:rsid w:val="00B000C2"/>
    <w:rsid w:val="00B007A6"/>
    <w:rsid w:val="00B00805"/>
    <w:rsid w:val="00B00A6D"/>
    <w:rsid w:val="00B00B36"/>
    <w:rsid w:val="00B00FC8"/>
    <w:rsid w:val="00B01696"/>
    <w:rsid w:val="00B01CE3"/>
    <w:rsid w:val="00B025E2"/>
    <w:rsid w:val="00B02794"/>
    <w:rsid w:val="00B02A74"/>
    <w:rsid w:val="00B030DA"/>
    <w:rsid w:val="00B0312A"/>
    <w:rsid w:val="00B0314C"/>
    <w:rsid w:val="00B03513"/>
    <w:rsid w:val="00B0371E"/>
    <w:rsid w:val="00B03F5A"/>
    <w:rsid w:val="00B03FB0"/>
    <w:rsid w:val="00B0405F"/>
    <w:rsid w:val="00B043AC"/>
    <w:rsid w:val="00B04E81"/>
    <w:rsid w:val="00B051C8"/>
    <w:rsid w:val="00B057C7"/>
    <w:rsid w:val="00B057D1"/>
    <w:rsid w:val="00B05C20"/>
    <w:rsid w:val="00B06054"/>
    <w:rsid w:val="00B06076"/>
    <w:rsid w:val="00B06584"/>
    <w:rsid w:val="00B06B8F"/>
    <w:rsid w:val="00B06BCD"/>
    <w:rsid w:val="00B06BCE"/>
    <w:rsid w:val="00B06ED2"/>
    <w:rsid w:val="00B073CC"/>
    <w:rsid w:val="00B076FD"/>
    <w:rsid w:val="00B07952"/>
    <w:rsid w:val="00B07AE8"/>
    <w:rsid w:val="00B10046"/>
    <w:rsid w:val="00B10343"/>
    <w:rsid w:val="00B10512"/>
    <w:rsid w:val="00B105D7"/>
    <w:rsid w:val="00B1087D"/>
    <w:rsid w:val="00B11383"/>
    <w:rsid w:val="00B11F2D"/>
    <w:rsid w:val="00B121FD"/>
    <w:rsid w:val="00B12322"/>
    <w:rsid w:val="00B12608"/>
    <w:rsid w:val="00B127E7"/>
    <w:rsid w:val="00B12DA6"/>
    <w:rsid w:val="00B130D3"/>
    <w:rsid w:val="00B13354"/>
    <w:rsid w:val="00B13804"/>
    <w:rsid w:val="00B13A3F"/>
    <w:rsid w:val="00B1417D"/>
    <w:rsid w:val="00B144AF"/>
    <w:rsid w:val="00B144B7"/>
    <w:rsid w:val="00B145CB"/>
    <w:rsid w:val="00B1477D"/>
    <w:rsid w:val="00B14BA8"/>
    <w:rsid w:val="00B14BFD"/>
    <w:rsid w:val="00B14D0F"/>
    <w:rsid w:val="00B14D2E"/>
    <w:rsid w:val="00B14DB3"/>
    <w:rsid w:val="00B14DF2"/>
    <w:rsid w:val="00B14FE8"/>
    <w:rsid w:val="00B15769"/>
    <w:rsid w:val="00B15AFB"/>
    <w:rsid w:val="00B15C7B"/>
    <w:rsid w:val="00B162B4"/>
    <w:rsid w:val="00B1678D"/>
    <w:rsid w:val="00B16FC9"/>
    <w:rsid w:val="00B179B8"/>
    <w:rsid w:val="00B17C2D"/>
    <w:rsid w:val="00B204EE"/>
    <w:rsid w:val="00B205C0"/>
    <w:rsid w:val="00B20B91"/>
    <w:rsid w:val="00B20EFF"/>
    <w:rsid w:val="00B20FB0"/>
    <w:rsid w:val="00B21995"/>
    <w:rsid w:val="00B21AB3"/>
    <w:rsid w:val="00B21AE8"/>
    <w:rsid w:val="00B21B7F"/>
    <w:rsid w:val="00B21F53"/>
    <w:rsid w:val="00B22088"/>
    <w:rsid w:val="00B225B1"/>
    <w:rsid w:val="00B2283C"/>
    <w:rsid w:val="00B22D41"/>
    <w:rsid w:val="00B22F2A"/>
    <w:rsid w:val="00B2318F"/>
    <w:rsid w:val="00B23717"/>
    <w:rsid w:val="00B23B09"/>
    <w:rsid w:val="00B23FC2"/>
    <w:rsid w:val="00B24655"/>
    <w:rsid w:val="00B26041"/>
    <w:rsid w:val="00B2624C"/>
    <w:rsid w:val="00B2677A"/>
    <w:rsid w:val="00B26985"/>
    <w:rsid w:val="00B26C02"/>
    <w:rsid w:val="00B26C5F"/>
    <w:rsid w:val="00B277BF"/>
    <w:rsid w:val="00B27841"/>
    <w:rsid w:val="00B27921"/>
    <w:rsid w:val="00B2798B"/>
    <w:rsid w:val="00B27D95"/>
    <w:rsid w:val="00B27EFD"/>
    <w:rsid w:val="00B30094"/>
    <w:rsid w:val="00B3017E"/>
    <w:rsid w:val="00B305F7"/>
    <w:rsid w:val="00B30840"/>
    <w:rsid w:val="00B30CEC"/>
    <w:rsid w:val="00B30EA8"/>
    <w:rsid w:val="00B30ECD"/>
    <w:rsid w:val="00B31410"/>
    <w:rsid w:val="00B31764"/>
    <w:rsid w:val="00B31B98"/>
    <w:rsid w:val="00B31DEA"/>
    <w:rsid w:val="00B31E69"/>
    <w:rsid w:val="00B31F55"/>
    <w:rsid w:val="00B3244F"/>
    <w:rsid w:val="00B329BE"/>
    <w:rsid w:val="00B32FE5"/>
    <w:rsid w:val="00B3337F"/>
    <w:rsid w:val="00B334EE"/>
    <w:rsid w:val="00B33543"/>
    <w:rsid w:val="00B3392D"/>
    <w:rsid w:val="00B33956"/>
    <w:rsid w:val="00B33A41"/>
    <w:rsid w:val="00B33D75"/>
    <w:rsid w:val="00B3426C"/>
    <w:rsid w:val="00B343D1"/>
    <w:rsid w:val="00B34531"/>
    <w:rsid w:val="00B34606"/>
    <w:rsid w:val="00B3473F"/>
    <w:rsid w:val="00B347C3"/>
    <w:rsid w:val="00B34D9D"/>
    <w:rsid w:val="00B34FCD"/>
    <w:rsid w:val="00B35444"/>
    <w:rsid w:val="00B359A4"/>
    <w:rsid w:val="00B35BD8"/>
    <w:rsid w:val="00B35C1F"/>
    <w:rsid w:val="00B360C1"/>
    <w:rsid w:val="00B3621F"/>
    <w:rsid w:val="00B36230"/>
    <w:rsid w:val="00B362F9"/>
    <w:rsid w:val="00B363DB"/>
    <w:rsid w:val="00B3662C"/>
    <w:rsid w:val="00B3670C"/>
    <w:rsid w:val="00B36AA2"/>
    <w:rsid w:val="00B36BD5"/>
    <w:rsid w:val="00B36EC7"/>
    <w:rsid w:val="00B370F7"/>
    <w:rsid w:val="00B37A8E"/>
    <w:rsid w:val="00B40405"/>
    <w:rsid w:val="00B404DE"/>
    <w:rsid w:val="00B40565"/>
    <w:rsid w:val="00B405E7"/>
    <w:rsid w:val="00B40A5F"/>
    <w:rsid w:val="00B410FF"/>
    <w:rsid w:val="00B41AE6"/>
    <w:rsid w:val="00B41B8B"/>
    <w:rsid w:val="00B41E29"/>
    <w:rsid w:val="00B41EFC"/>
    <w:rsid w:val="00B42288"/>
    <w:rsid w:val="00B4249C"/>
    <w:rsid w:val="00B42FDB"/>
    <w:rsid w:val="00B4317D"/>
    <w:rsid w:val="00B432D5"/>
    <w:rsid w:val="00B4341C"/>
    <w:rsid w:val="00B43B32"/>
    <w:rsid w:val="00B441C2"/>
    <w:rsid w:val="00B447ED"/>
    <w:rsid w:val="00B44803"/>
    <w:rsid w:val="00B44A57"/>
    <w:rsid w:val="00B44AB8"/>
    <w:rsid w:val="00B44B52"/>
    <w:rsid w:val="00B44DB7"/>
    <w:rsid w:val="00B45B9C"/>
    <w:rsid w:val="00B461AC"/>
    <w:rsid w:val="00B4620D"/>
    <w:rsid w:val="00B4687F"/>
    <w:rsid w:val="00B46AA8"/>
    <w:rsid w:val="00B46CFE"/>
    <w:rsid w:val="00B46D11"/>
    <w:rsid w:val="00B46D4B"/>
    <w:rsid w:val="00B46F26"/>
    <w:rsid w:val="00B46F83"/>
    <w:rsid w:val="00B472B7"/>
    <w:rsid w:val="00B47372"/>
    <w:rsid w:val="00B4794F"/>
    <w:rsid w:val="00B47BB1"/>
    <w:rsid w:val="00B47D73"/>
    <w:rsid w:val="00B50042"/>
    <w:rsid w:val="00B504AB"/>
    <w:rsid w:val="00B5083C"/>
    <w:rsid w:val="00B50B43"/>
    <w:rsid w:val="00B51428"/>
    <w:rsid w:val="00B5183A"/>
    <w:rsid w:val="00B51C2B"/>
    <w:rsid w:val="00B51D90"/>
    <w:rsid w:val="00B51EC0"/>
    <w:rsid w:val="00B52215"/>
    <w:rsid w:val="00B532EA"/>
    <w:rsid w:val="00B533C0"/>
    <w:rsid w:val="00B533C8"/>
    <w:rsid w:val="00B5345D"/>
    <w:rsid w:val="00B537B4"/>
    <w:rsid w:val="00B53C97"/>
    <w:rsid w:val="00B54160"/>
    <w:rsid w:val="00B54599"/>
    <w:rsid w:val="00B54A01"/>
    <w:rsid w:val="00B550E8"/>
    <w:rsid w:val="00B5538A"/>
    <w:rsid w:val="00B5590D"/>
    <w:rsid w:val="00B55A2E"/>
    <w:rsid w:val="00B55F16"/>
    <w:rsid w:val="00B56570"/>
    <w:rsid w:val="00B5657E"/>
    <w:rsid w:val="00B56D7F"/>
    <w:rsid w:val="00B56E15"/>
    <w:rsid w:val="00B57D08"/>
    <w:rsid w:val="00B60038"/>
    <w:rsid w:val="00B600BC"/>
    <w:rsid w:val="00B60D5B"/>
    <w:rsid w:val="00B60F60"/>
    <w:rsid w:val="00B61080"/>
    <w:rsid w:val="00B612FB"/>
    <w:rsid w:val="00B613EA"/>
    <w:rsid w:val="00B6154B"/>
    <w:rsid w:val="00B6188C"/>
    <w:rsid w:val="00B6243C"/>
    <w:rsid w:val="00B626CA"/>
    <w:rsid w:val="00B627E3"/>
    <w:rsid w:val="00B63505"/>
    <w:rsid w:val="00B6391A"/>
    <w:rsid w:val="00B63B20"/>
    <w:rsid w:val="00B63DBB"/>
    <w:rsid w:val="00B64128"/>
    <w:rsid w:val="00B642B8"/>
    <w:rsid w:val="00B645E3"/>
    <w:rsid w:val="00B6479D"/>
    <w:rsid w:val="00B6488D"/>
    <w:rsid w:val="00B65302"/>
    <w:rsid w:val="00B65BC1"/>
    <w:rsid w:val="00B65E14"/>
    <w:rsid w:val="00B6625B"/>
    <w:rsid w:val="00B66B84"/>
    <w:rsid w:val="00B66C8F"/>
    <w:rsid w:val="00B672FF"/>
    <w:rsid w:val="00B67A3C"/>
    <w:rsid w:val="00B67A62"/>
    <w:rsid w:val="00B7031E"/>
    <w:rsid w:val="00B705F5"/>
    <w:rsid w:val="00B7077D"/>
    <w:rsid w:val="00B707A2"/>
    <w:rsid w:val="00B7095B"/>
    <w:rsid w:val="00B709B3"/>
    <w:rsid w:val="00B70D54"/>
    <w:rsid w:val="00B7155A"/>
    <w:rsid w:val="00B71888"/>
    <w:rsid w:val="00B71D69"/>
    <w:rsid w:val="00B71E0A"/>
    <w:rsid w:val="00B72090"/>
    <w:rsid w:val="00B7232A"/>
    <w:rsid w:val="00B72D15"/>
    <w:rsid w:val="00B72F79"/>
    <w:rsid w:val="00B730EE"/>
    <w:rsid w:val="00B73789"/>
    <w:rsid w:val="00B737B4"/>
    <w:rsid w:val="00B73E26"/>
    <w:rsid w:val="00B74156"/>
    <w:rsid w:val="00B74939"/>
    <w:rsid w:val="00B749C4"/>
    <w:rsid w:val="00B74E16"/>
    <w:rsid w:val="00B750C9"/>
    <w:rsid w:val="00B7510C"/>
    <w:rsid w:val="00B753CC"/>
    <w:rsid w:val="00B758BC"/>
    <w:rsid w:val="00B758FC"/>
    <w:rsid w:val="00B75F01"/>
    <w:rsid w:val="00B763F4"/>
    <w:rsid w:val="00B76908"/>
    <w:rsid w:val="00B76F00"/>
    <w:rsid w:val="00B76F49"/>
    <w:rsid w:val="00B77444"/>
    <w:rsid w:val="00B77496"/>
    <w:rsid w:val="00B778A3"/>
    <w:rsid w:val="00B779EA"/>
    <w:rsid w:val="00B77DB7"/>
    <w:rsid w:val="00B80477"/>
    <w:rsid w:val="00B80483"/>
    <w:rsid w:val="00B80640"/>
    <w:rsid w:val="00B80AA1"/>
    <w:rsid w:val="00B81162"/>
    <w:rsid w:val="00B8119F"/>
    <w:rsid w:val="00B81215"/>
    <w:rsid w:val="00B81523"/>
    <w:rsid w:val="00B81536"/>
    <w:rsid w:val="00B8175E"/>
    <w:rsid w:val="00B82026"/>
    <w:rsid w:val="00B8202C"/>
    <w:rsid w:val="00B8254C"/>
    <w:rsid w:val="00B8258E"/>
    <w:rsid w:val="00B826C6"/>
    <w:rsid w:val="00B82D33"/>
    <w:rsid w:val="00B82DF8"/>
    <w:rsid w:val="00B833F8"/>
    <w:rsid w:val="00B835EB"/>
    <w:rsid w:val="00B837DF"/>
    <w:rsid w:val="00B83D8B"/>
    <w:rsid w:val="00B83F4C"/>
    <w:rsid w:val="00B84467"/>
    <w:rsid w:val="00B8452A"/>
    <w:rsid w:val="00B847EE"/>
    <w:rsid w:val="00B84DFE"/>
    <w:rsid w:val="00B852CD"/>
    <w:rsid w:val="00B85619"/>
    <w:rsid w:val="00B85BFD"/>
    <w:rsid w:val="00B85D32"/>
    <w:rsid w:val="00B85E67"/>
    <w:rsid w:val="00B85E8A"/>
    <w:rsid w:val="00B85EB2"/>
    <w:rsid w:val="00B86096"/>
    <w:rsid w:val="00B86101"/>
    <w:rsid w:val="00B86980"/>
    <w:rsid w:val="00B86ACD"/>
    <w:rsid w:val="00B86E6F"/>
    <w:rsid w:val="00B87978"/>
    <w:rsid w:val="00B87995"/>
    <w:rsid w:val="00B87F1C"/>
    <w:rsid w:val="00B87FF8"/>
    <w:rsid w:val="00B90187"/>
    <w:rsid w:val="00B902C7"/>
    <w:rsid w:val="00B90354"/>
    <w:rsid w:val="00B906EE"/>
    <w:rsid w:val="00B90C06"/>
    <w:rsid w:val="00B90D61"/>
    <w:rsid w:val="00B9149F"/>
    <w:rsid w:val="00B917E3"/>
    <w:rsid w:val="00B9188D"/>
    <w:rsid w:val="00B91AE2"/>
    <w:rsid w:val="00B91E77"/>
    <w:rsid w:val="00B9208E"/>
    <w:rsid w:val="00B920AD"/>
    <w:rsid w:val="00B92110"/>
    <w:rsid w:val="00B92480"/>
    <w:rsid w:val="00B92559"/>
    <w:rsid w:val="00B92601"/>
    <w:rsid w:val="00B9290E"/>
    <w:rsid w:val="00B92943"/>
    <w:rsid w:val="00B92F6F"/>
    <w:rsid w:val="00B93390"/>
    <w:rsid w:val="00B93442"/>
    <w:rsid w:val="00B9349C"/>
    <w:rsid w:val="00B938FB"/>
    <w:rsid w:val="00B93D52"/>
    <w:rsid w:val="00B941F8"/>
    <w:rsid w:val="00B943BD"/>
    <w:rsid w:val="00B946BA"/>
    <w:rsid w:val="00B94928"/>
    <w:rsid w:val="00B949A0"/>
    <w:rsid w:val="00B94C66"/>
    <w:rsid w:val="00B94DF3"/>
    <w:rsid w:val="00B951B0"/>
    <w:rsid w:val="00B95563"/>
    <w:rsid w:val="00B95F7A"/>
    <w:rsid w:val="00B963F2"/>
    <w:rsid w:val="00B9642E"/>
    <w:rsid w:val="00B965DF"/>
    <w:rsid w:val="00B96C08"/>
    <w:rsid w:val="00B96DF8"/>
    <w:rsid w:val="00B97008"/>
    <w:rsid w:val="00B9743F"/>
    <w:rsid w:val="00B97CFC"/>
    <w:rsid w:val="00BA0282"/>
    <w:rsid w:val="00BA02AB"/>
    <w:rsid w:val="00BA09B8"/>
    <w:rsid w:val="00BA0E3D"/>
    <w:rsid w:val="00BA0EA4"/>
    <w:rsid w:val="00BA0F4B"/>
    <w:rsid w:val="00BA11E6"/>
    <w:rsid w:val="00BA17DC"/>
    <w:rsid w:val="00BA1982"/>
    <w:rsid w:val="00BA1A01"/>
    <w:rsid w:val="00BA1C6F"/>
    <w:rsid w:val="00BA1D0D"/>
    <w:rsid w:val="00BA1D15"/>
    <w:rsid w:val="00BA20B4"/>
    <w:rsid w:val="00BA2244"/>
    <w:rsid w:val="00BA2327"/>
    <w:rsid w:val="00BA2390"/>
    <w:rsid w:val="00BA23DA"/>
    <w:rsid w:val="00BA2424"/>
    <w:rsid w:val="00BA2762"/>
    <w:rsid w:val="00BA283F"/>
    <w:rsid w:val="00BA325F"/>
    <w:rsid w:val="00BA361B"/>
    <w:rsid w:val="00BA3EA2"/>
    <w:rsid w:val="00BA421B"/>
    <w:rsid w:val="00BA47BE"/>
    <w:rsid w:val="00BA4E9A"/>
    <w:rsid w:val="00BA56AD"/>
    <w:rsid w:val="00BA5A19"/>
    <w:rsid w:val="00BA5CAB"/>
    <w:rsid w:val="00BA5EA9"/>
    <w:rsid w:val="00BA5F27"/>
    <w:rsid w:val="00BA6210"/>
    <w:rsid w:val="00BA6398"/>
    <w:rsid w:val="00BA67E8"/>
    <w:rsid w:val="00BA67FB"/>
    <w:rsid w:val="00BA7BCE"/>
    <w:rsid w:val="00BA7F5F"/>
    <w:rsid w:val="00BB033E"/>
    <w:rsid w:val="00BB0371"/>
    <w:rsid w:val="00BB0762"/>
    <w:rsid w:val="00BB09F2"/>
    <w:rsid w:val="00BB0ACA"/>
    <w:rsid w:val="00BB105D"/>
    <w:rsid w:val="00BB121A"/>
    <w:rsid w:val="00BB1350"/>
    <w:rsid w:val="00BB1598"/>
    <w:rsid w:val="00BB16E1"/>
    <w:rsid w:val="00BB2934"/>
    <w:rsid w:val="00BB2A2A"/>
    <w:rsid w:val="00BB2A4D"/>
    <w:rsid w:val="00BB2B99"/>
    <w:rsid w:val="00BB3183"/>
    <w:rsid w:val="00BB34BD"/>
    <w:rsid w:val="00BB3657"/>
    <w:rsid w:val="00BB3D63"/>
    <w:rsid w:val="00BB3DA9"/>
    <w:rsid w:val="00BB3E7A"/>
    <w:rsid w:val="00BB40CF"/>
    <w:rsid w:val="00BB4549"/>
    <w:rsid w:val="00BB4740"/>
    <w:rsid w:val="00BB49E6"/>
    <w:rsid w:val="00BB4C0D"/>
    <w:rsid w:val="00BB573C"/>
    <w:rsid w:val="00BB584F"/>
    <w:rsid w:val="00BB5A0F"/>
    <w:rsid w:val="00BB5E3C"/>
    <w:rsid w:val="00BB61D7"/>
    <w:rsid w:val="00BB6483"/>
    <w:rsid w:val="00BB64EB"/>
    <w:rsid w:val="00BB6B86"/>
    <w:rsid w:val="00BB6DAC"/>
    <w:rsid w:val="00BB6E33"/>
    <w:rsid w:val="00BB7381"/>
    <w:rsid w:val="00BB7580"/>
    <w:rsid w:val="00BB76B8"/>
    <w:rsid w:val="00BB7B86"/>
    <w:rsid w:val="00BC0328"/>
    <w:rsid w:val="00BC0341"/>
    <w:rsid w:val="00BC04AB"/>
    <w:rsid w:val="00BC07B7"/>
    <w:rsid w:val="00BC0D66"/>
    <w:rsid w:val="00BC10F7"/>
    <w:rsid w:val="00BC1313"/>
    <w:rsid w:val="00BC1400"/>
    <w:rsid w:val="00BC16A4"/>
    <w:rsid w:val="00BC1885"/>
    <w:rsid w:val="00BC2395"/>
    <w:rsid w:val="00BC2A9F"/>
    <w:rsid w:val="00BC2CF5"/>
    <w:rsid w:val="00BC2CF8"/>
    <w:rsid w:val="00BC2F44"/>
    <w:rsid w:val="00BC31FC"/>
    <w:rsid w:val="00BC3556"/>
    <w:rsid w:val="00BC3C44"/>
    <w:rsid w:val="00BC44EF"/>
    <w:rsid w:val="00BC4538"/>
    <w:rsid w:val="00BC4AEA"/>
    <w:rsid w:val="00BC4E7C"/>
    <w:rsid w:val="00BC4ED2"/>
    <w:rsid w:val="00BC4EF9"/>
    <w:rsid w:val="00BC5AB2"/>
    <w:rsid w:val="00BC5E10"/>
    <w:rsid w:val="00BC6363"/>
    <w:rsid w:val="00BC661F"/>
    <w:rsid w:val="00BC6B2C"/>
    <w:rsid w:val="00BC6F57"/>
    <w:rsid w:val="00BC78BC"/>
    <w:rsid w:val="00BC7951"/>
    <w:rsid w:val="00BC7BA7"/>
    <w:rsid w:val="00BD0668"/>
    <w:rsid w:val="00BD07B9"/>
    <w:rsid w:val="00BD0866"/>
    <w:rsid w:val="00BD0ADA"/>
    <w:rsid w:val="00BD0DF5"/>
    <w:rsid w:val="00BD0EE3"/>
    <w:rsid w:val="00BD10CD"/>
    <w:rsid w:val="00BD126E"/>
    <w:rsid w:val="00BD158B"/>
    <w:rsid w:val="00BD17FB"/>
    <w:rsid w:val="00BD196C"/>
    <w:rsid w:val="00BD285E"/>
    <w:rsid w:val="00BD2F1A"/>
    <w:rsid w:val="00BD2F40"/>
    <w:rsid w:val="00BD3560"/>
    <w:rsid w:val="00BD35B7"/>
    <w:rsid w:val="00BD3669"/>
    <w:rsid w:val="00BD3765"/>
    <w:rsid w:val="00BD3A40"/>
    <w:rsid w:val="00BD4440"/>
    <w:rsid w:val="00BD47FF"/>
    <w:rsid w:val="00BD48EA"/>
    <w:rsid w:val="00BD5808"/>
    <w:rsid w:val="00BD60F9"/>
    <w:rsid w:val="00BD62EF"/>
    <w:rsid w:val="00BD693B"/>
    <w:rsid w:val="00BD6E30"/>
    <w:rsid w:val="00BD6FD6"/>
    <w:rsid w:val="00BD7080"/>
    <w:rsid w:val="00BD7557"/>
    <w:rsid w:val="00BD7D82"/>
    <w:rsid w:val="00BE00EF"/>
    <w:rsid w:val="00BE0897"/>
    <w:rsid w:val="00BE08D4"/>
    <w:rsid w:val="00BE0980"/>
    <w:rsid w:val="00BE0AD0"/>
    <w:rsid w:val="00BE0C03"/>
    <w:rsid w:val="00BE0C10"/>
    <w:rsid w:val="00BE0D54"/>
    <w:rsid w:val="00BE0F3D"/>
    <w:rsid w:val="00BE10E4"/>
    <w:rsid w:val="00BE1F5C"/>
    <w:rsid w:val="00BE2040"/>
    <w:rsid w:val="00BE2474"/>
    <w:rsid w:val="00BE26F2"/>
    <w:rsid w:val="00BE3369"/>
    <w:rsid w:val="00BE3C5D"/>
    <w:rsid w:val="00BE405C"/>
    <w:rsid w:val="00BE4078"/>
    <w:rsid w:val="00BE42DF"/>
    <w:rsid w:val="00BE4795"/>
    <w:rsid w:val="00BE47F4"/>
    <w:rsid w:val="00BE4B2B"/>
    <w:rsid w:val="00BE4D7A"/>
    <w:rsid w:val="00BE505A"/>
    <w:rsid w:val="00BE54AC"/>
    <w:rsid w:val="00BE5550"/>
    <w:rsid w:val="00BE5B8B"/>
    <w:rsid w:val="00BE62F2"/>
    <w:rsid w:val="00BE636D"/>
    <w:rsid w:val="00BE6C39"/>
    <w:rsid w:val="00BE70A9"/>
    <w:rsid w:val="00BE7343"/>
    <w:rsid w:val="00BE7956"/>
    <w:rsid w:val="00BE7A63"/>
    <w:rsid w:val="00BE7F3C"/>
    <w:rsid w:val="00BE7FB6"/>
    <w:rsid w:val="00BF0937"/>
    <w:rsid w:val="00BF0E4E"/>
    <w:rsid w:val="00BF0EBA"/>
    <w:rsid w:val="00BF1189"/>
    <w:rsid w:val="00BF17B5"/>
    <w:rsid w:val="00BF19B4"/>
    <w:rsid w:val="00BF1C87"/>
    <w:rsid w:val="00BF2458"/>
    <w:rsid w:val="00BF285E"/>
    <w:rsid w:val="00BF2B0C"/>
    <w:rsid w:val="00BF2CD2"/>
    <w:rsid w:val="00BF31B3"/>
    <w:rsid w:val="00BF394B"/>
    <w:rsid w:val="00BF3AD1"/>
    <w:rsid w:val="00BF3B0F"/>
    <w:rsid w:val="00BF3F13"/>
    <w:rsid w:val="00BF43B9"/>
    <w:rsid w:val="00BF4EAE"/>
    <w:rsid w:val="00BF50E2"/>
    <w:rsid w:val="00BF5140"/>
    <w:rsid w:val="00BF5920"/>
    <w:rsid w:val="00BF5EBF"/>
    <w:rsid w:val="00BF61D1"/>
    <w:rsid w:val="00BF67E1"/>
    <w:rsid w:val="00BF6B9C"/>
    <w:rsid w:val="00BF70CD"/>
    <w:rsid w:val="00BF7144"/>
    <w:rsid w:val="00BF75CF"/>
    <w:rsid w:val="00BF7982"/>
    <w:rsid w:val="00BF7BAB"/>
    <w:rsid w:val="00BF7DCA"/>
    <w:rsid w:val="00C000E4"/>
    <w:rsid w:val="00C001FC"/>
    <w:rsid w:val="00C00340"/>
    <w:rsid w:val="00C00404"/>
    <w:rsid w:val="00C00BC4"/>
    <w:rsid w:val="00C0101C"/>
    <w:rsid w:val="00C01116"/>
    <w:rsid w:val="00C012E7"/>
    <w:rsid w:val="00C013A4"/>
    <w:rsid w:val="00C01483"/>
    <w:rsid w:val="00C01666"/>
    <w:rsid w:val="00C01D01"/>
    <w:rsid w:val="00C02063"/>
    <w:rsid w:val="00C028ED"/>
    <w:rsid w:val="00C02A60"/>
    <w:rsid w:val="00C02CCD"/>
    <w:rsid w:val="00C02EE5"/>
    <w:rsid w:val="00C031A8"/>
    <w:rsid w:val="00C031E3"/>
    <w:rsid w:val="00C034BD"/>
    <w:rsid w:val="00C038DB"/>
    <w:rsid w:val="00C0394E"/>
    <w:rsid w:val="00C03D79"/>
    <w:rsid w:val="00C048F5"/>
    <w:rsid w:val="00C04975"/>
    <w:rsid w:val="00C05336"/>
    <w:rsid w:val="00C05398"/>
    <w:rsid w:val="00C055AC"/>
    <w:rsid w:val="00C0591C"/>
    <w:rsid w:val="00C05C10"/>
    <w:rsid w:val="00C05D17"/>
    <w:rsid w:val="00C05D1A"/>
    <w:rsid w:val="00C05DFC"/>
    <w:rsid w:val="00C06736"/>
    <w:rsid w:val="00C06E6C"/>
    <w:rsid w:val="00C06EDA"/>
    <w:rsid w:val="00C06FDC"/>
    <w:rsid w:val="00C07369"/>
    <w:rsid w:val="00C0791F"/>
    <w:rsid w:val="00C10B5C"/>
    <w:rsid w:val="00C10DC2"/>
    <w:rsid w:val="00C10ED3"/>
    <w:rsid w:val="00C113C8"/>
    <w:rsid w:val="00C114A1"/>
    <w:rsid w:val="00C118E4"/>
    <w:rsid w:val="00C11928"/>
    <w:rsid w:val="00C119A7"/>
    <w:rsid w:val="00C11B13"/>
    <w:rsid w:val="00C11BF4"/>
    <w:rsid w:val="00C121AF"/>
    <w:rsid w:val="00C12414"/>
    <w:rsid w:val="00C127DA"/>
    <w:rsid w:val="00C12ADE"/>
    <w:rsid w:val="00C12D98"/>
    <w:rsid w:val="00C12D99"/>
    <w:rsid w:val="00C1347C"/>
    <w:rsid w:val="00C1396E"/>
    <w:rsid w:val="00C14032"/>
    <w:rsid w:val="00C145F4"/>
    <w:rsid w:val="00C148E2"/>
    <w:rsid w:val="00C14C98"/>
    <w:rsid w:val="00C15455"/>
    <w:rsid w:val="00C15678"/>
    <w:rsid w:val="00C15F2F"/>
    <w:rsid w:val="00C15F86"/>
    <w:rsid w:val="00C162C1"/>
    <w:rsid w:val="00C1675A"/>
    <w:rsid w:val="00C16CDD"/>
    <w:rsid w:val="00C16E9F"/>
    <w:rsid w:val="00C171F9"/>
    <w:rsid w:val="00C201E5"/>
    <w:rsid w:val="00C202C5"/>
    <w:rsid w:val="00C203D3"/>
    <w:rsid w:val="00C2042D"/>
    <w:rsid w:val="00C2046B"/>
    <w:rsid w:val="00C210F7"/>
    <w:rsid w:val="00C21237"/>
    <w:rsid w:val="00C21280"/>
    <w:rsid w:val="00C21461"/>
    <w:rsid w:val="00C222B5"/>
    <w:rsid w:val="00C22395"/>
    <w:rsid w:val="00C22B24"/>
    <w:rsid w:val="00C23243"/>
    <w:rsid w:val="00C2344B"/>
    <w:rsid w:val="00C2344C"/>
    <w:rsid w:val="00C234D7"/>
    <w:rsid w:val="00C23B2B"/>
    <w:rsid w:val="00C247E5"/>
    <w:rsid w:val="00C2489F"/>
    <w:rsid w:val="00C24A42"/>
    <w:rsid w:val="00C24B97"/>
    <w:rsid w:val="00C251D4"/>
    <w:rsid w:val="00C25426"/>
    <w:rsid w:val="00C25607"/>
    <w:rsid w:val="00C256CE"/>
    <w:rsid w:val="00C2596F"/>
    <w:rsid w:val="00C25CC2"/>
    <w:rsid w:val="00C25EC8"/>
    <w:rsid w:val="00C26384"/>
    <w:rsid w:val="00C26EBF"/>
    <w:rsid w:val="00C27037"/>
    <w:rsid w:val="00C27567"/>
    <w:rsid w:val="00C27840"/>
    <w:rsid w:val="00C27867"/>
    <w:rsid w:val="00C27A77"/>
    <w:rsid w:val="00C27FEC"/>
    <w:rsid w:val="00C3023F"/>
    <w:rsid w:val="00C303E2"/>
    <w:rsid w:val="00C30ED3"/>
    <w:rsid w:val="00C31060"/>
    <w:rsid w:val="00C316A7"/>
    <w:rsid w:val="00C317EB"/>
    <w:rsid w:val="00C3187B"/>
    <w:rsid w:val="00C3197F"/>
    <w:rsid w:val="00C31B34"/>
    <w:rsid w:val="00C32544"/>
    <w:rsid w:val="00C328D3"/>
    <w:rsid w:val="00C32AF0"/>
    <w:rsid w:val="00C32B4B"/>
    <w:rsid w:val="00C32C3B"/>
    <w:rsid w:val="00C32C52"/>
    <w:rsid w:val="00C33305"/>
    <w:rsid w:val="00C334D0"/>
    <w:rsid w:val="00C33690"/>
    <w:rsid w:val="00C33CDC"/>
    <w:rsid w:val="00C34783"/>
    <w:rsid w:val="00C349AC"/>
    <w:rsid w:val="00C34E35"/>
    <w:rsid w:val="00C35D04"/>
    <w:rsid w:val="00C362A9"/>
    <w:rsid w:val="00C36347"/>
    <w:rsid w:val="00C36C4B"/>
    <w:rsid w:val="00C36C8F"/>
    <w:rsid w:val="00C36CD6"/>
    <w:rsid w:val="00C36D44"/>
    <w:rsid w:val="00C374C6"/>
    <w:rsid w:val="00C376A9"/>
    <w:rsid w:val="00C3789D"/>
    <w:rsid w:val="00C37BA2"/>
    <w:rsid w:val="00C37EDF"/>
    <w:rsid w:val="00C40166"/>
    <w:rsid w:val="00C4056B"/>
    <w:rsid w:val="00C4061D"/>
    <w:rsid w:val="00C407AD"/>
    <w:rsid w:val="00C40CDB"/>
    <w:rsid w:val="00C40E17"/>
    <w:rsid w:val="00C41238"/>
    <w:rsid w:val="00C41360"/>
    <w:rsid w:val="00C414D0"/>
    <w:rsid w:val="00C41509"/>
    <w:rsid w:val="00C416A8"/>
    <w:rsid w:val="00C41CCA"/>
    <w:rsid w:val="00C42020"/>
    <w:rsid w:val="00C4212F"/>
    <w:rsid w:val="00C42386"/>
    <w:rsid w:val="00C42969"/>
    <w:rsid w:val="00C429A1"/>
    <w:rsid w:val="00C42EF1"/>
    <w:rsid w:val="00C43944"/>
    <w:rsid w:val="00C43AAC"/>
    <w:rsid w:val="00C43D93"/>
    <w:rsid w:val="00C44003"/>
    <w:rsid w:val="00C44083"/>
    <w:rsid w:val="00C44352"/>
    <w:rsid w:val="00C446FA"/>
    <w:rsid w:val="00C44FAC"/>
    <w:rsid w:val="00C45351"/>
    <w:rsid w:val="00C45D96"/>
    <w:rsid w:val="00C461DE"/>
    <w:rsid w:val="00C463CA"/>
    <w:rsid w:val="00C46836"/>
    <w:rsid w:val="00C46E1D"/>
    <w:rsid w:val="00C46EB5"/>
    <w:rsid w:val="00C47063"/>
    <w:rsid w:val="00C47100"/>
    <w:rsid w:val="00C472C8"/>
    <w:rsid w:val="00C47C6A"/>
    <w:rsid w:val="00C47F35"/>
    <w:rsid w:val="00C47FF9"/>
    <w:rsid w:val="00C504B6"/>
    <w:rsid w:val="00C50697"/>
    <w:rsid w:val="00C506AE"/>
    <w:rsid w:val="00C50750"/>
    <w:rsid w:val="00C5095B"/>
    <w:rsid w:val="00C50FAF"/>
    <w:rsid w:val="00C51204"/>
    <w:rsid w:val="00C51308"/>
    <w:rsid w:val="00C51AD5"/>
    <w:rsid w:val="00C51C73"/>
    <w:rsid w:val="00C525BA"/>
    <w:rsid w:val="00C526AF"/>
    <w:rsid w:val="00C52997"/>
    <w:rsid w:val="00C52FF1"/>
    <w:rsid w:val="00C54501"/>
    <w:rsid w:val="00C54A40"/>
    <w:rsid w:val="00C54BA7"/>
    <w:rsid w:val="00C54DEA"/>
    <w:rsid w:val="00C550D8"/>
    <w:rsid w:val="00C561CD"/>
    <w:rsid w:val="00C56205"/>
    <w:rsid w:val="00C563C3"/>
    <w:rsid w:val="00C565F1"/>
    <w:rsid w:val="00C565FE"/>
    <w:rsid w:val="00C5668C"/>
    <w:rsid w:val="00C569A3"/>
    <w:rsid w:val="00C56B68"/>
    <w:rsid w:val="00C57290"/>
    <w:rsid w:val="00C57620"/>
    <w:rsid w:val="00C5765D"/>
    <w:rsid w:val="00C57C44"/>
    <w:rsid w:val="00C57D23"/>
    <w:rsid w:val="00C57EDA"/>
    <w:rsid w:val="00C602AE"/>
    <w:rsid w:val="00C6046A"/>
    <w:rsid w:val="00C60664"/>
    <w:rsid w:val="00C611DB"/>
    <w:rsid w:val="00C612D0"/>
    <w:rsid w:val="00C619FF"/>
    <w:rsid w:val="00C61A15"/>
    <w:rsid w:val="00C61CA3"/>
    <w:rsid w:val="00C61CA9"/>
    <w:rsid w:val="00C61E7A"/>
    <w:rsid w:val="00C6218D"/>
    <w:rsid w:val="00C622C1"/>
    <w:rsid w:val="00C62492"/>
    <w:rsid w:val="00C629CD"/>
    <w:rsid w:val="00C634C8"/>
    <w:rsid w:val="00C6363A"/>
    <w:rsid w:val="00C63A43"/>
    <w:rsid w:val="00C63D35"/>
    <w:rsid w:val="00C643B5"/>
    <w:rsid w:val="00C64648"/>
    <w:rsid w:val="00C64873"/>
    <w:rsid w:val="00C64A71"/>
    <w:rsid w:val="00C64BB8"/>
    <w:rsid w:val="00C64D84"/>
    <w:rsid w:val="00C64FA6"/>
    <w:rsid w:val="00C65612"/>
    <w:rsid w:val="00C657FB"/>
    <w:rsid w:val="00C658E4"/>
    <w:rsid w:val="00C6593B"/>
    <w:rsid w:val="00C65D03"/>
    <w:rsid w:val="00C65F09"/>
    <w:rsid w:val="00C65FFB"/>
    <w:rsid w:val="00C6630F"/>
    <w:rsid w:val="00C663B7"/>
    <w:rsid w:val="00C66963"/>
    <w:rsid w:val="00C669A0"/>
    <w:rsid w:val="00C66A3D"/>
    <w:rsid w:val="00C670F2"/>
    <w:rsid w:val="00C67473"/>
    <w:rsid w:val="00C67566"/>
    <w:rsid w:val="00C67576"/>
    <w:rsid w:val="00C67717"/>
    <w:rsid w:val="00C67823"/>
    <w:rsid w:val="00C67840"/>
    <w:rsid w:val="00C701AF"/>
    <w:rsid w:val="00C70271"/>
    <w:rsid w:val="00C70284"/>
    <w:rsid w:val="00C70443"/>
    <w:rsid w:val="00C70C53"/>
    <w:rsid w:val="00C70E73"/>
    <w:rsid w:val="00C70F54"/>
    <w:rsid w:val="00C714FF"/>
    <w:rsid w:val="00C7180E"/>
    <w:rsid w:val="00C7184D"/>
    <w:rsid w:val="00C71A6B"/>
    <w:rsid w:val="00C71EAF"/>
    <w:rsid w:val="00C722AE"/>
    <w:rsid w:val="00C724AF"/>
    <w:rsid w:val="00C7272C"/>
    <w:rsid w:val="00C72B9D"/>
    <w:rsid w:val="00C73357"/>
    <w:rsid w:val="00C73403"/>
    <w:rsid w:val="00C7371A"/>
    <w:rsid w:val="00C73AF9"/>
    <w:rsid w:val="00C73FE6"/>
    <w:rsid w:val="00C746CE"/>
    <w:rsid w:val="00C74C19"/>
    <w:rsid w:val="00C75179"/>
    <w:rsid w:val="00C76381"/>
    <w:rsid w:val="00C7665D"/>
    <w:rsid w:val="00C769DF"/>
    <w:rsid w:val="00C774F0"/>
    <w:rsid w:val="00C778E8"/>
    <w:rsid w:val="00C800E1"/>
    <w:rsid w:val="00C8017F"/>
    <w:rsid w:val="00C803BE"/>
    <w:rsid w:val="00C80F15"/>
    <w:rsid w:val="00C8123F"/>
    <w:rsid w:val="00C81725"/>
    <w:rsid w:val="00C817EA"/>
    <w:rsid w:val="00C8187B"/>
    <w:rsid w:val="00C829F9"/>
    <w:rsid w:val="00C83785"/>
    <w:rsid w:val="00C83CF4"/>
    <w:rsid w:val="00C83D98"/>
    <w:rsid w:val="00C843FC"/>
    <w:rsid w:val="00C84636"/>
    <w:rsid w:val="00C849CE"/>
    <w:rsid w:val="00C84B31"/>
    <w:rsid w:val="00C84F5A"/>
    <w:rsid w:val="00C85936"/>
    <w:rsid w:val="00C85B76"/>
    <w:rsid w:val="00C85DDB"/>
    <w:rsid w:val="00C86852"/>
    <w:rsid w:val="00C86B5C"/>
    <w:rsid w:val="00C86E49"/>
    <w:rsid w:val="00C87BA1"/>
    <w:rsid w:val="00C87DB9"/>
    <w:rsid w:val="00C90088"/>
    <w:rsid w:val="00C9058F"/>
    <w:rsid w:val="00C90AA7"/>
    <w:rsid w:val="00C90D72"/>
    <w:rsid w:val="00C91686"/>
    <w:rsid w:val="00C9281E"/>
    <w:rsid w:val="00C92AAC"/>
    <w:rsid w:val="00C92C15"/>
    <w:rsid w:val="00C92D5E"/>
    <w:rsid w:val="00C93499"/>
    <w:rsid w:val="00C9382F"/>
    <w:rsid w:val="00C93993"/>
    <w:rsid w:val="00C93AAE"/>
    <w:rsid w:val="00C93EAC"/>
    <w:rsid w:val="00C93EDE"/>
    <w:rsid w:val="00C9404B"/>
    <w:rsid w:val="00C945FE"/>
    <w:rsid w:val="00C94AED"/>
    <w:rsid w:val="00C94B03"/>
    <w:rsid w:val="00C94D85"/>
    <w:rsid w:val="00C94E67"/>
    <w:rsid w:val="00C95652"/>
    <w:rsid w:val="00C95B33"/>
    <w:rsid w:val="00C95C45"/>
    <w:rsid w:val="00C96983"/>
    <w:rsid w:val="00C96BB6"/>
    <w:rsid w:val="00C96EC4"/>
    <w:rsid w:val="00C9722C"/>
    <w:rsid w:val="00C97557"/>
    <w:rsid w:val="00C97747"/>
    <w:rsid w:val="00C9776B"/>
    <w:rsid w:val="00C9777D"/>
    <w:rsid w:val="00C97800"/>
    <w:rsid w:val="00C97B1A"/>
    <w:rsid w:val="00C97C37"/>
    <w:rsid w:val="00C97DD4"/>
    <w:rsid w:val="00C97DF9"/>
    <w:rsid w:val="00CA04FD"/>
    <w:rsid w:val="00CA053F"/>
    <w:rsid w:val="00CA0800"/>
    <w:rsid w:val="00CA089D"/>
    <w:rsid w:val="00CA0EB3"/>
    <w:rsid w:val="00CA0F5C"/>
    <w:rsid w:val="00CA12BF"/>
    <w:rsid w:val="00CA15CA"/>
    <w:rsid w:val="00CA1640"/>
    <w:rsid w:val="00CA1668"/>
    <w:rsid w:val="00CA16E8"/>
    <w:rsid w:val="00CA1ED2"/>
    <w:rsid w:val="00CA24EA"/>
    <w:rsid w:val="00CA25F7"/>
    <w:rsid w:val="00CA2624"/>
    <w:rsid w:val="00CA26D0"/>
    <w:rsid w:val="00CA2954"/>
    <w:rsid w:val="00CA29A4"/>
    <w:rsid w:val="00CA2B83"/>
    <w:rsid w:val="00CA2F3A"/>
    <w:rsid w:val="00CA30E6"/>
    <w:rsid w:val="00CA3477"/>
    <w:rsid w:val="00CA3695"/>
    <w:rsid w:val="00CA3B8E"/>
    <w:rsid w:val="00CA3E83"/>
    <w:rsid w:val="00CA4076"/>
    <w:rsid w:val="00CA407F"/>
    <w:rsid w:val="00CA40A8"/>
    <w:rsid w:val="00CA47A5"/>
    <w:rsid w:val="00CA4EB4"/>
    <w:rsid w:val="00CA54B6"/>
    <w:rsid w:val="00CA57C7"/>
    <w:rsid w:val="00CA6C8D"/>
    <w:rsid w:val="00CA6D9B"/>
    <w:rsid w:val="00CA710B"/>
    <w:rsid w:val="00CA74C6"/>
    <w:rsid w:val="00CA7787"/>
    <w:rsid w:val="00CA7971"/>
    <w:rsid w:val="00CA7B7B"/>
    <w:rsid w:val="00CB07F0"/>
    <w:rsid w:val="00CB09A9"/>
    <w:rsid w:val="00CB0BAF"/>
    <w:rsid w:val="00CB0BD0"/>
    <w:rsid w:val="00CB1B03"/>
    <w:rsid w:val="00CB234D"/>
    <w:rsid w:val="00CB23D3"/>
    <w:rsid w:val="00CB27D0"/>
    <w:rsid w:val="00CB29B2"/>
    <w:rsid w:val="00CB2A41"/>
    <w:rsid w:val="00CB2CB7"/>
    <w:rsid w:val="00CB3057"/>
    <w:rsid w:val="00CB32F3"/>
    <w:rsid w:val="00CB36F3"/>
    <w:rsid w:val="00CB37C0"/>
    <w:rsid w:val="00CB3B4A"/>
    <w:rsid w:val="00CB3E6F"/>
    <w:rsid w:val="00CB42CD"/>
    <w:rsid w:val="00CB43A6"/>
    <w:rsid w:val="00CB4A30"/>
    <w:rsid w:val="00CB4A71"/>
    <w:rsid w:val="00CB4D98"/>
    <w:rsid w:val="00CB4E91"/>
    <w:rsid w:val="00CB53FA"/>
    <w:rsid w:val="00CB54DD"/>
    <w:rsid w:val="00CB569A"/>
    <w:rsid w:val="00CB57AA"/>
    <w:rsid w:val="00CB59A8"/>
    <w:rsid w:val="00CB6094"/>
    <w:rsid w:val="00CB6B2C"/>
    <w:rsid w:val="00CB6C57"/>
    <w:rsid w:val="00CB6C86"/>
    <w:rsid w:val="00CB721E"/>
    <w:rsid w:val="00CB75C1"/>
    <w:rsid w:val="00CB75E8"/>
    <w:rsid w:val="00CB79B6"/>
    <w:rsid w:val="00CB7B95"/>
    <w:rsid w:val="00CB7F08"/>
    <w:rsid w:val="00CB7FD2"/>
    <w:rsid w:val="00CC0025"/>
    <w:rsid w:val="00CC00F1"/>
    <w:rsid w:val="00CC02DA"/>
    <w:rsid w:val="00CC08DD"/>
    <w:rsid w:val="00CC0D18"/>
    <w:rsid w:val="00CC1172"/>
    <w:rsid w:val="00CC1DC2"/>
    <w:rsid w:val="00CC27BE"/>
    <w:rsid w:val="00CC29FF"/>
    <w:rsid w:val="00CC2AE8"/>
    <w:rsid w:val="00CC32CD"/>
    <w:rsid w:val="00CC3984"/>
    <w:rsid w:val="00CC3BF2"/>
    <w:rsid w:val="00CC40C8"/>
    <w:rsid w:val="00CC45E7"/>
    <w:rsid w:val="00CC4AE1"/>
    <w:rsid w:val="00CC56B0"/>
    <w:rsid w:val="00CC5792"/>
    <w:rsid w:val="00CC5E6D"/>
    <w:rsid w:val="00CC5FFA"/>
    <w:rsid w:val="00CC6221"/>
    <w:rsid w:val="00CC62DB"/>
    <w:rsid w:val="00CC65C3"/>
    <w:rsid w:val="00CC68A9"/>
    <w:rsid w:val="00CC6AFD"/>
    <w:rsid w:val="00CC6B46"/>
    <w:rsid w:val="00CC7500"/>
    <w:rsid w:val="00CC7C81"/>
    <w:rsid w:val="00CC7CBF"/>
    <w:rsid w:val="00CC7D02"/>
    <w:rsid w:val="00CD00A5"/>
    <w:rsid w:val="00CD00B8"/>
    <w:rsid w:val="00CD0950"/>
    <w:rsid w:val="00CD1677"/>
    <w:rsid w:val="00CD19F1"/>
    <w:rsid w:val="00CD1AE6"/>
    <w:rsid w:val="00CD1CDB"/>
    <w:rsid w:val="00CD219F"/>
    <w:rsid w:val="00CD2472"/>
    <w:rsid w:val="00CD2480"/>
    <w:rsid w:val="00CD2536"/>
    <w:rsid w:val="00CD275E"/>
    <w:rsid w:val="00CD2799"/>
    <w:rsid w:val="00CD28E1"/>
    <w:rsid w:val="00CD2D2C"/>
    <w:rsid w:val="00CD2D2D"/>
    <w:rsid w:val="00CD38E0"/>
    <w:rsid w:val="00CD3917"/>
    <w:rsid w:val="00CD3B70"/>
    <w:rsid w:val="00CD3C1B"/>
    <w:rsid w:val="00CD4215"/>
    <w:rsid w:val="00CD42BD"/>
    <w:rsid w:val="00CD4544"/>
    <w:rsid w:val="00CD45C6"/>
    <w:rsid w:val="00CD47FB"/>
    <w:rsid w:val="00CD4B09"/>
    <w:rsid w:val="00CD54C6"/>
    <w:rsid w:val="00CD5646"/>
    <w:rsid w:val="00CD6562"/>
    <w:rsid w:val="00CD65AC"/>
    <w:rsid w:val="00CD6665"/>
    <w:rsid w:val="00CD6781"/>
    <w:rsid w:val="00CD6DA3"/>
    <w:rsid w:val="00CD6F59"/>
    <w:rsid w:val="00CD7195"/>
    <w:rsid w:val="00CD72A4"/>
    <w:rsid w:val="00CD7505"/>
    <w:rsid w:val="00CD763E"/>
    <w:rsid w:val="00CD765B"/>
    <w:rsid w:val="00CD76B0"/>
    <w:rsid w:val="00CD76EF"/>
    <w:rsid w:val="00CD77F7"/>
    <w:rsid w:val="00CD77FB"/>
    <w:rsid w:val="00CD78FD"/>
    <w:rsid w:val="00CE07C1"/>
    <w:rsid w:val="00CE0EEF"/>
    <w:rsid w:val="00CE147F"/>
    <w:rsid w:val="00CE16B0"/>
    <w:rsid w:val="00CE176A"/>
    <w:rsid w:val="00CE1D30"/>
    <w:rsid w:val="00CE1DF8"/>
    <w:rsid w:val="00CE22D4"/>
    <w:rsid w:val="00CE26CC"/>
    <w:rsid w:val="00CE2A10"/>
    <w:rsid w:val="00CE2E87"/>
    <w:rsid w:val="00CE3029"/>
    <w:rsid w:val="00CE31FA"/>
    <w:rsid w:val="00CE3357"/>
    <w:rsid w:val="00CE3414"/>
    <w:rsid w:val="00CE3490"/>
    <w:rsid w:val="00CE359E"/>
    <w:rsid w:val="00CE3AB9"/>
    <w:rsid w:val="00CE3BA2"/>
    <w:rsid w:val="00CE420E"/>
    <w:rsid w:val="00CE4848"/>
    <w:rsid w:val="00CE4D20"/>
    <w:rsid w:val="00CE51E2"/>
    <w:rsid w:val="00CE530A"/>
    <w:rsid w:val="00CE533E"/>
    <w:rsid w:val="00CE5982"/>
    <w:rsid w:val="00CE5C29"/>
    <w:rsid w:val="00CE5E78"/>
    <w:rsid w:val="00CE6117"/>
    <w:rsid w:val="00CE617E"/>
    <w:rsid w:val="00CE6192"/>
    <w:rsid w:val="00CE620D"/>
    <w:rsid w:val="00CE68D7"/>
    <w:rsid w:val="00CE69CA"/>
    <w:rsid w:val="00CE6F99"/>
    <w:rsid w:val="00CE729F"/>
    <w:rsid w:val="00CE73E5"/>
    <w:rsid w:val="00CE78E5"/>
    <w:rsid w:val="00CE7943"/>
    <w:rsid w:val="00CE7BDE"/>
    <w:rsid w:val="00CE7CF3"/>
    <w:rsid w:val="00CE7E5D"/>
    <w:rsid w:val="00CE7FD8"/>
    <w:rsid w:val="00CF0B93"/>
    <w:rsid w:val="00CF0BE5"/>
    <w:rsid w:val="00CF0DED"/>
    <w:rsid w:val="00CF0F34"/>
    <w:rsid w:val="00CF0F7A"/>
    <w:rsid w:val="00CF13B6"/>
    <w:rsid w:val="00CF1509"/>
    <w:rsid w:val="00CF1612"/>
    <w:rsid w:val="00CF171C"/>
    <w:rsid w:val="00CF191B"/>
    <w:rsid w:val="00CF1C2A"/>
    <w:rsid w:val="00CF328C"/>
    <w:rsid w:val="00CF374C"/>
    <w:rsid w:val="00CF39CF"/>
    <w:rsid w:val="00CF3A30"/>
    <w:rsid w:val="00CF3DBB"/>
    <w:rsid w:val="00CF3E6D"/>
    <w:rsid w:val="00CF426E"/>
    <w:rsid w:val="00CF428E"/>
    <w:rsid w:val="00CF4561"/>
    <w:rsid w:val="00CF46C1"/>
    <w:rsid w:val="00CF49BA"/>
    <w:rsid w:val="00CF4FBF"/>
    <w:rsid w:val="00CF514B"/>
    <w:rsid w:val="00CF52ED"/>
    <w:rsid w:val="00CF5401"/>
    <w:rsid w:val="00CF552B"/>
    <w:rsid w:val="00CF5CBD"/>
    <w:rsid w:val="00CF5F0B"/>
    <w:rsid w:val="00CF6460"/>
    <w:rsid w:val="00CF6539"/>
    <w:rsid w:val="00CF6996"/>
    <w:rsid w:val="00CF6EDF"/>
    <w:rsid w:val="00CF724E"/>
    <w:rsid w:val="00CF73E8"/>
    <w:rsid w:val="00CF76EE"/>
    <w:rsid w:val="00CF79D7"/>
    <w:rsid w:val="00CF7AC9"/>
    <w:rsid w:val="00D003B4"/>
    <w:rsid w:val="00D003F4"/>
    <w:rsid w:val="00D0064E"/>
    <w:rsid w:val="00D00A93"/>
    <w:rsid w:val="00D00CA4"/>
    <w:rsid w:val="00D0115B"/>
    <w:rsid w:val="00D011FE"/>
    <w:rsid w:val="00D0132C"/>
    <w:rsid w:val="00D014FA"/>
    <w:rsid w:val="00D015E4"/>
    <w:rsid w:val="00D01890"/>
    <w:rsid w:val="00D018AA"/>
    <w:rsid w:val="00D01F19"/>
    <w:rsid w:val="00D0297D"/>
    <w:rsid w:val="00D02BF0"/>
    <w:rsid w:val="00D03214"/>
    <w:rsid w:val="00D0328C"/>
    <w:rsid w:val="00D03295"/>
    <w:rsid w:val="00D03828"/>
    <w:rsid w:val="00D03A7F"/>
    <w:rsid w:val="00D04218"/>
    <w:rsid w:val="00D042C4"/>
    <w:rsid w:val="00D0433B"/>
    <w:rsid w:val="00D043B7"/>
    <w:rsid w:val="00D04563"/>
    <w:rsid w:val="00D04606"/>
    <w:rsid w:val="00D049BB"/>
    <w:rsid w:val="00D050CC"/>
    <w:rsid w:val="00D051FC"/>
    <w:rsid w:val="00D057A8"/>
    <w:rsid w:val="00D05AB7"/>
    <w:rsid w:val="00D05E57"/>
    <w:rsid w:val="00D05F15"/>
    <w:rsid w:val="00D06687"/>
    <w:rsid w:val="00D0672E"/>
    <w:rsid w:val="00D06C5D"/>
    <w:rsid w:val="00D072D3"/>
    <w:rsid w:val="00D073D8"/>
    <w:rsid w:val="00D07492"/>
    <w:rsid w:val="00D07A1C"/>
    <w:rsid w:val="00D07D91"/>
    <w:rsid w:val="00D101FD"/>
    <w:rsid w:val="00D103A6"/>
    <w:rsid w:val="00D103DF"/>
    <w:rsid w:val="00D1084F"/>
    <w:rsid w:val="00D1093D"/>
    <w:rsid w:val="00D10A4A"/>
    <w:rsid w:val="00D1162A"/>
    <w:rsid w:val="00D1166C"/>
    <w:rsid w:val="00D11A95"/>
    <w:rsid w:val="00D11E27"/>
    <w:rsid w:val="00D11E39"/>
    <w:rsid w:val="00D11FB0"/>
    <w:rsid w:val="00D1332A"/>
    <w:rsid w:val="00D13799"/>
    <w:rsid w:val="00D13CD5"/>
    <w:rsid w:val="00D13D1C"/>
    <w:rsid w:val="00D142FE"/>
    <w:rsid w:val="00D14D4C"/>
    <w:rsid w:val="00D15007"/>
    <w:rsid w:val="00D15133"/>
    <w:rsid w:val="00D152FD"/>
    <w:rsid w:val="00D154BC"/>
    <w:rsid w:val="00D165F6"/>
    <w:rsid w:val="00D168FA"/>
    <w:rsid w:val="00D16AA6"/>
    <w:rsid w:val="00D16F6A"/>
    <w:rsid w:val="00D17697"/>
    <w:rsid w:val="00D177EE"/>
    <w:rsid w:val="00D17E3E"/>
    <w:rsid w:val="00D17F33"/>
    <w:rsid w:val="00D2002D"/>
    <w:rsid w:val="00D20483"/>
    <w:rsid w:val="00D20985"/>
    <w:rsid w:val="00D20C52"/>
    <w:rsid w:val="00D21BEC"/>
    <w:rsid w:val="00D22165"/>
    <w:rsid w:val="00D22265"/>
    <w:rsid w:val="00D22408"/>
    <w:rsid w:val="00D2268B"/>
    <w:rsid w:val="00D2282D"/>
    <w:rsid w:val="00D22956"/>
    <w:rsid w:val="00D23023"/>
    <w:rsid w:val="00D2317A"/>
    <w:rsid w:val="00D23378"/>
    <w:rsid w:val="00D23444"/>
    <w:rsid w:val="00D234DF"/>
    <w:rsid w:val="00D2380F"/>
    <w:rsid w:val="00D23B07"/>
    <w:rsid w:val="00D23F8B"/>
    <w:rsid w:val="00D24885"/>
    <w:rsid w:val="00D24C8B"/>
    <w:rsid w:val="00D24FA3"/>
    <w:rsid w:val="00D25095"/>
    <w:rsid w:val="00D250AE"/>
    <w:rsid w:val="00D2511A"/>
    <w:rsid w:val="00D2587E"/>
    <w:rsid w:val="00D25CD8"/>
    <w:rsid w:val="00D25FEF"/>
    <w:rsid w:val="00D26771"/>
    <w:rsid w:val="00D26B59"/>
    <w:rsid w:val="00D26BAB"/>
    <w:rsid w:val="00D2707B"/>
    <w:rsid w:val="00D27369"/>
    <w:rsid w:val="00D27C81"/>
    <w:rsid w:val="00D27CB5"/>
    <w:rsid w:val="00D3005E"/>
    <w:rsid w:val="00D3018D"/>
    <w:rsid w:val="00D302F2"/>
    <w:rsid w:val="00D316F3"/>
    <w:rsid w:val="00D316FB"/>
    <w:rsid w:val="00D31772"/>
    <w:rsid w:val="00D31A02"/>
    <w:rsid w:val="00D31E6F"/>
    <w:rsid w:val="00D31E74"/>
    <w:rsid w:val="00D3229C"/>
    <w:rsid w:val="00D3290B"/>
    <w:rsid w:val="00D32E04"/>
    <w:rsid w:val="00D32F8B"/>
    <w:rsid w:val="00D32FE9"/>
    <w:rsid w:val="00D331CE"/>
    <w:rsid w:val="00D33311"/>
    <w:rsid w:val="00D338D6"/>
    <w:rsid w:val="00D33E2A"/>
    <w:rsid w:val="00D33F85"/>
    <w:rsid w:val="00D3484B"/>
    <w:rsid w:val="00D349AD"/>
    <w:rsid w:val="00D34A23"/>
    <w:rsid w:val="00D35242"/>
    <w:rsid w:val="00D35268"/>
    <w:rsid w:val="00D352D5"/>
    <w:rsid w:val="00D35CE8"/>
    <w:rsid w:val="00D35DE3"/>
    <w:rsid w:val="00D35F81"/>
    <w:rsid w:val="00D365C8"/>
    <w:rsid w:val="00D368E1"/>
    <w:rsid w:val="00D36A1F"/>
    <w:rsid w:val="00D36BCF"/>
    <w:rsid w:val="00D36E23"/>
    <w:rsid w:val="00D374DA"/>
    <w:rsid w:val="00D375D3"/>
    <w:rsid w:val="00D37C16"/>
    <w:rsid w:val="00D37D19"/>
    <w:rsid w:val="00D37DC6"/>
    <w:rsid w:val="00D401E6"/>
    <w:rsid w:val="00D4041D"/>
    <w:rsid w:val="00D40E56"/>
    <w:rsid w:val="00D40F65"/>
    <w:rsid w:val="00D4204A"/>
    <w:rsid w:val="00D42363"/>
    <w:rsid w:val="00D423FD"/>
    <w:rsid w:val="00D42746"/>
    <w:rsid w:val="00D42861"/>
    <w:rsid w:val="00D4292E"/>
    <w:rsid w:val="00D42F31"/>
    <w:rsid w:val="00D43207"/>
    <w:rsid w:val="00D434CB"/>
    <w:rsid w:val="00D43625"/>
    <w:rsid w:val="00D4397B"/>
    <w:rsid w:val="00D43982"/>
    <w:rsid w:val="00D43A54"/>
    <w:rsid w:val="00D442E7"/>
    <w:rsid w:val="00D44970"/>
    <w:rsid w:val="00D44D0B"/>
    <w:rsid w:val="00D44EC9"/>
    <w:rsid w:val="00D451BE"/>
    <w:rsid w:val="00D45616"/>
    <w:rsid w:val="00D45C6D"/>
    <w:rsid w:val="00D45D21"/>
    <w:rsid w:val="00D463B7"/>
    <w:rsid w:val="00D46808"/>
    <w:rsid w:val="00D46A96"/>
    <w:rsid w:val="00D47092"/>
    <w:rsid w:val="00D4757D"/>
    <w:rsid w:val="00D47BC4"/>
    <w:rsid w:val="00D47D1E"/>
    <w:rsid w:val="00D47D95"/>
    <w:rsid w:val="00D50531"/>
    <w:rsid w:val="00D509BD"/>
    <w:rsid w:val="00D50C05"/>
    <w:rsid w:val="00D51009"/>
    <w:rsid w:val="00D5108E"/>
    <w:rsid w:val="00D5120B"/>
    <w:rsid w:val="00D51A1A"/>
    <w:rsid w:val="00D51E2C"/>
    <w:rsid w:val="00D52178"/>
    <w:rsid w:val="00D52506"/>
    <w:rsid w:val="00D529FA"/>
    <w:rsid w:val="00D52C50"/>
    <w:rsid w:val="00D52DAB"/>
    <w:rsid w:val="00D52F0F"/>
    <w:rsid w:val="00D53005"/>
    <w:rsid w:val="00D5332A"/>
    <w:rsid w:val="00D54430"/>
    <w:rsid w:val="00D54450"/>
    <w:rsid w:val="00D54881"/>
    <w:rsid w:val="00D54A1E"/>
    <w:rsid w:val="00D54CA9"/>
    <w:rsid w:val="00D552DA"/>
    <w:rsid w:val="00D55387"/>
    <w:rsid w:val="00D558C3"/>
    <w:rsid w:val="00D55944"/>
    <w:rsid w:val="00D55F5E"/>
    <w:rsid w:val="00D56A32"/>
    <w:rsid w:val="00D5753C"/>
    <w:rsid w:val="00D600A6"/>
    <w:rsid w:val="00D601C3"/>
    <w:rsid w:val="00D601C9"/>
    <w:rsid w:val="00D60301"/>
    <w:rsid w:val="00D6030F"/>
    <w:rsid w:val="00D60964"/>
    <w:rsid w:val="00D60C96"/>
    <w:rsid w:val="00D60EF3"/>
    <w:rsid w:val="00D61386"/>
    <w:rsid w:val="00D615DF"/>
    <w:rsid w:val="00D625F9"/>
    <w:rsid w:val="00D62940"/>
    <w:rsid w:val="00D62CE6"/>
    <w:rsid w:val="00D62D6D"/>
    <w:rsid w:val="00D62E2C"/>
    <w:rsid w:val="00D62EC7"/>
    <w:rsid w:val="00D62FA5"/>
    <w:rsid w:val="00D6307D"/>
    <w:rsid w:val="00D6314E"/>
    <w:rsid w:val="00D63333"/>
    <w:rsid w:val="00D63663"/>
    <w:rsid w:val="00D63A43"/>
    <w:rsid w:val="00D64128"/>
    <w:rsid w:val="00D64A89"/>
    <w:rsid w:val="00D64DAA"/>
    <w:rsid w:val="00D64F78"/>
    <w:rsid w:val="00D650E6"/>
    <w:rsid w:val="00D65218"/>
    <w:rsid w:val="00D6538B"/>
    <w:rsid w:val="00D65CCB"/>
    <w:rsid w:val="00D6605A"/>
    <w:rsid w:val="00D6619D"/>
    <w:rsid w:val="00D665E0"/>
    <w:rsid w:val="00D665EE"/>
    <w:rsid w:val="00D6689B"/>
    <w:rsid w:val="00D674E2"/>
    <w:rsid w:val="00D67BF7"/>
    <w:rsid w:val="00D67FA3"/>
    <w:rsid w:val="00D7027F"/>
    <w:rsid w:val="00D707D2"/>
    <w:rsid w:val="00D7092A"/>
    <w:rsid w:val="00D70D08"/>
    <w:rsid w:val="00D70DDD"/>
    <w:rsid w:val="00D712F8"/>
    <w:rsid w:val="00D714F2"/>
    <w:rsid w:val="00D717B7"/>
    <w:rsid w:val="00D718A5"/>
    <w:rsid w:val="00D71FEE"/>
    <w:rsid w:val="00D7212F"/>
    <w:rsid w:val="00D723A7"/>
    <w:rsid w:val="00D723C3"/>
    <w:rsid w:val="00D728A8"/>
    <w:rsid w:val="00D72AC8"/>
    <w:rsid w:val="00D72C77"/>
    <w:rsid w:val="00D72DA8"/>
    <w:rsid w:val="00D73316"/>
    <w:rsid w:val="00D73E08"/>
    <w:rsid w:val="00D74008"/>
    <w:rsid w:val="00D74180"/>
    <w:rsid w:val="00D741D5"/>
    <w:rsid w:val="00D753E6"/>
    <w:rsid w:val="00D75888"/>
    <w:rsid w:val="00D75DFE"/>
    <w:rsid w:val="00D75E98"/>
    <w:rsid w:val="00D7657F"/>
    <w:rsid w:val="00D76EE9"/>
    <w:rsid w:val="00D771F7"/>
    <w:rsid w:val="00D77A3C"/>
    <w:rsid w:val="00D77E52"/>
    <w:rsid w:val="00D80182"/>
    <w:rsid w:val="00D803E3"/>
    <w:rsid w:val="00D80522"/>
    <w:rsid w:val="00D80622"/>
    <w:rsid w:val="00D80A14"/>
    <w:rsid w:val="00D80D2F"/>
    <w:rsid w:val="00D80F03"/>
    <w:rsid w:val="00D8126B"/>
    <w:rsid w:val="00D81EDC"/>
    <w:rsid w:val="00D81FA4"/>
    <w:rsid w:val="00D820D2"/>
    <w:rsid w:val="00D820F6"/>
    <w:rsid w:val="00D821D2"/>
    <w:rsid w:val="00D82675"/>
    <w:rsid w:val="00D82CE7"/>
    <w:rsid w:val="00D846A7"/>
    <w:rsid w:val="00D848D1"/>
    <w:rsid w:val="00D84AA4"/>
    <w:rsid w:val="00D84AE6"/>
    <w:rsid w:val="00D84FA4"/>
    <w:rsid w:val="00D85257"/>
    <w:rsid w:val="00D85450"/>
    <w:rsid w:val="00D8553E"/>
    <w:rsid w:val="00D85CB1"/>
    <w:rsid w:val="00D86701"/>
    <w:rsid w:val="00D867B0"/>
    <w:rsid w:val="00D86884"/>
    <w:rsid w:val="00D86930"/>
    <w:rsid w:val="00D870A8"/>
    <w:rsid w:val="00D872B3"/>
    <w:rsid w:val="00D877FA"/>
    <w:rsid w:val="00D87D27"/>
    <w:rsid w:val="00D9019F"/>
    <w:rsid w:val="00D90251"/>
    <w:rsid w:val="00D90A8D"/>
    <w:rsid w:val="00D90CE7"/>
    <w:rsid w:val="00D90F6F"/>
    <w:rsid w:val="00D915A2"/>
    <w:rsid w:val="00D91830"/>
    <w:rsid w:val="00D91950"/>
    <w:rsid w:val="00D91BAC"/>
    <w:rsid w:val="00D91C43"/>
    <w:rsid w:val="00D91F6C"/>
    <w:rsid w:val="00D924CF"/>
    <w:rsid w:val="00D930A1"/>
    <w:rsid w:val="00D931EC"/>
    <w:rsid w:val="00D93431"/>
    <w:rsid w:val="00D934A8"/>
    <w:rsid w:val="00D9363B"/>
    <w:rsid w:val="00D946D9"/>
    <w:rsid w:val="00D947FD"/>
    <w:rsid w:val="00D94BA3"/>
    <w:rsid w:val="00D94C05"/>
    <w:rsid w:val="00D94E65"/>
    <w:rsid w:val="00D94F1A"/>
    <w:rsid w:val="00D95521"/>
    <w:rsid w:val="00D957C2"/>
    <w:rsid w:val="00D9585A"/>
    <w:rsid w:val="00D95D73"/>
    <w:rsid w:val="00D95E47"/>
    <w:rsid w:val="00D95EDA"/>
    <w:rsid w:val="00D969AB"/>
    <w:rsid w:val="00D96B6A"/>
    <w:rsid w:val="00D96BDC"/>
    <w:rsid w:val="00D96CD3"/>
    <w:rsid w:val="00D97477"/>
    <w:rsid w:val="00D97D43"/>
    <w:rsid w:val="00D97FCC"/>
    <w:rsid w:val="00DA0530"/>
    <w:rsid w:val="00DA0826"/>
    <w:rsid w:val="00DA0C08"/>
    <w:rsid w:val="00DA1024"/>
    <w:rsid w:val="00DA11BE"/>
    <w:rsid w:val="00DA1949"/>
    <w:rsid w:val="00DA1F2E"/>
    <w:rsid w:val="00DA1F44"/>
    <w:rsid w:val="00DA209C"/>
    <w:rsid w:val="00DA2578"/>
    <w:rsid w:val="00DA2700"/>
    <w:rsid w:val="00DA2CEC"/>
    <w:rsid w:val="00DA31A9"/>
    <w:rsid w:val="00DA3882"/>
    <w:rsid w:val="00DA3F30"/>
    <w:rsid w:val="00DA3F7E"/>
    <w:rsid w:val="00DA4742"/>
    <w:rsid w:val="00DA47BF"/>
    <w:rsid w:val="00DA48B2"/>
    <w:rsid w:val="00DA5239"/>
    <w:rsid w:val="00DA5304"/>
    <w:rsid w:val="00DA5BD5"/>
    <w:rsid w:val="00DA69EC"/>
    <w:rsid w:val="00DA705F"/>
    <w:rsid w:val="00DA7490"/>
    <w:rsid w:val="00DA755C"/>
    <w:rsid w:val="00DA75C2"/>
    <w:rsid w:val="00DA78BB"/>
    <w:rsid w:val="00DA7C3E"/>
    <w:rsid w:val="00DB00C6"/>
    <w:rsid w:val="00DB01AD"/>
    <w:rsid w:val="00DB0919"/>
    <w:rsid w:val="00DB0D50"/>
    <w:rsid w:val="00DB1082"/>
    <w:rsid w:val="00DB1AE4"/>
    <w:rsid w:val="00DB1B4E"/>
    <w:rsid w:val="00DB1BF9"/>
    <w:rsid w:val="00DB1EE0"/>
    <w:rsid w:val="00DB2044"/>
    <w:rsid w:val="00DB2813"/>
    <w:rsid w:val="00DB2BA5"/>
    <w:rsid w:val="00DB2C33"/>
    <w:rsid w:val="00DB2DA9"/>
    <w:rsid w:val="00DB3100"/>
    <w:rsid w:val="00DB34AF"/>
    <w:rsid w:val="00DB393E"/>
    <w:rsid w:val="00DB3AAF"/>
    <w:rsid w:val="00DB3C6D"/>
    <w:rsid w:val="00DB4177"/>
    <w:rsid w:val="00DB45F5"/>
    <w:rsid w:val="00DB4690"/>
    <w:rsid w:val="00DB4B09"/>
    <w:rsid w:val="00DB4B68"/>
    <w:rsid w:val="00DB4CE9"/>
    <w:rsid w:val="00DB5271"/>
    <w:rsid w:val="00DB54D8"/>
    <w:rsid w:val="00DB572D"/>
    <w:rsid w:val="00DB5B1B"/>
    <w:rsid w:val="00DB5B69"/>
    <w:rsid w:val="00DB5BDE"/>
    <w:rsid w:val="00DB6342"/>
    <w:rsid w:val="00DB66A5"/>
    <w:rsid w:val="00DB6919"/>
    <w:rsid w:val="00DB6A45"/>
    <w:rsid w:val="00DB6EAB"/>
    <w:rsid w:val="00DB71B3"/>
    <w:rsid w:val="00DB751C"/>
    <w:rsid w:val="00DB78D6"/>
    <w:rsid w:val="00DB7A42"/>
    <w:rsid w:val="00DB7FE2"/>
    <w:rsid w:val="00DC0354"/>
    <w:rsid w:val="00DC09D6"/>
    <w:rsid w:val="00DC0A13"/>
    <w:rsid w:val="00DC0ADB"/>
    <w:rsid w:val="00DC0B4F"/>
    <w:rsid w:val="00DC12D2"/>
    <w:rsid w:val="00DC1318"/>
    <w:rsid w:val="00DC194B"/>
    <w:rsid w:val="00DC1A36"/>
    <w:rsid w:val="00DC1E3F"/>
    <w:rsid w:val="00DC1F79"/>
    <w:rsid w:val="00DC23A4"/>
    <w:rsid w:val="00DC268B"/>
    <w:rsid w:val="00DC29EE"/>
    <w:rsid w:val="00DC32FA"/>
    <w:rsid w:val="00DC3316"/>
    <w:rsid w:val="00DC3A38"/>
    <w:rsid w:val="00DC4177"/>
    <w:rsid w:val="00DC436A"/>
    <w:rsid w:val="00DC44C1"/>
    <w:rsid w:val="00DC4740"/>
    <w:rsid w:val="00DC4987"/>
    <w:rsid w:val="00DC4B4F"/>
    <w:rsid w:val="00DC4BA3"/>
    <w:rsid w:val="00DC50AB"/>
    <w:rsid w:val="00DC530E"/>
    <w:rsid w:val="00DC6B42"/>
    <w:rsid w:val="00DC6DC0"/>
    <w:rsid w:val="00DC6E1F"/>
    <w:rsid w:val="00DC7387"/>
    <w:rsid w:val="00DC7A56"/>
    <w:rsid w:val="00DC7B9F"/>
    <w:rsid w:val="00DD0125"/>
    <w:rsid w:val="00DD0226"/>
    <w:rsid w:val="00DD040B"/>
    <w:rsid w:val="00DD04D2"/>
    <w:rsid w:val="00DD05FC"/>
    <w:rsid w:val="00DD09D8"/>
    <w:rsid w:val="00DD0B6F"/>
    <w:rsid w:val="00DD0F47"/>
    <w:rsid w:val="00DD11C2"/>
    <w:rsid w:val="00DD146D"/>
    <w:rsid w:val="00DD154C"/>
    <w:rsid w:val="00DD1A03"/>
    <w:rsid w:val="00DD1C2C"/>
    <w:rsid w:val="00DD1E33"/>
    <w:rsid w:val="00DD22FE"/>
    <w:rsid w:val="00DD2961"/>
    <w:rsid w:val="00DD2FEB"/>
    <w:rsid w:val="00DD315E"/>
    <w:rsid w:val="00DD3907"/>
    <w:rsid w:val="00DD4127"/>
    <w:rsid w:val="00DD41A6"/>
    <w:rsid w:val="00DD5021"/>
    <w:rsid w:val="00DD5B7A"/>
    <w:rsid w:val="00DD6214"/>
    <w:rsid w:val="00DD6B6C"/>
    <w:rsid w:val="00DD6BEA"/>
    <w:rsid w:val="00DD6D7A"/>
    <w:rsid w:val="00DD7140"/>
    <w:rsid w:val="00DD7244"/>
    <w:rsid w:val="00DD7349"/>
    <w:rsid w:val="00DD7402"/>
    <w:rsid w:val="00DD76E6"/>
    <w:rsid w:val="00DD7CD1"/>
    <w:rsid w:val="00DD7E17"/>
    <w:rsid w:val="00DD7ED8"/>
    <w:rsid w:val="00DE01CC"/>
    <w:rsid w:val="00DE053A"/>
    <w:rsid w:val="00DE0581"/>
    <w:rsid w:val="00DE121B"/>
    <w:rsid w:val="00DE14E9"/>
    <w:rsid w:val="00DE1766"/>
    <w:rsid w:val="00DE185F"/>
    <w:rsid w:val="00DE267D"/>
    <w:rsid w:val="00DE298C"/>
    <w:rsid w:val="00DE2B6F"/>
    <w:rsid w:val="00DE2BBB"/>
    <w:rsid w:val="00DE2CCD"/>
    <w:rsid w:val="00DE2CCF"/>
    <w:rsid w:val="00DE2D3C"/>
    <w:rsid w:val="00DE2EDF"/>
    <w:rsid w:val="00DE31EA"/>
    <w:rsid w:val="00DE3C0F"/>
    <w:rsid w:val="00DE3EB3"/>
    <w:rsid w:val="00DE417B"/>
    <w:rsid w:val="00DE4CEE"/>
    <w:rsid w:val="00DE5714"/>
    <w:rsid w:val="00DE58D3"/>
    <w:rsid w:val="00DE60FE"/>
    <w:rsid w:val="00DE6509"/>
    <w:rsid w:val="00DE6610"/>
    <w:rsid w:val="00DE67D9"/>
    <w:rsid w:val="00DE7E8C"/>
    <w:rsid w:val="00DF016C"/>
    <w:rsid w:val="00DF084F"/>
    <w:rsid w:val="00DF0DB4"/>
    <w:rsid w:val="00DF0ED3"/>
    <w:rsid w:val="00DF1027"/>
    <w:rsid w:val="00DF11DD"/>
    <w:rsid w:val="00DF2031"/>
    <w:rsid w:val="00DF2BF4"/>
    <w:rsid w:val="00DF2D93"/>
    <w:rsid w:val="00DF300B"/>
    <w:rsid w:val="00DF330D"/>
    <w:rsid w:val="00DF3328"/>
    <w:rsid w:val="00DF3E48"/>
    <w:rsid w:val="00DF4028"/>
    <w:rsid w:val="00DF41F8"/>
    <w:rsid w:val="00DF42AB"/>
    <w:rsid w:val="00DF45DC"/>
    <w:rsid w:val="00DF4607"/>
    <w:rsid w:val="00DF47D1"/>
    <w:rsid w:val="00DF49F7"/>
    <w:rsid w:val="00DF4EEE"/>
    <w:rsid w:val="00DF53E1"/>
    <w:rsid w:val="00DF547E"/>
    <w:rsid w:val="00DF5AD5"/>
    <w:rsid w:val="00DF5E4F"/>
    <w:rsid w:val="00DF6001"/>
    <w:rsid w:val="00DF634E"/>
    <w:rsid w:val="00DF6B11"/>
    <w:rsid w:val="00DF6F46"/>
    <w:rsid w:val="00DF722C"/>
    <w:rsid w:val="00DF76F1"/>
    <w:rsid w:val="00DF777C"/>
    <w:rsid w:val="00DF7F77"/>
    <w:rsid w:val="00E00140"/>
    <w:rsid w:val="00E00564"/>
    <w:rsid w:val="00E00A17"/>
    <w:rsid w:val="00E00AB7"/>
    <w:rsid w:val="00E00DCD"/>
    <w:rsid w:val="00E00EA7"/>
    <w:rsid w:val="00E010FE"/>
    <w:rsid w:val="00E01320"/>
    <w:rsid w:val="00E02465"/>
    <w:rsid w:val="00E02850"/>
    <w:rsid w:val="00E029C9"/>
    <w:rsid w:val="00E02A24"/>
    <w:rsid w:val="00E02AA9"/>
    <w:rsid w:val="00E02AC9"/>
    <w:rsid w:val="00E02C0F"/>
    <w:rsid w:val="00E02D75"/>
    <w:rsid w:val="00E02EF0"/>
    <w:rsid w:val="00E0316D"/>
    <w:rsid w:val="00E0324C"/>
    <w:rsid w:val="00E036D9"/>
    <w:rsid w:val="00E036FE"/>
    <w:rsid w:val="00E039D8"/>
    <w:rsid w:val="00E03CAA"/>
    <w:rsid w:val="00E042BE"/>
    <w:rsid w:val="00E044C5"/>
    <w:rsid w:val="00E0487F"/>
    <w:rsid w:val="00E0497F"/>
    <w:rsid w:val="00E04A73"/>
    <w:rsid w:val="00E04C35"/>
    <w:rsid w:val="00E04DCD"/>
    <w:rsid w:val="00E05119"/>
    <w:rsid w:val="00E051E8"/>
    <w:rsid w:val="00E0557F"/>
    <w:rsid w:val="00E05B47"/>
    <w:rsid w:val="00E05C7B"/>
    <w:rsid w:val="00E05D92"/>
    <w:rsid w:val="00E05EEB"/>
    <w:rsid w:val="00E06133"/>
    <w:rsid w:val="00E06528"/>
    <w:rsid w:val="00E065A8"/>
    <w:rsid w:val="00E065BF"/>
    <w:rsid w:val="00E065C0"/>
    <w:rsid w:val="00E06765"/>
    <w:rsid w:val="00E109AB"/>
    <w:rsid w:val="00E10C66"/>
    <w:rsid w:val="00E10C9E"/>
    <w:rsid w:val="00E10CD1"/>
    <w:rsid w:val="00E11031"/>
    <w:rsid w:val="00E1188F"/>
    <w:rsid w:val="00E11CF4"/>
    <w:rsid w:val="00E12217"/>
    <w:rsid w:val="00E1240F"/>
    <w:rsid w:val="00E12ABB"/>
    <w:rsid w:val="00E12B04"/>
    <w:rsid w:val="00E12D26"/>
    <w:rsid w:val="00E12E91"/>
    <w:rsid w:val="00E13900"/>
    <w:rsid w:val="00E141A7"/>
    <w:rsid w:val="00E1441F"/>
    <w:rsid w:val="00E146EB"/>
    <w:rsid w:val="00E14914"/>
    <w:rsid w:val="00E14B6E"/>
    <w:rsid w:val="00E14BDC"/>
    <w:rsid w:val="00E14BF6"/>
    <w:rsid w:val="00E15097"/>
    <w:rsid w:val="00E150C5"/>
    <w:rsid w:val="00E15219"/>
    <w:rsid w:val="00E159BB"/>
    <w:rsid w:val="00E15B05"/>
    <w:rsid w:val="00E15D3A"/>
    <w:rsid w:val="00E1640E"/>
    <w:rsid w:val="00E16946"/>
    <w:rsid w:val="00E16AEC"/>
    <w:rsid w:val="00E1722B"/>
    <w:rsid w:val="00E176AA"/>
    <w:rsid w:val="00E17958"/>
    <w:rsid w:val="00E17CBA"/>
    <w:rsid w:val="00E17D05"/>
    <w:rsid w:val="00E17FF2"/>
    <w:rsid w:val="00E207D2"/>
    <w:rsid w:val="00E209F0"/>
    <w:rsid w:val="00E21868"/>
    <w:rsid w:val="00E21E9E"/>
    <w:rsid w:val="00E220B2"/>
    <w:rsid w:val="00E225F2"/>
    <w:rsid w:val="00E226B0"/>
    <w:rsid w:val="00E226C4"/>
    <w:rsid w:val="00E226CC"/>
    <w:rsid w:val="00E229E8"/>
    <w:rsid w:val="00E22EFA"/>
    <w:rsid w:val="00E22F1B"/>
    <w:rsid w:val="00E23BDA"/>
    <w:rsid w:val="00E23E22"/>
    <w:rsid w:val="00E24244"/>
    <w:rsid w:val="00E2453E"/>
    <w:rsid w:val="00E2502B"/>
    <w:rsid w:val="00E25034"/>
    <w:rsid w:val="00E2512C"/>
    <w:rsid w:val="00E25320"/>
    <w:rsid w:val="00E25C21"/>
    <w:rsid w:val="00E26198"/>
    <w:rsid w:val="00E261D6"/>
    <w:rsid w:val="00E262D5"/>
    <w:rsid w:val="00E26496"/>
    <w:rsid w:val="00E2651D"/>
    <w:rsid w:val="00E26830"/>
    <w:rsid w:val="00E269CE"/>
    <w:rsid w:val="00E2716F"/>
    <w:rsid w:val="00E27352"/>
    <w:rsid w:val="00E27704"/>
    <w:rsid w:val="00E2777D"/>
    <w:rsid w:val="00E27A91"/>
    <w:rsid w:val="00E27AF4"/>
    <w:rsid w:val="00E30078"/>
    <w:rsid w:val="00E311A5"/>
    <w:rsid w:val="00E312A4"/>
    <w:rsid w:val="00E31437"/>
    <w:rsid w:val="00E315CF"/>
    <w:rsid w:val="00E31FF0"/>
    <w:rsid w:val="00E329B1"/>
    <w:rsid w:val="00E33B4D"/>
    <w:rsid w:val="00E33B8D"/>
    <w:rsid w:val="00E33C46"/>
    <w:rsid w:val="00E33C6B"/>
    <w:rsid w:val="00E33E23"/>
    <w:rsid w:val="00E33EA4"/>
    <w:rsid w:val="00E346FE"/>
    <w:rsid w:val="00E347AA"/>
    <w:rsid w:val="00E348C5"/>
    <w:rsid w:val="00E34A19"/>
    <w:rsid w:val="00E34E0B"/>
    <w:rsid w:val="00E34F34"/>
    <w:rsid w:val="00E350EE"/>
    <w:rsid w:val="00E35353"/>
    <w:rsid w:val="00E353B6"/>
    <w:rsid w:val="00E356D2"/>
    <w:rsid w:val="00E35EA4"/>
    <w:rsid w:val="00E35FFE"/>
    <w:rsid w:val="00E36209"/>
    <w:rsid w:val="00E36259"/>
    <w:rsid w:val="00E364B3"/>
    <w:rsid w:val="00E36CAA"/>
    <w:rsid w:val="00E36FD0"/>
    <w:rsid w:val="00E3765B"/>
    <w:rsid w:val="00E3780A"/>
    <w:rsid w:val="00E378BC"/>
    <w:rsid w:val="00E40363"/>
    <w:rsid w:val="00E405C7"/>
    <w:rsid w:val="00E407CF"/>
    <w:rsid w:val="00E4137A"/>
    <w:rsid w:val="00E415DD"/>
    <w:rsid w:val="00E4178A"/>
    <w:rsid w:val="00E41CA5"/>
    <w:rsid w:val="00E41D26"/>
    <w:rsid w:val="00E41E22"/>
    <w:rsid w:val="00E4289A"/>
    <w:rsid w:val="00E42DDA"/>
    <w:rsid w:val="00E42E90"/>
    <w:rsid w:val="00E43217"/>
    <w:rsid w:val="00E432B6"/>
    <w:rsid w:val="00E434C9"/>
    <w:rsid w:val="00E43695"/>
    <w:rsid w:val="00E43CC0"/>
    <w:rsid w:val="00E43F75"/>
    <w:rsid w:val="00E443C3"/>
    <w:rsid w:val="00E443E9"/>
    <w:rsid w:val="00E4475D"/>
    <w:rsid w:val="00E44952"/>
    <w:rsid w:val="00E44CB2"/>
    <w:rsid w:val="00E4504C"/>
    <w:rsid w:val="00E45B30"/>
    <w:rsid w:val="00E45FB2"/>
    <w:rsid w:val="00E460B2"/>
    <w:rsid w:val="00E46435"/>
    <w:rsid w:val="00E4649C"/>
    <w:rsid w:val="00E46C8F"/>
    <w:rsid w:val="00E46D58"/>
    <w:rsid w:val="00E4750C"/>
    <w:rsid w:val="00E476F6"/>
    <w:rsid w:val="00E47F84"/>
    <w:rsid w:val="00E50722"/>
    <w:rsid w:val="00E508B4"/>
    <w:rsid w:val="00E50A85"/>
    <w:rsid w:val="00E50B0E"/>
    <w:rsid w:val="00E50D70"/>
    <w:rsid w:val="00E51B3A"/>
    <w:rsid w:val="00E52534"/>
    <w:rsid w:val="00E531B3"/>
    <w:rsid w:val="00E536BF"/>
    <w:rsid w:val="00E53A9A"/>
    <w:rsid w:val="00E53D08"/>
    <w:rsid w:val="00E54225"/>
    <w:rsid w:val="00E54307"/>
    <w:rsid w:val="00E544C2"/>
    <w:rsid w:val="00E54F9B"/>
    <w:rsid w:val="00E553EC"/>
    <w:rsid w:val="00E55FDD"/>
    <w:rsid w:val="00E5616C"/>
    <w:rsid w:val="00E56876"/>
    <w:rsid w:val="00E56BDE"/>
    <w:rsid w:val="00E56D75"/>
    <w:rsid w:val="00E578CF"/>
    <w:rsid w:val="00E57B28"/>
    <w:rsid w:val="00E6032A"/>
    <w:rsid w:val="00E60486"/>
    <w:rsid w:val="00E60AD1"/>
    <w:rsid w:val="00E60E04"/>
    <w:rsid w:val="00E60F20"/>
    <w:rsid w:val="00E60F54"/>
    <w:rsid w:val="00E61256"/>
    <w:rsid w:val="00E6176F"/>
    <w:rsid w:val="00E61C2A"/>
    <w:rsid w:val="00E61DDC"/>
    <w:rsid w:val="00E61FB1"/>
    <w:rsid w:val="00E621AF"/>
    <w:rsid w:val="00E623B9"/>
    <w:rsid w:val="00E629D0"/>
    <w:rsid w:val="00E62DC0"/>
    <w:rsid w:val="00E62ED5"/>
    <w:rsid w:val="00E62FA6"/>
    <w:rsid w:val="00E632DF"/>
    <w:rsid w:val="00E63363"/>
    <w:rsid w:val="00E6336A"/>
    <w:rsid w:val="00E634AC"/>
    <w:rsid w:val="00E63526"/>
    <w:rsid w:val="00E637F3"/>
    <w:rsid w:val="00E64363"/>
    <w:rsid w:val="00E64727"/>
    <w:rsid w:val="00E64878"/>
    <w:rsid w:val="00E648CC"/>
    <w:rsid w:val="00E654FD"/>
    <w:rsid w:val="00E656E7"/>
    <w:rsid w:val="00E65803"/>
    <w:rsid w:val="00E65C79"/>
    <w:rsid w:val="00E65D5B"/>
    <w:rsid w:val="00E65F69"/>
    <w:rsid w:val="00E661A5"/>
    <w:rsid w:val="00E6663C"/>
    <w:rsid w:val="00E66C2F"/>
    <w:rsid w:val="00E66D9A"/>
    <w:rsid w:val="00E6714C"/>
    <w:rsid w:val="00E672DA"/>
    <w:rsid w:val="00E6735D"/>
    <w:rsid w:val="00E677C6"/>
    <w:rsid w:val="00E67AD9"/>
    <w:rsid w:val="00E67D23"/>
    <w:rsid w:val="00E7006F"/>
    <w:rsid w:val="00E7011D"/>
    <w:rsid w:val="00E701F5"/>
    <w:rsid w:val="00E70B8B"/>
    <w:rsid w:val="00E70BBB"/>
    <w:rsid w:val="00E70D56"/>
    <w:rsid w:val="00E70F6C"/>
    <w:rsid w:val="00E712B4"/>
    <w:rsid w:val="00E71521"/>
    <w:rsid w:val="00E71B71"/>
    <w:rsid w:val="00E7264E"/>
    <w:rsid w:val="00E72D05"/>
    <w:rsid w:val="00E72DF5"/>
    <w:rsid w:val="00E72EA4"/>
    <w:rsid w:val="00E73499"/>
    <w:rsid w:val="00E73AD5"/>
    <w:rsid w:val="00E73C67"/>
    <w:rsid w:val="00E73DCF"/>
    <w:rsid w:val="00E73EFA"/>
    <w:rsid w:val="00E741FB"/>
    <w:rsid w:val="00E74215"/>
    <w:rsid w:val="00E74325"/>
    <w:rsid w:val="00E74574"/>
    <w:rsid w:val="00E749C9"/>
    <w:rsid w:val="00E749E8"/>
    <w:rsid w:val="00E74B6D"/>
    <w:rsid w:val="00E74E46"/>
    <w:rsid w:val="00E750EA"/>
    <w:rsid w:val="00E75660"/>
    <w:rsid w:val="00E75735"/>
    <w:rsid w:val="00E76416"/>
    <w:rsid w:val="00E764C2"/>
    <w:rsid w:val="00E77983"/>
    <w:rsid w:val="00E77A5C"/>
    <w:rsid w:val="00E77C05"/>
    <w:rsid w:val="00E77D71"/>
    <w:rsid w:val="00E77FA7"/>
    <w:rsid w:val="00E80643"/>
    <w:rsid w:val="00E81551"/>
    <w:rsid w:val="00E819E0"/>
    <w:rsid w:val="00E82182"/>
    <w:rsid w:val="00E82838"/>
    <w:rsid w:val="00E82848"/>
    <w:rsid w:val="00E82A9F"/>
    <w:rsid w:val="00E82AF2"/>
    <w:rsid w:val="00E82C09"/>
    <w:rsid w:val="00E82E84"/>
    <w:rsid w:val="00E8349F"/>
    <w:rsid w:val="00E83556"/>
    <w:rsid w:val="00E83912"/>
    <w:rsid w:val="00E83FE7"/>
    <w:rsid w:val="00E843EF"/>
    <w:rsid w:val="00E84792"/>
    <w:rsid w:val="00E848AA"/>
    <w:rsid w:val="00E84EA8"/>
    <w:rsid w:val="00E8572D"/>
    <w:rsid w:val="00E85E7B"/>
    <w:rsid w:val="00E85FF3"/>
    <w:rsid w:val="00E86340"/>
    <w:rsid w:val="00E863D0"/>
    <w:rsid w:val="00E86512"/>
    <w:rsid w:val="00E86E8B"/>
    <w:rsid w:val="00E8708C"/>
    <w:rsid w:val="00E8710C"/>
    <w:rsid w:val="00E87131"/>
    <w:rsid w:val="00E87437"/>
    <w:rsid w:val="00E874A8"/>
    <w:rsid w:val="00E874CA"/>
    <w:rsid w:val="00E874EE"/>
    <w:rsid w:val="00E87871"/>
    <w:rsid w:val="00E87CED"/>
    <w:rsid w:val="00E87D70"/>
    <w:rsid w:val="00E907C2"/>
    <w:rsid w:val="00E90867"/>
    <w:rsid w:val="00E90C63"/>
    <w:rsid w:val="00E9143C"/>
    <w:rsid w:val="00E91BFE"/>
    <w:rsid w:val="00E92453"/>
    <w:rsid w:val="00E92662"/>
    <w:rsid w:val="00E92AE0"/>
    <w:rsid w:val="00E92E0A"/>
    <w:rsid w:val="00E92F56"/>
    <w:rsid w:val="00E92FD0"/>
    <w:rsid w:val="00E9310A"/>
    <w:rsid w:val="00E9347C"/>
    <w:rsid w:val="00E934B9"/>
    <w:rsid w:val="00E93DC1"/>
    <w:rsid w:val="00E94ED3"/>
    <w:rsid w:val="00E95555"/>
    <w:rsid w:val="00E956DF"/>
    <w:rsid w:val="00E95DA6"/>
    <w:rsid w:val="00E95DCA"/>
    <w:rsid w:val="00E95F6D"/>
    <w:rsid w:val="00E96001"/>
    <w:rsid w:val="00E966FF"/>
    <w:rsid w:val="00E96AB3"/>
    <w:rsid w:val="00E96BCE"/>
    <w:rsid w:val="00E96D18"/>
    <w:rsid w:val="00E96EAA"/>
    <w:rsid w:val="00E96FB9"/>
    <w:rsid w:val="00E9769F"/>
    <w:rsid w:val="00E9789A"/>
    <w:rsid w:val="00EA0050"/>
    <w:rsid w:val="00EA07EF"/>
    <w:rsid w:val="00EA0934"/>
    <w:rsid w:val="00EA09B1"/>
    <w:rsid w:val="00EA0B9D"/>
    <w:rsid w:val="00EA0BF7"/>
    <w:rsid w:val="00EA0E6A"/>
    <w:rsid w:val="00EA0F27"/>
    <w:rsid w:val="00EA125F"/>
    <w:rsid w:val="00EA1341"/>
    <w:rsid w:val="00EA1347"/>
    <w:rsid w:val="00EA16D4"/>
    <w:rsid w:val="00EA174B"/>
    <w:rsid w:val="00EA1FDE"/>
    <w:rsid w:val="00EA23BE"/>
    <w:rsid w:val="00EA25ED"/>
    <w:rsid w:val="00EA2759"/>
    <w:rsid w:val="00EA2BD7"/>
    <w:rsid w:val="00EA2F1C"/>
    <w:rsid w:val="00EA302F"/>
    <w:rsid w:val="00EA3D6E"/>
    <w:rsid w:val="00EA457B"/>
    <w:rsid w:val="00EA45CE"/>
    <w:rsid w:val="00EA4917"/>
    <w:rsid w:val="00EA4930"/>
    <w:rsid w:val="00EA50A9"/>
    <w:rsid w:val="00EA596C"/>
    <w:rsid w:val="00EA5B5C"/>
    <w:rsid w:val="00EA5DCB"/>
    <w:rsid w:val="00EA5F6D"/>
    <w:rsid w:val="00EA67DB"/>
    <w:rsid w:val="00EA69BE"/>
    <w:rsid w:val="00EA6A0F"/>
    <w:rsid w:val="00EA6AED"/>
    <w:rsid w:val="00EA7131"/>
    <w:rsid w:val="00EA7454"/>
    <w:rsid w:val="00EA7878"/>
    <w:rsid w:val="00EA7C4D"/>
    <w:rsid w:val="00EA7F68"/>
    <w:rsid w:val="00EB0C95"/>
    <w:rsid w:val="00EB0E26"/>
    <w:rsid w:val="00EB0E7C"/>
    <w:rsid w:val="00EB1138"/>
    <w:rsid w:val="00EB1A6A"/>
    <w:rsid w:val="00EB1DAD"/>
    <w:rsid w:val="00EB2C2F"/>
    <w:rsid w:val="00EB300D"/>
    <w:rsid w:val="00EB3420"/>
    <w:rsid w:val="00EB3BF2"/>
    <w:rsid w:val="00EB4028"/>
    <w:rsid w:val="00EB510F"/>
    <w:rsid w:val="00EB5852"/>
    <w:rsid w:val="00EB5DD2"/>
    <w:rsid w:val="00EB649D"/>
    <w:rsid w:val="00EB66E9"/>
    <w:rsid w:val="00EB6CD8"/>
    <w:rsid w:val="00EB6F58"/>
    <w:rsid w:val="00EB719D"/>
    <w:rsid w:val="00EB72E0"/>
    <w:rsid w:val="00EB73AD"/>
    <w:rsid w:val="00EB7494"/>
    <w:rsid w:val="00EB76DB"/>
    <w:rsid w:val="00EB78CE"/>
    <w:rsid w:val="00EB78D6"/>
    <w:rsid w:val="00EB7C82"/>
    <w:rsid w:val="00EB7DE1"/>
    <w:rsid w:val="00EC02CF"/>
    <w:rsid w:val="00EC09DF"/>
    <w:rsid w:val="00EC0AC7"/>
    <w:rsid w:val="00EC116B"/>
    <w:rsid w:val="00EC13C6"/>
    <w:rsid w:val="00EC14B7"/>
    <w:rsid w:val="00EC16FD"/>
    <w:rsid w:val="00EC1A42"/>
    <w:rsid w:val="00EC1CB7"/>
    <w:rsid w:val="00EC201C"/>
    <w:rsid w:val="00EC28AE"/>
    <w:rsid w:val="00EC28B8"/>
    <w:rsid w:val="00EC2A78"/>
    <w:rsid w:val="00EC2BF8"/>
    <w:rsid w:val="00EC319D"/>
    <w:rsid w:val="00EC32DA"/>
    <w:rsid w:val="00EC3749"/>
    <w:rsid w:val="00EC38FA"/>
    <w:rsid w:val="00EC3BE9"/>
    <w:rsid w:val="00EC3D9F"/>
    <w:rsid w:val="00EC3ECA"/>
    <w:rsid w:val="00EC419E"/>
    <w:rsid w:val="00EC43BE"/>
    <w:rsid w:val="00EC54C7"/>
    <w:rsid w:val="00EC594B"/>
    <w:rsid w:val="00EC59A4"/>
    <w:rsid w:val="00EC5E2D"/>
    <w:rsid w:val="00EC62A6"/>
    <w:rsid w:val="00EC65A8"/>
    <w:rsid w:val="00EC65CB"/>
    <w:rsid w:val="00EC6677"/>
    <w:rsid w:val="00EC66B8"/>
    <w:rsid w:val="00EC6805"/>
    <w:rsid w:val="00EC680D"/>
    <w:rsid w:val="00EC6D39"/>
    <w:rsid w:val="00EC71D5"/>
    <w:rsid w:val="00EC7255"/>
    <w:rsid w:val="00EC7496"/>
    <w:rsid w:val="00EC76B3"/>
    <w:rsid w:val="00EC7835"/>
    <w:rsid w:val="00EC7905"/>
    <w:rsid w:val="00EC7D0A"/>
    <w:rsid w:val="00EC7F26"/>
    <w:rsid w:val="00ED0401"/>
    <w:rsid w:val="00ED0533"/>
    <w:rsid w:val="00ED05D9"/>
    <w:rsid w:val="00ED0C7A"/>
    <w:rsid w:val="00ED0D53"/>
    <w:rsid w:val="00ED0DA3"/>
    <w:rsid w:val="00ED123B"/>
    <w:rsid w:val="00ED14C0"/>
    <w:rsid w:val="00ED1981"/>
    <w:rsid w:val="00ED1CAB"/>
    <w:rsid w:val="00ED27F3"/>
    <w:rsid w:val="00ED280F"/>
    <w:rsid w:val="00ED2C74"/>
    <w:rsid w:val="00ED38C4"/>
    <w:rsid w:val="00ED38E7"/>
    <w:rsid w:val="00ED3955"/>
    <w:rsid w:val="00ED3D26"/>
    <w:rsid w:val="00ED3EA5"/>
    <w:rsid w:val="00ED45BE"/>
    <w:rsid w:val="00ED45F1"/>
    <w:rsid w:val="00ED4BD4"/>
    <w:rsid w:val="00ED5151"/>
    <w:rsid w:val="00ED5BF8"/>
    <w:rsid w:val="00ED5C45"/>
    <w:rsid w:val="00ED6D4A"/>
    <w:rsid w:val="00ED6ED9"/>
    <w:rsid w:val="00ED71CE"/>
    <w:rsid w:val="00ED7867"/>
    <w:rsid w:val="00ED7B66"/>
    <w:rsid w:val="00EE031F"/>
    <w:rsid w:val="00EE051A"/>
    <w:rsid w:val="00EE0E7B"/>
    <w:rsid w:val="00EE0F4E"/>
    <w:rsid w:val="00EE1494"/>
    <w:rsid w:val="00EE18C6"/>
    <w:rsid w:val="00EE1979"/>
    <w:rsid w:val="00EE19EE"/>
    <w:rsid w:val="00EE1BF1"/>
    <w:rsid w:val="00EE1C7A"/>
    <w:rsid w:val="00EE1D92"/>
    <w:rsid w:val="00EE1F31"/>
    <w:rsid w:val="00EE2363"/>
    <w:rsid w:val="00EE23AC"/>
    <w:rsid w:val="00EE23CE"/>
    <w:rsid w:val="00EE2542"/>
    <w:rsid w:val="00EE25A9"/>
    <w:rsid w:val="00EE25C6"/>
    <w:rsid w:val="00EE27DD"/>
    <w:rsid w:val="00EE27F4"/>
    <w:rsid w:val="00EE2A6A"/>
    <w:rsid w:val="00EE2AE0"/>
    <w:rsid w:val="00EE2D70"/>
    <w:rsid w:val="00EE37A2"/>
    <w:rsid w:val="00EE3998"/>
    <w:rsid w:val="00EE3DA1"/>
    <w:rsid w:val="00EE4756"/>
    <w:rsid w:val="00EE48E2"/>
    <w:rsid w:val="00EE7392"/>
    <w:rsid w:val="00EE77B9"/>
    <w:rsid w:val="00EE790D"/>
    <w:rsid w:val="00EE7943"/>
    <w:rsid w:val="00EF027D"/>
    <w:rsid w:val="00EF07D7"/>
    <w:rsid w:val="00EF1721"/>
    <w:rsid w:val="00EF1919"/>
    <w:rsid w:val="00EF1AC5"/>
    <w:rsid w:val="00EF1ADD"/>
    <w:rsid w:val="00EF21BA"/>
    <w:rsid w:val="00EF253E"/>
    <w:rsid w:val="00EF27F5"/>
    <w:rsid w:val="00EF2FCA"/>
    <w:rsid w:val="00EF33F6"/>
    <w:rsid w:val="00EF3882"/>
    <w:rsid w:val="00EF400D"/>
    <w:rsid w:val="00EF438C"/>
    <w:rsid w:val="00EF43D2"/>
    <w:rsid w:val="00EF4499"/>
    <w:rsid w:val="00EF44F3"/>
    <w:rsid w:val="00EF47EC"/>
    <w:rsid w:val="00EF48E7"/>
    <w:rsid w:val="00EF4FBD"/>
    <w:rsid w:val="00EF524F"/>
    <w:rsid w:val="00EF5680"/>
    <w:rsid w:val="00EF57FF"/>
    <w:rsid w:val="00EF5D18"/>
    <w:rsid w:val="00EF6C20"/>
    <w:rsid w:val="00EF7431"/>
    <w:rsid w:val="00EF7639"/>
    <w:rsid w:val="00EF7C74"/>
    <w:rsid w:val="00F001FB"/>
    <w:rsid w:val="00F00218"/>
    <w:rsid w:val="00F00299"/>
    <w:rsid w:val="00F00484"/>
    <w:rsid w:val="00F004C3"/>
    <w:rsid w:val="00F00F43"/>
    <w:rsid w:val="00F0162F"/>
    <w:rsid w:val="00F0206F"/>
    <w:rsid w:val="00F021FF"/>
    <w:rsid w:val="00F023D8"/>
    <w:rsid w:val="00F026D7"/>
    <w:rsid w:val="00F028B0"/>
    <w:rsid w:val="00F0297A"/>
    <w:rsid w:val="00F02C24"/>
    <w:rsid w:val="00F0334F"/>
    <w:rsid w:val="00F037B9"/>
    <w:rsid w:val="00F03D5E"/>
    <w:rsid w:val="00F03D99"/>
    <w:rsid w:val="00F04128"/>
    <w:rsid w:val="00F04256"/>
    <w:rsid w:val="00F04328"/>
    <w:rsid w:val="00F045C3"/>
    <w:rsid w:val="00F0476C"/>
    <w:rsid w:val="00F049F1"/>
    <w:rsid w:val="00F04D35"/>
    <w:rsid w:val="00F04DE3"/>
    <w:rsid w:val="00F05183"/>
    <w:rsid w:val="00F05676"/>
    <w:rsid w:val="00F0646A"/>
    <w:rsid w:val="00F0688F"/>
    <w:rsid w:val="00F06BEB"/>
    <w:rsid w:val="00F06EB2"/>
    <w:rsid w:val="00F070E8"/>
    <w:rsid w:val="00F07453"/>
    <w:rsid w:val="00F077E5"/>
    <w:rsid w:val="00F106F6"/>
    <w:rsid w:val="00F10AF7"/>
    <w:rsid w:val="00F10B1D"/>
    <w:rsid w:val="00F10D2B"/>
    <w:rsid w:val="00F11375"/>
    <w:rsid w:val="00F117AF"/>
    <w:rsid w:val="00F11F3E"/>
    <w:rsid w:val="00F12377"/>
    <w:rsid w:val="00F12421"/>
    <w:rsid w:val="00F12A9D"/>
    <w:rsid w:val="00F12D10"/>
    <w:rsid w:val="00F12D8C"/>
    <w:rsid w:val="00F13564"/>
    <w:rsid w:val="00F13629"/>
    <w:rsid w:val="00F13694"/>
    <w:rsid w:val="00F138F0"/>
    <w:rsid w:val="00F13CD8"/>
    <w:rsid w:val="00F13D0E"/>
    <w:rsid w:val="00F13FD9"/>
    <w:rsid w:val="00F1507A"/>
    <w:rsid w:val="00F154F1"/>
    <w:rsid w:val="00F1577C"/>
    <w:rsid w:val="00F158AA"/>
    <w:rsid w:val="00F158FB"/>
    <w:rsid w:val="00F1655E"/>
    <w:rsid w:val="00F16AFB"/>
    <w:rsid w:val="00F16CEB"/>
    <w:rsid w:val="00F17191"/>
    <w:rsid w:val="00F174DF"/>
    <w:rsid w:val="00F1765A"/>
    <w:rsid w:val="00F179C1"/>
    <w:rsid w:val="00F17C8D"/>
    <w:rsid w:val="00F203AE"/>
    <w:rsid w:val="00F208A2"/>
    <w:rsid w:val="00F20E98"/>
    <w:rsid w:val="00F21FE6"/>
    <w:rsid w:val="00F224C3"/>
    <w:rsid w:val="00F22BE5"/>
    <w:rsid w:val="00F22DC8"/>
    <w:rsid w:val="00F23048"/>
    <w:rsid w:val="00F232C3"/>
    <w:rsid w:val="00F234E9"/>
    <w:rsid w:val="00F234FE"/>
    <w:rsid w:val="00F23AB0"/>
    <w:rsid w:val="00F24BB7"/>
    <w:rsid w:val="00F24BB8"/>
    <w:rsid w:val="00F2519D"/>
    <w:rsid w:val="00F252F9"/>
    <w:rsid w:val="00F260ED"/>
    <w:rsid w:val="00F26329"/>
    <w:rsid w:val="00F26402"/>
    <w:rsid w:val="00F2654F"/>
    <w:rsid w:val="00F26887"/>
    <w:rsid w:val="00F26B52"/>
    <w:rsid w:val="00F27097"/>
    <w:rsid w:val="00F270E9"/>
    <w:rsid w:val="00F27101"/>
    <w:rsid w:val="00F27BD8"/>
    <w:rsid w:val="00F27C32"/>
    <w:rsid w:val="00F27D64"/>
    <w:rsid w:val="00F300C3"/>
    <w:rsid w:val="00F30D70"/>
    <w:rsid w:val="00F3121E"/>
    <w:rsid w:val="00F31BB0"/>
    <w:rsid w:val="00F31FBF"/>
    <w:rsid w:val="00F3200F"/>
    <w:rsid w:val="00F3211C"/>
    <w:rsid w:val="00F323B2"/>
    <w:rsid w:val="00F32524"/>
    <w:rsid w:val="00F32790"/>
    <w:rsid w:val="00F3288D"/>
    <w:rsid w:val="00F32AD4"/>
    <w:rsid w:val="00F32AE7"/>
    <w:rsid w:val="00F32C6D"/>
    <w:rsid w:val="00F32DFB"/>
    <w:rsid w:val="00F33037"/>
    <w:rsid w:val="00F334A9"/>
    <w:rsid w:val="00F336D1"/>
    <w:rsid w:val="00F340FB"/>
    <w:rsid w:val="00F341F1"/>
    <w:rsid w:val="00F35347"/>
    <w:rsid w:val="00F354B2"/>
    <w:rsid w:val="00F3554E"/>
    <w:rsid w:val="00F35601"/>
    <w:rsid w:val="00F35615"/>
    <w:rsid w:val="00F3594D"/>
    <w:rsid w:val="00F35BE0"/>
    <w:rsid w:val="00F35C9E"/>
    <w:rsid w:val="00F35D2F"/>
    <w:rsid w:val="00F35EA2"/>
    <w:rsid w:val="00F35EB1"/>
    <w:rsid w:val="00F362B0"/>
    <w:rsid w:val="00F3680C"/>
    <w:rsid w:val="00F36B1D"/>
    <w:rsid w:val="00F3723A"/>
    <w:rsid w:val="00F37731"/>
    <w:rsid w:val="00F37D5F"/>
    <w:rsid w:val="00F37EF4"/>
    <w:rsid w:val="00F40288"/>
    <w:rsid w:val="00F40378"/>
    <w:rsid w:val="00F40637"/>
    <w:rsid w:val="00F40AA1"/>
    <w:rsid w:val="00F40F3B"/>
    <w:rsid w:val="00F41003"/>
    <w:rsid w:val="00F422C6"/>
    <w:rsid w:val="00F423D2"/>
    <w:rsid w:val="00F425A6"/>
    <w:rsid w:val="00F4300B"/>
    <w:rsid w:val="00F432F8"/>
    <w:rsid w:val="00F437AB"/>
    <w:rsid w:val="00F43869"/>
    <w:rsid w:val="00F4433E"/>
    <w:rsid w:val="00F44C5F"/>
    <w:rsid w:val="00F44D27"/>
    <w:rsid w:val="00F44E68"/>
    <w:rsid w:val="00F45297"/>
    <w:rsid w:val="00F45424"/>
    <w:rsid w:val="00F455CA"/>
    <w:rsid w:val="00F457A1"/>
    <w:rsid w:val="00F459AA"/>
    <w:rsid w:val="00F4644A"/>
    <w:rsid w:val="00F46897"/>
    <w:rsid w:val="00F46DB4"/>
    <w:rsid w:val="00F470FF"/>
    <w:rsid w:val="00F47259"/>
    <w:rsid w:val="00F47674"/>
    <w:rsid w:val="00F476E6"/>
    <w:rsid w:val="00F47881"/>
    <w:rsid w:val="00F50D9D"/>
    <w:rsid w:val="00F50E36"/>
    <w:rsid w:val="00F50EBE"/>
    <w:rsid w:val="00F514DD"/>
    <w:rsid w:val="00F51BEA"/>
    <w:rsid w:val="00F51CCF"/>
    <w:rsid w:val="00F525FA"/>
    <w:rsid w:val="00F526FD"/>
    <w:rsid w:val="00F52D13"/>
    <w:rsid w:val="00F5300B"/>
    <w:rsid w:val="00F5323B"/>
    <w:rsid w:val="00F53E0B"/>
    <w:rsid w:val="00F54614"/>
    <w:rsid w:val="00F54B5A"/>
    <w:rsid w:val="00F54BB1"/>
    <w:rsid w:val="00F55148"/>
    <w:rsid w:val="00F55209"/>
    <w:rsid w:val="00F56549"/>
    <w:rsid w:val="00F56AA0"/>
    <w:rsid w:val="00F56FAC"/>
    <w:rsid w:val="00F6022D"/>
    <w:rsid w:val="00F60268"/>
    <w:rsid w:val="00F60658"/>
    <w:rsid w:val="00F606F8"/>
    <w:rsid w:val="00F60AB4"/>
    <w:rsid w:val="00F60C00"/>
    <w:rsid w:val="00F61007"/>
    <w:rsid w:val="00F61012"/>
    <w:rsid w:val="00F611F6"/>
    <w:rsid w:val="00F61375"/>
    <w:rsid w:val="00F616A5"/>
    <w:rsid w:val="00F616D4"/>
    <w:rsid w:val="00F616FE"/>
    <w:rsid w:val="00F619B5"/>
    <w:rsid w:val="00F61AEC"/>
    <w:rsid w:val="00F61F82"/>
    <w:rsid w:val="00F62007"/>
    <w:rsid w:val="00F6236A"/>
    <w:rsid w:val="00F627EB"/>
    <w:rsid w:val="00F62B8D"/>
    <w:rsid w:val="00F62BC7"/>
    <w:rsid w:val="00F63272"/>
    <w:rsid w:val="00F6346E"/>
    <w:rsid w:val="00F63BDD"/>
    <w:rsid w:val="00F63C27"/>
    <w:rsid w:val="00F63FB4"/>
    <w:rsid w:val="00F64079"/>
    <w:rsid w:val="00F6409D"/>
    <w:rsid w:val="00F650B4"/>
    <w:rsid w:val="00F65E0D"/>
    <w:rsid w:val="00F6636D"/>
    <w:rsid w:val="00F664C1"/>
    <w:rsid w:val="00F666B8"/>
    <w:rsid w:val="00F667BA"/>
    <w:rsid w:val="00F66924"/>
    <w:rsid w:val="00F6698E"/>
    <w:rsid w:val="00F66A0D"/>
    <w:rsid w:val="00F66D4C"/>
    <w:rsid w:val="00F66F32"/>
    <w:rsid w:val="00F672E0"/>
    <w:rsid w:val="00F67B22"/>
    <w:rsid w:val="00F67E4F"/>
    <w:rsid w:val="00F67E96"/>
    <w:rsid w:val="00F7013B"/>
    <w:rsid w:val="00F702EF"/>
    <w:rsid w:val="00F70520"/>
    <w:rsid w:val="00F706E0"/>
    <w:rsid w:val="00F70B21"/>
    <w:rsid w:val="00F70BFF"/>
    <w:rsid w:val="00F70EB2"/>
    <w:rsid w:val="00F70F0B"/>
    <w:rsid w:val="00F71095"/>
    <w:rsid w:val="00F71BE3"/>
    <w:rsid w:val="00F71DA6"/>
    <w:rsid w:val="00F71DED"/>
    <w:rsid w:val="00F71E20"/>
    <w:rsid w:val="00F72148"/>
    <w:rsid w:val="00F72752"/>
    <w:rsid w:val="00F72B09"/>
    <w:rsid w:val="00F72BD4"/>
    <w:rsid w:val="00F72CAF"/>
    <w:rsid w:val="00F72EE0"/>
    <w:rsid w:val="00F739E6"/>
    <w:rsid w:val="00F73B6D"/>
    <w:rsid w:val="00F73C89"/>
    <w:rsid w:val="00F73D7C"/>
    <w:rsid w:val="00F74A19"/>
    <w:rsid w:val="00F74A1C"/>
    <w:rsid w:val="00F74AC3"/>
    <w:rsid w:val="00F74C96"/>
    <w:rsid w:val="00F74FB2"/>
    <w:rsid w:val="00F75129"/>
    <w:rsid w:val="00F752CA"/>
    <w:rsid w:val="00F75500"/>
    <w:rsid w:val="00F75B68"/>
    <w:rsid w:val="00F75C97"/>
    <w:rsid w:val="00F76327"/>
    <w:rsid w:val="00F763ED"/>
    <w:rsid w:val="00F765FF"/>
    <w:rsid w:val="00F767A6"/>
    <w:rsid w:val="00F76A68"/>
    <w:rsid w:val="00F76EBE"/>
    <w:rsid w:val="00F76F65"/>
    <w:rsid w:val="00F7705B"/>
    <w:rsid w:val="00F77093"/>
    <w:rsid w:val="00F775D3"/>
    <w:rsid w:val="00F776EA"/>
    <w:rsid w:val="00F77823"/>
    <w:rsid w:val="00F77BEC"/>
    <w:rsid w:val="00F8028C"/>
    <w:rsid w:val="00F8043A"/>
    <w:rsid w:val="00F813AB"/>
    <w:rsid w:val="00F815F1"/>
    <w:rsid w:val="00F81F21"/>
    <w:rsid w:val="00F8208C"/>
    <w:rsid w:val="00F82453"/>
    <w:rsid w:val="00F827C8"/>
    <w:rsid w:val="00F82A76"/>
    <w:rsid w:val="00F82B28"/>
    <w:rsid w:val="00F82C55"/>
    <w:rsid w:val="00F82F6C"/>
    <w:rsid w:val="00F8308E"/>
    <w:rsid w:val="00F830F8"/>
    <w:rsid w:val="00F831E3"/>
    <w:rsid w:val="00F83483"/>
    <w:rsid w:val="00F835AE"/>
    <w:rsid w:val="00F83D1F"/>
    <w:rsid w:val="00F83D61"/>
    <w:rsid w:val="00F83F3D"/>
    <w:rsid w:val="00F84303"/>
    <w:rsid w:val="00F8432E"/>
    <w:rsid w:val="00F849F2"/>
    <w:rsid w:val="00F84B2D"/>
    <w:rsid w:val="00F84BB1"/>
    <w:rsid w:val="00F85002"/>
    <w:rsid w:val="00F855FD"/>
    <w:rsid w:val="00F85D1E"/>
    <w:rsid w:val="00F862D0"/>
    <w:rsid w:val="00F86786"/>
    <w:rsid w:val="00F8698F"/>
    <w:rsid w:val="00F86C5F"/>
    <w:rsid w:val="00F86C77"/>
    <w:rsid w:val="00F86C8D"/>
    <w:rsid w:val="00F870FB"/>
    <w:rsid w:val="00F87242"/>
    <w:rsid w:val="00F8781D"/>
    <w:rsid w:val="00F87CAC"/>
    <w:rsid w:val="00F90568"/>
    <w:rsid w:val="00F906D9"/>
    <w:rsid w:val="00F90868"/>
    <w:rsid w:val="00F9086B"/>
    <w:rsid w:val="00F90EE9"/>
    <w:rsid w:val="00F9107C"/>
    <w:rsid w:val="00F9142C"/>
    <w:rsid w:val="00F91649"/>
    <w:rsid w:val="00F91657"/>
    <w:rsid w:val="00F91C22"/>
    <w:rsid w:val="00F91D1A"/>
    <w:rsid w:val="00F9206A"/>
    <w:rsid w:val="00F92463"/>
    <w:rsid w:val="00F92894"/>
    <w:rsid w:val="00F92D19"/>
    <w:rsid w:val="00F9319B"/>
    <w:rsid w:val="00F9324D"/>
    <w:rsid w:val="00F93336"/>
    <w:rsid w:val="00F93C47"/>
    <w:rsid w:val="00F93D1D"/>
    <w:rsid w:val="00F9419F"/>
    <w:rsid w:val="00F94263"/>
    <w:rsid w:val="00F943D8"/>
    <w:rsid w:val="00F9462A"/>
    <w:rsid w:val="00F94708"/>
    <w:rsid w:val="00F94B52"/>
    <w:rsid w:val="00F94C38"/>
    <w:rsid w:val="00F95031"/>
    <w:rsid w:val="00F950D7"/>
    <w:rsid w:val="00F95860"/>
    <w:rsid w:val="00F9586E"/>
    <w:rsid w:val="00F958DE"/>
    <w:rsid w:val="00F96331"/>
    <w:rsid w:val="00F969D6"/>
    <w:rsid w:val="00F96DBB"/>
    <w:rsid w:val="00F97650"/>
    <w:rsid w:val="00F97F0F"/>
    <w:rsid w:val="00F97FC6"/>
    <w:rsid w:val="00FA02B6"/>
    <w:rsid w:val="00FA0312"/>
    <w:rsid w:val="00FA0546"/>
    <w:rsid w:val="00FA0614"/>
    <w:rsid w:val="00FA0A73"/>
    <w:rsid w:val="00FA0D35"/>
    <w:rsid w:val="00FA0D71"/>
    <w:rsid w:val="00FA1523"/>
    <w:rsid w:val="00FA1897"/>
    <w:rsid w:val="00FA1E0F"/>
    <w:rsid w:val="00FA2243"/>
    <w:rsid w:val="00FA226D"/>
    <w:rsid w:val="00FA2677"/>
    <w:rsid w:val="00FA2949"/>
    <w:rsid w:val="00FA2BB8"/>
    <w:rsid w:val="00FA30AE"/>
    <w:rsid w:val="00FA3650"/>
    <w:rsid w:val="00FA3783"/>
    <w:rsid w:val="00FA39DA"/>
    <w:rsid w:val="00FA3AE1"/>
    <w:rsid w:val="00FA3B39"/>
    <w:rsid w:val="00FA3FA3"/>
    <w:rsid w:val="00FA42E8"/>
    <w:rsid w:val="00FA4347"/>
    <w:rsid w:val="00FA4E28"/>
    <w:rsid w:val="00FA579E"/>
    <w:rsid w:val="00FA57C8"/>
    <w:rsid w:val="00FA5B0B"/>
    <w:rsid w:val="00FA5EE2"/>
    <w:rsid w:val="00FA5FD3"/>
    <w:rsid w:val="00FA699C"/>
    <w:rsid w:val="00FA6CEE"/>
    <w:rsid w:val="00FA6D2A"/>
    <w:rsid w:val="00FA6E64"/>
    <w:rsid w:val="00FA6F16"/>
    <w:rsid w:val="00FA73B1"/>
    <w:rsid w:val="00FA744A"/>
    <w:rsid w:val="00FA78DA"/>
    <w:rsid w:val="00FA7D47"/>
    <w:rsid w:val="00FA7E17"/>
    <w:rsid w:val="00FA7EA3"/>
    <w:rsid w:val="00FB120D"/>
    <w:rsid w:val="00FB17DE"/>
    <w:rsid w:val="00FB183D"/>
    <w:rsid w:val="00FB1957"/>
    <w:rsid w:val="00FB2128"/>
    <w:rsid w:val="00FB25C8"/>
    <w:rsid w:val="00FB26C6"/>
    <w:rsid w:val="00FB2D3C"/>
    <w:rsid w:val="00FB2D7D"/>
    <w:rsid w:val="00FB3845"/>
    <w:rsid w:val="00FB3C28"/>
    <w:rsid w:val="00FB3C48"/>
    <w:rsid w:val="00FB3C79"/>
    <w:rsid w:val="00FB3E00"/>
    <w:rsid w:val="00FB3EA4"/>
    <w:rsid w:val="00FB3F3B"/>
    <w:rsid w:val="00FB3FBD"/>
    <w:rsid w:val="00FB41E0"/>
    <w:rsid w:val="00FB45EF"/>
    <w:rsid w:val="00FB46FC"/>
    <w:rsid w:val="00FB480E"/>
    <w:rsid w:val="00FB48A8"/>
    <w:rsid w:val="00FB4A58"/>
    <w:rsid w:val="00FB4C9C"/>
    <w:rsid w:val="00FB4F02"/>
    <w:rsid w:val="00FB50F3"/>
    <w:rsid w:val="00FB58EC"/>
    <w:rsid w:val="00FB59BD"/>
    <w:rsid w:val="00FB59E5"/>
    <w:rsid w:val="00FB5DB5"/>
    <w:rsid w:val="00FB611B"/>
    <w:rsid w:val="00FB64E8"/>
    <w:rsid w:val="00FB6613"/>
    <w:rsid w:val="00FB6697"/>
    <w:rsid w:val="00FB6721"/>
    <w:rsid w:val="00FB7371"/>
    <w:rsid w:val="00FC0125"/>
    <w:rsid w:val="00FC0526"/>
    <w:rsid w:val="00FC0B58"/>
    <w:rsid w:val="00FC0E1E"/>
    <w:rsid w:val="00FC1068"/>
    <w:rsid w:val="00FC132A"/>
    <w:rsid w:val="00FC1351"/>
    <w:rsid w:val="00FC1874"/>
    <w:rsid w:val="00FC1AC0"/>
    <w:rsid w:val="00FC20BA"/>
    <w:rsid w:val="00FC2A0E"/>
    <w:rsid w:val="00FC2A17"/>
    <w:rsid w:val="00FC2CDB"/>
    <w:rsid w:val="00FC2DF9"/>
    <w:rsid w:val="00FC2E0B"/>
    <w:rsid w:val="00FC2E1F"/>
    <w:rsid w:val="00FC2FF9"/>
    <w:rsid w:val="00FC3565"/>
    <w:rsid w:val="00FC3940"/>
    <w:rsid w:val="00FC3AD2"/>
    <w:rsid w:val="00FC3E06"/>
    <w:rsid w:val="00FC4039"/>
    <w:rsid w:val="00FC4247"/>
    <w:rsid w:val="00FC45C2"/>
    <w:rsid w:val="00FC464A"/>
    <w:rsid w:val="00FC46B3"/>
    <w:rsid w:val="00FC46DE"/>
    <w:rsid w:val="00FC472D"/>
    <w:rsid w:val="00FC4927"/>
    <w:rsid w:val="00FC4AA9"/>
    <w:rsid w:val="00FC4FE5"/>
    <w:rsid w:val="00FC5417"/>
    <w:rsid w:val="00FC60E8"/>
    <w:rsid w:val="00FC65B2"/>
    <w:rsid w:val="00FC6A9D"/>
    <w:rsid w:val="00FC6D68"/>
    <w:rsid w:val="00FC7C69"/>
    <w:rsid w:val="00FC7F54"/>
    <w:rsid w:val="00FD0409"/>
    <w:rsid w:val="00FD0628"/>
    <w:rsid w:val="00FD07F5"/>
    <w:rsid w:val="00FD0B87"/>
    <w:rsid w:val="00FD0D28"/>
    <w:rsid w:val="00FD0DC2"/>
    <w:rsid w:val="00FD0EE5"/>
    <w:rsid w:val="00FD10D4"/>
    <w:rsid w:val="00FD1395"/>
    <w:rsid w:val="00FD170F"/>
    <w:rsid w:val="00FD1A8B"/>
    <w:rsid w:val="00FD1BDD"/>
    <w:rsid w:val="00FD20A3"/>
    <w:rsid w:val="00FD262B"/>
    <w:rsid w:val="00FD2830"/>
    <w:rsid w:val="00FD28F6"/>
    <w:rsid w:val="00FD2929"/>
    <w:rsid w:val="00FD2BDD"/>
    <w:rsid w:val="00FD2DC4"/>
    <w:rsid w:val="00FD3A94"/>
    <w:rsid w:val="00FD3E78"/>
    <w:rsid w:val="00FD42C5"/>
    <w:rsid w:val="00FD4CA2"/>
    <w:rsid w:val="00FD4E76"/>
    <w:rsid w:val="00FD5149"/>
    <w:rsid w:val="00FD51C0"/>
    <w:rsid w:val="00FD57DF"/>
    <w:rsid w:val="00FD58F5"/>
    <w:rsid w:val="00FD5E73"/>
    <w:rsid w:val="00FD5E8F"/>
    <w:rsid w:val="00FD5F4E"/>
    <w:rsid w:val="00FD680B"/>
    <w:rsid w:val="00FD6CA3"/>
    <w:rsid w:val="00FD704C"/>
    <w:rsid w:val="00FD77E3"/>
    <w:rsid w:val="00FD796D"/>
    <w:rsid w:val="00FD7A9D"/>
    <w:rsid w:val="00FD7CDC"/>
    <w:rsid w:val="00FE0197"/>
    <w:rsid w:val="00FE05E4"/>
    <w:rsid w:val="00FE0747"/>
    <w:rsid w:val="00FE0AFA"/>
    <w:rsid w:val="00FE11EC"/>
    <w:rsid w:val="00FE13DD"/>
    <w:rsid w:val="00FE176E"/>
    <w:rsid w:val="00FE181F"/>
    <w:rsid w:val="00FE1FB2"/>
    <w:rsid w:val="00FE265F"/>
    <w:rsid w:val="00FE2967"/>
    <w:rsid w:val="00FE2A80"/>
    <w:rsid w:val="00FE2B17"/>
    <w:rsid w:val="00FE3212"/>
    <w:rsid w:val="00FE3807"/>
    <w:rsid w:val="00FE3979"/>
    <w:rsid w:val="00FE4062"/>
    <w:rsid w:val="00FE4ADF"/>
    <w:rsid w:val="00FE55FA"/>
    <w:rsid w:val="00FE56D0"/>
    <w:rsid w:val="00FE5F66"/>
    <w:rsid w:val="00FE60B7"/>
    <w:rsid w:val="00FE621A"/>
    <w:rsid w:val="00FE6E09"/>
    <w:rsid w:val="00FE713C"/>
    <w:rsid w:val="00FE74DE"/>
    <w:rsid w:val="00FE76F8"/>
    <w:rsid w:val="00FF0137"/>
    <w:rsid w:val="00FF01DC"/>
    <w:rsid w:val="00FF0258"/>
    <w:rsid w:val="00FF027C"/>
    <w:rsid w:val="00FF0952"/>
    <w:rsid w:val="00FF0B87"/>
    <w:rsid w:val="00FF0DC6"/>
    <w:rsid w:val="00FF0E4F"/>
    <w:rsid w:val="00FF1571"/>
    <w:rsid w:val="00FF19BC"/>
    <w:rsid w:val="00FF1AA2"/>
    <w:rsid w:val="00FF22C4"/>
    <w:rsid w:val="00FF2CF6"/>
    <w:rsid w:val="00FF2EE3"/>
    <w:rsid w:val="00FF31E6"/>
    <w:rsid w:val="00FF33BD"/>
    <w:rsid w:val="00FF3714"/>
    <w:rsid w:val="00FF37B1"/>
    <w:rsid w:val="00FF4305"/>
    <w:rsid w:val="00FF484E"/>
    <w:rsid w:val="00FF49A0"/>
    <w:rsid w:val="00FF49E4"/>
    <w:rsid w:val="00FF4E81"/>
    <w:rsid w:val="00FF50A7"/>
    <w:rsid w:val="00FF50B7"/>
    <w:rsid w:val="00FF54FB"/>
    <w:rsid w:val="00FF5586"/>
    <w:rsid w:val="00FF5DB7"/>
    <w:rsid w:val="00FF6225"/>
    <w:rsid w:val="00FF6617"/>
    <w:rsid w:val="00FF6663"/>
    <w:rsid w:val="00FF6D2C"/>
    <w:rsid w:val="00FF6E23"/>
    <w:rsid w:val="00FF6EA6"/>
    <w:rsid w:val="00FF6F59"/>
    <w:rsid w:val="00FF718A"/>
    <w:rsid w:val="00FF7530"/>
    <w:rsid w:val="00FF75F7"/>
    <w:rsid w:val="00FF79E7"/>
    <w:rsid w:val="00FF7D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6433"/>
    <o:shapelayout v:ext="edit">
      <o:idmap v:ext="edit" data="1"/>
    </o:shapelayout>
  </w:shapeDefaults>
  <w:decimalSymbol w:val="."/>
  <w:listSeparator w:val=","/>
  <w14:docId w14:val="7F76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16"/>
    <w:lsdException w:name="Strong" w:semiHidden="0" w:unhideWhenUsed="0" w:qFormat="1"/>
    <w:lsdException w:name="Emphasis" w:semiHidden="0" w:unhideWhenUsed="0" w:qFormat="1"/>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4FC4"/>
    <w:rPr>
      <w:sz w:val="24"/>
      <w:szCs w:val="24"/>
    </w:rPr>
  </w:style>
  <w:style w:type="paragraph" w:styleId="Heading1">
    <w:name w:val="heading 1"/>
    <w:basedOn w:val="BodyText"/>
    <w:next w:val="BodyText"/>
    <w:link w:val="Heading1Char"/>
    <w:rsid w:val="00AA4FC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4FC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4FC4"/>
    <w:pPr>
      <w:spacing w:before="560" w:line="320" w:lineRule="exact"/>
      <w:ind w:left="0" w:firstLine="0"/>
      <w:outlineLvl w:val="2"/>
    </w:pPr>
    <w:rPr>
      <w:sz w:val="26"/>
    </w:rPr>
  </w:style>
  <w:style w:type="paragraph" w:styleId="Heading4">
    <w:name w:val="heading 4"/>
    <w:basedOn w:val="Heading3"/>
    <w:next w:val="BodyText"/>
    <w:link w:val="Heading4Char"/>
    <w:qFormat/>
    <w:rsid w:val="00AA4FC4"/>
    <w:pPr>
      <w:spacing w:before="480"/>
      <w:outlineLvl w:val="3"/>
    </w:pPr>
    <w:rPr>
      <w:b w:val="0"/>
      <w:sz w:val="24"/>
    </w:rPr>
  </w:style>
  <w:style w:type="paragraph" w:styleId="Heading5">
    <w:name w:val="heading 5"/>
    <w:basedOn w:val="Heading4"/>
    <w:next w:val="BodyText"/>
    <w:link w:val="Heading5Char"/>
    <w:qFormat/>
    <w:rsid w:val="00AA4FC4"/>
    <w:pPr>
      <w:outlineLvl w:val="4"/>
    </w:pPr>
    <w:rPr>
      <w:i/>
      <w:sz w:val="22"/>
    </w:rPr>
  </w:style>
  <w:style w:type="paragraph" w:styleId="Heading6">
    <w:name w:val="heading 6"/>
    <w:basedOn w:val="BodyText"/>
    <w:next w:val="BodyText"/>
    <w:link w:val="Heading6Char"/>
    <w:rsid w:val="00AA4FC4"/>
    <w:pPr>
      <w:spacing w:after="60"/>
      <w:jc w:val="left"/>
      <w:outlineLvl w:val="5"/>
    </w:pPr>
    <w:rPr>
      <w:i/>
      <w:sz w:val="22"/>
    </w:rPr>
  </w:style>
  <w:style w:type="paragraph" w:styleId="Heading7">
    <w:name w:val="heading 7"/>
    <w:basedOn w:val="BodyText"/>
    <w:next w:val="BodyText"/>
    <w:rsid w:val="00AA4FC4"/>
    <w:pPr>
      <w:spacing w:after="60" w:line="240" w:lineRule="auto"/>
      <w:jc w:val="left"/>
      <w:outlineLvl w:val="6"/>
    </w:pPr>
    <w:rPr>
      <w:rFonts w:ascii="Arial" w:hAnsi="Arial"/>
      <w:sz w:val="20"/>
    </w:rPr>
  </w:style>
  <w:style w:type="paragraph" w:styleId="Heading8">
    <w:name w:val="heading 8"/>
    <w:basedOn w:val="BodyText"/>
    <w:next w:val="BodyText"/>
    <w:rsid w:val="00AA4FC4"/>
    <w:pPr>
      <w:spacing w:after="60" w:line="240" w:lineRule="auto"/>
      <w:jc w:val="left"/>
      <w:outlineLvl w:val="7"/>
    </w:pPr>
    <w:rPr>
      <w:rFonts w:ascii="Arial" w:hAnsi="Arial"/>
      <w:i/>
      <w:sz w:val="20"/>
    </w:rPr>
  </w:style>
  <w:style w:type="paragraph" w:styleId="Heading9">
    <w:name w:val="heading 9"/>
    <w:basedOn w:val="BodyText"/>
    <w:next w:val="BodyText"/>
    <w:rsid w:val="00AA4FC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4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FC4"/>
  </w:style>
  <w:style w:type="paragraph" w:styleId="BodyText">
    <w:name w:val="Body Text"/>
    <w:link w:val="BodyTextChar"/>
    <w:qFormat/>
    <w:rsid w:val="00AA4FC4"/>
    <w:pPr>
      <w:spacing w:before="240" w:line="300" w:lineRule="atLeast"/>
      <w:jc w:val="both"/>
    </w:pPr>
    <w:rPr>
      <w:sz w:val="24"/>
    </w:rPr>
  </w:style>
  <w:style w:type="paragraph" w:customStyle="1" w:styleId="Chapter">
    <w:name w:val="Chapter"/>
    <w:basedOn w:val="Heading1"/>
    <w:next w:val="BodyText"/>
    <w:link w:val="ChapterChar"/>
    <w:semiHidden/>
    <w:rsid w:val="00AA4FC4"/>
    <w:pPr>
      <w:ind w:left="0" w:firstLine="0"/>
      <w:outlineLvl w:val="9"/>
    </w:pPr>
  </w:style>
  <w:style w:type="paragraph" w:customStyle="1" w:styleId="SequenceInfo">
    <w:name w:val="Sequence Info"/>
    <w:basedOn w:val="BodyText"/>
    <w:semiHidden/>
    <w:rsid w:val="00AA4FC4"/>
    <w:rPr>
      <w:vanish/>
      <w:sz w:val="16"/>
    </w:rPr>
  </w:style>
  <w:style w:type="paragraph" w:customStyle="1" w:styleId="InformationRequestBullet">
    <w:name w:val="Information Request Bullet"/>
    <w:basedOn w:val="ListBullet"/>
    <w:next w:val="BodyText"/>
    <w:rsid w:val="00AA4FC4"/>
    <w:pPr>
      <w:numPr>
        <w:numId w:val="13"/>
      </w:numPr>
      <w:spacing w:before="80" w:line="280" w:lineRule="atLeast"/>
      <w:ind w:left="357" w:hanging="357"/>
    </w:pPr>
    <w:rPr>
      <w:rFonts w:ascii="Arial" w:hAnsi="Arial"/>
      <w:i/>
      <w:sz w:val="22"/>
    </w:rPr>
  </w:style>
  <w:style w:type="paragraph" w:customStyle="1" w:styleId="InformationRequest">
    <w:name w:val="Information Request"/>
    <w:basedOn w:val="Finding"/>
    <w:next w:val="BodyText"/>
    <w:rsid w:val="00AA4FC4"/>
    <w:rPr>
      <w:i/>
    </w:rPr>
  </w:style>
  <w:style w:type="paragraph" w:customStyle="1" w:styleId="Abbreviation">
    <w:name w:val="Abbreviation"/>
    <w:basedOn w:val="BodyText"/>
    <w:rsid w:val="00AA4FC4"/>
    <w:pPr>
      <w:spacing w:before="120"/>
      <w:ind w:left="2381" w:hanging="2381"/>
      <w:jc w:val="left"/>
    </w:pPr>
  </w:style>
  <w:style w:type="paragraph" w:customStyle="1" w:styleId="Box">
    <w:name w:val="Box"/>
    <w:basedOn w:val="BodyText"/>
    <w:link w:val="BoxChar"/>
    <w:qFormat/>
    <w:rsid w:val="00AA4FC4"/>
    <w:pPr>
      <w:keepNext/>
      <w:spacing w:before="120" w:line="260" w:lineRule="atLeast"/>
    </w:pPr>
    <w:rPr>
      <w:rFonts w:ascii="Arial" w:hAnsi="Arial"/>
      <w:sz w:val="20"/>
    </w:rPr>
  </w:style>
  <w:style w:type="paragraph" w:customStyle="1" w:styleId="QuoteBullet">
    <w:name w:val="Quote Bullet"/>
    <w:basedOn w:val="Quote"/>
    <w:rsid w:val="00AA4FC4"/>
    <w:pPr>
      <w:numPr>
        <w:numId w:val="9"/>
      </w:numPr>
    </w:pPr>
  </w:style>
  <w:style w:type="paragraph" w:customStyle="1" w:styleId="BoxListBullet">
    <w:name w:val="Box List Bullet"/>
    <w:basedOn w:val="BodyText"/>
    <w:link w:val="BoxListBulletChar"/>
    <w:rsid w:val="00AA4FC4"/>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AA4FC4"/>
    <w:pPr>
      <w:numPr>
        <w:numId w:val="1"/>
      </w:numPr>
      <w:ind w:left="568" w:hanging="284"/>
    </w:pPr>
  </w:style>
  <w:style w:type="paragraph" w:customStyle="1" w:styleId="BoxListNumber">
    <w:name w:val="Box List Number"/>
    <w:basedOn w:val="BodyText"/>
    <w:link w:val="BoxListNumberChar"/>
    <w:rsid w:val="00AA4FC4"/>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AA4FC4"/>
    <w:pPr>
      <w:numPr>
        <w:ilvl w:val="1"/>
      </w:numPr>
      <w:ind w:left="681" w:hanging="397"/>
    </w:pPr>
  </w:style>
  <w:style w:type="paragraph" w:customStyle="1" w:styleId="BoxQuote">
    <w:name w:val="Box Quote"/>
    <w:basedOn w:val="BodyText"/>
    <w:next w:val="Box"/>
    <w:qFormat/>
    <w:rsid w:val="00AA4FC4"/>
    <w:pPr>
      <w:keepNext/>
      <w:spacing w:before="60" w:line="240" w:lineRule="exact"/>
      <w:ind w:left="284"/>
    </w:pPr>
    <w:rPr>
      <w:rFonts w:ascii="Arial" w:hAnsi="Arial"/>
      <w:sz w:val="18"/>
    </w:rPr>
  </w:style>
  <w:style w:type="paragraph" w:customStyle="1" w:styleId="BoxSource">
    <w:name w:val="Box Source"/>
    <w:basedOn w:val="Source"/>
    <w:next w:val="BodyText"/>
    <w:rsid w:val="00AA4FC4"/>
    <w:pPr>
      <w:spacing w:before="120"/>
    </w:pPr>
  </w:style>
  <w:style w:type="paragraph" w:styleId="Footer">
    <w:name w:val="footer"/>
    <w:basedOn w:val="BodyText"/>
    <w:link w:val="FooterChar"/>
    <w:rsid w:val="00AA4FC4"/>
    <w:pPr>
      <w:spacing w:before="80" w:line="200" w:lineRule="exact"/>
      <w:ind w:right="6"/>
      <w:jc w:val="left"/>
    </w:pPr>
    <w:rPr>
      <w:rFonts w:ascii="Arial" w:hAnsi="Arial"/>
      <w:caps/>
      <w:spacing w:val="-4"/>
      <w:sz w:val="16"/>
    </w:rPr>
  </w:style>
  <w:style w:type="paragraph" w:customStyle="1" w:styleId="BoxSubtitle">
    <w:name w:val="Box Subtitle"/>
    <w:basedOn w:val="BoxTitle"/>
    <w:next w:val="Normal"/>
    <w:rsid w:val="00AA4FC4"/>
    <w:pPr>
      <w:spacing w:after="80" w:line="200" w:lineRule="exact"/>
      <w:ind w:firstLine="0"/>
    </w:pPr>
    <w:rPr>
      <w:b w:val="0"/>
      <w:sz w:val="20"/>
    </w:rPr>
  </w:style>
  <w:style w:type="paragraph" w:customStyle="1" w:styleId="BoxTitle">
    <w:name w:val="Box Title"/>
    <w:basedOn w:val="Caption"/>
    <w:next w:val="BoxSubtitle"/>
    <w:link w:val="BoxTitleChar"/>
    <w:rsid w:val="00AA4FC4"/>
    <w:pPr>
      <w:spacing w:before="120" w:after="0"/>
    </w:pPr>
  </w:style>
  <w:style w:type="paragraph" w:styleId="Caption">
    <w:name w:val="caption"/>
    <w:basedOn w:val="Normal"/>
    <w:next w:val="BodyText"/>
    <w:link w:val="CaptionChar"/>
    <w:rsid w:val="00AA4FC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A4FC4"/>
    <w:pPr>
      <w:spacing w:line="280" w:lineRule="atLeast"/>
      <w:ind w:left="907"/>
    </w:pPr>
    <w:rPr>
      <w:rFonts w:ascii="Arial" w:hAnsi="Arial"/>
      <w:b/>
      <w:sz w:val="20"/>
    </w:rPr>
  </w:style>
  <w:style w:type="character" w:customStyle="1" w:styleId="DocumentInfo">
    <w:name w:val="Document Info"/>
    <w:basedOn w:val="DefaultParagraphFont"/>
    <w:semiHidden/>
    <w:rsid w:val="00AA4FC4"/>
    <w:rPr>
      <w:rFonts w:ascii="Arial" w:hAnsi="Arial"/>
      <w:sz w:val="14"/>
    </w:rPr>
  </w:style>
  <w:style w:type="character" w:customStyle="1" w:styleId="FooterChar">
    <w:name w:val="Footer Char"/>
    <w:basedOn w:val="BodyTextChar"/>
    <w:link w:val="Footer"/>
    <w:rsid w:val="00AA4FC4"/>
    <w:rPr>
      <w:rFonts w:ascii="Arial" w:hAnsi="Arial"/>
      <w:caps/>
      <w:spacing w:val="-4"/>
      <w:sz w:val="16"/>
    </w:rPr>
  </w:style>
  <w:style w:type="character" w:customStyle="1" w:styleId="DraftingNote">
    <w:name w:val="Drafting Note"/>
    <w:basedOn w:val="DefaultParagraphFont"/>
    <w:rsid w:val="00AA4FC4"/>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AA4FC4"/>
    <w:pPr>
      <w:keepNext/>
      <w:spacing w:before="120" w:after="120" w:line="240" w:lineRule="atLeast"/>
      <w:jc w:val="center"/>
    </w:pPr>
  </w:style>
  <w:style w:type="paragraph" w:customStyle="1" w:styleId="FigureTitle">
    <w:name w:val="Figure Title"/>
    <w:basedOn w:val="Caption"/>
    <w:next w:val="Subtitle"/>
    <w:link w:val="FigureTitleChar"/>
    <w:rsid w:val="00AA4FC4"/>
    <w:pPr>
      <w:spacing w:before="120"/>
    </w:pPr>
  </w:style>
  <w:style w:type="paragraph" w:styleId="Subtitle">
    <w:name w:val="Subtitle"/>
    <w:basedOn w:val="Caption"/>
    <w:link w:val="SubtitleChar"/>
    <w:qFormat/>
    <w:rsid w:val="00AA4FC4"/>
    <w:pPr>
      <w:spacing w:before="0" w:line="200" w:lineRule="exact"/>
      <w:ind w:firstLine="0"/>
    </w:pPr>
    <w:rPr>
      <w:b w:val="0"/>
      <w:sz w:val="20"/>
    </w:rPr>
  </w:style>
  <w:style w:type="paragraph" w:customStyle="1" w:styleId="Finding">
    <w:name w:val="Finding"/>
    <w:basedOn w:val="BodyText"/>
    <w:rsid w:val="00AA4FC4"/>
    <w:pPr>
      <w:keepLines/>
      <w:spacing w:before="120" w:line="280" w:lineRule="atLeast"/>
    </w:pPr>
    <w:rPr>
      <w:rFonts w:ascii="Arial" w:hAnsi="Arial"/>
      <w:sz w:val="22"/>
    </w:rPr>
  </w:style>
  <w:style w:type="paragraph" w:customStyle="1" w:styleId="FindingBullet">
    <w:name w:val="Finding Bullet"/>
    <w:basedOn w:val="Finding"/>
    <w:rsid w:val="00AA4FC4"/>
    <w:pPr>
      <w:numPr>
        <w:numId w:val="5"/>
      </w:numPr>
      <w:spacing w:before="80"/>
    </w:pPr>
  </w:style>
  <w:style w:type="paragraph" w:customStyle="1" w:styleId="HeaderEven">
    <w:name w:val="Header Even"/>
    <w:basedOn w:val="Header"/>
    <w:semiHidden/>
    <w:rsid w:val="00AA4FC4"/>
  </w:style>
  <w:style w:type="paragraph" w:customStyle="1" w:styleId="FindingTitle">
    <w:name w:val="Finding Title"/>
    <w:basedOn w:val="RecTitle"/>
    <w:next w:val="Finding"/>
    <w:rsid w:val="00AA4FC4"/>
  </w:style>
  <w:style w:type="paragraph" w:customStyle="1" w:styleId="FooterEnd">
    <w:name w:val="Footer End"/>
    <w:basedOn w:val="Footer"/>
    <w:rsid w:val="00AA4FC4"/>
    <w:pPr>
      <w:spacing w:before="0" w:line="20" w:lineRule="exact"/>
    </w:pPr>
  </w:style>
  <w:style w:type="paragraph" w:customStyle="1" w:styleId="HeaderOdd">
    <w:name w:val="Header Odd"/>
    <w:basedOn w:val="Header"/>
    <w:semiHidden/>
    <w:rsid w:val="00AA4FC4"/>
  </w:style>
  <w:style w:type="paragraph" w:styleId="FootnoteText">
    <w:name w:val="footnote text"/>
    <w:basedOn w:val="BodyText"/>
    <w:link w:val="FootnoteTextChar"/>
    <w:rsid w:val="00AA4FC4"/>
    <w:pPr>
      <w:tabs>
        <w:tab w:val="left" w:pos="284"/>
      </w:tabs>
      <w:spacing w:before="80" w:line="240" w:lineRule="exact"/>
      <w:ind w:left="284" w:hanging="284"/>
    </w:pPr>
    <w:rPr>
      <w:sz w:val="20"/>
    </w:rPr>
  </w:style>
  <w:style w:type="paragraph" w:styleId="Header">
    <w:name w:val="header"/>
    <w:basedOn w:val="BodyText"/>
    <w:link w:val="HeaderChar"/>
    <w:rsid w:val="00AA4FC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4FC4"/>
    <w:pPr>
      <w:spacing w:line="20" w:lineRule="exact"/>
    </w:pPr>
    <w:rPr>
      <w:sz w:val="16"/>
    </w:rPr>
  </w:style>
  <w:style w:type="character" w:styleId="CommentReference">
    <w:name w:val="annotation reference"/>
    <w:basedOn w:val="DefaultParagraphFont"/>
    <w:rsid w:val="00AA4FC4"/>
    <w:rPr>
      <w:b/>
      <w:vanish/>
      <w:color w:val="FF00FF"/>
      <w:sz w:val="20"/>
    </w:rPr>
  </w:style>
  <w:style w:type="paragraph" w:styleId="CommentText">
    <w:name w:val="annotation text"/>
    <w:basedOn w:val="Normal"/>
    <w:link w:val="CommentTextChar"/>
    <w:rsid w:val="00AA4FC4"/>
    <w:pPr>
      <w:spacing w:before="120" w:line="240" w:lineRule="atLeast"/>
      <w:ind w:left="567" w:hanging="567"/>
    </w:pPr>
    <w:rPr>
      <w:sz w:val="20"/>
    </w:rPr>
  </w:style>
  <w:style w:type="character" w:customStyle="1" w:styleId="CommentTextChar">
    <w:name w:val="Comment Text Char"/>
    <w:basedOn w:val="DefaultParagraphFont"/>
    <w:link w:val="CommentText"/>
    <w:rsid w:val="00E65F69"/>
    <w:rPr>
      <w:szCs w:val="24"/>
    </w:rPr>
  </w:style>
  <w:style w:type="paragraph" w:styleId="ListBullet">
    <w:name w:val="List Bullet"/>
    <w:basedOn w:val="BodyText"/>
    <w:link w:val="ListBulletChar"/>
    <w:rsid w:val="00AA4FC4"/>
    <w:pPr>
      <w:numPr>
        <w:numId w:val="3"/>
      </w:numPr>
      <w:spacing w:before="120"/>
    </w:pPr>
  </w:style>
  <w:style w:type="paragraph" w:styleId="ListBullet2">
    <w:name w:val="List Bullet 2"/>
    <w:basedOn w:val="BodyText"/>
    <w:rsid w:val="00AA4FC4"/>
    <w:pPr>
      <w:numPr>
        <w:numId w:val="18"/>
      </w:numPr>
      <w:spacing w:before="120"/>
    </w:pPr>
  </w:style>
  <w:style w:type="paragraph" w:styleId="ListBullet3">
    <w:name w:val="List Bullet 3"/>
    <w:basedOn w:val="BodyText"/>
    <w:rsid w:val="00AA4FC4"/>
    <w:pPr>
      <w:numPr>
        <w:numId w:val="19"/>
      </w:numPr>
      <w:spacing w:before="120"/>
      <w:ind w:left="1020" w:hanging="340"/>
    </w:pPr>
  </w:style>
  <w:style w:type="paragraph" w:styleId="ListNumber">
    <w:name w:val="List Number"/>
    <w:basedOn w:val="BodyText"/>
    <w:rsid w:val="00AA4FC4"/>
    <w:pPr>
      <w:numPr>
        <w:numId w:val="20"/>
      </w:numPr>
      <w:spacing w:before="120"/>
    </w:pPr>
  </w:style>
  <w:style w:type="paragraph" w:styleId="ListNumber2">
    <w:name w:val="List Number 2"/>
    <w:basedOn w:val="ListNumber"/>
    <w:rsid w:val="00AA4FC4"/>
    <w:pPr>
      <w:numPr>
        <w:ilvl w:val="1"/>
      </w:numPr>
    </w:pPr>
  </w:style>
  <w:style w:type="paragraph" w:styleId="ListNumber3">
    <w:name w:val="List Number 3"/>
    <w:basedOn w:val="ListNumber2"/>
    <w:rsid w:val="00AA4FC4"/>
    <w:pPr>
      <w:numPr>
        <w:ilvl w:val="2"/>
      </w:numPr>
    </w:pPr>
  </w:style>
  <w:style w:type="paragraph" w:customStyle="1" w:styleId="Note">
    <w:name w:val="Note"/>
    <w:basedOn w:val="BodyText"/>
    <w:next w:val="BodyText"/>
    <w:link w:val="NoteChar"/>
    <w:rsid w:val="00AA4FC4"/>
    <w:pPr>
      <w:keepLines/>
      <w:spacing w:before="80" w:line="220" w:lineRule="exact"/>
    </w:pPr>
    <w:rPr>
      <w:rFonts w:ascii="Arial" w:hAnsi="Arial"/>
      <w:sz w:val="18"/>
    </w:rPr>
  </w:style>
  <w:style w:type="character" w:customStyle="1" w:styleId="NoteLabel">
    <w:name w:val="Note Label"/>
    <w:basedOn w:val="DefaultParagraphFont"/>
    <w:rsid w:val="00AA4FC4"/>
    <w:rPr>
      <w:rFonts w:ascii="Arial" w:hAnsi="Arial"/>
      <w:b/>
      <w:position w:val="6"/>
      <w:sz w:val="18"/>
    </w:rPr>
  </w:style>
  <w:style w:type="character" w:styleId="PageNumber">
    <w:name w:val="page number"/>
    <w:basedOn w:val="DefaultParagraphFont"/>
    <w:rsid w:val="00AA4FC4"/>
    <w:rPr>
      <w:rFonts w:ascii="Arial" w:hAnsi="Arial"/>
      <w:b/>
      <w:sz w:val="16"/>
    </w:rPr>
  </w:style>
  <w:style w:type="paragraph" w:customStyle="1" w:styleId="PartDivider">
    <w:name w:val="Part Divider"/>
    <w:basedOn w:val="BodyText"/>
    <w:next w:val="BodyText"/>
    <w:semiHidden/>
    <w:rsid w:val="00AA4FC4"/>
    <w:pPr>
      <w:spacing w:before="0" w:line="40" w:lineRule="exact"/>
      <w:jc w:val="right"/>
    </w:pPr>
    <w:rPr>
      <w:smallCaps/>
      <w:sz w:val="16"/>
    </w:rPr>
  </w:style>
  <w:style w:type="paragraph" w:customStyle="1" w:styleId="PartNumber">
    <w:name w:val="Part Number"/>
    <w:basedOn w:val="BodyText"/>
    <w:next w:val="BodyText"/>
    <w:semiHidden/>
    <w:rsid w:val="00AA4FC4"/>
    <w:pPr>
      <w:spacing w:before="4000" w:line="320" w:lineRule="exact"/>
      <w:ind w:left="6634"/>
      <w:jc w:val="right"/>
    </w:pPr>
    <w:rPr>
      <w:smallCaps/>
      <w:spacing w:val="60"/>
      <w:sz w:val="32"/>
    </w:rPr>
  </w:style>
  <w:style w:type="paragraph" w:customStyle="1" w:styleId="PartTitle">
    <w:name w:val="Part Title"/>
    <w:basedOn w:val="BodyText"/>
    <w:semiHidden/>
    <w:rsid w:val="00AA4FC4"/>
    <w:pPr>
      <w:spacing w:before="160" w:after="1360" w:line="520" w:lineRule="exact"/>
      <w:ind w:right="2381"/>
      <w:jc w:val="right"/>
    </w:pPr>
    <w:rPr>
      <w:smallCaps/>
      <w:sz w:val="52"/>
    </w:rPr>
  </w:style>
  <w:style w:type="paragraph" w:styleId="Quote">
    <w:name w:val="Quote"/>
    <w:basedOn w:val="BodyText"/>
    <w:next w:val="BodyText"/>
    <w:link w:val="QuoteChar"/>
    <w:qFormat/>
    <w:rsid w:val="00AA4FC4"/>
    <w:pPr>
      <w:spacing w:before="120" w:line="280" w:lineRule="exact"/>
      <w:ind w:left="340"/>
    </w:pPr>
    <w:rPr>
      <w:sz w:val="22"/>
    </w:rPr>
  </w:style>
  <w:style w:type="paragraph" w:customStyle="1" w:styleId="Rec">
    <w:name w:val="Rec"/>
    <w:basedOn w:val="BodyText"/>
    <w:qFormat/>
    <w:rsid w:val="00AA4FC4"/>
    <w:pPr>
      <w:keepLines/>
      <w:spacing w:before="120" w:line="280" w:lineRule="atLeast"/>
    </w:pPr>
    <w:rPr>
      <w:rFonts w:ascii="Arial" w:hAnsi="Arial"/>
      <w:sz w:val="22"/>
    </w:rPr>
  </w:style>
  <w:style w:type="paragraph" w:customStyle="1" w:styleId="RecBullet">
    <w:name w:val="Rec Bullet"/>
    <w:basedOn w:val="Rec"/>
    <w:rsid w:val="00AA4FC4"/>
    <w:pPr>
      <w:numPr>
        <w:numId w:val="6"/>
      </w:numPr>
      <w:spacing w:before="80"/>
    </w:pPr>
  </w:style>
  <w:style w:type="paragraph" w:customStyle="1" w:styleId="RecTitle">
    <w:name w:val="Rec Title"/>
    <w:basedOn w:val="BodyText"/>
    <w:next w:val="Rec"/>
    <w:qFormat/>
    <w:rsid w:val="00AA4FC4"/>
    <w:pPr>
      <w:keepNext/>
      <w:keepLines/>
      <w:spacing w:line="280" w:lineRule="atLeast"/>
    </w:pPr>
    <w:rPr>
      <w:rFonts w:ascii="Arial" w:hAnsi="Arial"/>
      <w:caps/>
      <w:sz w:val="18"/>
    </w:rPr>
  </w:style>
  <w:style w:type="paragraph" w:customStyle="1" w:styleId="RecB">
    <w:name w:val="RecB"/>
    <w:basedOn w:val="Normal"/>
    <w:rsid w:val="00AA4FC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4FC4"/>
    <w:pPr>
      <w:numPr>
        <w:numId w:val="7"/>
      </w:numPr>
      <w:spacing w:before="80"/>
    </w:pPr>
  </w:style>
  <w:style w:type="paragraph" w:customStyle="1" w:styleId="RecBNoTitle">
    <w:name w:val="RecB NoTitle"/>
    <w:basedOn w:val="RecB"/>
    <w:rsid w:val="00AA4FC4"/>
    <w:pPr>
      <w:spacing w:before="240"/>
    </w:pPr>
  </w:style>
  <w:style w:type="paragraph" w:customStyle="1" w:styleId="Reference">
    <w:name w:val="Reference"/>
    <w:basedOn w:val="BodyText"/>
    <w:link w:val="ReferenceChar"/>
    <w:rsid w:val="00AA4FC4"/>
    <w:pPr>
      <w:spacing w:before="120"/>
      <w:ind w:left="340" w:hanging="340"/>
    </w:pPr>
  </w:style>
  <w:style w:type="paragraph" w:customStyle="1" w:styleId="SideNote">
    <w:name w:val="Side Note"/>
    <w:basedOn w:val="BodyText"/>
    <w:next w:val="BodyText"/>
    <w:semiHidden/>
    <w:rsid w:val="00AA4FC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4FC4"/>
    <w:pPr>
      <w:framePr w:wrap="around"/>
      <w:numPr>
        <w:numId w:val="2"/>
      </w:numPr>
      <w:tabs>
        <w:tab w:val="left" w:pos="227"/>
      </w:tabs>
    </w:pPr>
  </w:style>
  <w:style w:type="paragraph" w:customStyle="1" w:styleId="SideNoteGraphic">
    <w:name w:val="Side Note Graphic"/>
    <w:basedOn w:val="SideNote"/>
    <w:next w:val="BodyText"/>
    <w:semiHidden/>
    <w:rsid w:val="00AA4FC4"/>
    <w:pPr>
      <w:framePr w:wrap="around"/>
    </w:pPr>
  </w:style>
  <w:style w:type="paragraph" w:customStyle="1" w:styleId="Source">
    <w:name w:val="Source"/>
    <w:basedOn w:val="Normal"/>
    <w:next w:val="BodyText"/>
    <w:link w:val="SourceChar"/>
    <w:rsid w:val="00AA4FC4"/>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A4FC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A4FC4"/>
    <w:pPr>
      <w:numPr>
        <w:numId w:val="8"/>
      </w:numPr>
      <w:jc w:val="left"/>
    </w:pPr>
  </w:style>
  <w:style w:type="paragraph" w:customStyle="1" w:styleId="TableColumnHeading">
    <w:name w:val="Table Column Heading"/>
    <w:basedOn w:val="TableBodyText"/>
    <w:rsid w:val="00AA4FC4"/>
    <w:pPr>
      <w:spacing w:before="80" w:after="80"/>
    </w:pPr>
    <w:rPr>
      <w:i/>
    </w:rPr>
  </w:style>
  <w:style w:type="paragraph" w:customStyle="1" w:styleId="FindingNoTitle">
    <w:name w:val="Finding NoTitle"/>
    <w:basedOn w:val="Finding"/>
    <w:semiHidden/>
    <w:rsid w:val="00AA4FC4"/>
    <w:pPr>
      <w:spacing w:before="240"/>
    </w:pPr>
  </w:style>
  <w:style w:type="paragraph" w:styleId="TOC3">
    <w:name w:val="toc 3"/>
    <w:basedOn w:val="TOC2"/>
    <w:rsid w:val="00AA4FC4"/>
    <w:pPr>
      <w:spacing w:before="60"/>
      <w:ind w:left="1190" w:hanging="680"/>
    </w:pPr>
  </w:style>
  <w:style w:type="paragraph" w:customStyle="1" w:styleId="TableTitle">
    <w:name w:val="Table Title"/>
    <w:basedOn w:val="Caption"/>
    <w:next w:val="Subtitle"/>
    <w:qFormat/>
    <w:rsid w:val="00AA4FC4"/>
    <w:pPr>
      <w:spacing w:before="120"/>
    </w:pPr>
  </w:style>
  <w:style w:type="paragraph" w:customStyle="1" w:styleId="TableUnitsRow">
    <w:name w:val="Table Units Row"/>
    <w:basedOn w:val="TableBodyText"/>
    <w:rsid w:val="00AA4FC4"/>
    <w:pPr>
      <w:spacing w:before="40"/>
    </w:pPr>
  </w:style>
  <w:style w:type="paragraph" w:styleId="TOC1">
    <w:name w:val="toc 1"/>
    <w:basedOn w:val="Normal"/>
    <w:next w:val="TOC2"/>
    <w:link w:val="TOC1Char"/>
    <w:rsid w:val="00AA4FC4"/>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A4FC4"/>
    <w:pPr>
      <w:ind w:left="1134" w:hanging="624"/>
    </w:pPr>
    <w:rPr>
      <w:b w:val="0"/>
    </w:rPr>
  </w:style>
  <w:style w:type="paragraph" w:styleId="TOC4">
    <w:name w:val="toc 4"/>
    <w:basedOn w:val="TOC3"/>
    <w:semiHidden/>
    <w:rsid w:val="00AA4FC4"/>
    <w:pPr>
      <w:ind w:left="1191" w:firstLine="0"/>
    </w:pPr>
  </w:style>
  <w:style w:type="paragraph" w:customStyle="1" w:styleId="BoxContinued">
    <w:name w:val="Box Continued"/>
    <w:basedOn w:val="BodyText"/>
    <w:next w:val="BodyText"/>
    <w:link w:val="BoxContinuedChar"/>
    <w:semiHidden/>
    <w:rsid w:val="00AA4FC4"/>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A4FC4"/>
  </w:style>
  <w:style w:type="paragraph" w:customStyle="1" w:styleId="BoxHeading1">
    <w:name w:val="Box Heading 1"/>
    <w:basedOn w:val="BodyText"/>
    <w:next w:val="Box"/>
    <w:link w:val="BoxHeading1Char"/>
    <w:rsid w:val="00AA4FC4"/>
    <w:pPr>
      <w:keepNext/>
      <w:spacing w:before="200" w:line="280" w:lineRule="atLeast"/>
    </w:pPr>
    <w:rPr>
      <w:rFonts w:ascii="Arial" w:hAnsi="Arial"/>
      <w:b/>
      <w:sz w:val="22"/>
    </w:rPr>
  </w:style>
  <w:style w:type="paragraph" w:customStyle="1" w:styleId="BoxHeading2">
    <w:name w:val="Box Heading 2"/>
    <w:basedOn w:val="BoxHeading1"/>
    <w:next w:val="Normal"/>
    <w:rsid w:val="00AA4FC4"/>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character" w:styleId="FootnoteReference">
    <w:name w:val="footnote reference"/>
    <w:basedOn w:val="DefaultParagraphFont"/>
    <w:rsid w:val="00AA4FC4"/>
    <w:rPr>
      <w:rFonts w:ascii="Times New Roman" w:hAnsi="Times New Roman"/>
      <w:position w:val="6"/>
      <w:sz w:val="20"/>
      <w:vertAlign w:val="baseline"/>
    </w:rPr>
  </w:style>
  <w:style w:type="paragraph" w:styleId="BalloonText">
    <w:name w:val="Balloon Text"/>
    <w:basedOn w:val="Normal"/>
    <w:link w:val="BalloonTextChar"/>
    <w:rsid w:val="00AA4FC4"/>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AA4FC4"/>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A4FC4"/>
    <w:pPr>
      <w:spacing w:after="140"/>
      <w:jc w:val="both"/>
    </w:pPr>
    <w:rPr>
      <w:rFonts w:ascii="Arial" w:hAnsi="Arial"/>
      <w:sz w:val="24"/>
      <w:lang w:eastAsia="en-US"/>
    </w:rPr>
  </w:style>
  <w:style w:type="paragraph" w:customStyle="1" w:styleId="Jurisdictioncommentsheading">
    <w:name w:val="Jurisdiction comments heading"/>
    <w:rsid w:val="00AA4FC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4FC4"/>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A4F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TOC3"/>
    <w:next w:val="BodyText"/>
    <w:rsid w:val="00AA4FC4"/>
    <w:pPr>
      <w:ind w:left="737" w:hanging="737"/>
    </w:p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AA4FC4"/>
    <w:rPr>
      <w:rFonts w:ascii="Arial" w:hAnsi="Arial"/>
      <w:i/>
      <w:sz w:val="22"/>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character" w:customStyle="1" w:styleId="FigureChar">
    <w:name w:val="Figure Char"/>
    <w:basedOn w:val="BodyTextChar"/>
    <w:link w:val="Figure"/>
    <w:rsid w:val="001C2D5C"/>
    <w:rPr>
      <w:sz w:val="24"/>
    </w:rPr>
  </w:style>
  <w:style w:type="paragraph" w:customStyle="1" w:styleId="RecBBullet2">
    <w:name w:val="RecB Bullet 2"/>
    <w:basedOn w:val="ListBullet2"/>
    <w:semiHidden/>
    <w:rsid w:val="00AA4FC4"/>
    <w:pPr>
      <w:pBdr>
        <w:left w:val="single" w:sz="24" w:space="29" w:color="C0C0C0"/>
      </w:pBdr>
    </w:pPr>
    <w:rPr>
      <w:b/>
      <w:i/>
    </w:rPr>
  </w:style>
  <w:style w:type="character" w:customStyle="1" w:styleId="BalloonTextChar">
    <w:name w:val="Balloon Text Char"/>
    <w:basedOn w:val="DefaultParagraphFont"/>
    <w:link w:val="BalloonText"/>
    <w:rsid w:val="00AA4FC4"/>
    <w:rPr>
      <w:rFonts w:ascii="Tahoma" w:hAnsi="Tahoma" w:cs="Tahoma"/>
      <w:sz w:val="16"/>
      <w:szCs w:val="16"/>
    </w:rPr>
  </w:style>
  <w:style w:type="character" w:customStyle="1" w:styleId="SubtitleChar">
    <w:name w:val="Subtitle Char"/>
    <w:basedOn w:val="DefaultParagraphFont"/>
    <w:link w:val="Subtitle"/>
    <w:rsid w:val="00AA4FC4"/>
    <w:rPr>
      <w:rFonts w:ascii="Arial" w:hAnsi="Arial"/>
      <w:szCs w:val="24"/>
    </w:rPr>
  </w:style>
  <w:style w:type="paragraph" w:customStyle="1" w:styleId="BoxListBullet3">
    <w:name w:val="Box List Bullet 3"/>
    <w:basedOn w:val="ListBullet3"/>
    <w:rsid w:val="00AA4FC4"/>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4FC4"/>
    <w:rPr>
      <w:i/>
      <w:iCs/>
    </w:rPr>
  </w:style>
  <w:style w:type="paragraph" w:customStyle="1" w:styleId="BoxQuoteBullet">
    <w:name w:val="Box Quote Bullet"/>
    <w:basedOn w:val="BoxQuote"/>
    <w:next w:val="Box"/>
    <w:rsid w:val="00AA4FC4"/>
    <w:pPr>
      <w:numPr>
        <w:numId w:val="12"/>
      </w:numPr>
      <w:ind w:left="568" w:hanging="284"/>
    </w:p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AA4FC4"/>
    <w:pPr>
      <w:keepNext/>
      <w:spacing w:before="360" w:line="80" w:lineRule="exact"/>
      <w:jc w:val="left"/>
    </w:pPr>
  </w:style>
  <w:style w:type="paragraph" w:customStyle="1" w:styleId="BoxSpaceBelow">
    <w:name w:val="Box Space Below"/>
    <w:basedOn w:val="Box"/>
    <w:rsid w:val="00AA4FC4"/>
    <w:pPr>
      <w:keepNext w:val="0"/>
      <w:spacing w:before="60" w:after="60" w:line="80" w:lineRule="exact"/>
    </w:pPr>
    <w:rPr>
      <w:sz w:val="14"/>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E672DA"/>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numbering" w:styleId="111111">
    <w:name w:val="Outline List 2"/>
    <w:basedOn w:val="NoList"/>
    <w:rsid w:val="00E672DA"/>
    <w:pPr>
      <w:numPr>
        <w:numId w:val="16"/>
      </w:numPr>
    </w:pPr>
  </w:style>
  <w:style w:type="numbering" w:styleId="1ai">
    <w:name w:val="Outline List 1"/>
    <w:basedOn w:val="NoList"/>
    <w:rsid w:val="00E672DA"/>
    <w:pPr>
      <w:numPr>
        <w:numId w:val="17"/>
      </w:numPr>
    </w:pPr>
  </w:style>
  <w:style w:type="table" w:styleId="Table3Deffects1">
    <w:name w:val="Table 3D effects 1"/>
    <w:basedOn w:val="TableNormal"/>
    <w:rsid w:val="00E672DA"/>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672DA"/>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6Char">
    <w:name w:val="Heading 6 Char"/>
    <w:link w:val="Heading6"/>
    <w:rsid w:val="00E672DA"/>
    <w:rPr>
      <w:i/>
      <w:sz w:val="22"/>
    </w:rPr>
  </w:style>
  <w:style w:type="character" w:customStyle="1" w:styleId="QuoteChar">
    <w:name w:val="Quote Char"/>
    <w:link w:val="Quote"/>
    <w:rsid w:val="00AD65B3"/>
    <w:rPr>
      <w:sz w:val="22"/>
    </w:rPr>
  </w:style>
  <w:style w:type="paragraph" w:customStyle="1" w:styleId="KeyPointsListBullet">
    <w:name w:val="Key Points List Bullet"/>
    <w:basedOn w:val="Normal"/>
    <w:qFormat/>
    <w:rsid w:val="00AA4FC4"/>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4FC4"/>
    <w:pPr>
      <w:numPr>
        <w:numId w:val="22"/>
      </w:numPr>
      <w:ind w:left="568" w:hanging="284"/>
    </w:pPr>
  </w:style>
  <w:style w:type="paragraph" w:customStyle="1" w:styleId="InformationRequestTitle">
    <w:name w:val="Information Request Title"/>
    <w:basedOn w:val="FindingTitle"/>
    <w:next w:val="InformationRequest"/>
    <w:rsid w:val="00AA4FC4"/>
    <w:rPr>
      <w:i/>
    </w:rPr>
  </w:style>
  <w:style w:type="paragraph" w:customStyle="1" w:styleId="Space">
    <w:name w:val="Space"/>
    <w:basedOn w:val="Normal"/>
    <w:rsid w:val="00AA4FC4"/>
    <w:pPr>
      <w:keepNext/>
      <w:spacing w:line="120" w:lineRule="exact"/>
      <w:jc w:val="both"/>
    </w:pPr>
    <w:rPr>
      <w:rFonts w:ascii="Arial" w:hAnsi="Arial"/>
      <w:sz w:val="20"/>
      <w:szCs w:val="20"/>
    </w:rPr>
  </w:style>
  <w:style w:type="paragraph" w:customStyle="1" w:styleId="Heading1nochapterno">
    <w:name w:val="Heading 1 (no chapter no.)"/>
    <w:basedOn w:val="Heading1"/>
    <w:rsid w:val="00AA4FC4"/>
    <w:pPr>
      <w:spacing w:before="0"/>
      <w:ind w:left="0" w:firstLine="0"/>
    </w:pPr>
  </w:style>
  <w:style w:type="paragraph" w:customStyle="1" w:styleId="Heading2nosectionno">
    <w:name w:val="Heading 2 (no section no.)"/>
    <w:basedOn w:val="Heading2"/>
    <w:rsid w:val="00AA4FC4"/>
    <w:pPr>
      <w:ind w:left="0" w:firstLine="0"/>
    </w:pPr>
  </w:style>
  <w:style w:type="paragraph" w:customStyle="1" w:styleId="Figurespace">
    <w:name w:val="Figure space"/>
    <w:basedOn w:val="Box"/>
    <w:rsid w:val="00AA4FC4"/>
    <w:pPr>
      <w:spacing w:before="0" w:line="120" w:lineRule="exact"/>
    </w:pPr>
  </w:style>
  <w:style w:type="paragraph" w:customStyle="1" w:styleId="FooterDraftReport">
    <w:name w:val="FooterDraftReport"/>
    <w:basedOn w:val="Footer"/>
    <w:link w:val="FooterDraftReportChar"/>
    <w:rsid w:val="00AA4FC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A4FC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4FC4"/>
    <w:rPr>
      <w:rFonts w:ascii="Arial" w:hAnsi="Arial"/>
      <w:b/>
      <w:sz w:val="26"/>
      <w:szCs w:val="26"/>
      <w:lang w:eastAsia="en-US"/>
    </w:rPr>
  </w:style>
  <w:style w:type="character" w:styleId="Hyperlink">
    <w:name w:val="Hyperlink"/>
    <w:basedOn w:val="DefaultParagraphFont"/>
    <w:uiPriority w:val="99"/>
    <w:rsid w:val="00B01CE3"/>
    <w:rPr>
      <w:color w:val="78A22F" w:themeColor="hyperlink"/>
      <w:u w:val="single"/>
    </w:rPr>
  </w:style>
  <w:style w:type="paragraph" w:customStyle="1" w:styleId="Default">
    <w:name w:val="Default"/>
    <w:rsid w:val="00EB3BF2"/>
    <w:pPr>
      <w:autoSpaceDE w:val="0"/>
      <w:autoSpaceDN w:val="0"/>
      <w:adjustRightInd w:val="0"/>
    </w:pPr>
    <w:rPr>
      <w:rFonts w:ascii="Arial" w:hAnsi="Arial" w:cs="Arial"/>
      <w:color w:val="000000"/>
      <w:sz w:val="24"/>
      <w:szCs w:val="24"/>
    </w:rPr>
  </w:style>
  <w:style w:type="character" w:customStyle="1" w:styleId="ReferenceChar">
    <w:name w:val="Reference Char"/>
    <w:link w:val="Reference"/>
    <w:rsid w:val="002E5BE5"/>
    <w:rPr>
      <w:sz w:val="24"/>
    </w:rPr>
  </w:style>
  <w:style w:type="paragraph" w:customStyle="1" w:styleId="DQITableBullet">
    <w:name w:val="DQI Table Bullet"/>
    <w:basedOn w:val="TableBullet"/>
    <w:qFormat/>
    <w:rsid w:val="00DC3316"/>
    <w:pPr>
      <w:numPr>
        <w:numId w:val="0"/>
      </w:numPr>
      <w:spacing w:before="40" w:after="0"/>
      <w:jc w:val="both"/>
    </w:pPr>
  </w:style>
  <w:style w:type="paragraph" w:customStyle="1" w:styleId="DQITableBullet2">
    <w:name w:val="DQI Table Bullet 2"/>
    <w:basedOn w:val="DQITableBullet"/>
    <w:qFormat/>
    <w:rsid w:val="00DC3316"/>
  </w:style>
  <w:style w:type="paragraph" w:customStyle="1" w:styleId="Heading1NotTOC">
    <w:name w:val="Heading 1 Not TOC"/>
    <w:basedOn w:val="Heading1"/>
    <w:next w:val="BodyText"/>
    <w:rsid w:val="006602B5"/>
    <w:rPr>
      <w:kern w:val="28"/>
      <w:szCs w:val="26"/>
      <w:lang w:eastAsia="en-US"/>
    </w:rPr>
  </w:style>
  <w:style w:type="paragraph" w:styleId="CommentSubject">
    <w:name w:val="annotation subject"/>
    <w:basedOn w:val="CommentText"/>
    <w:next w:val="CommentText"/>
    <w:link w:val="CommentSubjectChar"/>
    <w:uiPriority w:val="21"/>
    <w:rsid w:val="000707E5"/>
    <w:pPr>
      <w:spacing w:before="0" w:line="240" w:lineRule="auto"/>
      <w:ind w:left="0" w:firstLine="0"/>
    </w:pPr>
    <w:rPr>
      <w:b/>
      <w:bCs/>
      <w:szCs w:val="20"/>
    </w:rPr>
  </w:style>
  <w:style w:type="character" w:customStyle="1" w:styleId="CommentSubjectChar">
    <w:name w:val="Comment Subject Char"/>
    <w:basedOn w:val="CommentTextChar"/>
    <w:link w:val="CommentSubject"/>
    <w:uiPriority w:val="21"/>
    <w:rsid w:val="000707E5"/>
    <w:rPr>
      <w:b/>
      <w:bCs/>
      <w:szCs w:val="24"/>
    </w:rPr>
  </w:style>
  <w:style w:type="paragraph" w:styleId="Revision">
    <w:name w:val="Revision"/>
    <w:hidden/>
    <w:uiPriority w:val="99"/>
    <w:semiHidden/>
    <w:rsid w:val="000707E5"/>
    <w:rPr>
      <w:sz w:val="24"/>
      <w:szCs w:val="24"/>
    </w:rPr>
  </w:style>
  <w:style w:type="paragraph" w:customStyle="1" w:styleId="DQITableText">
    <w:name w:val="DQI Table Text"/>
    <w:basedOn w:val="TableBodyText"/>
    <w:qFormat/>
    <w:rsid w:val="00214C72"/>
    <w:pPr>
      <w:spacing w:before="120" w:after="0"/>
      <w:ind w:left="0" w:right="0"/>
      <w:jc w:val="both"/>
    </w:pPr>
  </w:style>
  <w:style w:type="character" w:customStyle="1" w:styleId="Continuedintitle">
    <w:name w:val="Continued (in title)"/>
    <w:basedOn w:val="DefaultParagraphFont"/>
    <w:rsid w:val="007959F8"/>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16"/>
    <w:lsdException w:name="Strong" w:semiHidden="0" w:unhideWhenUsed="0" w:qFormat="1"/>
    <w:lsdException w:name="Emphasis" w:semiHidden="0" w:unhideWhenUsed="0" w:qFormat="1"/>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4FC4"/>
    <w:rPr>
      <w:sz w:val="24"/>
      <w:szCs w:val="24"/>
    </w:rPr>
  </w:style>
  <w:style w:type="paragraph" w:styleId="Heading1">
    <w:name w:val="heading 1"/>
    <w:basedOn w:val="BodyText"/>
    <w:next w:val="BodyText"/>
    <w:link w:val="Heading1Char"/>
    <w:rsid w:val="00AA4FC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4FC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4FC4"/>
    <w:pPr>
      <w:spacing w:before="560" w:line="320" w:lineRule="exact"/>
      <w:ind w:left="0" w:firstLine="0"/>
      <w:outlineLvl w:val="2"/>
    </w:pPr>
    <w:rPr>
      <w:sz w:val="26"/>
    </w:rPr>
  </w:style>
  <w:style w:type="paragraph" w:styleId="Heading4">
    <w:name w:val="heading 4"/>
    <w:basedOn w:val="Heading3"/>
    <w:next w:val="BodyText"/>
    <w:link w:val="Heading4Char"/>
    <w:qFormat/>
    <w:rsid w:val="00AA4FC4"/>
    <w:pPr>
      <w:spacing w:before="480"/>
      <w:outlineLvl w:val="3"/>
    </w:pPr>
    <w:rPr>
      <w:b w:val="0"/>
      <w:sz w:val="24"/>
    </w:rPr>
  </w:style>
  <w:style w:type="paragraph" w:styleId="Heading5">
    <w:name w:val="heading 5"/>
    <w:basedOn w:val="Heading4"/>
    <w:next w:val="BodyText"/>
    <w:link w:val="Heading5Char"/>
    <w:qFormat/>
    <w:rsid w:val="00AA4FC4"/>
    <w:pPr>
      <w:outlineLvl w:val="4"/>
    </w:pPr>
    <w:rPr>
      <w:i/>
      <w:sz w:val="22"/>
    </w:rPr>
  </w:style>
  <w:style w:type="paragraph" w:styleId="Heading6">
    <w:name w:val="heading 6"/>
    <w:basedOn w:val="BodyText"/>
    <w:next w:val="BodyText"/>
    <w:link w:val="Heading6Char"/>
    <w:rsid w:val="00AA4FC4"/>
    <w:pPr>
      <w:spacing w:after="60"/>
      <w:jc w:val="left"/>
      <w:outlineLvl w:val="5"/>
    </w:pPr>
    <w:rPr>
      <w:i/>
      <w:sz w:val="22"/>
    </w:rPr>
  </w:style>
  <w:style w:type="paragraph" w:styleId="Heading7">
    <w:name w:val="heading 7"/>
    <w:basedOn w:val="BodyText"/>
    <w:next w:val="BodyText"/>
    <w:rsid w:val="00AA4FC4"/>
    <w:pPr>
      <w:spacing w:after="60" w:line="240" w:lineRule="auto"/>
      <w:jc w:val="left"/>
      <w:outlineLvl w:val="6"/>
    </w:pPr>
    <w:rPr>
      <w:rFonts w:ascii="Arial" w:hAnsi="Arial"/>
      <w:sz w:val="20"/>
    </w:rPr>
  </w:style>
  <w:style w:type="paragraph" w:styleId="Heading8">
    <w:name w:val="heading 8"/>
    <w:basedOn w:val="BodyText"/>
    <w:next w:val="BodyText"/>
    <w:rsid w:val="00AA4FC4"/>
    <w:pPr>
      <w:spacing w:after="60" w:line="240" w:lineRule="auto"/>
      <w:jc w:val="left"/>
      <w:outlineLvl w:val="7"/>
    </w:pPr>
    <w:rPr>
      <w:rFonts w:ascii="Arial" w:hAnsi="Arial"/>
      <w:i/>
      <w:sz w:val="20"/>
    </w:rPr>
  </w:style>
  <w:style w:type="paragraph" w:styleId="Heading9">
    <w:name w:val="heading 9"/>
    <w:basedOn w:val="BodyText"/>
    <w:next w:val="BodyText"/>
    <w:rsid w:val="00AA4FC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4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FC4"/>
  </w:style>
  <w:style w:type="paragraph" w:styleId="BodyText">
    <w:name w:val="Body Text"/>
    <w:link w:val="BodyTextChar"/>
    <w:qFormat/>
    <w:rsid w:val="00AA4FC4"/>
    <w:pPr>
      <w:spacing w:before="240" w:line="300" w:lineRule="atLeast"/>
      <w:jc w:val="both"/>
    </w:pPr>
    <w:rPr>
      <w:sz w:val="24"/>
    </w:rPr>
  </w:style>
  <w:style w:type="paragraph" w:customStyle="1" w:styleId="Chapter">
    <w:name w:val="Chapter"/>
    <w:basedOn w:val="Heading1"/>
    <w:next w:val="BodyText"/>
    <w:link w:val="ChapterChar"/>
    <w:semiHidden/>
    <w:rsid w:val="00AA4FC4"/>
    <w:pPr>
      <w:ind w:left="0" w:firstLine="0"/>
      <w:outlineLvl w:val="9"/>
    </w:pPr>
  </w:style>
  <w:style w:type="paragraph" w:customStyle="1" w:styleId="SequenceInfo">
    <w:name w:val="Sequence Info"/>
    <w:basedOn w:val="BodyText"/>
    <w:semiHidden/>
    <w:rsid w:val="00AA4FC4"/>
    <w:rPr>
      <w:vanish/>
      <w:sz w:val="16"/>
    </w:rPr>
  </w:style>
  <w:style w:type="paragraph" w:customStyle="1" w:styleId="InformationRequestBullet">
    <w:name w:val="Information Request Bullet"/>
    <w:basedOn w:val="ListBullet"/>
    <w:next w:val="BodyText"/>
    <w:rsid w:val="00AA4FC4"/>
    <w:pPr>
      <w:numPr>
        <w:numId w:val="13"/>
      </w:numPr>
      <w:spacing w:before="80" w:line="280" w:lineRule="atLeast"/>
      <w:ind w:left="357" w:hanging="357"/>
    </w:pPr>
    <w:rPr>
      <w:rFonts w:ascii="Arial" w:hAnsi="Arial"/>
      <w:i/>
      <w:sz w:val="22"/>
    </w:rPr>
  </w:style>
  <w:style w:type="paragraph" w:customStyle="1" w:styleId="InformationRequest">
    <w:name w:val="Information Request"/>
    <w:basedOn w:val="Finding"/>
    <w:next w:val="BodyText"/>
    <w:rsid w:val="00AA4FC4"/>
    <w:rPr>
      <w:i/>
    </w:rPr>
  </w:style>
  <w:style w:type="paragraph" w:customStyle="1" w:styleId="Abbreviation">
    <w:name w:val="Abbreviation"/>
    <w:basedOn w:val="BodyText"/>
    <w:rsid w:val="00AA4FC4"/>
    <w:pPr>
      <w:spacing w:before="120"/>
      <w:ind w:left="2381" w:hanging="2381"/>
      <w:jc w:val="left"/>
    </w:pPr>
  </w:style>
  <w:style w:type="paragraph" w:customStyle="1" w:styleId="Box">
    <w:name w:val="Box"/>
    <w:basedOn w:val="BodyText"/>
    <w:link w:val="BoxChar"/>
    <w:qFormat/>
    <w:rsid w:val="00AA4FC4"/>
    <w:pPr>
      <w:keepNext/>
      <w:spacing w:before="120" w:line="260" w:lineRule="atLeast"/>
    </w:pPr>
    <w:rPr>
      <w:rFonts w:ascii="Arial" w:hAnsi="Arial"/>
      <w:sz w:val="20"/>
    </w:rPr>
  </w:style>
  <w:style w:type="paragraph" w:customStyle="1" w:styleId="QuoteBullet">
    <w:name w:val="Quote Bullet"/>
    <w:basedOn w:val="Quote"/>
    <w:rsid w:val="00AA4FC4"/>
    <w:pPr>
      <w:numPr>
        <w:numId w:val="9"/>
      </w:numPr>
    </w:pPr>
  </w:style>
  <w:style w:type="paragraph" w:customStyle="1" w:styleId="BoxListBullet">
    <w:name w:val="Box List Bullet"/>
    <w:basedOn w:val="BodyText"/>
    <w:link w:val="BoxListBulletChar"/>
    <w:rsid w:val="00AA4FC4"/>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AA4FC4"/>
    <w:pPr>
      <w:numPr>
        <w:numId w:val="1"/>
      </w:numPr>
      <w:ind w:left="568" w:hanging="284"/>
    </w:pPr>
  </w:style>
  <w:style w:type="paragraph" w:customStyle="1" w:styleId="BoxListNumber">
    <w:name w:val="Box List Number"/>
    <w:basedOn w:val="BodyText"/>
    <w:link w:val="BoxListNumberChar"/>
    <w:rsid w:val="00AA4FC4"/>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AA4FC4"/>
    <w:pPr>
      <w:numPr>
        <w:ilvl w:val="1"/>
      </w:numPr>
      <w:ind w:left="681" w:hanging="397"/>
    </w:pPr>
  </w:style>
  <w:style w:type="paragraph" w:customStyle="1" w:styleId="BoxQuote">
    <w:name w:val="Box Quote"/>
    <w:basedOn w:val="BodyText"/>
    <w:next w:val="Box"/>
    <w:qFormat/>
    <w:rsid w:val="00AA4FC4"/>
    <w:pPr>
      <w:keepNext/>
      <w:spacing w:before="60" w:line="240" w:lineRule="exact"/>
      <w:ind w:left="284"/>
    </w:pPr>
    <w:rPr>
      <w:rFonts w:ascii="Arial" w:hAnsi="Arial"/>
      <w:sz w:val="18"/>
    </w:rPr>
  </w:style>
  <w:style w:type="paragraph" w:customStyle="1" w:styleId="BoxSource">
    <w:name w:val="Box Source"/>
    <w:basedOn w:val="Source"/>
    <w:next w:val="BodyText"/>
    <w:rsid w:val="00AA4FC4"/>
    <w:pPr>
      <w:spacing w:before="120"/>
    </w:pPr>
  </w:style>
  <w:style w:type="paragraph" w:styleId="Footer">
    <w:name w:val="footer"/>
    <w:basedOn w:val="BodyText"/>
    <w:link w:val="FooterChar"/>
    <w:rsid w:val="00AA4FC4"/>
    <w:pPr>
      <w:spacing w:before="80" w:line="200" w:lineRule="exact"/>
      <w:ind w:right="6"/>
      <w:jc w:val="left"/>
    </w:pPr>
    <w:rPr>
      <w:rFonts w:ascii="Arial" w:hAnsi="Arial"/>
      <w:caps/>
      <w:spacing w:val="-4"/>
      <w:sz w:val="16"/>
    </w:rPr>
  </w:style>
  <w:style w:type="paragraph" w:customStyle="1" w:styleId="BoxSubtitle">
    <w:name w:val="Box Subtitle"/>
    <w:basedOn w:val="BoxTitle"/>
    <w:next w:val="Normal"/>
    <w:rsid w:val="00AA4FC4"/>
    <w:pPr>
      <w:spacing w:after="80" w:line="200" w:lineRule="exact"/>
      <w:ind w:firstLine="0"/>
    </w:pPr>
    <w:rPr>
      <w:b w:val="0"/>
      <w:sz w:val="20"/>
    </w:rPr>
  </w:style>
  <w:style w:type="paragraph" w:customStyle="1" w:styleId="BoxTitle">
    <w:name w:val="Box Title"/>
    <w:basedOn w:val="Caption"/>
    <w:next w:val="BoxSubtitle"/>
    <w:link w:val="BoxTitleChar"/>
    <w:rsid w:val="00AA4FC4"/>
    <w:pPr>
      <w:spacing w:before="120" w:after="0"/>
    </w:pPr>
  </w:style>
  <w:style w:type="paragraph" w:styleId="Caption">
    <w:name w:val="caption"/>
    <w:basedOn w:val="Normal"/>
    <w:next w:val="BodyText"/>
    <w:link w:val="CaptionChar"/>
    <w:rsid w:val="00AA4FC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A4FC4"/>
    <w:pPr>
      <w:spacing w:line="280" w:lineRule="atLeast"/>
      <w:ind w:left="907"/>
    </w:pPr>
    <w:rPr>
      <w:rFonts w:ascii="Arial" w:hAnsi="Arial"/>
      <w:b/>
      <w:sz w:val="20"/>
    </w:rPr>
  </w:style>
  <w:style w:type="character" w:customStyle="1" w:styleId="DocumentInfo">
    <w:name w:val="Document Info"/>
    <w:basedOn w:val="DefaultParagraphFont"/>
    <w:semiHidden/>
    <w:rsid w:val="00AA4FC4"/>
    <w:rPr>
      <w:rFonts w:ascii="Arial" w:hAnsi="Arial"/>
      <w:sz w:val="14"/>
    </w:rPr>
  </w:style>
  <w:style w:type="character" w:customStyle="1" w:styleId="FooterChar">
    <w:name w:val="Footer Char"/>
    <w:basedOn w:val="BodyTextChar"/>
    <w:link w:val="Footer"/>
    <w:rsid w:val="00AA4FC4"/>
    <w:rPr>
      <w:rFonts w:ascii="Arial" w:hAnsi="Arial"/>
      <w:caps/>
      <w:spacing w:val="-4"/>
      <w:sz w:val="16"/>
    </w:rPr>
  </w:style>
  <w:style w:type="character" w:customStyle="1" w:styleId="DraftingNote">
    <w:name w:val="Drafting Note"/>
    <w:basedOn w:val="DefaultParagraphFont"/>
    <w:rsid w:val="00AA4FC4"/>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AA4FC4"/>
    <w:pPr>
      <w:keepNext/>
      <w:spacing w:before="120" w:after="120" w:line="240" w:lineRule="atLeast"/>
      <w:jc w:val="center"/>
    </w:pPr>
  </w:style>
  <w:style w:type="paragraph" w:customStyle="1" w:styleId="FigureTitle">
    <w:name w:val="Figure Title"/>
    <w:basedOn w:val="Caption"/>
    <w:next w:val="Subtitle"/>
    <w:link w:val="FigureTitleChar"/>
    <w:rsid w:val="00AA4FC4"/>
    <w:pPr>
      <w:spacing w:before="120"/>
    </w:pPr>
  </w:style>
  <w:style w:type="paragraph" w:styleId="Subtitle">
    <w:name w:val="Subtitle"/>
    <w:basedOn w:val="Caption"/>
    <w:link w:val="SubtitleChar"/>
    <w:qFormat/>
    <w:rsid w:val="00AA4FC4"/>
    <w:pPr>
      <w:spacing w:before="0" w:line="200" w:lineRule="exact"/>
      <w:ind w:firstLine="0"/>
    </w:pPr>
    <w:rPr>
      <w:b w:val="0"/>
      <w:sz w:val="20"/>
    </w:rPr>
  </w:style>
  <w:style w:type="paragraph" w:customStyle="1" w:styleId="Finding">
    <w:name w:val="Finding"/>
    <w:basedOn w:val="BodyText"/>
    <w:rsid w:val="00AA4FC4"/>
    <w:pPr>
      <w:keepLines/>
      <w:spacing w:before="120" w:line="280" w:lineRule="atLeast"/>
    </w:pPr>
    <w:rPr>
      <w:rFonts w:ascii="Arial" w:hAnsi="Arial"/>
      <w:sz w:val="22"/>
    </w:rPr>
  </w:style>
  <w:style w:type="paragraph" w:customStyle="1" w:styleId="FindingBullet">
    <w:name w:val="Finding Bullet"/>
    <w:basedOn w:val="Finding"/>
    <w:rsid w:val="00AA4FC4"/>
    <w:pPr>
      <w:numPr>
        <w:numId w:val="5"/>
      </w:numPr>
      <w:spacing w:before="80"/>
    </w:pPr>
  </w:style>
  <w:style w:type="paragraph" w:customStyle="1" w:styleId="HeaderEven">
    <w:name w:val="Header Even"/>
    <w:basedOn w:val="Header"/>
    <w:semiHidden/>
    <w:rsid w:val="00AA4FC4"/>
  </w:style>
  <w:style w:type="paragraph" w:customStyle="1" w:styleId="FindingTitle">
    <w:name w:val="Finding Title"/>
    <w:basedOn w:val="RecTitle"/>
    <w:next w:val="Finding"/>
    <w:rsid w:val="00AA4FC4"/>
  </w:style>
  <w:style w:type="paragraph" w:customStyle="1" w:styleId="FooterEnd">
    <w:name w:val="Footer End"/>
    <w:basedOn w:val="Footer"/>
    <w:rsid w:val="00AA4FC4"/>
    <w:pPr>
      <w:spacing w:before="0" w:line="20" w:lineRule="exact"/>
    </w:pPr>
  </w:style>
  <w:style w:type="paragraph" w:customStyle="1" w:styleId="HeaderOdd">
    <w:name w:val="Header Odd"/>
    <w:basedOn w:val="Header"/>
    <w:semiHidden/>
    <w:rsid w:val="00AA4FC4"/>
  </w:style>
  <w:style w:type="paragraph" w:styleId="FootnoteText">
    <w:name w:val="footnote text"/>
    <w:basedOn w:val="BodyText"/>
    <w:link w:val="FootnoteTextChar"/>
    <w:rsid w:val="00AA4FC4"/>
    <w:pPr>
      <w:tabs>
        <w:tab w:val="left" w:pos="284"/>
      </w:tabs>
      <w:spacing w:before="80" w:line="240" w:lineRule="exact"/>
      <w:ind w:left="284" w:hanging="284"/>
    </w:pPr>
    <w:rPr>
      <w:sz w:val="20"/>
    </w:rPr>
  </w:style>
  <w:style w:type="paragraph" w:styleId="Header">
    <w:name w:val="header"/>
    <w:basedOn w:val="BodyText"/>
    <w:link w:val="HeaderChar"/>
    <w:rsid w:val="00AA4FC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4FC4"/>
    <w:pPr>
      <w:spacing w:line="20" w:lineRule="exact"/>
    </w:pPr>
    <w:rPr>
      <w:sz w:val="16"/>
    </w:rPr>
  </w:style>
  <w:style w:type="character" w:styleId="CommentReference">
    <w:name w:val="annotation reference"/>
    <w:basedOn w:val="DefaultParagraphFont"/>
    <w:rsid w:val="00AA4FC4"/>
    <w:rPr>
      <w:b/>
      <w:vanish/>
      <w:color w:val="FF00FF"/>
      <w:sz w:val="20"/>
    </w:rPr>
  </w:style>
  <w:style w:type="paragraph" w:styleId="CommentText">
    <w:name w:val="annotation text"/>
    <w:basedOn w:val="Normal"/>
    <w:link w:val="CommentTextChar"/>
    <w:rsid w:val="00AA4FC4"/>
    <w:pPr>
      <w:spacing w:before="120" w:line="240" w:lineRule="atLeast"/>
      <w:ind w:left="567" w:hanging="567"/>
    </w:pPr>
    <w:rPr>
      <w:sz w:val="20"/>
    </w:rPr>
  </w:style>
  <w:style w:type="character" w:customStyle="1" w:styleId="CommentTextChar">
    <w:name w:val="Comment Text Char"/>
    <w:basedOn w:val="DefaultParagraphFont"/>
    <w:link w:val="CommentText"/>
    <w:rsid w:val="00E65F69"/>
    <w:rPr>
      <w:szCs w:val="24"/>
    </w:rPr>
  </w:style>
  <w:style w:type="paragraph" w:styleId="ListBullet">
    <w:name w:val="List Bullet"/>
    <w:basedOn w:val="BodyText"/>
    <w:link w:val="ListBulletChar"/>
    <w:rsid w:val="00AA4FC4"/>
    <w:pPr>
      <w:numPr>
        <w:numId w:val="3"/>
      </w:numPr>
      <w:spacing w:before="120"/>
    </w:pPr>
  </w:style>
  <w:style w:type="paragraph" w:styleId="ListBullet2">
    <w:name w:val="List Bullet 2"/>
    <w:basedOn w:val="BodyText"/>
    <w:rsid w:val="00AA4FC4"/>
    <w:pPr>
      <w:numPr>
        <w:numId w:val="18"/>
      </w:numPr>
      <w:spacing w:before="120"/>
    </w:pPr>
  </w:style>
  <w:style w:type="paragraph" w:styleId="ListBullet3">
    <w:name w:val="List Bullet 3"/>
    <w:basedOn w:val="BodyText"/>
    <w:rsid w:val="00AA4FC4"/>
    <w:pPr>
      <w:numPr>
        <w:numId w:val="19"/>
      </w:numPr>
      <w:spacing w:before="120"/>
      <w:ind w:left="1020" w:hanging="340"/>
    </w:pPr>
  </w:style>
  <w:style w:type="paragraph" w:styleId="ListNumber">
    <w:name w:val="List Number"/>
    <w:basedOn w:val="BodyText"/>
    <w:rsid w:val="00AA4FC4"/>
    <w:pPr>
      <w:numPr>
        <w:numId w:val="20"/>
      </w:numPr>
      <w:spacing w:before="120"/>
    </w:pPr>
  </w:style>
  <w:style w:type="paragraph" w:styleId="ListNumber2">
    <w:name w:val="List Number 2"/>
    <w:basedOn w:val="ListNumber"/>
    <w:rsid w:val="00AA4FC4"/>
    <w:pPr>
      <w:numPr>
        <w:ilvl w:val="1"/>
      </w:numPr>
    </w:pPr>
  </w:style>
  <w:style w:type="paragraph" w:styleId="ListNumber3">
    <w:name w:val="List Number 3"/>
    <w:basedOn w:val="ListNumber2"/>
    <w:rsid w:val="00AA4FC4"/>
    <w:pPr>
      <w:numPr>
        <w:ilvl w:val="2"/>
      </w:numPr>
    </w:pPr>
  </w:style>
  <w:style w:type="paragraph" w:customStyle="1" w:styleId="Note">
    <w:name w:val="Note"/>
    <w:basedOn w:val="BodyText"/>
    <w:next w:val="BodyText"/>
    <w:link w:val="NoteChar"/>
    <w:rsid w:val="00AA4FC4"/>
    <w:pPr>
      <w:keepLines/>
      <w:spacing w:before="80" w:line="220" w:lineRule="exact"/>
    </w:pPr>
    <w:rPr>
      <w:rFonts w:ascii="Arial" w:hAnsi="Arial"/>
      <w:sz w:val="18"/>
    </w:rPr>
  </w:style>
  <w:style w:type="character" w:customStyle="1" w:styleId="NoteLabel">
    <w:name w:val="Note Label"/>
    <w:basedOn w:val="DefaultParagraphFont"/>
    <w:rsid w:val="00AA4FC4"/>
    <w:rPr>
      <w:rFonts w:ascii="Arial" w:hAnsi="Arial"/>
      <w:b/>
      <w:position w:val="6"/>
      <w:sz w:val="18"/>
    </w:rPr>
  </w:style>
  <w:style w:type="character" w:styleId="PageNumber">
    <w:name w:val="page number"/>
    <w:basedOn w:val="DefaultParagraphFont"/>
    <w:rsid w:val="00AA4FC4"/>
    <w:rPr>
      <w:rFonts w:ascii="Arial" w:hAnsi="Arial"/>
      <w:b/>
      <w:sz w:val="16"/>
    </w:rPr>
  </w:style>
  <w:style w:type="paragraph" w:customStyle="1" w:styleId="PartDivider">
    <w:name w:val="Part Divider"/>
    <w:basedOn w:val="BodyText"/>
    <w:next w:val="BodyText"/>
    <w:semiHidden/>
    <w:rsid w:val="00AA4FC4"/>
    <w:pPr>
      <w:spacing w:before="0" w:line="40" w:lineRule="exact"/>
      <w:jc w:val="right"/>
    </w:pPr>
    <w:rPr>
      <w:smallCaps/>
      <w:sz w:val="16"/>
    </w:rPr>
  </w:style>
  <w:style w:type="paragraph" w:customStyle="1" w:styleId="PartNumber">
    <w:name w:val="Part Number"/>
    <w:basedOn w:val="BodyText"/>
    <w:next w:val="BodyText"/>
    <w:semiHidden/>
    <w:rsid w:val="00AA4FC4"/>
    <w:pPr>
      <w:spacing w:before="4000" w:line="320" w:lineRule="exact"/>
      <w:ind w:left="6634"/>
      <w:jc w:val="right"/>
    </w:pPr>
    <w:rPr>
      <w:smallCaps/>
      <w:spacing w:val="60"/>
      <w:sz w:val="32"/>
    </w:rPr>
  </w:style>
  <w:style w:type="paragraph" w:customStyle="1" w:styleId="PartTitle">
    <w:name w:val="Part Title"/>
    <w:basedOn w:val="BodyText"/>
    <w:semiHidden/>
    <w:rsid w:val="00AA4FC4"/>
    <w:pPr>
      <w:spacing w:before="160" w:after="1360" w:line="520" w:lineRule="exact"/>
      <w:ind w:right="2381"/>
      <w:jc w:val="right"/>
    </w:pPr>
    <w:rPr>
      <w:smallCaps/>
      <w:sz w:val="52"/>
    </w:rPr>
  </w:style>
  <w:style w:type="paragraph" w:styleId="Quote">
    <w:name w:val="Quote"/>
    <w:basedOn w:val="BodyText"/>
    <w:next w:val="BodyText"/>
    <w:link w:val="QuoteChar"/>
    <w:qFormat/>
    <w:rsid w:val="00AA4FC4"/>
    <w:pPr>
      <w:spacing w:before="120" w:line="280" w:lineRule="exact"/>
      <w:ind w:left="340"/>
    </w:pPr>
    <w:rPr>
      <w:sz w:val="22"/>
    </w:rPr>
  </w:style>
  <w:style w:type="paragraph" w:customStyle="1" w:styleId="Rec">
    <w:name w:val="Rec"/>
    <w:basedOn w:val="BodyText"/>
    <w:qFormat/>
    <w:rsid w:val="00AA4FC4"/>
    <w:pPr>
      <w:keepLines/>
      <w:spacing w:before="120" w:line="280" w:lineRule="atLeast"/>
    </w:pPr>
    <w:rPr>
      <w:rFonts w:ascii="Arial" w:hAnsi="Arial"/>
      <w:sz w:val="22"/>
    </w:rPr>
  </w:style>
  <w:style w:type="paragraph" w:customStyle="1" w:styleId="RecBullet">
    <w:name w:val="Rec Bullet"/>
    <w:basedOn w:val="Rec"/>
    <w:rsid w:val="00AA4FC4"/>
    <w:pPr>
      <w:numPr>
        <w:numId w:val="6"/>
      </w:numPr>
      <w:spacing w:before="80"/>
    </w:pPr>
  </w:style>
  <w:style w:type="paragraph" w:customStyle="1" w:styleId="RecTitle">
    <w:name w:val="Rec Title"/>
    <w:basedOn w:val="BodyText"/>
    <w:next w:val="Rec"/>
    <w:qFormat/>
    <w:rsid w:val="00AA4FC4"/>
    <w:pPr>
      <w:keepNext/>
      <w:keepLines/>
      <w:spacing w:line="280" w:lineRule="atLeast"/>
    </w:pPr>
    <w:rPr>
      <w:rFonts w:ascii="Arial" w:hAnsi="Arial"/>
      <w:caps/>
      <w:sz w:val="18"/>
    </w:rPr>
  </w:style>
  <w:style w:type="paragraph" w:customStyle="1" w:styleId="RecB">
    <w:name w:val="RecB"/>
    <w:basedOn w:val="Normal"/>
    <w:rsid w:val="00AA4FC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4FC4"/>
    <w:pPr>
      <w:numPr>
        <w:numId w:val="7"/>
      </w:numPr>
      <w:spacing w:before="80"/>
    </w:pPr>
  </w:style>
  <w:style w:type="paragraph" w:customStyle="1" w:styleId="RecBNoTitle">
    <w:name w:val="RecB NoTitle"/>
    <w:basedOn w:val="RecB"/>
    <w:rsid w:val="00AA4FC4"/>
    <w:pPr>
      <w:spacing w:before="240"/>
    </w:pPr>
  </w:style>
  <w:style w:type="paragraph" w:customStyle="1" w:styleId="Reference">
    <w:name w:val="Reference"/>
    <w:basedOn w:val="BodyText"/>
    <w:link w:val="ReferenceChar"/>
    <w:rsid w:val="00AA4FC4"/>
    <w:pPr>
      <w:spacing w:before="120"/>
      <w:ind w:left="340" w:hanging="340"/>
    </w:pPr>
  </w:style>
  <w:style w:type="paragraph" w:customStyle="1" w:styleId="SideNote">
    <w:name w:val="Side Note"/>
    <w:basedOn w:val="BodyText"/>
    <w:next w:val="BodyText"/>
    <w:semiHidden/>
    <w:rsid w:val="00AA4FC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4FC4"/>
    <w:pPr>
      <w:framePr w:wrap="around"/>
      <w:numPr>
        <w:numId w:val="2"/>
      </w:numPr>
      <w:tabs>
        <w:tab w:val="left" w:pos="227"/>
      </w:tabs>
    </w:pPr>
  </w:style>
  <w:style w:type="paragraph" w:customStyle="1" w:styleId="SideNoteGraphic">
    <w:name w:val="Side Note Graphic"/>
    <w:basedOn w:val="SideNote"/>
    <w:next w:val="BodyText"/>
    <w:semiHidden/>
    <w:rsid w:val="00AA4FC4"/>
    <w:pPr>
      <w:framePr w:wrap="around"/>
    </w:pPr>
  </w:style>
  <w:style w:type="paragraph" w:customStyle="1" w:styleId="Source">
    <w:name w:val="Source"/>
    <w:basedOn w:val="Normal"/>
    <w:next w:val="BodyText"/>
    <w:link w:val="SourceChar"/>
    <w:rsid w:val="00AA4FC4"/>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A4FC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A4FC4"/>
    <w:pPr>
      <w:numPr>
        <w:numId w:val="8"/>
      </w:numPr>
      <w:jc w:val="left"/>
    </w:pPr>
  </w:style>
  <w:style w:type="paragraph" w:customStyle="1" w:styleId="TableColumnHeading">
    <w:name w:val="Table Column Heading"/>
    <w:basedOn w:val="TableBodyText"/>
    <w:rsid w:val="00AA4FC4"/>
    <w:pPr>
      <w:spacing w:before="80" w:after="80"/>
    </w:pPr>
    <w:rPr>
      <w:i/>
    </w:rPr>
  </w:style>
  <w:style w:type="paragraph" w:customStyle="1" w:styleId="FindingNoTitle">
    <w:name w:val="Finding NoTitle"/>
    <w:basedOn w:val="Finding"/>
    <w:semiHidden/>
    <w:rsid w:val="00AA4FC4"/>
    <w:pPr>
      <w:spacing w:before="240"/>
    </w:pPr>
  </w:style>
  <w:style w:type="paragraph" w:styleId="TOC3">
    <w:name w:val="toc 3"/>
    <w:basedOn w:val="TOC2"/>
    <w:rsid w:val="00AA4FC4"/>
    <w:pPr>
      <w:spacing w:before="60"/>
      <w:ind w:left="1190" w:hanging="680"/>
    </w:pPr>
  </w:style>
  <w:style w:type="paragraph" w:customStyle="1" w:styleId="TableTitle">
    <w:name w:val="Table Title"/>
    <w:basedOn w:val="Caption"/>
    <w:next w:val="Subtitle"/>
    <w:qFormat/>
    <w:rsid w:val="00AA4FC4"/>
    <w:pPr>
      <w:spacing w:before="120"/>
    </w:pPr>
  </w:style>
  <w:style w:type="paragraph" w:customStyle="1" w:styleId="TableUnitsRow">
    <w:name w:val="Table Units Row"/>
    <w:basedOn w:val="TableBodyText"/>
    <w:rsid w:val="00AA4FC4"/>
    <w:pPr>
      <w:spacing w:before="40"/>
    </w:pPr>
  </w:style>
  <w:style w:type="paragraph" w:styleId="TOC1">
    <w:name w:val="toc 1"/>
    <w:basedOn w:val="Normal"/>
    <w:next w:val="TOC2"/>
    <w:link w:val="TOC1Char"/>
    <w:rsid w:val="00AA4FC4"/>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A4FC4"/>
    <w:pPr>
      <w:ind w:left="1134" w:hanging="624"/>
    </w:pPr>
    <w:rPr>
      <w:b w:val="0"/>
    </w:rPr>
  </w:style>
  <w:style w:type="paragraph" w:styleId="TOC4">
    <w:name w:val="toc 4"/>
    <w:basedOn w:val="TOC3"/>
    <w:semiHidden/>
    <w:rsid w:val="00AA4FC4"/>
    <w:pPr>
      <w:ind w:left="1191" w:firstLine="0"/>
    </w:pPr>
  </w:style>
  <w:style w:type="paragraph" w:customStyle="1" w:styleId="BoxContinued">
    <w:name w:val="Box Continued"/>
    <w:basedOn w:val="BodyText"/>
    <w:next w:val="BodyText"/>
    <w:link w:val="BoxContinuedChar"/>
    <w:semiHidden/>
    <w:rsid w:val="00AA4FC4"/>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A4FC4"/>
  </w:style>
  <w:style w:type="paragraph" w:customStyle="1" w:styleId="BoxHeading1">
    <w:name w:val="Box Heading 1"/>
    <w:basedOn w:val="BodyText"/>
    <w:next w:val="Box"/>
    <w:link w:val="BoxHeading1Char"/>
    <w:rsid w:val="00AA4FC4"/>
    <w:pPr>
      <w:keepNext/>
      <w:spacing w:before="200" w:line="280" w:lineRule="atLeast"/>
    </w:pPr>
    <w:rPr>
      <w:rFonts w:ascii="Arial" w:hAnsi="Arial"/>
      <w:b/>
      <w:sz w:val="22"/>
    </w:rPr>
  </w:style>
  <w:style w:type="paragraph" w:customStyle="1" w:styleId="BoxHeading2">
    <w:name w:val="Box Heading 2"/>
    <w:basedOn w:val="BoxHeading1"/>
    <w:next w:val="Normal"/>
    <w:rsid w:val="00AA4FC4"/>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character" w:styleId="FootnoteReference">
    <w:name w:val="footnote reference"/>
    <w:basedOn w:val="DefaultParagraphFont"/>
    <w:rsid w:val="00AA4FC4"/>
    <w:rPr>
      <w:rFonts w:ascii="Times New Roman" w:hAnsi="Times New Roman"/>
      <w:position w:val="6"/>
      <w:sz w:val="20"/>
      <w:vertAlign w:val="baseline"/>
    </w:rPr>
  </w:style>
  <w:style w:type="paragraph" w:styleId="BalloonText">
    <w:name w:val="Balloon Text"/>
    <w:basedOn w:val="Normal"/>
    <w:link w:val="BalloonTextChar"/>
    <w:rsid w:val="00AA4FC4"/>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AA4FC4"/>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A4FC4"/>
    <w:pPr>
      <w:spacing w:after="140"/>
      <w:jc w:val="both"/>
    </w:pPr>
    <w:rPr>
      <w:rFonts w:ascii="Arial" w:hAnsi="Arial"/>
      <w:sz w:val="24"/>
      <w:lang w:eastAsia="en-US"/>
    </w:rPr>
  </w:style>
  <w:style w:type="paragraph" w:customStyle="1" w:styleId="Jurisdictioncommentsheading">
    <w:name w:val="Jurisdiction comments heading"/>
    <w:rsid w:val="00AA4FC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4FC4"/>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A4F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TOC3"/>
    <w:next w:val="BodyText"/>
    <w:rsid w:val="00AA4FC4"/>
    <w:pPr>
      <w:ind w:left="737" w:hanging="737"/>
    </w:p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AA4FC4"/>
    <w:rPr>
      <w:rFonts w:ascii="Arial" w:hAnsi="Arial"/>
      <w:i/>
      <w:sz w:val="22"/>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character" w:customStyle="1" w:styleId="FigureChar">
    <w:name w:val="Figure Char"/>
    <w:basedOn w:val="BodyTextChar"/>
    <w:link w:val="Figure"/>
    <w:rsid w:val="001C2D5C"/>
    <w:rPr>
      <w:sz w:val="24"/>
    </w:rPr>
  </w:style>
  <w:style w:type="paragraph" w:customStyle="1" w:styleId="RecBBullet2">
    <w:name w:val="RecB Bullet 2"/>
    <w:basedOn w:val="ListBullet2"/>
    <w:semiHidden/>
    <w:rsid w:val="00AA4FC4"/>
    <w:pPr>
      <w:pBdr>
        <w:left w:val="single" w:sz="24" w:space="29" w:color="C0C0C0"/>
      </w:pBdr>
    </w:pPr>
    <w:rPr>
      <w:b/>
      <w:i/>
    </w:rPr>
  </w:style>
  <w:style w:type="character" w:customStyle="1" w:styleId="BalloonTextChar">
    <w:name w:val="Balloon Text Char"/>
    <w:basedOn w:val="DefaultParagraphFont"/>
    <w:link w:val="BalloonText"/>
    <w:rsid w:val="00AA4FC4"/>
    <w:rPr>
      <w:rFonts w:ascii="Tahoma" w:hAnsi="Tahoma" w:cs="Tahoma"/>
      <w:sz w:val="16"/>
      <w:szCs w:val="16"/>
    </w:rPr>
  </w:style>
  <w:style w:type="character" w:customStyle="1" w:styleId="SubtitleChar">
    <w:name w:val="Subtitle Char"/>
    <w:basedOn w:val="DefaultParagraphFont"/>
    <w:link w:val="Subtitle"/>
    <w:rsid w:val="00AA4FC4"/>
    <w:rPr>
      <w:rFonts w:ascii="Arial" w:hAnsi="Arial"/>
      <w:szCs w:val="24"/>
    </w:rPr>
  </w:style>
  <w:style w:type="paragraph" w:customStyle="1" w:styleId="BoxListBullet3">
    <w:name w:val="Box List Bullet 3"/>
    <w:basedOn w:val="ListBullet3"/>
    <w:rsid w:val="00AA4FC4"/>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4FC4"/>
    <w:rPr>
      <w:i/>
      <w:iCs/>
    </w:rPr>
  </w:style>
  <w:style w:type="paragraph" w:customStyle="1" w:styleId="BoxQuoteBullet">
    <w:name w:val="Box Quote Bullet"/>
    <w:basedOn w:val="BoxQuote"/>
    <w:next w:val="Box"/>
    <w:rsid w:val="00AA4FC4"/>
    <w:pPr>
      <w:numPr>
        <w:numId w:val="12"/>
      </w:numPr>
      <w:ind w:left="568" w:hanging="284"/>
    </w:p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AA4FC4"/>
    <w:pPr>
      <w:keepNext/>
      <w:spacing w:before="360" w:line="80" w:lineRule="exact"/>
      <w:jc w:val="left"/>
    </w:pPr>
  </w:style>
  <w:style w:type="paragraph" w:customStyle="1" w:styleId="BoxSpaceBelow">
    <w:name w:val="Box Space Below"/>
    <w:basedOn w:val="Box"/>
    <w:rsid w:val="00AA4FC4"/>
    <w:pPr>
      <w:keepNext w:val="0"/>
      <w:spacing w:before="60" w:after="60" w:line="80" w:lineRule="exact"/>
    </w:pPr>
    <w:rPr>
      <w:sz w:val="14"/>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E672DA"/>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numbering" w:styleId="111111">
    <w:name w:val="Outline List 2"/>
    <w:basedOn w:val="NoList"/>
    <w:rsid w:val="00E672DA"/>
    <w:pPr>
      <w:numPr>
        <w:numId w:val="16"/>
      </w:numPr>
    </w:pPr>
  </w:style>
  <w:style w:type="numbering" w:styleId="1ai">
    <w:name w:val="Outline List 1"/>
    <w:basedOn w:val="NoList"/>
    <w:rsid w:val="00E672DA"/>
    <w:pPr>
      <w:numPr>
        <w:numId w:val="17"/>
      </w:numPr>
    </w:pPr>
  </w:style>
  <w:style w:type="table" w:styleId="Table3Deffects1">
    <w:name w:val="Table 3D effects 1"/>
    <w:basedOn w:val="TableNormal"/>
    <w:rsid w:val="00E672DA"/>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672DA"/>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6Char">
    <w:name w:val="Heading 6 Char"/>
    <w:link w:val="Heading6"/>
    <w:rsid w:val="00E672DA"/>
    <w:rPr>
      <w:i/>
      <w:sz w:val="22"/>
    </w:rPr>
  </w:style>
  <w:style w:type="character" w:customStyle="1" w:styleId="QuoteChar">
    <w:name w:val="Quote Char"/>
    <w:link w:val="Quote"/>
    <w:rsid w:val="00AD65B3"/>
    <w:rPr>
      <w:sz w:val="22"/>
    </w:rPr>
  </w:style>
  <w:style w:type="paragraph" w:customStyle="1" w:styleId="KeyPointsListBullet">
    <w:name w:val="Key Points List Bullet"/>
    <w:basedOn w:val="Normal"/>
    <w:qFormat/>
    <w:rsid w:val="00AA4FC4"/>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4FC4"/>
    <w:pPr>
      <w:numPr>
        <w:numId w:val="22"/>
      </w:numPr>
      <w:ind w:left="568" w:hanging="284"/>
    </w:pPr>
  </w:style>
  <w:style w:type="paragraph" w:customStyle="1" w:styleId="InformationRequestTitle">
    <w:name w:val="Information Request Title"/>
    <w:basedOn w:val="FindingTitle"/>
    <w:next w:val="InformationRequest"/>
    <w:rsid w:val="00AA4FC4"/>
    <w:rPr>
      <w:i/>
    </w:rPr>
  </w:style>
  <w:style w:type="paragraph" w:customStyle="1" w:styleId="Space">
    <w:name w:val="Space"/>
    <w:basedOn w:val="Normal"/>
    <w:rsid w:val="00AA4FC4"/>
    <w:pPr>
      <w:keepNext/>
      <w:spacing w:line="120" w:lineRule="exact"/>
      <w:jc w:val="both"/>
    </w:pPr>
    <w:rPr>
      <w:rFonts w:ascii="Arial" w:hAnsi="Arial"/>
      <w:sz w:val="20"/>
      <w:szCs w:val="20"/>
    </w:rPr>
  </w:style>
  <w:style w:type="paragraph" w:customStyle="1" w:styleId="Heading1nochapterno">
    <w:name w:val="Heading 1 (no chapter no.)"/>
    <w:basedOn w:val="Heading1"/>
    <w:rsid w:val="00AA4FC4"/>
    <w:pPr>
      <w:spacing w:before="0"/>
      <w:ind w:left="0" w:firstLine="0"/>
    </w:pPr>
  </w:style>
  <w:style w:type="paragraph" w:customStyle="1" w:styleId="Heading2nosectionno">
    <w:name w:val="Heading 2 (no section no.)"/>
    <w:basedOn w:val="Heading2"/>
    <w:rsid w:val="00AA4FC4"/>
    <w:pPr>
      <w:ind w:left="0" w:firstLine="0"/>
    </w:pPr>
  </w:style>
  <w:style w:type="paragraph" w:customStyle="1" w:styleId="Figurespace">
    <w:name w:val="Figure space"/>
    <w:basedOn w:val="Box"/>
    <w:rsid w:val="00AA4FC4"/>
    <w:pPr>
      <w:spacing w:before="0" w:line="120" w:lineRule="exact"/>
    </w:pPr>
  </w:style>
  <w:style w:type="paragraph" w:customStyle="1" w:styleId="FooterDraftReport">
    <w:name w:val="FooterDraftReport"/>
    <w:basedOn w:val="Footer"/>
    <w:link w:val="FooterDraftReportChar"/>
    <w:rsid w:val="00AA4FC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A4FC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4FC4"/>
    <w:rPr>
      <w:rFonts w:ascii="Arial" w:hAnsi="Arial"/>
      <w:b/>
      <w:sz w:val="26"/>
      <w:szCs w:val="26"/>
      <w:lang w:eastAsia="en-US"/>
    </w:rPr>
  </w:style>
  <w:style w:type="character" w:styleId="Hyperlink">
    <w:name w:val="Hyperlink"/>
    <w:basedOn w:val="DefaultParagraphFont"/>
    <w:uiPriority w:val="99"/>
    <w:rsid w:val="00B01CE3"/>
    <w:rPr>
      <w:color w:val="78A22F" w:themeColor="hyperlink"/>
      <w:u w:val="single"/>
    </w:rPr>
  </w:style>
  <w:style w:type="paragraph" w:customStyle="1" w:styleId="Default">
    <w:name w:val="Default"/>
    <w:rsid w:val="00EB3BF2"/>
    <w:pPr>
      <w:autoSpaceDE w:val="0"/>
      <w:autoSpaceDN w:val="0"/>
      <w:adjustRightInd w:val="0"/>
    </w:pPr>
    <w:rPr>
      <w:rFonts w:ascii="Arial" w:hAnsi="Arial" w:cs="Arial"/>
      <w:color w:val="000000"/>
      <w:sz w:val="24"/>
      <w:szCs w:val="24"/>
    </w:rPr>
  </w:style>
  <w:style w:type="character" w:customStyle="1" w:styleId="ReferenceChar">
    <w:name w:val="Reference Char"/>
    <w:link w:val="Reference"/>
    <w:rsid w:val="002E5BE5"/>
    <w:rPr>
      <w:sz w:val="24"/>
    </w:rPr>
  </w:style>
  <w:style w:type="paragraph" w:customStyle="1" w:styleId="DQITableBullet">
    <w:name w:val="DQI Table Bullet"/>
    <w:basedOn w:val="TableBullet"/>
    <w:qFormat/>
    <w:rsid w:val="00DC3316"/>
    <w:pPr>
      <w:numPr>
        <w:numId w:val="0"/>
      </w:numPr>
      <w:spacing w:before="40" w:after="0"/>
      <w:jc w:val="both"/>
    </w:pPr>
  </w:style>
  <w:style w:type="paragraph" w:customStyle="1" w:styleId="DQITableBullet2">
    <w:name w:val="DQI Table Bullet 2"/>
    <w:basedOn w:val="DQITableBullet"/>
    <w:qFormat/>
    <w:rsid w:val="00DC3316"/>
  </w:style>
  <w:style w:type="paragraph" w:customStyle="1" w:styleId="Heading1NotTOC">
    <w:name w:val="Heading 1 Not TOC"/>
    <w:basedOn w:val="Heading1"/>
    <w:next w:val="BodyText"/>
    <w:rsid w:val="006602B5"/>
    <w:rPr>
      <w:kern w:val="28"/>
      <w:szCs w:val="26"/>
      <w:lang w:eastAsia="en-US"/>
    </w:rPr>
  </w:style>
  <w:style w:type="paragraph" w:styleId="CommentSubject">
    <w:name w:val="annotation subject"/>
    <w:basedOn w:val="CommentText"/>
    <w:next w:val="CommentText"/>
    <w:link w:val="CommentSubjectChar"/>
    <w:uiPriority w:val="21"/>
    <w:rsid w:val="000707E5"/>
    <w:pPr>
      <w:spacing w:before="0" w:line="240" w:lineRule="auto"/>
      <w:ind w:left="0" w:firstLine="0"/>
    </w:pPr>
    <w:rPr>
      <w:b/>
      <w:bCs/>
      <w:szCs w:val="20"/>
    </w:rPr>
  </w:style>
  <w:style w:type="character" w:customStyle="1" w:styleId="CommentSubjectChar">
    <w:name w:val="Comment Subject Char"/>
    <w:basedOn w:val="CommentTextChar"/>
    <w:link w:val="CommentSubject"/>
    <w:uiPriority w:val="21"/>
    <w:rsid w:val="000707E5"/>
    <w:rPr>
      <w:b/>
      <w:bCs/>
      <w:szCs w:val="24"/>
    </w:rPr>
  </w:style>
  <w:style w:type="paragraph" w:styleId="Revision">
    <w:name w:val="Revision"/>
    <w:hidden/>
    <w:uiPriority w:val="99"/>
    <w:semiHidden/>
    <w:rsid w:val="000707E5"/>
    <w:rPr>
      <w:sz w:val="24"/>
      <w:szCs w:val="24"/>
    </w:rPr>
  </w:style>
  <w:style w:type="paragraph" w:customStyle="1" w:styleId="DQITableText">
    <w:name w:val="DQI Table Text"/>
    <w:basedOn w:val="TableBodyText"/>
    <w:qFormat/>
    <w:rsid w:val="00214C72"/>
    <w:pPr>
      <w:spacing w:before="120" w:after="0"/>
      <w:ind w:left="0" w:right="0"/>
      <w:jc w:val="both"/>
    </w:pPr>
  </w:style>
  <w:style w:type="character" w:customStyle="1" w:styleId="Continuedintitle">
    <w:name w:val="Continued (in title)"/>
    <w:basedOn w:val="DefaultParagraphFont"/>
    <w:rsid w:val="007959F8"/>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7468">
      <w:bodyDiv w:val="1"/>
      <w:marLeft w:val="0"/>
      <w:marRight w:val="0"/>
      <w:marTop w:val="0"/>
      <w:marBottom w:val="0"/>
      <w:divBdr>
        <w:top w:val="none" w:sz="0" w:space="0" w:color="auto"/>
        <w:left w:val="none" w:sz="0" w:space="0" w:color="auto"/>
        <w:bottom w:val="none" w:sz="0" w:space="0" w:color="auto"/>
        <w:right w:val="none" w:sz="0" w:space="0" w:color="auto"/>
      </w:divBdr>
    </w:div>
    <w:div w:id="65346211">
      <w:bodyDiv w:val="1"/>
      <w:marLeft w:val="0"/>
      <w:marRight w:val="0"/>
      <w:marTop w:val="0"/>
      <w:marBottom w:val="0"/>
      <w:divBdr>
        <w:top w:val="none" w:sz="0" w:space="0" w:color="auto"/>
        <w:left w:val="none" w:sz="0" w:space="0" w:color="auto"/>
        <w:bottom w:val="none" w:sz="0" w:space="0" w:color="auto"/>
        <w:right w:val="none" w:sz="0" w:space="0" w:color="auto"/>
      </w:divBdr>
    </w:div>
    <w:div w:id="111558192">
      <w:bodyDiv w:val="1"/>
      <w:marLeft w:val="0"/>
      <w:marRight w:val="0"/>
      <w:marTop w:val="0"/>
      <w:marBottom w:val="0"/>
      <w:divBdr>
        <w:top w:val="none" w:sz="0" w:space="0" w:color="auto"/>
        <w:left w:val="none" w:sz="0" w:space="0" w:color="auto"/>
        <w:bottom w:val="none" w:sz="0" w:space="0" w:color="auto"/>
        <w:right w:val="none" w:sz="0" w:space="0" w:color="auto"/>
      </w:divBdr>
      <w:divsChild>
        <w:div w:id="999849569">
          <w:marLeft w:val="0"/>
          <w:marRight w:val="0"/>
          <w:marTop w:val="100"/>
          <w:marBottom w:val="100"/>
          <w:divBdr>
            <w:top w:val="none" w:sz="0" w:space="0" w:color="auto"/>
            <w:left w:val="none" w:sz="0" w:space="0" w:color="auto"/>
            <w:bottom w:val="none" w:sz="0" w:space="0" w:color="auto"/>
            <w:right w:val="none" w:sz="0" w:space="0" w:color="auto"/>
          </w:divBdr>
        </w:div>
      </w:divsChild>
    </w:div>
    <w:div w:id="119107906">
      <w:bodyDiv w:val="1"/>
      <w:marLeft w:val="0"/>
      <w:marRight w:val="0"/>
      <w:marTop w:val="0"/>
      <w:marBottom w:val="0"/>
      <w:divBdr>
        <w:top w:val="none" w:sz="0" w:space="0" w:color="auto"/>
        <w:left w:val="none" w:sz="0" w:space="0" w:color="auto"/>
        <w:bottom w:val="none" w:sz="0" w:space="0" w:color="auto"/>
        <w:right w:val="none" w:sz="0" w:space="0" w:color="auto"/>
      </w:divBdr>
    </w:div>
    <w:div w:id="228929075">
      <w:bodyDiv w:val="1"/>
      <w:marLeft w:val="0"/>
      <w:marRight w:val="0"/>
      <w:marTop w:val="0"/>
      <w:marBottom w:val="0"/>
      <w:divBdr>
        <w:top w:val="none" w:sz="0" w:space="0" w:color="auto"/>
        <w:left w:val="none" w:sz="0" w:space="0" w:color="auto"/>
        <w:bottom w:val="none" w:sz="0" w:space="0" w:color="auto"/>
        <w:right w:val="none" w:sz="0" w:space="0" w:color="auto"/>
      </w:divBdr>
    </w:div>
    <w:div w:id="243954711">
      <w:bodyDiv w:val="1"/>
      <w:marLeft w:val="0"/>
      <w:marRight w:val="0"/>
      <w:marTop w:val="0"/>
      <w:marBottom w:val="0"/>
      <w:divBdr>
        <w:top w:val="none" w:sz="0" w:space="0" w:color="auto"/>
        <w:left w:val="none" w:sz="0" w:space="0" w:color="auto"/>
        <w:bottom w:val="none" w:sz="0" w:space="0" w:color="auto"/>
        <w:right w:val="none" w:sz="0" w:space="0" w:color="auto"/>
      </w:divBdr>
    </w:div>
    <w:div w:id="317462259">
      <w:bodyDiv w:val="1"/>
      <w:marLeft w:val="0"/>
      <w:marRight w:val="0"/>
      <w:marTop w:val="0"/>
      <w:marBottom w:val="0"/>
      <w:divBdr>
        <w:top w:val="none" w:sz="0" w:space="0" w:color="auto"/>
        <w:left w:val="none" w:sz="0" w:space="0" w:color="auto"/>
        <w:bottom w:val="none" w:sz="0" w:space="0" w:color="auto"/>
        <w:right w:val="none" w:sz="0" w:space="0" w:color="auto"/>
      </w:divBdr>
    </w:div>
    <w:div w:id="387800179">
      <w:bodyDiv w:val="1"/>
      <w:marLeft w:val="0"/>
      <w:marRight w:val="0"/>
      <w:marTop w:val="0"/>
      <w:marBottom w:val="0"/>
      <w:divBdr>
        <w:top w:val="none" w:sz="0" w:space="0" w:color="auto"/>
        <w:left w:val="none" w:sz="0" w:space="0" w:color="auto"/>
        <w:bottom w:val="none" w:sz="0" w:space="0" w:color="auto"/>
        <w:right w:val="none" w:sz="0" w:space="0" w:color="auto"/>
      </w:divBdr>
    </w:div>
    <w:div w:id="433861597">
      <w:bodyDiv w:val="1"/>
      <w:marLeft w:val="0"/>
      <w:marRight w:val="0"/>
      <w:marTop w:val="0"/>
      <w:marBottom w:val="0"/>
      <w:divBdr>
        <w:top w:val="none" w:sz="0" w:space="0" w:color="auto"/>
        <w:left w:val="none" w:sz="0" w:space="0" w:color="auto"/>
        <w:bottom w:val="none" w:sz="0" w:space="0" w:color="auto"/>
        <w:right w:val="none" w:sz="0" w:space="0" w:color="auto"/>
      </w:divBdr>
    </w:div>
    <w:div w:id="435441986">
      <w:bodyDiv w:val="1"/>
      <w:marLeft w:val="0"/>
      <w:marRight w:val="0"/>
      <w:marTop w:val="0"/>
      <w:marBottom w:val="0"/>
      <w:divBdr>
        <w:top w:val="none" w:sz="0" w:space="0" w:color="auto"/>
        <w:left w:val="none" w:sz="0" w:space="0" w:color="auto"/>
        <w:bottom w:val="none" w:sz="0" w:space="0" w:color="auto"/>
        <w:right w:val="none" w:sz="0" w:space="0" w:color="auto"/>
      </w:divBdr>
    </w:div>
    <w:div w:id="471757768">
      <w:bodyDiv w:val="1"/>
      <w:marLeft w:val="0"/>
      <w:marRight w:val="0"/>
      <w:marTop w:val="0"/>
      <w:marBottom w:val="0"/>
      <w:divBdr>
        <w:top w:val="none" w:sz="0" w:space="0" w:color="auto"/>
        <w:left w:val="none" w:sz="0" w:space="0" w:color="auto"/>
        <w:bottom w:val="none" w:sz="0" w:space="0" w:color="auto"/>
        <w:right w:val="none" w:sz="0" w:space="0" w:color="auto"/>
      </w:divBdr>
    </w:div>
    <w:div w:id="525291416">
      <w:bodyDiv w:val="1"/>
      <w:marLeft w:val="0"/>
      <w:marRight w:val="0"/>
      <w:marTop w:val="0"/>
      <w:marBottom w:val="0"/>
      <w:divBdr>
        <w:top w:val="none" w:sz="0" w:space="0" w:color="auto"/>
        <w:left w:val="none" w:sz="0" w:space="0" w:color="auto"/>
        <w:bottom w:val="none" w:sz="0" w:space="0" w:color="auto"/>
        <w:right w:val="none" w:sz="0" w:space="0" w:color="auto"/>
      </w:divBdr>
    </w:div>
    <w:div w:id="567690432">
      <w:bodyDiv w:val="1"/>
      <w:marLeft w:val="0"/>
      <w:marRight w:val="0"/>
      <w:marTop w:val="0"/>
      <w:marBottom w:val="0"/>
      <w:divBdr>
        <w:top w:val="none" w:sz="0" w:space="0" w:color="auto"/>
        <w:left w:val="none" w:sz="0" w:space="0" w:color="auto"/>
        <w:bottom w:val="none" w:sz="0" w:space="0" w:color="auto"/>
        <w:right w:val="none" w:sz="0" w:space="0" w:color="auto"/>
      </w:divBdr>
    </w:div>
    <w:div w:id="588927173">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
    <w:div w:id="602609543">
      <w:bodyDiv w:val="1"/>
      <w:marLeft w:val="0"/>
      <w:marRight w:val="0"/>
      <w:marTop w:val="0"/>
      <w:marBottom w:val="0"/>
      <w:divBdr>
        <w:top w:val="none" w:sz="0" w:space="0" w:color="auto"/>
        <w:left w:val="none" w:sz="0" w:space="0" w:color="auto"/>
        <w:bottom w:val="none" w:sz="0" w:space="0" w:color="auto"/>
        <w:right w:val="none" w:sz="0" w:space="0" w:color="auto"/>
      </w:divBdr>
    </w:div>
    <w:div w:id="614100570">
      <w:bodyDiv w:val="1"/>
      <w:marLeft w:val="0"/>
      <w:marRight w:val="0"/>
      <w:marTop w:val="0"/>
      <w:marBottom w:val="0"/>
      <w:divBdr>
        <w:top w:val="none" w:sz="0" w:space="0" w:color="auto"/>
        <w:left w:val="none" w:sz="0" w:space="0" w:color="auto"/>
        <w:bottom w:val="none" w:sz="0" w:space="0" w:color="auto"/>
        <w:right w:val="none" w:sz="0" w:space="0" w:color="auto"/>
      </w:divBdr>
    </w:div>
    <w:div w:id="655688488">
      <w:bodyDiv w:val="1"/>
      <w:marLeft w:val="0"/>
      <w:marRight w:val="0"/>
      <w:marTop w:val="0"/>
      <w:marBottom w:val="0"/>
      <w:divBdr>
        <w:top w:val="none" w:sz="0" w:space="0" w:color="auto"/>
        <w:left w:val="none" w:sz="0" w:space="0" w:color="auto"/>
        <w:bottom w:val="none" w:sz="0" w:space="0" w:color="auto"/>
        <w:right w:val="none" w:sz="0" w:space="0" w:color="auto"/>
      </w:divBdr>
    </w:div>
    <w:div w:id="666136558">
      <w:bodyDiv w:val="1"/>
      <w:marLeft w:val="0"/>
      <w:marRight w:val="0"/>
      <w:marTop w:val="0"/>
      <w:marBottom w:val="0"/>
      <w:divBdr>
        <w:top w:val="none" w:sz="0" w:space="0" w:color="auto"/>
        <w:left w:val="none" w:sz="0" w:space="0" w:color="auto"/>
        <w:bottom w:val="none" w:sz="0" w:space="0" w:color="auto"/>
        <w:right w:val="none" w:sz="0" w:space="0" w:color="auto"/>
      </w:divBdr>
    </w:div>
    <w:div w:id="670065708">
      <w:bodyDiv w:val="1"/>
      <w:marLeft w:val="0"/>
      <w:marRight w:val="0"/>
      <w:marTop w:val="0"/>
      <w:marBottom w:val="0"/>
      <w:divBdr>
        <w:top w:val="none" w:sz="0" w:space="0" w:color="auto"/>
        <w:left w:val="none" w:sz="0" w:space="0" w:color="auto"/>
        <w:bottom w:val="none" w:sz="0" w:space="0" w:color="auto"/>
        <w:right w:val="none" w:sz="0" w:space="0" w:color="auto"/>
      </w:divBdr>
    </w:div>
    <w:div w:id="700982436">
      <w:bodyDiv w:val="1"/>
      <w:marLeft w:val="0"/>
      <w:marRight w:val="0"/>
      <w:marTop w:val="0"/>
      <w:marBottom w:val="0"/>
      <w:divBdr>
        <w:top w:val="none" w:sz="0" w:space="0" w:color="auto"/>
        <w:left w:val="none" w:sz="0" w:space="0" w:color="auto"/>
        <w:bottom w:val="none" w:sz="0" w:space="0" w:color="auto"/>
        <w:right w:val="none" w:sz="0" w:space="0" w:color="auto"/>
      </w:divBdr>
    </w:div>
    <w:div w:id="741753912">
      <w:bodyDiv w:val="1"/>
      <w:marLeft w:val="0"/>
      <w:marRight w:val="0"/>
      <w:marTop w:val="0"/>
      <w:marBottom w:val="0"/>
      <w:divBdr>
        <w:top w:val="none" w:sz="0" w:space="0" w:color="auto"/>
        <w:left w:val="none" w:sz="0" w:space="0" w:color="auto"/>
        <w:bottom w:val="none" w:sz="0" w:space="0" w:color="auto"/>
        <w:right w:val="none" w:sz="0" w:space="0" w:color="auto"/>
      </w:divBdr>
    </w:div>
    <w:div w:id="801388976">
      <w:bodyDiv w:val="1"/>
      <w:marLeft w:val="0"/>
      <w:marRight w:val="0"/>
      <w:marTop w:val="0"/>
      <w:marBottom w:val="0"/>
      <w:divBdr>
        <w:top w:val="none" w:sz="0" w:space="0" w:color="auto"/>
        <w:left w:val="none" w:sz="0" w:space="0" w:color="auto"/>
        <w:bottom w:val="none" w:sz="0" w:space="0" w:color="auto"/>
        <w:right w:val="none" w:sz="0" w:space="0" w:color="auto"/>
      </w:divBdr>
    </w:div>
    <w:div w:id="817188711">
      <w:bodyDiv w:val="1"/>
      <w:marLeft w:val="0"/>
      <w:marRight w:val="0"/>
      <w:marTop w:val="0"/>
      <w:marBottom w:val="0"/>
      <w:divBdr>
        <w:top w:val="none" w:sz="0" w:space="0" w:color="auto"/>
        <w:left w:val="none" w:sz="0" w:space="0" w:color="auto"/>
        <w:bottom w:val="none" w:sz="0" w:space="0" w:color="auto"/>
        <w:right w:val="none" w:sz="0" w:space="0" w:color="auto"/>
      </w:divBdr>
    </w:div>
    <w:div w:id="850412769">
      <w:bodyDiv w:val="1"/>
      <w:marLeft w:val="0"/>
      <w:marRight w:val="0"/>
      <w:marTop w:val="0"/>
      <w:marBottom w:val="0"/>
      <w:divBdr>
        <w:top w:val="none" w:sz="0" w:space="0" w:color="auto"/>
        <w:left w:val="none" w:sz="0" w:space="0" w:color="auto"/>
        <w:bottom w:val="none" w:sz="0" w:space="0" w:color="auto"/>
        <w:right w:val="none" w:sz="0" w:space="0" w:color="auto"/>
      </w:divBdr>
    </w:div>
    <w:div w:id="895361117">
      <w:bodyDiv w:val="1"/>
      <w:marLeft w:val="0"/>
      <w:marRight w:val="0"/>
      <w:marTop w:val="0"/>
      <w:marBottom w:val="0"/>
      <w:divBdr>
        <w:top w:val="none" w:sz="0" w:space="0" w:color="auto"/>
        <w:left w:val="none" w:sz="0" w:space="0" w:color="auto"/>
        <w:bottom w:val="none" w:sz="0" w:space="0" w:color="auto"/>
        <w:right w:val="none" w:sz="0" w:space="0" w:color="auto"/>
      </w:divBdr>
    </w:div>
    <w:div w:id="930893649">
      <w:bodyDiv w:val="1"/>
      <w:marLeft w:val="0"/>
      <w:marRight w:val="0"/>
      <w:marTop w:val="0"/>
      <w:marBottom w:val="0"/>
      <w:divBdr>
        <w:top w:val="none" w:sz="0" w:space="0" w:color="auto"/>
        <w:left w:val="none" w:sz="0" w:space="0" w:color="auto"/>
        <w:bottom w:val="none" w:sz="0" w:space="0" w:color="auto"/>
        <w:right w:val="none" w:sz="0" w:space="0" w:color="auto"/>
      </w:divBdr>
    </w:div>
    <w:div w:id="1009530096">
      <w:bodyDiv w:val="1"/>
      <w:marLeft w:val="0"/>
      <w:marRight w:val="0"/>
      <w:marTop w:val="0"/>
      <w:marBottom w:val="0"/>
      <w:divBdr>
        <w:top w:val="none" w:sz="0" w:space="0" w:color="auto"/>
        <w:left w:val="none" w:sz="0" w:space="0" w:color="auto"/>
        <w:bottom w:val="none" w:sz="0" w:space="0" w:color="auto"/>
        <w:right w:val="none" w:sz="0" w:space="0" w:color="auto"/>
      </w:divBdr>
    </w:div>
    <w:div w:id="1057975920">
      <w:bodyDiv w:val="1"/>
      <w:marLeft w:val="0"/>
      <w:marRight w:val="0"/>
      <w:marTop w:val="0"/>
      <w:marBottom w:val="0"/>
      <w:divBdr>
        <w:top w:val="none" w:sz="0" w:space="0" w:color="auto"/>
        <w:left w:val="none" w:sz="0" w:space="0" w:color="auto"/>
        <w:bottom w:val="none" w:sz="0" w:space="0" w:color="auto"/>
        <w:right w:val="none" w:sz="0" w:space="0" w:color="auto"/>
      </w:divBdr>
    </w:div>
    <w:div w:id="1094593318">
      <w:bodyDiv w:val="1"/>
      <w:marLeft w:val="0"/>
      <w:marRight w:val="0"/>
      <w:marTop w:val="0"/>
      <w:marBottom w:val="0"/>
      <w:divBdr>
        <w:top w:val="none" w:sz="0" w:space="0" w:color="auto"/>
        <w:left w:val="none" w:sz="0" w:space="0" w:color="auto"/>
        <w:bottom w:val="none" w:sz="0" w:space="0" w:color="auto"/>
        <w:right w:val="none" w:sz="0" w:space="0" w:color="auto"/>
      </w:divBdr>
    </w:div>
    <w:div w:id="1101029276">
      <w:bodyDiv w:val="1"/>
      <w:marLeft w:val="0"/>
      <w:marRight w:val="0"/>
      <w:marTop w:val="0"/>
      <w:marBottom w:val="0"/>
      <w:divBdr>
        <w:top w:val="none" w:sz="0" w:space="0" w:color="auto"/>
        <w:left w:val="none" w:sz="0" w:space="0" w:color="auto"/>
        <w:bottom w:val="none" w:sz="0" w:space="0" w:color="auto"/>
        <w:right w:val="none" w:sz="0" w:space="0" w:color="auto"/>
      </w:divBdr>
    </w:div>
    <w:div w:id="1103038801">
      <w:bodyDiv w:val="1"/>
      <w:marLeft w:val="0"/>
      <w:marRight w:val="0"/>
      <w:marTop w:val="0"/>
      <w:marBottom w:val="0"/>
      <w:divBdr>
        <w:top w:val="none" w:sz="0" w:space="0" w:color="auto"/>
        <w:left w:val="none" w:sz="0" w:space="0" w:color="auto"/>
        <w:bottom w:val="none" w:sz="0" w:space="0" w:color="auto"/>
        <w:right w:val="none" w:sz="0" w:space="0" w:color="auto"/>
      </w:divBdr>
    </w:div>
    <w:div w:id="1166634555">
      <w:bodyDiv w:val="1"/>
      <w:marLeft w:val="0"/>
      <w:marRight w:val="0"/>
      <w:marTop w:val="0"/>
      <w:marBottom w:val="0"/>
      <w:divBdr>
        <w:top w:val="none" w:sz="0" w:space="0" w:color="auto"/>
        <w:left w:val="none" w:sz="0" w:space="0" w:color="auto"/>
        <w:bottom w:val="none" w:sz="0" w:space="0" w:color="auto"/>
        <w:right w:val="none" w:sz="0" w:space="0" w:color="auto"/>
      </w:divBdr>
    </w:div>
    <w:div w:id="1169293527">
      <w:bodyDiv w:val="1"/>
      <w:marLeft w:val="0"/>
      <w:marRight w:val="0"/>
      <w:marTop w:val="0"/>
      <w:marBottom w:val="0"/>
      <w:divBdr>
        <w:top w:val="none" w:sz="0" w:space="0" w:color="auto"/>
        <w:left w:val="none" w:sz="0" w:space="0" w:color="auto"/>
        <w:bottom w:val="none" w:sz="0" w:space="0" w:color="auto"/>
        <w:right w:val="none" w:sz="0" w:space="0" w:color="auto"/>
      </w:divBdr>
    </w:div>
    <w:div w:id="1191189392">
      <w:bodyDiv w:val="1"/>
      <w:marLeft w:val="0"/>
      <w:marRight w:val="0"/>
      <w:marTop w:val="0"/>
      <w:marBottom w:val="0"/>
      <w:divBdr>
        <w:top w:val="none" w:sz="0" w:space="0" w:color="auto"/>
        <w:left w:val="none" w:sz="0" w:space="0" w:color="auto"/>
        <w:bottom w:val="none" w:sz="0" w:space="0" w:color="auto"/>
        <w:right w:val="none" w:sz="0" w:space="0" w:color="auto"/>
      </w:divBdr>
    </w:div>
    <w:div w:id="1204290535">
      <w:bodyDiv w:val="1"/>
      <w:marLeft w:val="0"/>
      <w:marRight w:val="0"/>
      <w:marTop w:val="0"/>
      <w:marBottom w:val="0"/>
      <w:divBdr>
        <w:top w:val="none" w:sz="0" w:space="0" w:color="auto"/>
        <w:left w:val="none" w:sz="0" w:space="0" w:color="auto"/>
        <w:bottom w:val="none" w:sz="0" w:space="0" w:color="auto"/>
        <w:right w:val="none" w:sz="0" w:space="0" w:color="auto"/>
      </w:divBdr>
    </w:div>
    <w:div w:id="1207910543">
      <w:bodyDiv w:val="1"/>
      <w:marLeft w:val="0"/>
      <w:marRight w:val="0"/>
      <w:marTop w:val="0"/>
      <w:marBottom w:val="0"/>
      <w:divBdr>
        <w:top w:val="none" w:sz="0" w:space="0" w:color="auto"/>
        <w:left w:val="none" w:sz="0" w:space="0" w:color="auto"/>
        <w:bottom w:val="none" w:sz="0" w:space="0" w:color="auto"/>
        <w:right w:val="none" w:sz="0" w:space="0" w:color="auto"/>
      </w:divBdr>
    </w:div>
    <w:div w:id="1217623804">
      <w:bodyDiv w:val="1"/>
      <w:marLeft w:val="0"/>
      <w:marRight w:val="0"/>
      <w:marTop w:val="0"/>
      <w:marBottom w:val="0"/>
      <w:divBdr>
        <w:top w:val="none" w:sz="0" w:space="0" w:color="auto"/>
        <w:left w:val="none" w:sz="0" w:space="0" w:color="auto"/>
        <w:bottom w:val="none" w:sz="0" w:space="0" w:color="auto"/>
        <w:right w:val="none" w:sz="0" w:space="0" w:color="auto"/>
      </w:divBdr>
    </w:div>
    <w:div w:id="1231234947">
      <w:bodyDiv w:val="1"/>
      <w:marLeft w:val="0"/>
      <w:marRight w:val="0"/>
      <w:marTop w:val="0"/>
      <w:marBottom w:val="0"/>
      <w:divBdr>
        <w:top w:val="none" w:sz="0" w:space="0" w:color="auto"/>
        <w:left w:val="none" w:sz="0" w:space="0" w:color="auto"/>
        <w:bottom w:val="none" w:sz="0" w:space="0" w:color="auto"/>
        <w:right w:val="none" w:sz="0" w:space="0" w:color="auto"/>
      </w:divBdr>
    </w:div>
    <w:div w:id="1274631571">
      <w:bodyDiv w:val="1"/>
      <w:marLeft w:val="0"/>
      <w:marRight w:val="0"/>
      <w:marTop w:val="0"/>
      <w:marBottom w:val="0"/>
      <w:divBdr>
        <w:top w:val="none" w:sz="0" w:space="0" w:color="auto"/>
        <w:left w:val="none" w:sz="0" w:space="0" w:color="auto"/>
        <w:bottom w:val="none" w:sz="0" w:space="0" w:color="auto"/>
        <w:right w:val="none" w:sz="0" w:space="0" w:color="auto"/>
      </w:divBdr>
    </w:div>
    <w:div w:id="1284926373">
      <w:bodyDiv w:val="1"/>
      <w:marLeft w:val="0"/>
      <w:marRight w:val="0"/>
      <w:marTop w:val="0"/>
      <w:marBottom w:val="0"/>
      <w:divBdr>
        <w:top w:val="none" w:sz="0" w:space="0" w:color="auto"/>
        <w:left w:val="none" w:sz="0" w:space="0" w:color="auto"/>
        <w:bottom w:val="none" w:sz="0" w:space="0" w:color="auto"/>
        <w:right w:val="none" w:sz="0" w:space="0" w:color="auto"/>
      </w:divBdr>
    </w:div>
    <w:div w:id="1288924915">
      <w:bodyDiv w:val="1"/>
      <w:marLeft w:val="0"/>
      <w:marRight w:val="0"/>
      <w:marTop w:val="0"/>
      <w:marBottom w:val="0"/>
      <w:divBdr>
        <w:top w:val="none" w:sz="0" w:space="0" w:color="auto"/>
        <w:left w:val="none" w:sz="0" w:space="0" w:color="auto"/>
        <w:bottom w:val="none" w:sz="0" w:space="0" w:color="auto"/>
        <w:right w:val="none" w:sz="0" w:space="0" w:color="auto"/>
      </w:divBdr>
    </w:div>
    <w:div w:id="1414015030">
      <w:bodyDiv w:val="1"/>
      <w:marLeft w:val="0"/>
      <w:marRight w:val="0"/>
      <w:marTop w:val="0"/>
      <w:marBottom w:val="0"/>
      <w:divBdr>
        <w:top w:val="none" w:sz="0" w:space="0" w:color="auto"/>
        <w:left w:val="none" w:sz="0" w:space="0" w:color="auto"/>
        <w:bottom w:val="none" w:sz="0" w:space="0" w:color="auto"/>
        <w:right w:val="none" w:sz="0" w:space="0" w:color="auto"/>
      </w:divBdr>
    </w:div>
    <w:div w:id="1439834904">
      <w:bodyDiv w:val="1"/>
      <w:marLeft w:val="0"/>
      <w:marRight w:val="0"/>
      <w:marTop w:val="0"/>
      <w:marBottom w:val="0"/>
      <w:divBdr>
        <w:top w:val="none" w:sz="0" w:space="0" w:color="auto"/>
        <w:left w:val="none" w:sz="0" w:space="0" w:color="auto"/>
        <w:bottom w:val="none" w:sz="0" w:space="0" w:color="auto"/>
        <w:right w:val="none" w:sz="0" w:space="0" w:color="auto"/>
      </w:divBdr>
    </w:div>
    <w:div w:id="1443191021">
      <w:bodyDiv w:val="1"/>
      <w:marLeft w:val="0"/>
      <w:marRight w:val="0"/>
      <w:marTop w:val="0"/>
      <w:marBottom w:val="0"/>
      <w:divBdr>
        <w:top w:val="none" w:sz="0" w:space="0" w:color="auto"/>
        <w:left w:val="none" w:sz="0" w:space="0" w:color="auto"/>
        <w:bottom w:val="none" w:sz="0" w:space="0" w:color="auto"/>
        <w:right w:val="none" w:sz="0" w:space="0" w:color="auto"/>
      </w:divBdr>
    </w:div>
    <w:div w:id="1493065326">
      <w:bodyDiv w:val="1"/>
      <w:marLeft w:val="0"/>
      <w:marRight w:val="0"/>
      <w:marTop w:val="0"/>
      <w:marBottom w:val="0"/>
      <w:divBdr>
        <w:top w:val="none" w:sz="0" w:space="0" w:color="auto"/>
        <w:left w:val="none" w:sz="0" w:space="0" w:color="auto"/>
        <w:bottom w:val="none" w:sz="0" w:space="0" w:color="auto"/>
        <w:right w:val="none" w:sz="0" w:space="0" w:color="auto"/>
      </w:divBdr>
    </w:div>
    <w:div w:id="1534421111">
      <w:bodyDiv w:val="1"/>
      <w:marLeft w:val="0"/>
      <w:marRight w:val="0"/>
      <w:marTop w:val="0"/>
      <w:marBottom w:val="0"/>
      <w:divBdr>
        <w:top w:val="none" w:sz="0" w:space="0" w:color="auto"/>
        <w:left w:val="none" w:sz="0" w:space="0" w:color="auto"/>
        <w:bottom w:val="none" w:sz="0" w:space="0" w:color="auto"/>
        <w:right w:val="none" w:sz="0" w:space="0" w:color="auto"/>
      </w:divBdr>
    </w:div>
    <w:div w:id="1543059910">
      <w:bodyDiv w:val="1"/>
      <w:marLeft w:val="0"/>
      <w:marRight w:val="0"/>
      <w:marTop w:val="0"/>
      <w:marBottom w:val="0"/>
      <w:divBdr>
        <w:top w:val="none" w:sz="0" w:space="0" w:color="auto"/>
        <w:left w:val="none" w:sz="0" w:space="0" w:color="auto"/>
        <w:bottom w:val="none" w:sz="0" w:space="0" w:color="auto"/>
        <w:right w:val="none" w:sz="0" w:space="0" w:color="auto"/>
      </w:divBdr>
    </w:div>
    <w:div w:id="1584488771">
      <w:bodyDiv w:val="1"/>
      <w:marLeft w:val="0"/>
      <w:marRight w:val="0"/>
      <w:marTop w:val="0"/>
      <w:marBottom w:val="0"/>
      <w:divBdr>
        <w:top w:val="none" w:sz="0" w:space="0" w:color="auto"/>
        <w:left w:val="none" w:sz="0" w:space="0" w:color="auto"/>
        <w:bottom w:val="none" w:sz="0" w:space="0" w:color="auto"/>
        <w:right w:val="none" w:sz="0" w:space="0" w:color="auto"/>
      </w:divBdr>
      <w:divsChild>
        <w:div w:id="1135297146">
          <w:marLeft w:val="0"/>
          <w:marRight w:val="0"/>
          <w:marTop w:val="0"/>
          <w:marBottom w:val="0"/>
          <w:divBdr>
            <w:top w:val="none" w:sz="0" w:space="0" w:color="auto"/>
            <w:left w:val="none" w:sz="0" w:space="0" w:color="auto"/>
            <w:bottom w:val="none" w:sz="0" w:space="0" w:color="auto"/>
            <w:right w:val="none" w:sz="0" w:space="0" w:color="auto"/>
          </w:divBdr>
        </w:div>
      </w:divsChild>
    </w:div>
    <w:div w:id="1614283550">
      <w:bodyDiv w:val="1"/>
      <w:marLeft w:val="0"/>
      <w:marRight w:val="0"/>
      <w:marTop w:val="0"/>
      <w:marBottom w:val="0"/>
      <w:divBdr>
        <w:top w:val="none" w:sz="0" w:space="0" w:color="auto"/>
        <w:left w:val="none" w:sz="0" w:space="0" w:color="auto"/>
        <w:bottom w:val="none" w:sz="0" w:space="0" w:color="auto"/>
        <w:right w:val="none" w:sz="0" w:space="0" w:color="auto"/>
      </w:divBdr>
    </w:div>
    <w:div w:id="1630088543">
      <w:bodyDiv w:val="1"/>
      <w:marLeft w:val="0"/>
      <w:marRight w:val="0"/>
      <w:marTop w:val="0"/>
      <w:marBottom w:val="0"/>
      <w:divBdr>
        <w:top w:val="none" w:sz="0" w:space="0" w:color="auto"/>
        <w:left w:val="none" w:sz="0" w:space="0" w:color="auto"/>
        <w:bottom w:val="none" w:sz="0" w:space="0" w:color="auto"/>
        <w:right w:val="none" w:sz="0" w:space="0" w:color="auto"/>
      </w:divBdr>
    </w:div>
    <w:div w:id="1643077998">
      <w:bodyDiv w:val="1"/>
      <w:marLeft w:val="0"/>
      <w:marRight w:val="0"/>
      <w:marTop w:val="0"/>
      <w:marBottom w:val="0"/>
      <w:divBdr>
        <w:top w:val="none" w:sz="0" w:space="0" w:color="auto"/>
        <w:left w:val="none" w:sz="0" w:space="0" w:color="auto"/>
        <w:bottom w:val="none" w:sz="0" w:space="0" w:color="auto"/>
        <w:right w:val="none" w:sz="0" w:space="0" w:color="auto"/>
      </w:divBdr>
    </w:div>
    <w:div w:id="1668361662">
      <w:bodyDiv w:val="1"/>
      <w:marLeft w:val="0"/>
      <w:marRight w:val="0"/>
      <w:marTop w:val="0"/>
      <w:marBottom w:val="0"/>
      <w:divBdr>
        <w:top w:val="none" w:sz="0" w:space="0" w:color="auto"/>
        <w:left w:val="none" w:sz="0" w:space="0" w:color="auto"/>
        <w:bottom w:val="none" w:sz="0" w:space="0" w:color="auto"/>
        <w:right w:val="none" w:sz="0" w:space="0" w:color="auto"/>
      </w:divBdr>
    </w:div>
    <w:div w:id="1678532188">
      <w:bodyDiv w:val="1"/>
      <w:marLeft w:val="0"/>
      <w:marRight w:val="0"/>
      <w:marTop w:val="0"/>
      <w:marBottom w:val="0"/>
      <w:divBdr>
        <w:top w:val="none" w:sz="0" w:space="0" w:color="auto"/>
        <w:left w:val="none" w:sz="0" w:space="0" w:color="auto"/>
        <w:bottom w:val="none" w:sz="0" w:space="0" w:color="auto"/>
        <w:right w:val="none" w:sz="0" w:space="0" w:color="auto"/>
      </w:divBdr>
    </w:div>
    <w:div w:id="1689209141">
      <w:bodyDiv w:val="1"/>
      <w:marLeft w:val="0"/>
      <w:marRight w:val="0"/>
      <w:marTop w:val="0"/>
      <w:marBottom w:val="0"/>
      <w:divBdr>
        <w:top w:val="none" w:sz="0" w:space="0" w:color="auto"/>
        <w:left w:val="none" w:sz="0" w:space="0" w:color="auto"/>
        <w:bottom w:val="none" w:sz="0" w:space="0" w:color="auto"/>
        <w:right w:val="none" w:sz="0" w:space="0" w:color="auto"/>
      </w:divBdr>
    </w:div>
    <w:div w:id="1714230844">
      <w:bodyDiv w:val="1"/>
      <w:marLeft w:val="0"/>
      <w:marRight w:val="0"/>
      <w:marTop w:val="0"/>
      <w:marBottom w:val="0"/>
      <w:divBdr>
        <w:top w:val="none" w:sz="0" w:space="0" w:color="auto"/>
        <w:left w:val="none" w:sz="0" w:space="0" w:color="auto"/>
        <w:bottom w:val="none" w:sz="0" w:space="0" w:color="auto"/>
        <w:right w:val="none" w:sz="0" w:space="0" w:color="auto"/>
      </w:divBdr>
    </w:div>
    <w:div w:id="1718309181">
      <w:bodyDiv w:val="1"/>
      <w:marLeft w:val="0"/>
      <w:marRight w:val="0"/>
      <w:marTop w:val="0"/>
      <w:marBottom w:val="0"/>
      <w:divBdr>
        <w:top w:val="none" w:sz="0" w:space="0" w:color="auto"/>
        <w:left w:val="none" w:sz="0" w:space="0" w:color="auto"/>
        <w:bottom w:val="none" w:sz="0" w:space="0" w:color="auto"/>
        <w:right w:val="none" w:sz="0" w:space="0" w:color="auto"/>
      </w:divBdr>
    </w:div>
    <w:div w:id="1723867929">
      <w:bodyDiv w:val="1"/>
      <w:marLeft w:val="0"/>
      <w:marRight w:val="0"/>
      <w:marTop w:val="0"/>
      <w:marBottom w:val="0"/>
      <w:divBdr>
        <w:top w:val="none" w:sz="0" w:space="0" w:color="auto"/>
        <w:left w:val="none" w:sz="0" w:space="0" w:color="auto"/>
        <w:bottom w:val="none" w:sz="0" w:space="0" w:color="auto"/>
        <w:right w:val="none" w:sz="0" w:space="0" w:color="auto"/>
      </w:divBdr>
    </w:div>
    <w:div w:id="1741948930">
      <w:bodyDiv w:val="1"/>
      <w:marLeft w:val="0"/>
      <w:marRight w:val="0"/>
      <w:marTop w:val="0"/>
      <w:marBottom w:val="0"/>
      <w:divBdr>
        <w:top w:val="none" w:sz="0" w:space="0" w:color="auto"/>
        <w:left w:val="none" w:sz="0" w:space="0" w:color="auto"/>
        <w:bottom w:val="none" w:sz="0" w:space="0" w:color="auto"/>
        <w:right w:val="none" w:sz="0" w:space="0" w:color="auto"/>
      </w:divBdr>
    </w:div>
    <w:div w:id="1748571548">
      <w:bodyDiv w:val="1"/>
      <w:marLeft w:val="0"/>
      <w:marRight w:val="0"/>
      <w:marTop w:val="0"/>
      <w:marBottom w:val="0"/>
      <w:divBdr>
        <w:top w:val="none" w:sz="0" w:space="0" w:color="auto"/>
        <w:left w:val="none" w:sz="0" w:space="0" w:color="auto"/>
        <w:bottom w:val="none" w:sz="0" w:space="0" w:color="auto"/>
        <w:right w:val="none" w:sz="0" w:space="0" w:color="auto"/>
      </w:divBdr>
    </w:div>
    <w:div w:id="1827739904">
      <w:bodyDiv w:val="1"/>
      <w:marLeft w:val="0"/>
      <w:marRight w:val="0"/>
      <w:marTop w:val="0"/>
      <w:marBottom w:val="0"/>
      <w:divBdr>
        <w:top w:val="none" w:sz="0" w:space="0" w:color="auto"/>
        <w:left w:val="none" w:sz="0" w:space="0" w:color="auto"/>
        <w:bottom w:val="none" w:sz="0" w:space="0" w:color="auto"/>
        <w:right w:val="none" w:sz="0" w:space="0" w:color="auto"/>
      </w:divBdr>
      <w:divsChild>
        <w:div w:id="992686206">
          <w:marLeft w:val="0"/>
          <w:marRight w:val="0"/>
          <w:marTop w:val="100"/>
          <w:marBottom w:val="100"/>
          <w:divBdr>
            <w:top w:val="none" w:sz="0" w:space="0" w:color="auto"/>
            <w:left w:val="none" w:sz="0" w:space="0" w:color="auto"/>
            <w:bottom w:val="none" w:sz="0" w:space="0" w:color="auto"/>
            <w:right w:val="none" w:sz="0" w:space="0" w:color="auto"/>
          </w:divBdr>
        </w:div>
      </w:divsChild>
    </w:div>
    <w:div w:id="1854298103">
      <w:bodyDiv w:val="1"/>
      <w:marLeft w:val="0"/>
      <w:marRight w:val="0"/>
      <w:marTop w:val="0"/>
      <w:marBottom w:val="0"/>
      <w:divBdr>
        <w:top w:val="none" w:sz="0" w:space="0" w:color="auto"/>
        <w:left w:val="none" w:sz="0" w:space="0" w:color="auto"/>
        <w:bottom w:val="none" w:sz="0" w:space="0" w:color="auto"/>
        <w:right w:val="none" w:sz="0" w:space="0" w:color="auto"/>
      </w:divBdr>
      <w:divsChild>
        <w:div w:id="1582134453">
          <w:marLeft w:val="0"/>
          <w:marRight w:val="0"/>
          <w:marTop w:val="0"/>
          <w:marBottom w:val="0"/>
          <w:divBdr>
            <w:top w:val="none" w:sz="0" w:space="0" w:color="auto"/>
            <w:left w:val="none" w:sz="0" w:space="0" w:color="auto"/>
            <w:bottom w:val="none" w:sz="0" w:space="0" w:color="auto"/>
            <w:right w:val="none" w:sz="0" w:space="0" w:color="auto"/>
          </w:divBdr>
          <w:divsChild>
            <w:div w:id="305863170">
              <w:marLeft w:val="0"/>
              <w:marRight w:val="0"/>
              <w:marTop w:val="0"/>
              <w:marBottom w:val="0"/>
              <w:divBdr>
                <w:top w:val="none" w:sz="0" w:space="0" w:color="auto"/>
                <w:left w:val="none" w:sz="0" w:space="0" w:color="auto"/>
                <w:bottom w:val="none" w:sz="0" w:space="0" w:color="auto"/>
                <w:right w:val="none" w:sz="0" w:space="0" w:color="auto"/>
              </w:divBdr>
              <w:divsChild>
                <w:div w:id="520509957">
                  <w:marLeft w:val="0"/>
                  <w:marRight w:val="0"/>
                  <w:marTop w:val="0"/>
                  <w:marBottom w:val="0"/>
                  <w:divBdr>
                    <w:top w:val="none" w:sz="0" w:space="0" w:color="auto"/>
                    <w:left w:val="none" w:sz="0" w:space="0" w:color="auto"/>
                    <w:bottom w:val="none" w:sz="0" w:space="0" w:color="auto"/>
                    <w:right w:val="none" w:sz="0" w:space="0" w:color="auto"/>
                  </w:divBdr>
                  <w:divsChild>
                    <w:div w:id="552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10111">
      <w:bodyDiv w:val="1"/>
      <w:marLeft w:val="0"/>
      <w:marRight w:val="0"/>
      <w:marTop w:val="0"/>
      <w:marBottom w:val="0"/>
      <w:divBdr>
        <w:top w:val="none" w:sz="0" w:space="0" w:color="auto"/>
        <w:left w:val="none" w:sz="0" w:space="0" w:color="auto"/>
        <w:bottom w:val="none" w:sz="0" w:space="0" w:color="auto"/>
        <w:right w:val="none" w:sz="0" w:space="0" w:color="auto"/>
      </w:divBdr>
    </w:div>
    <w:div w:id="1991202912">
      <w:bodyDiv w:val="1"/>
      <w:marLeft w:val="0"/>
      <w:marRight w:val="0"/>
      <w:marTop w:val="0"/>
      <w:marBottom w:val="0"/>
      <w:divBdr>
        <w:top w:val="none" w:sz="0" w:space="0" w:color="auto"/>
        <w:left w:val="none" w:sz="0" w:space="0" w:color="auto"/>
        <w:bottom w:val="none" w:sz="0" w:space="0" w:color="auto"/>
        <w:right w:val="none" w:sz="0" w:space="0" w:color="auto"/>
      </w:divBdr>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
    <w:div w:id="2056464177">
      <w:bodyDiv w:val="1"/>
      <w:marLeft w:val="0"/>
      <w:marRight w:val="0"/>
      <w:marTop w:val="0"/>
      <w:marBottom w:val="0"/>
      <w:divBdr>
        <w:top w:val="none" w:sz="0" w:space="0" w:color="auto"/>
        <w:left w:val="none" w:sz="0" w:space="0" w:color="auto"/>
        <w:bottom w:val="none" w:sz="0" w:space="0" w:color="auto"/>
        <w:right w:val="none" w:sz="0" w:space="0" w:color="auto"/>
      </w:divBdr>
    </w:div>
    <w:div w:id="2059819567">
      <w:bodyDiv w:val="1"/>
      <w:marLeft w:val="0"/>
      <w:marRight w:val="0"/>
      <w:marTop w:val="0"/>
      <w:marBottom w:val="0"/>
      <w:divBdr>
        <w:top w:val="none" w:sz="0" w:space="0" w:color="auto"/>
        <w:left w:val="none" w:sz="0" w:space="0" w:color="auto"/>
        <w:bottom w:val="none" w:sz="0" w:space="0" w:color="auto"/>
        <w:right w:val="none" w:sz="0" w:space="0" w:color="auto"/>
      </w:divBdr>
    </w:div>
    <w:div w:id="21020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E18DB-FDDA-4671-95C1-5CC911EF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224</TotalTime>
  <Pages>33</Pages>
  <Words>7499</Words>
  <Characters>44453</Characters>
  <Application>Microsoft Office Word</Application>
  <DocSecurity>0</DocSecurity>
  <Lines>370</Lines>
  <Paragraphs>103</Paragraphs>
  <ScaleCrop>false</ScaleCrop>
  <HeadingPairs>
    <vt:vector size="2" baseType="variant">
      <vt:variant>
        <vt:lpstr>Title</vt:lpstr>
      </vt:variant>
      <vt:variant>
        <vt:i4>1</vt:i4>
      </vt:variant>
    </vt:vector>
  </HeadingPairs>
  <TitlesOfParts>
    <vt:vector size="1" baseType="lpstr">
      <vt:lpstr>Chapter 19 Homelessness - Report on Government Services 2017</vt:lpstr>
    </vt:vector>
  </TitlesOfParts>
  <Manager/>
  <Company>Productivity Commission</Company>
  <LinksUpToDate>false</LinksUpToDate>
  <CharactersWithSpaces>51849</CharactersWithSpaces>
  <SharedDoc>false</SharedDoc>
  <HLinks>
    <vt:vector size="54" baseType="variant">
      <vt:variant>
        <vt:i4>1376317</vt:i4>
      </vt:variant>
      <vt:variant>
        <vt:i4>50</vt:i4>
      </vt:variant>
      <vt:variant>
        <vt:i4>0</vt:i4>
      </vt:variant>
      <vt:variant>
        <vt:i4>5</vt:i4>
      </vt:variant>
      <vt:variant>
        <vt:lpwstr/>
      </vt:variant>
      <vt:variant>
        <vt:lpwstr>_Toc309313622</vt:lpwstr>
      </vt:variant>
      <vt:variant>
        <vt:i4>1376317</vt:i4>
      </vt:variant>
      <vt:variant>
        <vt:i4>44</vt:i4>
      </vt:variant>
      <vt:variant>
        <vt:i4>0</vt:i4>
      </vt:variant>
      <vt:variant>
        <vt:i4>5</vt:i4>
      </vt:variant>
      <vt:variant>
        <vt:lpwstr/>
      </vt:variant>
      <vt:variant>
        <vt:lpwstr>_Toc309313621</vt:lpwstr>
      </vt:variant>
      <vt:variant>
        <vt:i4>1376317</vt:i4>
      </vt:variant>
      <vt:variant>
        <vt:i4>38</vt:i4>
      </vt:variant>
      <vt:variant>
        <vt:i4>0</vt:i4>
      </vt:variant>
      <vt:variant>
        <vt:i4>5</vt:i4>
      </vt:variant>
      <vt:variant>
        <vt:lpwstr/>
      </vt:variant>
      <vt:variant>
        <vt:lpwstr>_Toc309313620</vt:lpwstr>
      </vt:variant>
      <vt:variant>
        <vt:i4>1441853</vt:i4>
      </vt:variant>
      <vt:variant>
        <vt:i4>32</vt:i4>
      </vt:variant>
      <vt:variant>
        <vt:i4>0</vt:i4>
      </vt:variant>
      <vt:variant>
        <vt:i4>5</vt:i4>
      </vt:variant>
      <vt:variant>
        <vt:lpwstr/>
      </vt:variant>
      <vt:variant>
        <vt:lpwstr>_Toc309313619</vt:lpwstr>
      </vt:variant>
      <vt:variant>
        <vt:i4>1441853</vt:i4>
      </vt:variant>
      <vt:variant>
        <vt:i4>26</vt:i4>
      </vt:variant>
      <vt:variant>
        <vt:i4>0</vt:i4>
      </vt:variant>
      <vt:variant>
        <vt:i4>5</vt:i4>
      </vt:variant>
      <vt:variant>
        <vt:lpwstr/>
      </vt:variant>
      <vt:variant>
        <vt:lpwstr>_Toc309313618</vt:lpwstr>
      </vt:variant>
      <vt:variant>
        <vt:i4>1441853</vt:i4>
      </vt:variant>
      <vt:variant>
        <vt:i4>20</vt:i4>
      </vt:variant>
      <vt:variant>
        <vt:i4>0</vt:i4>
      </vt:variant>
      <vt:variant>
        <vt:i4>5</vt:i4>
      </vt:variant>
      <vt:variant>
        <vt:lpwstr/>
      </vt:variant>
      <vt:variant>
        <vt:lpwstr>_Toc309313618</vt:lpwstr>
      </vt:variant>
      <vt:variant>
        <vt:i4>1441853</vt:i4>
      </vt:variant>
      <vt:variant>
        <vt:i4>14</vt:i4>
      </vt:variant>
      <vt:variant>
        <vt:i4>0</vt:i4>
      </vt:variant>
      <vt:variant>
        <vt:i4>5</vt:i4>
      </vt:variant>
      <vt:variant>
        <vt:lpwstr/>
      </vt:variant>
      <vt:variant>
        <vt:lpwstr>_Toc309313617</vt:lpwstr>
      </vt:variant>
      <vt:variant>
        <vt:i4>1441853</vt:i4>
      </vt:variant>
      <vt:variant>
        <vt:i4>8</vt:i4>
      </vt:variant>
      <vt:variant>
        <vt:i4>0</vt:i4>
      </vt:variant>
      <vt:variant>
        <vt:i4>5</vt:i4>
      </vt:variant>
      <vt:variant>
        <vt:lpwstr/>
      </vt:variant>
      <vt:variant>
        <vt:lpwstr>_Toc309313616</vt:lpwstr>
      </vt:variant>
      <vt:variant>
        <vt:i4>1441853</vt:i4>
      </vt:variant>
      <vt:variant>
        <vt:i4>2</vt:i4>
      </vt:variant>
      <vt:variant>
        <vt:i4>0</vt:i4>
      </vt:variant>
      <vt:variant>
        <vt:i4>5</vt:i4>
      </vt:variant>
      <vt:variant>
        <vt:lpwstr/>
      </vt:variant>
      <vt:variant>
        <vt:lpwstr>_Toc309313615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 Homelessness - Report on Government Services 2017</dc:title>
  <dc:subject/>
  <dc:creator>Steering Committee for the Review of Government Service Provision</dc:creator>
  <dc:description/>
  <cp:lastModifiedBy>Frech, Tanya</cp:lastModifiedBy>
  <cp:revision>56</cp:revision>
  <cp:lastPrinted>2016-12-19T05:27:00Z</cp:lastPrinted>
  <dcterms:created xsi:type="dcterms:W3CDTF">2016-11-28T00:02:00Z</dcterms:created>
  <dcterms:modified xsi:type="dcterms:W3CDTF">2017-01-05T23:38:00Z</dcterms:modified>
</cp:coreProperties>
</file>