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04B31" w:rsidP="00D04B31">
      <w:pPr>
        <w:pStyle w:val="Heading1"/>
      </w:pPr>
      <w:bookmarkStart w:id="0" w:name="ChapterNumber"/>
      <w:bookmarkStart w:id="1" w:name="_Toc396142931"/>
      <w:bookmarkStart w:id="2" w:name="_Toc396143029"/>
      <w:bookmarkStart w:id="3" w:name="_Toc435724829"/>
      <w:bookmarkStart w:id="4" w:name="_Toc459884654"/>
      <w:r>
        <w:t>18</w:t>
      </w:r>
      <w:bookmarkEnd w:id="0"/>
      <w:r>
        <w:tab/>
      </w:r>
      <w:bookmarkStart w:id="5" w:name="ChapterTitle"/>
      <w:r>
        <w:t>Housin</w:t>
      </w:r>
      <w:bookmarkEnd w:id="5"/>
      <w:r w:rsidR="00E61FAC">
        <w:t>g</w:t>
      </w:r>
      <w:bookmarkStart w:id="6" w:name="_GoBack"/>
      <w:bookmarkEnd w:id="1"/>
      <w:bookmarkEnd w:id="2"/>
      <w:bookmarkEnd w:id="3"/>
      <w:bookmarkEnd w:id="4"/>
      <w:bookmarkEnd w:id="6"/>
    </w:p>
    <w:p w:rsidR="00635A69" w:rsidRPr="00635A69" w:rsidRDefault="00635A69" w:rsidP="00635A69">
      <w:pPr>
        <w:pStyle w:val="BodyText"/>
      </w:pPr>
    </w:p>
    <w:sdt>
      <w:sdtPr>
        <w:rPr>
          <w:rFonts w:ascii="Times New Roman" w:hAnsi="Times New Roman"/>
          <w:b w:val="0"/>
          <w:kern w:val="28"/>
          <w:sz w:val="52"/>
          <w:szCs w:val="20"/>
          <w:lang w:eastAsia="en-AU"/>
        </w:rPr>
        <w:id w:val="71549268"/>
        <w:docPartObj>
          <w:docPartGallery w:val="Table of Contents"/>
          <w:docPartUnique/>
        </w:docPartObj>
      </w:sdtPr>
      <w:sdtEndPr>
        <w:rPr>
          <w:rFonts w:ascii="Arial" w:hAnsi="Arial"/>
          <w:kern w:val="0"/>
          <w:sz w:val="26"/>
          <w:szCs w:val="26"/>
          <w:lang w:eastAsia="en-US"/>
        </w:rPr>
      </w:sdtEndPr>
      <w:sdtContent>
        <w:p w:rsidR="003022A0" w:rsidRDefault="003022A0">
          <w:pPr>
            <w:pStyle w:val="TOC1"/>
            <w:rPr>
              <w:rFonts w:asciiTheme="minorHAnsi" w:eastAsiaTheme="minorEastAsia" w:hAnsiTheme="minorHAnsi" w:cstheme="minorBidi"/>
              <w:b w:val="0"/>
              <w:noProof/>
              <w:sz w:val="22"/>
              <w:szCs w:val="22"/>
              <w:lang w:eastAsia="en-AU"/>
            </w:rPr>
          </w:pPr>
          <w:r w:rsidRPr="00635A69">
            <w:rPr>
              <w:b w:val="0"/>
              <w:noProof/>
            </w:rPr>
            <w:t>CONTENTS</w:t>
          </w:r>
        </w:p>
        <w:p w:rsidR="003022A0" w:rsidRDefault="003022A0">
          <w:pPr>
            <w:pStyle w:val="TOC2"/>
            <w:tabs>
              <w:tab w:val="left" w:pos="132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Profile of social housing assistance</w:t>
          </w:r>
          <w:r>
            <w:rPr>
              <w:noProof/>
            </w:rPr>
            <w:tab/>
          </w:r>
          <w:r w:rsidR="003571EA">
            <w:rPr>
              <w:noProof/>
            </w:rPr>
            <w:t>18.</w:t>
          </w:r>
          <w:r w:rsidR="00892185">
            <w:rPr>
              <w:noProof/>
            </w:rPr>
            <w:t>2</w:t>
          </w:r>
        </w:p>
        <w:p w:rsidR="003022A0" w:rsidRDefault="003022A0">
          <w:pPr>
            <w:pStyle w:val="TOC2"/>
            <w:tabs>
              <w:tab w:val="left" w:pos="1320"/>
            </w:tabs>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3571EA">
            <w:rPr>
              <w:noProof/>
            </w:rPr>
            <w:t>18.</w:t>
          </w:r>
          <w:r w:rsidR="00892185">
            <w:rPr>
              <w:noProof/>
            </w:rPr>
            <w:t>7</w:t>
          </w:r>
        </w:p>
        <w:p w:rsidR="003022A0" w:rsidRDefault="003022A0">
          <w:pPr>
            <w:pStyle w:val="TOC2"/>
            <w:tabs>
              <w:tab w:val="left" w:pos="132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3571EA">
            <w:rPr>
              <w:noProof/>
            </w:rPr>
            <w:t>18.</w:t>
          </w:r>
          <w:r w:rsidR="00892185">
            <w:rPr>
              <w:noProof/>
            </w:rPr>
            <w:t>8</w:t>
          </w:r>
        </w:p>
        <w:p w:rsidR="003022A0" w:rsidRDefault="003022A0">
          <w:pPr>
            <w:pStyle w:val="TOC2"/>
            <w:tabs>
              <w:tab w:val="left" w:pos="132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Definitions of key terms</w:t>
          </w:r>
          <w:r>
            <w:rPr>
              <w:noProof/>
            </w:rPr>
            <w:tab/>
          </w:r>
          <w:r w:rsidR="003571EA">
            <w:rPr>
              <w:noProof/>
            </w:rPr>
            <w:t>18.</w:t>
          </w:r>
          <w:r w:rsidR="00892185">
            <w:rPr>
              <w:noProof/>
            </w:rPr>
            <w:t>29</w:t>
          </w:r>
        </w:p>
        <w:p w:rsidR="00635A69" w:rsidRDefault="003022A0" w:rsidP="00DA6812">
          <w:pPr>
            <w:pStyle w:val="TOC2"/>
            <w:tabs>
              <w:tab w:val="left" w:pos="1320"/>
            </w:tabs>
          </w:pPr>
          <w:r>
            <w:rPr>
              <w:noProof/>
            </w:rPr>
            <w:t>18.5</w:t>
          </w:r>
          <w:r>
            <w:rPr>
              <w:rFonts w:asciiTheme="minorHAnsi" w:eastAsiaTheme="minorEastAsia" w:hAnsiTheme="minorHAnsi" w:cstheme="minorBidi"/>
              <w:noProof/>
              <w:sz w:val="22"/>
              <w:szCs w:val="22"/>
              <w:lang w:eastAsia="en-AU"/>
            </w:rPr>
            <w:tab/>
          </w:r>
          <w:r>
            <w:rPr>
              <w:noProof/>
            </w:rPr>
            <w:t>References</w:t>
          </w:r>
          <w:r>
            <w:rPr>
              <w:noProof/>
            </w:rPr>
            <w:tab/>
          </w:r>
          <w:r w:rsidR="003571EA">
            <w:rPr>
              <w:noProof/>
            </w:rPr>
            <w:t>18.</w:t>
          </w:r>
          <w:r w:rsidR="00892185">
            <w:rPr>
              <w:noProof/>
            </w:rPr>
            <w:t>32</w:t>
          </w:r>
        </w:p>
      </w:sdtContent>
    </w:sdt>
    <w:p w:rsidR="00524516" w:rsidRDefault="005245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4516" w:rsidTr="004237A3">
        <w:tc>
          <w:tcPr>
            <w:tcW w:w="8771" w:type="dxa"/>
            <w:tcBorders>
              <w:top w:val="single" w:sz="6" w:space="0" w:color="78A22F"/>
              <w:left w:val="nil"/>
              <w:bottom w:val="nil"/>
              <w:right w:val="nil"/>
            </w:tcBorders>
            <w:shd w:val="clear" w:color="auto" w:fill="F2F2F2" w:themeFill="background1" w:themeFillShade="F2"/>
          </w:tcPr>
          <w:p w:rsidR="00524516" w:rsidRDefault="00524516" w:rsidP="00524516">
            <w:pPr>
              <w:pStyle w:val="BoxTitle"/>
            </w:pPr>
            <w:r>
              <w:t>Attachment tables</w:t>
            </w:r>
          </w:p>
        </w:tc>
      </w:tr>
      <w:tr w:rsidR="00524516" w:rsidTr="004237A3">
        <w:trPr>
          <w:cantSplit/>
        </w:trPr>
        <w:tc>
          <w:tcPr>
            <w:tcW w:w="8771" w:type="dxa"/>
            <w:tcBorders>
              <w:top w:val="nil"/>
              <w:left w:val="nil"/>
              <w:bottom w:val="nil"/>
              <w:right w:val="nil"/>
            </w:tcBorders>
            <w:shd w:val="clear" w:color="auto" w:fill="F2F2F2" w:themeFill="background1" w:themeFillShade="F2"/>
          </w:tcPr>
          <w:p w:rsidR="00524516" w:rsidRDefault="00524516" w:rsidP="007559BA">
            <w:pPr>
              <w:pStyle w:val="Box"/>
            </w:pPr>
            <w:r w:rsidRPr="00524516">
              <w:t xml:space="preserve">Attachment tables are identified in references </w:t>
            </w:r>
            <w:r w:rsidR="00BB5630">
              <w:t>throughout this chapter by a ‘</w:t>
            </w:r>
            <w:proofErr w:type="spellStart"/>
            <w:r w:rsidR="00BB5630">
              <w:t>18</w:t>
            </w:r>
            <w:r w:rsidRPr="00524516">
              <w:t>A</w:t>
            </w:r>
            <w:proofErr w:type="spellEnd"/>
            <w:r w:rsidRPr="00524516">
              <w:t>’ prefix (for example, table </w:t>
            </w:r>
            <w:proofErr w:type="spellStart"/>
            <w:r w:rsidR="00F91EE9">
              <w:rPr>
                <w:color w:val="000000" w:themeColor="text1"/>
              </w:rPr>
              <w:t>18A</w:t>
            </w:r>
            <w:r w:rsidR="004B2834">
              <w:t>.</w:t>
            </w:r>
            <w:r w:rsidRPr="00524516">
              <w:t>1</w:t>
            </w:r>
            <w:proofErr w:type="spellEnd"/>
            <w:r w:rsidRPr="00524516">
              <w:t>)</w:t>
            </w:r>
            <w:r w:rsidR="007559BA">
              <w:t xml:space="preserve"> and</w:t>
            </w:r>
            <w:r w:rsidR="005101E8">
              <w:t xml:space="preserve"> are available </w:t>
            </w:r>
            <w:r w:rsidR="000A5406">
              <w:t xml:space="preserve">from the website </w:t>
            </w:r>
            <w:r w:rsidR="00FE3FD5">
              <w:t xml:space="preserve">at </w:t>
            </w:r>
            <w:proofErr w:type="spellStart"/>
            <w:r w:rsidR="00FE3FD5">
              <w:t>www.pc.gov.au</w:t>
            </w:r>
            <w:proofErr w:type="spellEnd"/>
            <w:r w:rsidR="00FE3FD5">
              <w:t>/</w:t>
            </w:r>
            <w:proofErr w:type="spellStart"/>
            <w:r w:rsidR="00FE3FD5">
              <w:t>rogs</w:t>
            </w:r>
            <w:proofErr w:type="spellEnd"/>
            <w:r w:rsidR="00FE3FD5">
              <w:t>/201</w:t>
            </w:r>
            <w:r w:rsidR="00BB5630">
              <w:t>7</w:t>
            </w:r>
            <w:r w:rsidR="00FE3FD5">
              <w:t>.</w:t>
            </w:r>
          </w:p>
        </w:tc>
      </w:tr>
      <w:tr w:rsidR="00524516" w:rsidTr="004237A3">
        <w:trPr>
          <w:cantSplit/>
        </w:trPr>
        <w:tc>
          <w:tcPr>
            <w:tcW w:w="8771" w:type="dxa"/>
            <w:tcBorders>
              <w:top w:val="nil"/>
              <w:left w:val="nil"/>
              <w:bottom w:val="single" w:sz="6" w:space="0" w:color="78A22F"/>
              <w:right w:val="nil"/>
            </w:tcBorders>
            <w:shd w:val="clear" w:color="auto" w:fill="F2F2F2" w:themeFill="background1" w:themeFillShade="F2"/>
          </w:tcPr>
          <w:p w:rsidR="00524516" w:rsidRDefault="00524516">
            <w:pPr>
              <w:pStyle w:val="Box"/>
              <w:spacing w:before="0" w:line="120" w:lineRule="exact"/>
            </w:pPr>
          </w:p>
        </w:tc>
      </w:tr>
      <w:tr w:rsidR="00524516" w:rsidRPr="000863A5" w:rsidTr="004237A3">
        <w:tc>
          <w:tcPr>
            <w:tcW w:w="8771" w:type="dxa"/>
            <w:tcBorders>
              <w:top w:val="single" w:sz="6" w:space="0" w:color="78A22F"/>
              <w:left w:val="nil"/>
              <w:bottom w:val="nil"/>
              <w:right w:val="nil"/>
            </w:tcBorders>
          </w:tcPr>
          <w:p w:rsidR="00524516" w:rsidRPr="00626D32" w:rsidRDefault="00524516" w:rsidP="004237A3">
            <w:pPr>
              <w:pStyle w:val="BoxSpaceBelow"/>
            </w:pPr>
          </w:p>
        </w:tc>
      </w:tr>
    </w:tbl>
    <w:p w:rsidR="00FE3FD5" w:rsidRDefault="009F2584" w:rsidP="00FE3FD5">
      <w:pPr>
        <w:pStyle w:val="BodyText"/>
      </w:pPr>
      <w:r>
        <w:t>This chapter presents data on</w:t>
      </w:r>
      <w:r w:rsidR="001B00D0" w:rsidRPr="00FD6DB5">
        <w:t xml:space="preserve"> the </w:t>
      </w:r>
      <w:r w:rsidR="001B00D0" w:rsidRPr="00FE3FD5">
        <w:t>performance</w:t>
      </w:r>
      <w:r w:rsidR="001B00D0" w:rsidRPr="00FD6DB5">
        <w:t xml:space="preserve"> of governments in providing social housing</w:t>
      </w:r>
      <w:r w:rsidR="00C92566">
        <w:t xml:space="preserve"> </w:t>
      </w:r>
      <w:r w:rsidR="00615DF5">
        <w:t>services</w:t>
      </w:r>
      <w:r w:rsidR="004C7713">
        <w:t>.</w:t>
      </w:r>
      <w:r w:rsidR="00615DF5">
        <w:t xml:space="preserve"> </w:t>
      </w:r>
      <w:r w:rsidR="00615DF5" w:rsidRPr="00615DF5">
        <w:t xml:space="preserve">Social housing is rental housing </w:t>
      </w:r>
      <w:r w:rsidR="00615DF5">
        <w:t>provided by not for profit, non</w:t>
      </w:r>
      <w:r w:rsidR="00615DF5">
        <w:noBreakHyphen/>
      </w:r>
      <w:r w:rsidR="00615DF5" w:rsidRPr="00615DF5">
        <w:t xml:space="preserve">government or government organisations to assist people who are unable to access suitable accommodation in the private rental market. </w:t>
      </w:r>
      <w:r w:rsidR="00FE3FD5" w:rsidRPr="000958E6">
        <w:t>Social housing is provided with funding through the National Affordable Housing Special Purpose Payment</w:t>
      </w:r>
      <w:r w:rsidR="00C05439">
        <w:t xml:space="preserve"> (NAH </w:t>
      </w:r>
      <w:proofErr w:type="spellStart"/>
      <w:r w:rsidR="00FE3FD5">
        <w:t>SPP</w:t>
      </w:r>
      <w:proofErr w:type="spellEnd"/>
      <w:r w:rsidR="00FE3FD5">
        <w:t>)</w:t>
      </w:r>
      <w:r w:rsidR="00FE3FD5" w:rsidRPr="000958E6">
        <w:t xml:space="preserve"> associated with the National Affordable Housing Agreement (NAHA).</w:t>
      </w:r>
      <w:r w:rsidR="00FE3FD5">
        <w:t xml:space="preserve"> The NAHA and the broader Australian housing and homelessness policy context are outlined in the Housing an</w:t>
      </w:r>
      <w:r w:rsidR="006E4075">
        <w:t xml:space="preserve">d </w:t>
      </w:r>
      <w:r w:rsidR="00A0161E">
        <w:t xml:space="preserve">homelessness services </w:t>
      </w:r>
      <w:r w:rsidR="006E4075">
        <w:t>sector overview</w:t>
      </w:r>
      <w:r w:rsidR="00E57579">
        <w:t xml:space="preserve"> (sector overview </w:t>
      </w:r>
      <w:r w:rsidR="00A0161E">
        <w:t>G)</w:t>
      </w:r>
      <w:r w:rsidR="006E4075">
        <w:t>.</w:t>
      </w:r>
    </w:p>
    <w:p w:rsidR="00E178D6" w:rsidRPr="0032135C" w:rsidRDefault="007E05F0" w:rsidP="00DF1A19">
      <w:pPr>
        <w:pStyle w:val="BodyText"/>
      </w:pPr>
      <w:r>
        <w:t xml:space="preserve">This chapter </w:t>
      </w:r>
      <w:r w:rsidR="00615DF5">
        <w:t>does not consider</w:t>
      </w:r>
      <w:r w:rsidR="00DF1A19">
        <w:t xml:space="preserve"> </w:t>
      </w:r>
      <w:r w:rsidR="00E178D6">
        <w:t>housing programs not provided under the NAHA</w:t>
      </w:r>
      <w:r w:rsidR="00DF1A19">
        <w:t xml:space="preserve"> (</w:t>
      </w:r>
      <w:r w:rsidR="00615DF5">
        <w:t xml:space="preserve">for example, </w:t>
      </w:r>
      <w:r w:rsidR="00E178D6">
        <w:t>those provided by the Department of Veterans’ Affairs (</w:t>
      </w:r>
      <w:proofErr w:type="spellStart"/>
      <w:r w:rsidR="00E178D6">
        <w:t>DVA</w:t>
      </w:r>
      <w:proofErr w:type="spellEnd"/>
      <w:r w:rsidR="00E178D6">
        <w:t>)</w:t>
      </w:r>
      <w:r w:rsidR="00DF1A19">
        <w:t>) or rental or home purchase assistance (the latter is discussed in sector overview G).</w:t>
      </w:r>
    </w:p>
    <w:p w:rsidR="00C92566" w:rsidRDefault="00C92566" w:rsidP="00C92566">
      <w:pPr>
        <w:pStyle w:val="BodyText"/>
      </w:pPr>
      <w:r w:rsidRPr="00AF3668">
        <w:t>All abbreviations used in the Report are available in a complete list in volume A: Approach to performance reporting.</w:t>
      </w:r>
    </w:p>
    <w:p w:rsidR="008C1B8A" w:rsidRDefault="00040F38" w:rsidP="008C1B8A">
      <w:pPr>
        <w:pStyle w:val="Heading2"/>
      </w:pPr>
      <w:bookmarkStart w:id="7" w:name="_Toc314211347"/>
      <w:bookmarkStart w:id="8" w:name="_Toc396143030"/>
      <w:bookmarkStart w:id="9" w:name="_Toc459884655"/>
      <w:r>
        <w:lastRenderedPageBreak/>
        <w:t>18.</w:t>
      </w:r>
      <w:r w:rsidR="00892185">
        <w:rPr>
          <w:noProof/>
        </w:rPr>
        <w:t>1</w:t>
      </w:r>
      <w:r>
        <w:tab/>
      </w:r>
      <w:r w:rsidR="008C1B8A">
        <w:t xml:space="preserve">Profile of </w:t>
      </w:r>
      <w:r w:rsidR="00CA54BD">
        <w:t xml:space="preserve">social </w:t>
      </w:r>
      <w:r w:rsidR="008C1B8A">
        <w:t>housing assistance</w:t>
      </w:r>
      <w:bookmarkEnd w:id="7"/>
      <w:bookmarkEnd w:id="8"/>
      <w:bookmarkEnd w:id="9"/>
    </w:p>
    <w:p w:rsidR="005760CA" w:rsidRDefault="008C1B8A" w:rsidP="008C1B8A">
      <w:pPr>
        <w:pStyle w:val="Heading3"/>
      </w:pPr>
      <w:r>
        <w:t>Service overview</w:t>
      </w:r>
    </w:p>
    <w:p w:rsidR="00377E9F" w:rsidRDefault="00A62C2E" w:rsidP="00A62C2E">
      <w:pPr>
        <w:pStyle w:val="BodyText"/>
      </w:pPr>
      <w:r>
        <w:t xml:space="preserve">Four </w:t>
      </w:r>
      <w:r w:rsidR="0017117E">
        <w:t xml:space="preserve">forms of social housing </w:t>
      </w:r>
      <w:r>
        <w:t xml:space="preserve">are reported </w:t>
      </w:r>
      <w:r w:rsidR="0017117E">
        <w:t xml:space="preserve">in this </w:t>
      </w:r>
      <w:r>
        <w:t>chapter (</w:t>
      </w:r>
      <w:r w:rsidR="00C92566">
        <w:t>box</w:t>
      </w:r>
      <w:r w:rsidR="007D1214">
        <w:t> </w:t>
      </w:r>
      <w:r w:rsidR="00C92566">
        <w:t>1</w:t>
      </w:r>
      <w:r w:rsidR="00ED6D34">
        <w:t>8</w:t>
      </w:r>
      <w:r w:rsidR="00C92566">
        <w:t>.1</w:t>
      </w:r>
      <w:r>
        <w:t>)</w:t>
      </w:r>
      <w:r w:rsidR="0017117E">
        <w:t>.</w:t>
      </w:r>
    </w:p>
    <w:p w:rsidR="004D0537" w:rsidRDefault="004D05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537" w:rsidTr="0037665F">
        <w:tc>
          <w:tcPr>
            <w:tcW w:w="8771" w:type="dxa"/>
            <w:tcBorders>
              <w:top w:val="single" w:sz="6" w:space="0" w:color="78A22F"/>
              <w:left w:val="nil"/>
              <w:bottom w:val="nil"/>
              <w:right w:val="nil"/>
            </w:tcBorders>
            <w:shd w:val="clear" w:color="auto" w:fill="F2F2F2"/>
          </w:tcPr>
          <w:p w:rsidR="004D0537" w:rsidRDefault="004D0537" w:rsidP="00BB5630">
            <w:pPr>
              <w:pStyle w:val="BoxTitle"/>
            </w:pPr>
            <w:r>
              <w:rPr>
                <w:b w:val="0"/>
              </w:rPr>
              <w:t>Box</w:t>
            </w:r>
            <w:r w:rsidR="00F412E4">
              <w:rPr>
                <w:b w:val="0"/>
              </w:rPr>
              <w:t xml:space="preserve"> </w:t>
            </w:r>
            <w:r w:rsidR="00040F38">
              <w:rPr>
                <w:b w:val="0"/>
              </w:rPr>
              <w:t>18.</w:t>
            </w:r>
            <w:r w:rsidR="00892185">
              <w:rPr>
                <w:b w:val="0"/>
                <w:noProof/>
              </w:rPr>
              <w:t>1</w:t>
            </w:r>
            <w:r>
              <w:tab/>
            </w:r>
            <w:r w:rsidRPr="00E43D24">
              <w:t>Forms of social housing</w:t>
            </w:r>
          </w:p>
        </w:tc>
      </w:tr>
      <w:tr w:rsidR="004D0537" w:rsidTr="0037665F">
        <w:trPr>
          <w:cantSplit/>
        </w:trPr>
        <w:tc>
          <w:tcPr>
            <w:tcW w:w="8771" w:type="dxa"/>
            <w:tcBorders>
              <w:top w:val="nil"/>
              <w:left w:val="nil"/>
              <w:bottom w:val="nil"/>
              <w:right w:val="nil"/>
            </w:tcBorders>
            <w:shd w:val="clear" w:color="auto" w:fill="F2F2F2"/>
          </w:tcPr>
          <w:p w:rsidR="004D0537" w:rsidRPr="00E43D24" w:rsidRDefault="004D0537" w:rsidP="004D0537">
            <w:pPr>
              <w:pStyle w:val="Box"/>
              <w:numPr>
                <w:ilvl w:val="0"/>
                <w:numId w:val="1"/>
              </w:numPr>
            </w:pPr>
            <w:r w:rsidRPr="00E43D24">
              <w:rPr>
                <w:i/>
              </w:rPr>
              <w:t>Public housing</w:t>
            </w:r>
            <w:r w:rsidRPr="00E43D24">
              <w:t>: dwellings owned (or leased) and managed by State and Territory housing authorities</w:t>
            </w:r>
            <w:r>
              <w:t>. It is generally accessed by people on low incomes and/or those with special needs, and aims to provide a choice of housing location, physical type and management arrangements.</w:t>
            </w:r>
          </w:p>
          <w:p w:rsidR="004D0537" w:rsidRDefault="004D0537" w:rsidP="004D0537">
            <w:pPr>
              <w:pStyle w:val="Box"/>
              <w:numPr>
                <w:ilvl w:val="0"/>
                <w:numId w:val="1"/>
              </w:numPr>
            </w:pPr>
            <w:r w:rsidRPr="00A0483A">
              <w:rPr>
                <w:i/>
              </w:rPr>
              <w:t>State owned and managed Indigenous housing (</w:t>
            </w:r>
            <w:proofErr w:type="spellStart"/>
            <w:r w:rsidRPr="00A0483A">
              <w:rPr>
                <w:i/>
              </w:rPr>
              <w:t>SOMIH</w:t>
            </w:r>
            <w:proofErr w:type="spellEnd"/>
            <w:r w:rsidRPr="00A0483A">
              <w:rPr>
                <w:i/>
              </w:rPr>
              <w:t>)</w:t>
            </w:r>
            <w:r w:rsidRPr="00E43D24">
              <w:t>: dwellings owned and managed by State housing authorities that are allocated only to Aboriginal and To</w:t>
            </w:r>
            <w:r>
              <w:t>rres Strait Islander tenants</w:t>
            </w:r>
            <w:r w:rsidR="0071670A">
              <w:t>,</w:t>
            </w:r>
            <w:r>
              <w:t xml:space="preserve"> includ</w:t>
            </w:r>
            <w:r w:rsidR="00DF1A19">
              <w:t>ing</w:t>
            </w:r>
            <w:r>
              <w:t xml:space="preserve"> dwellings managed by government Indigenous housing agencies.</w:t>
            </w:r>
          </w:p>
          <w:p w:rsidR="004D0537" w:rsidRPr="0071670A" w:rsidRDefault="004D0537" w:rsidP="0071670A">
            <w:pPr>
              <w:pStyle w:val="BoxListBullet"/>
              <w:rPr>
                <w:b/>
                <w:i/>
              </w:rPr>
            </w:pPr>
            <w:r w:rsidRPr="0071670A">
              <w:rPr>
                <w:i/>
              </w:rPr>
              <w:t>Community</w:t>
            </w:r>
            <w:r w:rsidRPr="00A0483A">
              <w:rPr>
                <w:i/>
              </w:rPr>
              <w:t xml:space="preserve"> </w:t>
            </w:r>
            <w:r w:rsidRPr="0071670A">
              <w:rPr>
                <w:i/>
              </w:rPr>
              <w:t>housing</w:t>
            </w:r>
            <w:r w:rsidR="0071670A">
              <w:t xml:space="preserve">: </w:t>
            </w:r>
            <w:r w:rsidRPr="0071670A">
              <w:t>rental housing provided to low–to–moderate income and/or special needs households, managed by community</w:t>
            </w:r>
            <w:r w:rsidR="007D1214" w:rsidRPr="0071670A">
              <w:noBreakHyphen/>
            </w:r>
            <w:r w:rsidRPr="0071670A">
              <w:t>based organisations that lease properties from government or have received a capital or recurrent subsidy from government. Community housing organisations typically receive some form of government assistance, such as direct funding or the provision of land and property, but a number of community housing organisations are entirely self</w:t>
            </w:r>
            <w:r w:rsidR="007D1214" w:rsidRPr="0071670A">
              <w:noBreakHyphen/>
            </w:r>
            <w:r w:rsidRPr="0071670A">
              <w:t>funded.</w:t>
            </w:r>
            <w:r w:rsidR="00E06820" w:rsidRPr="0071670A">
              <w:t xml:space="preserve"> Box</w:t>
            </w:r>
            <w:r w:rsidR="00B93213">
              <w:t> </w:t>
            </w:r>
            <w:r w:rsidR="00E06820" w:rsidRPr="0071670A">
              <w:t>18.2 contains further information on different models of community housing</w:t>
            </w:r>
            <w:r w:rsidR="00E06820" w:rsidRPr="0071670A">
              <w:rPr>
                <w:i/>
              </w:rPr>
              <w:t>.</w:t>
            </w:r>
          </w:p>
          <w:p w:rsidR="004D0537" w:rsidRDefault="004D0537" w:rsidP="004D0537">
            <w:pPr>
              <w:pStyle w:val="BoxListBullet"/>
            </w:pPr>
            <w:r w:rsidRPr="00207355">
              <w:rPr>
                <w:i/>
              </w:rPr>
              <w:t>Indigenous community housing (</w:t>
            </w:r>
            <w:proofErr w:type="spellStart"/>
            <w:r w:rsidRPr="00207355">
              <w:rPr>
                <w:i/>
              </w:rPr>
              <w:t>ICH</w:t>
            </w:r>
            <w:proofErr w:type="spellEnd"/>
            <w:r w:rsidRPr="00207355">
              <w:rPr>
                <w:i/>
              </w:rPr>
              <w:t xml:space="preserve">): </w:t>
            </w:r>
            <w:r w:rsidRPr="00207355">
              <w:t xml:space="preserve">dwellings owned or leased and managed by </w:t>
            </w:r>
            <w:proofErr w:type="spellStart"/>
            <w:r w:rsidRPr="00207355">
              <w:t>ICH</w:t>
            </w:r>
            <w:proofErr w:type="spellEnd"/>
            <w:r w:rsidRPr="00207355">
              <w:t xml:space="preserve"> organisations and community councils</w:t>
            </w:r>
            <w:r>
              <w:t xml:space="preserve">. </w:t>
            </w:r>
            <w:proofErr w:type="spellStart"/>
            <w:r>
              <w:t>ICH</w:t>
            </w:r>
            <w:proofErr w:type="spellEnd"/>
            <w:r>
              <w:t xml:space="preserve"> models </w:t>
            </w:r>
            <w:r w:rsidRPr="00207355">
              <w:t xml:space="preserve">vary across jurisdictions and can also include dwellings funded or registered by government. </w:t>
            </w:r>
            <w:proofErr w:type="spellStart"/>
            <w:r w:rsidRPr="00207355">
              <w:t>ICH</w:t>
            </w:r>
            <w:proofErr w:type="spellEnd"/>
            <w:r w:rsidRPr="00207355">
              <w:t xml:space="preserve"> organisations include community organisations such as resource agencies and land councils</w:t>
            </w:r>
            <w:r>
              <w:t>.</w:t>
            </w:r>
          </w:p>
          <w:p w:rsidR="004D0537" w:rsidRDefault="004D0537" w:rsidP="007E05F0">
            <w:pPr>
              <w:pStyle w:val="Box"/>
            </w:pPr>
            <w:r w:rsidRPr="004F5372">
              <w:rPr>
                <w:i/>
              </w:rPr>
              <w:t>Crisis and transitional housing</w:t>
            </w:r>
            <w:r w:rsidRPr="00E43D24">
              <w:t xml:space="preserve"> is an</w:t>
            </w:r>
            <w:r w:rsidR="007E05F0">
              <w:t>other</w:t>
            </w:r>
            <w:r w:rsidRPr="00E43D24">
              <w:t xml:space="preserve"> form </w:t>
            </w:r>
            <w:r>
              <w:t xml:space="preserve">of social housing, but is </w:t>
            </w:r>
            <w:r w:rsidR="007E05F0">
              <w:t xml:space="preserve">not </w:t>
            </w:r>
            <w:r>
              <w:t xml:space="preserve">able to be separately identified in this </w:t>
            </w:r>
            <w:r w:rsidR="007E05F0">
              <w:t>R</w:t>
            </w:r>
            <w:r w:rsidRPr="00E43D24">
              <w:t xml:space="preserve">eport. </w:t>
            </w:r>
            <w:r w:rsidR="007E05F0">
              <w:t>Some c</w:t>
            </w:r>
            <w:r w:rsidRPr="00E43D24">
              <w:t xml:space="preserve">risis and transitional housing </w:t>
            </w:r>
            <w:r w:rsidR="007E05F0">
              <w:t>may</w:t>
            </w:r>
            <w:r w:rsidR="007E05F0" w:rsidRPr="00E43D24">
              <w:t xml:space="preserve"> </w:t>
            </w:r>
            <w:r w:rsidRPr="00E43D24">
              <w:t>be indirectly reported through the forms of social housing</w:t>
            </w:r>
            <w:r w:rsidR="007E05F0">
              <w:t xml:space="preserve"> that are reported</w:t>
            </w:r>
            <w:r w:rsidRPr="00E43D24">
              <w:t>.</w:t>
            </w:r>
          </w:p>
        </w:tc>
      </w:tr>
      <w:tr w:rsidR="004D0537" w:rsidTr="0037665F">
        <w:trPr>
          <w:cantSplit/>
        </w:trPr>
        <w:tc>
          <w:tcPr>
            <w:tcW w:w="8771" w:type="dxa"/>
            <w:tcBorders>
              <w:top w:val="nil"/>
              <w:left w:val="nil"/>
              <w:bottom w:val="single" w:sz="6" w:space="0" w:color="78A22F"/>
              <w:right w:val="nil"/>
            </w:tcBorders>
            <w:shd w:val="clear" w:color="auto" w:fill="F2F2F2"/>
          </w:tcPr>
          <w:p w:rsidR="004D0537" w:rsidRDefault="004D0537">
            <w:pPr>
              <w:pStyle w:val="Box"/>
              <w:spacing w:before="0" w:line="120" w:lineRule="exact"/>
            </w:pPr>
          </w:p>
        </w:tc>
      </w:tr>
      <w:tr w:rsidR="004D0537" w:rsidRPr="000863A5" w:rsidTr="0037665F">
        <w:tc>
          <w:tcPr>
            <w:tcW w:w="8771" w:type="dxa"/>
            <w:tcBorders>
              <w:top w:val="single" w:sz="6" w:space="0" w:color="78A22F"/>
              <w:left w:val="nil"/>
              <w:bottom w:val="nil"/>
              <w:right w:val="nil"/>
            </w:tcBorders>
          </w:tcPr>
          <w:p w:rsidR="004D0537" w:rsidRPr="00626D32" w:rsidRDefault="004D0537" w:rsidP="0037665F">
            <w:pPr>
              <w:pStyle w:val="BoxSpaceBelow"/>
            </w:pPr>
          </w:p>
        </w:tc>
      </w:tr>
    </w:tbl>
    <w:p w:rsidR="00514E83" w:rsidRDefault="00514E83" w:rsidP="00514E83">
      <w:pPr>
        <w:pStyle w:val="Heading3"/>
      </w:pPr>
      <w:r w:rsidRPr="00F32F6A">
        <w:t>Roles and responsibilities</w:t>
      </w:r>
    </w:p>
    <w:p w:rsidR="00352D73" w:rsidRPr="004372D7" w:rsidRDefault="007E05F0" w:rsidP="006F7A0C">
      <w:pPr>
        <w:pStyle w:val="BodyText"/>
      </w:pPr>
      <w:r>
        <w:t xml:space="preserve">State and Territory </w:t>
      </w:r>
      <w:r w:rsidR="008C18A0">
        <w:t>g</w:t>
      </w:r>
      <w:r>
        <w:t xml:space="preserve">overnments </w:t>
      </w:r>
      <w:r w:rsidRPr="000958E6">
        <w:t xml:space="preserve">have primary responsibility </w:t>
      </w:r>
      <w:r>
        <w:t>for delivering social housing services</w:t>
      </w:r>
      <w:r w:rsidR="00CA127A">
        <w:t>.</w:t>
      </w:r>
    </w:p>
    <w:p w:rsidR="007E677D" w:rsidRPr="00681A55" w:rsidRDefault="00D6759F" w:rsidP="00501A18">
      <w:pPr>
        <w:pStyle w:val="Heading3"/>
      </w:pPr>
      <w:r>
        <w:t>Funding</w:t>
      </w:r>
    </w:p>
    <w:p w:rsidR="009D17BE" w:rsidRPr="004372D7" w:rsidRDefault="00652AD7" w:rsidP="006F7A0C">
      <w:pPr>
        <w:pStyle w:val="BodyText"/>
      </w:pPr>
      <w:r w:rsidRPr="00C21B75">
        <w:t xml:space="preserve">State and Territory government net recurrent expenditure on social housing was </w:t>
      </w:r>
      <w:r w:rsidR="00084F54">
        <w:t>$3.</w:t>
      </w:r>
      <w:r w:rsidR="00826EF9">
        <w:t>9 </w:t>
      </w:r>
      <w:r w:rsidR="000D5006">
        <w:t>billion</w:t>
      </w:r>
      <w:r w:rsidRPr="00C21B75">
        <w:t xml:space="preserve"> in</w:t>
      </w:r>
      <w:r w:rsidR="00084F54">
        <w:t xml:space="preserve"> 2015</w:t>
      </w:r>
      <w:r w:rsidR="00B93213">
        <w:noBreakHyphen/>
      </w:r>
      <w:r w:rsidR="00084F54">
        <w:t>16</w:t>
      </w:r>
      <w:r w:rsidRPr="00C21B75">
        <w:t>,</w:t>
      </w:r>
      <w:r w:rsidR="00567D98">
        <w:t xml:space="preserve"> </w:t>
      </w:r>
      <w:r w:rsidR="00EE5C1A">
        <w:t>a decrease in real terms</w:t>
      </w:r>
      <w:r w:rsidR="0026454E">
        <w:t xml:space="preserve"> from</w:t>
      </w:r>
      <w:r w:rsidR="00567D98">
        <w:t xml:space="preserve"> $4.</w:t>
      </w:r>
      <w:r w:rsidR="008D219D">
        <w:t>1</w:t>
      </w:r>
      <w:r w:rsidR="00084F54">
        <w:t> billion</w:t>
      </w:r>
      <w:r w:rsidR="00084F54" w:rsidRPr="00C21B75">
        <w:t xml:space="preserve"> in</w:t>
      </w:r>
      <w:r w:rsidR="00084F54">
        <w:t xml:space="preserve"> 2014</w:t>
      </w:r>
      <w:r w:rsidR="00B93213">
        <w:noBreakHyphen/>
      </w:r>
      <w:r w:rsidR="00084F54" w:rsidRPr="00084F54">
        <w:t>15</w:t>
      </w:r>
      <w:r w:rsidR="00084F54">
        <w:t xml:space="preserve"> </w:t>
      </w:r>
      <w:r w:rsidRPr="00C21B75">
        <w:t>(</w:t>
      </w:r>
      <w:r w:rsidR="00084F54">
        <w:t>table </w:t>
      </w:r>
      <w:r w:rsidR="00B220CD">
        <w:t>18.</w:t>
      </w:r>
      <w:r w:rsidR="005A0D0E">
        <w:t>1</w:t>
      </w:r>
      <w:r w:rsidRPr="00C21B75">
        <w:t xml:space="preserve">). In </w:t>
      </w:r>
      <w:r w:rsidR="00567D98">
        <w:t>2015</w:t>
      </w:r>
      <w:r w:rsidR="00B93213">
        <w:noBreakHyphen/>
      </w:r>
      <w:r w:rsidR="00567D98">
        <w:t>16</w:t>
      </w:r>
      <w:r w:rsidRPr="00C21B75">
        <w:t>, this expenditure included</w:t>
      </w:r>
      <w:r w:rsidR="00567D98">
        <w:t xml:space="preserve"> $2.8</w:t>
      </w:r>
      <w:r w:rsidRPr="00C21B75">
        <w:t xml:space="preserve"> billion for public housing and </w:t>
      </w:r>
      <w:r w:rsidRPr="00567D98">
        <w:t>$</w:t>
      </w:r>
      <w:r w:rsidR="001240A7" w:rsidRPr="00567D98">
        <w:t>11</w:t>
      </w:r>
      <w:r w:rsidR="00567D98" w:rsidRPr="00567D98">
        <w:t>4</w:t>
      </w:r>
      <w:r w:rsidR="001240A7" w:rsidRPr="00567D98">
        <w:t>.</w:t>
      </w:r>
      <w:r w:rsidR="00567D98" w:rsidRPr="00567D98">
        <w:t>6</w:t>
      </w:r>
      <w:r w:rsidRPr="00DC3010">
        <w:t xml:space="preserve"> million for </w:t>
      </w:r>
      <w:proofErr w:type="spellStart"/>
      <w:r w:rsidRPr="00DC3010">
        <w:t>SOMIH</w:t>
      </w:r>
      <w:proofErr w:type="spellEnd"/>
      <w:r w:rsidRPr="00C21B75">
        <w:t xml:space="preserve"> (</w:t>
      </w:r>
      <w:r w:rsidR="00B220CD">
        <w:t>table</w:t>
      </w:r>
      <w:r w:rsidR="0026454E">
        <w:t>s </w:t>
      </w:r>
      <w:proofErr w:type="spellStart"/>
      <w:r w:rsidR="004B2834">
        <w:t>1</w:t>
      </w:r>
      <w:r w:rsidR="00F91EE9">
        <w:t>8</w:t>
      </w:r>
      <w:r w:rsidR="004B2834">
        <w:t>A.</w:t>
      </w:r>
      <w:r w:rsidR="0026454E">
        <w:t>1</w:t>
      </w:r>
      <w:proofErr w:type="spellEnd"/>
      <w:r w:rsidR="00BC60F5">
        <w:t>–</w:t>
      </w:r>
      <w:r w:rsidR="00167143">
        <w:t>2</w:t>
      </w:r>
      <w:r w:rsidRPr="00C21B75">
        <w:t>).</w:t>
      </w:r>
    </w:p>
    <w:p w:rsidR="00652AD7" w:rsidRPr="004372D7" w:rsidRDefault="00652AD7" w:rsidP="006F7A0C">
      <w:pPr>
        <w:pStyle w:val="BodyText"/>
      </w:pPr>
      <w:r w:rsidRPr="000958E6">
        <w:lastRenderedPageBreak/>
        <w:t xml:space="preserve">The Australian Government </w:t>
      </w:r>
      <w:r w:rsidRPr="00544558">
        <w:t>provided $</w:t>
      </w:r>
      <w:r w:rsidR="00B25F58" w:rsidRPr="00544558">
        <w:t>1.</w:t>
      </w:r>
      <w:r w:rsidR="00544558" w:rsidRPr="00544558">
        <w:t>8</w:t>
      </w:r>
      <w:r w:rsidR="00C615A4" w:rsidRPr="00544558">
        <w:t xml:space="preserve"> </w:t>
      </w:r>
      <w:r w:rsidRPr="00544558">
        <w:t>billion in 201</w:t>
      </w:r>
      <w:r w:rsidR="00544558" w:rsidRPr="00544558">
        <w:t>5</w:t>
      </w:r>
      <w:r w:rsidR="007D1214" w:rsidRPr="00544558">
        <w:noBreakHyphen/>
      </w:r>
      <w:r w:rsidRPr="00544558">
        <w:t>1</w:t>
      </w:r>
      <w:r w:rsidR="00544558" w:rsidRPr="00544558">
        <w:t>6</w:t>
      </w:r>
      <w:r w:rsidRPr="00544558">
        <w:t xml:space="preserve"> to</w:t>
      </w:r>
      <w:r w:rsidRPr="000958E6">
        <w:t xml:space="preserve"> State and Territory governments for housing assistance through the NAH </w:t>
      </w:r>
      <w:proofErr w:type="spellStart"/>
      <w:r w:rsidRPr="000958E6">
        <w:t>SPP</w:t>
      </w:r>
      <w:proofErr w:type="spellEnd"/>
      <w:r w:rsidRPr="000958E6">
        <w:t xml:space="preserve"> and related National Partnership agreements</w:t>
      </w:r>
      <w:r w:rsidR="00972046" w:rsidRPr="000958E6">
        <w:t xml:space="preserve"> (table </w:t>
      </w:r>
      <w:proofErr w:type="spellStart"/>
      <w:r w:rsidR="00972046" w:rsidRPr="000958E6">
        <w:t>GA.1</w:t>
      </w:r>
      <w:proofErr w:type="spellEnd"/>
      <w:r w:rsidR="00972046" w:rsidRPr="000958E6">
        <w:t xml:space="preserve">). </w:t>
      </w:r>
      <w:r w:rsidR="00EE5C1A">
        <w:t xml:space="preserve">As </w:t>
      </w:r>
      <w:r w:rsidRPr="000958E6">
        <w:t xml:space="preserve">NAH </w:t>
      </w:r>
      <w:proofErr w:type="spellStart"/>
      <w:r w:rsidRPr="000958E6">
        <w:t>SPP</w:t>
      </w:r>
      <w:proofErr w:type="spellEnd"/>
      <w:r w:rsidRPr="000958E6">
        <w:t xml:space="preserve"> funding is outcome based and not tied to specific programs, Australian Government funding is reflected in data for State and Territory government net recurrent expenditure.</w:t>
      </w:r>
    </w:p>
    <w:p w:rsidR="0013141B" w:rsidRDefault="0031506D" w:rsidP="0031506D">
      <w:pPr>
        <w:pStyle w:val="BodyText"/>
      </w:pPr>
      <w:r w:rsidRPr="0031506D">
        <w:t xml:space="preserve">State and Territory government capital expenditure for social housing was </w:t>
      </w:r>
      <w:r w:rsidR="00E8398D">
        <w:t>$1.</w:t>
      </w:r>
      <w:r w:rsidR="00BA68D2">
        <w:t>3 b</w:t>
      </w:r>
      <w:r w:rsidR="00E8398D">
        <w:t>illion</w:t>
      </w:r>
      <w:r w:rsidR="000D5006">
        <w:t xml:space="preserve"> </w:t>
      </w:r>
      <w:r w:rsidR="00E8398D">
        <w:t>in 2015</w:t>
      </w:r>
      <w:r w:rsidR="00B93213">
        <w:noBreakHyphen/>
      </w:r>
      <w:r w:rsidR="00E8398D">
        <w:t>16</w:t>
      </w:r>
      <w:r w:rsidR="007D44B3">
        <w:t> </w:t>
      </w:r>
      <w:r w:rsidR="000D5006">
        <w:t>(</w:t>
      </w:r>
      <w:r w:rsidR="00CC6FEC">
        <w:t>table </w:t>
      </w:r>
      <w:proofErr w:type="spellStart"/>
      <w:r w:rsidR="00F91EE9">
        <w:rPr>
          <w:color w:val="000000" w:themeColor="text1"/>
        </w:rPr>
        <w:t>18A</w:t>
      </w:r>
      <w:r w:rsidR="004B2834">
        <w:t>.</w:t>
      </w:r>
      <w:r w:rsidR="000D5006">
        <w:t>2</w:t>
      </w:r>
      <w:proofErr w:type="spellEnd"/>
      <w:r w:rsidRPr="0031506D">
        <w:t>).</w:t>
      </w:r>
    </w:p>
    <w:p w:rsidR="004D0537" w:rsidRDefault="004D0537" w:rsidP="003766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D0537" w:rsidTr="0037665F">
        <w:tc>
          <w:tcPr>
            <w:tcW w:w="8771" w:type="dxa"/>
            <w:tcBorders>
              <w:top w:val="single" w:sz="6" w:space="0" w:color="78A22F"/>
              <w:left w:val="nil"/>
              <w:bottom w:val="nil"/>
              <w:right w:val="nil"/>
            </w:tcBorders>
            <w:shd w:val="clear" w:color="auto" w:fill="auto"/>
          </w:tcPr>
          <w:p w:rsidR="004D0537" w:rsidRPr="00784A05" w:rsidRDefault="00B220CD" w:rsidP="00740873">
            <w:pPr>
              <w:pStyle w:val="TableTitle"/>
            </w:pPr>
            <w:r>
              <w:rPr>
                <w:b w:val="0"/>
              </w:rPr>
              <w:t xml:space="preserve">Table </w:t>
            </w:r>
            <w:r w:rsidR="00040F38">
              <w:rPr>
                <w:b w:val="0"/>
              </w:rPr>
              <w:t>18.</w:t>
            </w:r>
            <w:r w:rsidR="00892185">
              <w:rPr>
                <w:b w:val="0"/>
                <w:noProof/>
              </w:rPr>
              <w:t>1</w:t>
            </w:r>
            <w:r w:rsidR="004D0537">
              <w:tab/>
            </w:r>
            <w:r w:rsidR="004D0537" w:rsidRPr="00620779">
              <w:t>State and Territory government net recurrent expenditure on</w:t>
            </w:r>
            <w:r w:rsidR="004D0537">
              <w:t xml:space="preserve"> social housing ($million) </w:t>
            </w:r>
            <w:r w:rsidR="004D0537" w:rsidRPr="00740873">
              <w:t>(</w:t>
            </w:r>
            <w:r w:rsidR="00740873" w:rsidRPr="00740873">
              <w:t>2015</w:t>
            </w:r>
            <w:r w:rsidR="00B93213">
              <w:noBreakHyphen/>
            </w:r>
            <w:r w:rsidR="004D0537" w:rsidRPr="00740873">
              <w:t>1</w:t>
            </w:r>
            <w:r w:rsidR="00740873" w:rsidRPr="00740873">
              <w:t>6</w:t>
            </w:r>
            <w:r w:rsidR="004D0537" w:rsidRPr="00740873">
              <w:t xml:space="preserve"> dollars</w:t>
            </w:r>
            <w:r w:rsidR="004D0537" w:rsidRPr="00620779">
              <w:t>)</w:t>
            </w:r>
            <w:r w:rsidR="004D0537">
              <w:rPr>
                <w:rStyle w:val="NoteLabel"/>
                <w:b/>
              </w:rPr>
              <w:t>a</w:t>
            </w:r>
          </w:p>
        </w:tc>
      </w:tr>
      <w:tr w:rsidR="004D0537" w:rsidTr="0037665F">
        <w:trPr>
          <w:cantSplit/>
        </w:trPr>
        <w:tc>
          <w:tcPr>
            <w:tcW w:w="8771" w:type="dxa"/>
            <w:tcBorders>
              <w:top w:val="nil"/>
              <w:left w:val="nil"/>
              <w:bottom w:val="nil"/>
              <w:right w:val="nil"/>
            </w:tcBorders>
            <w:shd w:val="clear" w:color="auto" w:fill="auto"/>
          </w:tcPr>
          <w:tbl>
            <w:tblPr>
              <w:tblW w:w="0" w:type="auto"/>
              <w:tblCellMar>
                <w:top w:w="28" w:type="dxa"/>
                <w:left w:w="0" w:type="dxa"/>
                <w:right w:w="0" w:type="dxa"/>
              </w:tblCellMar>
              <w:tblLook w:val="0000" w:firstRow="0" w:lastRow="0" w:firstColumn="0" w:lastColumn="0" w:noHBand="0" w:noVBand="0"/>
            </w:tblPr>
            <w:tblGrid>
              <w:gridCol w:w="8483"/>
            </w:tblGrid>
            <w:tr w:rsidR="004D0537" w:rsidTr="004D0537">
              <w:trPr>
                <w:trHeight w:val="1262"/>
              </w:trPr>
              <w:tc>
                <w:tcPr>
                  <w:tcW w:w="0" w:type="auto"/>
                  <w:tcBorders>
                    <w:top w:val="single" w:sz="6" w:space="0" w:color="BFBFBF"/>
                  </w:tcBorders>
                  <w:shd w:val="clear" w:color="auto" w:fill="auto"/>
                  <w:tcMar>
                    <w:top w:w="28" w:type="dxa"/>
                  </w:tcMar>
                </w:tcPr>
                <w:tbl>
                  <w:tblPr>
                    <w:tblW w:w="8483" w:type="dxa"/>
                    <w:tblCellMar>
                      <w:top w:w="28" w:type="dxa"/>
                      <w:left w:w="0" w:type="dxa"/>
                      <w:right w:w="0" w:type="dxa"/>
                    </w:tblCellMar>
                    <w:tblLook w:val="0000" w:firstRow="0" w:lastRow="0" w:firstColumn="0" w:lastColumn="0" w:noHBand="0" w:noVBand="0"/>
                  </w:tblPr>
                  <w:tblGrid>
                    <w:gridCol w:w="849"/>
                    <w:gridCol w:w="849"/>
                    <w:gridCol w:w="849"/>
                    <w:gridCol w:w="848"/>
                    <w:gridCol w:w="848"/>
                    <w:gridCol w:w="848"/>
                    <w:gridCol w:w="848"/>
                    <w:gridCol w:w="848"/>
                    <w:gridCol w:w="848"/>
                    <w:gridCol w:w="848"/>
                  </w:tblGrid>
                  <w:tr w:rsidR="004D0537" w:rsidRPr="00E65149" w:rsidTr="008F59A9">
                    <w:tc>
                      <w:tcPr>
                        <w:tcW w:w="500" w:type="pct"/>
                        <w:tcBorders>
                          <w:bottom w:val="single" w:sz="6" w:space="0" w:color="BFBFBF"/>
                        </w:tcBorders>
                        <w:shd w:val="clear" w:color="auto" w:fill="auto"/>
                        <w:tcMar>
                          <w:top w:w="28" w:type="dxa"/>
                        </w:tcMar>
                      </w:tcPr>
                      <w:p w:rsidR="004D0537" w:rsidRPr="00D1336A" w:rsidRDefault="004D0537" w:rsidP="00443258">
                        <w:pPr>
                          <w:pStyle w:val="TableColumnHeading"/>
                          <w:pBdr>
                            <w:left w:val="single" w:sz="4" w:space="1" w:color="auto"/>
                          </w:pBdr>
                          <w:jc w:val="left"/>
                        </w:pPr>
                      </w:p>
                    </w:tc>
                    <w:tc>
                      <w:tcPr>
                        <w:tcW w:w="500" w:type="pct"/>
                        <w:tcBorders>
                          <w:bottom w:val="single" w:sz="6" w:space="0" w:color="BFBFBF"/>
                        </w:tcBorders>
                      </w:tcPr>
                      <w:p w:rsidR="004D0537" w:rsidRPr="00904B30" w:rsidRDefault="004D0537" w:rsidP="00443258">
                        <w:pPr>
                          <w:pStyle w:val="TableColumnHeading"/>
                          <w:pBdr>
                            <w:left w:val="single" w:sz="4" w:space="1" w:color="auto"/>
                          </w:pBdr>
                          <w:spacing w:before="140"/>
                          <w:ind w:left="0"/>
                          <w:rPr>
                            <w:b/>
                          </w:rPr>
                        </w:pPr>
                        <w:r w:rsidRPr="00932A5E">
                          <w:t>NSW</w:t>
                        </w:r>
                      </w:p>
                    </w:tc>
                    <w:tc>
                      <w:tcPr>
                        <w:tcW w:w="500" w:type="pct"/>
                        <w:tcBorders>
                          <w:bottom w:val="single" w:sz="6" w:space="0" w:color="BFBFBF"/>
                        </w:tcBorders>
                      </w:tcPr>
                      <w:p w:rsidR="004D0537" w:rsidRPr="00E65149" w:rsidRDefault="004D0537" w:rsidP="00443258">
                        <w:pPr>
                          <w:pStyle w:val="TableColumnHeading"/>
                          <w:pBdr>
                            <w:left w:val="single" w:sz="4" w:space="1" w:color="auto"/>
                          </w:pBdr>
                          <w:spacing w:before="140"/>
                          <w:ind w:left="0"/>
                          <w:rPr>
                            <w:rStyle w:val="NoteLabel"/>
                            <w:i w:val="0"/>
                          </w:rPr>
                        </w:pPr>
                        <w:r w:rsidRPr="00E65149">
                          <w:t>Vic</w:t>
                        </w:r>
                      </w:p>
                    </w:tc>
                    <w:tc>
                      <w:tcPr>
                        <w:tcW w:w="500" w:type="pct"/>
                        <w:tcBorders>
                          <w:bottom w:val="single" w:sz="6" w:space="0" w:color="BFBFBF"/>
                        </w:tcBorders>
                      </w:tcPr>
                      <w:p w:rsidR="004D0537" w:rsidRPr="00E65149" w:rsidRDefault="004D0537" w:rsidP="00443258">
                        <w:pPr>
                          <w:pStyle w:val="TableColumnHeading"/>
                          <w:pBdr>
                            <w:left w:val="single" w:sz="4" w:space="1" w:color="auto"/>
                          </w:pBdr>
                          <w:spacing w:before="140"/>
                          <w:ind w:left="0"/>
                        </w:pPr>
                        <w:r w:rsidRPr="00E65149">
                          <w:t>Qld</w:t>
                        </w:r>
                      </w:p>
                    </w:tc>
                    <w:tc>
                      <w:tcPr>
                        <w:tcW w:w="500" w:type="pct"/>
                        <w:tcBorders>
                          <w:bottom w:val="single" w:sz="6" w:space="0" w:color="BFBFBF"/>
                        </w:tcBorders>
                      </w:tcPr>
                      <w:p w:rsidR="004D0537" w:rsidRPr="00E65149" w:rsidRDefault="004D0537" w:rsidP="00443258">
                        <w:pPr>
                          <w:pStyle w:val="TableColumnHeading"/>
                          <w:pBdr>
                            <w:left w:val="single" w:sz="4" w:space="1" w:color="auto"/>
                          </w:pBdr>
                          <w:spacing w:before="140"/>
                          <w:ind w:left="0"/>
                        </w:pPr>
                        <w:r w:rsidRPr="00E65149">
                          <w:t>WA</w:t>
                        </w:r>
                      </w:p>
                    </w:tc>
                    <w:tc>
                      <w:tcPr>
                        <w:tcW w:w="500" w:type="pct"/>
                        <w:tcBorders>
                          <w:bottom w:val="single" w:sz="6" w:space="0" w:color="BFBFBF"/>
                        </w:tcBorders>
                      </w:tcPr>
                      <w:p w:rsidR="004D0537" w:rsidRPr="00E65149" w:rsidRDefault="004D0537" w:rsidP="00443258">
                        <w:pPr>
                          <w:pStyle w:val="TableColumnHeading"/>
                          <w:pBdr>
                            <w:left w:val="single" w:sz="4" w:space="1" w:color="auto"/>
                          </w:pBdr>
                          <w:spacing w:before="140"/>
                          <w:ind w:left="0"/>
                        </w:pPr>
                        <w:r w:rsidRPr="00E65149">
                          <w:t>SA</w:t>
                        </w:r>
                      </w:p>
                    </w:tc>
                    <w:tc>
                      <w:tcPr>
                        <w:tcW w:w="500" w:type="pct"/>
                        <w:tcBorders>
                          <w:bottom w:val="single" w:sz="6" w:space="0" w:color="BFBFBF"/>
                        </w:tcBorders>
                      </w:tcPr>
                      <w:p w:rsidR="004D0537" w:rsidRPr="00E65149" w:rsidRDefault="004D0537" w:rsidP="00443258">
                        <w:pPr>
                          <w:pStyle w:val="TableColumnHeading"/>
                          <w:pBdr>
                            <w:left w:val="single" w:sz="4" w:space="1" w:color="auto"/>
                          </w:pBdr>
                          <w:spacing w:before="140"/>
                          <w:ind w:left="0"/>
                        </w:pPr>
                        <w:proofErr w:type="spellStart"/>
                        <w:r w:rsidRPr="00E65149">
                          <w:t>Tas</w:t>
                        </w:r>
                        <w:proofErr w:type="spellEnd"/>
                      </w:p>
                    </w:tc>
                    <w:tc>
                      <w:tcPr>
                        <w:tcW w:w="500" w:type="pct"/>
                        <w:tcBorders>
                          <w:bottom w:val="single" w:sz="6" w:space="0" w:color="BFBFBF"/>
                        </w:tcBorders>
                      </w:tcPr>
                      <w:p w:rsidR="004D0537" w:rsidRPr="00E65149" w:rsidRDefault="004D0537" w:rsidP="00443258">
                        <w:pPr>
                          <w:pStyle w:val="TableColumnHeading"/>
                          <w:pBdr>
                            <w:left w:val="single" w:sz="4" w:space="1" w:color="auto"/>
                          </w:pBdr>
                          <w:spacing w:before="140"/>
                          <w:ind w:left="0"/>
                        </w:pPr>
                        <w:r w:rsidRPr="00E65149">
                          <w:t>ACT</w:t>
                        </w:r>
                      </w:p>
                    </w:tc>
                    <w:tc>
                      <w:tcPr>
                        <w:tcW w:w="500" w:type="pct"/>
                        <w:tcBorders>
                          <w:bottom w:val="single" w:sz="6" w:space="0" w:color="BFBFBF"/>
                        </w:tcBorders>
                        <w:shd w:val="clear" w:color="auto" w:fill="auto"/>
                        <w:tcMar>
                          <w:top w:w="28" w:type="dxa"/>
                        </w:tcMar>
                      </w:tcPr>
                      <w:p w:rsidR="004D0537" w:rsidRPr="00E65149" w:rsidRDefault="004D0537" w:rsidP="00443258">
                        <w:pPr>
                          <w:pStyle w:val="TableColumnHeading"/>
                          <w:pBdr>
                            <w:left w:val="single" w:sz="4" w:space="1" w:color="auto"/>
                          </w:pBdr>
                          <w:spacing w:before="140"/>
                          <w:ind w:left="0"/>
                        </w:pPr>
                        <w:r w:rsidRPr="00E65149">
                          <w:t>NT</w:t>
                        </w:r>
                      </w:p>
                    </w:tc>
                    <w:tc>
                      <w:tcPr>
                        <w:tcW w:w="500" w:type="pct"/>
                        <w:tcBorders>
                          <w:bottom w:val="single" w:sz="6" w:space="0" w:color="BFBFBF"/>
                        </w:tcBorders>
                        <w:shd w:val="clear" w:color="auto" w:fill="auto"/>
                        <w:tcMar>
                          <w:top w:w="28" w:type="dxa"/>
                        </w:tcMar>
                      </w:tcPr>
                      <w:p w:rsidR="004D0537" w:rsidRPr="00E65149" w:rsidRDefault="004D0537" w:rsidP="00443258">
                        <w:pPr>
                          <w:pStyle w:val="TableColumnHeading"/>
                          <w:pBdr>
                            <w:left w:val="single" w:sz="4" w:space="1" w:color="auto"/>
                          </w:pBdr>
                          <w:spacing w:before="140"/>
                        </w:pPr>
                        <w:proofErr w:type="spellStart"/>
                        <w:r w:rsidRPr="00E65149">
                          <w:t>Aust</w:t>
                        </w:r>
                        <w:proofErr w:type="spellEnd"/>
                      </w:p>
                    </w:tc>
                  </w:tr>
                  <w:tr w:rsidR="002C0D06" w:rsidTr="00393493">
                    <w:tc>
                      <w:tcPr>
                        <w:tcW w:w="500" w:type="pct"/>
                        <w:tcBorders>
                          <w:top w:val="single" w:sz="6" w:space="0" w:color="BFBFBF"/>
                        </w:tcBorders>
                        <w:vAlign w:val="bottom"/>
                      </w:tcPr>
                      <w:p w:rsidR="002C0D06" w:rsidRPr="005B2643" w:rsidRDefault="002C0D06" w:rsidP="00740873">
                        <w:pPr>
                          <w:pStyle w:val="TableBodyText"/>
                        </w:pPr>
                        <w:r w:rsidRPr="005B2643">
                          <w:t>201</w:t>
                        </w:r>
                        <w:r>
                          <w:t>5</w:t>
                        </w:r>
                        <w:r>
                          <w:noBreakHyphen/>
                          <w:t>16</w:t>
                        </w:r>
                      </w:p>
                    </w:tc>
                    <w:tc>
                      <w:tcPr>
                        <w:tcW w:w="500" w:type="pct"/>
                        <w:tcBorders>
                          <w:top w:val="single" w:sz="6" w:space="0" w:color="BFBFBF"/>
                        </w:tcBorders>
                        <w:shd w:val="clear" w:color="auto" w:fill="auto"/>
                      </w:tcPr>
                      <w:p w:rsidR="002C0D06" w:rsidRPr="00CC45CC" w:rsidRDefault="002C0D06"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1 253.2</w:t>
                        </w:r>
                      </w:p>
                    </w:tc>
                    <w:tc>
                      <w:tcPr>
                        <w:tcW w:w="500" w:type="pct"/>
                        <w:tcBorders>
                          <w:top w:val="single" w:sz="6" w:space="0" w:color="BFBFBF"/>
                        </w:tcBorders>
                        <w:shd w:val="clear" w:color="auto" w:fill="auto"/>
                      </w:tcPr>
                      <w:p w:rsidR="002C0D06" w:rsidRPr="00CC45CC" w:rsidRDefault="00B93213" w:rsidP="00CC45CC">
                        <w:pPr>
                          <w:spacing w:after="40" w:line="200" w:lineRule="atLeast"/>
                          <w:ind w:left="6" w:right="113"/>
                          <w:jc w:val="right"/>
                          <w:rPr>
                            <w:rFonts w:ascii="Arial" w:hAnsi="Arial" w:cs="Arial"/>
                            <w:bCs/>
                            <w:sz w:val="18"/>
                            <w:szCs w:val="18"/>
                          </w:rPr>
                        </w:pPr>
                        <w:r>
                          <w:rPr>
                            <w:rFonts w:ascii="Arial" w:hAnsi="Arial" w:cs="Arial"/>
                            <w:bCs/>
                            <w:sz w:val="18"/>
                            <w:szCs w:val="18"/>
                          </w:rPr>
                          <w:t xml:space="preserve"> </w:t>
                        </w:r>
                        <w:r w:rsidR="002C0D06" w:rsidRPr="00CC45CC">
                          <w:rPr>
                            <w:rFonts w:ascii="Arial" w:hAnsi="Arial" w:cs="Arial"/>
                            <w:bCs/>
                            <w:sz w:val="18"/>
                            <w:szCs w:val="18"/>
                          </w:rPr>
                          <w:t>533.9</w:t>
                        </w:r>
                      </w:p>
                    </w:tc>
                    <w:tc>
                      <w:tcPr>
                        <w:tcW w:w="500" w:type="pct"/>
                        <w:tcBorders>
                          <w:top w:val="single" w:sz="6" w:space="0" w:color="BFBFBF"/>
                        </w:tcBorders>
                        <w:shd w:val="clear" w:color="auto" w:fill="auto"/>
                      </w:tcPr>
                      <w:p w:rsidR="002C0D06" w:rsidRPr="00CC45CC" w:rsidRDefault="00B93213" w:rsidP="00CC45CC">
                        <w:pPr>
                          <w:spacing w:after="40" w:line="200" w:lineRule="atLeast"/>
                          <w:ind w:left="6" w:right="113"/>
                          <w:jc w:val="right"/>
                          <w:rPr>
                            <w:rFonts w:ascii="Arial" w:hAnsi="Arial" w:cs="Arial"/>
                            <w:bCs/>
                            <w:sz w:val="18"/>
                            <w:szCs w:val="18"/>
                          </w:rPr>
                        </w:pPr>
                        <w:r>
                          <w:rPr>
                            <w:rFonts w:ascii="Arial" w:hAnsi="Arial" w:cs="Arial"/>
                            <w:bCs/>
                            <w:sz w:val="18"/>
                            <w:szCs w:val="18"/>
                          </w:rPr>
                          <w:t xml:space="preserve"> </w:t>
                        </w:r>
                        <w:r w:rsidR="002C0D06" w:rsidRPr="00CC45CC">
                          <w:rPr>
                            <w:rFonts w:ascii="Arial" w:hAnsi="Arial" w:cs="Arial"/>
                            <w:bCs/>
                            <w:sz w:val="18"/>
                            <w:szCs w:val="18"/>
                          </w:rPr>
                          <w:t>612.5</w:t>
                        </w:r>
                      </w:p>
                    </w:tc>
                    <w:tc>
                      <w:tcPr>
                        <w:tcW w:w="500" w:type="pct"/>
                        <w:tcBorders>
                          <w:top w:val="single" w:sz="6" w:space="0" w:color="BFBFBF"/>
                        </w:tcBorders>
                        <w:shd w:val="clear" w:color="auto" w:fill="auto"/>
                      </w:tcPr>
                      <w:p w:rsidR="002C0D06" w:rsidRPr="00CC45CC" w:rsidRDefault="00B93213" w:rsidP="00CC45CC">
                        <w:pPr>
                          <w:spacing w:after="40" w:line="200" w:lineRule="atLeast"/>
                          <w:ind w:left="6" w:right="113"/>
                          <w:jc w:val="right"/>
                          <w:rPr>
                            <w:rFonts w:ascii="Arial" w:hAnsi="Arial" w:cs="Arial"/>
                            <w:bCs/>
                            <w:sz w:val="18"/>
                            <w:szCs w:val="18"/>
                          </w:rPr>
                        </w:pPr>
                        <w:r>
                          <w:rPr>
                            <w:rFonts w:ascii="Arial" w:hAnsi="Arial" w:cs="Arial"/>
                            <w:bCs/>
                            <w:sz w:val="18"/>
                            <w:szCs w:val="18"/>
                          </w:rPr>
                          <w:t xml:space="preserve"> </w:t>
                        </w:r>
                        <w:r w:rsidR="002C0D06" w:rsidRPr="00CC45CC">
                          <w:rPr>
                            <w:rFonts w:ascii="Arial" w:hAnsi="Arial" w:cs="Arial"/>
                            <w:bCs/>
                            <w:sz w:val="18"/>
                            <w:szCs w:val="18"/>
                          </w:rPr>
                          <w:t>712.5</w:t>
                        </w:r>
                      </w:p>
                    </w:tc>
                    <w:tc>
                      <w:tcPr>
                        <w:tcW w:w="500" w:type="pct"/>
                        <w:tcBorders>
                          <w:top w:val="single" w:sz="6" w:space="0" w:color="BFBFBF"/>
                        </w:tcBorders>
                        <w:shd w:val="clear" w:color="auto" w:fill="auto"/>
                      </w:tcPr>
                      <w:p w:rsidR="002C0D06" w:rsidRPr="00CC45CC" w:rsidRDefault="00B93213" w:rsidP="00CC45CC">
                        <w:pPr>
                          <w:spacing w:after="40" w:line="200" w:lineRule="atLeast"/>
                          <w:ind w:left="6" w:right="113"/>
                          <w:jc w:val="right"/>
                          <w:rPr>
                            <w:rFonts w:ascii="Arial" w:hAnsi="Arial" w:cs="Arial"/>
                            <w:bCs/>
                            <w:sz w:val="18"/>
                            <w:szCs w:val="18"/>
                          </w:rPr>
                        </w:pPr>
                        <w:r>
                          <w:rPr>
                            <w:rFonts w:ascii="Arial" w:hAnsi="Arial" w:cs="Arial"/>
                            <w:bCs/>
                            <w:sz w:val="18"/>
                            <w:szCs w:val="18"/>
                          </w:rPr>
                          <w:t xml:space="preserve"> </w:t>
                        </w:r>
                        <w:r w:rsidR="002C0D06" w:rsidRPr="00CC45CC">
                          <w:rPr>
                            <w:rFonts w:ascii="Arial" w:hAnsi="Arial" w:cs="Arial"/>
                            <w:bCs/>
                            <w:sz w:val="18"/>
                            <w:szCs w:val="18"/>
                          </w:rPr>
                          <w:t>439.5</w:t>
                        </w:r>
                      </w:p>
                    </w:tc>
                    <w:tc>
                      <w:tcPr>
                        <w:tcW w:w="500" w:type="pct"/>
                        <w:tcBorders>
                          <w:top w:val="single" w:sz="6" w:space="0" w:color="BFBFBF"/>
                        </w:tcBorders>
                        <w:shd w:val="clear" w:color="auto" w:fill="auto"/>
                      </w:tcPr>
                      <w:p w:rsidR="002C0D06" w:rsidRPr="00CC45CC" w:rsidRDefault="002C0D06"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122.5</w:t>
                        </w:r>
                      </w:p>
                    </w:tc>
                    <w:tc>
                      <w:tcPr>
                        <w:tcW w:w="500" w:type="pct"/>
                        <w:tcBorders>
                          <w:top w:val="single" w:sz="6" w:space="0" w:color="BFBFBF"/>
                        </w:tcBorders>
                        <w:shd w:val="clear" w:color="auto" w:fill="auto"/>
                      </w:tcPr>
                      <w:p w:rsidR="002C0D06" w:rsidRPr="00CC45CC" w:rsidRDefault="002C0D06"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117.0</w:t>
                        </w:r>
                      </w:p>
                    </w:tc>
                    <w:tc>
                      <w:tcPr>
                        <w:tcW w:w="500" w:type="pct"/>
                        <w:tcBorders>
                          <w:top w:val="single" w:sz="6" w:space="0" w:color="BFBFBF"/>
                        </w:tcBorders>
                        <w:shd w:val="clear" w:color="auto" w:fill="auto"/>
                      </w:tcPr>
                      <w:p w:rsidR="002C0D06" w:rsidRPr="00CC45CC" w:rsidRDefault="002C0D06"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77.3</w:t>
                        </w:r>
                      </w:p>
                    </w:tc>
                    <w:tc>
                      <w:tcPr>
                        <w:tcW w:w="500" w:type="pct"/>
                        <w:tcBorders>
                          <w:top w:val="single" w:sz="6" w:space="0" w:color="BFBFBF"/>
                        </w:tcBorders>
                        <w:shd w:val="clear" w:color="auto" w:fill="auto"/>
                      </w:tcPr>
                      <w:p w:rsidR="002C0D06" w:rsidRPr="00CC45CC" w:rsidRDefault="002C0D06"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3 868.4</w:t>
                        </w:r>
                      </w:p>
                    </w:tc>
                  </w:tr>
                  <w:tr w:rsidR="00CC45CC" w:rsidTr="00393493">
                    <w:tc>
                      <w:tcPr>
                        <w:tcW w:w="500" w:type="pct"/>
                        <w:vAlign w:val="bottom"/>
                      </w:tcPr>
                      <w:p w:rsidR="00CC45CC" w:rsidRPr="008120D6" w:rsidRDefault="00CC45CC" w:rsidP="008120D6">
                        <w:pPr>
                          <w:spacing w:after="40" w:line="200" w:lineRule="atLeast"/>
                          <w:ind w:left="6" w:right="113"/>
                          <w:jc w:val="right"/>
                          <w:rPr>
                            <w:rFonts w:ascii="Arial" w:hAnsi="Arial" w:cs="Arial"/>
                            <w:bCs/>
                            <w:sz w:val="18"/>
                            <w:szCs w:val="18"/>
                          </w:rPr>
                        </w:pPr>
                        <w:r w:rsidRPr="008120D6">
                          <w:rPr>
                            <w:rFonts w:ascii="Arial" w:hAnsi="Arial" w:cs="Arial"/>
                            <w:bCs/>
                            <w:sz w:val="18"/>
                            <w:szCs w:val="18"/>
                          </w:rPr>
                          <w:t>2014</w:t>
                        </w:r>
                        <w:r w:rsidRPr="008120D6">
                          <w:rPr>
                            <w:rFonts w:ascii="Arial" w:hAnsi="Arial" w:cs="Arial"/>
                            <w:bCs/>
                            <w:sz w:val="18"/>
                            <w:szCs w:val="18"/>
                          </w:rPr>
                          <w:noBreakHyphen/>
                          <w:t>15</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1 294.3</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569.2</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598.7</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688.2</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441.8</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265.8</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114.5</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83.3</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4 055.8</w:t>
                        </w:r>
                      </w:p>
                    </w:tc>
                  </w:tr>
                  <w:tr w:rsidR="00CC45CC" w:rsidTr="00393493">
                    <w:tc>
                      <w:tcPr>
                        <w:tcW w:w="500" w:type="pct"/>
                        <w:shd w:val="clear" w:color="auto" w:fill="auto"/>
                        <w:vAlign w:val="bottom"/>
                      </w:tcPr>
                      <w:p w:rsidR="00CC45CC" w:rsidRPr="008120D6" w:rsidRDefault="00CC45CC" w:rsidP="008120D6">
                        <w:pPr>
                          <w:spacing w:after="40" w:line="200" w:lineRule="atLeast"/>
                          <w:ind w:left="6" w:right="113"/>
                          <w:jc w:val="right"/>
                          <w:rPr>
                            <w:rFonts w:ascii="Arial" w:hAnsi="Arial" w:cs="Arial"/>
                            <w:bCs/>
                            <w:sz w:val="18"/>
                            <w:szCs w:val="18"/>
                          </w:rPr>
                        </w:pPr>
                        <w:r w:rsidRPr="008120D6">
                          <w:rPr>
                            <w:rFonts w:ascii="Arial" w:hAnsi="Arial" w:cs="Arial"/>
                            <w:bCs/>
                            <w:sz w:val="18"/>
                            <w:szCs w:val="18"/>
                          </w:rPr>
                          <w:t>2013</w:t>
                        </w:r>
                        <w:r w:rsidRPr="008120D6">
                          <w:rPr>
                            <w:rFonts w:ascii="Arial" w:hAnsi="Arial" w:cs="Arial"/>
                            <w:bCs/>
                            <w:sz w:val="18"/>
                            <w:szCs w:val="18"/>
                          </w:rPr>
                          <w:noBreakHyphen/>
                          <w:t>14</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1 347.7</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495.2</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505.5</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739.2</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415.5</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525.4</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113.5</w:t>
                        </w:r>
                      </w:p>
                    </w:tc>
                    <w:tc>
                      <w:tcPr>
                        <w:tcW w:w="500" w:type="pct"/>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83.2</w:t>
                        </w:r>
                      </w:p>
                    </w:tc>
                    <w:tc>
                      <w:tcPr>
                        <w:tcW w:w="500" w:type="pct"/>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4 225.2</w:t>
                        </w:r>
                      </w:p>
                    </w:tc>
                  </w:tr>
                  <w:tr w:rsidR="00CC45CC" w:rsidTr="00393493">
                    <w:tc>
                      <w:tcPr>
                        <w:tcW w:w="500" w:type="pct"/>
                        <w:shd w:val="clear" w:color="auto" w:fill="auto"/>
                        <w:vAlign w:val="bottom"/>
                      </w:tcPr>
                      <w:p w:rsidR="00CC45CC" w:rsidRPr="008120D6" w:rsidRDefault="00CC45CC" w:rsidP="008120D6">
                        <w:pPr>
                          <w:spacing w:after="40" w:line="200" w:lineRule="atLeast"/>
                          <w:ind w:left="6" w:right="113"/>
                          <w:jc w:val="right"/>
                          <w:rPr>
                            <w:rFonts w:ascii="Arial" w:hAnsi="Arial" w:cs="Arial"/>
                            <w:bCs/>
                            <w:sz w:val="18"/>
                            <w:szCs w:val="18"/>
                          </w:rPr>
                        </w:pPr>
                        <w:r w:rsidRPr="008120D6">
                          <w:rPr>
                            <w:rFonts w:ascii="Arial" w:hAnsi="Arial" w:cs="Arial"/>
                            <w:bCs/>
                            <w:sz w:val="18"/>
                            <w:szCs w:val="18"/>
                          </w:rPr>
                          <w:t>2012</w:t>
                        </w:r>
                        <w:r w:rsidRPr="008120D6">
                          <w:rPr>
                            <w:rFonts w:ascii="Arial" w:hAnsi="Arial" w:cs="Arial"/>
                            <w:bCs/>
                            <w:sz w:val="18"/>
                            <w:szCs w:val="18"/>
                          </w:rPr>
                          <w:noBreakHyphen/>
                          <w:t>13</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1 259.6</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488.4</w:t>
                        </w:r>
                      </w:p>
                    </w:tc>
                    <w:tc>
                      <w:tcPr>
                        <w:tcW w:w="500" w:type="pct"/>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560.4</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793.7</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459.0</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163.8</w:t>
                        </w:r>
                      </w:p>
                    </w:tc>
                    <w:tc>
                      <w:tcPr>
                        <w:tcW w:w="500" w:type="pct"/>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115.1</w:t>
                        </w:r>
                      </w:p>
                    </w:tc>
                    <w:tc>
                      <w:tcPr>
                        <w:tcW w:w="500" w:type="pct"/>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79.8</w:t>
                        </w:r>
                      </w:p>
                    </w:tc>
                    <w:tc>
                      <w:tcPr>
                        <w:tcW w:w="500" w:type="pct"/>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3 919.7</w:t>
                        </w:r>
                      </w:p>
                    </w:tc>
                  </w:tr>
                  <w:tr w:rsidR="00CC45CC" w:rsidTr="00393493">
                    <w:tc>
                      <w:tcPr>
                        <w:tcW w:w="500" w:type="pct"/>
                        <w:tcBorders>
                          <w:bottom w:val="single" w:sz="6" w:space="0" w:color="BFBFBF"/>
                        </w:tcBorders>
                        <w:shd w:val="clear" w:color="auto" w:fill="auto"/>
                        <w:vAlign w:val="bottom"/>
                      </w:tcPr>
                      <w:p w:rsidR="00CC45CC" w:rsidRPr="008120D6" w:rsidRDefault="00CC45CC" w:rsidP="008120D6">
                        <w:pPr>
                          <w:spacing w:after="40" w:line="200" w:lineRule="atLeast"/>
                          <w:ind w:left="6" w:right="113"/>
                          <w:jc w:val="right"/>
                          <w:rPr>
                            <w:rFonts w:ascii="Arial" w:hAnsi="Arial" w:cs="Arial"/>
                            <w:bCs/>
                            <w:sz w:val="18"/>
                            <w:szCs w:val="18"/>
                          </w:rPr>
                        </w:pPr>
                        <w:r w:rsidRPr="008120D6">
                          <w:rPr>
                            <w:rFonts w:ascii="Arial" w:hAnsi="Arial" w:cs="Arial"/>
                            <w:bCs/>
                            <w:sz w:val="18"/>
                            <w:szCs w:val="18"/>
                          </w:rPr>
                          <w:t>2011</w:t>
                        </w:r>
                        <w:r w:rsidRPr="008120D6">
                          <w:rPr>
                            <w:rFonts w:ascii="Arial" w:hAnsi="Arial" w:cs="Arial"/>
                            <w:bCs/>
                            <w:sz w:val="18"/>
                            <w:szCs w:val="18"/>
                          </w:rPr>
                          <w:noBreakHyphen/>
                          <w:t>12</w:t>
                        </w:r>
                      </w:p>
                    </w:tc>
                    <w:tc>
                      <w:tcPr>
                        <w:tcW w:w="500" w:type="pct"/>
                        <w:tcBorders>
                          <w:bottom w:val="single" w:sz="6" w:space="0" w:color="BFBFBF"/>
                        </w:tcBorders>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1 262.6</w:t>
                        </w:r>
                      </w:p>
                    </w:tc>
                    <w:tc>
                      <w:tcPr>
                        <w:tcW w:w="500" w:type="pct"/>
                        <w:tcBorders>
                          <w:bottom w:val="single" w:sz="6" w:space="0" w:color="BFBFBF"/>
                        </w:tcBorders>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485.7</w:t>
                        </w:r>
                      </w:p>
                    </w:tc>
                    <w:tc>
                      <w:tcPr>
                        <w:tcW w:w="500" w:type="pct"/>
                        <w:tcBorders>
                          <w:bottom w:val="single" w:sz="6" w:space="0" w:color="BFBFBF"/>
                        </w:tcBorders>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571.7</w:t>
                        </w:r>
                      </w:p>
                    </w:tc>
                    <w:tc>
                      <w:tcPr>
                        <w:tcW w:w="500" w:type="pct"/>
                        <w:tcBorders>
                          <w:bottom w:val="single" w:sz="6" w:space="0" w:color="BFBFBF"/>
                        </w:tcBorders>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757.2</w:t>
                        </w:r>
                      </w:p>
                    </w:tc>
                    <w:tc>
                      <w:tcPr>
                        <w:tcW w:w="500" w:type="pct"/>
                        <w:tcBorders>
                          <w:bottom w:val="single" w:sz="6" w:space="0" w:color="BFBFBF"/>
                        </w:tcBorders>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387.5</w:t>
                        </w:r>
                      </w:p>
                    </w:tc>
                    <w:tc>
                      <w:tcPr>
                        <w:tcW w:w="500" w:type="pct"/>
                        <w:tcBorders>
                          <w:bottom w:val="single" w:sz="6" w:space="0" w:color="BFBFBF"/>
                        </w:tcBorders>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127.2</w:t>
                        </w:r>
                      </w:p>
                    </w:tc>
                    <w:tc>
                      <w:tcPr>
                        <w:tcW w:w="500" w:type="pct"/>
                        <w:tcBorders>
                          <w:bottom w:val="single" w:sz="6" w:space="0" w:color="BFBFBF"/>
                        </w:tcBorders>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110.4</w:t>
                        </w:r>
                      </w:p>
                    </w:tc>
                    <w:tc>
                      <w:tcPr>
                        <w:tcW w:w="500" w:type="pct"/>
                        <w:tcBorders>
                          <w:bottom w:val="single" w:sz="6" w:space="0" w:color="BFBFBF"/>
                        </w:tcBorders>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173.4</w:t>
                        </w:r>
                      </w:p>
                    </w:tc>
                    <w:tc>
                      <w:tcPr>
                        <w:tcW w:w="500" w:type="pct"/>
                        <w:tcBorders>
                          <w:bottom w:val="single" w:sz="6" w:space="0" w:color="BFBFBF"/>
                        </w:tcBorders>
                        <w:shd w:val="clear" w:color="auto" w:fill="auto"/>
                      </w:tcPr>
                      <w:p w:rsidR="00CC45CC" w:rsidRPr="00CC45CC" w:rsidRDefault="00CC45CC" w:rsidP="00CC45CC">
                        <w:pPr>
                          <w:spacing w:after="40" w:line="200" w:lineRule="atLeast"/>
                          <w:ind w:left="6" w:right="113"/>
                          <w:jc w:val="right"/>
                          <w:rPr>
                            <w:rFonts w:ascii="Arial" w:hAnsi="Arial" w:cs="Arial"/>
                            <w:bCs/>
                            <w:sz w:val="18"/>
                            <w:szCs w:val="18"/>
                          </w:rPr>
                        </w:pPr>
                        <w:r w:rsidRPr="00CC45CC">
                          <w:rPr>
                            <w:rFonts w:ascii="Arial" w:hAnsi="Arial" w:cs="Arial"/>
                            <w:bCs/>
                            <w:sz w:val="18"/>
                            <w:szCs w:val="18"/>
                          </w:rPr>
                          <w:t xml:space="preserve"> 3 875.6</w:t>
                        </w:r>
                      </w:p>
                    </w:tc>
                  </w:tr>
                </w:tbl>
                <w:p w:rsidR="004D0537" w:rsidRDefault="004D0537" w:rsidP="0037665F">
                  <w:pPr>
                    <w:pStyle w:val="TableColumnHeading"/>
                    <w:ind w:right="28"/>
                  </w:pPr>
                </w:p>
              </w:tc>
            </w:tr>
          </w:tbl>
          <w:p w:rsidR="004D0537" w:rsidRDefault="004D0537" w:rsidP="0037665F">
            <w:pPr>
              <w:pStyle w:val="Box"/>
            </w:pPr>
          </w:p>
        </w:tc>
      </w:tr>
      <w:tr w:rsidR="004D0537" w:rsidTr="0037665F">
        <w:trPr>
          <w:cantSplit/>
        </w:trPr>
        <w:tc>
          <w:tcPr>
            <w:tcW w:w="8771" w:type="dxa"/>
            <w:tcBorders>
              <w:top w:val="nil"/>
              <w:left w:val="nil"/>
              <w:bottom w:val="nil"/>
              <w:right w:val="nil"/>
            </w:tcBorders>
            <w:shd w:val="clear" w:color="auto" w:fill="auto"/>
          </w:tcPr>
          <w:p w:rsidR="004D0537" w:rsidRPr="006F7A0C" w:rsidRDefault="004D0537" w:rsidP="003E4784">
            <w:pPr>
              <w:pStyle w:val="Note"/>
              <w:rPr>
                <w:rStyle w:val="DraftingNote"/>
                <w:color w:val="auto"/>
              </w:rPr>
            </w:pPr>
            <w:r w:rsidRPr="008E77FE">
              <w:rPr>
                <w:rStyle w:val="NoteLabel"/>
              </w:rPr>
              <w:t>a</w:t>
            </w:r>
            <w:r>
              <w:rPr>
                <w:rStyle w:val="NoteLabel"/>
              </w:rPr>
              <w:t> </w:t>
            </w:r>
            <w:r>
              <w:t xml:space="preserve">See </w:t>
            </w:r>
            <w:r w:rsidR="00B220CD">
              <w:t>table</w:t>
            </w:r>
            <w:r w:rsidR="00B93213">
              <w:t> </w:t>
            </w:r>
            <w:proofErr w:type="spellStart"/>
            <w:r w:rsidR="00F91EE9">
              <w:rPr>
                <w:color w:val="000000" w:themeColor="text1"/>
              </w:rPr>
              <w:t>18A</w:t>
            </w:r>
            <w:r w:rsidR="004B2834">
              <w:t>.</w:t>
            </w:r>
            <w:r>
              <w:t>2</w:t>
            </w:r>
            <w:proofErr w:type="spellEnd"/>
            <w:r>
              <w:t xml:space="preserve"> for detailed footnotes and caveats</w:t>
            </w:r>
            <w:r w:rsidR="00C54957">
              <w:t>.</w:t>
            </w:r>
          </w:p>
        </w:tc>
      </w:tr>
      <w:tr w:rsidR="004D0537" w:rsidTr="0037665F">
        <w:trPr>
          <w:cantSplit/>
        </w:trPr>
        <w:tc>
          <w:tcPr>
            <w:tcW w:w="8771" w:type="dxa"/>
            <w:tcBorders>
              <w:top w:val="nil"/>
              <w:left w:val="nil"/>
              <w:bottom w:val="nil"/>
              <w:right w:val="nil"/>
            </w:tcBorders>
            <w:shd w:val="clear" w:color="auto" w:fill="auto"/>
          </w:tcPr>
          <w:p w:rsidR="004D0537" w:rsidRDefault="00D725AC" w:rsidP="003E4784">
            <w:pPr>
              <w:pStyle w:val="Source"/>
            </w:pPr>
            <w:r>
              <w:rPr>
                <w:i/>
              </w:rPr>
              <w:t>Source</w:t>
            </w:r>
            <w:r w:rsidR="004D0537" w:rsidRPr="00B93213">
              <w:t>:</w:t>
            </w:r>
            <w:r w:rsidR="004D0537">
              <w:rPr>
                <w:i/>
              </w:rPr>
              <w:t xml:space="preserve"> </w:t>
            </w:r>
            <w:r w:rsidR="004D0537" w:rsidRPr="00620779">
              <w:t>State and Territory governments (unpublished); table</w:t>
            </w:r>
            <w:r w:rsidR="004D0537">
              <w:t>s</w:t>
            </w:r>
            <w:r w:rsidR="007D1214">
              <w:t> </w:t>
            </w:r>
            <w:proofErr w:type="spellStart"/>
            <w:r w:rsidR="00F91EE9">
              <w:rPr>
                <w:color w:val="000000" w:themeColor="text1"/>
              </w:rPr>
              <w:t>18A</w:t>
            </w:r>
            <w:r w:rsidR="004B2834">
              <w:t>.</w:t>
            </w:r>
            <w:r w:rsidR="004D0537" w:rsidRPr="00620779">
              <w:t>2</w:t>
            </w:r>
            <w:proofErr w:type="spellEnd"/>
            <w:r w:rsidR="004D0537" w:rsidRPr="00C2771E">
              <w:rPr>
                <w:color w:val="FF0000"/>
              </w:rPr>
              <w:t xml:space="preserve"> </w:t>
            </w:r>
            <w:r w:rsidR="004D0537">
              <w:t xml:space="preserve">and </w:t>
            </w:r>
            <w:proofErr w:type="spellStart"/>
            <w:r w:rsidR="003B2986">
              <w:t>18A.58</w:t>
            </w:r>
            <w:proofErr w:type="spellEnd"/>
            <w:r w:rsidR="004D0537">
              <w:t>.</w:t>
            </w:r>
          </w:p>
        </w:tc>
      </w:tr>
      <w:tr w:rsidR="004D0537" w:rsidTr="0037665F">
        <w:trPr>
          <w:cantSplit/>
        </w:trPr>
        <w:tc>
          <w:tcPr>
            <w:tcW w:w="8771" w:type="dxa"/>
            <w:tcBorders>
              <w:top w:val="nil"/>
              <w:left w:val="nil"/>
              <w:bottom w:val="single" w:sz="6" w:space="0" w:color="78A22F"/>
              <w:right w:val="nil"/>
            </w:tcBorders>
            <w:shd w:val="clear" w:color="auto" w:fill="auto"/>
          </w:tcPr>
          <w:p w:rsidR="004D0537" w:rsidRDefault="004D0537" w:rsidP="0037665F">
            <w:pPr>
              <w:pStyle w:val="Box"/>
              <w:spacing w:before="0" w:line="120" w:lineRule="exact"/>
            </w:pPr>
          </w:p>
        </w:tc>
      </w:tr>
      <w:tr w:rsidR="004D0537" w:rsidRPr="000863A5" w:rsidTr="0037665F">
        <w:tc>
          <w:tcPr>
            <w:tcW w:w="8771" w:type="dxa"/>
            <w:tcBorders>
              <w:top w:val="single" w:sz="6" w:space="0" w:color="78A22F"/>
              <w:left w:val="nil"/>
              <w:bottom w:val="nil"/>
              <w:right w:val="nil"/>
            </w:tcBorders>
          </w:tcPr>
          <w:p w:rsidR="004D0537" w:rsidRPr="00626D32" w:rsidRDefault="004D0537" w:rsidP="0037665F">
            <w:pPr>
              <w:pStyle w:val="BoxSpaceBelow"/>
            </w:pPr>
          </w:p>
        </w:tc>
      </w:tr>
    </w:tbl>
    <w:p w:rsidR="00587A0C" w:rsidRDefault="001D3C52" w:rsidP="00087119">
      <w:pPr>
        <w:pStyle w:val="Heading3"/>
      </w:pPr>
      <w:r>
        <w:t>Size and scope</w:t>
      </w:r>
    </w:p>
    <w:p w:rsidR="009D17BE" w:rsidRDefault="00160CB6" w:rsidP="007A6616">
      <w:pPr>
        <w:pStyle w:val="BodyText"/>
      </w:pPr>
      <w:r>
        <w:t>Information on the</w:t>
      </w:r>
      <w:r w:rsidRPr="00160CB6">
        <w:t xml:space="preserve"> social housing data </w:t>
      </w:r>
      <w:r w:rsidR="00C92566" w:rsidRPr="00204043">
        <w:t xml:space="preserve">used in this Report </w:t>
      </w:r>
      <w:r>
        <w:t xml:space="preserve">is available from </w:t>
      </w:r>
      <w:r w:rsidRPr="00160CB6">
        <w:rPr>
          <w:i/>
        </w:rPr>
        <w:t>Housing Assistance in Australia</w:t>
      </w:r>
      <w:r>
        <w:t xml:space="preserve"> on the </w:t>
      </w:r>
      <w:proofErr w:type="spellStart"/>
      <w:r w:rsidRPr="00160CB6">
        <w:t>AIHW</w:t>
      </w:r>
      <w:proofErr w:type="spellEnd"/>
      <w:r w:rsidRPr="00160CB6">
        <w:t xml:space="preserve"> website (</w:t>
      </w:r>
      <w:proofErr w:type="spellStart"/>
      <w:r w:rsidRPr="00160CB6">
        <w:t>www.aihw.gov.au</w:t>
      </w:r>
      <w:proofErr w:type="spellEnd"/>
      <w:r w:rsidRPr="00160CB6">
        <w:t>).</w:t>
      </w:r>
    </w:p>
    <w:p w:rsidR="00D27298" w:rsidRDefault="00D27298" w:rsidP="007A6616">
      <w:pPr>
        <w:pStyle w:val="BodyText"/>
      </w:pPr>
      <w:r w:rsidRPr="00A17C2C">
        <w:t>As at 30</w:t>
      </w:r>
      <w:r w:rsidR="007D1214" w:rsidRPr="00A17C2C">
        <w:t> </w:t>
      </w:r>
      <w:r w:rsidRPr="00A17C2C">
        <w:t xml:space="preserve">June </w:t>
      </w:r>
      <w:r w:rsidR="007A6616" w:rsidRPr="00A17C2C">
        <w:rPr>
          <w:color w:val="000000" w:themeColor="text1"/>
        </w:rPr>
        <w:t>201</w:t>
      </w:r>
      <w:r w:rsidR="000F2B74" w:rsidRPr="00A17C2C">
        <w:rPr>
          <w:color w:val="000000" w:themeColor="text1"/>
        </w:rPr>
        <w:t>6</w:t>
      </w:r>
      <w:r w:rsidR="007A6616" w:rsidRPr="00A17C2C">
        <w:t>,</w:t>
      </w:r>
      <w:r w:rsidR="007D1214" w:rsidRPr="00A17C2C">
        <w:t xml:space="preserve"> </w:t>
      </w:r>
      <w:r w:rsidRPr="00A17C2C">
        <w:t>there were a total of</w:t>
      </w:r>
      <w:r w:rsidR="00112A18" w:rsidRPr="00A17C2C">
        <w:t xml:space="preserve"> 394 289</w:t>
      </w:r>
      <w:r w:rsidRPr="00A17C2C">
        <w:t xml:space="preserve"> households and</w:t>
      </w:r>
      <w:r w:rsidR="00112A18" w:rsidRPr="00A17C2C">
        <w:t xml:space="preserve"> </w:t>
      </w:r>
      <w:r w:rsidR="005402DA" w:rsidRPr="00FD49FC">
        <w:t xml:space="preserve">410 215 </w:t>
      </w:r>
      <w:r w:rsidRPr="00FD49FC">
        <w:t>social</w:t>
      </w:r>
      <w:r w:rsidRPr="00A17C2C">
        <w:t xml:space="preserve"> housing dwellings (excluding </w:t>
      </w:r>
      <w:proofErr w:type="spellStart"/>
      <w:r w:rsidRPr="00A17C2C">
        <w:t>ICH</w:t>
      </w:r>
      <w:proofErr w:type="spellEnd"/>
      <w:r w:rsidRPr="00A17C2C">
        <w:t>) (tables</w:t>
      </w:r>
      <w:r w:rsidR="007D1214" w:rsidRPr="00A17C2C">
        <w:t> </w:t>
      </w:r>
      <w:proofErr w:type="spellStart"/>
      <w:r w:rsidR="004B2834" w:rsidRPr="00A17C2C">
        <w:t>1</w:t>
      </w:r>
      <w:r w:rsidR="00F91EE9" w:rsidRPr="00A17C2C">
        <w:t>8</w:t>
      </w:r>
      <w:r w:rsidR="004B2834" w:rsidRPr="00A17C2C">
        <w:t>A.</w:t>
      </w:r>
      <w:r w:rsidRPr="00A17C2C">
        <w:t>3</w:t>
      </w:r>
      <w:proofErr w:type="spellEnd"/>
      <w:r w:rsidR="00D07592" w:rsidRPr="00A17C2C">
        <w:t xml:space="preserve"> </w:t>
      </w:r>
      <w:r w:rsidR="00D07592" w:rsidRPr="00A17C2C">
        <w:rPr>
          <w:color w:val="000000" w:themeColor="text1"/>
        </w:rPr>
        <w:t xml:space="preserve">and </w:t>
      </w:r>
      <w:proofErr w:type="spellStart"/>
      <w:r w:rsidR="00F91EE9" w:rsidRPr="00A17C2C">
        <w:t>18</w:t>
      </w:r>
      <w:r w:rsidR="004B2834" w:rsidRPr="00A17C2C">
        <w:t>A.</w:t>
      </w:r>
      <w:r w:rsidRPr="00A17C2C">
        <w:t>4</w:t>
      </w:r>
      <w:proofErr w:type="spellEnd"/>
      <w:r w:rsidRPr="00A17C2C">
        <w:t xml:space="preserve">). While the number of public housing and </w:t>
      </w:r>
      <w:proofErr w:type="spellStart"/>
      <w:r w:rsidRPr="00A17C2C">
        <w:t>SOMIH</w:t>
      </w:r>
      <w:proofErr w:type="spellEnd"/>
      <w:r w:rsidRPr="00A17C2C">
        <w:t xml:space="preserve"> households have decreased over the last decade (</w:t>
      </w:r>
      <w:r w:rsidR="00DD52F4" w:rsidRPr="00A17C2C">
        <w:t xml:space="preserve">345 707 </w:t>
      </w:r>
      <w:r w:rsidR="008C3C2F" w:rsidRPr="00A17C2C">
        <w:t>in 2007 to </w:t>
      </w:r>
      <w:r w:rsidR="00DD52F4" w:rsidRPr="00A17C2C">
        <w:t>321 879 </w:t>
      </w:r>
      <w:r w:rsidR="007A6616" w:rsidRPr="00A17C2C">
        <w:t>in 2016</w:t>
      </w:r>
      <w:r w:rsidRPr="00A17C2C">
        <w:t>), there has been an increase in the number of households i</w:t>
      </w:r>
      <w:r w:rsidR="00B60500" w:rsidRPr="00A17C2C">
        <w:t>n community housing, from</w:t>
      </w:r>
      <w:r w:rsidR="008C3C2F" w:rsidRPr="00A17C2C">
        <w:t xml:space="preserve">  33 526 to 72 410 </w:t>
      </w:r>
      <w:r w:rsidRPr="00A17C2C">
        <w:t>(</w:t>
      </w:r>
      <w:r w:rsidR="007A6616" w:rsidRPr="00A17C2C">
        <w:t>table </w:t>
      </w:r>
      <w:proofErr w:type="spellStart"/>
      <w:r w:rsidR="004B2834" w:rsidRPr="00A17C2C">
        <w:t>1</w:t>
      </w:r>
      <w:r w:rsidR="00F91EE9" w:rsidRPr="00A17C2C">
        <w:t>8</w:t>
      </w:r>
      <w:r w:rsidR="004B2834" w:rsidRPr="00A17C2C">
        <w:t>A.</w:t>
      </w:r>
      <w:r w:rsidRPr="00A17C2C">
        <w:t>4</w:t>
      </w:r>
      <w:proofErr w:type="spellEnd"/>
      <w:r w:rsidRPr="00A17C2C">
        <w:t>).</w:t>
      </w:r>
      <w:r w:rsidR="00E06820" w:rsidRPr="00A17C2C">
        <w:t xml:space="preserve"> The expanding role of community housing has been driven primarily by changes in government policy th</w:t>
      </w:r>
      <w:r w:rsidR="00E828F1" w:rsidRPr="00A17C2C">
        <w:t>at encourage the sector to play an increasing</w:t>
      </w:r>
      <w:r w:rsidR="00E06820" w:rsidRPr="00A17C2C">
        <w:t xml:space="preserve"> role in the provision of affordable housing (</w:t>
      </w:r>
      <w:r w:rsidR="00E06820">
        <w:t xml:space="preserve">Productivity Commission 2010). Community housing organisations are working in partnership with </w:t>
      </w:r>
      <w:r w:rsidR="00E06820" w:rsidRPr="00CC1BBB">
        <w:t>the</w:t>
      </w:r>
      <w:r w:rsidR="00E06820">
        <w:t xml:space="preserve"> Australian, State and Territory governments, and the private sector, to increase the supply of affordable housing, and many </w:t>
      </w:r>
      <w:r w:rsidR="00E06820" w:rsidRPr="00821434">
        <w:t xml:space="preserve">of </w:t>
      </w:r>
      <w:r w:rsidR="00E06820">
        <w:t xml:space="preserve">the new </w:t>
      </w:r>
      <w:r w:rsidR="00921F56">
        <w:t xml:space="preserve">social housing </w:t>
      </w:r>
      <w:r w:rsidR="00E06820" w:rsidRPr="00821434">
        <w:t xml:space="preserve">dwellings </w:t>
      </w:r>
      <w:r w:rsidR="00E06820">
        <w:t>are or will be owned or managed by community housing organisations.</w:t>
      </w:r>
    </w:p>
    <w:p w:rsidR="00AA55A1" w:rsidRDefault="00AA55A1" w:rsidP="00223C4D">
      <w:pPr>
        <w:pStyle w:val="Heading4"/>
      </w:pPr>
      <w:r>
        <w:lastRenderedPageBreak/>
        <w:t>Public housing</w:t>
      </w:r>
    </w:p>
    <w:p w:rsidR="00247E35" w:rsidRPr="00A17C2C" w:rsidRDefault="00DF0714" w:rsidP="000958E6">
      <w:pPr>
        <w:pStyle w:val="BodyText"/>
      </w:pPr>
      <w:r w:rsidRPr="00933B6F">
        <w:rPr>
          <w:color w:val="000000" w:themeColor="text1"/>
        </w:rPr>
        <w:t>Nationally a</w:t>
      </w:r>
      <w:r w:rsidR="008E1DDD" w:rsidRPr="00933B6F">
        <w:rPr>
          <w:color w:val="000000" w:themeColor="text1"/>
        </w:rPr>
        <w:t>t 30</w:t>
      </w:r>
      <w:r w:rsidR="00511341" w:rsidRPr="00933B6F">
        <w:rPr>
          <w:color w:val="000000" w:themeColor="text1"/>
        </w:rPr>
        <w:t> </w:t>
      </w:r>
      <w:r w:rsidR="008E1DDD" w:rsidRPr="008F171A">
        <w:rPr>
          <w:color w:val="000000" w:themeColor="text1"/>
        </w:rPr>
        <w:t>June</w:t>
      </w:r>
      <w:r w:rsidR="007D1214" w:rsidRPr="008F171A">
        <w:rPr>
          <w:color w:val="000000" w:themeColor="text1"/>
        </w:rPr>
        <w:t xml:space="preserve"> </w:t>
      </w:r>
      <w:r w:rsidR="008E1DDD" w:rsidRPr="008F171A">
        <w:rPr>
          <w:color w:val="000000" w:themeColor="text1"/>
        </w:rPr>
        <w:t>201</w:t>
      </w:r>
      <w:r w:rsidR="008F171A" w:rsidRPr="008F171A">
        <w:rPr>
          <w:color w:val="000000" w:themeColor="text1"/>
        </w:rPr>
        <w:t>6</w:t>
      </w:r>
      <w:r w:rsidR="008E1DDD" w:rsidRPr="008F171A">
        <w:rPr>
          <w:color w:val="000000" w:themeColor="text1"/>
        </w:rPr>
        <w:t>, there</w:t>
      </w:r>
      <w:r w:rsidR="008E1DDD" w:rsidRPr="00933B6F">
        <w:rPr>
          <w:color w:val="000000" w:themeColor="text1"/>
        </w:rPr>
        <w:t xml:space="preserve"> were</w:t>
      </w:r>
      <w:r w:rsidR="008F171A" w:rsidRPr="008F171A">
        <w:rPr>
          <w:color w:val="000000" w:themeColor="text1"/>
        </w:rPr>
        <w:t xml:space="preserve"> 312 219</w:t>
      </w:r>
      <w:r w:rsidR="008F171A">
        <w:rPr>
          <w:color w:val="000000" w:themeColor="text1"/>
        </w:rPr>
        <w:t xml:space="preserve"> </w:t>
      </w:r>
      <w:r w:rsidR="008E1DDD" w:rsidRPr="00933B6F">
        <w:rPr>
          <w:color w:val="000000" w:themeColor="text1"/>
        </w:rPr>
        <w:t xml:space="preserve">households </w:t>
      </w:r>
      <w:r w:rsidR="00C7685B" w:rsidRPr="00933B6F">
        <w:rPr>
          <w:color w:val="000000" w:themeColor="text1"/>
        </w:rPr>
        <w:t xml:space="preserve">and </w:t>
      </w:r>
      <w:r w:rsidR="008F171A" w:rsidRPr="008F171A">
        <w:rPr>
          <w:color w:val="000000" w:themeColor="text1"/>
        </w:rPr>
        <w:t>320 041</w:t>
      </w:r>
      <w:r w:rsidR="008F171A">
        <w:rPr>
          <w:color w:val="000000" w:themeColor="text1"/>
        </w:rPr>
        <w:t xml:space="preserve"> </w:t>
      </w:r>
      <w:r w:rsidR="00AA55A1" w:rsidRPr="00933B6F">
        <w:rPr>
          <w:color w:val="000000" w:themeColor="text1"/>
        </w:rPr>
        <w:t xml:space="preserve">public housing </w:t>
      </w:r>
      <w:r w:rsidR="00AA55A1" w:rsidRPr="00A17C2C">
        <w:rPr>
          <w:color w:val="000000" w:themeColor="text1"/>
        </w:rPr>
        <w:t>dwellings</w:t>
      </w:r>
      <w:r w:rsidRPr="00A17C2C">
        <w:rPr>
          <w:color w:val="000000" w:themeColor="text1"/>
        </w:rPr>
        <w:t xml:space="preserve"> </w:t>
      </w:r>
      <w:r w:rsidR="00AA55A1" w:rsidRPr="00A17C2C">
        <w:rPr>
          <w:color w:val="000000" w:themeColor="text1"/>
        </w:rPr>
        <w:t>(table</w:t>
      </w:r>
      <w:r w:rsidR="00C47312" w:rsidRPr="00A17C2C">
        <w:rPr>
          <w:color w:val="000000" w:themeColor="text1"/>
        </w:rPr>
        <w:t>s </w:t>
      </w:r>
      <w:proofErr w:type="spellStart"/>
      <w:r w:rsidR="00F91EE9" w:rsidRPr="00A17C2C">
        <w:t>18</w:t>
      </w:r>
      <w:r w:rsidR="004B2834" w:rsidRPr="00A17C2C">
        <w:t>A.</w:t>
      </w:r>
      <w:r w:rsidR="00C47312" w:rsidRPr="00A17C2C">
        <w:rPr>
          <w:color w:val="000000" w:themeColor="text1"/>
        </w:rPr>
        <w:t>3</w:t>
      </w:r>
      <w:proofErr w:type="spellEnd"/>
      <w:r w:rsidR="00C47312" w:rsidRPr="00A17C2C">
        <w:rPr>
          <w:color w:val="000000" w:themeColor="text1"/>
        </w:rPr>
        <w:t xml:space="preserve"> and </w:t>
      </w:r>
      <w:proofErr w:type="spellStart"/>
      <w:r w:rsidR="00F91EE9" w:rsidRPr="00A17C2C">
        <w:t>18</w:t>
      </w:r>
      <w:r w:rsidR="004B2834" w:rsidRPr="00A17C2C">
        <w:t>A.</w:t>
      </w:r>
      <w:r w:rsidR="00C47312" w:rsidRPr="00A17C2C">
        <w:rPr>
          <w:color w:val="000000" w:themeColor="text1"/>
        </w:rPr>
        <w:t>4</w:t>
      </w:r>
      <w:proofErr w:type="spellEnd"/>
      <w:r w:rsidR="008B0FA3" w:rsidRPr="00A17C2C">
        <w:rPr>
          <w:color w:val="000000" w:themeColor="text1"/>
        </w:rPr>
        <w:t>).</w:t>
      </w:r>
      <w:r w:rsidR="00247E35" w:rsidRPr="00A17C2C">
        <w:rPr>
          <w:color w:val="000000" w:themeColor="text1"/>
        </w:rPr>
        <w:t xml:space="preserve"> </w:t>
      </w:r>
      <w:r w:rsidR="00247E35" w:rsidRPr="00A17C2C">
        <w:t>(</w:t>
      </w:r>
      <w:r w:rsidR="00B51CFD" w:rsidRPr="00A17C2C">
        <w:t>Data exclude 5046</w:t>
      </w:r>
      <w:r w:rsidR="00247E35" w:rsidRPr="00A17C2C">
        <w:t xml:space="preserve"> remote public h</w:t>
      </w:r>
      <w:r w:rsidR="009C0D03" w:rsidRPr="00A17C2C">
        <w:t xml:space="preserve">ousing dwellings </w:t>
      </w:r>
      <w:r w:rsidR="00B51CFD" w:rsidRPr="00A17C2C">
        <w:t xml:space="preserve">in the NT </w:t>
      </w:r>
      <w:r w:rsidR="009C0D03" w:rsidRPr="00A17C2C">
        <w:t xml:space="preserve">with </w:t>
      </w:r>
      <w:r w:rsidR="00B51CFD" w:rsidRPr="00A17C2C">
        <w:t>21 865</w:t>
      </w:r>
      <w:r w:rsidR="009C0D03" w:rsidRPr="00A17C2C">
        <w:t xml:space="preserve"> </w:t>
      </w:r>
      <w:r w:rsidR="00247E35" w:rsidRPr="00A17C2C">
        <w:t xml:space="preserve">occupants. Further information is in </w:t>
      </w:r>
      <w:r w:rsidR="00587A0C" w:rsidRPr="00A17C2C">
        <w:t>b</w:t>
      </w:r>
      <w:r w:rsidR="00247E35" w:rsidRPr="00A17C2C">
        <w:t>ox</w:t>
      </w:r>
      <w:r w:rsidR="007D1214" w:rsidRPr="00A17C2C">
        <w:t> </w:t>
      </w:r>
      <w:r w:rsidR="00247E35" w:rsidRPr="00A17C2C">
        <w:t>1</w:t>
      </w:r>
      <w:r w:rsidR="00BB5630" w:rsidRPr="00A17C2C">
        <w:t>8</w:t>
      </w:r>
      <w:r w:rsidR="00247E35" w:rsidRPr="00A17C2C">
        <w:t>.</w:t>
      </w:r>
      <w:r w:rsidR="00B51CFD" w:rsidRPr="00A17C2C">
        <w:t>3</w:t>
      </w:r>
      <w:r w:rsidR="00247E35" w:rsidRPr="00A17C2C">
        <w:t>.</w:t>
      </w:r>
      <w:r w:rsidR="00C9403E" w:rsidRPr="00A17C2C">
        <w:t>)</w:t>
      </w:r>
    </w:p>
    <w:p w:rsidR="00AA55A1" w:rsidRPr="00A17C2C" w:rsidRDefault="00AA55A1" w:rsidP="009463C2">
      <w:pPr>
        <w:pStyle w:val="Heading4"/>
      </w:pPr>
      <w:r w:rsidRPr="00A17C2C">
        <w:t>State owned and managed Indigenous housing</w:t>
      </w:r>
      <w:r w:rsidR="00286A74" w:rsidRPr="00A17C2C">
        <w:t xml:space="preserve"> (</w:t>
      </w:r>
      <w:proofErr w:type="spellStart"/>
      <w:r w:rsidR="00286A74" w:rsidRPr="00A17C2C">
        <w:t>SOMIH</w:t>
      </w:r>
      <w:proofErr w:type="spellEnd"/>
      <w:r w:rsidR="00286A74" w:rsidRPr="00A17C2C">
        <w:t>)</w:t>
      </w:r>
    </w:p>
    <w:p w:rsidR="00591309" w:rsidRPr="00A17C2C" w:rsidRDefault="00D66397" w:rsidP="009463C2">
      <w:pPr>
        <w:pStyle w:val="BodyText"/>
      </w:pPr>
      <w:r w:rsidRPr="00A17C2C">
        <w:t>In</w:t>
      </w:r>
      <w:r w:rsidR="00414150" w:rsidRPr="00A17C2C">
        <w:t xml:space="preserve"> 2016</w:t>
      </w:r>
      <w:r w:rsidR="009C1BDB" w:rsidRPr="00A17C2C">
        <w:t xml:space="preserve">, </w:t>
      </w:r>
      <w:proofErr w:type="spellStart"/>
      <w:r w:rsidR="009C1BDB" w:rsidRPr="00A17C2C">
        <w:t>SOMIH</w:t>
      </w:r>
      <w:proofErr w:type="spellEnd"/>
      <w:r w:rsidR="009C1BDB" w:rsidRPr="00A17C2C">
        <w:t xml:space="preserve"> operated in NSW, Queensland, SA and Tasmania</w:t>
      </w:r>
      <w:r w:rsidR="00D449B7" w:rsidRPr="00A17C2C">
        <w:t xml:space="preserve">. </w:t>
      </w:r>
      <w:r w:rsidR="00042C82" w:rsidRPr="00A17C2C">
        <w:rPr>
          <w:color w:val="000000" w:themeColor="text1"/>
        </w:rPr>
        <w:t xml:space="preserve">Nationally at </w:t>
      </w:r>
      <w:r w:rsidR="00AF7F3A" w:rsidRPr="00A17C2C">
        <w:rPr>
          <w:color w:val="000000" w:themeColor="text1"/>
        </w:rPr>
        <w:t>30 June</w:t>
      </w:r>
      <w:r w:rsidR="00B93213">
        <w:rPr>
          <w:color w:val="000000" w:themeColor="text1"/>
        </w:rPr>
        <w:t xml:space="preserve"> </w:t>
      </w:r>
      <w:r w:rsidR="00414150" w:rsidRPr="00A17C2C">
        <w:rPr>
          <w:color w:val="000000" w:themeColor="text1"/>
        </w:rPr>
        <w:t>2016</w:t>
      </w:r>
      <w:r w:rsidR="001817DA" w:rsidRPr="00A17C2C">
        <w:rPr>
          <w:color w:val="000000" w:themeColor="text1"/>
        </w:rPr>
        <w:t xml:space="preserve">, </w:t>
      </w:r>
      <w:r w:rsidR="0045297E" w:rsidRPr="00A17C2C">
        <w:rPr>
          <w:color w:val="000000" w:themeColor="text1"/>
        </w:rPr>
        <w:t>t</w:t>
      </w:r>
      <w:r w:rsidR="00AA55A1" w:rsidRPr="00A17C2C">
        <w:rPr>
          <w:color w:val="000000" w:themeColor="text1"/>
        </w:rPr>
        <w:t>here were</w:t>
      </w:r>
      <w:r w:rsidR="00414150" w:rsidRPr="00A17C2C">
        <w:rPr>
          <w:color w:val="000000" w:themeColor="text1"/>
        </w:rPr>
        <w:t xml:space="preserve"> 9660</w:t>
      </w:r>
      <w:r w:rsidR="00AF33B6" w:rsidRPr="00A17C2C">
        <w:rPr>
          <w:color w:val="000000" w:themeColor="text1"/>
        </w:rPr>
        <w:t xml:space="preserve"> </w:t>
      </w:r>
      <w:r w:rsidR="00092D60" w:rsidRPr="00A17C2C">
        <w:rPr>
          <w:color w:val="000000" w:themeColor="text1"/>
        </w:rPr>
        <w:t xml:space="preserve">households </w:t>
      </w:r>
      <w:r w:rsidR="0008249A" w:rsidRPr="00A17C2C">
        <w:rPr>
          <w:color w:val="000000" w:themeColor="text1"/>
        </w:rPr>
        <w:t xml:space="preserve">and </w:t>
      </w:r>
      <w:r w:rsidR="00414150" w:rsidRPr="00A17C2C">
        <w:rPr>
          <w:color w:val="000000" w:themeColor="text1"/>
        </w:rPr>
        <w:t xml:space="preserve">9949 </w:t>
      </w:r>
      <w:proofErr w:type="spellStart"/>
      <w:r w:rsidR="00C1551D" w:rsidRPr="00A17C2C">
        <w:rPr>
          <w:color w:val="000000" w:themeColor="text1"/>
        </w:rPr>
        <w:t>S</w:t>
      </w:r>
      <w:r w:rsidR="00C26AB8" w:rsidRPr="00A17C2C">
        <w:rPr>
          <w:color w:val="000000" w:themeColor="text1"/>
        </w:rPr>
        <w:t>OMIH</w:t>
      </w:r>
      <w:proofErr w:type="spellEnd"/>
      <w:r w:rsidR="00C26AB8" w:rsidRPr="00A17C2C">
        <w:rPr>
          <w:color w:val="000000" w:themeColor="text1"/>
        </w:rPr>
        <w:t xml:space="preserve"> </w:t>
      </w:r>
      <w:r w:rsidR="00AA55A1" w:rsidRPr="00A17C2C">
        <w:rPr>
          <w:color w:val="000000" w:themeColor="text1"/>
        </w:rPr>
        <w:t>dwellings</w:t>
      </w:r>
      <w:r w:rsidR="00042C82" w:rsidRPr="00A17C2C">
        <w:rPr>
          <w:color w:val="000000" w:themeColor="text1"/>
        </w:rPr>
        <w:t xml:space="preserve"> </w:t>
      </w:r>
      <w:r w:rsidR="003D4285" w:rsidRPr="00A17C2C">
        <w:rPr>
          <w:color w:val="000000" w:themeColor="text1"/>
        </w:rPr>
        <w:t>(table</w:t>
      </w:r>
      <w:r w:rsidR="00AB77F2" w:rsidRPr="00A17C2C">
        <w:rPr>
          <w:color w:val="000000" w:themeColor="text1"/>
        </w:rPr>
        <w:t>s</w:t>
      </w:r>
      <w:r w:rsidR="007D1214" w:rsidRPr="00A17C2C">
        <w:rPr>
          <w:color w:val="000000" w:themeColor="text1"/>
        </w:rPr>
        <w:t> </w:t>
      </w:r>
      <w:proofErr w:type="spellStart"/>
      <w:r w:rsidR="00F91EE9" w:rsidRPr="00A17C2C">
        <w:t>18</w:t>
      </w:r>
      <w:r w:rsidR="004B2834" w:rsidRPr="00A17C2C">
        <w:t>A.</w:t>
      </w:r>
      <w:r w:rsidR="00AB77F2" w:rsidRPr="00A17C2C">
        <w:rPr>
          <w:color w:val="000000" w:themeColor="text1"/>
        </w:rPr>
        <w:t>3</w:t>
      </w:r>
      <w:proofErr w:type="spellEnd"/>
      <w:r w:rsidR="007C2FC9" w:rsidRPr="00A17C2C">
        <w:rPr>
          <w:color w:val="000000" w:themeColor="text1"/>
        </w:rPr>
        <w:t>–</w:t>
      </w:r>
      <w:r w:rsidR="00AB77F2" w:rsidRPr="00A17C2C">
        <w:rPr>
          <w:color w:val="000000" w:themeColor="text1"/>
        </w:rPr>
        <w:t>4</w:t>
      </w:r>
      <w:r w:rsidR="003D4285" w:rsidRPr="00A17C2C">
        <w:rPr>
          <w:color w:val="000000" w:themeColor="text1"/>
        </w:rPr>
        <w:t>).</w:t>
      </w:r>
    </w:p>
    <w:p w:rsidR="00AA55A1" w:rsidRPr="00A17C2C" w:rsidRDefault="00AA55A1" w:rsidP="009463C2">
      <w:pPr>
        <w:pStyle w:val="Heading4"/>
      </w:pPr>
      <w:r w:rsidRPr="00A17C2C">
        <w:t>Community housing</w:t>
      </w:r>
    </w:p>
    <w:p w:rsidR="004D0537" w:rsidRPr="004372D7" w:rsidRDefault="006C15A0" w:rsidP="006F7A0C">
      <w:pPr>
        <w:pStyle w:val="BodyText"/>
      </w:pPr>
      <w:r w:rsidRPr="00A17C2C">
        <w:t>Nationally at</w:t>
      </w:r>
      <w:r w:rsidR="00024406" w:rsidRPr="00A17C2C">
        <w:t xml:space="preserve"> 30</w:t>
      </w:r>
      <w:r w:rsidR="007D1214" w:rsidRPr="00A17C2C">
        <w:t> </w:t>
      </w:r>
      <w:r w:rsidR="00024406" w:rsidRPr="00A17C2C">
        <w:t>June</w:t>
      </w:r>
      <w:r w:rsidR="00A42B09" w:rsidRPr="00A17C2C">
        <w:t xml:space="preserve"> 2016</w:t>
      </w:r>
      <w:r w:rsidR="00024406" w:rsidRPr="00A17C2C">
        <w:t>,</w:t>
      </w:r>
      <w:r w:rsidR="00A42B09" w:rsidRPr="00A17C2C">
        <w:t xml:space="preserve"> </w:t>
      </w:r>
      <w:r w:rsidRPr="00A17C2C">
        <w:t xml:space="preserve">there were 72 410 </w:t>
      </w:r>
      <w:r w:rsidR="004D0537" w:rsidRPr="00A17C2C">
        <w:t xml:space="preserve">households </w:t>
      </w:r>
      <w:r w:rsidRPr="00A17C2C">
        <w:t xml:space="preserve">and </w:t>
      </w:r>
      <w:r w:rsidR="00605B33" w:rsidRPr="00A17C2C">
        <w:t>80 225</w:t>
      </w:r>
      <w:r w:rsidR="004D0537" w:rsidRPr="00A17C2C">
        <w:t xml:space="preserve"> </w:t>
      </w:r>
      <w:r w:rsidR="00605B33" w:rsidRPr="00A17C2C">
        <w:t xml:space="preserve">community housing </w:t>
      </w:r>
      <w:r w:rsidRPr="00A17C2C">
        <w:t>tenancy rental units</w:t>
      </w:r>
      <w:r w:rsidR="004F5985" w:rsidRPr="00A17C2C">
        <w:t xml:space="preserve"> </w:t>
      </w:r>
      <w:r w:rsidR="004D0537" w:rsidRPr="00A17C2C">
        <w:t>(table</w:t>
      </w:r>
      <w:r w:rsidR="007D1214" w:rsidRPr="00A17C2C">
        <w:t> </w:t>
      </w:r>
      <w:proofErr w:type="spellStart"/>
      <w:r w:rsidR="004B2834" w:rsidRPr="00A17C2C">
        <w:t>1</w:t>
      </w:r>
      <w:r w:rsidR="00F91EE9" w:rsidRPr="00A17C2C">
        <w:t>8</w:t>
      </w:r>
      <w:r w:rsidR="004B2834" w:rsidRPr="00A17C2C">
        <w:t>A.</w:t>
      </w:r>
      <w:r w:rsidR="00A1598A" w:rsidRPr="00A17C2C">
        <w:t>7</w:t>
      </w:r>
      <w:proofErr w:type="spellEnd"/>
      <w:r w:rsidR="004F5985" w:rsidRPr="00A17C2C">
        <w:t>).</w:t>
      </w:r>
    </w:p>
    <w:p w:rsidR="00587A0C" w:rsidRDefault="00587A0C" w:rsidP="00587A0C">
      <w:pPr>
        <w:pStyle w:val="BodyText"/>
      </w:pPr>
      <w:r w:rsidRPr="00A17C2C">
        <w:t>Some forms of community housing also allow tenants to participate</w:t>
      </w:r>
      <w:r>
        <w:t xml:space="preserve"> in the management of their housing. Notwithstanding their common objectives, community housing programs vary within and across jurisdictions in their administration and </w:t>
      </w:r>
      <w:r w:rsidR="00286A74" w:rsidRPr="00CC1BBB">
        <w:t>the</w:t>
      </w:r>
      <w:r w:rsidR="00286A74">
        <w:t xml:space="preserve"> </w:t>
      </w:r>
      <w:r>
        <w:t>types of accommodation</w:t>
      </w:r>
      <w:r w:rsidR="00286A74">
        <w:t xml:space="preserve"> </w:t>
      </w:r>
      <w:r w:rsidR="00286A74" w:rsidRPr="00CC1BBB">
        <w:t>they provide</w:t>
      </w:r>
      <w:r>
        <w:t xml:space="preserve"> (box</w:t>
      </w:r>
      <w:r w:rsidR="007D1214">
        <w:t> </w:t>
      </w:r>
      <w:r>
        <w:t>1</w:t>
      </w:r>
      <w:r w:rsidR="00BB5630">
        <w:t>8</w:t>
      </w:r>
      <w:r>
        <w:t>.</w:t>
      </w:r>
      <w:r w:rsidR="00790CB2">
        <w:t>2</w:t>
      </w:r>
      <w:r>
        <w:t>).</w:t>
      </w:r>
    </w:p>
    <w:p w:rsidR="00B84417" w:rsidRDefault="00B8441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84417" w:rsidTr="003D6F50">
        <w:tc>
          <w:tcPr>
            <w:tcW w:w="8771" w:type="dxa"/>
            <w:tcBorders>
              <w:top w:val="single" w:sz="6" w:space="0" w:color="78A22F"/>
              <w:left w:val="nil"/>
              <w:bottom w:val="nil"/>
              <w:right w:val="nil"/>
            </w:tcBorders>
            <w:shd w:val="clear" w:color="auto" w:fill="F2F2F2"/>
          </w:tcPr>
          <w:p w:rsidR="00B84417" w:rsidRDefault="00B84417" w:rsidP="00B84417">
            <w:pPr>
              <w:pStyle w:val="BoxTitle"/>
            </w:pPr>
            <w:r>
              <w:rPr>
                <w:b w:val="0"/>
              </w:rPr>
              <w:t xml:space="preserve">Box </w:t>
            </w:r>
            <w:r w:rsidRPr="00B84417">
              <w:rPr>
                <w:b w:val="0"/>
              </w:rPr>
              <w:t>18.2</w:t>
            </w:r>
            <w:r>
              <w:tab/>
            </w:r>
            <w:r w:rsidRPr="00B84417">
              <w:t>Models of community housing</w:t>
            </w:r>
          </w:p>
        </w:tc>
      </w:tr>
      <w:tr w:rsidR="00B84417" w:rsidTr="003D6F50">
        <w:tc>
          <w:tcPr>
            <w:tcW w:w="8771" w:type="dxa"/>
            <w:tcBorders>
              <w:top w:val="nil"/>
              <w:left w:val="nil"/>
              <w:bottom w:val="nil"/>
              <w:right w:val="nil"/>
            </w:tcBorders>
            <w:shd w:val="clear" w:color="auto" w:fill="F2F2F2"/>
          </w:tcPr>
          <w:p w:rsidR="00B84417" w:rsidRPr="005E340A" w:rsidRDefault="00B84417" w:rsidP="00B84417">
            <w:pPr>
              <w:pStyle w:val="Box"/>
            </w:pPr>
            <w:r w:rsidRPr="00662C4C">
              <w:t>Community housing models vary across jurisdictions in scale, organisational structure and financing arrangements, and the extent to which community</w:t>
            </w:r>
            <w:r>
              <w:t xml:space="preserve"> organisations or </w:t>
            </w:r>
            <w:r w:rsidRPr="005E340A">
              <w:t xml:space="preserve">government have management responsibility and ownership of the housing stock. </w:t>
            </w:r>
            <w:r w:rsidR="001E2330">
              <w:t>Table</w:t>
            </w:r>
            <w:r w:rsidR="00B93213">
              <w:t> </w:t>
            </w:r>
            <w:proofErr w:type="spellStart"/>
            <w:r w:rsidR="001E2330">
              <w:t>18A.66</w:t>
            </w:r>
            <w:proofErr w:type="spellEnd"/>
            <w:r w:rsidRPr="005E340A">
              <w:t xml:space="preserve"> lists the in</w:t>
            </w:r>
            <w:r>
              <w:noBreakHyphen/>
            </w:r>
            <w:r w:rsidRPr="005E340A">
              <w:t>scope community housing programs in each jurisdiction.</w:t>
            </w:r>
          </w:p>
          <w:p w:rsidR="00B84417" w:rsidRPr="00662C4C" w:rsidRDefault="00B84417" w:rsidP="00B84417">
            <w:pPr>
              <w:pStyle w:val="Box"/>
            </w:pPr>
            <w:r w:rsidRPr="005E340A">
              <w:t>Some models of community housing are:</w:t>
            </w:r>
          </w:p>
          <w:p w:rsidR="00B84417" w:rsidRPr="00662C4C" w:rsidRDefault="00B84417" w:rsidP="00B84417">
            <w:pPr>
              <w:pStyle w:val="Box"/>
              <w:numPr>
                <w:ilvl w:val="0"/>
                <w:numId w:val="15"/>
              </w:numPr>
            </w:pPr>
            <w:r w:rsidRPr="00662C4C">
              <w:rPr>
                <w:i/>
              </w:rPr>
              <w:t>housing cooperatives</w:t>
            </w:r>
            <w:r w:rsidRPr="00662C4C">
              <w:t>, providing tenancy management and maintenance of housing that is owned by government, a central finance company or an individual cooperative</w:t>
            </w:r>
          </w:p>
          <w:p w:rsidR="00B84417" w:rsidRPr="00662C4C" w:rsidRDefault="00B84417" w:rsidP="00B84417">
            <w:pPr>
              <w:pStyle w:val="Box"/>
              <w:numPr>
                <w:ilvl w:val="0"/>
                <w:numId w:val="15"/>
              </w:numPr>
            </w:pPr>
            <w:r w:rsidRPr="00662C4C">
              <w:rPr>
                <w:i/>
              </w:rPr>
              <w:t>local government housing associations</w:t>
            </w:r>
            <w:r w:rsidRPr="00662C4C">
              <w:t>, providing low cost housing within a particular municipality, are closely involved in policy, planning, funding and/or monitoring roles, and can directly manage the housing stock</w:t>
            </w:r>
          </w:p>
          <w:p w:rsidR="00B84417" w:rsidRPr="005E340A" w:rsidRDefault="00B84417" w:rsidP="00B84417">
            <w:pPr>
              <w:pStyle w:val="Box"/>
              <w:numPr>
                <w:ilvl w:val="0"/>
                <w:numId w:val="15"/>
              </w:numPr>
            </w:pPr>
            <w:r w:rsidRPr="005E340A">
              <w:rPr>
                <w:i/>
              </w:rPr>
              <w:t>regional or local housing associations</w:t>
            </w:r>
            <w:r w:rsidRPr="005E340A">
              <w:t>, providing property and tenancy management services, and support services to tenants</w:t>
            </w:r>
          </w:p>
          <w:p w:rsidR="00B84417" w:rsidRPr="005E340A" w:rsidRDefault="00B84417" w:rsidP="00B84417">
            <w:pPr>
              <w:pStyle w:val="Box"/>
              <w:numPr>
                <w:ilvl w:val="0"/>
                <w:numId w:val="15"/>
              </w:numPr>
            </w:pPr>
            <w:r w:rsidRPr="005E340A">
              <w:rPr>
                <w:i/>
              </w:rPr>
              <w:t>specialist</w:t>
            </w:r>
            <w:r w:rsidRPr="00662C4C">
              <w:rPr>
                <w:i/>
              </w:rPr>
              <w:t xml:space="preserve"> providers</w:t>
            </w:r>
            <w:r w:rsidRPr="00662C4C">
              <w:t xml:space="preserve"> are organisations with a specific purpose or function, such as tenancy management, housing development, or for specific target </w:t>
            </w:r>
            <w:r w:rsidRPr="005E340A">
              <w:t>groups (including people with disability)</w:t>
            </w:r>
          </w:p>
          <w:p w:rsidR="00B84417" w:rsidRPr="00662C4C" w:rsidRDefault="00B84417" w:rsidP="00B84417">
            <w:pPr>
              <w:pStyle w:val="Box"/>
              <w:numPr>
                <w:ilvl w:val="0"/>
                <w:numId w:val="15"/>
              </w:numPr>
            </w:pPr>
            <w:r w:rsidRPr="00662C4C">
              <w:rPr>
                <w:i/>
              </w:rPr>
              <w:t xml:space="preserve">broad service delivery </w:t>
            </w:r>
            <w:r w:rsidRPr="00662C4C">
              <w:t>are organisations that provide housing and other welfare services, such as aged care and disability services</w:t>
            </w:r>
          </w:p>
          <w:p w:rsidR="00B84417" w:rsidRDefault="006137AC" w:rsidP="00B84417">
            <w:pPr>
              <w:pStyle w:val="Continued"/>
            </w:pPr>
            <w:r>
              <w:t xml:space="preserve"> </w:t>
            </w:r>
            <w:r w:rsidR="00B84417">
              <w:t>(Continued next page)</w:t>
            </w:r>
          </w:p>
        </w:tc>
      </w:tr>
      <w:tr w:rsidR="00B84417" w:rsidTr="003D6F50">
        <w:tc>
          <w:tcPr>
            <w:tcW w:w="8771" w:type="dxa"/>
            <w:tcBorders>
              <w:top w:val="nil"/>
              <w:left w:val="nil"/>
              <w:bottom w:val="single" w:sz="6" w:space="0" w:color="78A22F"/>
              <w:right w:val="nil"/>
            </w:tcBorders>
            <w:shd w:val="clear" w:color="auto" w:fill="F2F2F2"/>
          </w:tcPr>
          <w:p w:rsidR="00B84417" w:rsidRDefault="00B84417">
            <w:pPr>
              <w:pStyle w:val="Box"/>
              <w:spacing w:before="0" w:line="120" w:lineRule="exact"/>
            </w:pPr>
          </w:p>
        </w:tc>
      </w:tr>
      <w:tr w:rsidR="00B84417" w:rsidRPr="000863A5" w:rsidTr="003D6F50">
        <w:tc>
          <w:tcPr>
            <w:tcW w:w="8771" w:type="dxa"/>
            <w:tcBorders>
              <w:top w:val="single" w:sz="6" w:space="0" w:color="78A22F"/>
              <w:left w:val="nil"/>
              <w:bottom w:val="nil"/>
              <w:right w:val="nil"/>
            </w:tcBorders>
          </w:tcPr>
          <w:p w:rsidR="00B84417" w:rsidRPr="00626D32" w:rsidRDefault="00B84417" w:rsidP="003D6F50">
            <w:pPr>
              <w:pStyle w:val="BoxSpaceBelow"/>
            </w:pPr>
          </w:p>
        </w:tc>
      </w:tr>
    </w:tbl>
    <w:p w:rsidR="008A249E" w:rsidRDefault="008A24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249E" w:rsidTr="0037665F">
        <w:tc>
          <w:tcPr>
            <w:tcW w:w="8771" w:type="dxa"/>
            <w:tcBorders>
              <w:top w:val="single" w:sz="6" w:space="0" w:color="78A22F"/>
              <w:left w:val="nil"/>
              <w:bottom w:val="nil"/>
              <w:right w:val="nil"/>
            </w:tcBorders>
            <w:shd w:val="clear" w:color="auto" w:fill="F2F2F2"/>
          </w:tcPr>
          <w:p w:rsidR="008A249E" w:rsidRDefault="00BB5630" w:rsidP="00B84417">
            <w:pPr>
              <w:pStyle w:val="BoxTitle"/>
            </w:pPr>
            <w:r>
              <w:rPr>
                <w:b w:val="0"/>
              </w:rPr>
              <w:t xml:space="preserve">Box </w:t>
            </w:r>
            <w:bookmarkStart w:id="10" w:name="OLE_LINK1"/>
            <w:r w:rsidR="00040F38">
              <w:rPr>
                <w:b w:val="0"/>
              </w:rPr>
              <w:t>18.</w:t>
            </w:r>
            <w:r w:rsidR="00892185">
              <w:rPr>
                <w:b w:val="0"/>
                <w:noProof/>
              </w:rPr>
              <w:t>2</w:t>
            </w:r>
            <w:bookmarkEnd w:id="10"/>
            <w:r w:rsidR="008A249E">
              <w:tab/>
            </w:r>
            <w:r w:rsidR="00B84417" w:rsidRPr="006B53F0">
              <w:rPr>
                <w:b w:val="0"/>
                <w:sz w:val="18"/>
                <w:szCs w:val="18"/>
              </w:rPr>
              <w:t>(continued)</w:t>
            </w:r>
          </w:p>
        </w:tc>
      </w:tr>
      <w:tr w:rsidR="008A249E" w:rsidTr="0037665F">
        <w:trPr>
          <w:cantSplit/>
        </w:trPr>
        <w:tc>
          <w:tcPr>
            <w:tcW w:w="8771" w:type="dxa"/>
            <w:tcBorders>
              <w:top w:val="nil"/>
              <w:left w:val="nil"/>
              <w:bottom w:val="nil"/>
              <w:right w:val="nil"/>
            </w:tcBorders>
            <w:shd w:val="clear" w:color="auto" w:fill="F2F2F2"/>
          </w:tcPr>
          <w:p w:rsidR="006137AC" w:rsidRDefault="006137AC" w:rsidP="006137AC">
            <w:pPr>
              <w:pStyle w:val="Box"/>
              <w:numPr>
                <w:ilvl w:val="0"/>
                <w:numId w:val="15"/>
              </w:numPr>
            </w:pPr>
            <w:r w:rsidRPr="00662C4C">
              <w:rPr>
                <w:i/>
              </w:rPr>
              <w:t>vertically integrated providers of affordable housing</w:t>
            </w:r>
            <w:r w:rsidRPr="00662C4C">
              <w:t xml:space="preserve"> are involved in all stages of providing affordable housing, from construction to property and tenancy management</w:t>
            </w:r>
          </w:p>
          <w:p w:rsidR="006137AC" w:rsidRDefault="006137AC" w:rsidP="006137AC">
            <w:pPr>
              <w:pStyle w:val="Box"/>
              <w:numPr>
                <w:ilvl w:val="0"/>
                <w:numId w:val="15"/>
              </w:numPr>
            </w:pPr>
            <w:r w:rsidRPr="00662C4C">
              <w:rPr>
                <w:i/>
              </w:rPr>
              <w:t>community ownership and/or management</w:t>
            </w:r>
            <w:r w:rsidRPr="00662C4C">
              <w:t>, where housing is owned and/or managed b</w:t>
            </w:r>
            <w:r>
              <w:t xml:space="preserve">y </w:t>
            </w:r>
            <w:r>
              <w:br/>
              <w:t>not–for–</w:t>
            </w:r>
            <w:r w:rsidRPr="00662C4C">
              <w:t>profit or community housing associations</w:t>
            </w:r>
          </w:p>
          <w:p w:rsidR="006137AC" w:rsidRPr="00662C4C" w:rsidRDefault="006137AC" w:rsidP="006137AC">
            <w:pPr>
              <w:pStyle w:val="Box"/>
              <w:numPr>
                <w:ilvl w:val="0"/>
                <w:numId w:val="15"/>
              </w:numPr>
            </w:pPr>
            <w:r w:rsidRPr="00662C4C">
              <w:rPr>
                <w:i/>
              </w:rPr>
              <w:t>joint ventures and housing partnerships</w:t>
            </w:r>
            <w:r w:rsidRPr="00662C4C">
              <w:t>, where church and welfare entities, local government, private sector and other organisations provide resources in cooperation with State and Territory governments; or where groups of community housing providers form partnerships to maximise growth opportunities, share resources and/or manage risk</w:t>
            </w:r>
          </w:p>
          <w:p w:rsidR="008A249E" w:rsidRDefault="008A249E" w:rsidP="008A249E">
            <w:pPr>
              <w:pStyle w:val="Box"/>
              <w:numPr>
                <w:ilvl w:val="0"/>
                <w:numId w:val="15"/>
              </w:numPr>
            </w:pPr>
            <w:r w:rsidRPr="003252E4">
              <w:rPr>
                <w:i/>
              </w:rPr>
              <w:t>equity share rental housing</w:t>
            </w:r>
            <w:r w:rsidRPr="00662C4C">
              <w:t>, where housing cooperatives wholly own the housing stock and lease it to tenants (who are shareholders in the cooperative and, therefore, have the rights and responsibilities of cooperative management).</w:t>
            </w:r>
          </w:p>
        </w:tc>
      </w:tr>
      <w:tr w:rsidR="008A249E" w:rsidTr="0037665F">
        <w:trPr>
          <w:cantSplit/>
        </w:trPr>
        <w:tc>
          <w:tcPr>
            <w:tcW w:w="8771" w:type="dxa"/>
            <w:tcBorders>
              <w:top w:val="nil"/>
              <w:left w:val="nil"/>
              <w:bottom w:val="nil"/>
              <w:right w:val="nil"/>
            </w:tcBorders>
            <w:shd w:val="clear" w:color="auto" w:fill="F2F2F2"/>
          </w:tcPr>
          <w:p w:rsidR="008A249E" w:rsidRDefault="008A249E" w:rsidP="0037665F">
            <w:pPr>
              <w:pStyle w:val="BoxSource"/>
            </w:pPr>
            <w:r>
              <w:rPr>
                <w:i/>
              </w:rPr>
              <w:t>Source</w:t>
            </w:r>
            <w:r w:rsidRPr="00167F06">
              <w:t xml:space="preserve">: </w:t>
            </w:r>
            <w:r w:rsidRPr="00662C4C">
              <w:t>Australian, State and Territory governments (unpublished).</w:t>
            </w:r>
          </w:p>
        </w:tc>
      </w:tr>
      <w:tr w:rsidR="008A249E" w:rsidTr="0037665F">
        <w:trPr>
          <w:cantSplit/>
        </w:trPr>
        <w:tc>
          <w:tcPr>
            <w:tcW w:w="8771" w:type="dxa"/>
            <w:tcBorders>
              <w:top w:val="nil"/>
              <w:left w:val="nil"/>
              <w:bottom w:val="single" w:sz="6" w:space="0" w:color="78A22F"/>
              <w:right w:val="nil"/>
            </w:tcBorders>
            <w:shd w:val="clear" w:color="auto" w:fill="F2F2F2"/>
          </w:tcPr>
          <w:p w:rsidR="008A249E" w:rsidRDefault="008A249E">
            <w:pPr>
              <w:pStyle w:val="Box"/>
              <w:spacing w:before="0" w:line="120" w:lineRule="exact"/>
            </w:pPr>
          </w:p>
        </w:tc>
      </w:tr>
      <w:tr w:rsidR="008A249E" w:rsidRPr="000863A5" w:rsidTr="0037665F">
        <w:tc>
          <w:tcPr>
            <w:tcW w:w="8771" w:type="dxa"/>
            <w:tcBorders>
              <w:top w:val="single" w:sz="6" w:space="0" w:color="78A22F"/>
              <w:left w:val="nil"/>
              <w:bottom w:val="nil"/>
              <w:right w:val="nil"/>
            </w:tcBorders>
          </w:tcPr>
          <w:p w:rsidR="008A249E" w:rsidRPr="00626D32" w:rsidRDefault="008A249E" w:rsidP="0037665F">
            <w:pPr>
              <w:pStyle w:val="BoxSpaceBelow"/>
            </w:pPr>
          </w:p>
        </w:tc>
      </w:tr>
    </w:tbl>
    <w:p w:rsidR="00143193" w:rsidRDefault="00143193" w:rsidP="004F5372">
      <w:pPr>
        <w:pStyle w:val="Heading4"/>
      </w:pPr>
      <w:r>
        <w:t>Indigenous community housing</w:t>
      </w:r>
    </w:p>
    <w:p w:rsidR="00621E7E" w:rsidRPr="005E340A" w:rsidRDefault="00745D90" w:rsidP="00621E7E">
      <w:pPr>
        <w:pStyle w:val="BodyText"/>
      </w:pPr>
      <w:r>
        <w:t>A</w:t>
      </w:r>
      <w:r w:rsidR="00E7662B">
        <w:t>s at 30</w:t>
      </w:r>
      <w:r w:rsidR="007D1214">
        <w:t> </w:t>
      </w:r>
      <w:r w:rsidR="00E7662B">
        <w:t>June</w:t>
      </w:r>
      <w:r w:rsidR="00414150">
        <w:t xml:space="preserve"> 2015</w:t>
      </w:r>
      <w:r w:rsidR="00E7662B">
        <w:t xml:space="preserve"> there were</w:t>
      </w:r>
      <w:r w:rsidR="00980CF3">
        <w:t xml:space="preserve"> 13 </w:t>
      </w:r>
      <w:r w:rsidR="00980CF3" w:rsidRPr="00980CF3">
        <w:t>088</w:t>
      </w:r>
      <w:r w:rsidR="00980CF3">
        <w:t xml:space="preserve"> </w:t>
      </w:r>
      <w:r w:rsidR="00A1072E" w:rsidRPr="00A1072E">
        <w:t>households</w:t>
      </w:r>
      <w:r w:rsidR="00A1072E">
        <w:t xml:space="preserve"> </w:t>
      </w:r>
      <w:r w:rsidR="00980CF3">
        <w:t>and</w:t>
      </w:r>
      <w:r w:rsidR="00A1072E" w:rsidRPr="005E340A">
        <w:t xml:space="preserve"> </w:t>
      </w:r>
      <w:r w:rsidR="003B54E5" w:rsidRPr="00D344B3">
        <w:t xml:space="preserve">15 643 </w:t>
      </w:r>
      <w:r w:rsidR="00A1072E" w:rsidRPr="00D344B3">
        <w:t xml:space="preserve">permanent </w:t>
      </w:r>
      <w:r w:rsidR="0013550D" w:rsidRPr="00D344B3">
        <w:t>Indigenous community housing (</w:t>
      </w:r>
      <w:proofErr w:type="spellStart"/>
      <w:r w:rsidR="00A1072E" w:rsidRPr="00D344B3">
        <w:t>ICH</w:t>
      </w:r>
      <w:proofErr w:type="spellEnd"/>
      <w:r w:rsidR="0013550D" w:rsidRPr="00D344B3">
        <w:t>)</w:t>
      </w:r>
      <w:r w:rsidR="00A1072E" w:rsidRPr="00D344B3">
        <w:t xml:space="preserve"> dwellings</w:t>
      </w:r>
      <w:r w:rsidRPr="00D344B3">
        <w:t xml:space="preserve"> </w:t>
      </w:r>
      <w:r w:rsidR="00C81086" w:rsidRPr="00D344B3">
        <w:t xml:space="preserve">managed by government funded </w:t>
      </w:r>
      <w:proofErr w:type="spellStart"/>
      <w:r w:rsidR="00C81086" w:rsidRPr="00D344B3">
        <w:t>ICH</w:t>
      </w:r>
      <w:proofErr w:type="spellEnd"/>
      <w:r w:rsidR="00C81086" w:rsidRPr="00D344B3">
        <w:t xml:space="preserve"> organisations </w:t>
      </w:r>
      <w:r w:rsidR="00C81086" w:rsidRPr="00C81086">
        <w:t>(latest available data) (table</w:t>
      </w:r>
      <w:r w:rsidR="00B93213">
        <w:t> </w:t>
      </w:r>
      <w:proofErr w:type="spellStart"/>
      <w:r w:rsidR="00C81086" w:rsidRPr="00C81086">
        <w:t>18A.8</w:t>
      </w:r>
      <w:proofErr w:type="spellEnd"/>
      <w:r w:rsidR="00C81086" w:rsidRPr="00C81086">
        <w:t>)</w:t>
      </w:r>
      <w:r w:rsidR="00621E7E" w:rsidRPr="005E340A">
        <w:t>.</w:t>
      </w:r>
    </w:p>
    <w:p w:rsidR="00BD69C9" w:rsidRDefault="00E7662B" w:rsidP="00C97A52">
      <w:pPr>
        <w:pStyle w:val="BodyText"/>
      </w:pPr>
      <w:proofErr w:type="spellStart"/>
      <w:r w:rsidRPr="005E340A">
        <w:t>ICH</w:t>
      </w:r>
      <w:proofErr w:type="spellEnd"/>
      <w:r w:rsidRPr="005E340A">
        <w:t xml:space="preserve"> </w:t>
      </w:r>
      <w:r w:rsidR="00C86B91" w:rsidRPr="005E340A">
        <w:t xml:space="preserve">is generally </w:t>
      </w:r>
      <w:r w:rsidRPr="005E340A">
        <w:t xml:space="preserve">managed by </w:t>
      </w:r>
      <w:proofErr w:type="spellStart"/>
      <w:r w:rsidRPr="005E340A">
        <w:t>ICH</w:t>
      </w:r>
      <w:proofErr w:type="spellEnd"/>
      <w:r w:rsidRPr="005E340A">
        <w:t xml:space="preserve"> organisations (although some </w:t>
      </w:r>
      <w:proofErr w:type="spellStart"/>
      <w:r w:rsidRPr="005E340A">
        <w:t>ICH</w:t>
      </w:r>
      <w:proofErr w:type="spellEnd"/>
      <w:r w:rsidRPr="005E340A">
        <w:t xml:space="preserve"> dwellings are managed by State and Territory housing authorities). </w:t>
      </w:r>
      <w:proofErr w:type="spellStart"/>
      <w:r w:rsidR="00621E7E" w:rsidRPr="005E340A">
        <w:t>ICH</w:t>
      </w:r>
      <w:proofErr w:type="spellEnd"/>
      <w:r w:rsidR="00621E7E" w:rsidRPr="005E340A">
        <w:t xml:space="preserve"> is</w:t>
      </w:r>
      <w:r w:rsidR="004D6AFF" w:rsidRPr="005E340A">
        <w:t xml:space="preserve"> funded through the NAH </w:t>
      </w:r>
      <w:proofErr w:type="spellStart"/>
      <w:r w:rsidR="002F0287" w:rsidRPr="005E340A">
        <w:t>SPP</w:t>
      </w:r>
      <w:proofErr w:type="spellEnd"/>
      <w:r w:rsidR="002F0287" w:rsidRPr="005E340A">
        <w:t xml:space="preserve"> </w:t>
      </w:r>
      <w:r w:rsidR="003C6643" w:rsidRPr="005E340A">
        <w:t>and the associated</w:t>
      </w:r>
      <w:r w:rsidR="00BD69C9" w:rsidRPr="005E340A">
        <w:t xml:space="preserve"> </w:t>
      </w:r>
      <w:r w:rsidR="004D6AFF" w:rsidRPr="005E340A">
        <w:t>National Partnership Agreement on Remote Indigenous Housing</w:t>
      </w:r>
      <w:r w:rsidR="0032023D" w:rsidRPr="005E340A">
        <w:t xml:space="preserve"> (</w:t>
      </w:r>
      <w:proofErr w:type="spellStart"/>
      <w:r w:rsidR="0032023D" w:rsidRPr="005E340A">
        <w:t>NPA</w:t>
      </w:r>
      <w:proofErr w:type="spellEnd"/>
      <w:r w:rsidR="00680CBA">
        <w:t> </w:t>
      </w:r>
      <w:proofErr w:type="spellStart"/>
      <w:r w:rsidR="0032023D" w:rsidRPr="005E340A">
        <w:t>RIH</w:t>
      </w:r>
      <w:proofErr w:type="spellEnd"/>
      <w:r w:rsidR="0032023D" w:rsidRPr="005E340A">
        <w:t>)</w:t>
      </w:r>
      <w:r w:rsidR="003C6643" w:rsidRPr="005E340A">
        <w:t xml:space="preserve"> until 30</w:t>
      </w:r>
      <w:r w:rsidR="007D1214">
        <w:t> </w:t>
      </w:r>
      <w:r w:rsidR="003C6643" w:rsidRPr="005E340A">
        <w:t>June 2018</w:t>
      </w:r>
      <w:r w:rsidR="00677711" w:rsidRPr="005E340A">
        <w:t>.</w:t>
      </w:r>
      <w:r w:rsidR="0013550D">
        <w:t xml:space="preserve"> </w:t>
      </w:r>
      <w:r w:rsidR="00284627" w:rsidRPr="005E340A">
        <w:t>S</w:t>
      </w:r>
      <w:r w:rsidR="00D04DF1" w:rsidRPr="005E340A">
        <w:t>tate and Territory governments assumed responsibility</w:t>
      </w:r>
      <w:r w:rsidR="00D04DF1">
        <w:t xml:space="preserve"> for administering </w:t>
      </w:r>
      <w:proofErr w:type="spellStart"/>
      <w:r w:rsidR="00D04DF1">
        <w:t>ICH</w:t>
      </w:r>
      <w:proofErr w:type="spellEnd"/>
      <w:r w:rsidR="00D04DF1">
        <w:t xml:space="preserve"> in urban and regional areas</w:t>
      </w:r>
      <w:r w:rsidR="00550191">
        <w:t xml:space="preserve">, </w:t>
      </w:r>
      <w:r w:rsidR="004F5372">
        <w:t>however</w:t>
      </w:r>
      <w:r w:rsidR="00BD69C9">
        <w:t xml:space="preserve"> </w:t>
      </w:r>
      <w:r w:rsidR="00550191">
        <w:t xml:space="preserve">arrangements </w:t>
      </w:r>
      <w:r w:rsidR="00355798">
        <w:t xml:space="preserve">varied </w:t>
      </w:r>
      <w:r w:rsidR="00550191">
        <w:t>across jurisdictions.</w:t>
      </w:r>
    </w:p>
    <w:p w:rsidR="001363B3" w:rsidRDefault="007D74BA" w:rsidP="00C97A52">
      <w:pPr>
        <w:pStyle w:val="BodyText"/>
        <w:rPr>
          <w:color w:val="000000"/>
        </w:rPr>
      </w:pPr>
      <w:r>
        <w:t xml:space="preserve">Some </w:t>
      </w:r>
      <w:proofErr w:type="spellStart"/>
      <w:r>
        <w:t>ICH</w:t>
      </w:r>
      <w:proofErr w:type="spellEnd"/>
      <w:r>
        <w:t xml:space="preserve"> dwellings were transferred to other social housing </w:t>
      </w:r>
      <w:r w:rsidRPr="00C80165">
        <w:rPr>
          <w:color w:val="000000"/>
        </w:rPr>
        <w:t>programs</w:t>
      </w:r>
      <w:r w:rsidR="000558C3">
        <w:rPr>
          <w:color w:val="000000"/>
        </w:rPr>
        <w:t xml:space="preserve">, with </w:t>
      </w:r>
      <w:r w:rsidR="00FD78D8">
        <w:rPr>
          <w:color w:val="000000"/>
        </w:rPr>
        <w:t>a major</w:t>
      </w:r>
      <w:r w:rsidR="00621E7E">
        <w:rPr>
          <w:color w:val="000000"/>
        </w:rPr>
        <w:t xml:space="preserve"> </w:t>
      </w:r>
      <w:r w:rsidR="000558C3">
        <w:rPr>
          <w:color w:val="000000"/>
        </w:rPr>
        <w:t xml:space="preserve">asset </w:t>
      </w:r>
      <w:r w:rsidR="00621E7E">
        <w:rPr>
          <w:color w:val="000000"/>
        </w:rPr>
        <w:t xml:space="preserve">transfer </w:t>
      </w:r>
      <w:r w:rsidR="003C6643">
        <w:rPr>
          <w:color w:val="000000"/>
        </w:rPr>
        <w:t xml:space="preserve">affecting </w:t>
      </w:r>
      <w:r w:rsidR="004F5372">
        <w:rPr>
          <w:color w:val="000000"/>
        </w:rPr>
        <w:t xml:space="preserve">social </w:t>
      </w:r>
      <w:r w:rsidR="003C6643">
        <w:rPr>
          <w:color w:val="000000"/>
        </w:rPr>
        <w:t>housing performance data for</w:t>
      </w:r>
      <w:r w:rsidR="00621E7E">
        <w:rPr>
          <w:color w:val="000000"/>
        </w:rPr>
        <w:t xml:space="preserve"> the N</w:t>
      </w:r>
      <w:r w:rsidR="00E06820">
        <w:rPr>
          <w:color w:val="000000"/>
        </w:rPr>
        <w:t>T</w:t>
      </w:r>
      <w:r w:rsidR="000558C3">
        <w:rPr>
          <w:color w:val="000000"/>
        </w:rPr>
        <w:t xml:space="preserve"> (box</w:t>
      </w:r>
      <w:r w:rsidR="007D1214">
        <w:rPr>
          <w:color w:val="000000"/>
        </w:rPr>
        <w:t> </w:t>
      </w:r>
      <w:r w:rsidR="000558C3">
        <w:rPr>
          <w:color w:val="000000"/>
        </w:rPr>
        <w:t>1</w:t>
      </w:r>
      <w:r w:rsidR="00BB5630">
        <w:rPr>
          <w:color w:val="000000"/>
        </w:rPr>
        <w:t>8</w:t>
      </w:r>
      <w:r w:rsidR="000558C3">
        <w:rPr>
          <w:color w:val="000000"/>
        </w:rPr>
        <w:t>.</w:t>
      </w:r>
      <w:r w:rsidR="00790CB2">
        <w:rPr>
          <w:color w:val="000000"/>
        </w:rPr>
        <w:t>3</w:t>
      </w:r>
      <w:r w:rsidR="000558C3">
        <w:rPr>
          <w:color w:val="000000"/>
        </w:rPr>
        <w:t>)</w:t>
      </w:r>
      <w:r w:rsidR="00725040" w:rsidRPr="00C80165">
        <w:rPr>
          <w:color w:val="000000"/>
        </w:rPr>
        <w:t>.</w:t>
      </w:r>
    </w:p>
    <w:p w:rsidR="0089066C" w:rsidRDefault="008906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9066C" w:rsidTr="00851E6E">
        <w:tc>
          <w:tcPr>
            <w:tcW w:w="8771" w:type="dxa"/>
            <w:tcBorders>
              <w:top w:val="single" w:sz="6" w:space="0" w:color="78A22F"/>
              <w:left w:val="nil"/>
              <w:bottom w:val="nil"/>
              <w:right w:val="nil"/>
            </w:tcBorders>
            <w:shd w:val="clear" w:color="auto" w:fill="F2F2F2"/>
          </w:tcPr>
          <w:p w:rsidR="0089066C" w:rsidRDefault="0089066C">
            <w:pPr>
              <w:pStyle w:val="BoxTitle"/>
            </w:pPr>
            <w:r>
              <w:rPr>
                <w:b w:val="0"/>
              </w:rPr>
              <w:t>Box 18.</w:t>
            </w:r>
            <w:r w:rsidR="00892185">
              <w:rPr>
                <w:b w:val="0"/>
                <w:noProof/>
              </w:rPr>
              <w:t>3</w:t>
            </w:r>
            <w:r>
              <w:tab/>
            </w:r>
            <w:r w:rsidRPr="0089066C">
              <w:t xml:space="preserve">Asset transfer from </w:t>
            </w:r>
            <w:proofErr w:type="spellStart"/>
            <w:r w:rsidRPr="0089066C">
              <w:t>ICH</w:t>
            </w:r>
            <w:proofErr w:type="spellEnd"/>
            <w:r w:rsidRPr="0089066C">
              <w:t xml:space="preserve"> to remote public housing in the Northern Territory</w:t>
            </w:r>
          </w:p>
        </w:tc>
      </w:tr>
      <w:tr w:rsidR="0089066C" w:rsidTr="00851E6E">
        <w:tc>
          <w:tcPr>
            <w:tcW w:w="8771" w:type="dxa"/>
            <w:tcBorders>
              <w:top w:val="nil"/>
              <w:left w:val="nil"/>
              <w:bottom w:val="nil"/>
              <w:right w:val="nil"/>
            </w:tcBorders>
            <w:shd w:val="clear" w:color="auto" w:fill="F2F2F2"/>
          </w:tcPr>
          <w:p w:rsidR="0089066C" w:rsidRPr="006F7A0C" w:rsidRDefault="0089066C" w:rsidP="00C8767A">
            <w:pPr>
              <w:pStyle w:val="Box"/>
            </w:pPr>
            <w:r>
              <w:t>Around 5000 social housing dwellings in the NT have been excluded from the</w:t>
            </w:r>
            <w:r w:rsidRPr="008F2728">
              <w:t xml:space="preserve"> </w:t>
            </w:r>
            <w:r>
              <w:t xml:space="preserve">administrative </w:t>
            </w:r>
            <w:r w:rsidRPr="008F2728">
              <w:t>data collections</w:t>
            </w:r>
            <w:r>
              <w:t xml:space="preserve"> used in this Report </w:t>
            </w:r>
            <w:r w:rsidRPr="00C8767A">
              <w:t>since</w:t>
            </w:r>
            <w:r>
              <w:t xml:space="preserve"> being </w:t>
            </w:r>
            <w:r w:rsidRPr="00A17C2C">
              <w:t xml:space="preserve">transferred from </w:t>
            </w:r>
            <w:proofErr w:type="spellStart"/>
            <w:r w:rsidRPr="00A17C2C">
              <w:t>ICH</w:t>
            </w:r>
            <w:proofErr w:type="spellEnd"/>
            <w:r w:rsidRPr="00A17C2C">
              <w:t xml:space="preserve"> to remote public housing between 2008 and 2010. As at 30 June 2016, approximately 5046 dwellings with approximately 21 865 residen</w:t>
            </w:r>
            <w:r>
              <w:t>ts were excluded.</w:t>
            </w:r>
          </w:p>
          <w:p w:rsidR="0089066C" w:rsidRDefault="0089066C" w:rsidP="0089066C">
            <w:pPr>
              <w:pStyle w:val="Box"/>
            </w:pPr>
            <w:r>
              <w:t>Data for these dwellings are expected to be included in the 2018 Report.</w:t>
            </w:r>
          </w:p>
        </w:tc>
      </w:tr>
      <w:tr w:rsidR="0089066C" w:rsidTr="00851E6E">
        <w:tc>
          <w:tcPr>
            <w:tcW w:w="8771" w:type="dxa"/>
            <w:tcBorders>
              <w:top w:val="nil"/>
              <w:left w:val="nil"/>
              <w:bottom w:val="nil"/>
              <w:right w:val="nil"/>
            </w:tcBorders>
            <w:shd w:val="clear" w:color="auto" w:fill="F2F2F2"/>
          </w:tcPr>
          <w:p w:rsidR="0089066C" w:rsidRDefault="0089066C" w:rsidP="0089066C">
            <w:pPr>
              <w:pStyle w:val="BoxSource"/>
            </w:pPr>
            <w:r w:rsidRPr="00415F37">
              <w:rPr>
                <w:i/>
              </w:rPr>
              <w:t>Source</w:t>
            </w:r>
            <w:r w:rsidRPr="00415F37">
              <w:t>:</w:t>
            </w:r>
            <w:r>
              <w:t xml:space="preserve"> </w:t>
            </w:r>
            <w:r w:rsidRPr="00415F37">
              <w:t>NT Government (unpublished)</w:t>
            </w:r>
            <w:r>
              <w:t>.</w:t>
            </w:r>
          </w:p>
        </w:tc>
      </w:tr>
      <w:tr w:rsidR="0089066C" w:rsidTr="00851E6E">
        <w:tc>
          <w:tcPr>
            <w:tcW w:w="8771" w:type="dxa"/>
            <w:tcBorders>
              <w:top w:val="nil"/>
              <w:left w:val="nil"/>
              <w:bottom w:val="single" w:sz="6" w:space="0" w:color="78A22F"/>
              <w:right w:val="nil"/>
            </w:tcBorders>
            <w:shd w:val="clear" w:color="auto" w:fill="F2F2F2"/>
          </w:tcPr>
          <w:p w:rsidR="0089066C" w:rsidRDefault="0089066C">
            <w:pPr>
              <w:pStyle w:val="Box"/>
              <w:spacing w:before="0" w:line="120" w:lineRule="exact"/>
            </w:pPr>
          </w:p>
        </w:tc>
      </w:tr>
      <w:tr w:rsidR="0089066C" w:rsidRPr="000863A5" w:rsidTr="00851E6E">
        <w:tc>
          <w:tcPr>
            <w:tcW w:w="8771" w:type="dxa"/>
            <w:tcBorders>
              <w:top w:val="single" w:sz="6" w:space="0" w:color="78A22F"/>
              <w:left w:val="nil"/>
              <w:bottom w:val="nil"/>
              <w:right w:val="nil"/>
            </w:tcBorders>
          </w:tcPr>
          <w:p w:rsidR="0089066C" w:rsidRPr="00626D32" w:rsidRDefault="0089066C" w:rsidP="00851E6E">
            <w:pPr>
              <w:pStyle w:val="BoxSpaceBelow"/>
            </w:pPr>
          </w:p>
        </w:tc>
      </w:tr>
    </w:tbl>
    <w:p w:rsidR="00DB482D" w:rsidRPr="00A10F67" w:rsidRDefault="008E11E4" w:rsidP="007E7F5A">
      <w:pPr>
        <w:pStyle w:val="Heading3"/>
        <w:spacing w:before="480"/>
      </w:pPr>
      <w:r w:rsidRPr="00A10F67">
        <w:lastRenderedPageBreak/>
        <w:t>D</w:t>
      </w:r>
      <w:r w:rsidR="00DB482D" w:rsidRPr="00A10F67">
        <w:t xml:space="preserve">iversity of State and Territory </w:t>
      </w:r>
      <w:r w:rsidR="00F2314A" w:rsidRPr="00A10F67">
        <w:t>g</w:t>
      </w:r>
      <w:r w:rsidR="00981F3C" w:rsidRPr="00A10F67">
        <w:t>overnment social</w:t>
      </w:r>
      <w:r w:rsidR="00535739" w:rsidRPr="00A10F67">
        <w:t xml:space="preserve"> housing</w:t>
      </w:r>
    </w:p>
    <w:p w:rsidR="00DB482D" w:rsidRDefault="002F7229" w:rsidP="00DB482D">
      <w:pPr>
        <w:pStyle w:val="BodyText"/>
      </w:pPr>
      <w:r>
        <w:t xml:space="preserve">While </w:t>
      </w:r>
      <w:r w:rsidR="00DB482D">
        <w:t xml:space="preserve">State and Territory governments have similar broad objectives for providing </w:t>
      </w:r>
      <w:r w:rsidR="000C4D74">
        <w:t xml:space="preserve">social </w:t>
      </w:r>
      <w:r w:rsidR="00DB482D">
        <w:t>housing</w:t>
      </w:r>
      <w:r>
        <w:t>, the</w:t>
      </w:r>
      <w:r w:rsidR="00E06820">
        <w:t xml:space="preserve"> </w:t>
      </w:r>
      <w:r w:rsidR="00DB482D">
        <w:t>emphasis</w:t>
      </w:r>
      <w:r w:rsidR="00E06820">
        <w:t xml:space="preserve"> each places on an</w:t>
      </w:r>
      <w:r w:rsidR="00DB482D">
        <w:t xml:space="preserve"> </w:t>
      </w:r>
      <w:r w:rsidR="00E06820">
        <w:t xml:space="preserve">individual </w:t>
      </w:r>
      <w:r w:rsidR="00DB482D">
        <w:t>objective</w:t>
      </w:r>
      <w:r w:rsidR="00E06820">
        <w:t xml:space="preserve"> differs</w:t>
      </w:r>
      <w:r w:rsidR="00DB482D">
        <w:t xml:space="preserve"> depending on historical precedents</w:t>
      </w:r>
      <w:r>
        <w:t xml:space="preserve"> and</w:t>
      </w:r>
      <w:r w:rsidR="00DB482D">
        <w:t xml:space="preserve"> </w:t>
      </w:r>
      <w:r>
        <w:t>processes for</w:t>
      </w:r>
      <w:r w:rsidR="00DB482D">
        <w:t xml:space="preserve"> interacti</w:t>
      </w:r>
      <w:r>
        <w:t>o</w:t>
      </w:r>
      <w:r w:rsidR="00DB482D">
        <w:t xml:space="preserve">n with community sector providers. </w:t>
      </w:r>
      <w:r>
        <w:t>P</w:t>
      </w:r>
      <w:r w:rsidR="00DB482D">
        <w:t>rivate housing market</w:t>
      </w:r>
      <w:r w:rsidR="002833BC">
        <w:t>s</w:t>
      </w:r>
      <w:r>
        <w:t xml:space="preserve"> also vary across jurisdictions</w:t>
      </w:r>
      <w:r w:rsidR="002833BC">
        <w:t xml:space="preserve">. </w:t>
      </w:r>
      <w:r>
        <w:t>Accordingly,</w:t>
      </w:r>
      <w:r w:rsidR="00DB482D">
        <w:t xml:space="preserve"> policy responses and associated forms of assistance</w:t>
      </w:r>
      <w:r>
        <w:t xml:space="preserve"> vary across jurisdictions</w:t>
      </w:r>
      <w:r w:rsidR="00DB482D">
        <w:t xml:space="preserve">. It is important to </w:t>
      </w:r>
      <w:r w:rsidR="00162ABC">
        <w:t xml:space="preserve">consider the </w:t>
      </w:r>
      <w:r>
        <w:t>differing</w:t>
      </w:r>
      <w:r w:rsidR="00DB482D">
        <w:t xml:space="preserve"> </w:t>
      </w:r>
      <w:r w:rsidR="002F0287">
        <w:t xml:space="preserve">levels and types of </w:t>
      </w:r>
      <w:r w:rsidR="00DB482D">
        <w:t xml:space="preserve">assistance </w:t>
      </w:r>
      <w:r w:rsidR="00162ABC">
        <w:t xml:space="preserve">provided </w:t>
      </w:r>
      <w:r w:rsidR="00DB482D">
        <w:t xml:space="preserve">in each State and Territory, </w:t>
      </w:r>
      <w:r>
        <w:t>their differing</w:t>
      </w:r>
      <w:r w:rsidR="00DB482D">
        <w:t xml:space="preserve"> </w:t>
      </w:r>
      <w:r w:rsidR="002A0AF1">
        <w:t xml:space="preserve">urban, </w:t>
      </w:r>
      <w:r w:rsidR="00DB482D">
        <w:t>regional and remote area concentration</w:t>
      </w:r>
      <w:r w:rsidR="004F5372">
        <w:t>s</w:t>
      </w:r>
      <w:r w:rsidR="00DB482D">
        <w:t xml:space="preserve">, and </w:t>
      </w:r>
      <w:r>
        <w:t>differences in</w:t>
      </w:r>
      <w:r w:rsidR="00DB482D">
        <w:t xml:space="preserve"> eligibility criteria for the different assistance types</w:t>
      </w:r>
      <w:r>
        <w:t>,</w:t>
      </w:r>
      <w:r w:rsidR="00FB23AC" w:rsidRPr="00FB23AC">
        <w:t xml:space="preserve"> </w:t>
      </w:r>
      <w:r w:rsidR="00FB23AC">
        <w:t xml:space="preserve">when analysing performance </w:t>
      </w:r>
      <w:r w:rsidR="00FB23AC" w:rsidRPr="00993D63">
        <w:t>information</w:t>
      </w:r>
      <w:r w:rsidR="00DB482D" w:rsidRPr="00993D63">
        <w:t>.</w:t>
      </w:r>
      <w:r w:rsidR="00856264" w:rsidRPr="00993D63">
        <w:t xml:space="preserve"> </w:t>
      </w:r>
      <w:r w:rsidR="001779E0" w:rsidRPr="00993D63">
        <w:t xml:space="preserve">Some information on the </w:t>
      </w:r>
      <w:r w:rsidR="00856264" w:rsidRPr="00993D63">
        <w:t>context</w:t>
      </w:r>
      <w:r w:rsidR="001779E0" w:rsidRPr="00993D63">
        <w:t xml:space="preserve"> for </w:t>
      </w:r>
      <w:r w:rsidR="00E60630" w:rsidRPr="00993D63">
        <w:t>public housing</w:t>
      </w:r>
      <w:r w:rsidR="00AF33B6">
        <w:t xml:space="preserve">, </w:t>
      </w:r>
      <w:proofErr w:type="spellStart"/>
      <w:r w:rsidR="00E60630" w:rsidRPr="00993D63">
        <w:t>SOMIH</w:t>
      </w:r>
      <w:proofErr w:type="spellEnd"/>
      <w:r w:rsidR="00E60630" w:rsidRPr="00993D63">
        <w:t xml:space="preserve"> </w:t>
      </w:r>
      <w:r w:rsidR="00AF33B6">
        <w:t xml:space="preserve">and community housing </w:t>
      </w:r>
      <w:r w:rsidR="00DE6B23">
        <w:t xml:space="preserve">is provided in </w:t>
      </w:r>
      <w:r w:rsidR="00856264" w:rsidRPr="00993D63">
        <w:t>tables</w:t>
      </w:r>
      <w:r w:rsidR="007D1214">
        <w:t> </w:t>
      </w:r>
      <w:proofErr w:type="spellStart"/>
      <w:r w:rsidR="004B2834">
        <w:t>1</w:t>
      </w:r>
      <w:r w:rsidR="00FB3FA7">
        <w:t>8</w:t>
      </w:r>
      <w:r w:rsidR="004B2834">
        <w:t>A.</w:t>
      </w:r>
      <w:r w:rsidR="00F40EAE" w:rsidRPr="00F40EAE">
        <w:t>6</w:t>
      </w:r>
      <w:r w:rsidR="001E2330">
        <w:t>3</w:t>
      </w:r>
      <w:proofErr w:type="spellEnd"/>
      <w:r w:rsidR="00446013" w:rsidRPr="00F40EAE">
        <w:t>–</w:t>
      </w:r>
      <w:r w:rsidR="009B0E87">
        <w:t>6</w:t>
      </w:r>
      <w:r w:rsidR="001E2330">
        <w:t>5</w:t>
      </w:r>
      <w:r w:rsidR="00AF33B6" w:rsidRPr="00F40EAE">
        <w:t>.</w:t>
      </w:r>
    </w:p>
    <w:p w:rsidR="00856264" w:rsidRDefault="00875CA6" w:rsidP="002833BC">
      <w:pPr>
        <w:pStyle w:val="Heading4"/>
        <w:spacing w:before="360"/>
      </w:pPr>
      <w:r>
        <w:t>Urban, r</w:t>
      </w:r>
      <w:r w:rsidR="00856264">
        <w:t>egional and remote concentrations</w:t>
      </w:r>
    </w:p>
    <w:p w:rsidR="009F6D2C" w:rsidRDefault="00DB482D" w:rsidP="004052A1">
      <w:pPr>
        <w:pStyle w:val="BodyText"/>
        <w:spacing w:after="480"/>
      </w:pPr>
      <w:r>
        <w:t>The proportion</w:t>
      </w:r>
      <w:r w:rsidR="002E3E0D">
        <w:t xml:space="preserve"> of </w:t>
      </w:r>
      <w:r w:rsidR="003E7639">
        <w:t xml:space="preserve">public housing, </w:t>
      </w:r>
      <w:proofErr w:type="spellStart"/>
      <w:r w:rsidR="003E7639">
        <w:t>SOMIH</w:t>
      </w:r>
      <w:proofErr w:type="spellEnd"/>
      <w:r w:rsidR="003E7639">
        <w:t xml:space="preserve"> and community </w:t>
      </w:r>
      <w:r w:rsidR="002E3E0D">
        <w:t>housing</w:t>
      </w:r>
      <w:r w:rsidR="00EC0731">
        <w:t xml:space="preserve"> dwellings </w:t>
      </w:r>
      <w:r>
        <w:t xml:space="preserve">located in </w:t>
      </w:r>
      <w:r w:rsidR="00E5071D">
        <w:t>major citi</w:t>
      </w:r>
      <w:r w:rsidR="00C83032">
        <w:t>e</w:t>
      </w:r>
      <w:r w:rsidR="00E5071D">
        <w:t>s</w:t>
      </w:r>
      <w:r w:rsidR="00875CA6">
        <w:t xml:space="preserve">, </w:t>
      </w:r>
      <w:r>
        <w:t>regional and remote areas</w:t>
      </w:r>
      <w:r w:rsidR="003E7639" w:rsidRPr="003E7639">
        <w:t xml:space="preserve"> </w:t>
      </w:r>
      <w:r w:rsidR="003E7639">
        <w:t>varies considerably across jurisdictions</w:t>
      </w:r>
      <w:r w:rsidR="00DE1193">
        <w:t xml:space="preserve"> </w:t>
      </w:r>
      <w:r w:rsidR="003E7639">
        <w:t>(</w:t>
      </w:r>
      <w:r>
        <w:t>table</w:t>
      </w:r>
      <w:r w:rsidR="004052A1">
        <w:t>s</w:t>
      </w:r>
      <w:r w:rsidR="007570DB">
        <w:t> </w:t>
      </w:r>
      <w:proofErr w:type="spellStart"/>
      <w:r w:rsidR="00F91EE9">
        <w:t>18</w:t>
      </w:r>
      <w:r w:rsidR="004B2834">
        <w:t>A.</w:t>
      </w:r>
      <w:r w:rsidR="004052A1" w:rsidRPr="00C257E9">
        <w:t>5</w:t>
      </w:r>
      <w:proofErr w:type="spellEnd"/>
      <w:r w:rsidR="00C83032" w:rsidRPr="00F40EAE">
        <w:t>–</w:t>
      </w:r>
      <w:r w:rsidR="003B2986">
        <w:t>7</w:t>
      </w:r>
      <w:r w:rsidR="003E7639">
        <w:t>)</w:t>
      </w:r>
      <w:r>
        <w:t>.</w:t>
      </w:r>
      <w:r w:rsidR="009B58D7">
        <w:t xml:space="preserve"> </w:t>
      </w:r>
      <w:r w:rsidR="00B751B4">
        <w:t>Remoteness d</w:t>
      </w:r>
      <w:r w:rsidR="0056685C" w:rsidRPr="004563A4">
        <w:t xml:space="preserve">ata </w:t>
      </w:r>
      <w:r w:rsidR="003E7639">
        <w:t xml:space="preserve">are not available </w:t>
      </w:r>
      <w:r w:rsidR="0056685C" w:rsidRPr="004563A4">
        <w:t>for Indigenous community hou</w:t>
      </w:r>
      <w:r w:rsidR="00211820">
        <w:t>sing</w:t>
      </w:r>
      <w:r w:rsidR="0056685C" w:rsidRPr="004563A4">
        <w:t>.</w:t>
      </w:r>
    </w:p>
    <w:p w:rsidR="006F3B3B" w:rsidRDefault="006F3B3B" w:rsidP="004052A1">
      <w:pPr>
        <w:pStyle w:val="Heading4"/>
        <w:spacing w:before="360"/>
      </w:pPr>
      <w:r>
        <w:t>Eligibility criteria</w:t>
      </w:r>
      <w:r w:rsidR="00DB20B7">
        <w:t xml:space="preserve"> for access to social housing</w:t>
      </w:r>
    </w:p>
    <w:p w:rsidR="00E828F1" w:rsidRPr="004372D7" w:rsidRDefault="008359DF" w:rsidP="009463C2">
      <w:pPr>
        <w:pStyle w:val="BodyText"/>
      </w:pPr>
      <w:r w:rsidRPr="00521B5D">
        <w:t xml:space="preserve">Eligibility criteria for </w:t>
      </w:r>
      <w:r w:rsidR="00C94783">
        <w:t xml:space="preserve">social housing </w:t>
      </w:r>
      <w:r w:rsidR="00FB23AC">
        <w:t>var</w:t>
      </w:r>
      <w:r w:rsidR="001140AB">
        <w:t xml:space="preserve">y between social housing types and between </w:t>
      </w:r>
      <w:r w:rsidR="004D2864">
        <w:t>jurisdictions</w:t>
      </w:r>
      <w:r w:rsidR="00705789">
        <w:t>.</w:t>
      </w:r>
    </w:p>
    <w:p w:rsidR="0045744F" w:rsidRDefault="0045744F" w:rsidP="00E828F1">
      <w:pPr>
        <w:pStyle w:val="ListBullet"/>
      </w:pPr>
      <w:r>
        <w:t>P</w:t>
      </w:r>
      <w:r w:rsidR="002C2675">
        <w:t>ublic housing</w:t>
      </w:r>
      <w:r>
        <w:t xml:space="preserve"> —</w:t>
      </w:r>
      <w:r w:rsidR="001140AB">
        <w:t xml:space="preserve"> </w:t>
      </w:r>
      <w:r w:rsidR="000A2123">
        <w:t xml:space="preserve">in most cases, </w:t>
      </w:r>
      <w:r w:rsidR="008359DF" w:rsidRPr="00521B5D">
        <w:t xml:space="preserve">jurisdictions require that applicants </w:t>
      </w:r>
      <w:r w:rsidR="00E101C4">
        <w:t>are</w:t>
      </w:r>
      <w:r w:rsidR="00E101C4" w:rsidRPr="00521B5D">
        <w:t xml:space="preserve"> </w:t>
      </w:r>
      <w:r w:rsidR="008359DF" w:rsidRPr="00521B5D">
        <w:t xml:space="preserve">Australian citizens or permanent residents and </w:t>
      </w:r>
      <w:r w:rsidR="00E101C4">
        <w:t xml:space="preserve">do </w:t>
      </w:r>
      <w:r w:rsidR="008359DF" w:rsidRPr="00521B5D">
        <w:t>not own or part</w:t>
      </w:r>
      <w:r w:rsidR="000E4AD6">
        <w:t>ially</w:t>
      </w:r>
      <w:r w:rsidR="008359DF" w:rsidRPr="00521B5D">
        <w:t xml:space="preserve"> own residential property. All jurisdictions</w:t>
      </w:r>
      <w:r w:rsidR="00475BAB">
        <w:t xml:space="preserve">, except Victoria, </w:t>
      </w:r>
      <w:r w:rsidR="008359DF" w:rsidRPr="00521B5D">
        <w:t xml:space="preserve">require eligible applicants to </w:t>
      </w:r>
      <w:r w:rsidR="00211820">
        <w:t>reside</w:t>
      </w:r>
      <w:r w:rsidR="008359DF" w:rsidRPr="00521B5D">
        <w:t xml:space="preserve"> in the respective State or Territory. </w:t>
      </w:r>
      <w:r w:rsidR="006F3B3B" w:rsidRPr="00521B5D">
        <w:t>Most jurisdictions provide security of tenure after an initial probationary period</w:t>
      </w:r>
      <w:r w:rsidR="00856264">
        <w:t xml:space="preserve"> and m</w:t>
      </w:r>
      <w:r w:rsidR="006F3B3B" w:rsidRPr="00521B5D">
        <w:t>ost jurisdictions have periodic reviews of eligibility</w:t>
      </w:r>
      <w:r>
        <w:t xml:space="preserve"> </w:t>
      </w:r>
      <w:r w:rsidRPr="00521B5D">
        <w:t>(</w:t>
      </w:r>
      <w:r w:rsidR="00594E92">
        <w:t>table </w:t>
      </w:r>
      <w:proofErr w:type="spellStart"/>
      <w:r w:rsidR="004B2834">
        <w:t>1</w:t>
      </w:r>
      <w:r w:rsidR="002C65C4">
        <w:t>8</w:t>
      </w:r>
      <w:r w:rsidR="004B2834">
        <w:t>A.</w:t>
      </w:r>
      <w:r w:rsidR="00F40EAE">
        <w:t>6</w:t>
      </w:r>
      <w:r w:rsidR="001E2330">
        <w:t>3</w:t>
      </w:r>
      <w:proofErr w:type="spellEnd"/>
      <w:r w:rsidRPr="00521B5D">
        <w:t>)</w:t>
      </w:r>
      <w:r w:rsidR="00CF5118">
        <w:t>.</w:t>
      </w:r>
    </w:p>
    <w:p w:rsidR="0045744F" w:rsidRDefault="006F3B3B" w:rsidP="0045744F">
      <w:pPr>
        <w:pStyle w:val="ListBullet"/>
      </w:pPr>
      <w:proofErr w:type="spellStart"/>
      <w:r w:rsidRPr="00521B5D">
        <w:t>SOMIH</w:t>
      </w:r>
      <w:proofErr w:type="spellEnd"/>
      <w:r w:rsidRPr="00521B5D">
        <w:t xml:space="preserve"> </w:t>
      </w:r>
      <w:r w:rsidR="0045744F">
        <w:t>—</w:t>
      </w:r>
      <w:r w:rsidR="00705789">
        <w:t xml:space="preserve"> </w:t>
      </w:r>
      <w:r w:rsidRPr="00521B5D">
        <w:t>are generally consistent with those for public housing</w:t>
      </w:r>
      <w:r w:rsidR="002F1054">
        <w:t xml:space="preserve"> </w:t>
      </w:r>
      <w:r w:rsidRPr="00521B5D">
        <w:t xml:space="preserve">once an applicant has been confirmed as </w:t>
      </w:r>
      <w:r w:rsidR="00E82838">
        <w:t>Aboriginal and Torres Strait Islander.</w:t>
      </w:r>
      <w:r>
        <w:t xml:space="preserve"> </w:t>
      </w:r>
      <w:r w:rsidRPr="00521B5D">
        <w:t xml:space="preserve">Terms of tenure </w:t>
      </w:r>
      <w:r w:rsidR="00EC0731">
        <w:t xml:space="preserve">for </w:t>
      </w:r>
      <w:proofErr w:type="spellStart"/>
      <w:r w:rsidR="00EC0731">
        <w:t>SOMIH</w:t>
      </w:r>
      <w:proofErr w:type="spellEnd"/>
      <w:r w:rsidR="00EC0731">
        <w:t xml:space="preserve"> </w:t>
      </w:r>
      <w:r w:rsidRPr="00521B5D">
        <w:t>are the same as</w:t>
      </w:r>
      <w:r w:rsidR="005C4ACA">
        <w:t xml:space="preserve"> those for public housing </w:t>
      </w:r>
      <w:r w:rsidR="007509CB">
        <w:t xml:space="preserve">in </w:t>
      </w:r>
      <w:r w:rsidR="00F23BDB">
        <w:t xml:space="preserve">most </w:t>
      </w:r>
      <w:r w:rsidRPr="00521B5D">
        <w:t>jurisdictions</w:t>
      </w:r>
      <w:r w:rsidR="00F40EAE">
        <w:t xml:space="preserve"> (</w:t>
      </w:r>
      <w:r w:rsidR="00B220CD">
        <w:t>table</w:t>
      </w:r>
      <w:r w:rsidR="00B93213">
        <w:t> </w:t>
      </w:r>
      <w:proofErr w:type="spellStart"/>
      <w:r w:rsidR="004B2834">
        <w:t>1</w:t>
      </w:r>
      <w:r w:rsidR="002C65C4">
        <w:t>8</w:t>
      </w:r>
      <w:r w:rsidR="004B2834">
        <w:t>A.</w:t>
      </w:r>
      <w:r w:rsidR="00F40EAE">
        <w:t>6</w:t>
      </w:r>
      <w:r w:rsidR="001E2330">
        <w:t>4</w:t>
      </w:r>
      <w:proofErr w:type="spellEnd"/>
      <w:r w:rsidR="0045744F">
        <w:t>)</w:t>
      </w:r>
      <w:r w:rsidRPr="00F23BDB">
        <w:t>.</w:t>
      </w:r>
    </w:p>
    <w:p w:rsidR="006F3B3B" w:rsidRDefault="0045744F" w:rsidP="0045744F">
      <w:pPr>
        <w:pStyle w:val="ListBullet"/>
      </w:pPr>
      <w:r>
        <w:t>Community housing —</w:t>
      </w:r>
      <w:r w:rsidR="007D1214">
        <w:t xml:space="preserve"> </w:t>
      </w:r>
      <w:r w:rsidR="00FB3260">
        <w:t xml:space="preserve">are </w:t>
      </w:r>
      <w:r w:rsidR="006F3B3B">
        <w:t>generally consistent with those for public housing in each jurisdictio</w:t>
      </w:r>
      <w:r w:rsidR="00856264">
        <w:t>n</w:t>
      </w:r>
      <w:r>
        <w:t xml:space="preserve"> </w:t>
      </w:r>
      <w:r w:rsidRPr="00F40EAE">
        <w:t>(</w:t>
      </w:r>
      <w:r w:rsidR="00B220CD">
        <w:t>table</w:t>
      </w:r>
      <w:r w:rsidR="00B93213">
        <w:t> </w:t>
      </w:r>
      <w:proofErr w:type="spellStart"/>
      <w:r w:rsidR="004B2834">
        <w:t>1</w:t>
      </w:r>
      <w:r w:rsidR="002C65C4">
        <w:t>8</w:t>
      </w:r>
      <w:r w:rsidR="004B2834">
        <w:t>A.</w:t>
      </w:r>
      <w:r w:rsidR="00F40EAE" w:rsidRPr="00F40EAE">
        <w:t>6</w:t>
      </w:r>
      <w:r w:rsidR="001E2330">
        <w:t>5</w:t>
      </w:r>
      <w:proofErr w:type="spellEnd"/>
      <w:r w:rsidRPr="00F40EAE">
        <w:t>).</w:t>
      </w:r>
    </w:p>
    <w:p w:rsidR="006F3B3B" w:rsidRDefault="006F3B3B" w:rsidP="0023172E">
      <w:pPr>
        <w:pStyle w:val="Heading4"/>
        <w:spacing w:before="440"/>
      </w:pPr>
      <w:r>
        <w:t>Waiting lists</w:t>
      </w:r>
    </w:p>
    <w:p w:rsidR="00557FEA" w:rsidRDefault="00856264" w:rsidP="00982CC2">
      <w:pPr>
        <w:pStyle w:val="BodyText"/>
      </w:pPr>
      <w:r w:rsidRPr="00521B5D">
        <w:t xml:space="preserve">State and Territory governments prioritise access to </w:t>
      </w:r>
      <w:r>
        <w:t>social</w:t>
      </w:r>
      <w:r w:rsidR="00595F3A">
        <w:t xml:space="preserve"> housing in ways that</w:t>
      </w:r>
      <w:r w:rsidRPr="00521B5D">
        <w:t xml:space="preserve"> generally reflect </w:t>
      </w:r>
      <w:r w:rsidR="00595F3A">
        <w:t xml:space="preserve">the </w:t>
      </w:r>
      <w:r w:rsidRPr="00521B5D">
        <w:t>urgent need</w:t>
      </w:r>
      <w:r w:rsidR="0015152C">
        <w:t xml:space="preserve"> </w:t>
      </w:r>
      <w:r w:rsidR="00D93EC4">
        <w:t>to a</w:t>
      </w:r>
      <w:r w:rsidR="006C399C">
        <w:t xml:space="preserve">ddress </w:t>
      </w:r>
      <w:r w:rsidRPr="00521B5D">
        <w:t xml:space="preserve">homelessness and </w:t>
      </w:r>
      <w:r w:rsidR="00595F3A">
        <w:t xml:space="preserve">applicants’ </w:t>
      </w:r>
      <w:r w:rsidRPr="00521B5D">
        <w:t>inability to access appropriat</w:t>
      </w:r>
      <w:r w:rsidR="00595F3A">
        <w:t>e private market accommodation.</w:t>
      </w:r>
      <w:r w:rsidR="002C65C4">
        <w:t xml:space="preserve"> </w:t>
      </w:r>
      <w:r w:rsidR="007B2541">
        <w:t>States an</w:t>
      </w:r>
      <w:r w:rsidR="00722372">
        <w:t>d t</w:t>
      </w:r>
      <w:r w:rsidR="007B2541">
        <w:t xml:space="preserve">erritories other than SA have </w:t>
      </w:r>
      <w:r w:rsidRPr="005E340A">
        <w:t>adopted social housing waiting list</w:t>
      </w:r>
      <w:r w:rsidR="00595F3A">
        <w:t>s that are</w:t>
      </w:r>
      <w:r w:rsidR="00595F3A" w:rsidRPr="00595F3A">
        <w:t xml:space="preserve"> </w:t>
      </w:r>
      <w:r w:rsidR="00595F3A" w:rsidRPr="005E340A">
        <w:t>integrated</w:t>
      </w:r>
      <w:r w:rsidR="00F52417" w:rsidRPr="005E340A">
        <w:t xml:space="preserve"> </w:t>
      </w:r>
      <w:r w:rsidR="00595F3A">
        <w:t>across</w:t>
      </w:r>
      <w:r w:rsidR="00F52417" w:rsidRPr="00982CC2">
        <w:t xml:space="preserve"> </w:t>
      </w:r>
      <w:r w:rsidR="00FF7FA6" w:rsidRPr="00982CC2">
        <w:t xml:space="preserve">public housing, </w:t>
      </w:r>
      <w:proofErr w:type="spellStart"/>
      <w:r w:rsidRPr="00982CC2">
        <w:t>SOMIH</w:t>
      </w:r>
      <w:proofErr w:type="spellEnd"/>
      <w:r w:rsidR="00FF7FA6" w:rsidRPr="00982CC2">
        <w:t xml:space="preserve"> </w:t>
      </w:r>
      <w:r w:rsidR="00393493">
        <w:t xml:space="preserve">(where applicable) </w:t>
      </w:r>
      <w:r w:rsidR="00FF7FA6" w:rsidRPr="00982CC2">
        <w:t>and community housing</w:t>
      </w:r>
      <w:r w:rsidR="00557FEA">
        <w:t xml:space="preserve">. Victoria introduced </w:t>
      </w:r>
      <w:r w:rsidR="00A457F5">
        <w:t>an</w:t>
      </w:r>
      <w:r w:rsidR="00557FEA">
        <w:t xml:space="preserve"> integrated waitlist </w:t>
      </w:r>
      <w:r w:rsidR="001140AB">
        <w:t>in October 2016</w:t>
      </w:r>
      <w:r w:rsidR="00557FEA">
        <w:t>.</w:t>
      </w:r>
    </w:p>
    <w:p w:rsidR="002E5C55" w:rsidRDefault="00040F38" w:rsidP="00040F38">
      <w:pPr>
        <w:pStyle w:val="Heading2"/>
      </w:pPr>
      <w:bookmarkStart w:id="11" w:name="_Toc459884656"/>
      <w:r>
        <w:lastRenderedPageBreak/>
        <w:t>18.</w:t>
      </w:r>
      <w:r w:rsidR="00892185">
        <w:rPr>
          <w:noProof/>
        </w:rPr>
        <w:t>2</w:t>
      </w:r>
      <w:r>
        <w:tab/>
      </w:r>
      <w:bookmarkStart w:id="12" w:name="_Toc314211348"/>
      <w:bookmarkStart w:id="13" w:name="_Toc396143031"/>
      <w:r w:rsidR="002E5C55" w:rsidRPr="002E5C55">
        <w:t>Framework of performance indicators</w:t>
      </w:r>
      <w:bookmarkEnd w:id="11"/>
      <w:bookmarkEnd w:id="12"/>
      <w:bookmarkEnd w:id="13"/>
    </w:p>
    <w:p w:rsidR="001363B3" w:rsidRPr="00BD4666" w:rsidRDefault="00BF734F" w:rsidP="00BD4666">
      <w:pPr>
        <w:pStyle w:val="BodyText"/>
      </w:pPr>
      <w:r w:rsidRPr="00BD4666">
        <w:t xml:space="preserve">The </w:t>
      </w:r>
      <w:r w:rsidR="00EC5DB3">
        <w:t xml:space="preserve">framework of </w:t>
      </w:r>
      <w:r w:rsidRPr="00BD4666">
        <w:t>performance indicator</w:t>
      </w:r>
      <w:r w:rsidR="00EC5DB3">
        <w:t>s reflects</w:t>
      </w:r>
      <w:r w:rsidR="007C084E">
        <w:t xml:space="preserve"> the objective</w:t>
      </w:r>
      <w:r w:rsidRPr="00BD4666">
        <w:t xml:space="preserve"> of social housing</w:t>
      </w:r>
      <w:r w:rsidR="00274E55">
        <w:t xml:space="preserve"> delivered under the NAHA</w:t>
      </w:r>
      <w:r w:rsidR="004679A4">
        <w:t xml:space="preserve"> (box</w:t>
      </w:r>
      <w:r w:rsidR="007D1214">
        <w:t> </w:t>
      </w:r>
      <w:r w:rsidR="004679A4">
        <w:t>1</w:t>
      </w:r>
      <w:r w:rsidR="00BB5630">
        <w:t>8</w:t>
      </w:r>
      <w:r w:rsidR="00790CB2">
        <w:t>.4</w:t>
      </w:r>
      <w:r w:rsidR="00154CCB">
        <w:t>).</w:t>
      </w:r>
    </w:p>
    <w:p w:rsidR="00E00B00" w:rsidRDefault="00E00B00" w:rsidP="0023172E">
      <w:pPr>
        <w:pStyle w:val="BoxSpaceAbove"/>
        <w:spacing w:before="240"/>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E00B00" w:rsidTr="00263ABD">
        <w:tc>
          <w:tcPr>
            <w:tcW w:w="5000" w:type="pct"/>
            <w:tcBorders>
              <w:top w:val="single" w:sz="6" w:space="0" w:color="78A22F"/>
              <w:left w:val="nil"/>
              <w:bottom w:val="nil"/>
              <w:right w:val="nil"/>
            </w:tcBorders>
            <w:shd w:val="clear" w:color="auto" w:fill="F2F2F2" w:themeFill="background1" w:themeFillShade="F2"/>
          </w:tcPr>
          <w:p w:rsidR="00E00B00" w:rsidRDefault="001363B3" w:rsidP="00BB5630">
            <w:pPr>
              <w:pStyle w:val="BoxTitle"/>
            </w:pPr>
            <w:r>
              <w:rPr>
                <w:b w:val="0"/>
              </w:rPr>
              <w:t>Box 1</w:t>
            </w:r>
            <w:r w:rsidR="00BB5630">
              <w:rPr>
                <w:b w:val="0"/>
              </w:rPr>
              <w:t>8</w:t>
            </w:r>
            <w:r>
              <w:rPr>
                <w:b w:val="0"/>
              </w:rPr>
              <w:t>.</w:t>
            </w:r>
            <w:r w:rsidR="00892185">
              <w:rPr>
                <w:b w:val="0"/>
                <w:noProof/>
              </w:rPr>
              <w:t>4</w:t>
            </w:r>
            <w:r w:rsidR="00E00B00">
              <w:tab/>
            </w:r>
            <w:r w:rsidR="00CD7D8C">
              <w:t xml:space="preserve">Objectives for </w:t>
            </w:r>
            <w:r w:rsidR="00E00B00" w:rsidRPr="00E00B00">
              <w:t>social housing</w:t>
            </w:r>
          </w:p>
        </w:tc>
      </w:tr>
      <w:tr w:rsidR="00E00B00" w:rsidTr="00263ABD">
        <w:trPr>
          <w:cantSplit/>
        </w:trPr>
        <w:tc>
          <w:tcPr>
            <w:tcW w:w="5000" w:type="pct"/>
            <w:tcBorders>
              <w:top w:val="nil"/>
              <w:left w:val="nil"/>
              <w:bottom w:val="nil"/>
              <w:right w:val="nil"/>
            </w:tcBorders>
            <w:shd w:val="clear" w:color="auto" w:fill="F2F2F2" w:themeFill="background1" w:themeFillShade="F2"/>
          </w:tcPr>
          <w:p w:rsidR="00B1725D" w:rsidRDefault="00B1725D" w:rsidP="00B1725D">
            <w:pPr>
              <w:pStyle w:val="Box"/>
            </w:pPr>
            <w:r>
              <w:t>The social housing services system aims to provide low income people who do not have alternative suitable housing options with access to social housing assistance that supports their wellbeing and contributes to their social and economic participation. Some forms of social housing aim specifically to contribute to Aboriginal and Torres Strait Islander community wellbeing through improved housing outcomes, particularly in remote areas and discrete communities. The social housing services system seeks to achieve these aims through the provision of services that are:</w:t>
            </w:r>
          </w:p>
          <w:p w:rsidR="00B1725D" w:rsidRDefault="00B1725D" w:rsidP="00B1725D">
            <w:pPr>
              <w:pStyle w:val="Box"/>
            </w:pPr>
            <w:r>
              <w:t>• timely and affordable</w:t>
            </w:r>
          </w:p>
          <w:p w:rsidR="00B1725D" w:rsidRDefault="00B1725D" w:rsidP="00B1725D">
            <w:pPr>
              <w:pStyle w:val="Box"/>
            </w:pPr>
            <w:r>
              <w:t>• safe</w:t>
            </w:r>
          </w:p>
          <w:p w:rsidR="00B1725D" w:rsidRDefault="00B1725D" w:rsidP="00B1725D">
            <w:pPr>
              <w:pStyle w:val="Box"/>
            </w:pPr>
            <w:r>
              <w:t xml:space="preserve">• appropriate, meeting the needs of individual households </w:t>
            </w:r>
          </w:p>
          <w:p w:rsidR="00B1725D" w:rsidRDefault="00B1725D" w:rsidP="00B1725D">
            <w:pPr>
              <w:pStyle w:val="Box"/>
            </w:pPr>
            <w:r>
              <w:t>• high quality</w:t>
            </w:r>
          </w:p>
          <w:p w:rsidR="00B1725D" w:rsidRDefault="00B1725D" w:rsidP="00B1725D">
            <w:pPr>
              <w:pStyle w:val="Box"/>
            </w:pPr>
            <w:r>
              <w:t>• sustainable.</w:t>
            </w:r>
          </w:p>
          <w:p w:rsidR="00B1725D" w:rsidRDefault="00B1725D" w:rsidP="00B1725D">
            <w:pPr>
              <w:pStyle w:val="Box"/>
            </w:pPr>
            <w:r>
              <w:t>Governments aim for social housing services to meet these objectives in an equitable and efficient manner.</w:t>
            </w:r>
          </w:p>
        </w:tc>
      </w:tr>
      <w:tr w:rsidR="00E00B00" w:rsidTr="00263ABD">
        <w:trPr>
          <w:cantSplit/>
        </w:trPr>
        <w:tc>
          <w:tcPr>
            <w:tcW w:w="5000" w:type="pct"/>
            <w:tcBorders>
              <w:top w:val="nil"/>
              <w:left w:val="nil"/>
              <w:bottom w:val="single" w:sz="6" w:space="0" w:color="78A22F"/>
              <w:right w:val="nil"/>
            </w:tcBorders>
            <w:shd w:val="clear" w:color="auto" w:fill="F2F2F2" w:themeFill="background1" w:themeFillShade="F2"/>
          </w:tcPr>
          <w:p w:rsidR="00E00B00" w:rsidRDefault="00E00B00">
            <w:pPr>
              <w:pStyle w:val="Box"/>
              <w:spacing w:before="0" w:line="120" w:lineRule="exact"/>
            </w:pPr>
          </w:p>
        </w:tc>
      </w:tr>
      <w:tr w:rsidR="00E00B00" w:rsidRPr="000863A5" w:rsidTr="00263ABD">
        <w:tc>
          <w:tcPr>
            <w:tcW w:w="5000" w:type="pct"/>
            <w:tcBorders>
              <w:top w:val="single" w:sz="6" w:space="0" w:color="78A22F"/>
              <w:left w:val="nil"/>
              <w:bottom w:val="nil"/>
              <w:right w:val="nil"/>
            </w:tcBorders>
          </w:tcPr>
          <w:p w:rsidR="00E00B00" w:rsidRPr="00626D32" w:rsidRDefault="00E00B00" w:rsidP="00334F07">
            <w:pPr>
              <w:pStyle w:val="BoxSpaceBelow"/>
            </w:pPr>
          </w:p>
        </w:tc>
      </w:tr>
    </w:tbl>
    <w:p w:rsidR="00E00B00" w:rsidRDefault="00274E55" w:rsidP="005B64EC">
      <w:pPr>
        <w:pStyle w:val="BodyText"/>
      </w:pPr>
      <w:r>
        <w:t xml:space="preserve">The </w:t>
      </w:r>
      <w:r w:rsidR="00554C1C">
        <w:t xml:space="preserve">performance indicator </w:t>
      </w:r>
      <w:r>
        <w:t xml:space="preserve">framework </w:t>
      </w:r>
      <w:r w:rsidR="00EC5DB3">
        <w:t>provides information on equity, efficiency and effectiveness, and distinguishes the outputs and outcomes of social housing (figure</w:t>
      </w:r>
      <w:r w:rsidR="007D1214">
        <w:t> </w:t>
      </w:r>
      <w:r w:rsidR="0001777A">
        <w:t>18</w:t>
      </w:r>
      <w:r w:rsidR="00EC5DB3">
        <w:t>.1). The framework shows which</w:t>
      </w:r>
      <w:r>
        <w:t xml:space="preserve"> data are comparable in the </w:t>
      </w:r>
      <w:r w:rsidR="006B3A24">
        <w:t>2017 </w:t>
      </w:r>
      <w:r w:rsidR="00BD4666" w:rsidRPr="00BD4666">
        <w:t>Repor</w:t>
      </w:r>
      <w:r>
        <w:t>t</w:t>
      </w:r>
      <w:r w:rsidR="00857A36">
        <w:t xml:space="preserve">. </w:t>
      </w:r>
      <w:r w:rsidR="004F15B5" w:rsidRPr="004F15B5">
        <w:t>Chapter</w:t>
      </w:r>
      <w:r w:rsidR="00B93213">
        <w:t> </w:t>
      </w:r>
      <w:r w:rsidR="004F15B5" w:rsidRPr="004F15B5">
        <w:t>1 discusses data comparability, data completeness and information on data quality from a Report wide perspective</w:t>
      </w:r>
      <w:r>
        <w:t>.</w:t>
      </w:r>
      <w:r w:rsidR="00EC5DB3">
        <w:t xml:space="preserve"> </w:t>
      </w:r>
      <w:r>
        <w:t>In addition to section</w:t>
      </w:r>
      <w:r w:rsidR="007D1214">
        <w:t> </w:t>
      </w:r>
      <w:r>
        <w:t>1</w:t>
      </w:r>
      <w:r w:rsidR="002A293E">
        <w:t>8</w:t>
      </w:r>
      <w:r>
        <w:t>.1</w:t>
      </w:r>
      <w:r w:rsidR="00286A74">
        <w:t>,</w:t>
      </w:r>
      <w:r w:rsidRPr="00274E55">
        <w:t xml:space="preserve"> the Report’s Statistical context chapter </w:t>
      </w:r>
      <w:r w:rsidR="002C65C4">
        <w:t>(chapter</w:t>
      </w:r>
      <w:r w:rsidR="00B93213">
        <w:t> </w:t>
      </w:r>
      <w:r w:rsidR="002C65C4">
        <w:t xml:space="preserve">2) </w:t>
      </w:r>
      <w:r w:rsidRPr="00274E55">
        <w:t>contains data that may assist in interpreting the performance indicators</w:t>
      </w:r>
      <w:r w:rsidR="006F7A0C">
        <w:t xml:space="preserve"> presented in this chapter.</w:t>
      </w:r>
    </w:p>
    <w:p w:rsidR="00EE5B49" w:rsidRPr="004372D7" w:rsidRDefault="00DA6812" w:rsidP="005B64EC">
      <w:pPr>
        <w:pStyle w:val="BodyText"/>
        <w:rPr>
          <w:rFonts w:eastAsia="Calibri"/>
        </w:rPr>
      </w:pPr>
      <w:r w:rsidRPr="00ED71CE">
        <w:rPr>
          <w:rFonts w:eastAsia="Calibri"/>
          <w:color w:val="000000" w:themeColor="text1"/>
          <w:lang w:eastAsia="en-US"/>
        </w:rPr>
        <w:t xml:space="preserve">Improvements to performance reporting for </w:t>
      </w:r>
      <w:r w:rsidR="009A0E86">
        <w:rPr>
          <w:rFonts w:eastAsia="Calibri"/>
          <w:color w:val="000000" w:themeColor="text1"/>
          <w:lang w:eastAsia="en-US"/>
        </w:rPr>
        <w:t>Housing</w:t>
      </w:r>
      <w:r>
        <w:rPr>
          <w:rFonts w:eastAsia="Calibri"/>
          <w:color w:val="000000" w:themeColor="text1"/>
          <w:lang w:eastAsia="en-US"/>
        </w:rPr>
        <w:t xml:space="preserve"> services</w:t>
      </w:r>
      <w:r w:rsidRPr="00ED71CE">
        <w:rPr>
          <w:rFonts w:eastAsia="Calibri"/>
          <w:color w:val="000000" w:themeColor="text1"/>
          <w:lang w:eastAsia="en-US"/>
        </w:rPr>
        <w:t xml:space="preserve"> are ongoing and will include identifying indicators to fill gaps in reporting against key objectives, improving the comparability and completeness of data and reviewing proxy indicators to see if more direct measures can be developed</w:t>
      </w:r>
      <w:r w:rsidR="0069149B" w:rsidRPr="0069149B">
        <w:rPr>
          <w:rFonts w:eastAsia="Calibri"/>
          <w:color w:val="000000" w:themeColor="text1"/>
          <w:lang w:eastAsia="en-US"/>
        </w:rPr>
        <w:t>.</w:t>
      </w:r>
    </w:p>
    <w:p w:rsidR="00DA6812" w:rsidRDefault="00DA6812" w:rsidP="00DA68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0B00" w:rsidTr="00334F07">
        <w:tc>
          <w:tcPr>
            <w:tcW w:w="8771" w:type="dxa"/>
            <w:tcBorders>
              <w:top w:val="single" w:sz="6" w:space="0" w:color="78A22F"/>
              <w:left w:val="nil"/>
              <w:bottom w:val="nil"/>
              <w:right w:val="nil"/>
            </w:tcBorders>
            <w:shd w:val="clear" w:color="auto" w:fill="auto"/>
          </w:tcPr>
          <w:p w:rsidR="00E00B00" w:rsidRPr="00176D3F" w:rsidRDefault="00E00B00" w:rsidP="00E00B00">
            <w:pPr>
              <w:pStyle w:val="FigureTitle"/>
            </w:pPr>
            <w:r w:rsidRPr="00784A05">
              <w:rPr>
                <w:b w:val="0"/>
              </w:rPr>
              <w:t xml:space="preserve">Figure </w:t>
            </w:r>
            <w:r w:rsidR="0001777A">
              <w:rPr>
                <w:b w:val="0"/>
              </w:rPr>
              <w:t>18</w:t>
            </w:r>
            <w:r>
              <w:rPr>
                <w:b w:val="0"/>
              </w:rPr>
              <w:t>.1</w:t>
            </w:r>
            <w:r>
              <w:tab/>
            </w:r>
            <w:r w:rsidRPr="00E00B00">
              <w:t>Social housing performance indicator framewor</w:t>
            </w:r>
            <w:r>
              <w:t>k</w:t>
            </w:r>
          </w:p>
        </w:tc>
      </w:tr>
      <w:tr w:rsidR="00E00B00" w:rsidTr="00334F07">
        <w:tc>
          <w:tcPr>
            <w:tcW w:w="8771" w:type="dxa"/>
            <w:tcBorders>
              <w:top w:val="nil"/>
              <w:left w:val="nil"/>
              <w:bottom w:val="nil"/>
              <w:right w:val="nil"/>
            </w:tcBorders>
            <w:shd w:val="clear" w:color="auto" w:fill="auto"/>
            <w:tcMar>
              <w:top w:w="28" w:type="dxa"/>
              <w:bottom w:w="28" w:type="dxa"/>
            </w:tcMar>
          </w:tcPr>
          <w:p w:rsidR="00E00B00" w:rsidRDefault="00B723BC" w:rsidP="00DA6812">
            <w:r w:rsidRPr="00FD2B18">
              <w:rPr>
                <w:noProof/>
              </w:rPr>
              <w:drawing>
                <wp:inline distT="0" distB="0" distL="0" distR="0" wp14:anchorId="39060D31" wp14:editId="3834F44E">
                  <wp:extent cx="5258020" cy="4178595"/>
                  <wp:effectExtent l="0" t="0" r="0" b="0"/>
                  <wp:docPr id="6" name="Picture 6" descr="Figure 18.1 Social housing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1750"/>
                          <a:stretch/>
                        </pic:blipFill>
                        <pic:spPr bwMode="auto">
                          <a:xfrm>
                            <a:off x="0" y="0"/>
                            <a:ext cx="5258020" cy="417859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00B00" w:rsidRPr="000863A5" w:rsidTr="00334F07">
        <w:tc>
          <w:tcPr>
            <w:tcW w:w="8771" w:type="dxa"/>
            <w:tcBorders>
              <w:top w:val="single" w:sz="6" w:space="0" w:color="78A22F"/>
              <w:left w:val="nil"/>
              <w:bottom w:val="nil"/>
              <w:right w:val="nil"/>
            </w:tcBorders>
          </w:tcPr>
          <w:p w:rsidR="00E00B00" w:rsidRPr="00626D32" w:rsidRDefault="00E00B00" w:rsidP="00334F07">
            <w:pPr>
              <w:pStyle w:val="BoxSpaceBelow"/>
            </w:pPr>
          </w:p>
        </w:tc>
      </w:tr>
    </w:tbl>
    <w:p w:rsidR="00092D60" w:rsidRDefault="00040F38" w:rsidP="00092D60">
      <w:pPr>
        <w:pStyle w:val="Heading2"/>
      </w:pPr>
      <w:bookmarkStart w:id="14" w:name="_Toc314211349"/>
      <w:bookmarkStart w:id="15" w:name="_Toc396143032"/>
      <w:bookmarkStart w:id="16" w:name="_Toc210006653"/>
      <w:bookmarkStart w:id="17" w:name="_Toc210006655"/>
      <w:bookmarkStart w:id="18" w:name="_Toc459884657"/>
      <w:r>
        <w:t>18.</w:t>
      </w:r>
      <w:r w:rsidR="00892185">
        <w:rPr>
          <w:noProof/>
        </w:rPr>
        <w:t>3</w:t>
      </w:r>
      <w:r>
        <w:tab/>
      </w:r>
      <w:r w:rsidR="00092D60">
        <w:t>Key performance indicator results</w:t>
      </w:r>
      <w:bookmarkEnd w:id="14"/>
      <w:bookmarkEnd w:id="15"/>
      <w:bookmarkEnd w:id="18"/>
    </w:p>
    <w:p w:rsidR="000A063D" w:rsidRDefault="00F73FEE" w:rsidP="000A063D">
      <w:pPr>
        <w:pStyle w:val="BodyText"/>
      </w:pPr>
      <w:r>
        <w:t>Different delivery contexts, locations and types of clients can affect the equity, effectiveness and efficiency of social housing services.</w:t>
      </w:r>
    </w:p>
    <w:p w:rsidR="0065490B" w:rsidRPr="009E5CE0" w:rsidRDefault="0065490B" w:rsidP="0065490B">
      <w:pPr>
        <w:pStyle w:val="Heading3"/>
      </w:pPr>
      <w:r w:rsidRPr="00C4061D">
        <w:t>Outputs</w:t>
      </w:r>
    </w:p>
    <w:p w:rsidR="0065490B" w:rsidRPr="009E5CE0" w:rsidRDefault="0065490B" w:rsidP="0065490B">
      <w:pPr>
        <w:pStyle w:val="BodyText"/>
        <w:rPr>
          <w:color w:val="000000" w:themeColor="text1"/>
        </w:rPr>
      </w:pPr>
      <w:r w:rsidRPr="009E5CE0">
        <w:rPr>
          <w:color w:val="000000" w:themeColor="text1"/>
        </w:rPr>
        <w:t>Outputs are the services delivered (while outcomes are the impact of these services on the status of an individual or group) (see chapter</w:t>
      </w:r>
      <w:r w:rsidR="007D1214">
        <w:rPr>
          <w:color w:val="000000" w:themeColor="text1"/>
        </w:rPr>
        <w:t> </w:t>
      </w:r>
      <w:r w:rsidRPr="009E5CE0">
        <w:rPr>
          <w:color w:val="000000" w:themeColor="text1"/>
        </w:rPr>
        <w:t>1).</w:t>
      </w:r>
      <w:r>
        <w:rPr>
          <w:color w:val="000000" w:themeColor="text1"/>
        </w:rPr>
        <w:t xml:space="preserve"> Output information is also critical for equitable, efficient and effective management of government services.</w:t>
      </w:r>
    </w:p>
    <w:p w:rsidR="00C0136B" w:rsidRPr="00E00B00" w:rsidRDefault="009640BD" w:rsidP="0065490B">
      <w:pPr>
        <w:pStyle w:val="Heading3"/>
      </w:pPr>
      <w:r>
        <w:lastRenderedPageBreak/>
        <w:t>Equity</w:t>
      </w:r>
    </w:p>
    <w:p w:rsidR="001477AD" w:rsidRPr="00F34CB2" w:rsidRDefault="00EC5DB3" w:rsidP="006B692D">
      <w:pPr>
        <w:pStyle w:val="Heading4"/>
      </w:pPr>
      <w:r>
        <w:t xml:space="preserve">Access — </w:t>
      </w:r>
      <w:r w:rsidR="001477AD" w:rsidRPr="00F34CB2">
        <w:t>Priority access to those in greatest need</w:t>
      </w:r>
    </w:p>
    <w:p w:rsidR="001477AD" w:rsidRDefault="001477AD" w:rsidP="00796AC0">
      <w:pPr>
        <w:pStyle w:val="BodyText"/>
        <w:spacing w:before="120"/>
      </w:pPr>
      <w:r>
        <w:t>‘Priority access to those in greatest need’ is a</w:t>
      </w:r>
      <w:r w:rsidR="006B3A24">
        <w:t xml:space="preserve"> proxy</w:t>
      </w:r>
      <w:r>
        <w:t xml:space="preserve"> indicator of governments’ objective to provide </w:t>
      </w:r>
      <w:r w:rsidR="00007225">
        <w:t xml:space="preserve">social housing services </w:t>
      </w:r>
      <w:r w:rsidR="00790CB2">
        <w:t>in an equitable manner (box 18.5</w:t>
      </w:r>
      <w:r w:rsidR="006F7A0C">
        <w:t>).</w:t>
      </w:r>
    </w:p>
    <w:p w:rsidR="00956E84" w:rsidRDefault="00956E84" w:rsidP="001363B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956E84" w:rsidTr="00263ABD">
        <w:tc>
          <w:tcPr>
            <w:tcW w:w="5000" w:type="pct"/>
            <w:tcBorders>
              <w:top w:val="single" w:sz="6" w:space="0" w:color="78A22F"/>
              <w:left w:val="nil"/>
              <w:bottom w:val="nil"/>
              <w:right w:val="nil"/>
            </w:tcBorders>
            <w:shd w:val="clear" w:color="auto" w:fill="F2F2F2" w:themeFill="background1" w:themeFillShade="F2"/>
          </w:tcPr>
          <w:p w:rsidR="00956E84" w:rsidRDefault="001363B3" w:rsidP="00BB5630">
            <w:pPr>
              <w:pStyle w:val="BoxTitle"/>
            </w:pPr>
            <w:r>
              <w:rPr>
                <w:b w:val="0"/>
              </w:rPr>
              <w:t>Box 1</w:t>
            </w:r>
            <w:r w:rsidR="00BB5630">
              <w:rPr>
                <w:b w:val="0"/>
              </w:rPr>
              <w:t>8</w:t>
            </w:r>
            <w:r>
              <w:rPr>
                <w:b w:val="0"/>
              </w:rPr>
              <w:t>.</w:t>
            </w:r>
            <w:r w:rsidR="00892185">
              <w:rPr>
                <w:b w:val="0"/>
                <w:noProof/>
              </w:rPr>
              <w:t>5</w:t>
            </w:r>
            <w:r w:rsidR="00956E84">
              <w:tab/>
            </w:r>
            <w:r w:rsidR="00956E84" w:rsidRPr="00956E84">
              <w:t>Priority access to those in greatest need</w:t>
            </w:r>
          </w:p>
        </w:tc>
      </w:tr>
      <w:tr w:rsidR="00956E84" w:rsidTr="00263ABD">
        <w:trPr>
          <w:cantSplit/>
        </w:trPr>
        <w:tc>
          <w:tcPr>
            <w:tcW w:w="5000" w:type="pct"/>
            <w:tcBorders>
              <w:top w:val="nil"/>
              <w:left w:val="nil"/>
              <w:bottom w:val="nil"/>
              <w:right w:val="nil"/>
            </w:tcBorders>
            <w:shd w:val="clear" w:color="auto" w:fill="F2F2F2" w:themeFill="background1" w:themeFillShade="F2"/>
          </w:tcPr>
          <w:p w:rsidR="00956E84" w:rsidRPr="00956E84" w:rsidRDefault="00956E84" w:rsidP="00F73FEE">
            <w:pPr>
              <w:pStyle w:val="Box"/>
            </w:pPr>
            <w:r w:rsidRPr="00956E84">
              <w:t>‘Priority access to those in greatest need’ is defined</w:t>
            </w:r>
            <w:r w:rsidR="00F73FEE">
              <w:t xml:space="preserve"> by two measures</w:t>
            </w:r>
            <w:r w:rsidRPr="00956E84">
              <w:t>:</w:t>
            </w:r>
          </w:p>
          <w:p w:rsidR="00956E84" w:rsidRPr="00956E84" w:rsidRDefault="00956E84" w:rsidP="00956E84">
            <w:pPr>
              <w:pStyle w:val="Box"/>
              <w:numPr>
                <w:ilvl w:val="0"/>
                <w:numId w:val="1"/>
              </w:numPr>
            </w:pPr>
            <w:r w:rsidRPr="00956E84">
              <w:t xml:space="preserve">the proportion of new </w:t>
            </w:r>
            <w:r w:rsidR="00F73FEE">
              <w:t xml:space="preserve">housing </w:t>
            </w:r>
            <w:r w:rsidRPr="00956E84">
              <w:t>allocations that were to households in greatest need</w:t>
            </w:r>
          </w:p>
          <w:p w:rsidR="00956E84" w:rsidRPr="00956E84" w:rsidRDefault="00956E84" w:rsidP="00DE6FF3">
            <w:pPr>
              <w:pStyle w:val="BoxListBullet"/>
            </w:pPr>
            <w:r w:rsidRPr="00956E84">
              <w:t xml:space="preserve">the proportion of new </w:t>
            </w:r>
            <w:r w:rsidR="00F73FEE">
              <w:t xml:space="preserve">housing </w:t>
            </w:r>
            <w:r w:rsidRPr="00956E84">
              <w:t xml:space="preserve">allocations to households in greatest need that were waiting for periods of: less than three months; three months to less than six months; six months to less than one year; </w:t>
            </w:r>
            <w:r w:rsidRPr="00CB126E">
              <w:t>o</w:t>
            </w:r>
            <w:r w:rsidRPr="00956E84">
              <w:t>ne year to less than two years; two years or more. These percentages are not cumulative, because time to allocation for this measure reflects greatest need allocations as a percentage of all new allocations for the time period.</w:t>
            </w:r>
          </w:p>
          <w:p w:rsidR="00EC5DB3" w:rsidRDefault="00EC5DB3" w:rsidP="00956E84">
            <w:pPr>
              <w:pStyle w:val="Box"/>
            </w:pPr>
            <w:r w:rsidRPr="00956E84">
              <w:t xml:space="preserve">Greatest need households are defined as households that at the time of allocation are homeless, in housing inappropriate to </w:t>
            </w:r>
            <w:r w:rsidRPr="005E340A">
              <w:t>their needs, in housing that is adversely affecting their health or placing their life</w:t>
            </w:r>
            <w:r w:rsidR="00286A74" w:rsidRPr="005E340A">
              <w:t xml:space="preserve"> and safety at risk, or</w:t>
            </w:r>
            <w:r w:rsidR="00DA695B">
              <w:t>,</w:t>
            </w:r>
            <w:r w:rsidR="00286A74" w:rsidRPr="005E340A">
              <w:t xml:space="preserve"> have</w:t>
            </w:r>
            <w:r w:rsidRPr="005E340A">
              <w:t xml:space="preserve"> very</w:t>
            </w:r>
            <w:r w:rsidRPr="00956E84">
              <w:t xml:space="preserve"> high rental housing costs.</w:t>
            </w:r>
          </w:p>
          <w:p w:rsidR="00956E84" w:rsidRPr="00956E84" w:rsidRDefault="00803690" w:rsidP="00956E84">
            <w:pPr>
              <w:pStyle w:val="Box"/>
            </w:pPr>
            <w:r>
              <w:t xml:space="preserve">This is a </w:t>
            </w:r>
            <w:r w:rsidRPr="00A87197">
              <w:t>partial proxy</w:t>
            </w:r>
            <w:r>
              <w:t xml:space="preserve"> indicator as </w:t>
            </w:r>
            <w:r w:rsidR="00180BF3">
              <w:t xml:space="preserve">information is not provided about the proportion of households on the waiting list that are ‘greatest need’ households. </w:t>
            </w:r>
            <w:r w:rsidR="00956E84" w:rsidRPr="00956E84">
              <w:t>High or increasing values for these measures, particularly for short timeframes, indicate a high degree of access for those households in greatest need.</w:t>
            </w:r>
          </w:p>
          <w:p w:rsidR="00956E84" w:rsidRPr="00956E84" w:rsidRDefault="00956E84" w:rsidP="008E2E8A">
            <w:pPr>
              <w:pStyle w:val="Box"/>
            </w:pPr>
            <w:r w:rsidRPr="00956E84">
              <w:t xml:space="preserve">Data for this indicator are reported for public housing, </w:t>
            </w:r>
            <w:proofErr w:type="spellStart"/>
            <w:r w:rsidRPr="00956E84">
              <w:t>SOMIH</w:t>
            </w:r>
            <w:proofErr w:type="spellEnd"/>
            <w:r w:rsidRPr="00956E84">
              <w:t xml:space="preserve"> and community </w:t>
            </w:r>
            <w:r w:rsidR="004D2864" w:rsidRPr="00956E84">
              <w:t>housing</w:t>
            </w:r>
            <w:r w:rsidR="005D23E1">
              <w:t xml:space="preserve"> and</w:t>
            </w:r>
            <w:r w:rsidRPr="00956E84">
              <w:t xml:space="preserve"> are:</w:t>
            </w:r>
          </w:p>
          <w:p w:rsidR="00956E84" w:rsidRPr="00956E84" w:rsidRDefault="00956E84" w:rsidP="00956E84">
            <w:pPr>
              <w:pStyle w:val="Box"/>
              <w:numPr>
                <w:ilvl w:val="0"/>
                <w:numId w:val="1"/>
              </w:numPr>
            </w:pPr>
            <w:r w:rsidRPr="00956E84">
              <w:t>comparable (subject to caveats) within some jurisdictions over time but are not comparable across jurisdictions or over time for other jurisdictions (see caveats in attachment tables for specific jurisdictions)</w:t>
            </w:r>
          </w:p>
          <w:p w:rsidR="00956E84" w:rsidRPr="00956E84" w:rsidRDefault="00956E84" w:rsidP="00956E84">
            <w:pPr>
              <w:pStyle w:val="Box"/>
              <w:numPr>
                <w:ilvl w:val="0"/>
                <w:numId w:val="1"/>
              </w:numPr>
            </w:pPr>
            <w:r w:rsidRPr="00956E84">
              <w:t xml:space="preserve">not comparable across public housing, </w:t>
            </w:r>
            <w:proofErr w:type="spellStart"/>
            <w:r w:rsidRPr="00956E84">
              <w:t>SOMIH</w:t>
            </w:r>
            <w:proofErr w:type="spellEnd"/>
            <w:r w:rsidRPr="00956E84">
              <w:t xml:space="preserve"> and community housing</w:t>
            </w:r>
          </w:p>
          <w:p w:rsidR="00956E84" w:rsidRPr="00956E84" w:rsidRDefault="00956E84" w:rsidP="00956E84">
            <w:pPr>
              <w:pStyle w:val="Box"/>
              <w:numPr>
                <w:ilvl w:val="0"/>
                <w:numId w:val="1"/>
              </w:numPr>
            </w:pPr>
            <w:r w:rsidRPr="00956E84">
              <w:t xml:space="preserve">complete for public housing for the current reporting period (subject to caveats). All required </w:t>
            </w:r>
            <w:r w:rsidR="00243A6A">
              <w:t>2015</w:t>
            </w:r>
            <w:r w:rsidR="00B93213">
              <w:noBreakHyphen/>
            </w:r>
            <w:r w:rsidR="00243A6A">
              <w:t>16</w:t>
            </w:r>
            <w:r w:rsidRPr="00956E84">
              <w:t xml:space="preserve"> data are available for all jurisdictions providing the service</w:t>
            </w:r>
          </w:p>
          <w:p w:rsidR="00956E84" w:rsidRPr="00956E84" w:rsidRDefault="00CE1419" w:rsidP="00065ACD">
            <w:pPr>
              <w:pStyle w:val="Box"/>
              <w:numPr>
                <w:ilvl w:val="0"/>
                <w:numId w:val="1"/>
              </w:numPr>
            </w:pPr>
            <w:r w:rsidRPr="00065ACD">
              <w:t xml:space="preserve">incomplete for </w:t>
            </w:r>
            <w:proofErr w:type="spellStart"/>
            <w:r w:rsidR="00065ACD">
              <w:t>SOMIH</w:t>
            </w:r>
            <w:proofErr w:type="spellEnd"/>
            <w:r w:rsidR="00065ACD">
              <w:t xml:space="preserve"> f</w:t>
            </w:r>
            <w:r w:rsidR="00065ACD" w:rsidRPr="00065ACD">
              <w:t xml:space="preserve">or </w:t>
            </w:r>
            <w:r w:rsidRPr="00065ACD">
              <w:t xml:space="preserve">the current reporting period. </w:t>
            </w:r>
            <w:r w:rsidR="00E00B00" w:rsidRPr="00065ACD">
              <w:t>All required</w:t>
            </w:r>
            <w:r w:rsidR="00243A6A">
              <w:t xml:space="preserve"> 2015</w:t>
            </w:r>
            <w:r w:rsidR="00B93213">
              <w:noBreakHyphen/>
            </w:r>
            <w:r w:rsidR="00243A6A">
              <w:t>16</w:t>
            </w:r>
            <w:r w:rsidR="00E00B00" w:rsidRPr="00065ACD">
              <w:t xml:space="preserve"> data </w:t>
            </w:r>
            <w:r w:rsidRPr="00065ACD">
              <w:t xml:space="preserve">are not available for </w:t>
            </w:r>
            <w:r w:rsidR="00DD0CE8">
              <w:t>Tasmania</w:t>
            </w:r>
          </w:p>
          <w:p w:rsidR="00956E84" w:rsidRDefault="00956E84" w:rsidP="00464829">
            <w:pPr>
              <w:pStyle w:val="BoxListBullet"/>
            </w:pPr>
            <w:r w:rsidRPr="00464829">
              <w:t>incomplete for community housing</w:t>
            </w:r>
            <w:r w:rsidR="00065ACD" w:rsidRPr="00464829">
              <w:t xml:space="preserve"> for the current reporting period. </w:t>
            </w:r>
            <w:r w:rsidRPr="00464829">
              <w:t>All required</w:t>
            </w:r>
            <w:r w:rsidR="004D76B9" w:rsidRPr="00464829">
              <w:t xml:space="preserve"> 2015</w:t>
            </w:r>
            <w:r w:rsidR="00B93213">
              <w:noBreakHyphen/>
            </w:r>
            <w:r w:rsidR="004D76B9" w:rsidRPr="00464829">
              <w:t>16</w:t>
            </w:r>
            <w:r w:rsidRPr="00464829">
              <w:t xml:space="preserve"> </w:t>
            </w:r>
            <w:r w:rsidR="00065ACD" w:rsidRPr="00464829">
              <w:t xml:space="preserve">data are </w:t>
            </w:r>
            <w:r w:rsidRPr="00464829">
              <w:t xml:space="preserve">not available for the </w:t>
            </w:r>
            <w:r w:rsidR="00F73FEE" w:rsidRPr="00464829">
              <w:t>NT</w:t>
            </w:r>
            <w:r w:rsidRPr="00464829">
              <w:t>.</w:t>
            </w:r>
          </w:p>
        </w:tc>
      </w:tr>
      <w:tr w:rsidR="00956E84" w:rsidTr="00263ABD">
        <w:trPr>
          <w:cantSplit/>
        </w:trPr>
        <w:tc>
          <w:tcPr>
            <w:tcW w:w="5000" w:type="pct"/>
            <w:tcBorders>
              <w:top w:val="nil"/>
              <w:left w:val="nil"/>
              <w:bottom w:val="single" w:sz="6" w:space="0" w:color="78A22F"/>
              <w:right w:val="nil"/>
            </w:tcBorders>
            <w:shd w:val="clear" w:color="auto" w:fill="F2F2F2" w:themeFill="background1" w:themeFillShade="F2"/>
          </w:tcPr>
          <w:p w:rsidR="00956E84" w:rsidRDefault="00956E84">
            <w:pPr>
              <w:pStyle w:val="Box"/>
              <w:spacing w:before="0" w:line="120" w:lineRule="exact"/>
            </w:pPr>
          </w:p>
        </w:tc>
      </w:tr>
      <w:tr w:rsidR="00956E84" w:rsidRPr="000863A5" w:rsidTr="00263ABD">
        <w:tc>
          <w:tcPr>
            <w:tcW w:w="5000" w:type="pct"/>
            <w:tcBorders>
              <w:top w:val="single" w:sz="6" w:space="0" w:color="78A22F"/>
              <w:left w:val="nil"/>
              <w:bottom w:val="nil"/>
              <w:right w:val="nil"/>
            </w:tcBorders>
          </w:tcPr>
          <w:p w:rsidR="00956E84" w:rsidRPr="00626D32" w:rsidRDefault="00956E84" w:rsidP="00334F07">
            <w:pPr>
              <w:pStyle w:val="BoxSpaceBelow"/>
            </w:pPr>
          </w:p>
        </w:tc>
      </w:tr>
    </w:tbl>
    <w:p w:rsidR="009174C8" w:rsidRDefault="009174C8" w:rsidP="009174C8">
      <w:pPr>
        <w:pStyle w:val="Heading5"/>
      </w:pPr>
      <w:r>
        <w:t>Proportion of new allocations that were to households in greatest need</w:t>
      </w:r>
    </w:p>
    <w:p w:rsidR="009D62A9" w:rsidRDefault="00841836" w:rsidP="009174C8">
      <w:pPr>
        <w:pStyle w:val="BodyText"/>
        <w:spacing w:before="200"/>
        <w:rPr>
          <w:color w:val="000000" w:themeColor="text1"/>
        </w:rPr>
      </w:pPr>
      <w:r w:rsidRPr="0072137D">
        <w:rPr>
          <w:color w:val="000000" w:themeColor="text1"/>
        </w:rPr>
        <w:t>Nationally</w:t>
      </w:r>
      <w:r w:rsidR="00C97A52" w:rsidRPr="0072137D">
        <w:rPr>
          <w:color w:val="000000" w:themeColor="text1"/>
        </w:rPr>
        <w:t xml:space="preserve"> in</w:t>
      </w:r>
      <w:r w:rsidR="00D23765">
        <w:rPr>
          <w:color w:val="000000" w:themeColor="text1"/>
        </w:rPr>
        <w:t xml:space="preserve"> 2015</w:t>
      </w:r>
      <w:r w:rsidR="00B93213">
        <w:rPr>
          <w:color w:val="000000" w:themeColor="text1"/>
        </w:rPr>
        <w:noBreakHyphen/>
      </w:r>
      <w:r w:rsidR="00D23765" w:rsidRPr="00A17C2C">
        <w:rPr>
          <w:color w:val="000000" w:themeColor="text1"/>
        </w:rPr>
        <w:t xml:space="preserve">16, </w:t>
      </w:r>
      <w:r w:rsidR="00FF19C9" w:rsidRPr="00A17C2C">
        <w:rPr>
          <w:color w:val="000000" w:themeColor="text1"/>
        </w:rPr>
        <w:t>75.1</w:t>
      </w:r>
      <w:r w:rsidR="004740F2" w:rsidRPr="00A17C2C">
        <w:rPr>
          <w:color w:val="000000" w:themeColor="text1"/>
        </w:rPr>
        <w:t> </w:t>
      </w:r>
      <w:r w:rsidRPr="00A17C2C">
        <w:rPr>
          <w:color w:val="000000" w:themeColor="text1"/>
        </w:rPr>
        <w:t>per</w:t>
      </w:r>
      <w:r w:rsidR="004740F2" w:rsidRPr="00A17C2C">
        <w:rPr>
          <w:color w:val="000000" w:themeColor="text1"/>
        </w:rPr>
        <w:t> </w:t>
      </w:r>
      <w:r w:rsidRPr="00A17C2C">
        <w:rPr>
          <w:color w:val="000000" w:themeColor="text1"/>
        </w:rPr>
        <w:t>cent of new</w:t>
      </w:r>
      <w:r w:rsidR="00310447" w:rsidRPr="00A17C2C">
        <w:rPr>
          <w:color w:val="000000" w:themeColor="text1"/>
        </w:rPr>
        <w:t xml:space="preserve"> public housing</w:t>
      </w:r>
      <w:r w:rsidRPr="00A17C2C">
        <w:rPr>
          <w:color w:val="000000" w:themeColor="text1"/>
        </w:rPr>
        <w:t xml:space="preserve"> allocations,</w:t>
      </w:r>
      <w:r w:rsidR="00D23765" w:rsidRPr="00A17C2C">
        <w:rPr>
          <w:color w:val="000000" w:themeColor="text1"/>
        </w:rPr>
        <w:t xml:space="preserve"> 57.7</w:t>
      </w:r>
      <w:r w:rsidR="00973B10" w:rsidRPr="00A17C2C">
        <w:rPr>
          <w:color w:val="000000" w:themeColor="text1"/>
        </w:rPr>
        <w:t xml:space="preserve"> </w:t>
      </w:r>
      <w:r w:rsidRPr="00A17C2C">
        <w:rPr>
          <w:color w:val="000000" w:themeColor="text1"/>
        </w:rPr>
        <w:t>per cent</w:t>
      </w:r>
      <w:r w:rsidR="001F735C" w:rsidRPr="00A17C2C">
        <w:rPr>
          <w:color w:val="000000" w:themeColor="text1"/>
        </w:rPr>
        <w:t xml:space="preserve"> </w:t>
      </w:r>
      <w:r w:rsidRPr="00A17C2C">
        <w:rPr>
          <w:color w:val="000000" w:themeColor="text1"/>
        </w:rPr>
        <w:t xml:space="preserve">of </w:t>
      </w:r>
      <w:r w:rsidR="004D0537" w:rsidRPr="00A17C2C">
        <w:rPr>
          <w:color w:val="000000" w:themeColor="text1"/>
        </w:rPr>
        <w:t xml:space="preserve">new </w:t>
      </w:r>
      <w:proofErr w:type="spellStart"/>
      <w:r w:rsidR="004D0537" w:rsidRPr="00A17C2C">
        <w:rPr>
          <w:color w:val="000000" w:themeColor="text1"/>
        </w:rPr>
        <w:t>SOMIH</w:t>
      </w:r>
      <w:proofErr w:type="spellEnd"/>
      <w:r w:rsidR="004D0537" w:rsidRPr="00A17C2C">
        <w:rPr>
          <w:color w:val="000000" w:themeColor="text1"/>
        </w:rPr>
        <w:t xml:space="preserve"> allocations and</w:t>
      </w:r>
      <w:r w:rsidR="00892902" w:rsidRPr="00A17C2C">
        <w:rPr>
          <w:color w:val="000000" w:themeColor="text1"/>
        </w:rPr>
        <w:t xml:space="preserve"> 83.6</w:t>
      </w:r>
      <w:r w:rsidR="004D0537" w:rsidRPr="00A17C2C">
        <w:rPr>
          <w:color w:val="000000" w:themeColor="text1"/>
        </w:rPr>
        <w:t xml:space="preserve"> per cent</w:t>
      </w:r>
      <w:r w:rsidR="004D0537" w:rsidRPr="004D0537">
        <w:rPr>
          <w:color w:val="000000" w:themeColor="text1"/>
        </w:rPr>
        <w:t xml:space="preserve"> of new community housing allocations were to </w:t>
      </w:r>
      <w:r w:rsidRPr="008F2728">
        <w:rPr>
          <w:color w:val="000000" w:themeColor="text1"/>
        </w:rPr>
        <w:t xml:space="preserve">those </w:t>
      </w:r>
      <w:r w:rsidR="00D34399" w:rsidRPr="008F2728">
        <w:rPr>
          <w:color w:val="000000" w:themeColor="text1"/>
        </w:rPr>
        <w:t xml:space="preserve">households </w:t>
      </w:r>
      <w:r w:rsidRPr="008F2728">
        <w:rPr>
          <w:color w:val="000000" w:themeColor="text1"/>
        </w:rPr>
        <w:t>in greatest need</w:t>
      </w:r>
      <w:r w:rsidR="009D62A9">
        <w:rPr>
          <w:color w:val="000000" w:themeColor="text1"/>
        </w:rPr>
        <w:t xml:space="preserve"> </w:t>
      </w:r>
      <w:r w:rsidR="0001777A">
        <w:rPr>
          <w:color w:val="000000" w:themeColor="text1"/>
        </w:rPr>
        <w:t>(figure 18</w:t>
      </w:r>
      <w:r w:rsidR="00F76C54" w:rsidRPr="008F2728">
        <w:rPr>
          <w:color w:val="000000" w:themeColor="text1"/>
        </w:rPr>
        <w:t>.2)</w:t>
      </w:r>
      <w:r w:rsidR="00F76C54">
        <w:rPr>
          <w:color w:val="000000" w:themeColor="text1"/>
        </w:rPr>
        <w:t>.</w:t>
      </w:r>
    </w:p>
    <w:p w:rsidR="00941ED8" w:rsidRDefault="00941ED8" w:rsidP="00941E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41ED8" w:rsidTr="00941ED8">
        <w:trPr>
          <w:tblHeader/>
        </w:trPr>
        <w:tc>
          <w:tcPr>
            <w:tcW w:w="8771" w:type="dxa"/>
            <w:tcBorders>
              <w:top w:val="single" w:sz="6" w:space="0" w:color="78A22F"/>
              <w:left w:val="nil"/>
              <w:bottom w:val="nil"/>
              <w:right w:val="nil"/>
            </w:tcBorders>
            <w:shd w:val="clear" w:color="auto" w:fill="auto"/>
          </w:tcPr>
          <w:p w:rsidR="00941ED8" w:rsidRPr="00176D3F" w:rsidRDefault="00070736" w:rsidP="00941ED8">
            <w:pPr>
              <w:pStyle w:val="FigureTitle"/>
            </w:pPr>
            <w:r w:rsidRPr="00FD1E41">
              <w:rPr>
                <w:b w:val="0"/>
              </w:rPr>
              <w:t xml:space="preserve">Figure </w:t>
            </w:r>
            <w:r>
              <w:rPr>
                <w:b w:val="0"/>
              </w:rPr>
              <w:t>18</w:t>
            </w:r>
            <w:r w:rsidRPr="00FD1E41">
              <w:rPr>
                <w:b w:val="0"/>
              </w:rPr>
              <w:t>.2</w:t>
            </w:r>
            <w:r w:rsidR="00941ED8">
              <w:tab/>
              <w:t>Proportion of n</w:t>
            </w:r>
            <w:r w:rsidR="00941ED8" w:rsidRPr="00956E84">
              <w:t xml:space="preserve">ew allocations to </w:t>
            </w:r>
            <w:r w:rsidR="00941ED8">
              <w:t>households</w:t>
            </w:r>
            <w:r w:rsidR="00941ED8" w:rsidRPr="00956E84">
              <w:t xml:space="preserve"> in greatest need</w:t>
            </w:r>
            <w:r w:rsidR="00941ED8" w:rsidRPr="00956E84">
              <w:rPr>
                <w:rStyle w:val="NoteLabel"/>
                <w:b/>
              </w:rPr>
              <w:t>a</w:t>
            </w:r>
          </w:p>
        </w:tc>
      </w:tr>
      <w:tr w:rsidR="00941ED8" w:rsidTr="00941E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941ED8" w:rsidRPr="00B1465D" w:rsidTr="00941ED8">
              <w:trPr>
                <w:tblHeader/>
                <w:jc w:val="center"/>
              </w:trPr>
              <w:tc>
                <w:tcPr>
                  <w:tcW w:w="5000" w:type="pct"/>
                  <w:tcBorders>
                    <w:top w:val="nil"/>
                    <w:bottom w:val="nil"/>
                  </w:tcBorders>
                </w:tcPr>
                <w:p w:rsidR="00941ED8" w:rsidRDefault="00941ED8" w:rsidP="00941ED8">
                  <w:pPr>
                    <w:pStyle w:val="Figure"/>
                    <w:pBdr>
                      <w:right w:val="single" w:sz="4" w:space="4" w:color="auto"/>
                    </w:pBdr>
                    <w:spacing w:after="60"/>
                    <w:rPr>
                      <w:rFonts w:ascii="Arial" w:hAnsi="Arial" w:cs="Arial"/>
                      <w:b/>
                      <w:sz w:val="20"/>
                    </w:rPr>
                  </w:pPr>
                  <w:r w:rsidRPr="00E87C8E">
                    <w:rPr>
                      <w:rFonts w:ascii="Arial" w:hAnsi="Arial" w:cs="Arial"/>
                      <w:b/>
                      <w:sz w:val="20"/>
                    </w:rPr>
                    <w:t xml:space="preserve">Public </w:t>
                  </w:r>
                  <w:r>
                    <w:rPr>
                      <w:rFonts w:ascii="Arial" w:hAnsi="Arial" w:cs="Arial"/>
                      <w:b/>
                      <w:sz w:val="20"/>
                    </w:rPr>
                    <w:t>housing</w:t>
                  </w:r>
                </w:p>
                <w:p w:rsidR="00941ED8" w:rsidRPr="00B1465D" w:rsidRDefault="00941ED8" w:rsidP="00941ED8">
                  <w:pPr>
                    <w:pStyle w:val="Figure"/>
                    <w:spacing w:before="60" w:after="60"/>
                    <w:rPr>
                      <w:rFonts w:ascii="Arial" w:hAnsi="Arial" w:cs="Arial"/>
                      <w:sz w:val="18"/>
                      <w:szCs w:val="18"/>
                    </w:rPr>
                  </w:pPr>
                  <w:r>
                    <w:rPr>
                      <w:rFonts w:ascii="Arial" w:hAnsi="Arial"/>
                      <w:b/>
                      <w:noProof/>
                      <w:position w:val="6"/>
                      <w:sz w:val="18"/>
                    </w:rPr>
                    <w:drawing>
                      <wp:inline distT="0" distB="0" distL="0" distR="0" wp14:anchorId="628D3691" wp14:editId="5E733789">
                        <wp:extent cx="5401310" cy="1762125"/>
                        <wp:effectExtent l="0" t="0" r="8890" b="9525"/>
                        <wp:docPr id="33" name="Picture 33" descr="Figure 18.2 Proportion of new allocations to households in greatest need, 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1762125"/>
                                </a:xfrm>
                                <a:prstGeom prst="rect">
                                  <a:avLst/>
                                </a:prstGeom>
                                <a:noFill/>
                              </pic:spPr>
                            </pic:pic>
                          </a:graphicData>
                        </a:graphic>
                      </wp:inline>
                    </w:drawing>
                  </w:r>
                </w:p>
              </w:tc>
            </w:tr>
          </w:tbl>
          <w:p w:rsidR="00297F2E" w:rsidRDefault="00297F2E" w:rsidP="00297F2E">
            <w:pPr>
              <w:pStyle w:val="Figure"/>
              <w:spacing w:after="60"/>
              <w:rPr>
                <w:rStyle w:val="NoteLabel"/>
              </w:rPr>
            </w:pPr>
            <w:proofErr w:type="spellStart"/>
            <w:r w:rsidRPr="0047327D">
              <w:rPr>
                <w:rFonts w:ascii="Arial" w:hAnsi="Arial" w:cs="Arial"/>
                <w:b/>
                <w:sz w:val="20"/>
              </w:rPr>
              <w:t>SOMIH</w:t>
            </w:r>
            <w:proofErr w:type="spellEnd"/>
            <w:r w:rsidRPr="001F735C">
              <w:rPr>
                <w:rStyle w:val="NoteLabel"/>
              </w:rPr>
              <w:t>b</w:t>
            </w:r>
          </w:p>
          <w:p w:rsidR="00941ED8" w:rsidRDefault="00297F2E" w:rsidP="00941ED8">
            <w:pPr>
              <w:pStyle w:val="Figure"/>
            </w:pPr>
            <w:r>
              <w:rPr>
                <w:rFonts w:ascii="Arial" w:hAnsi="Arial"/>
                <w:b/>
                <w:noProof/>
                <w:position w:val="6"/>
                <w:sz w:val="18"/>
              </w:rPr>
              <w:drawing>
                <wp:inline distT="0" distB="0" distL="0" distR="0" wp14:anchorId="05265AF7" wp14:editId="2B7C6131">
                  <wp:extent cx="5400675" cy="1647825"/>
                  <wp:effectExtent l="0" t="0" r="0" b="9525"/>
                  <wp:docPr id="36" name="Picture 36" descr="Figure 18.2 Proportion of new allocations to households in greatest need,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310" cy="1648019"/>
                          </a:xfrm>
                          <a:prstGeom prst="rect">
                            <a:avLst/>
                          </a:prstGeom>
                          <a:noFill/>
                        </pic:spPr>
                      </pic:pic>
                    </a:graphicData>
                  </a:graphic>
                </wp:inline>
              </w:drawing>
            </w:r>
          </w:p>
          <w:p w:rsidR="00297F2E" w:rsidRDefault="00297F2E" w:rsidP="00941ED8">
            <w:pPr>
              <w:pStyle w:val="Figure"/>
              <w:rPr>
                <w:rStyle w:val="NoteLabel"/>
                <w:rFonts w:cs="Arial"/>
                <w:sz w:val="20"/>
              </w:rPr>
            </w:pPr>
            <w:r w:rsidRPr="00F7685E">
              <w:rPr>
                <w:rFonts w:ascii="Arial" w:hAnsi="Arial" w:cs="Arial"/>
                <w:b/>
                <w:sz w:val="20"/>
              </w:rPr>
              <w:t>Community housing</w:t>
            </w:r>
            <w:r w:rsidRPr="00F7685E">
              <w:rPr>
                <w:rStyle w:val="NoteLabel"/>
                <w:rFonts w:cs="Arial"/>
                <w:sz w:val="20"/>
              </w:rPr>
              <w:t>c</w:t>
            </w:r>
          </w:p>
          <w:p w:rsidR="00297F2E" w:rsidRDefault="00297F2E" w:rsidP="00941ED8">
            <w:pPr>
              <w:pStyle w:val="Figure"/>
            </w:pPr>
            <w:r>
              <w:rPr>
                <w:noProof/>
              </w:rPr>
              <w:drawing>
                <wp:inline distT="0" distB="0" distL="0" distR="0" wp14:anchorId="5DA955C3" wp14:editId="444C0630">
                  <wp:extent cx="5401310" cy="1762125"/>
                  <wp:effectExtent l="0" t="0" r="8890" b="9525"/>
                  <wp:docPr id="38" name="Picture 38" descr="Figure 18.2 Proportion of new allocations to households in greatest need, 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1310" cy="1762125"/>
                          </a:xfrm>
                          <a:prstGeom prst="rect">
                            <a:avLst/>
                          </a:prstGeom>
                          <a:noFill/>
                        </pic:spPr>
                      </pic:pic>
                    </a:graphicData>
                  </a:graphic>
                </wp:inline>
              </w:drawing>
            </w:r>
          </w:p>
        </w:tc>
      </w:tr>
      <w:tr w:rsidR="00941ED8" w:rsidRPr="00176D3F" w:rsidTr="00941ED8">
        <w:tc>
          <w:tcPr>
            <w:tcW w:w="8771" w:type="dxa"/>
            <w:tcBorders>
              <w:top w:val="nil"/>
              <w:left w:val="nil"/>
              <w:bottom w:val="nil"/>
              <w:right w:val="nil"/>
            </w:tcBorders>
            <w:shd w:val="clear" w:color="auto" w:fill="auto"/>
          </w:tcPr>
          <w:p w:rsidR="00941ED8" w:rsidRPr="00176D3F" w:rsidRDefault="00297F2E" w:rsidP="00297F2E">
            <w:pPr>
              <w:pStyle w:val="Note"/>
            </w:pPr>
            <w:r>
              <w:rPr>
                <w:rStyle w:val="NoteLabel"/>
              </w:rPr>
              <w:t>a </w:t>
            </w:r>
            <w:r>
              <w:t>See box 18.5 and tables </w:t>
            </w:r>
            <w:proofErr w:type="spellStart"/>
            <w:r>
              <w:t>18A.9</w:t>
            </w:r>
            <w:proofErr w:type="spellEnd"/>
            <w:r>
              <w:t xml:space="preserve">–11 for detailed definitions, footnotes and caveats. </w:t>
            </w:r>
            <w:r w:rsidRPr="001F735C">
              <w:rPr>
                <w:rStyle w:val="NoteLabel"/>
              </w:rPr>
              <w:t>b</w:t>
            </w:r>
            <w:r>
              <w:rPr>
                <w:rStyle w:val="NoteLabel"/>
              </w:rPr>
              <w:t> </w:t>
            </w:r>
            <w:r w:rsidRPr="001F735C">
              <w:t>Data</w:t>
            </w:r>
            <w:r>
              <w:t xml:space="preserve"> are not available for Tasmania. </w:t>
            </w:r>
            <w:r>
              <w:rPr>
                <w:rStyle w:val="NoteLabel"/>
              </w:rPr>
              <w:t xml:space="preserve">c </w:t>
            </w:r>
            <w:r>
              <w:t>Data are not available for the NT.</w:t>
            </w:r>
          </w:p>
        </w:tc>
      </w:tr>
      <w:tr w:rsidR="00941ED8" w:rsidRPr="00176D3F" w:rsidTr="00941ED8">
        <w:tc>
          <w:tcPr>
            <w:tcW w:w="8771" w:type="dxa"/>
            <w:tcBorders>
              <w:top w:val="nil"/>
              <w:left w:val="nil"/>
              <w:bottom w:val="nil"/>
              <w:right w:val="nil"/>
            </w:tcBorders>
            <w:shd w:val="clear" w:color="auto" w:fill="auto"/>
          </w:tcPr>
          <w:p w:rsidR="00941ED8" w:rsidRPr="00176D3F" w:rsidRDefault="00297F2E" w:rsidP="00941ED8">
            <w:pPr>
              <w:pStyle w:val="Source"/>
            </w:pPr>
            <w:r>
              <w:rPr>
                <w:i/>
              </w:rPr>
              <w:t>Sou</w:t>
            </w:r>
            <w:r w:rsidRPr="00784A05">
              <w:rPr>
                <w:i/>
              </w:rPr>
              <w:t>rce</w:t>
            </w:r>
            <w:r w:rsidRPr="00176D3F">
              <w:t xml:space="preserve">: </w:t>
            </w:r>
            <w:proofErr w:type="spellStart"/>
            <w:r w:rsidRPr="00346293">
              <w:t>AIHW</w:t>
            </w:r>
            <w:proofErr w:type="spellEnd"/>
            <w:r w:rsidRPr="00346293">
              <w:t xml:space="preserve"> (unpublished) </w:t>
            </w:r>
            <w:r w:rsidRPr="008E1D76">
              <w:t>National Housing Assistance Data Repository</w:t>
            </w:r>
            <w:r>
              <w:t>; tables </w:t>
            </w:r>
            <w:proofErr w:type="spellStart"/>
            <w:r>
              <w:t>18A.9</w:t>
            </w:r>
            <w:proofErr w:type="spellEnd"/>
            <w:r>
              <w:t>–11.</w:t>
            </w:r>
          </w:p>
        </w:tc>
      </w:tr>
      <w:tr w:rsidR="00941ED8" w:rsidTr="00941ED8">
        <w:tc>
          <w:tcPr>
            <w:tcW w:w="8771" w:type="dxa"/>
            <w:tcBorders>
              <w:top w:val="nil"/>
              <w:left w:val="nil"/>
              <w:bottom w:val="single" w:sz="6" w:space="0" w:color="78A22F"/>
              <w:right w:val="nil"/>
            </w:tcBorders>
            <w:shd w:val="clear" w:color="auto" w:fill="auto"/>
          </w:tcPr>
          <w:p w:rsidR="00941ED8" w:rsidRDefault="00941ED8" w:rsidP="00941ED8">
            <w:pPr>
              <w:pStyle w:val="Figurespace"/>
            </w:pPr>
          </w:p>
        </w:tc>
      </w:tr>
      <w:tr w:rsidR="00941ED8" w:rsidRPr="000863A5" w:rsidTr="00941ED8">
        <w:tc>
          <w:tcPr>
            <w:tcW w:w="8771" w:type="dxa"/>
            <w:tcBorders>
              <w:top w:val="single" w:sz="6" w:space="0" w:color="78A22F"/>
              <w:left w:val="nil"/>
              <w:bottom w:val="nil"/>
              <w:right w:val="nil"/>
            </w:tcBorders>
          </w:tcPr>
          <w:p w:rsidR="00941ED8" w:rsidRPr="00626D32" w:rsidRDefault="00941ED8" w:rsidP="00941ED8">
            <w:pPr>
              <w:pStyle w:val="BoxSpaceBelow"/>
            </w:pPr>
          </w:p>
        </w:tc>
      </w:tr>
    </w:tbl>
    <w:p w:rsidR="00941ED8" w:rsidRPr="004372D7" w:rsidRDefault="00941ED8" w:rsidP="009174C8">
      <w:pPr>
        <w:pStyle w:val="BodyText"/>
        <w:spacing w:before="200"/>
      </w:pPr>
    </w:p>
    <w:p w:rsidR="009174C8" w:rsidRDefault="009174C8" w:rsidP="009174C8">
      <w:pPr>
        <w:pStyle w:val="Heading5"/>
      </w:pPr>
      <w:r>
        <w:lastRenderedPageBreak/>
        <w:t>P</w:t>
      </w:r>
      <w:r w:rsidRPr="00956E84">
        <w:t>roportion of new allocations to households in greatest need</w:t>
      </w:r>
      <w:r>
        <w:t xml:space="preserve"> within particular timeframes</w:t>
      </w:r>
    </w:p>
    <w:p w:rsidR="007A578F" w:rsidRDefault="00DC7412" w:rsidP="00230905">
      <w:pPr>
        <w:pStyle w:val="BodyText"/>
      </w:pPr>
      <w:r>
        <w:rPr>
          <w:color w:val="000000" w:themeColor="text1"/>
        </w:rPr>
        <w:t>Nationally</w:t>
      </w:r>
      <w:r w:rsidR="00F76C54">
        <w:rPr>
          <w:color w:val="000000" w:themeColor="text1"/>
        </w:rPr>
        <w:t xml:space="preserve"> in</w:t>
      </w:r>
      <w:r w:rsidR="00E137B6">
        <w:rPr>
          <w:color w:val="000000" w:themeColor="text1"/>
        </w:rPr>
        <w:t xml:space="preserve"> 2015</w:t>
      </w:r>
      <w:r w:rsidR="00B93213">
        <w:rPr>
          <w:color w:val="000000" w:themeColor="text1"/>
        </w:rPr>
        <w:noBreakHyphen/>
      </w:r>
      <w:r w:rsidR="00E137B6">
        <w:rPr>
          <w:color w:val="000000" w:themeColor="text1"/>
        </w:rPr>
        <w:t>16</w:t>
      </w:r>
      <w:r w:rsidR="00D23C4B">
        <w:rPr>
          <w:color w:val="000000" w:themeColor="text1"/>
        </w:rPr>
        <w:t xml:space="preserve">, </w:t>
      </w:r>
      <w:r w:rsidR="001F735C">
        <w:rPr>
          <w:color w:val="000000" w:themeColor="text1"/>
        </w:rPr>
        <w:t>of all households allocated public housing within three months</w:t>
      </w:r>
      <w:r w:rsidR="00F76C54">
        <w:rPr>
          <w:color w:val="000000" w:themeColor="text1"/>
        </w:rPr>
        <w:t>,</w:t>
      </w:r>
      <w:r w:rsidR="00E137B6" w:rsidRPr="00E137B6">
        <w:rPr>
          <w:color w:val="000000" w:themeColor="text1"/>
        </w:rPr>
        <w:t xml:space="preserve"> </w:t>
      </w:r>
      <w:r w:rsidR="006B6EC4" w:rsidRPr="00A17C2C">
        <w:rPr>
          <w:color w:val="000000" w:themeColor="text1"/>
        </w:rPr>
        <w:t>86.4</w:t>
      </w:r>
      <w:r w:rsidR="00E137B6" w:rsidRPr="00A17C2C">
        <w:rPr>
          <w:color w:val="000000" w:themeColor="text1"/>
        </w:rPr>
        <w:t xml:space="preserve"> </w:t>
      </w:r>
      <w:r w:rsidR="005C79CA" w:rsidRPr="00A17C2C">
        <w:rPr>
          <w:color w:val="000000" w:themeColor="text1"/>
        </w:rPr>
        <w:t>per cent</w:t>
      </w:r>
      <w:r w:rsidRPr="00A17C2C">
        <w:rPr>
          <w:color w:val="000000" w:themeColor="text1"/>
        </w:rPr>
        <w:t xml:space="preserve"> </w:t>
      </w:r>
      <w:r w:rsidR="001F735C" w:rsidRPr="00A17C2C">
        <w:rPr>
          <w:color w:val="000000" w:themeColor="text1"/>
        </w:rPr>
        <w:t xml:space="preserve">were </w:t>
      </w:r>
      <w:r w:rsidR="00A949D5" w:rsidRPr="00A17C2C">
        <w:rPr>
          <w:color w:val="000000" w:themeColor="text1"/>
        </w:rPr>
        <w:t>households in greatest need</w:t>
      </w:r>
      <w:r w:rsidR="00230905" w:rsidRPr="00A17C2C">
        <w:rPr>
          <w:color w:val="000000" w:themeColor="text1"/>
        </w:rPr>
        <w:t xml:space="preserve"> (table</w:t>
      </w:r>
      <w:r w:rsidR="00B93213">
        <w:rPr>
          <w:color w:val="000000" w:themeColor="text1"/>
        </w:rPr>
        <w:t> </w:t>
      </w:r>
      <w:proofErr w:type="spellStart"/>
      <w:r w:rsidR="003B2986" w:rsidRPr="00A17C2C">
        <w:rPr>
          <w:color w:val="000000" w:themeColor="text1"/>
        </w:rPr>
        <w:t>18A.9</w:t>
      </w:r>
      <w:proofErr w:type="spellEnd"/>
      <w:r w:rsidR="00230905" w:rsidRPr="00A17C2C">
        <w:rPr>
          <w:color w:val="000000" w:themeColor="text1"/>
        </w:rPr>
        <w:t>)</w:t>
      </w:r>
      <w:r w:rsidR="00F30D29" w:rsidRPr="00A17C2C">
        <w:rPr>
          <w:color w:val="000000" w:themeColor="text1"/>
        </w:rPr>
        <w:t>. F</w:t>
      </w:r>
      <w:r w:rsidR="00F76C54" w:rsidRPr="00A17C2C">
        <w:rPr>
          <w:color w:val="000000" w:themeColor="text1"/>
        </w:rPr>
        <w:t xml:space="preserve">or </w:t>
      </w:r>
      <w:r w:rsidR="00A949D5" w:rsidRPr="00A17C2C">
        <w:rPr>
          <w:color w:val="000000" w:themeColor="text1"/>
        </w:rPr>
        <w:t xml:space="preserve">households allocated </w:t>
      </w:r>
      <w:proofErr w:type="spellStart"/>
      <w:r w:rsidR="00A949D5" w:rsidRPr="00A17C2C">
        <w:rPr>
          <w:color w:val="000000" w:themeColor="text1"/>
        </w:rPr>
        <w:t>SOMIH</w:t>
      </w:r>
      <w:proofErr w:type="spellEnd"/>
      <w:r w:rsidR="00A949D5" w:rsidRPr="00A17C2C">
        <w:rPr>
          <w:color w:val="000000" w:themeColor="text1"/>
        </w:rPr>
        <w:t xml:space="preserve"> within three months</w:t>
      </w:r>
      <w:r w:rsidR="00E137B6" w:rsidRPr="00A17C2C">
        <w:rPr>
          <w:color w:val="000000" w:themeColor="text1"/>
        </w:rPr>
        <w:t xml:space="preserve">, </w:t>
      </w:r>
      <w:r w:rsidR="00FA0E96" w:rsidRPr="00A17C2C">
        <w:rPr>
          <w:color w:val="000000" w:themeColor="text1"/>
        </w:rPr>
        <w:t xml:space="preserve">this proportion was </w:t>
      </w:r>
      <w:r w:rsidR="00031967" w:rsidRPr="00A17C2C">
        <w:rPr>
          <w:color w:val="000000" w:themeColor="text1"/>
        </w:rPr>
        <w:t>74</w:t>
      </w:r>
      <w:r w:rsidR="00E137B6" w:rsidRPr="00A17C2C">
        <w:rPr>
          <w:color w:val="000000" w:themeColor="text1"/>
        </w:rPr>
        <w:t>.9</w:t>
      </w:r>
      <w:r w:rsidR="00A949D5" w:rsidRPr="00A17C2C">
        <w:rPr>
          <w:color w:val="000000" w:themeColor="text1"/>
        </w:rPr>
        <w:t xml:space="preserve"> per cent </w:t>
      </w:r>
      <w:r w:rsidR="00230905" w:rsidRPr="00A17C2C">
        <w:rPr>
          <w:color w:val="000000" w:themeColor="text1"/>
        </w:rPr>
        <w:t>(table </w:t>
      </w:r>
      <w:proofErr w:type="spellStart"/>
      <w:r w:rsidR="003B2986" w:rsidRPr="00A17C2C">
        <w:rPr>
          <w:color w:val="000000" w:themeColor="text1"/>
        </w:rPr>
        <w:t>18A.10</w:t>
      </w:r>
      <w:proofErr w:type="spellEnd"/>
      <w:r w:rsidR="00230905" w:rsidRPr="00A17C2C">
        <w:rPr>
          <w:color w:val="000000" w:themeColor="text1"/>
        </w:rPr>
        <w:t xml:space="preserve">). </w:t>
      </w:r>
      <w:r w:rsidR="00230905" w:rsidRPr="00A17C2C">
        <w:t xml:space="preserve"> </w:t>
      </w:r>
      <w:r w:rsidR="00FA0E96" w:rsidRPr="00A17C2C">
        <w:t>Data for other timeframes are in tables</w:t>
      </w:r>
      <w:r w:rsidR="00B93213">
        <w:t> </w:t>
      </w:r>
      <w:proofErr w:type="spellStart"/>
      <w:r w:rsidR="003B2986" w:rsidRPr="00A17C2C">
        <w:t>18A.9</w:t>
      </w:r>
      <w:proofErr w:type="spellEnd"/>
      <w:r w:rsidR="00FA0E96" w:rsidRPr="00A17C2C">
        <w:t xml:space="preserve"> and </w:t>
      </w:r>
      <w:proofErr w:type="spellStart"/>
      <w:r w:rsidR="003B2986" w:rsidRPr="00A17C2C">
        <w:t>18A.10</w:t>
      </w:r>
      <w:proofErr w:type="spellEnd"/>
      <w:r w:rsidR="00FA0E96" w:rsidRPr="00A17C2C">
        <w:t xml:space="preserve"> for</w:t>
      </w:r>
      <w:r w:rsidR="00FA0E96">
        <w:t xml:space="preserve"> public housing and </w:t>
      </w:r>
      <w:proofErr w:type="spellStart"/>
      <w:r w:rsidR="00FA0E96">
        <w:t>SOMIH</w:t>
      </w:r>
      <w:proofErr w:type="spellEnd"/>
      <w:r w:rsidR="00FA0E96">
        <w:t>, respectively</w:t>
      </w:r>
      <w:r w:rsidR="007A578F">
        <w:t>.</w:t>
      </w:r>
    </w:p>
    <w:p w:rsidR="00D23C4B" w:rsidRDefault="00D23C4B" w:rsidP="00616646">
      <w:pPr>
        <w:pStyle w:val="BodyText"/>
      </w:pPr>
      <w:r>
        <w:t>Households that are in greatest need are more likely to have members with special needs</w:t>
      </w:r>
      <w:r w:rsidR="00A949D5">
        <w:t>,</w:t>
      </w:r>
      <w:r w:rsidR="007D1214">
        <w:t xml:space="preserve"> </w:t>
      </w:r>
      <w:r w:rsidR="00A949D5">
        <w:t>and t</w:t>
      </w:r>
      <w:r>
        <w:t xml:space="preserve">here may be overlap between </w:t>
      </w:r>
      <w:r w:rsidR="009174C8">
        <w:t>special needs and greatest need</w:t>
      </w:r>
      <w:r>
        <w:t xml:space="preserve"> groups </w:t>
      </w:r>
      <w:r w:rsidR="00A949D5">
        <w:t>(</w:t>
      </w:r>
      <w:proofErr w:type="spellStart"/>
      <w:r w:rsidR="00A949D5">
        <w:t>AIHW</w:t>
      </w:r>
      <w:proofErr w:type="spellEnd"/>
      <w:r w:rsidR="00A949D5">
        <w:t xml:space="preserve"> 2015)</w:t>
      </w:r>
      <w:r>
        <w:t>.</w:t>
      </w:r>
    </w:p>
    <w:p w:rsidR="00F76C54" w:rsidRDefault="006F7A0C" w:rsidP="00AF1F34">
      <w:pPr>
        <w:pStyle w:val="Heading4"/>
      </w:pPr>
      <w:r>
        <w:t>Access — Special needs</w:t>
      </w:r>
    </w:p>
    <w:p w:rsidR="00616646" w:rsidRPr="004372D7" w:rsidRDefault="00616646" w:rsidP="00616646">
      <w:pPr>
        <w:pStyle w:val="BodyText"/>
      </w:pPr>
      <w:r>
        <w:t xml:space="preserve">Access of ‘special needs’ groups to social housing </w:t>
      </w:r>
      <w:r w:rsidRPr="00A34FFE">
        <w:t>is an indicator of governments’ objective to provide</w:t>
      </w:r>
      <w:r w:rsidR="000A621E">
        <w:t xml:space="preserve"> social housing services in an equitable manner</w:t>
      </w:r>
      <w:r w:rsidRPr="00A34FFE">
        <w:t xml:space="preserve"> </w:t>
      </w:r>
      <w:r w:rsidR="007F2F30">
        <w:t>(box 1</w:t>
      </w:r>
      <w:r w:rsidR="00BB5630">
        <w:t>8</w:t>
      </w:r>
      <w:r w:rsidR="007F2F30">
        <w:t>.</w:t>
      </w:r>
      <w:r w:rsidR="00790CB2">
        <w:t>6</w:t>
      </w:r>
      <w:r w:rsidRPr="00A34FFE">
        <w:t>).</w:t>
      </w:r>
    </w:p>
    <w:p w:rsidR="00616646" w:rsidRDefault="00616646" w:rsidP="00616646">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616646" w:rsidTr="00751BC3">
        <w:tc>
          <w:tcPr>
            <w:tcW w:w="5000" w:type="pct"/>
            <w:tcBorders>
              <w:top w:val="single" w:sz="6" w:space="0" w:color="78A22F"/>
              <w:left w:val="nil"/>
              <w:bottom w:val="nil"/>
              <w:right w:val="nil"/>
            </w:tcBorders>
            <w:shd w:val="clear" w:color="auto" w:fill="F2F2F2" w:themeFill="background1" w:themeFillShade="F2"/>
          </w:tcPr>
          <w:p w:rsidR="00616646" w:rsidRDefault="001363B3" w:rsidP="00BB5630">
            <w:pPr>
              <w:pStyle w:val="BoxTitle"/>
            </w:pPr>
            <w:r>
              <w:rPr>
                <w:b w:val="0"/>
              </w:rPr>
              <w:t>Box 1</w:t>
            </w:r>
            <w:r w:rsidR="00BB5630">
              <w:rPr>
                <w:b w:val="0"/>
              </w:rPr>
              <w:t>8</w:t>
            </w:r>
            <w:r>
              <w:rPr>
                <w:b w:val="0"/>
              </w:rPr>
              <w:t>.</w:t>
            </w:r>
            <w:r w:rsidR="00892185">
              <w:rPr>
                <w:b w:val="0"/>
                <w:noProof/>
              </w:rPr>
              <w:t>6</w:t>
            </w:r>
            <w:r w:rsidR="00BF121A">
              <w:tab/>
              <w:t>S</w:t>
            </w:r>
            <w:r w:rsidR="00616646">
              <w:t xml:space="preserve">pecial needs </w:t>
            </w:r>
          </w:p>
        </w:tc>
      </w:tr>
      <w:tr w:rsidR="00616646" w:rsidTr="00751BC3">
        <w:trPr>
          <w:cantSplit/>
        </w:trPr>
        <w:tc>
          <w:tcPr>
            <w:tcW w:w="5000" w:type="pct"/>
            <w:tcBorders>
              <w:top w:val="nil"/>
              <w:left w:val="nil"/>
              <w:bottom w:val="nil"/>
              <w:right w:val="nil"/>
            </w:tcBorders>
            <w:shd w:val="clear" w:color="auto" w:fill="F2F2F2" w:themeFill="background1" w:themeFillShade="F2"/>
          </w:tcPr>
          <w:p w:rsidR="00FA0E96" w:rsidRDefault="00F76C54" w:rsidP="004E07D1">
            <w:pPr>
              <w:pStyle w:val="Box"/>
            </w:pPr>
            <w:r>
              <w:t>‘</w:t>
            </w:r>
            <w:r w:rsidR="00BF121A">
              <w:t>S</w:t>
            </w:r>
            <w:r w:rsidR="00616646" w:rsidRPr="00A34FFE">
              <w:t>pecial needs</w:t>
            </w:r>
            <w:r>
              <w:t>’</w:t>
            </w:r>
            <w:r w:rsidR="00616646">
              <w:t xml:space="preserve"> </w:t>
            </w:r>
            <w:r w:rsidR="00616646" w:rsidRPr="00A34FFE">
              <w:t xml:space="preserve">is defined as the proportion of new tenancies allocated to households with special </w:t>
            </w:r>
            <w:r w:rsidR="00616646" w:rsidRPr="005E340A">
              <w:t>needs</w:t>
            </w:r>
            <w:r w:rsidR="004E07D1">
              <w:t>.</w:t>
            </w:r>
          </w:p>
          <w:p w:rsidR="004E07D1" w:rsidRDefault="004E07D1" w:rsidP="004E07D1">
            <w:pPr>
              <w:pStyle w:val="Box"/>
            </w:pPr>
            <w:r>
              <w:t>Special needs households are defined as households that at the time of allocation have:</w:t>
            </w:r>
          </w:p>
          <w:p w:rsidR="004E07D1" w:rsidRDefault="004E07D1" w:rsidP="00DA532F">
            <w:pPr>
              <w:pStyle w:val="BoxListBullet"/>
            </w:pPr>
            <w:r>
              <w:t xml:space="preserve">for public housing and </w:t>
            </w:r>
            <w:r w:rsidR="002017CC" w:rsidRPr="00A17C2C">
              <w:t>community housing</w:t>
            </w:r>
            <w:r w:rsidR="002017CC">
              <w:t xml:space="preserve"> </w:t>
            </w:r>
            <w:r>
              <w:t xml:space="preserve">— a </w:t>
            </w:r>
            <w:r w:rsidR="00DA532F" w:rsidRPr="00DA532F">
              <w:t xml:space="preserve">household </w:t>
            </w:r>
            <w:r>
              <w:t xml:space="preserve">member with disability, a main tenant </w:t>
            </w:r>
            <w:r w:rsidR="00DA532F" w:rsidRPr="00DA532F">
              <w:t>aged 24 years or under</w:t>
            </w:r>
            <w:r>
              <w:t xml:space="preserve">, a main tenant aged 75 </w:t>
            </w:r>
            <w:r w:rsidR="00FC1962" w:rsidRPr="00DA532F">
              <w:t xml:space="preserve">years </w:t>
            </w:r>
            <w:r>
              <w:t xml:space="preserve">or over, </w:t>
            </w:r>
            <w:r w:rsidR="00252DF3">
              <w:t>and/</w:t>
            </w:r>
            <w:r>
              <w:t xml:space="preserve">or </w:t>
            </w:r>
            <w:r w:rsidR="00252DF3">
              <w:t xml:space="preserve">satisfy </w:t>
            </w:r>
            <w:r w:rsidR="00252DF3" w:rsidRPr="00252DF3">
              <w:t>the Aboriginal and Torres Strait Islander household definition</w:t>
            </w:r>
          </w:p>
          <w:p w:rsidR="004E07D1" w:rsidRDefault="004E07D1" w:rsidP="002017CC">
            <w:pPr>
              <w:pStyle w:val="BoxListBullet"/>
            </w:pPr>
            <w:r>
              <w:t xml:space="preserve">for </w:t>
            </w:r>
            <w:proofErr w:type="spellStart"/>
            <w:r w:rsidR="002017CC" w:rsidRPr="002017CC">
              <w:t>SOMIH</w:t>
            </w:r>
            <w:proofErr w:type="spellEnd"/>
            <w:r w:rsidR="002017CC" w:rsidRPr="002017CC">
              <w:t xml:space="preserve"> </w:t>
            </w:r>
            <w:r w:rsidRPr="00A17C2C">
              <w:t>— a</w:t>
            </w:r>
            <w:r>
              <w:t xml:space="preserve"> household member with disability</w:t>
            </w:r>
            <w:r w:rsidR="00710A2E">
              <w:t>,</w:t>
            </w:r>
            <w:r>
              <w:t xml:space="preserve"> a principa</w:t>
            </w:r>
            <w:r w:rsidR="00710A2E">
              <w:t xml:space="preserve">l tenant aged </w:t>
            </w:r>
            <w:r w:rsidR="002017CC" w:rsidRPr="00DA532F">
              <w:t>24 years or under</w:t>
            </w:r>
            <w:r w:rsidR="002017CC">
              <w:t xml:space="preserve"> </w:t>
            </w:r>
            <w:r w:rsidR="00710A2E">
              <w:t>and/or a principal tenant aged 50 years or over.</w:t>
            </w:r>
          </w:p>
          <w:p w:rsidR="00616646" w:rsidRPr="00E00B00" w:rsidRDefault="00616646" w:rsidP="004E07D1">
            <w:pPr>
              <w:pStyle w:val="Box"/>
            </w:pPr>
            <w:r w:rsidRPr="005E340A">
              <w:t>The</w:t>
            </w:r>
            <w:r w:rsidRPr="00A34FFE">
              <w:t xml:space="preserve"> proportion of new tenancies with special needs is reported as a proxy for measuring all households with special needs</w:t>
            </w:r>
            <w:r w:rsidRPr="00E00B00">
              <w:t>.</w:t>
            </w:r>
          </w:p>
          <w:p w:rsidR="00616646" w:rsidRPr="00E00B00" w:rsidRDefault="00616646" w:rsidP="00751BC3">
            <w:pPr>
              <w:pStyle w:val="Box"/>
            </w:pPr>
            <w:r w:rsidRPr="00E00B00">
              <w:t xml:space="preserve">A high or increasing proportion indicates high </w:t>
            </w:r>
            <w:r w:rsidR="004E07D1">
              <w:t xml:space="preserve">or increasing </w:t>
            </w:r>
            <w:r w:rsidRPr="00E00B00">
              <w:t>access by special needs households.</w:t>
            </w:r>
          </w:p>
          <w:p w:rsidR="00616646" w:rsidRPr="00E00B00" w:rsidRDefault="00616646" w:rsidP="00751BC3">
            <w:pPr>
              <w:pStyle w:val="Box"/>
            </w:pPr>
            <w:r w:rsidRPr="00E00B00">
              <w:t xml:space="preserve">Data for this indicator are reported for public housing, </w:t>
            </w:r>
            <w:proofErr w:type="spellStart"/>
            <w:r w:rsidRPr="00E00B00">
              <w:t>SOMIH</w:t>
            </w:r>
            <w:proofErr w:type="spellEnd"/>
            <w:r w:rsidRPr="00E00B00">
              <w:t xml:space="preserve"> and community housing</w:t>
            </w:r>
            <w:r w:rsidR="004926F8">
              <w:t xml:space="preserve"> and are:</w:t>
            </w:r>
          </w:p>
          <w:p w:rsidR="00616646" w:rsidRPr="00CE1419" w:rsidRDefault="00616646" w:rsidP="00751BC3">
            <w:pPr>
              <w:pStyle w:val="BoxListBullet"/>
            </w:pPr>
            <w:r w:rsidRPr="00CE1419">
              <w:t>comparable (subject to caveats) within some jurisdictions over time but are not comparable across jurisdictions or over time for other jurisdictions (see caveats in attachment tables for specific jurisdictions)</w:t>
            </w:r>
          </w:p>
          <w:p w:rsidR="00616646" w:rsidRPr="00CE1419" w:rsidRDefault="00616646" w:rsidP="00751BC3">
            <w:pPr>
              <w:pStyle w:val="BoxListBullet"/>
            </w:pPr>
            <w:r w:rsidRPr="00CE1419">
              <w:t xml:space="preserve">are not comparable across public housing, </w:t>
            </w:r>
            <w:proofErr w:type="spellStart"/>
            <w:r w:rsidRPr="00CE1419">
              <w:t>SOMIH</w:t>
            </w:r>
            <w:proofErr w:type="spellEnd"/>
            <w:r w:rsidRPr="00CE1419">
              <w:t xml:space="preserve"> and community housing</w:t>
            </w:r>
          </w:p>
          <w:p w:rsidR="00616646" w:rsidRPr="00CE1419" w:rsidRDefault="00616646" w:rsidP="00751BC3">
            <w:pPr>
              <w:pStyle w:val="BoxListBullet"/>
            </w:pPr>
            <w:r w:rsidRPr="00CE1419">
              <w:t xml:space="preserve">complete for public housing and </w:t>
            </w:r>
            <w:proofErr w:type="spellStart"/>
            <w:r w:rsidRPr="00CE1419">
              <w:t>SOMIH</w:t>
            </w:r>
            <w:proofErr w:type="spellEnd"/>
            <w:r w:rsidRPr="00CE1419">
              <w:t xml:space="preserve"> for the current reporting period (subjec</w:t>
            </w:r>
            <w:r w:rsidR="00D578CD">
              <w:t xml:space="preserve">t to caveats). All required </w:t>
            </w:r>
            <w:r w:rsidR="00DA695B">
              <w:t>2015</w:t>
            </w:r>
            <w:r w:rsidR="00B93213">
              <w:noBreakHyphen/>
            </w:r>
            <w:r w:rsidR="00DA695B">
              <w:t>16</w:t>
            </w:r>
            <w:r w:rsidRPr="00CE1419">
              <w:t xml:space="preserve"> data are available for all jurisdictions providing the service</w:t>
            </w:r>
          </w:p>
          <w:p w:rsidR="00616646" w:rsidRDefault="00616646" w:rsidP="00763453">
            <w:pPr>
              <w:pStyle w:val="BoxListBullet"/>
            </w:pPr>
            <w:r w:rsidRPr="00347317">
              <w:t>incomplete for community housing for the current rep</w:t>
            </w:r>
            <w:r w:rsidR="00D578CD" w:rsidRPr="00347317">
              <w:t>orting period. All required</w:t>
            </w:r>
            <w:r w:rsidR="00313B53" w:rsidRPr="00347317">
              <w:t xml:space="preserve"> 2015</w:t>
            </w:r>
            <w:r w:rsidR="00B93213">
              <w:noBreakHyphen/>
            </w:r>
            <w:r w:rsidR="00313B53" w:rsidRPr="00347317">
              <w:t>16 data</w:t>
            </w:r>
            <w:r w:rsidR="00D578CD" w:rsidRPr="00347317">
              <w:t xml:space="preserve"> </w:t>
            </w:r>
            <w:r w:rsidRPr="00347317">
              <w:t xml:space="preserve">are not available for the </w:t>
            </w:r>
            <w:r w:rsidR="00F76C54" w:rsidRPr="00347317">
              <w:t>NT</w:t>
            </w:r>
            <w:r w:rsidRPr="00347317">
              <w:t>.</w:t>
            </w:r>
          </w:p>
        </w:tc>
      </w:tr>
      <w:tr w:rsidR="00616646" w:rsidTr="00751BC3">
        <w:trPr>
          <w:cantSplit/>
        </w:trPr>
        <w:tc>
          <w:tcPr>
            <w:tcW w:w="5000" w:type="pct"/>
            <w:tcBorders>
              <w:top w:val="nil"/>
              <w:left w:val="nil"/>
              <w:bottom w:val="single" w:sz="6" w:space="0" w:color="78A22F"/>
              <w:right w:val="nil"/>
            </w:tcBorders>
            <w:shd w:val="clear" w:color="auto" w:fill="F2F2F2" w:themeFill="background1" w:themeFillShade="F2"/>
          </w:tcPr>
          <w:p w:rsidR="00616646" w:rsidRDefault="00616646" w:rsidP="00751BC3">
            <w:pPr>
              <w:pStyle w:val="Box"/>
              <w:spacing w:before="0" w:line="120" w:lineRule="exact"/>
            </w:pPr>
          </w:p>
        </w:tc>
      </w:tr>
    </w:tbl>
    <w:p w:rsidR="00616646" w:rsidRDefault="00616646" w:rsidP="00616646">
      <w:pPr>
        <w:pStyle w:val="BodyText"/>
      </w:pPr>
      <w:r>
        <w:t>The proportion of new housing tenancies allocated to households with special needs varies across the forms of social housing, acro</w:t>
      </w:r>
      <w:r w:rsidR="006F7A0C">
        <w:t>ss jurisdictions and over time.</w:t>
      </w:r>
    </w:p>
    <w:p w:rsidR="000C5700" w:rsidRDefault="000C5700" w:rsidP="000C5700">
      <w:pPr>
        <w:pStyle w:val="BodyText"/>
      </w:pPr>
      <w:r>
        <w:lastRenderedPageBreak/>
        <w:t>Nationally in 2015</w:t>
      </w:r>
      <w:r w:rsidR="00B93213">
        <w:noBreakHyphen/>
      </w:r>
      <w:r>
        <w:t>16, the proportion of new tenancies allocated to household</w:t>
      </w:r>
      <w:r w:rsidR="00F73106">
        <w:t>s</w:t>
      </w:r>
      <w:r>
        <w:t xml:space="preserve"> with special needs </w:t>
      </w:r>
      <w:r w:rsidRPr="00A17C2C">
        <w:t>was</w:t>
      </w:r>
      <w:r w:rsidRPr="00A17C2C">
        <w:rPr>
          <w:color w:val="000000" w:themeColor="text1"/>
        </w:rPr>
        <w:t xml:space="preserve"> 61.</w:t>
      </w:r>
      <w:r w:rsidR="006631CD" w:rsidRPr="00A17C2C">
        <w:rPr>
          <w:color w:val="000000" w:themeColor="text1"/>
        </w:rPr>
        <w:t>5</w:t>
      </w:r>
      <w:r w:rsidRPr="00A17C2C">
        <w:rPr>
          <w:color w:val="000000" w:themeColor="text1"/>
        </w:rPr>
        <w:t xml:space="preserve"> per cent for public housing and 48.7 </w:t>
      </w:r>
      <w:r w:rsidR="0006748A" w:rsidRPr="00A17C2C">
        <w:rPr>
          <w:color w:val="000000" w:themeColor="text1"/>
        </w:rPr>
        <w:t xml:space="preserve">per cent </w:t>
      </w:r>
      <w:r w:rsidRPr="00A17C2C">
        <w:rPr>
          <w:color w:val="000000" w:themeColor="text1"/>
        </w:rPr>
        <w:t xml:space="preserve">for </w:t>
      </w:r>
      <w:proofErr w:type="spellStart"/>
      <w:r w:rsidRPr="00A17C2C">
        <w:rPr>
          <w:color w:val="000000" w:themeColor="text1"/>
        </w:rPr>
        <w:t>SOMIH</w:t>
      </w:r>
      <w:proofErr w:type="spellEnd"/>
      <w:r w:rsidRPr="00A17C2C">
        <w:t xml:space="preserve"> —  </w:t>
      </w:r>
      <w:r w:rsidR="0006748A" w:rsidRPr="00A17C2C">
        <w:t>both having decreased since 2011</w:t>
      </w:r>
      <w:r w:rsidR="0006748A" w:rsidRPr="00A17C2C">
        <w:noBreakHyphen/>
        <w:t>12 — and</w:t>
      </w:r>
      <w:r w:rsidRPr="00A17C2C">
        <w:rPr>
          <w:rStyle w:val="BodyTextChar"/>
        </w:rPr>
        <w:t xml:space="preserve"> 59.4</w:t>
      </w:r>
      <w:r w:rsidRPr="00A17C2C">
        <w:rPr>
          <w:color w:val="FF0000"/>
        </w:rPr>
        <w:t xml:space="preserve"> </w:t>
      </w:r>
      <w:r w:rsidRPr="00A17C2C">
        <w:t>per cent for community housing</w:t>
      </w:r>
      <w:r w:rsidR="0006748A" w:rsidRPr="00A17C2C">
        <w:t>, reversing a downward trend from 2012</w:t>
      </w:r>
      <w:r w:rsidR="00B93213">
        <w:noBreakHyphen/>
      </w:r>
      <w:r w:rsidR="0006748A" w:rsidRPr="00A17C2C">
        <w:t>13 to 2014</w:t>
      </w:r>
      <w:r w:rsidR="00B93213">
        <w:noBreakHyphen/>
      </w:r>
      <w:r w:rsidR="0006748A" w:rsidRPr="00A17C2C">
        <w:t>15</w:t>
      </w:r>
      <w:r w:rsidR="0006748A">
        <w:t xml:space="preserve"> </w:t>
      </w:r>
      <w:r w:rsidRPr="000C5700">
        <w:t>(figure 18.3).</w:t>
      </w:r>
    </w:p>
    <w:p w:rsidR="00616646" w:rsidRDefault="00616646" w:rsidP="00616646">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shd w:val="clear" w:color="auto" w:fill="FFFFFF" w:themeFill="background1"/>
        <w:tblCellMar>
          <w:left w:w="142" w:type="dxa"/>
          <w:right w:w="142" w:type="dxa"/>
        </w:tblCellMar>
        <w:tblLook w:val="0000" w:firstRow="0" w:lastRow="0" w:firstColumn="0" w:lastColumn="0" w:noHBand="0" w:noVBand="0"/>
      </w:tblPr>
      <w:tblGrid>
        <w:gridCol w:w="8931"/>
      </w:tblGrid>
      <w:tr w:rsidR="00616646" w:rsidTr="00B6576C">
        <w:tc>
          <w:tcPr>
            <w:tcW w:w="5000" w:type="pct"/>
            <w:tcBorders>
              <w:top w:val="single" w:sz="6" w:space="0" w:color="78A22F"/>
              <w:left w:val="nil"/>
              <w:bottom w:val="nil"/>
              <w:right w:val="nil"/>
            </w:tcBorders>
            <w:shd w:val="clear" w:color="auto" w:fill="FFFFFF" w:themeFill="background1"/>
          </w:tcPr>
          <w:p w:rsidR="00616646" w:rsidRPr="00176D3F" w:rsidRDefault="00616646" w:rsidP="00751BC3">
            <w:pPr>
              <w:pStyle w:val="FigureTitle"/>
            </w:pPr>
            <w:r w:rsidRPr="00FD1E41">
              <w:rPr>
                <w:b w:val="0"/>
              </w:rPr>
              <w:t xml:space="preserve">Figure </w:t>
            </w:r>
            <w:r w:rsidR="0001777A">
              <w:rPr>
                <w:b w:val="0"/>
              </w:rPr>
              <w:t>18</w:t>
            </w:r>
            <w:r w:rsidR="0023151F" w:rsidRPr="00FD1E41">
              <w:rPr>
                <w:b w:val="0"/>
              </w:rPr>
              <w:t>.3</w:t>
            </w:r>
            <w:r>
              <w:rPr>
                <w:b w:val="0"/>
              </w:rPr>
              <w:t xml:space="preserve"> </w:t>
            </w:r>
            <w:r>
              <w:tab/>
            </w:r>
            <w:r w:rsidRPr="00E00B00">
              <w:t>New tenancies allocated to households with special needs</w:t>
            </w:r>
            <w:r w:rsidRPr="00E00B00">
              <w:rPr>
                <w:rStyle w:val="NoteLabel"/>
                <w:b/>
              </w:rPr>
              <w:t>a</w:t>
            </w:r>
            <w:r w:rsidRPr="00E00B00">
              <w:t xml:space="preserve"> </w:t>
            </w:r>
          </w:p>
        </w:tc>
      </w:tr>
      <w:tr w:rsidR="00616646" w:rsidTr="002D20E6">
        <w:trPr>
          <w:trHeight w:val="10104"/>
        </w:trPr>
        <w:tc>
          <w:tcPr>
            <w:tcW w:w="5000" w:type="pct"/>
            <w:tcBorders>
              <w:top w:val="nil"/>
              <w:left w:val="nil"/>
              <w:bottom w:val="nil"/>
              <w:right w:val="nil"/>
            </w:tcBorders>
            <w:shd w:val="clear" w:color="auto" w:fill="FFFFFF" w:themeFill="background1"/>
            <w:tcMar>
              <w:top w:w="28" w:type="dxa"/>
              <w:bottom w:w="28" w:type="dxa"/>
            </w:tcMar>
          </w:tcPr>
          <w:tbl>
            <w:tblPr>
              <w:tblW w:w="0" w:type="auto"/>
              <w:tblCellMar>
                <w:top w:w="28" w:type="dxa"/>
              </w:tblCellMar>
              <w:tblLook w:val="0000" w:firstRow="0" w:lastRow="0" w:firstColumn="0" w:lastColumn="0" w:noHBand="0" w:noVBand="0"/>
            </w:tblPr>
            <w:tblGrid>
              <w:gridCol w:w="8647"/>
            </w:tblGrid>
            <w:tr w:rsidR="00616646" w:rsidTr="00A17C2C">
              <w:trPr>
                <w:trHeight w:val="9948"/>
              </w:trPr>
              <w:tc>
                <w:tcPr>
                  <w:tcW w:w="8647" w:type="dxa"/>
                </w:tcPr>
                <w:p w:rsidR="00616646" w:rsidRPr="00DD2735" w:rsidRDefault="00616646" w:rsidP="006802B4">
                  <w:pPr>
                    <w:pStyle w:val="Figure"/>
                    <w:spacing w:after="60"/>
                    <w:rPr>
                      <w:rStyle w:val="NoteLabel"/>
                    </w:rPr>
                  </w:pPr>
                  <w:r w:rsidRPr="00962A05">
                    <w:rPr>
                      <w:rFonts w:ascii="Arial" w:hAnsi="Arial" w:cs="Arial"/>
                      <w:b/>
                      <w:sz w:val="20"/>
                    </w:rPr>
                    <w:t>Public housing</w:t>
                  </w:r>
                  <w:r w:rsidR="004E53A3">
                    <w:rPr>
                      <w:rFonts w:ascii="Arial" w:hAnsi="Arial" w:cs="Arial"/>
                      <w:b/>
                      <w:sz w:val="20"/>
                    </w:rPr>
                    <w:br/>
                  </w:r>
                  <w:r w:rsidR="00012C88">
                    <w:rPr>
                      <w:rFonts w:ascii="Arial" w:hAnsi="Arial" w:cs="Arial"/>
                      <w:b/>
                      <w:noProof/>
                      <w:sz w:val="20"/>
                    </w:rPr>
                    <w:drawing>
                      <wp:inline distT="0" distB="0" distL="0" distR="0" wp14:anchorId="33962BF1" wp14:editId="2320817D">
                        <wp:extent cx="5401310" cy="1767840"/>
                        <wp:effectExtent l="0" t="0" r="8890" b="3810"/>
                        <wp:docPr id="5" name="Picture 5" descr="Figure 18.3 New tenancies allocated to households with special needs, 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310" cy="1767840"/>
                                </a:xfrm>
                                <a:prstGeom prst="rect">
                                  <a:avLst/>
                                </a:prstGeom>
                                <a:noFill/>
                              </pic:spPr>
                            </pic:pic>
                          </a:graphicData>
                        </a:graphic>
                      </wp:inline>
                    </w:drawing>
                  </w:r>
                  <w:proofErr w:type="spellStart"/>
                  <w:r>
                    <w:rPr>
                      <w:rFonts w:ascii="Arial" w:hAnsi="Arial" w:cs="Arial"/>
                      <w:b/>
                      <w:sz w:val="20"/>
                    </w:rPr>
                    <w:t>SOMIH</w:t>
                  </w:r>
                  <w:proofErr w:type="spellEnd"/>
                  <w:r w:rsidR="004E53A3">
                    <w:rPr>
                      <w:rFonts w:ascii="Arial" w:hAnsi="Arial" w:cs="Arial"/>
                      <w:b/>
                      <w:sz w:val="20"/>
                    </w:rPr>
                    <w:br/>
                  </w:r>
                  <w:r w:rsidR="00B06795">
                    <w:rPr>
                      <w:rFonts w:ascii="Arial" w:hAnsi="Arial" w:cs="Arial"/>
                      <w:b/>
                      <w:noProof/>
                      <w:sz w:val="20"/>
                    </w:rPr>
                    <w:drawing>
                      <wp:inline distT="0" distB="0" distL="0" distR="0" wp14:anchorId="31145015" wp14:editId="73510DE4">
                        <wp:extent cx="5391150" cy="1685925"/>
                        <wp:effectExtent l="0" t="0" r="0" b="9525"/>
                        <wp:docPr id="19" name="Picture 19" descr="Figure 18.3 New tenancies allocated to households with special needs,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5595" cy="1687315"/>
                                </a:xfrm>
                                <a:prstGeom prst="rect">
                                  <a:avLst/>
                                </a:prstGeom>
                                <a:noFill/>
                              </pic:spPr>
                            </pic:pic>
                          </a:graphicData>
                        </a:graphic>
                      </wp:inline>
                    </w:drawing>
                  </w:r>
                  <w:r w:rsidR="007E29B0" w:rsidRPr="00F30D29">
                    <w:rPr>
                      <w:b/>
                    </w:rPr>
                    <w:t xml:space="preserve"> </w:t>
                  </w:r>
                  <w:r w:rsidRPr="00F7685E">
                    <w:rPr>
                      <w:rFonts w:ascii="Arial" w:hAnsi="Arial" w:cs="Arial"/>
                      <w:b/>
                      <w:sz w:val="20"/>
                    </w:rPr>
                    <w:t>Community housing</w:t>
                  </w:r>
                  <w:r w:rsidR="00F30D29" w:rsidRPr="00F30D29">
                    <w:rPr>
                      <w:rStyle w:val="NoteLabel"/>
                    </w:rPr>
                    <w:t>b</w:t>
                  </w:r>
                  <w:r w:rsidR="006802B4">
                    <w:rPr>
                      <w:noProof/>
                    </w:rPr>
                    <w:drawing>
                      <wp:inline distT="0" distB="0" distL="0" distR="0" wp14:anchorId="078EE2FC" wp14:editId="0FA69A78">
                        <wp:extent cx="5364000" cy="1765075"/>
                        <wp:effectExtent l="0" t="0" r="8255" b="6985"/>
                        <wp:docPr id="21" name="Chart 21" descr="Figure 18.3 New tenancies allocated to households with special needs, Community housing&#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4E53A3" w:rsidRPr="004372D7">
                    <w:br/>
                  </w:r>
                  <w:r w:rsidR="00490994">
                    <w:rPr>
                      <w:rFonts w:ascii="Arial" w:hAnsi="Arial"/>
                      <w:b/>
                      <w:noProof/>
                      <w:position w:val="6"/>
                      <w:sz w:val="18"/>
                    </w:rPr>
                    <w:drawing>
                      <wp:inline distT="0" distB="0" distL="0" distR="0" wp14:anchorId="0580948F" wp14:editId="30CFF6CF">
                        <wp:extent cx="5401310" cy="207010"/>
                        <wp:effectExtent l="0" t="0" r="8890" b="2540"/>
                        <wp:docPr id="15" name="Picture 15" descr="Figure 18.3 New tenancies allocated to households with special needs. Text specifies reference years with 2015-16 current year and 2011-12 to 2014-15 historical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1310" cy="207010"/>
                                </a:xfrm>
                                <a:prstGeom prst="rect">
                                  <a:avLst/>
                                </a:prstGeom>
                                <a:noFill/>
                              </pic:spPr>
                            </pic:pic>
                          </a:graphicData>
                        </a:graphic>
                      </wp:inline>
                    </w:drawing>
                  </w:r>
                </w:p>
              </w:tc>
            </w:tr>
          </w:tbl>
          <w:p w:rsidR="00616646" w:rsidRDefault="00616646" w:rsidP="00751BC3">
            <w:pPr>
              <w:pStyle w:val="Figure"/>
            </w:pPr>
          </w:p>
        </w:tc>
      </w:tr>
      <w:tr w:rsidR="00616646" w:rsidRPr="00176D3F" w:rsidTr="00B6576C">
        <w:tc>
          <w:tcPr>
            <w:tcW w:w="5000" w:type="pct"/>
            <w:tcBorders>
              <w:top w:val="nil"/>
              <w:left w:val="nil"/>
              <w:bottom w:val="nil"/>
              <w:right w:val="nil"/>
            </w:tcBorders>
            <w:shd w:val="clear" w:color="auto" w:fill="FFFFFF" w:themeFill="background1"/>
          </w:tcPr>
          <w:p w:rsidR="00616646" w:rsidRPr="00176D3F" w:rsidRDefault="00616646" w:rsidP="000650F5">
            <w:pPr>
              <w:pStyle w:val="Note"/>
            </w:pPr>
            <w:r>
              <w:rPr>
                <w:rStyle w:val="NoteLabel"/>
              </w:rPr>
              <w:t>a</w:t>
            </w:r>
            <w:r>
              <w:t xml:space="preserve"> </w:t>
            </w:r>
            <w:r w:rsidR="007F2F30">
              <w:t>See box</w:t>
            </w:r>
            <w:r w:rsidR="007D1214">
              <w:t> </w:t>
            </w:r>
            <w:r w:rsidR="007F2F30">
              <w:t>1</w:t>
            </w:r>
            <w:r w:rsidR="00BB5630">
              <w:t>8</w:t>
            </w:r>
            <w:r w:rsidR="007F2F30">
              <w:t>.</w:t>
            </w:r>
            <w:r w:rsidR="00790CB2">
              <w:t>6</w:t>
            </w:r>
            <w:r w:rsidR="004E0A44">
              <w:t xml:space="preserve"> and </w:t>
            </w:r>
            <w:r w:rsidR="007E29B0">
              <w:t>tables</w:t>
            </w:r>
            <w:r w:rsidR="007D1214">
              <w:t> </w:t>
            </w:r>
            <w:proofErr w:type="spellStart"/>
            <w:r w:rsidR="003B2986">
              <w:t>18A.12</w:t>
            </w:r>
            <w:proofErr w:type="spellEnd"/>
            <w:r w:rsidR="007E29B0">
              <w:t>–</w:t>
            </w:r>
            <w:r w:rsidR="003B2986">
              <w:t>14</w:t>
            </w:r>
            <w:r w:rsidR="004E0A44">
              <w:t xml:space="preserve"> </w:t>
            </w:r>
            <w:r w:rsidR="00AC0EFD">
              <w:t>for detailed definitions, footnotes and caveats.</w:t>
            </w:r>
            <w:r w:rsidR="00F30D29">
              <w:t xml:space="preserve"> </w:t>
            </w:r>
            <w:r w:rsidR="00F30D29" w:rsidRPr="001F735C">
              <w:rPr>
                <w:rStyle w:val="NoteLabel"/>
              </w:rPr>
              <w:t>b</w:t>
            </w:r>
            <w:r w:rsidR="00F30D29">
              <w:rPr>
                <w:rStyle w:val="NoteLabel"/>
              </w:rPr>
              <w:t xml:space="preserve"> </w:t>
            </w:r>
            <w:r w:rsidR="00F30D29" w:rsidRPr="00F30D29">
              <w:t xml:space="preserve">Data are not available for the </w:t>
            </w:r>
            <w:r w:rsidR="00F306D1">
              <w:t>NT</w:t>
            </w:r>
            <w:r w:rsidR="00F30D29" w:rsidRPr="00F30D29">
              <w:t>.</w:t>
            </w:r>
          </w:p>
        </w:tc>
      </w:tr>
      <w:tr w:rsidR="00616646" w:rsidRPr="00176D3F" w:rsidTr="00B6576C">
        <w:tc>
          <w:tcPr>
            <w:tcW w:w="5000" w:type="pct"/>
            <w:tcBorders>
              <w:top w:val="nil"/>
              <w:left w:val="nil"/>
              <w:bottom w:val="nil"/>
              <w:right w:val="nil"/>
            </w:tcBorders>
            <w:shd w:val="clear" w:color="auto" w:fill="FFFFFF" w:themeFill="background1"/>
          </w:tcPr>
          <w:p w:rsidR="00616646" w:rsidRPr="00176D3F" w:rsidRDefault="00616646" w:rsidP="000650F5">
            <w:pPr>
              <w:pStyle w:val="Source"/>
            </w:pPr>
            <w:r>
              <w:rPr>
                <w:i/>
              </w:rPr>
              <w:t>Source</w:t>
            </w:r>
            <w:r w:rsidRPr="00176D3F">
              <w:t xml:space="preserve">: </w:t>
            </w:r>
            <w:proofErr w:type="spellStart"/>
            <w:r w:rsidRPr="00E00B00">
              <w:t>AIHW</w:t>
            </w:r>
            <w:proofErr w:type="spellEnd"/>
            <w:r w:rsidRPr="00E00B00">
              <w:t xml:space="preserve"> (unpublished</w:t>
            </w:r>
            <w:r>
              <w:t xml:space="preserve">) </w:t>
            </w:r>
            <w:r w:rsidRPr="008E1D76">
              <w:t>National Housing Assistance Data Repository</w:t>
            </w:r>
            <w:r w:rsidR="00BB38DF">
              <w:rPr>
                <w:i/>
              </w:rPr>
              <w:t xml:space="preserve">; </w:t>
            </w:r>
            <w:r w:rsidR="00BB38DF" w:rsidRPr="00BB38DF">
              <w:t>tables</w:t>
            </w:r>
            <w:r w:rsidR="007D1214">
              <w:rPr>
                <w:i/>
              </w:rPr>
              <w:t> </w:t>
            </w:r>
            <w:proofErr w:type="spellStart"/>
            <w:r w:rsidR="003B2986">
              <w:t>18A.12</w:t>
            </w:r>
            <w:proofErr w:type="spellEnd"/>
            <w:r w:rsidR="00BB38DF">
              <w:t>–</w:t>
            </w:r>
            <w:r w:rsidR="003B2986">
              <w:t>14</w:t>
            </w:r>
            <w:r w:rsidRPr="00E00B00">
              <w:t>.</w:t>
            </w:r>
          </w:p>
        </w:tc>
      </w:tr>
      <w:tr w:rsidR="00616646" w:rsidTr="00B6576C">
        <w:tc>
          <w:tcPr>
            <w:tcW w:w="5000" w:type="pct"/>
            <w:tcBorders>
              <w:top w:val="nil"/>
              <w:left w:val="nil"/>
              <w:bottom w:val="single" w:sz="6" w:space="0" w:color="78A22F"/>
              <w:right w:val="nil"/>
            </w:tcBorders>
            <w:shd w:val="clear" w:color="auto" w:fill="FFFFFF" w:themeFill="background1"/>
          </w:tcPr>
          <w:p w:rsidR="00616646" w:rsidRDefault="00616646" w:rsidP="00751BC3">
            <w:pPr>
              <w:pStyle w:val="Figurespace"/>
            </w:pPr>
          </w:p>
        </w:tc>
      </w:tr>
      <w:tr w:rsidR="00616646" w:rsidRPr="000863A5" w:rsidTr="00B6576C">
        <w:tc>
          <w:tcPr>
            <w:tcW w:w="5000" w:type="pct"/>
            <w:tcBorders>
              <w:top w:val="single" w:sz="6" w:space="0" w:color="78A22F"/>
              <w:left w:val="nil"/>
              <w:bottom w:val="nil"/>
              <w:right w:val="nil"/>
            </w:tcBorders>
            <w:shd w:val="clear" w:color="auto" w:fill="FFFFFF" w:themeFill="background1"/>
          </w:tcPr>
          <w:p w:rsidR="00616646" w:rsidRPr="00626D32" w:rsidRDefault="00616646" w:rsidP="00751BC3">
            <w:pPr>
              <w:pStyle w:val="BoxSpaceBelow"/>
            </w:pPr>
          </w:p>
        </w:tc>
      </w:tr>
    </w:tbl>
    <w:p w:rsidR="009A5130" w:rsidRPr="003770C0" w:rsidRDefault="00457EC9" w:rsidP="00457EC9">
      <w:pPr>
        <w:pStyle w:val="Heading3"/>
      </w:pPr>
      <w:r>
        <w:lastRenderedPageBreak/>
        <w:t>Effectiveness</w:t>
      </w:r>
    </w:p>
    <w:p w:rsidR="00752966" w:rsidRDefault="00752966" w:rsidP="00752966">
      <w:pPr>
        <w:pStyle w:val="Heading4"/>
      </w:pPr>
      <w:r>
        <w:t>Access — Affordability</w:t>
      </w:r>
    </w:p>
    <w:p w:rsidR="00BF6E24" w:rsidRDefault="00BF6E24" w:rsidP="00BF6E24">
      <w:pPr>
        <w:pStyle w:val="BodyText"/>
      </w:pPr>
      <w:r w:rsidRPr="00DA73E5">
        <w:t xml:space="preserve">‘Affordability’ is an indicator of governments’ objective to provide </w:t>
      </w:r>
      <w:r w:rsidR="00131C1E">
        <w:t xml:space="preserve">social housing services that are </w:t>
      </w:r>
      <w:r w:rsidRPr="00DA73E5">
        <w:t xml:space="preserve">affordable </w:t>
      </w:r>
      <w:r w:rsidR="00131C1E">
        <w:t>to those who need them</w:t>
      </w:r>
      <w:r w:rsidRPr="00DA73E5">
        <w:t xml:space="preserve"> (box</w:t>
      </w:r>
      <w:r>
        <w:t> 18.</w:t>
      </w:r>
      <w:r w:rsidR="00790CB2">
        <w:t>7</w:t>
      </w:r>
      <w:r w:rsidRPr="00DA73E5">
        <w:t>).</w:t>
      </w:r>
    </w:p>
    <w:p w:rsidR="006E571B" w:rsidRDefault="006E571B" w:rsidP="006E571B">
      <w:pPr>
        <w:pStyle w:val="BoxSpaceAbove"/>
      </w:pPr>
    </w:p>
    <w:tbl>
      <w:tblPr>
        <w:tblW w:w="4846"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94"/>
      </w:tblGrid>
      <w:tr w:rsidR="00F82E50" w:rsidTr="00FB3CD2">
        <w:tc>
          <w:tcPr>
            <w:tcW w:w="5000" w:type="pct"/>
            <w:tcBorders>
              <w:top w:val="single" w:sz="6" w:space="0" w:color="78A22F"/>
              <w:left w:val="nil"/>
              <w:bottom w:val="nil"/>
              <w:right w:val="nil"/>
            </w:tcBorders>
            <w:shd w:val="clear" w:color="auto" w:fill="F2F2F2" w:themeFill="background1" w:themeFillShade="F2"/>
          </w:tcPr>
          <w:p w:rsidR="00F82E50" w:rsidRDefault="00790CB2" w:rsidP="00790CB2">
            <w:pPr>
              <w:pStyle w:val="BoxTitle"/>
            </w:pPr>
            <w:r>
              <w:rPr>
                <w:b w:val="0"/>
              </w:rPr>
              <w:t>Box 18.</w:t>
            </w:r>
            <w:r w:rsidR="00892185">
              <w:rPr>
                <w:b w:val="0"/>
                <w:noProof/>
              </w:rPr>
              <w:t>7</w:t>
            </w:r>
            <w:r w:rsidR="00F82E50">
              <w:tab/>
            </w:r>
            <w:r w:rsidR="00F82E50" w:rsidRPr="00E66BE3">
              <w:t>Affordability</w:t>
            </w:r>
          </w:p>
        </w:tc>
      </w:tr>
      <w:tr w:rsidR="00F82E50" w:rsidTr="00FB3CD2">
        <w:trPr>
          <w:cantSplit/>
        </w:trPr>
        <w:tc>
          <w:tcPr>
            <w:tcW w:w="5000" w:type="pct"/>
            <w:tcBorders>
              <w:top w:val="nil"/>
              <w:left w:val="nil"/>
              <w:bottom w:val="nil"/>
              <w:right w:val="nil"/>
            </w:tcBorders>
            <w:shd w:val="clear" w:color="auto" w:fill="F2F2F2" w:themeFill="background1" w:themeFillShade="F2"/>
          </w:tcPr>
          <w:p w:rsidR="00F82E50" w:rsidRDefault="00F82E50" w:rsidP="00F82E50">
            <w:pPr>
              <w:pStyle w:val="Box"/>
            </w:pPr>
            <w:r w:rsidRPr="0022319C">
              <w:t xml:space="preserve">‘Affordability’ is defined as </w:t>
            </w:r>
            <w:r w:rsidR="009F7DE6">
              <w:t>the financial capacity of low income households in</w:t>
            </w:r>
            <w:r w:rsidR="009F7DE6" w:rsidRPr="0022319C">
              <w:t xml:space="preserve"> </w:t>
            </w:r>
            <w:r>
              <w:t xml:space="preserve">social housing </w:t>
            </w:r>
            <w:r w:rsidRPr="0022319C">
              <w:t xml:space="preserve">to </w:t>
            </w:r>
            <w:r w:rsidR="009F7DE6">
              <w:t xml:space="preserve">meet rental costs. It is </w:t>
            </w:r>
            <w:r>
              <w:t xml:space="preserve">measured as the proportion of </w:t>
            </w:r>
            <w:r w:rsidRPr="00131C1E">
              <w:t>low income social housing households in rental stress</w:t>
            </w:r>
            <w:r w:rsidR="006E571B">
              <w:t>,</w:t>
            </w:r>
            <w:r>
              <w:t xml:space="preserve"> where:</w:t>
            </w:r>
          </w:p>
          <w:p w:rsidR="00F82E50" w:rsidRDefault="00F82E50" w:rsidP="00F82E50">
            <w:pPr>
              <w:pStyle w:val="BoxListBullet"/>
            </w:pPr>
            <w:r>
              <w:t xml:space="preserve">‘rental stress’ is defined as </w:t>
            </w:r>
            <w:r w:rsidRPr="0022319C">
              <w:t xml:space="preserve">spending more than 30 per cent of </w:t>
            </w:r>
            <w:r w:rsidR="00DF3C39" w:rsidRPr="0022319C">
              <w:t xml:space="preserve">gross </w:t>
            </w:r>
            <w:r>
              <w:t>household</w:t>
            </w:r>
            <w:r w:rsidRPr="0022319C">
              <w:t xml:space="preserve"> income on rent</w:t>
            </w:r>
          </w:p>
          <w:p w:rsidR="00F82E50" w:rsidRPr="0022319C" w:rsidRDefault="00F82E50" w:rsidP="00F82E50">
            <w:pPr>
              <w:pStyle w:val="BoxListBullet"/>
            </w:pPr>
            <w:r w:rsidRPr="0022319C">
              <w:t xml:space="preserve">low income households are defined as those in the bottom 40 per cent of </w:t>
            </w:r>
            <w:proofErr w:type="spellStart"/>
            <w:r w:rsidRPr="0022319C">
              <w:t>equivalised</w:t>
            </w:r>
            <w:proofErr w:type="spellEnd"/>
            <w:r w:rsidRPr="0022319C">
              <w:t xml:space="preserve"> gross household </w:t>
            </w:r>
            <w:r w:rsidRPr="00A17C2C">
              <w:t>income</w:t>
            </w:r>
            <w:r w:rsidR="00B46FE0" w:rsidRPr="00A17C2C">
              <w:t xml:space="preserve"> (see section</w:t>
            </w:r>
            <w:r w:rsidR="00B93213">
              <w:t> </w:t>
            </w:r>
            <w:r w:rsidR="00B46FE0" w:rsidRPr="00A17C2C">
              <w:t>18.4 for further detail)</w:t>
            </w:r>
            <w:r w:rsidRPr="00A17C2C">
              <w:t>. Low income households are more likely to be adversely affected by relatively high housing costs</w:t>
            </w:r>
            <w:r w:rsidRPr="00B41140">
              <w:t xml:space="preserve"> than households with higher disposable incomes (Yates and Gabriel 2006; Yates and Milligan 2007)</w:t>
            </w:r>
            <w:r w:rsidR="006F7A0C">
              <w:t>.</w:t>
            </w:r>
          </w:p>
          <w:p w:rsidR="00F82E50" w:rsidRPr="0022319C" w:rsidRDefault="00F82E50" w:rsidP="005A4F93">
            <w:pPr>
              <w:pStyle w:val="Box"/>
            </w:pPr>
            <w:r w:rsidRPr="0022319C">
              <w:t xml:space="preserve">A low or decreasing proportion of </w:t>
            </w:r>
            <w:r>
              <w:t xml:space="preserve">social housing </w:t>
            </w:r>
            <w:r w:rsidRPr="0022319C">
              <w:t xml:space="preserve">households spending more than 30 per cent of their income on rent implies </w:t>
            </w:r>
            <w:r>
              <w:t xml:space="preserve">that social </w:t>
            </w:r>
            <w:r w:rsidRPr="0022319C">
              <w:t xml:space="preserve">housing </w:t>
            </w:r>
            <w:r>
              <w:t xml:space="preserve">is more </w:t>
            </w:r>
            <w:r w:rsidRPr="0022319C">
              <w:t>affordabl</w:t>
            </w:r>
            <w:r>
              <w:t>e</w:t>
            </w:r>
            <w:r w:rsidRPr="0022319C">
              <w:t>.</w:t>
            </w:r>
          </w:p>
          <w:p w:rsidR="00F82E50" w:rsidRPr="0022319C" w:rsidRDefault="005A11E6" w:rsidP="005A4F93">
            <w:pPr>
              <w:pStyle w:val="Box"/>
            </w:pPr>
            <w:r>
              <w:t>Data for this indicator are</w:t>
            </w:r>
            <w:r w:rsidRPr="0022319C">
              <w:t xml:space="preserve"> reported for public housin</w:t>
            </w:r>
            <w:r>
              <w:t xml:space="preserve">g, </w:t>
            </w:r>
            <w:proofErr w:type="spellStart"/>
            <w:r>
              <w:t>SOMIH</w:t>
            </w:r>
            <w:proofErr w:type="spellEnd"/>
            <w:r>
              <w:t xml:space="preserve"> and community housing and are</w:t>
            </w:r>
            <w:r w:rsidR="00F82E50" w:rsidRPr="0022319C">
              <w:t>:</w:t>
            </w:r>
          </w:p>
          <w:p w:rsidR="00F82E50" w:rsidRPr="0022319C" w:rsidRDefault="00F82E50" w:rsidP="005A4F93">
            <w:pPr>
              <w:pStyle w:val="Box"/>
              <w:numPr>
                <w:ilvl w:val="0"/>
                <w:numId w:val="1"/>
              </w:numPr>
            </w:pPr>
            <w:r w:rsidRPr="0022319C">
              <w:t>comparable (subject t</w:t>
            </w:r>
            <w:r w:rsidR="006F7A0C">
              <w:t>o caveats) across jurisdictions</w:t>
            </w:r>
          </w:p>
          <w:p w:rsidR="00F82E50" w:rsidRPr="0022319C" w:rsidRDefault="00F82E50" w:rsidP="005A4F93">
            <w:pPr>
              <w:pStyle w:val="Box"/>
              <w:numPr>
                <w:ilvl w:val="0"/>
                <w:numId w:val="1"/>
              </w:numPr>
            </w:pPr>
            <w:r w:rsidRPr="0022319C">
              <w:t xml:space="preserve">not comparable across public housing, </w:t>
            </w:r>
            <w:proofErr w:type="spellStart"/>
            <w:r w:rsidRPr="0022319C">
              <w:t>SOMIH</w:t>
            </w:r>
            <w:proofErr w:type="spellEnd"/>
            <w:r w:rsidRPr="0022319C">
              <w:t xml:space="preserve"> and community housing</w:t>
            </w:r>
          </w:p>
          <w:p w:rsidR="00F82E50" w:rsidRPr="002414BA" w:rsidRDefault="00F31504" w:rsidP="002414BA">
            <w:pPr>
              <w:pStyle w:val="BoxListBullet"/>
            </w:pPr>
            <w:r>
              <w:t>in</w:t>
            </w:r>
            <w:r w:rsidR="00F82E50" w:rsidRPr="00B5171D">
              <w:t>complete</w:t>
            </w:r>
            <w:r w:rsidR="00F82E50" w:rsidRPr="0022319C">
              <w:t xml:space="preserve"> for the current reporting period</w:t>
            </w:r>
            <w:r w:rsidR="007D6C6E">
              <w:t xml:space="preserve"> for public housing</w:t>
            </w:r>
            <w:r w:rsidR="00F82E50" w:rsidRPr="0022319C">
              <w:t>. All required</w:t>
            </w:r>
            <w:r w:rsidR="004F4906">
              <w:t xml:space="preserve"> 2015</w:t>
            </w:r>
            <w:r w:rsidR="00B93213">
              <w:noBreakHyphen/>
            </w:r>
            <w:r w:rsidR="004F4906">
              <w:t>16</w:t>
            </w:r>
            <w:r w:rsidR="00F82E50" w:rsidRPr="0022319C">
              <w:t xml:space="preserve"> data are </w:t>
            </w:r>
            <w:r>
              <w:t xml:space="preserve">not </w:t>
            </w:r>
            <w:r w:rsidR="00F82E50" w:rsidRPr="0022319C">
              <w:t xml:space="preserve">available for </w:t>
            </w:r>
            <w:r>
              <w:t>S</w:t>
            </w:r>
            <w:r w:rsidR="007D6C6E">
              <w:t>A for public housing</w:t>
            </w:r>
          </w:p>
          <w:p w:rsidR="007D6C6E" w:rsidRDefault="00F82E50" w:rsidP="00525062">
            <w:pPr>
              <w:pStyle w:val="BoxListBullet"/>
            </w:pPr>
            <w:r w:rsidRPr="007D6C6E">
              <w:t>incomplete</w:t>
            </w:r>
            <w:r w:rsidRPr="0022319C">
              <w:t xml:space="preserve"> </w:t>
            </w:r>
            <w:r w:rsidR="007D6C6E" w:rsidRPr="0022319C">
              <w:t>for the current reporting period</w:t>
            </w:r>
            <w:r w:rsidR="007D6C6E">
              <w:t xml:space="preserve"> </w:t>
            </w:r>
            <w:r w:rsidRPr="0022319C">
              <w:t xml:space="preserve">for </w:t>
            </w:r>
            <w:proofErr w:type="spellStart"/>
            <w:r w:rsidR="007D6C6E">
              <w:t>SOMIH</w:t>
            </w:r>
            <w:proofErr w:type="spellEnd"/>
            <w:r w:rsidR="007D6C6E" w:rsidRPr="0022319C">
              <w:t>. All required</w:t>
            </w:r>
            <w:r w:rsidR="007D6C6E">
              <w:t xml:space="preserve"> 2015</w:t>
            </w:r>
            <w:r w:rsidR="00B93213">
              <w:noBreakHyphen/>
            </w:r>
            <w:r w:rsidR="007D6C6E">
              <w:t>16</w:t>
            </w:r>
            <w:r w:rsidR="007D6C6E" w:rsidRPr="0022319C">
              <w:t xml:space="preserve"> data are </w:t>
            </w:r>
            <w:r w:rsidR="007D6C6E">
              <w:t xml:space="preserve">not </w:t>
            </w:r>
            <w:r w:rsidR="007D6C6E" w:rsidRPr="0022319C">
              <w:t xml:space="preserve">available for </w:t>
            </w:r>
            <w:r w:rsidR="007D6C6E">
              <w:t>SA and Tasmania</w:t>
            </w:r>
          </w:p>
          <w:p w:rsidR="00F31504" w:rsidRPr="0022319C" w:rsidRDefault="007D6C6E" w:rsidP="001C641C">
            <w:pPr>
              <w:pStyle w:val="BoxListBullet"/>
            </w:pPr>
            <w:r w:rsidRPr="001C641C">
              <w:t>incomplete</w:t>
            </w:r>
            <w:r w:rsidRPr="0022319C">
              <w:t xml:space="preserve"> for the current reporting period</w:t>
            </w:r>
            <w:r>
              <w:t xml:space="preserve"> </w:t>
            </w:r>
            <w:r w:rsidRPr="0022319C">
              <w:t xml:space="preserve">for </w:t>
            </w:r>
            <w:r w:rsidR="00F82E50" w:rsidRPr="0022319C">
              <w:t>community housing. All required</w:t>
            </w:r>
            <w:r w:rsidR="00313B53">
              <w:t xml:space="preserve"> 2015</w:t>
            </w:r>
            <w:r w:rsidR="00B93213">
              <w:noBreakHyphen/>
            </w:r>
            <w:r w:rsidR="00313B53">
              <w:t>16</w:t>
            </w:r>
            <w:r w:rsidR="00F82E50" w:rsidRPr="0022319C">
              <w:t xml:space="preserve"> data </w:t>
            </w:r>
            <w:r w:rsidR="00F31504" w:rsidRPr="00A34F6A">
              <w:t>are</w:t>
            </w:r>
            <w:r w:rsidR="00F82E50" w:rsidRPr="00A34F6A">
              <w:t xml:space="preserve"> not availa</w:t>
            </w:r>
            <w:r w:rsidRPr="00A34F6A">
              <w:t>ble for the NT.</w:t>
            </w:r>
          </w:p>
        </w:tc>
      </w:tr>
      <w:tr w:rsidR="00FB3CD2" w:rsidTr="00FB3CD2">
        <w:tc>
          <w:tcPr>
            <w:tcW w:w="5000" w:type="pct"/>
            <w:tcBorders>
              <w:top w:val="nil"/>
              <w:left w:val="nil"/>
              <w:bottom w:val="single" w:sz="6" w:space="0" w:color="78A22F"/>
              <w:right w:val="nil"/>
            </w:tcBorders>
            <w:shd w:val="clear" w:color="auto" w:fill="F2F2F2"/>
          </w:tcPr>
          <w:p w:rsidR="00FB3CD2" w:rsidRDefault="00FB3CD2" w:rsidP="002F7229">
            <w:pPr>
              <w:pStyle w:val="Box"/>
              <w:spacing w:before="0" w:line="120" w:lineRule="exact"/>
            </w:pPr>
          </w:p>
        </w:tc>
      </w:tr>
      <w:tr w:rsidR="00FB3CD2" w:rsidRPr="000863A5" w:rsidTr="00FB3CD2">
        <w:tc>
          <w:tcPr>
            <w:tcW w:w="5000" w:type="pct"/>
            <w:tcBorders>
              <w:top w:val="single" w:sz="6" w:space="0" w:color="78A22F"/>
              <w:left w:val="nil"/>
              <w:bottom w:val="nil"/>
              <w:right w:val="nil"/>
            </w:tcBorders>
          </w:tcPr>
          <w:p w:rsidR="00FB3CD2" w:rsidRPr="00626D32" w:rsidRDefault="00FB3CD2" w:rsidP="002F7229">
            <w:pPr>
              <w:pStyle w:val="BoxSpaceBelow"/>
            </w:pPr>
          </w:p>
        </w:tc>
      </w:tr>
    </w:tbl>
    <w:p w:rsidR="00F82E50" w:rsidRDefault="00F82E50" w:rsidP="00FB3CD2">
      <w:pPr>
        <w:pStyle w:val="BoxSpaceBelow"/>
      </w:pPr>
    </w:p>
    <w:p w:rsidR="00BF6E24" w:rsidRDefault="00BF6E24" w:rsidP="00BF6E24">
      <w:pPr>
        <w:pStyle w:val="BodyText"/>
      </w:pPr>
      <w:r w:rsidRPr="00DA73E5">
        <w:t>At 30</w:t>
      </w:r>
      <w:r>
        <w:t> </w:t>
      </w:r>
      <w:r w:rsidRPr="00DA73E5">
        <w:t>June</w:t>
      </w:r>
      <w:r w:rsidR="00924BBC">
        <w:t xml:space="preserve"> 2016</w:t>
      </w:r>
      <w:r>
        <w:t>, the majority of all households in social housing were low income households. Of those in:</w:t>
      </w:r>
    </w:p>
    <w:p w:rsidR="00BF6E24" w:rsidRPr="00E16A86" w:rsidRDefault="00BF6E24" w:rsidP="00BF6E24">
      <w:pPr>
        <w:pStyle w:val="ListBullet"/>
        <w:rPr>
          <w:color w:val="000000" w:themeColor="text1"/>
        </w:rPr>
      </w:pPr>
      <w:r>
        <w:rPr>
          <w:color w:val="000000" w:themeColor="text1"/>
        </w:rPr>
        <w:t xml:space="preserve">public housing </w:t>
      </w:r>
      <w:r w:rsidRPr="00F109D0">
        <w:rPr>
          <w:rStyle w:val="BodyTextChar"/>
        </w:rPr>
        <w:t>—</w:t>
      </w:r>
      <w:r w:rsidR="00924BBC" w:rsidRPr="00F109D0">
        <w:rPr>
          <w:rStyle w:val="BodyTextChar"/>
        </w:rPr>
        <w:t xml:space="preserve"> 97.6</w:t>
      </w:r>
      <w:r w:rsidRPr="00E16A86">
        <w:rPr>
          <w:color w:val="000000" w:themeColor="text1"/>
        </w:rPr>
        <w:t xml:space="preserve"> per cent </w:t>
      </w:r>
      <w:r>
        <w:rPr>
          <w:color w:val="000000" w:themeColor="text1"/>
        </w:rPr>
        <w:t>were low income households</w:t>
      </w:r>
      <w:r w:rsidRPr="00E16A86">
        <w:rPr>
          <w:color w:val="000000" w:themeColor="text1"/>
        </w:rPr>
        <w:t>, of which</w:t>
      </w:r>
      <w:r w:rsidR="00924BBC">
        <w:rPr>
          <w:color w:val="000000" w:themeColor="text1"/>
        </w:rPr>
        <w:t xml:space="preserve"> 0.7</w:t>
      </w:r>
      <w:r w:rsidRPr="00E16A86">
        <w:rPr>
          <w:color w:val="000000" w:themeColor="text1"/>
        </w:rPr>
        <w:t xml:space="preserve"> per cent were </w:t>
      </w:r>
      <w:r w:rsidR="001F098F">
        <w:rPr>
          <w:color w:val="000000" w:themeColor="text1"/>
        </w:rPr>
        <w:t>in rental stress</w:t>
      </w:r>
    </w:p>
    <w:p w:rsidR="00BF6E24" w:rsidRPr="00E16A86" w:rsidRDefault="00BF6E24" w:rsidP="00BF6E24">
      <w:pPr>
        <w:pStyle w:val="ListBullet"/>
        <w:rPr>
          <w:color w:val="000000" w:themeColor="text1"/>
        </w:rPr>
      </w:pPr>
      <w:proofErr w:type="spellStart"/>
      <w:r>
        <w:rPr>
          <w:color w:val="000000" w:themeColor="text1"/>
        </w:rPr>
        <w:t>SOMIH</w:t>
      </w:r>
      <w:proofErr w:type="spellEnd"/>
      <w:r>
        <w:rPr>
          <w:color w:val="000000" w:themeColor="text1"/>
        </w:rPr>
        <w:t xml:space="preserve"> </w:t>
      </w:r>
      <w:r w:rsidRPr="00F109D0">
        <w:rPr>
          <w:rStyle w:val="BodyTextChar"/>
        </w:rPr>
        <w:t>—</w:t>
      </w:r>
      <w:r w:rsidR="00924BBC" w:rsidRPr="00F109D0">
        <w:rPr>
          <w:rStyle w:val="BodyTextChar"/>
        </w:rPr>
        <w:t xml:space="preserve"> 94.4</w:t>
      </w:r>
      <w:r w:rsidRPr="00E16A86">
        <w:rPr>
          <w:color w:val="000000" w:themeColor="text1"/>
        </w:rPr>
        <w:t xml:space="preserve"> per cent were low income households, of which</w:t>
      </w:r>
      <w:r w:rsidR="00924BBC">
        <w:rPr>
          <w:color w:val="000000" w:themeColor="text1"/>
        </w:rPr>
        <w:t xml:space="preserve"> 0.2</w:t>
      </w:r>
      <w:r w:rsidRPr="00E16A86">
        <w:rPr>
          <w:color w:val="000000" w:themeColor="text1"/>
        </w:rPr>
        <w:t xml:space="preserve"> per cent were </w:t>
      </w:r>
      <w:r w:rsidR="001F098F">
        <w:rPr>
          <w:color w:val="000000" w:themeColor="text1"/>
        </w:rPr>
        <w:t>in rental stress</w:t>
      </w:r>
    </w:p>
    <w:p w:rsidR="00BF6E24" w:rsidRDefault="00BF6E24" w:rsidP="00D37155">
      <w:pPr>
        <w:pStyle w:val="ListBullet"/>
      </w:pPr>
      <w:r w:rsidRPr="0022319C">
        <w:t>community housing —</w:t>
      </w:r>
      <w:r w:rsidR="00D37155" w:rsidRPr="00A17C2C">
        <w:t xml:space="preserve"> 95.1 </w:t>
      </w:r>
      <w:r w:rsidRPr="00A17C2C">
        <w:t>per cent were low income households, of which</w:t>
      </w:r>
      <w:r w:rsidR="00924BBC">
        <w:t xml:space="preserve"> </w:t>
      </w:r>
      <w:r w:rsidR="00D37155" w:rsidRPr="00A17C2C">
        <w:t>4.4</w:t>
      </w:r>
      <w:r w:rsidR="00D37155" w:rsidRPr="00D37155">
        <w:t> </w:t>
      </w:r>
      <w:r w:rsidR="00924BBC">
        <w:t xml:space="preserve">per cent were in rental stress </w:t>
      </w:r>
      <w:r w:rsidRPr="0022319C">
        <w:t>(tables</w:t>
      </w:r>
      <w:r>
        <w:t> </w:t>
      </w:r>
      <w:proofErr w:type="spellStart"/>
      <w:r w:rsidR="003B2986">
        <w:t>18A.15</w:t>
      </w:r>
      <w:proofErr w:type="spellEnd"/>
      <w:r w:rsidR="00CB0059">
        <w:t>–</w:t>
      </w:r>
      <w:r w:rsidR="003B2986">
        <w:t>16</w:t>
      </w:r>
      <w:r w:rsidRPr="0022319C">
        <w:t xml:space="preserve"> and </w:t>
      </w:r>
      <w:r w:rsidR="00CB0059">
        <w:t>table </w:t>
      </w:r>
      <w:r>
        <w:t>18.</w:t>
      </w:r>
      <w:r w:rsidR="005A0D0E">
        <w:t>2</w:t>
      </w:r>
      <w:r w:rsidRPr="0022319C">
        <w:t>).</w:t>
      </w:r>
    </w:p>
    <w:p w:rsidR="00580511" w:rsidRPr="004372D7" w:rsidRDefault="00580511" w:rsidP="002414BA">
      <w:pPr>
        <w:pStyle w:val="BodyText"/>
      </w:pPr>
      <w:r>
        <w:t xml:space="preserve">Further </w:t>
      </w:r>
      <w:r w:rsidRPr="00DA73E5">
        <w:t>information on the proportion of income paid in rent by low income households is provided in tables </w:t>
      </w:r>
      <w:proofErr w:type="spellStart"/>
      <w:r w:rsidR="000650F5">
        <w:t>18A.17</w:t>
      </w:r>
      <w:proofErr w:type="spellEnd"/>
      <w:r w:rsidR="000650F5">
        <w:t>–</w:t>
      </w:r>
      <w:r>
        <w:t>20</w:t>
      </w:r>
      <w:r w:rsidRPr="00DA73E5">
        <w:t>.</w:t>
      </w:r>
    </w:p>
    <w:p w:rsidR="00BF6E24" w:rsidRDefault="00BF6E24" w:rsidP="00BF6E24">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BF6E24" w:rsidTr="00746E44">
        <w:tc>
          <w:tcPr>
            <w:tcW w:w="5000" w:type="pct"/>
            <w:tcBorders>
              <w:top w:val="single" w:sz="6" w:space="0" w:color="78A22F" w:themeColor="accent1"/>
              <w:left w:val="nil"/>
              <w:bottom w:val="nil"/>
              <w:right w:val="nil"/>
            </w:tcBorders>
            <w:shd w:val="clear" w:color="auto" w:fill="auto"/>
          </w:tcPr>
          <w:p w:rsidR="00BF6E24" w:rsidRPr="00784A05" w:rsidRDefault="00BF6E24" w:rsidP="005A0D0E">
            <w:pPr>
              <w:pStyle w:val="TableTitle"/>
            </w:pPr>
            <w:r>
              <w:rPr>
                <w:b w:val="0"/>
              </w:rPr>
              <w:t>Table 18.</w:t>
            </w:r>
            <w:r w:rsidR="005A0D0E">
              <w:rPr>
                <w:b w:val="0"/>
              </w:rPr>
              <w:t>2</w:t>
            </w:r>
            <w:r>
              <w:tab/>
            </w:r>
            <w:r w:rsidRPr="00543E21">
              <w:t xml:space="preserve">Proportion of low income </w:t>
            </w:r>
            <w:r w:rsidRPr="005E340A">
              <w:t>households, in social housing, spending more than 30 per cent of their gross income</w:t>
            </w:r>
            <w:r w:rsidRPr="00543E21">
              <w:t xml:space="preserve"> on rent, at 30 June </w:t>
            </w:r>
            <w:r>
              <w:t>(</w:t>
            </w:r>
            <w:r w:rsidRPr="00543E21">
              <w:t>per cent)</w:t>
            </w:r>
            <w:r w:rsidRPr="00543E21">
              <w:rPr>
                <w:rStyle w:val="NoteLabel"/>
                <w:b/>
              </w:rPr>
              <w:t>a</w:t>
            </w:r>
          </w:p>
        </w:tc>
      </w:tr>
      <w:tr w:rsidR="00BF6E24" w:rsidTr="00C80198">
        <w:trPr>
          <w:cantSplit/>
          <w:trHeight w:val="5631"/>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6"/>
              <w:gridCol w:w="852"/>
              <w:gridCol w:w="852"/>
              <w:gridCol w:w="852"/>
              <w:gridCol w:w="852"/>
              <w:gridCol w:w="852"/>
              <w:gridCol w:w="852"/>
              <w:gridCol w:w="852"/>
              <w:gridCol w:w="852"/>
              <w:gridCol w:w="842"/>
            </w:tblGrid>
            <w:tr w:rsidR="00BF6E24" w:rsidRPr="00F81A7C" w:rsidTr="00746E44">
              <w:tc>
                <w:tcPr>
                  <w:tcW w:w="497" w:type="pct"/>
                  <w:tcBorders>
                    <w:top w:val="single" w:sz="4" w:space="0" w:color="BFBFBF" w:themeColor="background2"/>
                    <w:bottom w:val="single" w:sz="4" w:space="0" w:color="BFBFBF" w:themeColor="background2"/>
                  </w:tcBorders>
                  <w:shd w:val="clear" w:color="auto" w:fill="auto"/>
                  <w:tcMar>
                    <w:top w:w="28" w:type="dxa"/>
                  </w:tcMar>
                </w:tcPr>
                <w:p w:rsidR="00BF6E24" w:rsidRPr="00F81A7C" w:rsidRDefault="00BF6E24" w:rsidP="00746E44">
                  <w:pPr>
                    <w:pStyle w:val="TableColumnHeading"/>
                    <w:ind w:left="0" w:right="28"/>
                    <w:jc w:val="left"/>
                    <w:rPr>
                      <w:rFonts w:asciiTheme="majorHAnsi" w:hAnsiTheme="majorHAnsi" w:cstheme="majorHAnsi"/>
                      <w:szCs w:val="18"/>
                    </w:rPr>
                  </w:pPr>
                </w:p>
              </w:tc>
              <w:tc>
                <w:tcPr>
                  <w:tcW w:w="501" w:type="pct"/>
                  <w:tcBorders>
                    <w:top w:val="single" w:sz="4" w:space="0" w:color="BFBFBF" w:themeColor="background2"/>
                    <w:bottom w:val="single" w:sz="4" w:space="0" w:color="BFBFBF" w:themeColor="background2"/>
                  </w:tcBorders>
                  <w:shd w:val="clear" w:color="auto" w:fill="auto"/>
                  <w:tcMar>
                    <w:top w:w="28" w:type="dxa"/>
                  </w:tcMar>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NSW</w:t>
                  </w:r>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Vic</w:t>
                  </w:r>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Qld</w:t>
                  </w:r>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WA</w:t>
                  </w:r>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SA</w:t>
                  </w:r>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proofErr w:type="spellStart"/>
                  <w:r w:rsidRPr="00F81A7C">
                    <w:rPr>
                      <w:rFonts w:asciiTheme="majorHAnsi" w:hAnsiTheme="majorHAnsi" w:cstheme="majorHAnsi"/>
                      <w:szCs w:val="18"/>
                    </w:rPr>
                    <w:t>Tas</w:t>
                  </w:r>
                  <w:proofErr w:type="spellEnd"/>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ACT</w:t>
                  </w:r>
                </w:p>
              </w:tc>
              <w:tc>
                <w:tcPr>
                  <w:tcW w:w="501" w:type="pct"/>
                  <w:tcBorders>
                    <w:top w:val="single" w:sz="4" w:space="0" w:color="BFBFBF" w:themeColor="background2"/>
                    <w:bottom w:val="single" w:sz="4" w:space="0" w:color="BFBFBF" w:themeColor="background2"/>
                  </w:tcBorders>
                </w:tcPr>
                <w:p w:rsidR="00BF6E24" w:rsidRPr="00F81A7C" w:rsidRDefault="00BF6E24" w:rsidP="00947E21">
                  <w:pPr>
                    <w:pStyle w:val="TableColumnHeading"/>
                    <w:spacing w:before="140"/>
                    <w:ind w:left="0"/>
                    <w:rPr>
                      <w:rFonts w:asciiTheme="majorHAnsi" w:hAnsiTheme="majorHAnsi" w:cstheme="majorHAnsi"/>
                      <w:szCs w:val="18"/>
                    </w:rPr>
                  </w:pPr>
                  <w:r w:rsidRPr="00F81A7C">
                    <w:rPr>
                      <w:rFonts w:asciiTheme="majorHAnsi" w:hAnsiTheme="majorHAnsi" w:cstheme="majorHAnsi"/>
                      <w:szCs w:val="18"/>
                    </w:rPr>
                    <w:t>NT</w:t>
                  </w:r>
                </w:p>
              </w:tc>
              <w:tc>
                <w:tcPr>
                  <w:tcW w:w="495" w:type="pct"/>
                  <w:tcBorders>
                    <w:top w:val="single" w:sz="4" w:space="0" w:color="BFBFBF" w:themeColor="background2"/>
                    <w:bottom w:val="single" w:sz="4" w:space="0" w:color="BFBFBF" w:themeColor="background2"/>
                  </w:tcBorders>
                  <w:shd w:val="clear" w:color="auto" w:fill="auto"/>
                  <w:tcMar>
                    <w:top w:w="28" w:type="dxa"/>
                  </w:tcMar>
                </w:tcPr>
                <w:p w:rsidR="00BF6E24" w:rsidRPr="00F81A7C" w:rsidRDefault="00BF6E24" w:rsidP="00947E21">
                  <w:pPr>
                    <w:pStyle w:val="TableColumnHeading"/>
                    <w:spacing w:before="0" w:after="40"/>
                    <w:ind w:left="0"/>
                    <w:rPr>
                      <w:rStyle w:val="NoteLabel"/>
                      <w:rFonts w:asciiTheme="majorHAnsi" w:hAnsiTheme="majorHAnsi" w:cstheme="majorHAnsi"/>
                      <w:szCs w:val="18"/>
                    </w:rPr>
                  </w:pPr>
                  <w:proofErr w:type="spellStart"/>
                  <w:r w:rsidRPr="00F81A7C">
                    <w:rPr>
                      <w:rFonts w:asciiTheme="majorHAnsi" w:hAnsiTheme="majorHAnsi" w:cstheme="majorHAnsi"/>
                      <w:szCs w:val="18"/>
                    </w:rPr>
                    <w:t>Aust</w:t>
                  </w:r>
                  <w:proofErr w:type="spellEnd"/>
                  <w:r>
                    <w:rPr>
                      <w:rFonts w:asciiTheme="majorHAnsi" w:hAnsiTheme="majorHAnsi" w:cstheme="majorHAnsi"/>
                      <w:szCs w:val="18"/>
                    </w:rPr>
                    <w:t>/</w:t>
                  </w:r>
                  <w:r w:rsidR="00774AF1">
                    <w:rPr>
                      <w:rFonts w:asciiTheme="majorHAnsi" w:hAnsiTheme="majorHAnsi" w:cstheme="majorHAnsi"/>
                      <w:szCs w:val="18"/>
                    </w:rPr>
                    <w:br/>
                  </w:r>
                  <w:r>
                    <w:rPr>
                      <w:rFonts w:asciiTheme="majorHAnsi" w:hAnsiTheme="majorHAnsi" w:cstheme="majorHAnsi"/>
                      <w:szCs w:val="18"/>
                    </w:rPr>
                    <w:t>Total</w:t>
                  </w:r>
                </w:p>
              </w:tc>
            </w:tr>
            <w:tr w:rsidR="00BF6E24" w:rsidRPr="00F81A7C" w:rsidTr="00746E44">
              <w:tc>
                <w:tcPr>
                  <w:tcW w:w="5000" w:type="pct"/>
                  <w:gridSpan w:val="10"/>
                  <w:tcBorders>
                    <w:top w:val="single" w:sz="4" w:space="0" w:color="BFBFBF" w:themeColor="background2"/>
                  </w:tcBorders>
                  <w:vAlign w:val="center"/>
                </w:tcPr>
                <w:p w:rsidR="00BF6E24" w:rsidRPr="006F7A0C" w:rsidRDefault="00BF6E24" w:rsidP="00774AF1">
                  <w:pPr>
                    <w:pStyle w:val="TableColumnHeading"/>
                    <w:spacing w:before="60" w:after="40"/>
                    <w:ind w:left="0" w:right="0"/>
                    <w:jc w:val="left"/>
                    <w:rPr>
                      <w:rStyle w:val="DraftingNote"/>
                      <w:i w:val="0"/>
                      <w:color w:val="auto"/>
                      <w:sz w:val="20"/>
                    </w:rPr>
                  </w:pPr>
                  <w:r w:rsidRPr="00F81A7C">
                    <w:rPr>
                      <w:rFonts w:asciiTheme="majorHAnsi" w:hAnsiTheme="majorHAnsi" w:cstheme="majorHAnsi"/>
                      <w:szCs w:val="18"/>
                    </w:rPr>
                    <w:t>Public housing</w:t>
                  </w:r>
                </w:p>
              </w:tc>
            </w:tr>
            <w:tr w:rsidR="0065145D" w:rsidRPr="00F81A7C" w:rsidTr="0065145D">
              <w:tc>
                <w:tcPr>
                  <w:tcW w:w="497" w:type="pct"/>
                  <w:shd w:val="clear" w:color="auto" w:fill="auto"/>
                  <w:vAlign w:val="center"/>
                </w:tcPr>
                <w:p w:rsidR="0065145D" w:rsidRPr="00F81A7C" w:rsidRDefault="0065145D" w:rsidP="00746E44">
                  <w:pPr>
                    <w:pStyle w:val="TableBodyText"/>
                    <w:ind w:left="0" w:right="0"/>
                    <w:jc w:val="left"/>
                    <w:rPr>
                      <w:rFonts w:asciiTheme="majorHAnsi" w:hAnsiTheme="majorHAnsi" w:cstheme="majorHAnsi"/>
                      <w:szCs w:val="18"/>
                    </w:rPr>
                  </w:pPr>
                  <w:r>
                    <w:rPr>
                      <w:rFonts w:asciiTheme="majorHAnsi" w:hAnsiTheme="majorHAnsi" w:cstheme="majorHAnsi"/>
                      <w:szCs w:val="18"/>
                    </w:rPr>
                    <w:t>2016</w:t>
                  </w:r>
                </w:p>
              </w:tc>
              <w:tc>
                <w:tcPr>
                  <w:tcW w:w="501" w:type="pct"/>
                  <w:shd w:val="clear" w:color="auto" w:fill="auto"/>
                  <w:vAlign w:val="center"/>
                </w:tcPr>
                <w:p w:rsidR="0065145D" w:rsidRPr="0065145D" w:rsidRDefault="0065145D" w:rsidP="0065145D">
                  <w:pPr>
                    <w:pStyle w:val="TableBodyText"/>
                  </w:pPr>
                  <w:r w:rsidRPr="0065145D">
                    <w:t xml:space="preserve">  0.7</w:t>
                  </w:r>
                </w:p>
              </w:tc>
              <w:tc>
                <w:tcPr>
                  <w:tcW w:w="501" w:type="pct"/>
                  <w:shd w:val="clear" w:color="auto" w:fill="auto"/>
                  <w:vAlign w:val="center"/>
                </w:tcPr>
                <w:p w:rsidR="0065145D" w:rsidRPr="0065145D" w:rsidRDefault="0065145D" w:rsidP="0065145D">
                  <w:pPr>
                    <w:pStyle w:val="TableBodyText"/>
                  </w:pPr>
                  <w:r w:rsidRPr="0065145D">
                    <w:t xml:space="preserve">  0.4</w:t>
                  </w:r>
                </w:p>
              </w:tc>
              <w:tc>
                <w:tcPr>
                  <w:tcW w:w="501" w:type="pct"/>
                  <w:shd w:val="clear" w:color="auto" w:fill="auto"/>
                  <w:vAlign w:val="center"/>
                </w:tcPr>
                <w:p w:rsidR="0065145D" w:rsidRPr="0065145D" w:rsidRDefault="00CE2F36" w:rsidP="0065145D">
                  <w:pPr>
                    <w:pStyle w:val="TableBodyText"/>
                  </w:pPr>
                  <w:r w:rsidRPr="0059465A">
                    <w:t xml:space="preserve"> </w:t>
                  </w:r>
                  <w:r>
                    <w:t xml:space="preserve"> </w:t>
                  </w:r>
                  <w:r w:rsidRPr="0059465A">
                    <w:t xml:space="preserve"> –</w:t>
                  </w:r>
                </w:p>
              </w:tc>
              <w:tc>
                <w:tcPr>
                  <w:tcW w:w="501" w:type="pct"/>
                  <w:shd w:val="clear" w:color="auto" w:fill="auto"/>
                  <w:vAlign w:val="center"/>
                </w:tcPr>
                <w:p w:rsidR="0065145D" w:rsidRPr="0065145D" w:rsidRDefault="0065145D" w:rsidP="0065145D">
                  <w:pPr>
                    <w:pStyle w:val="TableBodyText"/>
                  </w:pPr>
                  <w:r w:rsidRPr="0065145D">
                    <w:t xml:space="preserve">  2.9</w:t>
                  </w:r>
                </w:p>
              </w:tc>
              <w:tc>
                <w:tcPr>
                  <w:tcW w:w="501" w:type="pct"/>
                  <w:shd w:val="clear" w:color="auto" w:fill="auto"/>
                  <w:vAlign w:val="center"/>
                </w:tcPr>
                <w:p w:rsidR="0065145D" w:rsidRPr="0065145D" w:rsidRDefault="0065145D" w:rsidP="0065145D">
                  <w:pPr>
                    <w:pStyle w:val="TableBodyText"/>
                  </w:pPr>
                  <w:r w:rsidRPr="0065145D">
                    <w:t>–</w:t>
                  </w:r>
                </w:p>
              </w:tc>
              <w:tc>
                <w:tcPr>
                  <w:tcW w:w="501" w:type="pct"/>
                  <w:shd w:val="clear" w:color="auto" w:fill="auto"/>
                  <w:vAlign w:val="center"/>
                </w:tcPr>
                <w:p w:rsidR="0065145D" w:rsidRPr="0065145D" w:rsidRDefault="0065145D" w:rsidP="0065145D">
                  <w:pPr>
                    <w:pStyle w:val="TableBodyText"/>
                  </w:pPr>
                  <w:r w:rsidRPr="0065145D">
                    <w:t xml:space="preserve">  0.1</w:t>
                  </w:r>
                </w:p>
              </w:tc>
              <w:tc>
                <w:tcPr>
                  <w:tcW w:w="501" w:type="pct"/>
                  <w:shd w:val="clear" w:color="auto" w:fill="auto"/>
                  <w:vAlign w:val="center"/>
                </w:tcPr>
                <w:p w:rsidR="0065145D" w:rsidRPr="0065145D" w:rsidRDefault="0065145D" w:rsidP="0065145D">
                  <w:pPr>
                    <w:pStyle w:val="TableBodyText"/>
                  </w:pPr>
                  <w:r w:rsidRPr="0065145D">
                    <w:t xml:space="preserve">  0.3</w:t>
                  </w:r>
                </w:p>
              </w:tc>
              <w:tc>
                <w:tcPr>
                  <w:tcW w:w="501" w:type="pct"/>
                  <w:shd w:val="clear" w:color="auto" w:fill="auto"/>
                  <w:vAlign w:val="center"/>
                </w:tcPr>
                <w:p w:rsidR="0065145D" w:rsidRPr="0065145D" w:rsidRDefault="0065145D" w:rsidP="0065145D">
                  <w:pPr>
                    <w:pStyle w:val="TableBodyText"/>
                  </w:pPr>
                  <w:r w:rsidRPr="0065145D">
                    <w:t xml:space="preserve">  3.5</w:t>
                  </w:r>
                </w:p>
              </w:tc>
              <w:tc>
                <w:tcPr>
                  <w:tcW w:w="495" w:type="pct"/>
                  <w:shd w:val="clear" w:color="auto" w:fill="auto"/>
                  <w:vAlign w:val="center"/>
                </w:tcPr>
                <w:p w:rsidR="0065145D" w:rsidRPr="0065145D" w:rsidRDefault="0065145D" w:rsidP="0065145D">
                  <w:pPr>
                    <w:pStyle w:val="TableBodyText"/>
                  </w:pPr>
                  <w:r w:rsidRPr="0065145D">
                    <w:t xml:space="preserve">  0.7</w:t>
                  </w:r>
                </w:p>
              </w:tc>
            </w:tr>
            <w:tr w:rsidR="00062C54" w:rsidRPr="00F81A7C" w:rsidTr="00A17C2C">
              <w:tc>
                <w:tcPr>
                  <w:tcW w:w="497" w:type="pct"/>
                  <w:shd w:val="clear" w:color="auto" w:fill="auto"/>
                  <w:vAlign w:val="center"/>
                </w:tcPr>
                <w:p w:rsidR="00062C54" w:rsidRPr="00F81A7C" w:rsidRDefault="00062C54" w:rsidP="00077C2A">
                  <w:pPr>
                    <w:pStyle w:val="TableBodyText"/>
                    <w:ind w:left="0" w:right="0"/>
                    <w:jc w:val="left"/>
                    <w:rPr>
                      <w:rFonts w:asciiTheme="majorHAnsi" w:hAnsiTheme="majorHAnsi" w:cstheme="majorHAnsi"/>
                      <w:szCs w:val="18"/>
                    </w:rPr>
                  </w:pPr>
                  <w:r>
                    <w:rPr>
                      <w:rFonts w:asciiTheme="majorHAnsi" w:hAnsiTheme="majorHAnsi" w:cstheme="majorHAnsi"/>
                      <w:szCs w:val="18"/>
                    </w:rPr>
                    <w:t>2015</w:t>
                  </w:r>
                </w:p>
              </w:tc>
              <w:tc>
                <w:tcPr>
                  <w:tcW w:w="501" w:type="pct"/>
                  <w:shd w:val="clear" w:color="auto" w:fill="auto"/>
                </w:tcPr>
                <w:p w:rsidR="00062C54" w:rsidRPr="0059465A" w:rsidRDefault="00062C54" w:rsidP="00113F79">
                  <w:pPr>
                    <w:pStyle w:val="TableBodyText"/>
                  </w:pPr>
                  <w:r w:rsidRPr="0059465A">
                    <w:t xml:space="preserve">  </w:t>
                  </w:r>
                  <w:r w:rsidR="00113F79">
                    <w:t>0.7</w:t>
                  </w:r>
                </w:p>
              </w:tc>
              <w:tc>
                <w:tcPr>
                  <w:tcW w:w="501" w:type="pct"/>
                  <w:shd w:val="clear" w:color="auto" w:fill="auto"/>
                </w:tcPr>
                <w:p w:rsidR="00062C54" w:rsidRPr="0059465A" w:rsidRDefault="00062C54" w:rsidP="00077C2A">
                  <w:pPr>
                    <w:pStyle w:val="TableBodyText"/>
                  </w:pPr>
                  <w:r w:rsidRPr="0059465A">
                    <w:t xml:space="preserve">  0.4</w:t>
                  </w:r>
                </w:p>
              </w:tc>
              <w:tc>
                <w:tcPr>
                  <w:tcW w:w="501" w:type="pct"/>
                  <w:shd w:val="clear" w:color="auto" w:fill="auto"/>
                </w:tcPr>
                <w:p w:rsidR="00062C54" w:rsidRPr="0059465A" w:rsidRDefault="00062C54" w:rsidP="00077C2A">
                  <w:pPr>
                    <w:pStyle w:val="TableBodyText"/>
                  </w:pPr>
                  <w:r w:rsidRPr="0059465A">
                    <w:t xml:space="preserve"> </w:t>
                  </w:r>
                  <w:r>
                    <w:t xml:space="preserve"> </w:t>
                  </w:r>
                  <w:r w:rsidRPr="0059465A">
                    <w:t xml:space="preserve"> –</w:t>
                  </w:r>
                </w:p>
              </w:tc>
              <w:tc>
                <w:tcPr>
                  <w:tcW w:w="501" w:type="pct"/>
                  <w:shd w:val="clear" w:color="auto" w:fill="auto"/>
                </w:tcPr>
                <w:p w:rsidR="00062C54" w:rsidRPr="0059465A" w:rsidRDefault="00062C54" w:rsidP="00077C2A">
                  <w:pPr>
                    <w:pStyle w:val="TableBodyText"/>
                  </w:pPr>
                  <w:r w:rsidRPr="0059465A">
                    <w:t xml:space="preserve">  1.5</w:t>
                  </w:r>
                </w:p>
              </w:tc>
              <w:tc>
                <w:tcPr>
                  <w:tcW w:w="501" w:type="pct"/>
                  <w:shd w:val="clear" w:color="auto" w:fill="auto"/>
                </w:tcPr>
                <w:p w:rsidR="00062C54" w:rsidRPr="0059465A" w:rsidRDefault="00062C54" w:rsidP="00077C2A">
                  <w:pPr>
                    <w:pStyle w:val="TableBodyText"/>
                  </w:pPr>
                  <w:r w:rsidRPr="0059465A">
                    <w:t>–</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113F79" w:rsidP="00077C2A">
                  <w:pPr>
                    <w:pStyle w:val="TableBodyText"/>
                  </w:pPr>
                  <w:r>
                    <w:t>6.6</w:t>
                  </w:r>
                </w:p>
              </w:tc>
              <w:tc>
                <w:tcPr>
                  <w:tcW w:w="495" w:type="pct"/>
                  <w:shd w:val="clear" w:color="auto" w:fill="auto"/>
                </w:tcPr>
                <w:p w:rsidR="00062C54" w:rsidRPr="0059465A" w:rsidRDefault="00062C54" w:rsidP="0065145D">
                  <w:pPr>
                    <w:pStyle w:val="TableBodyText"/>
                  </w:pPr>
                  <w:r w:rsidRPr="0059465A">
                    <w:t xml:space="preserve">  </w:t>
                  </w:r>
                  <w:r w:rsidRPr="00774AF1">
                    <w:t>0.</w:t>
                  </w:r>
                  <w:r w:rsidR="0065145D" w:rsidRPr="00774AF1">
                    <w:t>6</w:t>
                  </w:r>
                </w:p>
              </w:tc>
            </w:tr>
            <w:tr w:rsidR="00062C54" w:rsidRPr="00F81A7C" w:rsidTr="0065145D">
              <w:tc>
                <w:tcPr>
                  <w:tcW w:w="497" w:type="pct"/>
                  <w:shd w:val="clear" w:color="auto" w:fill="auto"/>
                  <w:vAlign w:val="center"/>
                </w:tcPr>
                <w:p w:rsidR="00062C54" w:rsidRPr="00F81A7C" w:rsidRDefault="00062C54" w:rsidP="00077C2A">
                  <w:pPr>
                    <w:pStyle w:val="TableBodyText"/>
                    <w:ind w:left="0" w:right="0"/>
                    <w:jc w:val="left"/>
                    <w:rPr>
                      <w:rFonts w:asciiTheme="majorHAnsi" w:hAnsiTheme="majorHAnsi" w:cstheme="majorHAnsi"/>
                      <w:szCs w:val="18"/>
                    </w:rPr>
                  </w:pPr>
                  <w:r>
                    <w:rPr>
                      <w:rFonts w:asciiTheme="majorHAnsi" w:hAnsiTheme="majorHAnsi" w:cstheme="majorHAnsi"/>
                      <w:szCs w:val="18"/>
                    </w:rPr>
                    <w:t>2014</w:t>
                  </w:r>
                </w:p>
              </w:tc>
              <w:tc>
                <w:tcPr>
                  <w:tcW w:w="501" w:type="pct"/>
                  <w:shd w:val="clear" w:color="auto" w:fill="auto"/>
                </w:tcPr>
                <w:p w:rsidR="00062C54" w:rsidRPr="0059465A" w:rsidRDefault="00062C54" w:rsidP="00077C2A">
                  <w:pPr>
                    <w:pStyle w:val="TableBodyText"/>
                  </w:pPr>
                  <w:r w:rsidRPr="0059465A">
                    <w:t xml:space="preserve">  0.4</w:t>
                  </w:r>
                </w:p>
              </w:tc>
              <w:tc>
                <w:tcPr>
                  <w:tcW w:w="501" w:type="pct"/>
                  <w:shd w:val="clear" w:color="auto" w:fill="auto"/>
                </w:tcPr>
                <w:p w:rsidR="00062C54" w:rsidRPr="0059465A" w:rsidRDefault="00062C54" w:rsidP="00077C2A">
                  <w:pPr>
                    <w:pStyle w:val="TableBodyText"/>
                  </w:pPr>
                  <w:r w:rsidRPr="0059465A">
                    <w:t xml:space="preserve">  0.3</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062C54" w:rsidP="00077C2A">
                  <w:pPr>
                    <w:pStyle w:val="TableBodyText"/>
                  </w:pPr>
                  <w:r w:rsidRPr="0059465A">
                    <w:t xml:space="preserve">  1.4</w:t>
                  </w:r>
                </w:p>
              </w:tc>
              <w:tc>
                <w:tcPr>
                  <w:tcW w:w="501" w:type="pct"/>
                  <w:shd w:val="clear" w:color="auto" w:fill="auto"/>
                </w:tcPr>
                <w:p w:rsidR="00062C54" w:rsidRPr="0059465A" w:rsidRDefault="00062C54" w:rsidP="00077C2A">
                  <w:pPr>
                    <w:pStyle w:val="TableBodyText"/>
                  </w:pPr>
                  <w:r w:rsidRPr="0059465A">
                    <w:t>–</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062C54" w:rsidP="00077C2A">
                  <w:pPr>
                    <w:pStyle w:val="TableBodyText"/>
                  </w:pPr>
                  <w:r w:rsidRPr="0059465A">
                    <w:t xml:space="preserve">  6.9</w:t>
                  </w:r>
                </w:p>
              </w:tc>
              <w:tc>
                <w:tcPr>
                  <w:tcW w:w="495" w:type="pct"/>
                  <w:shd w:val="clear" w:color="auto" w:fill="auto"/>
                </w:tcPr>
                <w:p w:rsidR="00062C54" w:rsidRPr="0059465A" w:rsidRDefault="00062C54" w:rsidP="00077C2A">
                  <w:pPr>
                    <w:pStyle w:val="TableBodyText"/>
                  </w:pPr>
                  <w:r w:rsidRPr="0059465A">
                    <w:t xml:space="preserve">  0.5</w:t>
                  </w:r>
                </w:p>
              </w:tc>
            </w:tr>
            <w:tr w:rsidR="00062C54" w:rsidRPr="00F81A7C" w:rsidTr="0065145D">
              <w:tc>
                <w:tcPr>
                  <w:tcW w:w="497" w:type="pct"/>
                  <w:shd w:val="clear" w:color="auto" w:fill="auto"/>
                  <w:vAlign w:val="center"/>
                </w:tcPr>
                <w:p w:rsidR="00062C54" w:rsidRPr="00F81A7C" w:rsidRDefault="00062C54" w:rsidP="00077C2A">
                  <w:pPr>
                    <w:pStyle w:val="TableBodyText"/>
                    <w:ind w:left="0" w:right="0"/>
                    <w:jc w:val="left"/>
                    <w:rPr>
                      <w:rFonts w:asciiTheme="majorHAnsi" w:hAnsiTheme="majorHAnsi" w:cstheme="majorHAnsi"/>
                      <w:szCs w:val="18"/>
                    </w:rPr>
                  </w:pPr>
                  <w:r>
                    <w:rPr>
                      <w:rFonts w:asciiTheme="majorHAnsi" w:hAnsiTheme="majorHAnsi" w:cstheme="majorHAnsi"/>
                      <w:szCs w:val="18"/>
                    </w:rPr>
                    <w:t>2013</w:t>
                  </w:r>
                </w:p>
              </w:tc>
              <w:tc>
                <w:tcPr>
                  <w:tcW w:w="501" w:type="pct"/>
                  <w:shd w:val="clear" w:color="auto" w:fill="auto"/>
                </w:tcPr>
                <w:p w:rsidR="00062C54" w:rsidRPr="0059465A" w:rsidRDefault="00062C54" w:rsidP="00077C2A">
                  <w:pPr>
                    <w:pStyle w:val="TableBodyText"/>
                  </w:pPr>
                  <w:r w:rsidRPr="0059465A">
                    <w:t xml:space="preserve">  0.2</w:t>
                  </w:r>
                </w:p>
              </w:tc>
              <w:tc>
                <w:tcPr>
                  <w:tcW w:w="501" w:type="pct"/>
                  <w:shd w:val="clear" w:color="auto" w:fill="auto"/>
                </w:tcPr>
                <w:p w:rsidR="00062C54" w:rsidRPr="0059465A" w:rsidRDefault="00062C54" w:rsidP="00077C2A">
                  <w:pPr>
                    <w:pStyle w:val="TableBodyText"/>
                  </w:pPr>
                  <w:r w:rsidRPr="0059465A">
                    <w:t xml:space="preserve">  0.4</w:t>
                  </w:r>
                </w:p>
              </w:tc>
              <w:tc>
                <w:tcPr>
                  <w:tcW w:w="501" w:type="pct"/>
                  <w:shd w:val="clear" w:color="auto" w:fill="auto"/>
                </w:tcPr>
                <w:p w:rsidR="00062C54" w:rsidRPr="0059465A" w:rsidRDefault="00062C54" w:rsidP="00077C2A">
                  <w:pPr>
                    <w:pStyle w:val="TableBodyText"/>
                  </w:pPr>
                  <w:r w:rsidRPr="0059465A">
                    <w:t xml:space="preserve">  0.2</w:t>
                  </w:r>
                </w:p>
              </w:tc>
              <w:tc>
                <w:tcPr>
                  <w:tcW w:w="501" w:type="pct"/>
                  <w:shd w:val="clear" w:color="auto" w:fill="auto"/>
                </w:tcPr>
                <w:p w:rsidR="00062C54" w:rsidRPr="0059465A" w:rsidRDefault="00062C54" w:rsidP="00077C2A">
                  <w:pPr>
                    <w:pStyle w:val="TableBodyText"/>
                  </w:pPr>
                  <w:r w:rsidRPr="0059465A">
                    <w:t xml:space="preserve">  1.5</w:t>
                  </w:r>
                </w:p>
              </w:tc>
              <w:tc>
                <w:tcPr>
                  <w:tcW w:w="501" w:type="pct"/>
                  <w:shd w:val="clear" w:color="auto" w:fill="auto"/>
                </w:tcPr>
                <w:p w:rsidR="00062C54" w:rsidRPr="0059465A" w:rsidRDefault="00062C54" w:rsidP="00077C2A">
                  <w:pPr>
                    <w:pStyle w:val="TableBodyText"/>
                  </w:pPr>
                  <w:r w:rsidRPr="0059465A">
                    <w:t>–</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062C54" w:rsidP="00077C2A">
                  <w:pPr>
                    <w:pStyle w:val="TableBodyText"/>
                  </w:pPr>
                  <w:r w:rsidRPr="0059465A">
                    <w:t xml:space="preserve">  0.4</w:t>
                  </w:r>
                </w:p>
              </w:tc>
              <w:tc>
                <w:tcPr>
                  <w:tcW w:w="501" w:type="pct"/>
                  <w:shd w:val="clear" w:color="auto" w:fill="auto"/>
                </w:tcPr>
                <w:p w:rsidR="00062C54" w:rsidRPr="0059465A" w:rsidRDefault="00062C54" w:rsidP="00077C2A">
                  <w:pPr>
                    <w:pStyle w:val="TableBodyText"/>
                  </w:pPr>
                  <w:r w:rsidRPr="0059465A">
                    <w:t xml:space="preserve">  6.9</w:t>
                  </w:r>
                </w:p>
              </w:tc>
              <w:tc>
                <w:tcPr>
                  <w:tcW w:w="495" w:type="pct"/>
                  <w:shd w:val="clear" w:color="auto" w:fill="auto"/>
                </w:tcPr>
                <w:p w:rsidR="00062C54" w:rsidRPr="0059465A" w:rsidRDefault="00062C54" w:rsidP="00077C2A">
                  <w:pPr>
                    <w:pStyle w:val="TableBodyText"/>
                  </w:pPr>
                  <w:r w:rsidRPr="0059465A">
                    <w:t xml:space="preserve">  0.5</w:t>
                  </w:r>
                </w:p>
              </w:tc>
            </w:tr>
            <w:tr w:rsidR="00062C54" w:rsidRPr="00F81A7C" w:rsidTr="0065145D">
              <w:tc>
                <w:tcPr>
                  <w:tcW w:w="497" w:type="pct"/>
                  <w:shd w:val="clear" w:color="auto" w:fill="auto"/>
                  <w:vAlign w:val="center"/>
                </w:tcPr>
                <w:p w:rsidR="00062C54" w:rsidRDefault="00062C54" w:rsidP="00077C2A">
                  <w:pPr>
                    <w:pStyle w:val="TableBodyText"/>
                    <w:ind w:left="0" w:right="0"/>
                    <w:jc w:val="left"/>
                    <w:rPr>
                      <w:rFonts w:asciiTheme="majorHAnsi" w:hAnsiTheme="majorHAnsi" w:cstheme="majorHAnsi"/>
                      <w:szCs w:val="18"/>
                    </w:rPr>
                  </w:pPr>
                  <w:r>
                    <w:rPr>
                      <w:rFonts w:asciiTheme="majorHAnsi" w:hAnsiTheme="majorHAnsi" w:cstheme="majorHAnsi"/>
                      <w:szCs w:val="18"/>
                    </w:rPr>
                    <w:t>2012</w:t>
                  </w:r>
                </w:p>
              </w:tc>
              <w:tc>
                <w:tcPr>
                  <w:tcW w:w="501" w:type="pct"/>
                  <w:shd w:val="clear" w:color="auto" w:fill="auto"/>
                </w:tcPr>
                <w:p w:rsidR="00062C54" w:rsidRPr="0059465A" w:rsidRDefault="00062C54" w:rsidP="00077C2A">
                  <w:pPr>
                    <w:pStyle w:val="TableBodyText"/>
                  </w:pPr>
                  <w:r w:rsidRPr="0059465A">
                    <w:t xml:space="preserve">  0.2</w:t>
                  </w:r>
                </w:p>
              </w:tc>
              <w:tc>
                <w:tcPr>
                  <w:tcW w:w="501" w:type="pct"/>
                  <w:shd w:val="clear" w:color="auto" w:fill="auto"/>
                </w:tcPr>
                <w:p w:rsidR="00062C54" w:rsidRPr="0059465A" w:rsidRDefault="00062C54" w:rsidP="00077C2A">
                  <w:pPr>
                    <w:pStyle w:val="TableBodyText"/>
                  </w:pPr>
                  <w:r w:rsidRPr="0059465A">
                    <w:t>–</w:t>
                  </w:r>
                </w:p>
              </w:tc>
              <w:tc>
                <w:tcPr>
                  <w:tcW w:w="501" w:type="pct"/>
                  <w:shd w:val="clear" w:color="auto" w:fill="auto"/>
                </w:tcPr>
                <w:p w:rsidR="00062C54" w:rsidRPr="0059465A" w:rsidRDefault="00062C54" w:rsidP="00077C2A">
                  <w:pPr>
                    <w:pStyle w:val="TableBodyText"/>
                  </w:pPr>
                  <w:r w:rsidRPr="0059465A">
                    <w:t xml:space="preserve">  0.7</w:t>
                  </w:r>
                </w:p>
              </w:tc>
              <w:tc>
                <w:tcPr>
                  <w:tcW w:w="501" w:type="pct"/>
                  <w:shd w:val="clear" w:color="auto" w:fill="auto"/>
                </w:tcPr>
                <w:p w:rsidR="00062C54" w:rsidRPr="0059465A" w:rsidRDefault="00062C54" w:rsidP="00077C2A">
                  <w:pPr>
                    <w:pStyle w:val="TableBodyText"/>
                  </w:pPr>
                  <w:r w:rsidRPr="0059465A">
                    <w:t xml:space="preserve">  1.3</w:t>
                  </w:r>
                </w:p>
              </w:tc>
              <w:tc>
                <w:tcPr>
                  <w:tcW w:w="501" w:type="pct"/>
                  <w:shd w:val="clear" w:color="auto" w:fill="auto"/>
                </w:tcPr>
                <w:p w:rsidR="00062C54" w:rsidRPr="0059465A" w:rsidRDefault="00062C54" w:rsidP="00077C2A">
                  <w:pPr>
                    <w:pStyle w:val="TableBodyText"/>
                  </w:pPr>
                  <w:r w:rsidRPr="0059465A">
                    <w:t>–</w:t>
                  </w:r>
                </w:p>
              </w:tc>
              <w:tc>
                <w:tcPr>
                  <w:tcW w:w="501" w:type="pct"/>
                  <w:shd w:val="clear" w:color="auto" w:fill="auto"/>
                </w:tcPr>
                <w:p w:rsidR="00062C54" w:rsidRPr="0059465A" w:rsidRDefault="00062C54" w:rsidP="00077C2A">
                  <w:pPr>
                    <w:pStyle w:val="TableBodyText"/>
                  </w:pPr>
                  <w:r w:rsidRPr="0059465A">
                    <w:t xml:space="preserve">  0.1</w:t>
                  </w:r>
                </w:p>
              </w:tc>
              <w:tc>
                <w:tcPr>
                  <w:tcW w:w="501" w:type="pct"/>
                  <w:shd w:val="clear" w:color="auto" w:fill="auto"/>
                </w:tcPr>
                <w:p w:rsidR="00062C54" w:rsidRPr="0059465A" w:rsidRDefault="00062C54" w:rsidP="00077C2A">
                  <w:pPr>
                    <w:pStyle w:val="TableBodyText"/>
                  </w:pPr>
                  <w:r w:rsidRPr="0059465A">
                    <w:t xml:space="preserve">  0.7</w:t>
                  </w:r>
                </w:p>
              </w:tc>
              <w:tc>
                <w:tcPr>
                  <w:tcW w:w="501" w:type="pct"/>
                  <w:shd w:val="clear" w:color="auto" w:fill="auto"/>
                </w:tcPr>
                <w:p w:rsidR="00062C54" w:rsidRPr="0059465A" w:rsidRDefault="00062C54" w:rsidP="00077C2A">
                  <w:pPr>
                    <w:pStyle w:val="TableBodyText"/>
                  </w:pPr>
                  <w:r w:rsidRPr="0059465A">
                    <w:t xml:space="preserve">  1.8</w:t>
                  </w:r>
                </w:p>
              </w:tc>
              <w:tc>
                <w:tcPr>
                  <w:tcW w:w="495" w:type="pct"/>
                  <w:shd w:val="clear" w:color="auto" w:fill="auto"/>
                </w:tcPr>
                <w:p w:rsidR="00062C54" w:rsidRPr="0059465A" w:rsidRDefault="00062C54" w:rsidP="00077C2A">
                  <w:pPr>
                    <w:pStyle w:val="TableBodyText"/>
                  </w:pPr>
                  <w:r w:rsidRPr="0059465A">
                    <w:t xml:space="preserve">  0.4</w:t>
                  </w:r>
                </w:p>
              </w:tc>
            </w:tr>
            <w:tr w:rsidR="00BF6E24" w:rsidRPr="00F81A7C" w:rsidTr="00746E44">
              <w:tc>
                <w:tcPr>
                  <w:tcW w:w="5000" w:type="pct"/>
                  <w:gridSpan w:val="10"/>
                  <w:shd w:val="clear" w:color="auto" w:fill="auto"/>
                  <w:vAlign w:val="center"/>
                </w:tcPr>
                <w:p w:rsidR="00BF6E24" w:rsidRPr="00F76494" w:rsidRDefault="00BF6E24" w:rsidP="00746E44">
                  <w:pPr>
                    <w:pStyle w:val="TableBodyText"/>
                    <w:jc w:val="left"/>
                    <w:rPr>
                      <w:rFonts w:asciiTheme="majorHAnsi" w:hAnsiTheme="majorHAnsi" w:cstheme="majorHAnsi"/>
                      <w:i/>
                      <w:color w:val="000000" w:themeColor="text1"/>
                      <w:szCs w:val="18"/>
                    </w:rPr>
                  </w:pPr>
                  <w:proofErr w:type="spellStart"/>
                  <w:r w:rsidRPr="00F76494">
                    <w:rPr>
                      <w:rFonts w:asciiTheme="majorHAnsi" w:hAnsiTheme="majorHAnsi" w:cstheme="majorHAnsi"/>
                      <w:i/>
                      <w:color w:val="000000" w:themeColor="text1"/>
                      <w:szCs w:val="18"/>
                    </w:rPr>
                    <w:t>SOMIH</w:t>
                  </w:r>
                  <w:proofErr w:type="spellEnd"/>
                </w:p>
              </w:tc>
            </w:tr>
            <w:tr w:rsidR="0006223E" w:rsidRPr="00F81A7C" w:rsidTr="0006223E">
              <w:tc>
                <w:tcPr>
                  <w:tcW w:w="497" w:type="pct"/>
                  <w:shd w:val="clear" w:color="auto" w:fill="auto"/>
                  <w:vAlign w:val="center"/>
                </w:tcPr>
                <w:p w:rsidR="0006223E" w:rsidRPr="00F81A7C" w:rsidRDefault="0006223E" w:rsidP="00746E44">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2016</w:t>
                  </w:r>
                </w:p>
              </w:tc>
              <w:tc>
                <w:tcPr>
                  <w:tcW w:w="501" w:type="pct"/>
                  <w:shd w:val="clear" w:color="auto" w:fill="auto"/>
                  <w:vAlign w:val="center"/>
                </w:tcPr>
                <w:p w:rsidR="0006223E" w:rsidRPr="0065145D" w:rsidRDefault="0006223E" w:rsidP="0065145D">
                  <w:pPr>
                    <w:pStyle w:val="TableBodyText"/>
                  </w:pPr>
                  <w:r w:rsidRPr="0065145D">
                    <w:t xml:space="preserve">  0.3</w:t>
                  </w:r>
                </w:p>
              </w:tc>
              <w:tc>
                <w:tcPr>
                  <w:tcW w:w="501" w:type="pct"/>
                  <w:shd w:val="clear" w:color="auto" w:fill="auto"/>
                  <w:vAlign w:val="center"/>
                </w:tcPr>
                <w:p w:rsidR="0006223E" w:rsidRPr="0065145D" w:rsidRDefault="0006223E" w:rsidP="0065145D">
                  <w:pPr>
                    <w:pStyle w:val="TableBodyText"/>
                  </w:pPr>
                  <w:r w:rsidRPr="0065145D">
                    <w:t>..</w:t>
                  </w:r>
                </w:p>
              </w:tc>
              <w:tc>
                <w:tcPr>
                  <w:tcW w:w="501" w:type="pct"/>
                  <w:shd w:val="clear" w:color="auto" w:fill="auto"/>
                  <w:vAlign w:val="center"/>
                </w:tcPr>
                <w:p w:rsidR="0006223E" w:rsidRPr="0065145D" w:rsidRDefault="0006223E" w:rsidP="0065145D">
                  <w:pPr>
                    <w:pStyle w:val="TableBodyText"/>
                  </w:pPr>
                  <w:r w:rsidRPr="0065145D">
                    <w:t xml:space="preserve">  0.1</w:t>
                  </w:r>
                </w:p>
              </w:tc>
              <w:tc>
                <w:tcPr>
                  <w:tcW w:w="501" w:type="pct"/>
                  <w:shd w:val="clear" w:color="auto" w:fill="auto"/>
                  <w:vAlign w:val="center"/>
                </w:tcPr>
                <w:p w:rsidR="0006223E" w:rsidRPr="0065145D" w:rsidRDefault="0006223E" w:rsidP="0065145D">
                  <w:pPr>
                    <w:pStyle w:val="TableBodyText"/>
                  </w:pPr>
                  <w:r w:rsidRPr="0065145D">
                    <w:t>..</w:t>
                  </w:r>
                </w:p>
              </w:tc>
              <w:tc>
                <w:tcPr>
                  <w:tcW w:w="501" w:type="pct"/>
                  <w:shd w:val="clear" w:color="auto" w:fill="auto"/>
                  <w:vAlign w:val="center"/>
                </w:tcPr>
                <w:p w:rsidR="0006223E" w:rsidRPr="0065145D" w:rsidRDefault="0006223E" w:rsidP="0065145D">
                  <w:pPr>
                    <w:pStyle w:val="TableBodyText"/>
                  </w:pPr>
                  <w:r w:rsidRPr="0065145D">
                    <w:t>–</w:t>
                  </w:r>
                </w:p>
              </w:tc>
              <w:tc>
                <w:tcPr>
                  <w:tcW w:w="501" w:type="pct"/>
                  <w:shd w:val="clear" w:color="auto" w:fill="auto"/>
                  <w:vAlign w:val="center"/>
                </w:tcPr>
                <w:p w:rsidR="0006223E" w:rsidRPr="0065145D" w:rsidRDefault="0006223E" w:rsidP="0065145D">
                  <w:pPr>
                    <w:pStyle w:val="TableBodyText"/>
                  </w:pPr>
                  <w:r w:rsidRPr="0065145D">
                    <w:t>–</w:t>
                  </w:r>
                </w:p>
              </w:tc>
              <w:tc>
                <w:tcPr>
                  <w:tcW w:w="501" w:type="pct"/>
                  <w:shd w:val="clear" w:color="auto" w:fill="auto"/>
                </w:tcPr>
                <w:p w:rsidR="0006223E" w:rsidRPr="00A734D1" w:rsidRDefault="0006223E" w:rsidP="002F7229">
                  <w:pPr>
                    <w:pStyle w:val="TableBodyText"/>
                  </w:pPr>
                  <w:r w:rsidRPr="00A734D1">
                    <w:t>..</w:t>
                  </w:r>
                </w:p>
              </w:tc>
              <w:tc>
                <w:tcPr>
                  <w:tcW w:w="501" w:type="pct"/>
                  <w:shd w:val="clear" w:color="auto" w:fill="auto"/>
                </w:tcPr>
                <w:p w:rsidR="0006223E" w:rsidRPr="00A734D1" w:rsidRDefault="0006223E" w:rsidP="002F7229">
                  <w:pPr>
                    <w:pStyle w:val="TableBodyText"/>
                  </w:pPr>
                  <w:r w:rsidRPr="00A734D1">
                    <w:t>..</w:t>
                  </w:r>
                </w:p>
              </w:tc>
              <w:tc>
                <w:tcPr>
                  <w:tcW w:w="495" w:type="pct"/>
                  <w:shd w:val="clear" w:color="auto" w:fill="auto"/>
                  <w:vAlign w:val="center"/>
                </w:tcPr>
                <w:p w:rsidR="0006223E" w:rsidRPr="0065145D" w:rsidRDefault="0006223E" w:rsidP="0065145D">
                  <w:pPr>
                    <w:pStyle w:val="TableBodyText"/>
                  </w:pPr>
                  <w:r w:rsidRPr="0065145D">
                    <w:t xml:space="preserve">  0.2</w:t>
                  </w:r>
                </w:p>
              </w:tc>
            </w:tr>
            <w:tr w:rsidR="00062C54" w:rsidRPr="00F81A7C" w:rsidTr="00774AF1">
              <w:tc>
                <w:tcPr>
                  <w:tcW w:w="497" w:type="pct"/>
                  <w:shd w:val="clear" w:color="auto" w:fill="auto"/>
                  <w:vAlign w:val="center"/>
                </w:tcPr>
                <w:p w:rsidR="00062C54" w:rsidRPr="00F81A7C" w:rsidRDefault="00062C54" w:rsidP="00077C2A">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2015</w:t>
                  </w:r>
                </w:p>
              </w:tc>
              <w:tc>
                <w:tcPr>
                  <w:tcW w:w="501" w:type="pct"/>
                  <w:shd w:val="clear" w:color="auto" w:fill="auto"/>
                </w:tcPr>
                <w:p w:rsidR="00062C54" w:rsidRPr="00A734D1" w:rsidRDefault="00062C54" w:rsidP="0065145D">
                  <w:pPr>
                    <w:pStyle w:val="TableBodyText"/>
                  </w:pPr>
                  <w:r w:rsidRPr="00A734D1">
                    <w:t xml:space="preserve">  0.</w:t>
                  </w:r>
                  <w:r w:rsidR="0065145D">
                    <w:t>6</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495" w:type="pct"/>
                  <w:shd w:val="clear" w:color="auto" w:fill="auto"/>
                </w:tcPr>
                <w:p w:rsidR="00062C54" w:rsidRPr="00A734D1" w:rsidRDefault="00062C54" w:rsidP="00077C2A">
                  <w:pPr>
                    <w:pStyle w:val="TableBodyText"/>
                  </w:pPr>
                  <w:r w:rsidRPr="00A734D1">
                    <w:t xml:space="preserve">  0.3</w:t>
                  </w:r>
                </w:p>
              </w:tc>
            </w:tr>
            <w:tr w:rsidR="00062C54" w:rsidRPr="00F81A7C" w:rsidTr="0065145D">
              <w:tc>
                <w:tcPr>
                  <w:tcW w:w="497" w:type="pct"/>
                  <w:shd w:val="clear" w:color="auto" w:fill="auto"/>
                  <w:vAlign w:val="center"/>
                </w:tcPr>
                <w:p w:rsidR="00062C54" w:rsidRPr="00F81A7C" w:rsidRDefault="00062C54" w:rsidP="00077C2A">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2014</w:t>
                  </w:r>
                </w:p>
              </w:tc>
              <w:tc>
                <w:tcPr>
                  <w:tcW w:w="501" w:type="pct"/>
                  <w:shd w:val="clear" w:color="auto" w:fill="auto"/>
                </w:tcPr>
                <w:p w:rsidR="00062C54" w:rsidRPr="00A734D1" w:rsidRDefault="00062C54" w:rsidP="00077C2A">
                  <w:pPr>
                    <w:pStyle w:val="TableBodyText"/>
                  </w:pPr>
                  <w:r w:rsidRPr="00A734D1">
                    <w:t xml:space="preserve">  0.5</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 xml:space="preserve">  0.5</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495" w:type="pct"/>
                  <w:shd w:val="clear" w:color="auto" w:fill="auto"/>
                </w:tcPr>
                <w:p w:rsidR="00062C54" w:rsidRPr="00A734D1" w:rsidRDefault="00062C54" w:rsidP="00077C2A">
                  <w:pPr>
                    <w:pStyle w:val="TableBodyText"/>
                  </w:pPr>
                  <w:r w:rsidRPr="00A734D1">
                    <w:t xml:space="preserve">  0.4</w:t>
                  </w:r>
                </w:p>
              </w:tc>
            </w:tr>
            <w:tr w:rsidR="00062C54" w:rsidRPr="00F81A7C" w:rsidTr="0065145D">
              <w:tc>
                <w:tcPr>
                  <w:tcW w:w="497" w:type="pct"/>
                  <w:shd w:val="clear" w:color="auto" w:fill="auto"/>
                  <w:vAlign w:val="center"/>
                </w:tcPr>
                <w:p w:rsidR="00062C54" w:rsidRPr="00F81A7C" w:rsidRDefault="00062C54" w:rsidP="00077C2A">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2013</w:t>
                  </w:r>
                </w:p>
              </w:tc>
              <w:tc>
                <w:tcPr>
                  <w:tcW w:w="501" w:type="pct"/>
                  <w:shd w:val="clear" w:color="auto" w:fill="auto"/>
                </w:tcPr>
                <w:p w:rsidR="00062C54" w:rsidRPr="00A734D1" w:rsidRDefault="00062C54" w:rsidP="00077C2A">
                  <w:pPr>
                    <w:pStyle w:val="TableBodyText"/>
                  </w:pPr>
                  <w:r w:rsidRPr="00A734D1">
                    <w:t xml:space="preserve">  0.5</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 xml:space="preserve">  0.8</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495" w:type="pct"/>
                  <w:shd w:val="clear" w:color="auto" w:fill="auto"/>
                </w:tcPr>
                <w:p w:rsidR="00062C54" w:rsidRPr="00A734D1" w:rsidRDefault="00062C54" w:rsidP="00077C2A">
                  <w:pPr>
                    <w:pStyle w:val="TableBodyText"/>
                  </w:pPr>
                  <w:r w:rsidRPr="00A734D1">
                    <w:t xml:space="preserve">  0.5</w:t>
                  </w:r>
                </w:p>
              </w:tc>
            </w:tr>
            <w:tr w:rsidR="00062C54" w:rsidRPr="00F81A7C" w:rsidTr="0065145D">
              <w:tc>
                <w:tcPr>
                  <w:tcW w:w="497" w:type="pct"/>
                  <w:shd w:val="clear" w:color="auto" w:fill="auto"/>
                  <w:vAlign w:val="center"/>
                </w:tcPr>
                <w:p w:rsidR="00062C54" w:rsidRDefault="00062C54" w:rsidP="00077C2A">
                  <w:pPr>
                    <w:pStyle w:val="TableBodyText"/>
                    <w:ind w:left="0" w:right="0"/>
                    <w:jc w:val="left"/>
                    <w:rPr>
                      <w:rFonts w:asciiTheme="majorHAnsi" w:hAnsiTheme="majorHAnsi" w:cstheme="majorHAnsi"/>
                      <w:color w:val="000000" w:themeColor="text1"/>
                      <w:szCs w:val="18"/>
                    </w:rPr>
                  </w:pPr>
                  <w:r>
                    <w:rPr>
                      <w:rFonts w:asciiTheme="majorHAnsi" w:hAnsiTheme="majorHAnsi" w:cstheme="majorHAnsi"/>
                      <w:color w:val="000000" w:themeColor="text1"/>
                      <w:szCs w:val="18"/>
                    </w:rPr>
                    <w:t>2012</w:t>
                  </w:r>
                </w:p>
              </w:tc>
              <w:tc>
                <w:tcPr>
                  <w:tcW w:w="501" w:type="pct"/>
                  <w:shd w:val="clear" w:color="auto" w:fill="auto"/>
                </w:tcPr>
                <w:p w:rsidR="00062C54" w:rsidRPr="00A734D1" w:rsidRDefault="00062C54" w:rsidP="00077C2A">
                  <w:pPr>
                    <w:pStyle w:val="TableBodyText"/>
                  </w:pPr>
                  <w:r w:rsidRPr="00A734D1">
                    <w:t xml:space="preserve">  0.5</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 xml:space="preserve">  1.1</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501" w:type="pct"/>
                  <w:shd w:val="clear" w:color="auto" w:fill="auto"/>
                </w:tcPr>
                <w:p w:rsidR="00062C54" w:rsidRPr="00A734D1" w:rsidRDefault="00062C54" w:rsidP="00077C2A">
                  <w:pPr>
                    <w:pStyle w:val="TableBodyText"/>
                  </w:pPr>
                  <w:r w:rsidRPr="00A734D1">
                    <w:t>..</w:t>
                  </w:r>
                </w:p>
              </w:tc>
              <w:tc>
                <w:tcPr>
                  <w:tcW w:w="495" w:type="pct"/>
                  <w:shd w:val="clear" w:color="auto" w:fill="auto"/>
                </w:tcPr>
                <w:p w:rsidR="00062C54" w:rsidRPr="00A734D1" w:rsidRDefault="00062C54" w:rsidP="00077C2A">
                  <w:pPr>
                    <w:pStyle w:val="TableBodyText"/>
                  </w:pPr>
                  <w:r w:rsidRPr="00A734D1">
                    <w:t xml:space="preserve">  0.7</w:t>
                  </w:r>
                </w:p>
              </w:tc>
            </w:tr>
            <w:tr w:rsidR="00BF6E24" w:rsidRPr="00F81A7C" w:rsidTr="00746E44">
              <w:tc>
                <w:tcPr>
                  <w:tcW w:w="5000" w:type="pct"/>
                  <w:gridSpan w:val="10"/>
                  <w:shd w:val="clear" w:color="auto" w:fill="auto"/>
                  <w:vAlign w:val="center"/>
                </w:tcPr>
                <w:p w:rsidR="00BF6E24" w:rsidRPr="00D37155" w:rsidRDefault="00BF6E24" w:rsidP="00746E44">
                  <w:pPr>
                    <w:pStyle w:val="TableBodyText"/>
                    <w:jc w:val="left"/>
                    <w:rPr>
                      <w:rStyle w:val="NoteLabel"/>
                      <w:rFonts w:asciiTheme="majorHAnsi" w:hAnsiTheme="majorHAnsi" w:cstheme="majorHAnsi"/>
                      <w:szCs w:val="18"/>
                    </w:rPr>
                  </w:pPr>
                  <w:r w:rsidRPr="00F76494">
                    <w:rPr>
                      <w:rFonts w:asciiTheme="majorHAnsi" w:hAnsiTheme="majorHAnsi" w:cstheme="majorHAnsi"/>
                      <w:i/>
                      <w:color w:val="000000" w:themeColor="text1"/>
                      <w:szCs w:val="18"/>
                    </w:rPr>
                    <w:t>Community housing</w:t>
                  </w:r>
                </w:p>
              </w:tc>
            </w:tr>
            <w:tr w:rsidR="00B0400B" w:rsidRPr="0022319C" w:rsidTr="00A17C2C">
              <w:tc>
                <w:tcPr>
                  <w:tcW w:w="497" w:type="pct"/>
                  <w:shd w:val="clear" w:color="auto" w:fill="auto"/>
                </w:tcPr>
                <w:p w:rsidR="00B0400B" w:rsidRPr="0022319C" w:rsidRDefault="00B0400B" w:rsidP="00746E44">
                  <w:pPr>
                    <w:pStyle w:val="TableBodyText"/>
                    <w:jc w:val="left"/>
                  </w:pPr>
                  <w:r>
                    <w:t>2016</w:t>
                  </w:r>
                </w:p>
              </w:tc>
              <w:tc>
                <w:tcPr>
                  <w:tcW w:w="501" w:type="pct"/>
                  <w:shd w:val="clear" w:color="auto" w:fill="auto"/>
                </w:tcPr>
                <w:p w:rsidR="00B0400B" w:rsidRPr="007E0C1C" w:rsidRDefault="00B0400B" w:rsidP="00B0400B">
                  <w:pPr>
                    <w:pStyle w:val="TableBodyText"/>
                  </w:pPr>
                  <w:r w:rsidRPr="007E0C1C">
                    <w:t xml:space="preserve">  3.1</w:t>
                  </w:r>
                </w:p>
              </w:tc>
              <w:tc>
                <w:tcPr>
                  <w:tcW w:w="501" w:type="pct"/>
                  <w:shd w:val="clear" w:color="auto" w:fill="auto"/>
                </w:tcPr>
                <w:p w:rsidR="00B0400B" w:rsidRPr="007E0C1C" w:rsidRDefault="00B0400B" w:rsidP="00B0400B">
                  <w:pPr>
                    <w:pStyle w:val="TableBodyText"/>
                  </w:pPr>
                  <w:r w:rsidRPr="007E0C1C">
                    <w:t>–</w:t>
                  </w:r>
                </w:p>
              </w:tc>
              <w:tc>
                <w:tcPr>
                  <w:tcW w:w="501" w:type="pct"/>
                  <w:shd w:val="clear" w:color="auto" w:fill="auto"/>
                </w:tcPr>
                <w:p w:rsidR="00B0400B" w:rsidRPr="007E0C1C" w:rsidRDefault="00B0400B" w:rsidP="00B0400B">
                  <w:pPr>
                    <w:pStyle w:val="TableBodyText"/>
                  </w:pPr>
                  <w:r w:rsidRPr="007E0C1C">
                    <w:t xml:space="preserve">  9.5</w:t>
                  </w:r>
                </w:p>
              </w:tc>
              <w:tc>
                <w:tcPr>
                  <w:tcW w:w="501" w:type="pct"/>
                  <w:shd w:val="clear" w:color="auto" w:fill="auto"/>
                </w:tcPr>
                <w:p w:rsidR="00B0400B" w:rsidRPr="007E0C1C" w:rsidRDefault="00B0400B" w:rsidP="00B0400B">
                  <w:pPr>
                    <w:pStyle w:val="TableBodyText"/>
                  </w:pPr>
                  <w:r w:rsidRPr="007E0C1C">
                    <w:t xml:space="preserve">  3.0</w:t>
                  </w:r>
                </w:p>
              </w:tc>
              <w:tc>
                <w:tcPr>
                  <w:tcW w:w="501" w:type="pct"/>
                  <w:shd w:val="clear" w:color="auto" w:fill="auto"/>
                </w:tcPr>
                <w:p w:rsidR="00B0400B" w:rsidRPr="007E0C1C" w:rsidRDefault="00B0400B" w:rsidP="00B0400B">
                  <w:pPr>
                    <w:pStyle w:val="TableBodyText"/>
                  </w:pPr>
                  <w:r w:rsidRPr="007E0C1C">
                    <w:t xml:space="preserve">  5.5</w:t>
                  </w:r>
                </w:p>
              </w:tc>
              <w:tc>
                <w:tcPr>
                  <w:tcW w:w="501" w:type="pct"/>
                  <w:shd w:val="clear" w:color="auto" w:fill="auto"/>
                </w:tcPr>
                <w:p w:rsidR="00B0400B" w:rsidRPr="007E0C1C" w:rsidRDefault="00B0400B" w:rsidP="00B0400B">
                  <w:pPr>
                    <w:pStyle w:val="TableBodyText"/>
                  </w:pPr>
                  <w:r w:rsidRPr="007E0C1C">
                    <w:t xml:space="preserve">  20.7</w:t>
                  </w:r>
                </w:p>
              </w:tc>
              <w:tc>
                <w:tcPr>
                  <w:tcW w:w="501" w:type="pct"/>
                  <w:shd w:val="clear" w:color="auto" w:fill="auto"/>
                </w:tcPr>
                <w:p w:rsidR="00B0400B" w:rsidRPr="007E0C1C" w:rsidRDefault="00B0400B" w:rsidP="00B0400B">
                  <w:pPr>
                    <w:pStyle w:val="TableBodyText"/>
                  </w:pPr>
                  <w:r w:rsidRPr="007E0C1C">
                    <w:t xml:space="preserve">  5.1</w:t>
                  </w:r>
                </w:p>
              </w:tc>
              <w:tc>
                <w:tcPr>
                  <w:tcW w:w="501" w:type="pct"/>
                  <w:shd w:val="clear" w:color="auto" w:fill="auto"/>
                </w:tcPr>
                <w:p w:rsidR="00B0400B" w:rsidRPr="007E0C1C" w:rsidRDefault="00B0400B" w:rsidP="00B0400B">
                  <w:pPr>
                    <w:pStyle w:val="TableBodyText"/>
                  </w:pPr>
                  <w:proofErr w:type="spellStart"/>
                  <w:r w:rsidRPr="007E0C1C">
                    <w:t>na</w:t>
                  </w:r>
                  <w:proofErr w:type="spellEnd"/>
                </w:p>
              </w:tc>
              <w:tc>
                <w:tcPr>
                  <w:tcW w:w="495" w:type="pct"/>
                  <w:shd w:val="clear" w:color="auto" w:fill="auto"/>
                </w:tcPr>
                <w:p w:rsidR="00B0400B" w:rsidRDefault="00B0400B" w:rsidP="00B0400B">
                  <w:pPr>
                    <w:pStyle w:val="TableBodyText"/>
                  </w:pPr>
                  <w:r w:rsidRPr="007E0C1C">
                    <w:t xml:space="preserve">  4.4</w:t>
                  </w:r>
                </w:p>
              </w:tc>
            </w:tr>
            <w:tr w:rsidR="00BD5518" w:rsidRPr="00F81A7C" w:rsidTr="00A17C2C">
              <w:tc>
                <w:tcPr>
                  <w:tcW w:w="497" w:type="pct"/>
                  <w:shd w:val="clear" w:color="auto" w:fill="auto"/>
                </w:tcPr>
                <w:p w:rsidR="00BD5518" w:rsidRPr="0022319C" w:rsidRDefault="00BD5518" w:rsidP="00077C2A">
                  <w:pPr>
                    <w:pStyle w:val="TableBodyText"/>
                    <w:jc w:val="left"/>
                  </w:pPr>
                  <w:r w:rsidRPr="0022319C">
                    <w:t>2015</w:t>
                  </w:r>
                </w:p>
              </w:tc>
              <w:tc>
                <w:tcPr>
                  <w:tcW w:w="501" w:type="pct"/>
                  <w:shd w:val="clear" w:color="auto" w:fill="auto"/>
                </w:tcPr>
                <w:p w:rsidR="00BD5518" w:rsidRPr="0022319C" w:rsidRDefault="00BD5518" w:rsidP="00077C2A">
                  <w:pPr>
                    <w:pStyle w:val="TableBodyText"/>
                  </w:pPr>
                  <w:r w:rsidRPr="003A6183">
                    <w:t xml:space="preserve">  7.6</w:t>
                  </w:r>
                </w:p>
              </w:tc>
              <w:tc>
                <w:tcPr>
                  <w:tcW w:w="501" w:type="pct"/>
                  <w:shd w:val="clear" w:color="auto" w:fill="auto"/>
                </w:tcPr>
                <w:p w:rsidR="00BD5518" w:rsidRPr="0022319C" w:rsidRDefault="00BD5518" w:rsidP="00077C2A">
                  <w:pPr>
                    <w:pStyle w:val="TableBodyText"/>
                  </w:pPr>
                  <w:r w:rsidRPr="003A6183">
                    <w:t xml:space="preserve">  0.1</w:t>
                  </w:r>
                </w:p>
              </w:tc>
              <w:tc>
                <w:tcPr>
                  <w:tcW w:w="501" w:type="pct"/>
                  <w:shd w:val="clear" w:color="auto" w:fill="auto"/>
                </w:tcPr>
                <w:p w:rsidR="00BD5518" w:rsidRPr="0022319C" w:rsidRDefault="00BD5518" w:rsidP="00077C2A">
                  <w:pPr>
                    <w:pStyle w:val="TableBodyText"/>
                  </w:pPr>
                  <w:proofErr w:type="spellStart"/>
                  <w:r w:rsidRPr="003A6183">
                    <w:t>na</w:t>
                  </w:r>
                  <w:proofErr w:type="spellEnd"/>
                </w:p>
              </w:tc>
              <w:tc>
                <w:tcPr>
                  <w:tcW w:w="501" w:type="pct"/>
                  <w:shd w:val="clear" w:color="auto" w:fill="auto"/>
                </w:tcPr>
                <w:p w:rsidR="00BD5518" w:rsidRPr="0022319C" w:rsidRDefault="00BD5518" w:rsidP="00077C2A">
                  <w:pPr>
                    <w:pStyle w:val="TableBodyText"/>
                  </w:pPr>
                  <w:r w:rsidRPr="003A6183">
                    <w:t xml:space="preserve">  17.1</w:t>
                  </w:r>
                </w:p>
              </w:tc>
              <w:tc>
                <w:tcPr>
                  <w:tcW w:w="501" w:type="pct"/>
                  <w:shd w:val="clear" w:color="auto" w:fill="auto"/>
                </w:tcPr>
                <w:p w:rsidR="00BD5518" w:rsidRPr="0022319C" w:rsidRDefault="00BD5518" w:rsidP="00077C2A">
                  <w:pPr>
                    <w:pStyle w:val="TableBodyText"/>
                  </w:pPr>
                  <w:r w:rsidRPr="003A6183">
                    <w:t xml:space="preserve">  8.9</w:t>
                  </w:r>
                </w:p>
              </w:tc>
              <w:tc>
                <w:tcPr>
                  <w:tcW w:w="501" w:type="pct"/>
                  <w:shd w:val="clear" w:color="auto" w:fill="auto"/>
                </w:tcPr>
                <w:p w:rsidR="00BD5518" w:rsidRPr="0022319C" w:rsidRDefault="00BD5518" w:rsidP="00077C2A">
                  <w:pPr>
                    <w:pStyle w:val="TableBodyText"/>
                  </w:pPr>
                  <w:r w:rsidRPr="003A6183">
                    <w:t xml:space="preserve">  27.6</w:t>
                  </w:r>
                </w:p>
              </w:tc>
              <w:tc>
                <w:tcPr>
                  <w:tcW w:w="501" w:type="pct"/>
                  <w:shd w:val="clear" w:color="auto" w:fill="auto"/>
                </w:tcPr>
                <w:p w:rsidR="00BD5518" w:rsidRPr="0022319C" w:rsidRDefault="00BD5518" w:rsidP="00077C2A">
                  <w:pPr>
                    <w:pStyle w:val="TableBodyText"/>
                  </w:pPr>
                  <w:r w:rsidRPr="003A6183">
                    <w:t xml:space="preserve">  0.4</w:t>
                  </w:r>
                </w:p>
              </w:tc>
              <w:tc>
                <w:tcPr>
                  <w:tcW w:w="501" w:type="pct"/>
                  <w:shd w:val="clear" w:color="auto" w:fill="auto"/>
                </w:tcPr>
                <w:p w:rsidR="00BD5518" w:rsidRPr="0022319C" w:rsidRDefault="00BD5518" w:rsidP="00077C2A">
                  <w:pPr>
                    <w:pStyle w:val="TableBodyText"/>
                  </w:pPr>
                  <w:proofErr w:type="spellStart"/>
                  <w:r w:rsidRPr="003A6183">
                    <w:t>na</w:t>
                  </w:r>
                  <w:proofErr w:type="spellEnd"/>
                </w:p>
              </w:tc>
              <w:tc>
                <w:tcPr>
                  <w:tcW w:w="495" w:type="pct"/>
                  <w:shd w:val="clear" w:color="auto" w:fill="auto"/>
                </w:tcPr>
                <w:p w:rsidR="00BD5518" w:rsidRPr="0022319C" w:rsidRDefault="00BD5518" w:rsidP="00077C2A">
                  <w:pPr>
                    <w:pStyle w:val="TableBodyText"/>
                  </w:pPr>
                  <w:r w:rsidRPr="003A6183">
                    <w:t xml:space="preserve">  8.6</w:t>
                  </w:r>
                </w:p>
              </w:tc>
            </w:tr>
            <w:tr w:rsidR="00062C54" w:rsidRPr="00F81A7C" w:rsidTr="0065145D">
              <w:tc>
                <w:tcPr>
                  <w:tcW w:w="497" w:type="pct"/>
                  <w:shd w:val="clear" w:color="auto" w:fill="auto"/>
                </w:tcPr>
                <w:p w:rsidR="00062C54" w:rsidRPr="00D278D5" w:rsidRDefault="00062C54" w:rsidP="00077C2A">
                  <w:pPr>
                    <w:pStyle w:val="TableBodyText"/>
                    <w:jc w:val="left"/>
                  </w:pPr>
                  <w:r>
                    <w:t>2014</w:t>
                  </w:r>
                </w:p>
              </w:tc>
              <w:tc>
                <w:tcPr>
                  <w:tcW w:w="501" w:type="pct"/>
                  <w:shd w:val="clear" w:color="auto" w:fill="auto"/>
                </w:tcPr>
                <w:p w:rsidR="00062C54" w:rsidRPr="00220385" w:rsidRDefault="00062C54" w:rsidP="00077C2A">
                  <w:pPr>
                    <w:pStyle w:val="TableBodyText"/>
                  </w:pPr>
                  <w:r w:rsidRPr="00220385">
                    <w:t xml:space="preserve">  10.4</w:t>
                  </w:r>
                </w:p>
              </w:tc>
              <w:tc>
                <w:tcPr>
                  <w:tcW w:w="501" w:type="pct"/>
                  <w:shd w:val="clear" w:color="auto" w:fill="auto"/>
                </w:tcPr>
                <w:p w:rsidR="00062C54" w:rsidRPr="00220385" w:rsidRDefault="00062C54" w:rsidP="00077C2A">
                  <w:pPr>
                    <w:pStyle w:val="TableBodyText"/>
                  </w:pPr>
                  <w:r w:rsidRPr="00220385">
                    <w:t xml:space="preserve">  4.9</w:t>
                  </w:r>
                </w:p>
              </w:tc>
              <w:tc>
                <w:tcPr>
                  <w:tcW w:w="501" w:type="pct"/>
                  <w:shd w:val="clear" w:color="auto" w:fill="auto"/>
                </w:tcPr>
                <w:p w:rsidR="00062C54" w:rsidRPr="00220385" w:rsidRDefault="00062C54" w:rsidP="00077C2A">
                  <w:pPr>
                    <w:pStyle w:val="TableBodyText"/>
                  </w:pPr>
                  <w:proofErr w:type="spellStart"/>
                  <w:r w:rsidRPr="00220385">
                    <w:t>na</w:t>
                  </w:r>
                  <w:proofErr w:type="spellEnd"/>
                </w:p>
              </w:tc>
              <w:tc>
                <w:tcPr>
                  <w:tcW w:w="501" w:type="pct"/>
                  <w:shd w:val="clear" w:color="auto" w:fill="auto"/>
                </w:tcPr>
                <w:p w:rsidR="00062C54" w:rsidRPr="00220385" w:rsidRDefault="00062C54" w:rsidP="00077C2A">
                  <w:pPr>
                    <w:pStyle w:val="TableBodyText"/>
                  </w:pPr>
                  <w:r w:rsidRPr="00220385">
                    <w:t xml:space="preserve">  10.4</w:t>
                  </w:r>
                </w:p>
              </w:tc>
              <w:tc>
                <w:tcPr>
                  <w:tcW w:w="501" w:type="pct"/>
                  <w:shd w:val="clear" w:color="auto" w:fill="auto"/>
                </w:tcPr>
                <w:p w:rsidR="00062C54" w:rsidRPr="00220385" w:rsidRDefault="00062C54" w:rsidP="00077C2A">
                  <w:pPr>
                    <w:pStyle w:val="TableBodyText"/>
                  </w:pPr>
                  <w:r w:rsidRPr="00220385">
                    <w:t xml:space="preserve">  3.7</w:t>
                  </w:r>
                </w:p>
              </w:tc>
              <w:tc>
                <w:tcPr>
                  <w:tcW w:w="501" w:type="pct"/>
                  <w:shd w:val="clear" w:color="auto" w:fill="auto"/>
                </w:tcPr>
                <w:p w:rsidR="00062C54" w:rsidRPr="00220385" w:rsidRDefault="00062C54" w:rsidP="00077C2A">
                  <w:pPr>
                    <w:pStyle w:val="TableBodyText"/>
                  </w:pPr>
                  <w:r w:rsidRPr="00220385">
                    <w:t xml:space="preserve">  23.0</w:t>
                  </w:r>
                </w:p>
              </w:tc>
              <w:tc>
                <w:tcPr>
                  <w:tcW w:w="501" w:type="pct"/>
                  <w:shd w:val="clear" w:color="auto" w:fill="auto"/>
                </w:tcPr>
                <w:p w:rsidR="00062C54" w:rsidRPr="00220385" w:rsidRDefault="00062C54" w:rsidP="00077C2A">
                  <w:pPr>
                    <w:pStyle w:val="TableBodyText"/>
                  </w:pPr>
                  <w:r>
                    <w:t>19.4</w:t>
                  </w:r>
                </w:p>
              </w:tc>
              <w:tc>
                <w:tcPr>
                  <w:tcW w:w="501" w:type="pct"/>
                  <w:shd w:val="clear" w:color="auto" w:fill="auto"/>
                </w:tcPr>
                <w:p w:rsidR="00062C54" w:rsidRPr="00220385" w:rsidRDefault="00062C54" w:rsidP="00077C2A">
                  <w:pPr>
                    <w:pStyle w:val="TableBodyText"/>
                  </w:pPr>
                  <w:proofErr w:type="spellStart"/>
                  <w:r w:rsidRPr="00220385">
                    <w:t>na</w:t>
                  </w:r>
                  <w:proofErr w:type="spellEnd"/>
                </w:p>
              </w:tc>
              <w:tc>
                <w:tcPr>
                  <w:tcW w:w="495" w:type="pct"/>
                  <w:shd w:val="clear" w:color="auto" w:fill="auto"/>
                </w:tcPr>
                <w:p w:rsidR="00062C54" w:rsidRPr="00220385" w:rsidRDefault="00062C54" w:rsidP="00077C2A">
                  <w:pPr>
                    <w:pStyle w:val="TableBodyText"/>
                  </w:pPr>
                  <w:r w:rsidRPr="00220385">
                    <w:t xml:space="preserve">  9.0</w:t>
                  </w:r>
                </w:p>
              </w:tc>
            </w:tr>
            <w:tr w:rsidR="00062C54" w:rsidRPr="008F2728" w:rsidTr="0065145D">
              <w:tc>
                <w:tcPr>
                  <w:tcW w:w="497" w:type="pct"/>
                  <w:shd w:val="clear" w:color="auto" w:fill="auto"/>
                </w:tcPr>
                <w:p w:rsidR="00062C54" w:rsidRPr="00D278D5" w:rsidRDefault="00062C54" w:rsidP="00077C2A">
                  <w:pPr>
                    <w:pStyle w:val="TableBodyText"/>
                    <w:jc w:val="left"/>
                  </w:pPr>
                  <w:r>
                    <w:t>2013</w:t>
                  </w:r>
                </w:p>
              </w:tc>
              <w:tc>
                <w:tcPr>
                  <w:tcW w:w="501" w:type="pct"/>
                  <w:shd w:val="clear" w:color="auto" w:fill="auto"/>
                </w:tcPr>
                <w:p w:rsidR="00062C54" w:rsidRPr="00220385" w:rsidRDefault="00062C54" w:rsidP="00077C2A">
                  <w:pPr>
                    <w:pStyle w:val="TableBodyText"/>
                  </w:pPr>
                  <w:r w:rsidRPr="00220385">
                    <w:t xml:space="preserve">  8.4</w:t>
                  </w:r>
                </w:p>
              </w:tc>
              <w:tc>
                <w:tcPr>
                  <w:tcW w:w="501" w:type="pct"/>
                  <w:shd w:val="clear" w:color="auto" w:fill="auto"/>
                </w:tcPr>
                <w:p w:rsidR="00062C54" w:rsidRPr="00220385" w:rsidRDefault="00062C54" w:rsidP="00077C2A">
                  <w:pPr>
                    <w:pStyle w:val="TableBodyText"/>
                  </w:pPr>
                  <w:r w:rsidRPr="00220385">
                    <w:t xml:space="preserve">  9.5</w:t>
                  </w:r>
                </w:p>
              </w:tc>
              <w:tc>
                <w:tcPr>
                  <w:tcW w:w="501" w:type="pct"/>
                  <w:shd w:val="clear" w:color="auto" w:fill="auto"/>
                </w:tcPr>
                <w:p w:rsidR="00062C54" w:rsidRPr="00220385" w:rsidRDefault="00062C54" w:rsidP="00077C2A">
                  <w:pPr>
                    <w:pStyle w:val="TableBodyText"/>
                  </w:pPr>
                  <w:proofErr w:type="spellStart"/>
                  <w:r w:rsidRPr="00220385">
                    <w:t>na</w:t>
                  </w:r>
                  <w:proofErr w:type="spellEnd"/>
                </w:p>
              </w:tc>
              <w:tc>
                <w:tcPr>
                  <w:tcW w:w="501" w:type="pct"/>
                  <w:shd w:val="clear" w:color="auto" w:fill="auto"/>
                </w:tcPr>
                <w:p w:rsidR="00062C54" w:rsidRPr="00220385" w:rsidRDefault="00062C54" w:rsidP="00077C2A">
                  <w:pPr>
                    <w:pStyle w:val="TableBodyText"/>
                  </w:pPr>
                  <w:r w:rsidRPr="00220385">
                    <w:t xml:space="preserve">  30.4</w:t>
                  </w:r>
                </w:p>
              </w:tc>
              <w:tc>
                <w:tcPr>
                  <w:tcW w:w="501" w:type="pct"/>
                  <w:shd w:val="clear" w:color="auto" w:fill="auto"/>
                </w:tcPr>
                <w:p w:rsidR="00062C54" w:rsidRPr="00220385" w:rsidRDefault="00062C54" w:rsidP="00077C2A">
                  <w:pPr>
                    <w:pStyle w:val="TableBodyText"/>
                  </w:pPr>
                  <w:r w:rsidRPr="00220385">
                    <w:t xml:space="preserve">  6.5</w:t>
                  </w:r>
                </w:p>
              </w:tc>
              <w:tc>
                <w:tcPr>
                  <w:tcW w:w="501" w:type="pct"/>
                  <w:shd w:val="clear" w:color="auto" w:fill="auto"/>
                </w:tcPr>
                <w:p w:rsidR="00062C54" w:rsidRPr="00220385" w:rsidRDefault="00062C54" w:rsidP="00077C2A">
                  <w:pPr>
                    <w:pStyle w:val="TableBodyText"/>
                  </w:pPr>
                  <w:r w:rsidRPr="00220385">
                    <w:t xml:space="preserve">  27.1</w:t>
                  </w:r>
                </w:p>
              </w:tc>
              <w:tc>
                <w:tcPr>
                  <w:tcW w:w="501" w:type="pct"/>
                  <w:shd w:val="clear" w:color="auto" w:fill="auto"/>
                </w:tcPr>
                <w:p w:rsidR="00062C54" w:rsidRPr="00220385" w:rsidRDefault="00062C54" w:rsidP="00077C2A">
                  <w:pPr>
                    <w:pStyle w:val="TableBodyText"/>
                  </w:pPr>
                  <w:r w:rsidRPr="00220385">
                    <w:t xml:space="preserve">  0.6</w:t>
                  </w:r>
                </w:p>
              </w:tc>
              <w:tc>
                <w:tcPr>
                  <w:tcW w:w="501" w:type="pct"/>
                  <w:shd w:val="clear" w:color="auto" w:fill="auto"/>
                </w:tcPr>
                <w:p w:rsidR="00062C54" w:rsidRPr="00220385" w:rsidRDefault="00062C54" w:rsidP="00077C2A">
                  <w:pPr>
                    <w:pStyle w:val="TableBodyText"/>
                  </w:pPr>
                  <w:proofErr w:type="spellStart"/>
                  <w:r w:rsidRPr="00220385">
                    <w:t>na</w:t>
                  </w:r>
                  <w:proofErr w:type="spellEnd"/>
                </w:p>
              </w:tc>
              <w:tc>
                <w:tcPr>
                  <w:tcW w:w="495" w:type="pct"/>
                  <w:shd w:val="clear" w:color="auto" w:fill="auto"/>
                </w:tcPr>
                <w:p w:rsidR="00062C54" w:rsidRPr="00220385" w:rsidRDefault="00062C54" w:rsidP="00077C2A">
                  <w:pPr>
                    <w:pStyle w:val="TableBodyText"/>
                  </w:pPr>
                  <w:r w:rsidRPr="00220385">
                    <w:t xml:space="preserve">  9.8</w:t>
                  </w:r>
                </w:p>
              </w:tc>
            </w:tr>
            <w:tr w:rsidR="00062C54" w:rsidRPr="008F2728" w:rsidTr="0065145D">
              <w:tc>
                <w:tcPr>
                  <w:tcW w:w="497" w:type="pct"/>
                  <w:tcBorders>
                    <w:bottom w:val="single" w:sz="4" w:space="0" w:color="BFBFBF" w:themeColor="background2"/>
                  </w:tcBorders>
                  <w:shd w:val="clear" w:color="auto" w:fill="auto"/>
                </w:tcPr>
                <w:p w:rsidR="00062C54" w:rsidRPr="00D278D5" w:rsidRDefault="00062C54" w:rsidP="00077C2A">
                  <w:pPr>
                    <w:pStyle w:val="TableBodyText"/>
                    <w:jc w:val="left"/>
                  </w:pPr>
                  <w:r>
                    <w:t>2012</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r w:rsidRPr="00220385">
                    <w:t xml:space="preserve">  3.8</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r w:rsidRPr="00220385">
                    <w:t>–</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proofErr w:type="spellStart"/>
                  <w:r w:rsidRPr="00220385">
                    <w:t>na</w:t>
                  </w:r>
                  <w:proofErr w:type="spellEnd"/>
                </w:p>
              </w:tc>
              <w:tc>
                <w:tcPr>
                  <w:tcW w:w="501" w:type="pct"/>
                  <w:tcBorders>
                    <w:bottom w:val="single" w:sz="4" w:space="0" w:color="BFBFBF" w:themeColor="background2"/>
                  </w:tcBorders>
                  <w:shd w:val="clear" w:color="auto" w:fill="auto"/>
                </w:tcPr>
                <w:p w:rsidR="00062C54" w:rsidRPr="00220385" w:rsidRDefault="00062C54" w:rsidP="00077C2A">
                  <w:pPr>
                    <w:pStyle w:val="TableBodyText"/>
                  </w:pPr>
                  <w:r w:rsidRPr="00220385">
                    <w:t xml:space="preserve">  5.0</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r w:rsidRPr="00220385">
                    <w:t xml:space="preserve">  3.6</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r w:rsidRPr="00220385">
                    <w:t xml:space="preserve">  26.5</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r w:rsidRPr="00220385">
                    <w:t>–</w:t>
                  </w:r>
                </w:p>
              </w:tc>
              <w:tc>
                <w:tcPr>
                  <w:tcW w:w="501" w:type="pct"/>
                  <w:tcBorders>
                    <w:bottom w:val="single" w:sz="4" w:space="0" w:color="BFBFBF" w:themeColor="background2"/>
                  </w:tcBorders>
                  <w:shd w:val="clear" w:color="auto" w:fill="auto"/>
                </w:tcPr>
                <w:p w:rsidR="00062C54" w:rsidRPr="00220385" w:rsidRDefault="00062C54" w:rsidP="00077C2A">
                  <w:pPr>
                    <w:pStyle w:val="TableBodyText"/>
                  </w:pPr>
                  <w:proofErr w:type="spellStart"/>
                  <w:r w:rsidRPr="00220385">
                    <w:t>na</w:t>
                  </w:r>
                  <w:proofErr w:type="spellEnd"/>
                </w:p>
              </w:tc>
              <w:tc>
                <w:tcPr>
                  <w:tcW w:w="495" w:type="pct"/>
                  <w:tcBorders>
                    <w:bottom w:val="single" w:sz="4" w:space="0" w:color="BFBFBF" w:themeColor="background2"/>
                  </w:tcBorders>
                  <w:shd w:val="clear" w:color="auto" w:fill="auto"/>
                </w:tcPr>
                <w:p w:rsidR="00062C54" w:rsidRPr="00220385" w:rsidRDefault="00062C54" w:rsidP="00077C2A">
                  <w:pPr>
                    <w:pStyle w:val="TableBodyText"/>
                  </w:pPr>
                  <w:r w:rsidRPr="00220385">
                    <w:t xml:space="preserve">  3.5</w:t>
                  </w:r>
                </w:p>
              </w:tc>
            </w:tr>
          </w:tbl>
          <w:p w:rsidR="00BF6E24" w:rsidRDefault="00BF6E24" w:rsidP="00062C54">
            <w:pPr>
              <w:pStyle w:val="Box"/>
              <w:tabs>
                <w:tab w:val="left" w:pos="6630"/>
              </w:tabs>
            </w:pPr>
          </w:p>
        </w:tc>
      </w:tr>
      <w:tr w:rsidR="00BF6E24" w:rsidTr="00746E44">
        <w:trPr>
          <w:cantSplit/>
        </w:trPr>
        <w:tc>
          <w:tcPr>
            <w:tcW w:w="5000" w:type="pct"/>
            <w:tcBorders>
              <w:top w:val="nil"/>
              <w:left w:val="nil"/>
              <w:bottom w:val="nil"/>
              <w:right w:val="nil"/>
            </w:tcBorders>
            <w:shd w:val="clear" w:color="auto" w:fill="auto"/>
          </w:tcPr>
          <w:p w:rsidR="00BF6E24" w:rsidRDefault="00BF6E24" w:rsidP="00ED7640">
            <w:pPr>
              <w:pStyle w:val="Note"/>
              <w:rPr>
                <w:i/>
              </w:rPr>
            </w:pPr>
            <w:r w:rsidRPr="008E77FE">
              <w:rPr>
                <w:rStyle w:val="NoteLabel"/>
              </w:rPr>
              <w:t>a</w:t>
            </w:r>
            <w:r>
              <w:rPr>
                <w:rStyle w:val="NoteLabel"/>
              </w:rPr>
              <w:t> </w:t>
            </w:r>
            <w:r w:rsidR="00790CB2">
              <w:t>See box 18.7</w:t>
            </w:r>
            <w:r>
              <w:t xml:space="preserve"> and table </w:t>
            </w:r>
            <w:proofErr w:type="spellStart"/>
            <w:r w:rsidR="003B2986">
              <w:t>18A.16</w:t>
            </w:r>
            <w:proofErr w:type="spellEnd"/>
            <w:r>
              <w:t xml:space="preserve"> for detailed definitions, footnotes and caveats. </w:t>
            </w:r>
            <w:proofErr w:type="spellStart"/>
            <w:r w:rsidRPr="00FA77C9">
              <w:rPr>
                <w:b/>
              </w:rPr>
              <w:t>na</w:t>
            </w:r>
            <w:proofErr w:type="spellEnd"/>
            <w:r w:rsidRPr="00FA77C9">
              <w:t xml:space="preserve"> Not available. </w:t>
            </w:r>
            <w:r w:rsidR="00F20157">
              <w:br/>
            </w:r>
            <w:r w:rsidRPr="00FA77C9">
              <w:t>.. Not applicable. – Nil or rounded to zero.</w:t>
            </w:r>
          </w:p>
        </w:tc>
      </w:tr>
      <w:tr w:rsidR="00BF6E24" w:rsidTr="00746E44">
        <w:trPr>
          <w:cantSplit/>
        </w:trPr>
        <w:tc>
          <w:tcPr>
            <w:tcW w:w="5000" w:type="pct"/>
            <w:tcBorders>
              <w:top w:val="nil"/>
              <w:left w:val="nil"/>
              <w:bottom w:val="nil"/>
              <w:right w:val="nil"/>
            </w:tcBorders>
            <w:shd w:val="clear" w:color="auto" w:fill="auto"/>
          </w:tcPr>
          <w:p w:rsidR="00BF6E24" w:rsidRDefault="00BF6E24" w:rsidP="002A08DC">
            <w:pPr>
              <w:pStyle w:val="Source"/>
            </w:pPr>
            <w:r>
              <w:rPr>
                <w:i/>
              </w:rPr>
              <w:t>Source</w:t>
            </w:r>
            <w:r w:rsidRPr="00B93213">
              <w:t>:</w:t>
            </w:r>
            <w:r>
              <w:rPr>
                <w:i/>
              </w:rPr>
              <w:t xml:space="preserve"> </w:t>
            </w:r>
            <w:proofErr w:type="spellStart"/>
            <w:r w:rsidRPr="0078599A">
              <w:t>AIHW</w:t>
            </w:r>
            <w:proofErr w:type="spellEnd"/>
            <w:r w:rsidRPr="0078599A">
              <w:t xml:space="preserve"> (unpublished) </w:t>
            </w:r>
            <w:r w:rsidRPr="00A11155">
              <w:t>National Housing Assistance Data Repository</w:t>
            </w:r>
            <w:r>
              <w:rPr>
                <w:i/>
              </w:rPr>
              <w:t>;</w:t>
            </w:r>
            <w:r w:rsidR="002A08DC">
              <w:t xml:space="preserve"> table</w:t>
            </w:r>
            <w:r>
              <w:t> </w:t>
            </w:r>
            <w:proofErr w:type="spellStart"/>
            <w:r w:rsidR="003B2986">
              <w:t>18A.16</w:t>
            </w:r>
            <w:proofErr w:type="spellEnd"/>
            <w:r w:rsidRPr="00FA77C9">
              <w:t>.</w:t>
            </w:r>
          </w:p>
        </w:tc>
      </w:tr>
      <w:tr w:rsidR="00BF6E24" w:rsidTr="00746E44">
        <w:trPr>
          <w:cantSplit/>
        </w:trPr>
        <w:tc>
          <w:tcPr>
            <w:tcW w:w="5000" w:type="pct"/>
            <w:tcBorders>
              <w:top w:val="nil"/>
              <w:left w:val="nil"/>
              <w:bottom w:val="single" w:sz="6" w:space="0" w:color="78A22F" w:themeColor="accent1"/>
              <w:right w:val="nil"/>
            </w:tcBorders>
            <w:shd w:val="clear" w:color="auto" w:fill="auto"/>
          </w:tcPr>
          <w:p w:rsidR="00BF6E24" w:rsidRDefault="00BF6E24" w:rsidP="00746E44">
            <w:pPr>
              <w:pStyle w:val="Box"/>
              <w:spacing w:before="0" w:line="120" w:lineRule="exact"/>
            </w:pPr>
          </w:p>
        </w:tc>
      </w:tr>
      <w:tr w:rsidR="00BF6E24" w:rsidRPr="000863A5" w:rsidTr="00746E44">
        <w:tc>
          <w:tcPr>
            <w:tcW w:w="5000" w:type="pct"/>
            <w:tcBorders>
              <w:top w:val="single" w:sz="6" w:space="0" w:color="78A22F" w:themeColor="accent1"/>
              <w:left w:val="nil"/>
              <w:bottom w:val="nil"/>
              <w:right w:val="nil"/>
            </w:tcBorders>
          </w:tcPr>
          <w:p w:rsidR="00BF6E24" w:rsidRPr="00626D32" w:rsidRDefault="00BF6E24" w:rsidP="00746E44">
            <w:pPr>
              <w:pStyle w:val="BoxSpaceBelow"/>
            </w:pPr>
          </w:p>
        </w:tc>
      </w:tr>
    </w:tbl>
    <w:p w:rsidR="00452B3E" w:rsidRPr="004372D7" w:rsidRDefault="00580511" w:rsidP="004B1135">
      <w:pPr>
        <w:pStyle w:val="BodyText"/>
      </w:pPr>
      <w:r>
        <w:t xml:space="preserve">Rental stress is mitigated through rental subsidies provided to </w:t>
      </w:r>
      <w:r w:rsidR="006E6B52" w:rsidRPr="00C3681A">
        <w:t xml:space="preserve">eligible </w:t>
      </w:r>
      <w:r w:rsidRPr="00C3681A">
        <w:t>low income</w:t>
      </w:r>
      <w:r w:rsidR="00BB7DE4" w:rsidRPr="00C3681A">
        <w:t xml:space="preserve"> social</w:t>
      </w:r>
      <w:r w:rsidR="00BB7DE4">
        <w:t xml:space="preserve"> housing </w:t>
      </w:r>
      <w:r>
        <w:t xml:space="preserve">households by State and Territory governments. </w:t>
      </w:r>
      <w:r w:rsidR="006E6B52">
        <w:t xml:space="preserve">For public housing and </w:t>
      </w:r>
      <w:proofErr w:type="spellStart"/>
      <w:r w:rsidR="006E6B52">
        <w:t>SOMIH</w:t>
      </w:r>
      <w:proofErr w:type="spellEnd"/>
      <w:r w:rsidR="006E6B52">
        <w:t>, r</w:t>
      </w:r>
      <w:r>
        <w:t>ent</w:t>
      </w:r>
      <w:r w:rsidR="00C064FA">
        <w:t>s</w:t>
      </w:r>
      <w:r>
        <w:t xml:space="preserve"> </w:t>
      </w:r>
      <w:r w:rsidR="00C064FA" w:rsidRPr="00A17C2C">
        <w:t>are</w:t>
      </w:r>
      <w:r w:rsidRPr="00A17C2C">
        <w:t xml:space="preserve"> generally set </w:t>
      </w:r>
      <w:r w:rsidR="006E6B52" w:rsidRPr="00A17C2C">
        <w:t xml:space="preserve">at </w:t>
      </w:r>
      <w:r w:rsidR="00C064FA" w:rsidRPr="00A17C2C">
        <w:t xml:space="preserve">estimated </w:t>
      </w:r>
      <w:r w:rsidR="006E6B52" w:rsidRPr="00A17C2C">
        <w:t xml:space="preserve">market </w:t>
      </w:r>
      <w:r w:rsidR="00C064FA" w:rsidRPr="00A17C2C">
        <w:t>rates</w:t>
      </w:r>
      <w:r w:rsidR="006E6B52" w:rsidRPr="00A17C2C">
        <w:t xml:space="preserve"> </w:t>
      </w:r>
      <w:r w:rsidR="00C064FA" w:rsidRPr="00A17C2C">
        <w:t>and</w:t>
      </w:r>
      <w:r w:rsidR="006E6B52" w:rsidRPr="00A17C2C">
        <w:t xml:space="preserve"> </w:t>
      </w:r>
      <w:r w:rsidR="00452B3E" w:rsidRPr="00A17C2C">
        <w:t xml:space="preserve">subsidised for </w:t>
      </w:r>
      <w:r w:rsidR="002F211A" w:rsidRPr="00A17C2C">
        <w:t xml:space="preserve">eligible households </w:t>
      </w:r>
      <w:r w:rsidR="00CA7080" w:rsidRPr="00A17C2C">
        <w:t>so that</w:t>
      </w:r>
      <w:r w:rsidR="00C064FA" w:rsidRPr="00A17C2C">
        <w:t xml:space="preserve"> rental costs</w:t>
      </w:r>
      <w:r w:rsidR="00CA7080" w:rsidRPr="00A17C2C">
        <w:t xml:space="preserve"> </w:t>
      </w:r>
      <w:r w:rsidR="00452B3E" w:rsidRPr="00A17C2C">
        <w:t>do not exceed</w:t>
      </w:r>
      <w:r w:rsidR="00CA7080" w:rsidRPr="00A17C2C">
        <w:t xml:space="preserve"> a s</w:t>
      </w:r>
      <w:r w:rsidR="00C064FA" w:rsidRPr="00A17C2C">
        <w:t>et proportion</w:t>
      </w:r>
      <w:r w:rsidR="00CA7080" w:rsidRPr="00A17C2C">
        <w:t xml:space="preserve"> of assessable</w:t>
      </w:r>
      <w:r w:rsidR="00CA7080">
        <w:t xml:space="preserve"> household income </w:t>
      </w:r>
      <w:r w:rsidR="0093677F">
        <w:t>(25 per </w:t>
      </w:r>
      <w:r w:rsidR="00722372">
        <w:t>cent in most states and t</w:t>
      </w:r>
      <w:r w:rsidR="00C064FA">
        <w:t>erritories) (tables</w:t>
      </w:r>
      <w:r w:rsidR="00B93213">
        <w:t> </w:t>
      </w:r>
      <w:proofErr w:type="spellStart"/>
      <w:r w:rsidR="00C064FA">
        <w:t>18A.6</w:t>
      </w:r>
      <w:r w:rsidR="001E2330">
        <w:t>3</w:t>
      </w:r>
      <w:proofErr w:type="spellEnd"/>
      <w:r w:rsidR="00C064FA">
        <w:t>–68).</w:t>
      </w:r>
    </w:p>
    <w:p w:rsidR="00580511" w:rsidRDefault="00580511" w:rsidP="00580511">
      <w:pPr>
        <w:pStyle w:val="BodyText"/>
      </w:pPr>
      <w:r w:rsidRPr="00EE4EB4">
        <w:t xml:space="preserve">Nationally, the average weekly subsidy per rebated household </w:t>
      </w:r>
      <w:r>
        <w:t>as at 30</w:t>
      </w:r>
      <w:r w:rsidR="00B93213">
        <w:t> </w:t>
      </w:r>
      <w:r>
        <w:t>June 2016 was:</w:t>
      </w:r>
    </w:p>
    <w:p w:rsidR="00580511" w:rsidRDefault="00580511" w:rsidP="00580511">
      <w:pPr>
        <w:pStyle w:val="ListBullet"/>
      </w:pPr>
      <w:r w:rsidRPr="00723343">
        <w:t>$181 for public housing</w:t>
      </w:r>
      <w:r>
        <w:t xml:space="preserve"> —</w:t>
      </w:r>
      <w:r w:rsidRPr="00723343">
        <w:t xml:space="preserve"> </w:t>
      </w:r>
      <w:r>
        <w:t xml:space="preserve">an </w:t>
      </w:r>
      <w:r w:rsidRPr="00723343">
        <w:t>increas</w:t>
      </w:r>
      <w:r>
        <w:t>e</w:t>
      </w:r>
      <w:r w:rsidRPr="00723343">
        <w:t xml:space="preserve"> </w:t>
      </w:r>
      <w:r>
        <w:t xml:space="preserve">in real terms </w:t>
      </w:r>
      <w:r w:rsidRPr="00723343">
        <w:t xml:space="preserve">from $152 </w:t>
      </w:r>
      <w:r>
        <w:t>in</w:t>
      </w:r>
      <w:r w:rsidRPr="00723343">
        <w:t xml:space="preserve"> 2012 </w:t>
      </w:r>
      <w:r>
        <w:t>(table</w:t>
      </w:r>
      <w:r w:rsidR="00B93213">
        <w:t> </w:t>
      </w:r>
      <w:proofErr w:type="spellStart"/>
      <w:r>
        <w:t>18A.21</w:t>
      </w:r>
      <w:proofErr w:type="spellEnd"/>
      <w:r>
        <w:t>)</w:t>
      </w:r>
      <w:r w:rsidRPr="008E316F">
        <w:t>.</w:t>
      </w:r>
    </w:p>
    <w:p w:rsidR="00580511" w:rsidRDefault="00580511" w:rsidP="00580511">
      <w:pPr>
        <w:pStyle w:val="ListBullet"/>
      </w:pPr>
      <w:r>
        <w:t>$144</w:t>
      </w:r>
      <w:r w:rsidRPr="008E316F">
        <w:t xml:space="preserve"> </w:t>
      </w:r>
      <w:r>
        <w:t>f</w:t>
      </w:r>
      <w:r w:rsidRPr="008E316F">
        <w:t xml:space="preserve">or </w:t>
      </w:r>
      <w:proofErr w:type="spellStart"/>
      <w:r w:rsidRPr="008E316F">
        <w:t>SOMIH</w:t>
      </w:r>
      <w:proofErr w:type="spellEnd"/>
      <w:r>
        <w:t xml:space="preserve"> — similar to $145 in</w:t>
      </w:r>
      <w:r w:rsidRPr="008E316F">
        <w:t xml:space="preserve"> 201</w:t>
      </w:r>
      <w:r>
        <w:t>2 (table</w:t>
      </w:r>
      <w:r w:rsidR="00B93213">
        <w:t> </w:t>
      </w:r>
      <w:proofErr w:type="spellStart"/>
      <w:r>
        <w:t>18A.22</w:t>
      </w:r>
      <w:proofErr w:type="spellEnd"/>
      <w:r>
        <w:t>)</w:t>
      </w:r>
      <w:r w:rsidRPr="008E316F">
        <w:t>.</w:t>
      </w:r>
    </w:p>
    <w:p w:rsidR="00BF6E24" w:rsidRPr="003430B0" w:rsidRDefault="00BF6E24" w:rsidP="00BF6E24">
      <w:pPr>
        <w:pStyle w:val="Heading4"/>
      </w:pPr>
      <w:r>
        <w:t xml:space="preserve">Appropriateness — </w:t>
      </w:r>
      <w:r w:rsidRPr="00BF6E24">
        <w:t>Match of dwelling to household size</w:t>
      </w:r>
    </w:p>
    <w:p w:rsidR="00BF6E24" w:rsidRDefault="00BF6E24" w:rsidP="00BF6E24">
      <w:pPr>
        <w:pStyle w:val="BodyText"/>
        <w:spacing w:after="240"/>
      </w:pPr>
      <w:r w:rsidRPr="00DA73E5">
        <w:t xml:space="preserve">‘Match of dwelling to household size’ is an indicator of governments’ objective to provide </w:t>
      </w:r>
      <w:r w:rsidR="00866D08">
        <w:t xml:space="preserve">social </w:t>
      </w:r>
      <w:r w:rsidRPr="00DA73E5">
        <w:t>housing that is appropriate</w:t>
      </w:r>
      <w:r w:rsidR="00866D08">
        <w:t>,</w:t>
      </w:r>
      <w:r w:rsidR="00866D08" w:rsidRPr="00866D08">
        <w:t xml:space="preserve"> meeting</w:t>
      </w:r>
      <w:r w:rsidRPr="00DA73E5">
        <w:t xml:space="preserve"> the needs of </w:t>
      </w:r>
      <w:r w:rsidR="00866D08" w:rsidRPr="00866D08">
        <w:t xml:space="preserve">individual </w:t>
      </w:r>
      <w:r w:rsidRPr="00DA73E5">
        <w:t>households (box</w:t>
      </w:r>
      <w:r w:rsidR="00790CB2">
        <w:t> 18.8</w:t>
      </w:r>
      <w:r w:rsidR="00195657">
        <w:t>).</w:t>
      </w:r>
    </w:p>
    <w:p w:rsidR="00BF6E24" w:rsidRDefault="00BF6E24" w:rsidP="00BF6E2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BF6E24" w:rsidTr="00746E44">
        <w:tc>
          <w:tcPr>
            <w:tcW w:w="5000" w:type="pct"/>
            <w:tcBorders>
              <w:top w:val="single" w:sz="6" w:space="0" w:color="78A22F"/>
              <w:left w:val="nil"/>
              <w:bottom w:val="nil"/>
              <w:right w:val="nil"/>
            </w:tcBorders>
            <w:shd w:val="clear" w:color="auto" w:fill="F2F2F2" w:themeFill="background1" w:themeFillShade="F2"/>
          </w:tcPr>
          <w:p w:rsidR="00BF6E24" w:rsidRDefault="00790CB2" w:rsidP="00790CB2">
            <w:pPr>
              <w:pStyle w:val="BoxTitle"/>
            </w:pPr>
            <w:r>
              <w:rPr>
                <w:b w:val="0"/>
              </w:rPr>
              <w:t>Box 18.</w:t>
            </w:r>
            <w:r w:rsidR="00892185">
              <w:rPr>
                <w:b w:val="0"/>
                <w:noProof/>
              </w:rPr>
              <w:t>8</w:t>
            </w:r>
            <w:r w:rsidR="00BF6E24">
              <w:tab/>
            </w:r>
            <w:r w:rsidR="00BF6E24" w:rsidRPr="007504E5">
              <w:t>Match of dwelling to household size</w:t>
            </w:r>
          </w:p>
        </w:tc>
      </w:tr>
      <w:tr w:rsidR="00BF6E24" w:rsidTr="00746E44">
        <w:trPr>
          <w:cantSplit/>
        </w:trPr>
        <w:tc>
          <w:tcPr>
            <w:tcW w:w="5000" w:type="pct"/>
            <w:tcBorders>
              <w:top w:val="nil"/>
              <w:left w:val="nil"/>
              <w:bottom w:val="nil"/>
              <w:right w:val="nil"/>
            </w:tcBorders>
            <w:shd w:val="clear" w:color="auto" w:fill="F2F2F2" w:themeFill="background1" w:themeFillShade="F2"/>
          </w:tcPr>
          <w:p w:rsidR="00BF6E24" w:rsidRPr="005E340A" w:rsidRDefault="00BF6E24" w:rsidP="00746E44">
            <w:pPr>
              <w:pStyle w:val="Box"/>
            </w:pPr>
            <w:r w:rsidRPr="005E340A">
              <w:t>‘Match of dwelling to household size’ is defined as the proportion of households that are overcrowded.</w:t>
            </w:r>
          </w:p>
          <w:p w:rsidR="00BF6E24" w:rsidRPr="005E340A" w:rsidRDefault="00BF6E24" w:rsidP="00746E44">
            <w:pPr>
              <w:pStyle w:val="Box"/>
            </w:pPr>
            <w:r w:rsidRPr="005E340A">
              <w:t>Overcrowding is defined and measured using the Canadian National Occupancy Standard (</w:t>
            </w:r>
            <w:proofErr w:type="spellStart"/>
            <w:r w:rsidRPr="005E340A">
              <w:t>CNOS</w:t>
            </w:r>
            <w:proofErr w:type="spellEnd"/>
            <w:r w:rsidRPr="005E340A">
              <w:t xml:space="preserve">) </w:t>
            </w:r>
            <w:r w:rsidR="000C7B80">
              <w:t>with</w:t>
            </w:r>
            <w:r w:rsidRPr="005E340A">
              <w:t xml:space="preserve"> </w:t>
            </w:r>
            <w:r w:rsidR="005F5B8C">
              <w:t xml:space="preserve">households deemed to be </w:t>
            </w:r>
            <w:r w:rsidRPr="005E340A">
              <w:t>overcrowd</w:t>
            </w:r>
            <w:r w:rsidR="005F5B8C">
              <w:t>ed</w:t>
            </w:r>
            <w:r w:rsidRPr="005E340A">
              <w:t xml:space="preserve"> if one or more additional bedrooms are required to meet the standard (see section</w:t>
            </w:r>
            <w:r>
              <w:t> </w:t>
            </w:r>
            <w:r w:rsidRPr="005E340A">
              <w:t>1</w:t>
            </w:r>
            <w:r w:rsidR="002A293E">
              <w:t>8</w:t>
            </w:r>
            <w:r w:rsidRPr="005E340A">
              <w:t>.</w:t>
            </w:r>
            <w:r w:rsidR="00E34B5F">
              <w:t>4</w:t>
            </w:r>
            <w:r w:rsidRPr="005E340A">
              <w:t xml:space="preserve"> for </w:t>
            </w:r>
            <w:proofErr w:type="spellStart"/>
            <w:r w:rsidRPr="005E340A">
              <w:t>CNOS</w:t>
            </w:r>
            <w:proofErr w:type="spellEnd"/>
            <w:r w:rsidRPr="005E340A">
              <w:t xml:space="preserve"> definition). State and Territory housing authorities’ bedroom entitlement policies may differ from the </w:t>
            </w:r>
            <w:proofErr w:type="spellStart"/>
            <w:r w:rsidRPr="005E340A">
              <w:t>CNOS</w:t>
            </w:r>
            <w:proofErr w:type="spellEnd"/>
            <w:r w:rsidRPr="005E340A">
              <w:t>.</w:t>
            </w:r>
          </w:p>
          <w:p w:rsidR="00BF6E24" w:rsidRPr="005E340A" w:rsidRDefault="00BF6E24" w:rsidP="00746E44">
            <w:pPr>
              <w:pStyle w:val="Box"/>
            </w:pPr>
            <w:r w:rsidRPr="005E340A">
              <w:t xml:space="preserve">The </w:t>
            </w:r>
            <w:proofErr w:type="spellStart"/>
            <w:r w:rsidR="005F5B8C">
              <w:t>CNOS</w:t>
            </w:r>
            <w:proofErr w:type="spellEnd"/>
            <w:r w:rsidR="005F5B8C">
              <w:t xml:space="preserve"> requires knowledge of</w:t>
            </w:r>
            <w:r w:rsidRPr="005E340A">
              <w:t xml:space="preserve"> the age, sex and relationship status of all tenants within a household, as well as the number of bedrooms. </w:t>
            </w:r>
            <w:r w:rsidR="00730262">
              <w:t>H</w:t>
            </w:r>
            <w:r w:rsidRPr="005E340A">
              <w:t xml:space="preserve">ouseholds </w:t>
            </w:r>
            <w:r w:rsidR="00730262">
              <w:t>for which</w:t>
            </w:r>
            <w:r w:rsidR="00730262" w:rsidRPr="005E340A">
              <w:t xml:space="preserve"> </w:t>
            </w:r>
            <w:r w:rsidRPr="005E340A">
              <w:t xml:space="preserve">complete information </w:t>
            </w:r>
            <w:r w:rsidR="00730262">
              <w:t xml:space="preserve">is not </w:t>
            </w:r>
            <w:r w:rsidRPr="005E340A">
              <w:t xml:space="preserve">available are </w:t>
            </w:r>
            <w:r w:rsidR="00730262">
              <w:t>ex</w:t>
            </w:r>
            <w:r w:rsidRPr="005E340A">
              <w:t xml:space="preserve">cluded </w:t>
            </w:r>
            <w:r w:rsidR="00730262">
              <w:t xml:space="preserve">from </w:t>
            </w:r>
            <w:r w:rsidR="000C7B80">
              <w:t>data for this indicator</w:t>
            </w:r>
            <w:r w:rsidRPr="005E340A">
              <w:t>.</w:t>
            </w:r>
          </w:p>
          <w:p w:rsidR="00BF6E24" w:rsidRPr="005E340A" w:rsidRDefault="00BF6E24" w:rsidP="00746E44">
            <w:pPr>
              <w:pStyle w:val="Box"/>
            </w:pPr>
            <w:r w:rsidRPr="005E340A">
              <w:t>Low or decreasing proportions of households in social housing living in overcrowded conditions is desirable.</w:t>
            </w:r>
          </w:p>
          <w:p w:rsidR="00BF6E24" w:rsidRPr="005E340A" w:rsidRDefault="00BF6E24" w:rsidP="00746E44">
            <w:pPr>
              <w:pStyle w:val="Box"/>
            </w:pPr>
            <w:r w:rsidRPr="005E340A">
              <w:t xml:space="preserve">Data for this indicator are reported for public housing, </w:t>
            </w:r>
            <w:proofErr w:type="spellStart"/>
            <w:r w:rsidRPr="005E340A">
              <w:t>SOMIH</w:t>
            </w:r>
            <w:proofErr w:type="spellEnd"/>
            <w:r w:rsidRPr="005E340A">
              <w:t xml:space="preserve">, community housing and </w:t>
            </w:r>
            <w:proofErr w:type="spellStart"/>
            <w:r w:rsidRPr="005E340A">
              <w:t>ICH</w:t>
            </w:r>
            <w:proofErr w:type="spellEnd"/>
            <w:r w:rsidR="000C7B80">
              <w:t xml:space="preserve"> and are:</w:t>
            </w:r>
          </w:p>
          <w:p w:rsidR="00BF6E24" w:rsidRPr="005E340A" w:rsidRDefault="00BF6E24" w:rsidP="00746E44">
            <w:pPr>
              <w:pStyle w:val="BoxListBullet"/>
            </w:pPr>
            <w:r w:rsidRPr="005E340A">
              <w:t xml:space="preserve">comparable (subject to caveats) across jurisdictions </w:t>
            </w:r>
            <w:r w:rsidR="00B72B59">
              <w:t xml:space="preserve">for </w:t>
            </w:r>
            <w:r w:rsidR="00B72B59" w:rsidRPr="005E340A">
              <w:t>public housing</w:t>
            </w:r>
            <w:r w:rsidR="00B72B59">
              <w:t xml:space="preserve"> and</w:t>
            </w:r>
            <w:r w:rsidR="00B72B59" w:rsidRPr="005E340A">
              <w:t xml:space="preserve"> </w:t>
            </w:r>
            <w:r w:rsidR="00B72B59">
              <w:t xml:space="preserve">for </w:t>
            </w:r>
            <w:proofErr w:type="spellStart"/>
            <w:r w:rsidR="00B72B59" w:rsidRPr="005E340A">
              <w:t>SOMIH</w:t>
            </w:r>
            <w:proofErr w:type="spellEnd"/>
          </w:p>
          <w:p w:rsidR="00BF6E24" w:rsidRPr="005E340A" w:rsidRDefault="00BF6E24" w:rsidP="00746E44">
            <w:pPr>
              <w:pStyle w:val="BoxListBullet"/>
            </w:pPr>
            <w:r w:rsidRPr="005E340A">
              <w:t xml:space="preserve">not comparable across public housing, </w:t>
            </w:r>
            <w:proofErr w:type="spellStart"/>
            <w:r w:rsidRPr="005E340A">
              <w:t>SOMIH</w:t>
            </w:r>
            <w:proofErr w:type="spellEnd"/>
            <w:r w:rsidRPr="005E340A">
              <w:t xml:space="preserve">, community housing and </w:t>
            </w:r>
            <w:proofErr w:type="spellStart"/>
            <w:r w:rsidRPr="005E340A">
              <w:t>ICH</w:t>
            </w:r>
            <w:proofErr w:type="spellEnd"/>
          </w:p>
          <w:p w:rsidR="00BF6E24" w:rsidRPr="005E340A" w:rsidRDefault="00BF6E24" w:rsidP="00746E44">
            <w:pPr>
              <w:pStyle w:val="BoxListBullet"/>
            </w:pPr>
            <w:r w:rsidRPr="005E340A">
              <w:t xml:space="preserve">complete for public housing and </w:t>
            </w:r>
            <w:proofErr w:type="spellStart"/>
            <w:r w:rsidRPr="005E340A">
              <w:t>SOMIH</w:t>
            </w:r>
            <w:proofErr w:type="spellEnd"/>
            <w:r w:rsidRPr="005E340A">
              <w:t xml:space="preserve"> for the current reporting period (subject to caveats). All required </w:t>
            </w:r>
            <w:r w:rsidR="00703538">
              <w:t>2015</w:t>
            </w:r>
            <w:r w:rsidR="00B93213">
              <w:noBreakHyphen/>
            </w:r>
            <w:r w:rsidR="00703538">
              <w:t>16</w:t>
            </w:r>
            <w:r w:rsidRPr="005E340A">
              <w:t xml:space="preserve"> data are available for all jurisdictions providing the service</w:t>
            </w:r>
          </w:p>
          <w:p w:rsidR="00BF6E24" w:rsidRPr="005E340A" w:rsidRDefault="00BF6E24" w:rsidP="00746E44">
            <w:pPr>
              <w:pStyle w:val="BoxListBullet"/>
            </w:pPr>
            <w:r w:rsidRPr="005E340A">
              <w:t>not comparable across jurisdictions and incomplete for:</w:t>
            </w:r>
          </w:p>
          <w:p w:rsidR="00BF6E24" w:rsidRPr="005E340A" w:rsidRDefault="00BF6E24" w:rsidP="00746E44">
            <w:pPr>
              <w:pStyle w:val="BoxListBullet2"/>
            </w:pPr>
            <w:r w:rsidRPr="005E340A">
              <w:t>community housing (all required</w:t>
            </w:r>
            <w:r w:rsidR="00E27379">
              <w:t xml:space="preserve"> 2015</w:t>
            </w:r>
            <w:r w:rsidR="00B93213">
              <w:noBreakHyphen/>
            </w:r>
            <w:r w:rsidR="00E27379">
              <w:t>16</w:t>
            </w:r>
            <w:r w:rsidRPr="005E340A">
              <w:t xml:space="preserve"> data were not </w:t>
            </w:r>
            <w:r w:rsidRPr="00A17C2C">
              <w:t>available for the NT</w:t>
            </w:r>
            <w:r w:rsidRPr="005E340A">
              <w:t>)</w:t>
            </w:r>
          </w:p>
          <w:p w:rsidR="00BF6E24" w:rsidRPr="005E340A" w:rsidRDefault="00BF6E24" w:rsidP="00E27379">
            <w:pPr>
              <w:pStyle w:val="BoxListBullet2"/>
            </w:pPr>
            <w:proofErr w:type="spellStart"/>
            <w:r w:rsidRPr="005E340A">
              <w:t>ICH</w:t>
            </w:r>
            <w:proofErr w:type="spellEnd"/>
            <w:r w:rsidRPr="005E340A">
              <w:t xml:space="preserve"> (all required</w:t>
            </w:r>
            <w:r w:rsidR="00E27379">
              <w:t xml:space="preserve"> 2015</w:t>
            </w:r>
            <w:r w:rsidRPr="005E340A">
              <w:t xml:space="preserve"> data were not available</w:t>
            </w:r>
            <w:r w:rsidR="007D1076">
              <w:t xml:space="preserve"> for NSW, Tasmania and the NT).</w:t>
            </w:r>
          </w:p>
        </w:tc>
      </w:tr>
      <w:tr w:rsidR="00BF6E24" w:rsidTr="00746E44">
        <w:trPr>
          <w:cantSplit/>
        </w:trPr>
        <w:tc>
          <w:tcPr>
            <w:tcW w:w="5000" w:type="pct"/>
            <w:tcBorders>
              <w:top w:val="nil"/>
              <w:left w:val="nil"/>
              <w:bottom w:val="single" w:sz="6" w:space="0" w:color="78A22F"/>
              <w:right w:val="nil"/>
            </w:tcBorders>
            <w:shd w:val="clear" w:color="auto" w:fill="F2F2F2" w:themeFill="background1" w:themeFillShade="F2"/>
          </w:tcPr>
          <w:p w:rsidR="00BF6E24" w:rsidRDefault="00BF6E24" w:rsidP="00746E44">
            <w:pPr>
              <w:pStyle w:val="Box"/>
              <w:spacing w:before="0" w:line="120" w:lineRule="exact"/>
            </w:pPr>
          </w:p>
        </w:tc>
      </w:tr>
      <w:tr w:rsidR="00BF6E24" w:rsidRPr="000863A5" w:rsidTr="00746E44">
        <w:tc>
          <w:tcPr>
            <w:tcW w:w="5000" w:type="pct"/>
            <w:tcBorders>
              <w:top w:val="single" w:sz="6" w:space="0" w:color="78A22F"/>
              <w:left w:val="nil"/>
              <w:bottom w:val="nil"/>
              <w:right w:val="nil"/>
            </w:tcBorders>
          </w:tcPr>
          <w:p w:rsidR="00BF6E24" w:rsidRPr="00626D32" w:rsidRDefault="00BF6E24" w:rsidP="00746E44">
            <w:pPr>
              <w:pStyle w:val="BoxSpaceBelow"/>
            </w:pPr>
          </w:p>
        </w:tc>
      </w:tr>
    </w:tbl>
    <w:p w:rsidR="001F3404" w:rsidRPr="001C641C" w:rsidRDefault="00BF6E24" w:rsidP="00BF6E24">
      <w:pPr>
        <w:pStyle w:val="BodyText"/>
        <w:spacing w:after="240"/>
      </w:pPr>
      <w:r w:rsidRPr="00DA73E5">
        <w:t xml:space="preserve">The proportion of overcrowded households </w:t>
      </w:r>
      <w:r>
        <w:t>varied</w:t>
      </w:r>
      <w:r w:rsidRPr="00DA73E5">
        <w:t xml:space="preserve"> across </w:t>
      </w:r>
      <w:r w:rsidRPr="001C641C">
        <w:t>social housing programs and across jurisdictions. At 30 June</w:t>
      </w:r>
      <w:r w:rsidR="001F3404" w:rsidRPr="001C641C">
        <w:t xml:space="preserve"> 2016:</w:t>
      </w:r>
    </w:p>
    <w:p w:rsidR="001F3404" w:rsidRPr="001C641C" w:rsidRDefault="001F3404" w:rsidP="001F3404">
      <w:pPr>
        <w:pStyle w:val="ListBullet"/>
        <w:rPr>
          <w:b/>
          <w:u w:val="dotted"/>
        </w:rPr>
      </w:pPr>
      <w:r w:rsidRPr="001C641C">
        <w:t>4.2</w:t>
      </w:r>
      <w:r w:rsidR="00BF6E24" w:rsidRPr="001C641C">
        <w:t> per cent of households in public housing were overcrowded</w:t>
      </w:r>
    </w:p>
    <w:p w:rsidR="001F3404" w:rsidRPr="001C641C" w:rsidRDefault="001F3404" w:rsidP="001F3404">
      <w:pPr>
        <w:pStyle w:val="ListBullet"/>
        <w:rPr>
          <w:b/>
          <w:u w:val="dotted"/>
        </w:rPr>
      </w:pPr>
      <w:r w:rsidRPr="001C641C">
        <w:t>8.9 </w:t>
      </w:r>
      <w:r w:rsidR="00BF6E24" w:rsidRPr="001C641C">
        <w:t xml:space="preserve">per cent of </w:t>
      </w:r>
      <w:proofErr w:type="spellStart"/>
      <w:r w:rsidR="00BF6E24" w:rsidRPr="001C641C">
        <w:t>SOMIH</w:t>
      </w:r>
      <w:proofErr w:type="spellEnd"/>
      <w:r w:rsidR="00BF6E24" w:rsidRPr="001C641C">
        <w:t xml:space="preserve"> households were overcrowded </w:t>
      </w:r>
    </w:p>
    <w:p w:rsidR="001F3404" w:rsidRPr="001C641C" w:rsidRDefault="001C641C" w:rsidP="001F3404">
      <w:pPr>
        <w:pStyle w:val="ListBullet"/>
        <w:rPr>
          <w:b/>
          <w:u w:val="dotted"/>
        </w:rPr>
      </w:pPr>
      <w:r w:rsidRPr="00A17C2C">
        <w:t>5.3 </w:t>
      </w:r>
      <w:r w:rsidR="00BF6E24" w:rsidRPr="001C641C">
        <w:t>per cent of households in community housing were overcrowded (figure 18</w:t>
      </w:r>
      <w:r w:rsidR="007C3353" w:rsidRPr="001C641C">
        <w:t>.4</w:t>
      </w:r>
      <w:r w:rsidR="006F7A0C">
        <w:t>).</w:t>
      </w:r>
    </w:p>
    <w:p w:rsidR="000C7B80" w:rsidRDefault="000C7B80" w:rsidP="004C18A5">
      <w:pPr>
        <w:pStyle w:val="BodyText"/>
      </w:pPr>
      <w:r>
        <w:t xml:space="preserve">In recent years, overcrowding rates have decreased for public housing and </w:t>
      </w:r>
      <w:proofErr w:type="spellStart"/>
      <w:r>
        <w:t>SOMIH</w:t>
      </w:r>
      <w:proofErr w:type="spellEnd"/>
      <w:r>
        <w:t>, but increased for community housing (figure</w:t>
      </w:r>
      <w:r w:rsidR="00B93213">
        <w:t> </w:t>
      </w:r>
      <w:r>
        <w:t>18.4).</w:t>
      </w:r>
    </w:p>
    <w:p w:rsidR="00BF6E24" w:rsidRDefault="004C18A5" w:rsidP="004C18A5">
      <w:pPr>
        <w:pStyle w:val="BodyText"/>
      </w:pPr>
      <w:r>
        <w:t xml:space="preserve">Data for overcrowding in </w:t>
      </w:r>
      <w:r w:rsidRPr="004C18A5">
        <w:t>I</w:t>
      </w:r>
      <w:r>
        <w:t>ndigenous community housing</w:t>
      </w:r>
      <w:r w:rsidRPr="004C18A5">
        <w:t xml:space="preserve"> are </w:t>
      </w:r>
      <w:r>
        <w:t>presented</w:t>
      </w:r>
      <w:r w:rsidRPr="004C18A5">
        <w:t xml:space="preserve"> in table</w:t>
      </w:r>
      <w:r w:rsidR="00B93213">
        <w:t> </w:t>
      </w:r>
      <w:proofErr w:type="spellStart"/>
      <w:r w:rsidRPr="004C18A5">
        <w:t>18</w:t>
      </w:r>
      <w:r>
        <w:t>A.</w:t>
      </w:r>
      <w:r w:rsidR="00BB41F8">
        <w:t>26</w:t>
      </w:r>
      <w:proofErr w:type="spellEnd"/>
      <w:r w:rsidRPr="004C18A5">
        <w:t>.</w:t>
      </w:r>
    </w:p>
    <w:p w:rsidR="004C18A5" w:rsidRDefault="004C18A5" w:rsidP="00BF6E24">
      <w:pPr>
        <w:pStyle w:val="BoxSpaceAbove"/>
        <w:spacing w:before="240"/>
      </w:pPr>
    </w:p>
    <w:tbl>
      <w:tblPr>
        <w:tblW w:w="4843" w:type="pct"/>
        <w:tblInd w:w="142" w:type="dxa"/>
        <w:shd w:val="clear" w:color="auto" w:fill="FFFFFF" w:themeFill="background1"/>
        <w:tblCellMar>
          <w:left w:w="142" w:type="dxa"/>
          <w:right w:w="142" w:type="dxa"/>
        </w:tblCellMar>
        <w:tblLook w:val="0000" w:firstRow="0" w:lastRow="0" w:firstColumn="0" w:lastColumn="0" w:noHBand="0" w:noVBand="0"/>
      </w:tblPr>
      <w:tblGrid>
        <w:gridCol w:w="8788"/>
      </w:tblGrid>
      <w:tr w:rsidR="00BF6E24" w:rsidTr="00A17C2C">
        <w:tc>
          <w:tcPr>
            <w:tcW w:w="5000" w:type="pct"/>
            <w:tcBorders>
              <w:top w:val="single" w:sz="4" w:space="0" w:color="78A22F"/>
            </w:tcBorders>
            <w:shd w:val="clear" w:color="auto" w:fill="FFFFFF" w:themeFill="background1"/>
          </w:tcPr>
          <w:p w:rsidR="00BF6E24" w:rsidRPr="00E62304" w:rsidRDefault="007C3353" w:rsidP="007C3353">
            <w:pPr>
              <w:pStyle w:val="FigureTitle"/>
            </w:pPr>
            <w:r w:rsidRPr="00FD1E41">
              <w:rPr>
                <w:b w:val="0"/>
              </w:rPr>
              <w:t xml:space="preserve">Figure </w:t>
            </w:r>
            <w:r>
              <w:rPr>
                <w:b w:val="0"/>
              </w:rPr>
              <w:t>18</w:t>
            </w:r>
            <w:r w:rsidRPr="00FD1E41">
              <w:rPr>
                <w:b w:val="0"/>
              </w:rPr>
              <w:t>.</w:t>
            </w:r>
            <w:r>
              <w:rPr>
                <w:b w:val="0"/>
              </w:rPr>
              <w:t>4</w:t>
            </w:r>
            <w:r w:rsidR="00BF6E24" w:rsidRPr="00E62304">
              <w:tab/>
              <w:t>Overcrowded households, at 30 June</w:t>
            </w:r>
            <w:r w:rsidR="00BF6E24" w:rsidRPr="00E62304">
              <w:rPr>
                <w:rStyle w:val="NoteLabel"/>
                <w:b/>
              </w:rPr>
              <w:t>a</w:t>
            </w:r>
          </w:p>
        </w:tc>
      </w:tr>
      <w:tr w:rsidR="00BF6E24" w:rsidTr="00A17C2C">
        <w:tblPrEx>
          <w:tblCellMar>
            <w:left w:w="108" w:type="dxa"/>
            <w:right w:w="108" w:type="dxa"/>
          </w:tblCellMar>
        </w:tblPrEx>
        <w:tc>
          <w:tcPr>
            <w:tcW w:w="5000" w:type="pct"/>
            <w:shd w:val="clear" w:color="auto" w:fill="FFFFFF" w:themeFill="background1"/>
          </w:tcPr>
          <w:p w:rsidR="00CD5325" w:rsidRDefault="00CD5325" w:rsidP="00CD5325">
            <w:pPr>
              <w:pStyle w:val="Figure"/>
              <w:rPr>
                <w:noProof/>
              </w:rPr>
            </w:pPr>
            <w:r w:rsidRPr="00962A05">
              <w:rPr>
                <w:rFonts w:ascii="Arial" w:hAnsi="Arial" w:cs="Arial"/>
                <w:b/>
                <w:sz w:val="20"/>
              </w:rPr>
              <w:t>Public housing</w:t>
            </w:r>
          </w:p>
          <w:p w:rsidR="003D3803" w:rsidRDefault="004C7DE1" w:rsidP="000B68FD">
            <w:pPr>
              <w:pStyle w:val="Figure"/>
              <w:jc w:val="left"/>
              <w:rPr>
                <w:noProof/>
              </w:rPr>
            </w:pPr>
            <w:r>
              <w:rPr>
                <w:noProof/>
              </w:rPr>
              <w:drawing>
                <wp:inline distT="0" distB="0" distL="0" distR="0" wp14:anchorId="353C3A44" wp14:editId="62941F17">
                  <wp:extent cx="5401310" cy="1767840"/>
                  <wp:effectExtent l="0" t="0" r="8890" b="3810"/>
                  <wp:docPr id="23" name="Picture 23" descr="Figure 18.4 Overcrowded households at 30 June, 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1310" cy="1767840"/>
                          </a:xfrm>
                          <a:prstGeom prst="rect">
                            <a:avLst/>
                          </a:prstGeom>
                          <a:noFill/>
                        </pic:spPr>
                      </pic:pic>
                    </a:graphicData>
                  </a:graphic>
                </wp:inline>
              </w:drawing>
            </w:r>
          </w:p>
          <w:p w:rsidR="00CD5325" w:rsidRDefault="00CD5325" w:rsidP="00CD5325">
            <w:pPr>
              <w:pStyle w:val="Figure"/>
              <w:rPr>
                <w:rFonts w:ascii="Arial" w:hAnsi="Arial" w:cs="Arial"/>
                <w:b/>
                <w:sz w:val="20"/>
              </w:rPr>
            </w:pPr>
            <w:proofErr w:type="spellStart"/>
            <w:r>
              <w:rPr>
                <w:rFonts w:ascii="Arial" w:hAnsi="Arial" w:cs="Arial"/>
                <w:b/>
                <w:sz w:val="20"/>
              </w:rPr>
              <w:t>SOMIH</w:t>
            </w:r>
            <w:proofErr w:type="spellEnd"/>
          </w:p>
          <w:p w:rsidR="00CD5325" w:rsidRDefault="00007A51" w:rsidP="00CD5325">
            <w:pPr>
              <w:pStyle w:val="Figure"/>
              <w:rPr>
                <w:noProof/>
              </w:rPr>
            </w:pPr>
            <w:r>
              <w:rPr>
                <w:noProof/>
              </w:rPr>
              <w:drawing>
                <wp:inline distT="0" distB="0" distL="0" distR="0" wp14:anchorId="67798DC5" wp14:editId="3D40A54B">
                  <wp:extent cx="5431790" cy="1779905"/>
                  <wp:effectExtent l="0" t="0" r="0" b="0"/>
                  <wp:docPr id="7" name="Picture 7" descr="Figure 18.4 Overcrowded households at 30 June,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31790" cy="1779905"/>
                          </a:xfrm>
                          <a:prstGeom prst="rect">
                            <a:avLst/>
                          </a:prstGeom>
                          <a:noFill/>
                        </pic:spPr>
                      </pic:pic>
                    </a:graphicData>
                  </a:graphic>
                </wp:inline>
              </w:drawing>
            </w:r>
            <w:r w:rsidR="00622B8D">
              <w:rPr>
                <w:noProof/>
              </w:rPr>
              <w:drawing>
                <wp:inline distT="0" distB="0" distL="0" distR="0" wp14:anchorId="74120935" wp14:editId="72F823B9">
                  <wp:extent cx="5401310" cy="1762125"/>
                  <wp:effectExtent l="0" t="0" r="8890" b="9525"/>
                  <wp:docPr id="2" name="Picture 2" descr="Figure 18.4 Overcrowded households at 30 June, 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1310" cy="1762125"/>
                          </a:xfrm>
                          <a:prstGeom prst="rect">
                            <a:avLst/>
                          </a:prstGeom>
                          <a:noFill/>
                        </pic:spPr>
                      </pic:pic>
                    </a:graphicData>
                  </a:graphic>
                </wp:inline>
              </w:drawing>
            </w:r>
            <w:r w:rsidR="002E3AFC">
              <w:rPr>
                <w:noProof/>
              </w:rPr>
              <w:t xml:space="preserve"> </w:t>
            </w:r>
          </w:p>
          <w:p w:rsidR="004C7DE1" w:rsidRPr="00E62304" w:rsidRDefault="004C7DE1" w:rsidP="000B68FD">
            <w:pPr>
              <w:pStyle w:val="Figure"/>
              <w:jc w:val="left"/>
            </w:pPr>
            <w:r>
              <w:rPr>
                <w:noProof/>
              </w:rPr>
              <w:drawing>
                <wp:inline distT="0" distB="0" distL="0" distR="0" wp14:anchorId="347F5895" wp14:editId="14762705">
                  <wp:extent cx="5401524" cy="196850"/>
                  <wp:effectExtent l="0" t="0" r="8890" b="0"/>
                  <wp:docPr id="9" name="Picture 8" descr="Figure 18.4 Overcrowded households at 30 June. Text references reporting years for figure and notes that 2016 is current year and 2012 to 2015 are historic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rotWithShape="1">
                          <a:blip r:embed="rId20"/>
                          <a:srcRect t="90285" b="2889"/>
                          <a:stretch/>
                        </pic:blipFill>
                        <pic:spPr>
                          <a:xfrm>
                            <a:off x="0" y="0"/>
                            <a:ext cx="5401524" cy="196850"/>
                          </a:xfrm>
                          <a:prstGeom prst="rect">
                            <a:avLst/>
                          </a:prstGeom>
                        </pic:spPr>
                      </pic:pic>
                    </a:graphicData>
                  </a:graphic>
                </wp:inline>
              </w:drawing>
            </w:r>
          </w:p>
        </w:tc>
      </w:tr>
      <w:tr w:rsidR="00BF6E24" w:rsidRPr="00176D3F" w:rsidTr="00746E44">
        <w:tc>
          <w:tcPr>
            <w:tcW w:w="5000" w:type="pct"/>
            <w:shd w:val="clear" w:color="auto" w:fill="FFFFFF" w:themeFill="background1"/>
          </w:tcPr>
          <w:p w:rsidR="00BF6E24" w:rsidRPr="00E02C3B" w:rsidRDefault="00BF6E24" w:rsidP="000650F5">
            <w:pPr>
              <w:pStyle w:val="Note"/>
              <w:rPr>
                <w:b/>
              </w:rPr>
            </w:pPr>
            <w:r w:rsidRPr="00E62304">
              <w:rPr>
                <w:rStyle w:val="NoteLabel"/>
              </w:rPr>
              <w:t>a</w:t>
            </w:r>
            <w:r w:rsidRPr="00E62304">
              <w:t xml:space="preserve"> See box</w:t>
            </w:r>
            <w:r>
              <w:t> </w:t>
            </w:r>
            <w:r w:rsidRPr="00E62304">
              <w:t>1</w:t>
            </w:r>
            <w:r>
              <w:t>8</w:t>
            </w:r>
            <w:r w:rsidR="00790CB2">
              <w:t>.8</w:t>
            </w:r>
            <w:r w:rsidRPr="00E62304">
              <w:t xml:space="preserve"> and tables</w:t>
            </w:r>
            <w:r>
              <w:t> </w:t>
            </w:r>
            <w:proofErr w:type="spellStart"/>
            <w:r w:rsidR="003B2986">
              <w:t>18A.23</w:t>
            </w:r>
            <w:proofErr w:type="spellEnd"/>
            <w:r w:rsidRPr="00E62304">
              <w:t>–</w:t>
            </w:r>
            <w:r w:rsidR="003B2986">
              <w:t>25</w:t>
            </w:r>
            <w:r w:rsidRPr="00E62304">
              <w:t xml:space="preserve"> for detailed definitions, footnotes and caveats.</w:t>
            </w:r>
            <w:r>
              <w:rPr>
                <w:rStyle w:val="NoteLabel"/>
              </w:rPr>
              <w:t xml:space="preserve"> b</w:t>
            </w:r>
            <w:r w:rsidR="00C80198">
              <w:rPr>
                <w:rStyle w:val="NoteLabel"/>
              </w:rPr>
              <w:t> </w:t>
            </w:r>
            <w:r>
              <w:t xml:space="preserve">Community housing data </w:t>
            </w:r>
            <w:r w:rsidR="00851E6E">
              <w:t xml:space="preserve">are </w:t>
            </w:r>
            <w:r w:rsidR="00851E6E" w:rsidRPr="00A17C2C">
              <w:t xml:space="preserve">not available </w:t>
            </w:r>
            <w:r w:rsidRPr="00A17C2C">
              <w:t xml:space="preserve">for </w:t>
            </w:r>
            <w:r w:rsidR="003E3BF2" w:rsidRPr="00A17C2C">
              <w:t>the NT for 2016, and for Queensland and the NT for 2015 and previous years. National totals include all available data for each year</w:t>
            </w:r>
            <w:r w:rsidRPr="00A17C2C">
              <w:t>.</w:t>
            </w:r>
          </w:p>
        </w:tc>
      </w:tr>
      <w:tr w:rsidR="00BF6E24" w:rsidRPr="00176D3F" w:rsidTr="00746E44">
        <w:tc>
          <w:tcPr>
            <w:tcW w:w="5000" w:type="pct"/>
            <w:shd w:val="clear" w:color="auto" w:fill="FFFFFF" w:themeFill="background1"/>
          </w:tcPr>
          <w:p w:rsidR="00BF6E24" w:rsidRPr="00E62304" w:rsidRDefault="00BF6E24" w:rsidP="000650F5">
            <w:pPr>
              <w:pStyle w:val="Source"/>
            </w:pPr>
            <w:r w:rsidRPr="00E62304">
              <w:rPr>
                <w:i/>
              </w:rPr>
              <w:t>Source</w:t>
            </w:r>
            <w:r w:rsidRPr="00E62304">
              <w:t xml:space="preserve">: </w:t>
            </w:r>
            <w:proofErr w:type="spellStart"/>
            <w:r w:rsidRPr="00E62304">
              <w:t>AIHW</w:t>
            </w:r>
            <w:proofErr w:type="spellEnd"/>
            <w:r w:rsidRPr="00E62304">
              <w:t xml:space="preserve"> (unpublished) </w:t>
            </w:r>
            <w:r w:rsidRPr="00A11155">
              <w:t>National Housing Assistance Data Repository</w:t>
            </w:r>
            <w:r w:rsidRPr="00E62304">
              <w:rPr>
                <w:i/>
              </w:rPr>
              <w:t xml:space="preserve">; </w:t>
            </w:r>
            <w:r w:rsidRPr="00E62304">
              <w:t>tables</w:t>
            </w:r>
            <w:r>
              <w:t> </w:t>
            </w:r>
            <w:proofErr w:type="spellStart"/>
            <w:r w:rsidR="003B2986">
              <w:t>18A.23</w:t>
            </w:r>
            <w:proofErr w:type="spellEnd"/>
            <w:r w:rsidRPr="00E62304">
              <w:t>–</w:t>
            </w:r>
            <w:r w:rsidR="003B2986">
              <w:t>25</w:t>
            </w:r>
            <w:r w:rsidRPr="00E62304">
              <w:t>.</w:t>
            </w:r>
          </w:p>
        </w:tc>
      </w:tr>
      <w:tr w:rsidR="00BF6E24" w:rsidTr="00746E44">
        <w:tc>
          <w:tcPr>
            <w:tcW w:w="5000" w:type="pct"/>
            <w:tcBorders>
              <w:bottom w:val="single" w:sz="4" w:space="0" w:color="78A22F"/>
            </w:tcBorders>
            <w:shd w:val="clear" w:color="auto" w:fill="FFFFFF" w:themeFill="background1"/>
          </w:tcPr>
          <w:p w:rsidR="00BF6E24" w:rsidRPr="00E62304" w:rsidRDefault="00BF6E24" w:rsidP="00746E44">
            <w:pPr>
              <w:pStyle w:val="Figurespace"/>
            </w:pPr>
          </w:p>
        </w:tc>
      </w:tr>
      <w:tr w:rsidR="00BF6E24" w:rsidRPr="000863A5" w:rsidTr="00746E44">
        <w:tc>
          <w:tcPr>
            <w:tcW w:w="5000" w:type="pct"/>
            <w:tcBorders>
              <w:top w:val="single" w:sz="4" w:space="0" w:color="78A22F"/>
            </w:tcBorders>
            <w:shd w:val="clear" w:color="auto" w:fill="FFFFFF" w:themeFill="background1"/>
          </w:tcPr>
          <w:p w:rsidR="00BF6E24" w:rsidRPr="00E62304" w:rsidRDefault="00BF6E24" w:rsidP="00746E44">
            <w:pPr>
              <w:pStyle w:val="BoxSpaceBelow"/>
            </w:pPr>
          </w:p>
        </w:tc>
      </w:tr>
    </w:tbl>
    <w:p w:rsidR="00BF6E24" w:rsidRPr="00DA73E5" w:rsidRDefault="00BF6E24" w:rsidP="00BF6E24">
      <w:pPr>
        <w:pStyle w:val="BodyText"/>
        <w:spacing w:after="240"/>
      </w:pPr>
      <w:r>
        <w:t>Overcrowding</w:t>
      </w:r>
      <w:r w:rsidR="00872181">
        <w:t xml:space="preserve"> data </w:t>
      </w:r>
      <w:r w:rsidR="00CD0249">
        <w:t xml:space="preserve">for Aboriginal and Torres Strait Islander households </w:t>
      </w:r>
      <w:r>
        <w:t xml:space="preserve">in public housing and </w:t>
      </w:r>
      <w:proofErr w:type="spellStart"/>
      <w:r>
        <w:t>SOMIH</w:t>
      </w:r>
      <w:proofErr w:type="spellEnd"/>
      <w:r>
        <w:t>, disaggregated by remoteness</w:t>
      </w:r>
      <w:r w:rsidR="00D55ED6">
        <w:t>,</w:t>
      </w:r>
      <w:r>
        <w:t xml:space="preserve"> are presented in </w:t>
      </w:r>
      <w:r w:rsidRPr="00DA73E5">
        <w:t>table</w:t>
      </w:r>
      <w:r>
        <w:t>s </w:t>
      </w:r>
      <w:proofErr w:type="spellStart"/>
      <w:r w:rsidR="003B2986">
        <w:t>18A.27</w:t>
      </w:r>
      <w:proofErr w:type="spellEnd"/>
      <w:r w:rsidR="00855E3D">
        <w:t>–</w:t>
      </w:r>
      <w:r w:rsidR="003B2986">
        <w:t>28</w:t>
      </w:r>
      <w:r>
        <w:t xml:space="preserve">. </w:t>
      </w:r>
      <w:r w:rsidR="00BE66A8">
        <w:t>Data for</w:t>
      </w:r>
      <w:r>
        <w:t xml:space="preserve"> underutilisation in public housing, </w:t>
      </w:r>
      <w:proofErr w:type="spellStart"/>
      <w:r>
        <w:t>SOMIH</w:t>
      </w:r>
      <w:proofErr w:type="spellEnd"/>
      <w:r>
        <w:t xml:space="preserve"> and community housing dwellings </w:t>
      </w:r>
      <w:r w:rsidR="00BE66A8">
        <w:t xml:space="preserve">are </w:t>
      </w:r>
      <w:r>
        <w:t>reported in table</w:t>
      </w:r>
      <w:r w:rsidR="00B93213">
        <w:t> </w:t>
      </w:r>
      <w:proofErr w:type="spellStart"/>
      <w:r w:rsidR="003B2986">
        <w:t>18A.29</w:t>
      </w:r>
      <w:proofErr w:type="spellEnd"/>
      <w:r w:rsidRPr="007323F3">
        <w:t>.</w:t>
      </w:r>
    </w:p>
    <w:p w:rsidR="00BF6E24" w:rsidRPr="00E66BE3" w:rsidRDefault="00BF6E24" w:rsidP="00BF6E24">
      <w:pPr>
        <w:pStyle w:val="Heading4"/>
      </w:pPr>
      <w:r>
        <w:lastRenderedPageBreak/>
        <w:t xml:space="preserve">Appropriateness — </w:t>
      </w:r>
      <w:r w:rsidRPr="00E66BE3">
        <w:t>Amenity/location</w:t>
      </w:r>
    </w:p>
    <w:p w:rsidR="00BF6E24" w:rsidRDefault="00BF6E24" w:rsidP="00BF6E24">
      <w:pPr>
        <w:pStyle w:val="BodyText"/>
        <w:spacing w:after="240"/>
      </w:pPr>
      <w:r>
        <w:t xml:space="preserve">‘Amenity/location’ is an indicator of governments’ objective to provide </w:t>
      </w:r>
      <w:r w:rsidR="00250E4E">
        <w:t xml:space="preserve">social </w:t>
      </w:r>
      <w:r>
        <w:t>housing that is appropriate</w:t>
      </w:r>
      <w:r w:rsidR="00250E4E">
        <w:t xml:space="preserve">, </w:t>
      </w:r>
      <w:r w:rsidR="00250E4E" w:rsidRPr="00250E4E">
        <w:t xml:space="preserve">meeting </w:t>
      </w:r>
      <w:r>
        <w:t xml:space="preserve">the needs of </w:t>
      </w:r>
      <w:r w:rsidR="00250E4E" w:rsidRPr="00250E4E">
        <w:t xml:space="preserve">individual </w:t>
      </w:r>
      <w:r w:rsidR="00790CB2">
        <w:t>households (box 18.9</w:t>
      </w:r>
      <w:r>
        <w:t>).</w:t>
      </w:r>
    </w:p>
    <w:p w:rsidR="00BF6E24" w:rsidRDefault="00BF6E24" w:rsidP="00BF6E2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BF6E24" w:rsidTr="00746E44">
        <w:tc>
          <w:tcPr>
            <w:tcW w:w="5000" w:type="pct"/>
            <w:tcBorders>
              <w:top w:val="single" w:sz="6" w:space="0" w:color="78A22F"/>
              <w:left w:val="nil"/>
              <w:bottom w:val="nil"/>
              <w:right w:val="nil"/>
            </w:tcBorders>
            <w:shd w:val="clear" w:color="auto" w:fill="F2F2F2" w:themeFill="background1" w:themeFillShade="F2"/>
          </w:tcPr>
          <w:p w:rsidR="00BF6E24" w:rsidRDefault="00790CB2" w:rsidP="00790CB2">
            <w:pPr>
              <w:pStyle w:val="BoxTitle"/>
            </w:pPr>
            <w:r>
              <w:rPr>
                <w:b w:val="0"/>
              </w:rPr>
              <w:t>Box 18.</w:t>
            </w:r>
            <w:r w:rsidR="00892185">
              <w:rPr>
                <w:b w:val="0"/>
                <w:noProof/>
              </w:rPr>
              <w:t>9</w:t>
            </w:r>
            <w:r w:rsidR="00BF6E24">
              <w:tab/>
            </w:r>
            <w:r w:rsidR="00BF6E24" w:rsidRPr="00E66BE3">
              <w:t>Amenity/location</w:t>
            </w:r>
          </w:p>
        </w:tc>
      </w:tr>
      <w:tr w:rsidR="00BF6E24" w:rsidTr="00746E44">
        <w:trPr>
          <w:cantSplit/>
        </w:trPr>
        <w:tc>
          <w:tcPr>
            <w:tcW w:w="5000" w:type="pct"/>
            <w:tcBorders>
              <w:top w:val="nil"/>
              <w:left w:val="nil"/>
              <w:bottom w:val="nil"/>
              <w:right w:val="nil"/>
            </w:tcBorders>
            <w:shd w:val="clear" w:color="auto" w:fill="F2F2F2" w:themeFill="background1" w:themeFillShade="F2"/>
          </w:tcPr>
          <w:p w:rsidR="00F02A46" w:rsidRDefault="00BF6E24" w:rsidP="00746E44">
            <w:pPr>
              <w:pStyle w:val="Box"/>
            </w:pPr>
            <w:r w:rsidRPr="00E66BE3">
              <w:t xml:space="preserve">‘Amenity/location’ is defined as the proportion of </w:t>
            </w:r>
            <w:r w:rsidR="003815A7">
              <w:t>those households that rate particular aspects of amenity and location as important to their needs, who are in dwellings that meet those needs</w:t>
            </w:r>
            <w:r w:rsidRPr="00E66BE3">
              <w:t>.</w:t>
            </w:r>
          </w:p>
          <w:p w:rsidR="00BF6E24" w:rsidRPr="00E66BE3" w:rsidRDefault="00BF6E24" w:rsidP="00746E44">
            <w:pPr>
              <w:pStyle w:val="Box"/>
            </w:pPr>
            <w:r>
              <w:t xml:space="preserve">‘Amenity’ aspects include size of dwelling, modifications for special needs, ease of access and entry, car parking, yard space and fencing, privacy of home, safety/security of home and safety/security of neighbourhood. ‘Location’ aspects </w:t>
            </w:r>
            <w:r w:rsidR="003815A7">
              <w:t xml:space="preserve">include proximity to </w:t>
            </w:r>
            <w:r>
              <w:t>facilities and services</w:t>
            </w:r>
            <w:r w:rsidR="00B70742">
              <w:t xml:space="preserve"> </w:t>
            </w:r>
            <w:r w:rsidR="00DD744E">
              <w:t>such as</w:t>
            </w:r>
            <w:r>
              <w:t>: shops and banking, public transport, parks and recreational facilities, emergency services medical services and hospitals, child care facilities, education/training facilities, employment/place of work, community and support services, family and friends.</w:t>
            </w:r>
          </w:p>
          <w:p w:rsidR="00BF6E24" w:rsidRPr="00E66BE3" w:rsidRDefault="00BF6E24" w:rsidP="00746E44">
            <w:pPr>
              <w:pStyle w:val="Box"/>
            </w:pPr>
            <w:r w:rsidRPr="00E66BE3">
              <w:t xml:space="preserve">A high or increasing level of satisfaction with amenity and location suggests that the provision of housing assistance </w:t>
            </w:r>
            <w:r w:rsidR="00F02A46">
              <w:t>meets</w:t>
            </w:r>
            <w:r w:rsidR="00F02A46" w:rsidRPr="00E66BE3">
              <w:t xml:space="preserve"> </w:t>
            </w:r>
            <w:r w:rsidRPr="00E66BE3">
              <w:t>household needs.</w:t>
            </w:r>
          </w:p>
          <w:p w:rsidR="00BF6E24" w:rsidRPr="00E66BE3" w:rsidRDefault="00BF6E24" w:rsidP="00746E44">
            <w:pPr>
              <w:pStyle w:val="Box"/>
            </w:pPr>
            <w:r w:rsidRPr="00E66BE3">
              <w:t>Data for this indicator are reported for public housing</w:t>
            </w:r>
            <w:r>
              <w:t xml:space="preserve">, </w:t>
            </w:r>
            <w:proofErr w:type="spellStart"/>
            <w:r>
              <w:t>SOMIH</w:t>
            </w:r>
            <w:proofErr w:type="spellEnd"/>
            <w:r>
              <w:t xml:space="preserve"> and community housing</w:t>
            </w:r>
            <w:r w:rsidR="00F7770F">
              <w:t xml:space="preserve"> (</w:t>
            </w:r>
            <w:proofErr w:type="spellStart"/>
            <w:r w:rsidR="00F7770F">
              <w:t>ICH</w:t>
            </w:r>
            <w:proofErr w:type="spellEnd"/>
            <w:r w:rsidR="00F7770F">
              <w:t xml:space="preserve"> data are not available)</w:t>
            </w:r>
            <w:r w:rsidR="00F02A46">
              <w:t xml:space="preserve"> and</w:t>
            </w:r>
            <w:r w:rsidRPr="00E66BE3">
              <w:t xml:space="preserve"> are:</w:t>
            </w:r>
          </w:p>
          <w:p w:rsidR="00BF6E24" w:rsidRPr="00E66BE3" w:rsidRDefault="00BF6E24" w:rsidP="00565BA9">
            <w:pPr>
              <w:pStyle w:val="Box"/>
              <w:numPr>
                <w:ilvl w:val="0"/>
                <w:numId w:val="1"/>
              </w:numPr>
            </w:pPr>
            <w:r w:rsidRPr="00E66BE3">
              <w:t>comparable (subject to caveats) across jurisdictions for the current reporting period</w:t>
            </w:r>
          </w:p>
          <w:p w:rsidR="00BF6E24" w:rsidRPr="00E66BE3" w:rsidRDefault="00BF6E24" w:rsidP="00565BA9">
            <w:pPr>
              <w:pStyle w:val="Box"/>
              <w:numPr>
                <w:ilvl w:val="0"/>
                <w:numId w:val="1"/>
              </w:numPr>
            </w:pPr>
            <w:r w:rsidRPr="00E66BE3">
              <w:t xml:space="preserve">not comparable across public housing, </w:t>
            </w:r>
            <w:proofErr w:type="spellStart"/>
            <w:r w:rsidRPr="00E66BE3">
              <w:t>SOMIH</w:t>
            </w:r>
            <w:proofErr w:type="spellEnd"/>
            <w:r w:rsidRPr="00E66BE3">
              <w:t xml:space="preserve"> and community housing </w:t>
            </w:r>
            <w:r>
              <w:t>due to the different demographic profile of Aboriginal and Torres Strait Islander tenants and the method of data collection</w:t>
            </w:r>
          </w:p>
          <w:p w:rsidR="00BF6E24" w:rsidRPr="00E66BE3" w:rsidRDefault="00BF6E24" w:rsidP="00746E44">
            <w:pPr>
              <w:pStyle w:val="Box"/>
              <w:numPr>
                <w:ilvl w:val="0"/>
                <w:numId w:val="1"/>
              </w:numPr>
            </w:pPr>
            <w:r w:rsidRPr="00E66BE3">
              <w:t xml:space="preserve">complete for public housing and </w:t>
            </w:r>
            <w:proofErr w:type="spellStart"/>
            <w:r w:rsidRPr="00E66BE3">
              <w:t>SOMIH</w:t>
            </w:r>
            <w:proofErr w:type="spellEnd"/>
            <w:r w:rsidRPr="00E66BE3">
              <w:t xml:space="preserve"> for the current reporting period (subject to caveats). All required</w:t>
            </w:r>
            <w:r w:rsidR="00BE66A8">
              <w:t xml:space="preserve"> 2016</w:t>
            </w:r>
            <w:r w:rsidRPr="00E66BE3">
              <w:t xml:space="preserve"> data are available for all jurisdictions providing the service</w:t>
            </w:r>
          </w:p>
          <w:p w:rsidR="00F02A46" w:rsidRPr="00B70742" w:rsidRDefault="00BF6E24" w:rsidP="00F7770F">
            <w:pPr>
              <w:pStyle w:val="BoxListBullet"/>
            </w:pPr>
            <w:r w:rsidRPr="004F30C6">
              <w:t>incomplete</w:t>
            </w:r>
            <w:r w:rsidRPr="00E66BE3">
              <w:t xml:space="preserve"> for community housing. All required</w:t>
            </w:r>
            <w:r w:rsidR="004F30C6">
              <w:t xml:space="preserve"> 2016</w:t>
            </w:r>
            <w:r>
              <w:t xml:space="preserve"> </w:t>
            </w:r>
            <w:r w:rsidRPr="00E66BE3">
              <w:t xml:space="preserve">data were not available for the </w:t>
            </w:r>
            <w:r>
              <w:t>NT.</w:t>
            </w:r>
          </w:p>
        </w:tc>
      </w:tr>
      <w:tr w:rsidR="00BF6E24" w:rsidTr="00746E44">
        <w:trPr>
          <w:cantSplit/>
        </w:trPr>
        <w:tc>
          <w:tcPr>
            <w:tcW w:w="5000" w:type="pct"/>
            <w:tcBorders>
              <w:top w:val="nil"/>
              <w:left w:val="nil"/>
              <w:bottom w:val="single" w:sz="6" w:space="0" w:color="78A22F"/>
              <w:right w:val="nil"/>
            </w:tcBorders>
            <w:shd w:val="clear" w:color="auto" w:fill="F2F2F2" w:themeFill="background1" w:themeFillShade="F2"/>
          </w:tcPr>
          <w:p w:rsidR="00BF6E24" w:rsidRDefault="00BF6E24" w:rsidP="00746E44">
            <w:pPr>
              <w:pStyle w:val="Box"/>
              <w:spacing w:before="0" w:line="120" w:lineRule="exact"/>
            </w:pPr>
          </w:p>
        </w:tc>
      </w:tr>
      <w:tr w:rsidR="00BF6E24" w:rsidRPr="000863A5" w:rsidTr="00746E44">
        <w:tc>
          <w:tcPr>
            <w:tcW w:w="5000" w:type="pct"/>
            <w:tcBorders>
              <w:top w:val="single" w:sz="6" w:space="0" w:color="78A22F"/>
              <w:left w:val="nil"/>
              <w:bottom w:val="nil"/>
              <w:right w:val="nil"/>
            </w:tcBorders>
          </w:tcPr>
          <w:p w:rsidR="00BF6E24" w:rsidRPr="00626D32" w:rsidRDefault="00BF6E24" w:rsidP="00746E44">
            <w:pPr>
              <w:pStyle w:val="BoxSpaceBelow"/>
            </w:pPr>
          </w:p>
        </w:tc>
      </w:tr>
    </w:tbl>
    <w:p w:rsidR="00DC6D6D" w:rsidRDefault="00C70B88" w:rsidP="00DC6D6D">
      <w:pPr>
        <w:pStyle w:val="BodyText"/>
        <w:rPr>
          <w:color w:val="000000" w:themeColor="text1"/>
        </w:rPr>
      </w:pPr>
      <w:r>
        <w:rPr>
          <w:color w:val="000000" w:themeColor="text1"/>
        </w:rPr>
        <w:t>I</w:t>
      </w:r>
      <w:r w:rsidR="00BF6E24">
        <w:rPr>
          <w:color w:val="000000" w:themeColor="text1"/>
        </w:rPr>
        <w:t>n</w:t>
      </w:r>
      <w:r w:rsidR="004F30C6">
        <w:rPr>
          <w:color w:val="000000" w:themeColor="text1"/>
        </w:rPr>
        <w:t xml:space="preserve"> 2016</w:t>
      </w:r>
      <w:r w:rsidR="00BF6E24">
        <w:rPr>
          <w:color w:val="000000" w:themeColor="text1"/>
        </w:rPr>
        <w:t xml:space="preserve">, the majority of </w:t>
      </w:r>
      <w:r>
        <w:rPr>
          <w:color w:val="000000" w:themeColor="text1"/>
        </w:rPr>
        <w:t xml:space="preserve">National Social Housing Survey </w:t>
      </w:r>
      <w:r w:rsidR="00062CBF">
        <w:rPr>
          <w:color w:val="000000" w:themeColor="text1"/>
        </w:rPr>
        <w:t>(</w:t>
      </w:r>
      <w:proofErr w:type="spellStart"/>
      <w:r w:rsidR="00062CBF">
        <w:rPr>
          <w:color w:val="000000" w:themeColor="text1"/>
        </w:rPr>
        <w:t>NSHS</w:t>
      </w:r>
      <w:proofErr w:type="spellEnd"/>
      <w:r w:rsidR="00062CBF">
        <w:rPr>
          <w:color w:val="000000" w:themeColor="text1"/>
        </w:rPr>
        <w:t xml:space="preserve">) </w:t>
      </w:r>
      <w:r w:rsidR="00BF6E24">
        <w:rPr>
          <w:color w:val="000000" w:themeColor="text1"/>
        </w:rPr>
        <w:t xml:space="preserve">respondents </w:t>
      </w:r>
      <w:r w:rsidR="00B049E8">
        <w:rPr>
          <w:color w:val="000000" w:themeColor="text1"/>
        </w:rPr>
        <w:t xml:space="preserve">who </w:t>
      </w:r>
      <w:r w:rsidR="00BF6E24">
        <w:rPr>
          <w:color w:val="000000" w:themeColor="text1"/>
        </w:rPr>
        <w:t xml:space="preserve">indicated that the </w:t>
      </w:r>
      <w:r w:rsidR="00DD744E">
        <w:rPr>
          <w:color w:val="000000" w:themeColor="text1"/>
        </w:rPr>
        <w:t xml:space="preserve">selected </w:t>
      </w:r>
      <w:r w:rsidR="00BF6E24">
        <w:rPr>
          <w:color w:val="000000" w:themeColor="text1"/>
        </w:rPr>
        <w:t>amenity and location aspects of their dwelling were important</w:t>
      </w:r>
      <w:r w:rsidR="00B049E8">
        <w:rPr>
          <w:color w:val="000000" w:themeColor="text1"/>
        </w:rPr>
        <w:t xml:space="preserve"> also indicated</w:t>
      </w:r>
      <w:r w:rsidR="00BF6E24">
        <w:rPr>
          <w:color w:val="000000" w:themeColor="text1"/>
        </w:rPr>
        <w:t xml:space="preserve"> </w:t>
      </w:r>
      <w:r w:rsidR="00BB6DF1">
        <w:rPr>
          <w:color w:val="000000" w:themeColor="text1"/>
        </w:rPr>
        <w:t xml:space="preserve">that </w:t>
      </w:r>
      <w:r w:rsidR="00B049E8">
        <w:rPr>
          <w:color w:val="000000" w:themeColor="text1"/>
        </w:rPr>
        <w:t xml:space="preserve">those aspects met their </w:t>
      </w:r>
      <w:r w:rsidR="00DD744E">
        <w:rPr>
          <w:color w:val="000000" w:themeColor="text1"/>
        </w:rPr>
        <w:t>household</w:t>
      </w:r>
      <w:r w:rsidR="00BB6DF1">
        <w:rPr>
          <w:color w:val="000000" w:themeColor="text1"/>
        </w:rPr>
        <w:t xml:space="preserve">’s </w:t>
      </w:r>
      <w:r w:rsidR="00B049E8">
        <w:rPr>
          <w:color w:val="000000" w:themeColor="text1"/>
        </w:rPr>
        <w:t>needs</w:t>
      </w:r>
      <w:r w:rsidR="00BB6DF1">
        <w:rPr>
          <w:color w:val="000000" w:themeColor="text1"/>
        </w:rPr>
        <w:t>. Averaged across the amenity items and the location items, the proportion responding that their household’s needs were met</w:t>
      </w:r>
      <w:r w:rsidR="00DD744E">
        <w:rPr>
          <w:color w:val="000000" w:themeColor="text1"/>
        </w:rPr>
        <w:t xml:space="preserve"> </w:t>
      </w:r>
      <w:r w:rsidR="00BB6DF1">
        <w:rPr>
          <w:color w:val="000000" w:themeColor="text1"/>
        </w:rPr>
        <w:t>were</w:t>
      </w:r>
      <w:r w:rsidR="002C6C7D">
        <w:rPr>
          <w:color w:val="000000" w:themeColor="text1"/>
        </w:rPr>
        <w:t xml:space="preserve"> for</w:t>
      </w:r>
      <w:r w:rsidR="00BF6E24">
        <w:rPr>
          <w:color w:val="000000" w:themeColor="text1"/>
        </w:rPr>
        <w:t>:</w:t>
      </w:r>
    </w:p>
    <w:p w:rsidR="00BF6E24" w:rsidRDefault="00BF6E24" w:rsidP="00BF6E24">
      <w:pPr>
        <w:pStyle w:val="ListBullet"/>
      </w:pPr>
      <w:r>
        <w:t xml:space="preserve">public housing —  amenity </w:t>
      </w:r>
      <w:r w:rsidRPr="004F30C6">
        <w:t>(8</w:t>
      </w:r>
      <w:r w:rsidR="004F30C6" w:rsidRPr="004F30C6">
        <w:t>2</w:t>
      </w:r>
      <w:r w:rsidRPr="004F30C6">
        <w:t>.</w:t>
      </w:r>
      <w:r w:rsidR="004F30C6" w:rsidRPr="004F30C6">
        <w:t>6</w:t>
      </w:r>
      <w:r w:rsidRPr="004F30C6">
        <w:t xml:space="preserve"> per</w:t>
      </w:r>
      <w:r>
        <w:t xml:space="preserve"> cent) and location </w:t>
      </w:r>
      <w:r w:rsidRPr="004F30C6">
        <w:t>(</w:t>
      </w:r>
      <w:r w:rsidR="004F30C6">
        <w:t xml:space="preserve">89.0 </w:t>
      </w:r>
      <w:r>
        <w:t>per cent)</w:t>
      </w:r>
    </w:p>
    <w:p w:rsidR="00BF6E24" w:rsidRDefault="00BF6E24" w:rsidP="00BF6E24">
      <w:pPr>
        <w:pStyle w:val="ListBullet"/>
      </w:pPr>
      <w:proofErr w:type="spellStart"/>
      <w:r>
        <w:t>SOMIH</w:t>
      </w:r>
      <w:proofErr w:type="spellEnd"/>
      <w:r>
        <w:t xml:space="preserve">  —</w:t>
      </w:r>
      <w:r w:rsidR="002C6C7D">
        <w:t xml:space="preserve"> </w:t>
      </w:r>
      <w:r>
        <w:t>amenity (</w:t>
      </w:r>
      <w:r w:rsidR="004F30C6">
        <w:t>82.9</w:t>
      </w:r>
      <w:r w:rsidR="002C6C7D">
        <w:t> </w:t>
      </w:r>
      <w:r>
        <w:t>per cent) and location (</w:t>
      </w:r>
      <w:r w:rsidR="004F30C6">
        <w:t>90.9 </w:t>
      </w:r>
      <w:r>
        <w:t>per cent)</w:t>
      </w:r>
    </w:p>
    <w:p w:rsidR="00BF6E24" w:rsidRDefault="00BF6E24" w:rsidP="00BF6E24">
      <w:pPr>
        <w:pStyle w:val="ListBullet"/>
      </w:pPr>
      <w:r>
        <w:t>community housing —</w:t>
      </w:r>
      <w:r w:rsidR="002C6C7D">
        <w:t xml:space="preserve"> </w:t>
      </w:r>
      <w:r>
        <w:t>amenity (</w:t>
      </w:r>
      <w:r w:rsidR="004F30C6">
        <w:t>85.8</w:t>
      </w:r>
      <w:r w:rsidR="002C6C7D">
        <w:t> </w:t>
      </w:r>
      <w:r>
        <w:t>per cent) and location (</w:t>
      </w:r>
      <w:r w:rsidR="004F30C6">
        <w:t>90.2 </w:t>
      </w:r>
      <w:r w:rsidR="002C6C7D">
        <w:t>per </w:t>
      </w:r>
      <w:r>
        <w:t>cent) (figure 18.</w:t>
      </w:r>
      <w:r w:rsidR="007C3353">
        <w:t>5</w:t>
      </w:r>
      <w:r>
        <w:t>).</w:t>
      </w:r>
    </w:p>
    <w:p w:rsidR="002C6C7D" w:rsidRDefault="002C6C7D" w:rsidP="00BF6E24">
      <w:pPr>
        <w:pStyle w:val="BodyText"/>
      </w:pPr>
      <w:r>
        <w:t xml:space="preserve">Confidence intervals and relative standard errors should be considered when interpreting </w:t>
      </w:r>
      <w:proofErr w:type="spellStart"/>
      <w:r>
        <w:t>NSHS</w:t>
      </w:r>
      <w:proofErr w:type="spellEnd"/>
      <w:r>
        <w:t xml:space="preserve"> results (tables </w:t>
      </w:r>
      <w:proofErr w:type="spellStart"/>
      <w:r>
        <w:t>18A.30</w:t>
      </w:r>
      <w:proofErr w:type="spellEnd"/>
      <w:r w:rsidRPr="007323F3">
        <w:t>–</w:t>
      </w:r>
      <w:r>
        <w:t>35</w:t>
      </w:r>
      <w:r w:rsidRPr="007323F3">
        <w:t>).</w:t>
      </w:r>
    </w:p>
    <w:p w:rsidR="00BF6E24" w:rsidRDefault="00BF6E24" w:rsidP="00BF6E24">
      <w:pPr>
        <w:pStyle w:val="BodyText"/>
      </w:pPr>
      <w:r w:rsidRPr="004A4D9A">
        <w:rPr>
          <w:color w:val="000000" w:themeColor="text1"/>
        </w:rPr>
        <w:t xml:space="preserve">Data </w:t>
      </w:r>
      <w:r>
        <w:rPr>
          <w:color w:val="000000" w:themeColor="text1"/>
        </w:rPr>
        <w:t xml:space="preserve">for households </w:t>
      </w:r>
      <w:r w:rsidRPr="004A4D9A">
        <w:rPr>
          <w:color w:val="000000" w:themeColor="text1"/>
        </w:rPr>
        <w:t xml:space="preserve">with a member with disability </w:t>
      </w:r>
      <w:r>
        <w:rPr>
          <w:color w:val="000000" w:themeColor="text1"/>
        </w:rPr>
        <w:t xml:space="preserve">are </w:t>
      </w:r>
      <w:r w:rsidRPr="004A4D9A">
        <w:rPr>
          <w:color w:val="000000" w:themeColor="text1"/>
        </w:rPr>
        <w:t>available in tables</w:t>
      </w:r>
      <w:r>
        <w:rPr>
          <w:color w:val="000000" w:themeColor="text1"/>
        </w:rPr>
        <w:t> </w:t>
      </w:r>
      <w:proofErr w:type="spellStart"/>
      <w:r w:rsidR="003B2986">
        <w:t>18A.30</w:t>
      </w:r>
      <w:proofErr w:type="spellEnd"/>
      <w:r w:rsidRPr="004A4D9A">
        <w:rPr>
          <w:color w:val="000000" w:themeColor="text1"/>
        </w:rPr>
        <w:t>–</w:t>
      </w:r>
      <w:r w:rsidR="003B2986">
        <w:t>35</w:t>
      </w:r>
      <w:r>
        <w:t>.</w:t>
      </w:r>
    </w:p>
    <w:p w:rsidR="00BF6E24" w:rsidRDefault="00BF6E24" w:rsidP="00BF6E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6E24" w:rsidTr="00A17C2C">
        <w:tc>
          <w:tcPr>
            <w:tcW w:w="8771" w:type="dxa"/>
            <w:tcBorders>
              <w:top w:val="single" w:sz="6" w:space="0" w:color="78A22F"/>
              <w:left w:val="nil"/>
              <w:bottom w:val="nil"/>
              <w:right w:val="nil"/>
            </w:tcBorders>
            <w:shd w:val="clear" w:color="auto" w:fill="auto"/>
          </w:tcPr>
          <w:p w:rsidR="00BF6E24" w:rsidRPr="00176D3F" w:rsidRDefault="00BF6E24" w:rsidP="007C3353">
            <w:pPr>
              <w:pStyle w:val="FigureTitle"/>
            </w:pPr>
            <w:r w:rsidRPr="00784A05">
              <w:rPr>
                <w:b w:val="0"/>
              </w:rPr>
              <w:t xml:space="preserve">Figure </w:t>
            </w:r>
            <w:r>
              <w:rPr>
                <w:b w:val="0"/>
              </w:rPr>
              <w:t>18.</w:t>
            </w:r>
            <w:r w:rsidR="007C3353">
              <w:rPr>
                <w:b w:val="0"/>
              </w:rPr>
              <w:t>5</w:t>
            </w:r>
            <w:r>
              <w:tab/>
            </w:r>
            <w:r w:rsidRPr="006F68D5">
              <w:t>Proportion of tenants rating amenity and location aspects as important and meeting their needs,</w:t>
            </w:r>
            <w:r w:rsidR="005B51FE">
              <w:t xml:space="preserve"> 2016</w:t>
            </w:r>
            <w:r w:rsidRPr="005B51FE">
              <w:rPr>
                <w:rStyle w:val="NoteLabel"/>
                <w:b/>
              </w:rPr>
              <w:t>a,</w:t>
            </w:r>
            <w:r w:rsidR="005B51FE">
              <w:rPr>
                <w:rStyle w:val="NoteLabel"/>
                <w:b/>
              </w:rPr>
              <w:t xml:space="preserve"> </w:t>
            </w:r>
            <w:r>
              <w:rPr>
                <w:rStyle w:val="NoteLabel"/>
                <w:b/>
              </w:rPr>
              <w:t>b</w:t>
            </w:r>
          </w:p>
        </w:tc>
      </w:tr>
      <w:tr w:rsidR="00BF6E24" w:rsidTr="00A17C2C">
        <w:tc>
          <w:tcPr>
            <w:tcW w:w="8771" w:type="dxa"/>
            <w:tcBorders>
              <w:top w:val="nil"/>
              <w:left w:val="nil"/>
              <w:bottom w:val="nil"/>
              <w:right w:val="nil"/>
            </w:tcBorders>
            <w:shd w:val="clear" w:color="auto" w:fill="auto"/>
            <w:tcMar>
              <w:top w:w="28" w:type="dxa"/>
              <w:bottom w:w="28" w:type="dxa"/>
            </w:tcMar>
          </w:tcPr>
          <w:p w:rsidR="00414E5E" w:rsidRDefault="00414E5E" w:rsidP="00414E5E">
            <w:pPr>
              <w:pStyle w:val="Figure"/>
              <w:rPr>
                <w:rFonts w:ascii="Arial" w:hAnsi="Arial" w:cs="Arial"/>
                <w:b/>
                <w:sz w:val="20"/>
              </w:rPr>
            </w:pPr>
            <w:r w:rsidRPr="00962A05">
              <w:rPr>
                <w:rFonts w:ascii="Arial" w:hAnsi="Arial" w:cs="Arial"/>
                <w:b/>
                <w:sz w:val="20"/>
              </w:rPr>
              <w:t>Public housing</w:t>
            </w:r>
          </w:p>
          <w:p w:rsidR="00414E5E" w:rsidRDefault="00414E5E" w:rsidP="00414E5E">
            <w:pPr>
              <w:pStyle w:val="Figure"/>
              <w:rPr>
                <w:noProof/>
              </w:rPr>
            </w:pPr>
            <w:r>
              <w:rPr>
                <w:noProof/>
              </w:rPr>
              <w:drawing>
                <wp:inline distT="0" distB="0" distL="0" distR="0" wp14:anchorId="13C3AAF5" wp14:editId="54823F10">
                  <wp:extent cx="5401310" cy="1762125"/>
                  <wp:effectExtent l="0" t="0" r="8890" b="9525"/>
                  <wp:docPr id="27" name="Picture 27" descr="Figure 18.5 Proportion of tenants rating amenity and location aspects as important and meeting their needs, 2016, 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1310" cy="1762125"/>
                          </a:xfrm>
                          <a:prstGeom prst="rect">
                            <a:avLst/>
                          </a:prstGeom>
                          <a:noFill/>
                        </pic:spPr>
                      </pic:pic>
                    </a:graphicData>
                  </a:graphic>
                </wp:inline>
              </w:drawing>
            </w:r>
          </w:p>
          <w:p w:rsidR="00414E5E" w:rsidRDefault="00414E5E" w:rsidP="00414E5E">
            <w:pPr>
              <w:pStyle w:val="Figure"/>
              <w:rPr>
                <w:rFonts w:ascii="Arial" w:hAnsi="Arial" w:cs="Arial"/>
                <w:b/>
                <w:sz w:val="20"/>
              </w:rPr>
            </w:pPr>
            <w:proofErr w:type="spellStart"/>
            <w:r>
              <w:rPr>
                <w:rFonts w:ascii="Arial" w:hAnsi="Arial" w:cs="Arial"/>
                <w:b/>
                <w:sz w:val="20"/>
              </w:rPr>
              <w:t>SOMIH</w:t>
            </w:r>
            <w:proofErr w:type="spellEnd"/>
          </w:p>
          <w:p w:rsidR="00414E5E" w:rsidRDefault="001A7714" w:rsidP="00414E5E">
            <w:pPr>
              <w:pStyle w:val="Figure"/>
              <w:rPr>
                <w:noProof/>
              </w:rPr>
            </w:pPr>
            <w:r>
              <w:rPr>
                <w:noProof/>
              </w:rPr>
              <w:drawing>
                <wp:inline distT="0" distB="0" distL="0" distR="0" wp14:anchorId="23BA1C49" wp14:editId="35DBDD55">
                  <wp:extent cx="5401310" cy="1762125"/>
                  <wp:effectExtent l="0" t="0" r="8890" b="9525"/>
                  <wp:docPr id="8" name="Picture 8" descr="Figure 18.5 Proportion of tenants rating amenity and location aspects as important and meeting their needs, 2016,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1310" cy="1762125"/>
                          </a:xfrm>
                          <a:prstGeom prst="rect">
                            <a:avLst/>
                          </a:prstGeom>
                          <a:noFill/>
                        </pic:spPr>
                      </pic:pic>
                    </a:graphicData>
                  </a:graphic>
                </wp:inline>
              </w:drawing>
            </w:r>
          </w:p>
          <w:p w:rsidR="00414E5E" w:rsidRDefault="00414E5E" w:rsidP="00414E5E">
            <w:pPr>
              <w:pStyle w:val="Figure"/>
              <w:rPr>
                <w:rFonts w:ascii="Arial" w:hAnsi="Arial" w:cs="Arial"/>
                <w:b/>
                <w:sz w:val="20"/>
              </w:rPr>
            </w:pPr>
            <w:r>
              <w:rPr>
                <w:rFonts w:ascii="Arial" w:hAnsi="Arial" w:cs="Arial"/>
                <w:b/>
                <w:sz w:val="20"/>
              </w:rPr>
              <w:t>Community</w:t>
            </w:r>
            <w:r w:rsidRPr="00962A05">
              <w:rPr>
                <w:rFonts w:ascii="Arial" w:hAnsi="Arial" w:cs="Arial"/>
                <w:b/>
                <w:sz w:val="20"/>
              </w:rPr>
              <w:t xml:space="preserve"> housing</w:t>
            </w:r>
          </w:p>
          <w:p w:rsidR="00414E5E" w:rsidRDefault="00414E5E" w:rsidP="00414E5E">
            <w:pPr>
              <w:pStyle w:val="Figure"/>
              <w:jc w:val="left"/>
              <w:rPr>
                <w:noProof/>
              </w:rPr>
            </w:pPr>
            <w:r>
              <w:rPr>
                <w:noProof/>
              </w:rPr>
              <w:drawing>
                <wp:inline distT="0" distB="0" distL="0" distR="0" wp14:anchorId="4EC6E44A" wp14:editId="3F30BFA1">
                  <wp:extent cx="5401310" cy="1767840"/>
                  <wp:effectExtent l="0" t="0" r="8890" b="3810"/>
                  <wp:docPr id="29" name="Picture 29" descr="Figure 18.5 Proportion of tenants rating amenity and location aspects as important and meeting their needs, 2016, 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1310" cy="1767840"/>
                          </a:xfrm>
                          <a:prstGeom prst="rect">
                            <a:avLst/>
                          </a:prstGeom>
                          <a:noFill/>
                        </pic:spPr>
                      </pic:pic>
                    </a:graphicData>
                  </a:graphic>
                </wp:inline>
              </w:drawing>
            </w:r>
          </w:p>
          <w:p w:rsidR="00BF6E24" w:rsidRDefault="00414E5E" w:rsidP="00746E44">
            <w:pPr>
              <w:pStyle w:val="Figure"/>
            </w:pPr>
            <w:r>
              <w:rPr>
                <w:noProof/>
              </w:rPr>
              <w:drawing>
                <wp:inline distT="0" distB="0" distL="0" distR="0" wp14:anchorId="4C3447AC" wp14:editId="0CAE7691">
                  <wp:extent cx="5364945" cy="158750"/>
                  <wp:effectExtent l="0" t="0" r="7620" b="0"/>
                  <wp:docPr id="30" name="Picture 12" descr="Figure 18.5 Proportion of tenants rating amenity and location aspects as important and meeting their needs, 2016. Text is legend for figure  with two categories, Amenity and 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rotWithShape="1">
                          <a:blip r:embed="rId24"/>
                          <a:srcRect t="20031" b="29894"/>
                          <a:stretch/>
                        </pic:blipFill>
                        <pic:spPr>
                          <a:xfrm>
                            <a:off x="0" y="0"/>
                            <a:ext cx="5364945" cy="158750"/>
                          </a:xfrm>
                          <a:prstGeom prst="rect">
                            <a:avLst/>
                          </a:prstGeom>
                        </pic:spPr>
                      </pic:pic>
                    </a:graphicData>
                  </a:graphic>
                </wp:inline>
              </w:drawing>
            </w:r>
          </w:p>
        </w:tc>
      </w:tr>
      <w:tr w:rsidR="00BF6E24" w:rsidRPr="00176D3F" w:rsidTr="00746E44">
        <w:tc>
          <w:tcPr>
            <w:tcW w:w="8771" w:type="dxa"/>
            <w:tcBorders>
              <w:top w:val="nil"/>
              <w:left w:val="nil"/>
              <w:bottom w:val="nil"/>
              <w:right w:val="nil"/>
            </w:tcBorders>
            <w:shd w:val="clear" w:color="auto" w:fill="auto"/>
          </w:tcPr>
          <w:p w:rsidR="00BF6E24" w:rsidRPr="00176D3F" w:rsidRDefault="00BF6E24" w:rsidP="000650F5">
            <w:pPr>
              <w:pStyle w:val="Note"/>
            </w:pPr>
            <w:r>
              <w:rPr>
                <w:rStyle w:val="NoteLabel"/>
              </w:rPr>
              <w:t>a</w:t>
            </w:r>
            <w:r w:rsidR="00790CB2">
              <w:t xml:space="preserve"> See box 18.9</w:t>
            </w:r>
            <w:r>
              <w:t xml:space="preserve"> and tables </w:t>
            </w:r>
            <w:proofErr w:type="spellStart"/>
            <w:r w:rsidR="003B2986">
              <w:t>18A.30</w:t>
            </w:r>
            <w:proofErr w:type="spellEnd"/>
            <w:r>
              <w:t>–</w:t>
            </w:r>
            <w:r w:rsidR="003B2986">
              <w:t>35</w:t>
            </w:r>
            <w:r>
              <w:t xml:space="preserve"> for detailed definitions, footnotes and caveats. </w:t>
            </w:r>
            <w:r>
              <w:rPr>
                <w:rStyle w:val="NoteLabel"/>
              </w:rPr>
              <w:t xml:space="preserve">b </w:t>
            </w:r>
            <w:r>
              <w:t>Community housing data are not available for the NT.</w:t>
            </w:r>
          </w:p>
        </w:tc>
      </w:tr>
      <w:tr w:rsidR="00BF6E24" w:rsidRPr="00176D3F" w:rsidTr="00746E44">
        <w:tc>
          <w:tcPr>
            <w:tcW w:w="8771" w:type="dxa"/>
            <w:tcBorders>
              <w:top w:val="nil"/>
              <w:left w:val="nil"/>
              <w:bottom w:val="nil"/>
              <w:right w:val="nil"/>
            </w:tcBorders>
            <w:shd w:val="clear" w:color="auto" w:fill="auto"/>
          </w:tcPr>
          <w:p w:rsidR="00BF6E24" w:rsidRPr="00176D3F" w:rsidRDefault="00BF6E24" w:rsidP="000650F5">
            <w:pPr>
              <w:pStyle w:val="Source"/>
            </w:pPr>
            <w:r w:rsidRPr="00FC4AB3">
              <w:rPr>
                <w:i/>
              </w:rPr>
              <w:t>Source</w:t>
            </w:r>
            <w:r w:rsidRPr="00B93213">
              <w:t>:</w:t>
            </w:r>
            <w:r w:rsidRPr="00FC4AB3">
              <w:rPr>
                <w:i/>
              </w:rPr>
              <w:t xml:space="preserve"> </w:t>
            </w:r>
            <w:proofErr w:type="spellStart"/>
            <w:r w:rsidRPr="008411B4">
              <w:t>AIHW</w:t>
            </w:r>
            <w:proofErr w:type="spellEnd"/>
            <w:r w:rsidRPr="008411B4">
              <w:t xml:space="preserve"> (unpublished)</w:t>
            </w:r>
            <w:r w:rsidRPr="00AE0C3F">
              <w:rPr>
                <w:i/>
              </w:rPr>
              <w:t xml:space="preserve"> </w:t>
            </w:r>
            <w:r w:rsidRPr="007D2DA3">
              <w:t>National Social Housing Survey</w:t>
            </w:r>
            <w:r w:rsidR="005B51FE">
              <w:t xml:space="preserve"> 2016</w:t>
            </w:r>
            <w:r>
              <w:t>; tables </w:t>
            </w:r>
            <w:proofErr w:type="spellStart"/>
            <w:r w:rsidR="003B2986">
              <w:t>18A.30</w:t>
            </w:r>
            <w:proofErr w:type="spellEnd"/>
            <w:r>
              <w:t>–</w:t>
            </w:r>
            <w:r w:rsidR="003B2986">
              <w:t>35</w:t>
            </w:r>
            <w:r>
              <w:t>.</w:t>
            </w:r>
          </w:p>
        </w:tc>
      </w:tr>
      <w:tr w:rsidR="00BF6E24" w:rsidTr="00746E44">
        <w:tc>
          <w:tcPr>
            <w:tcW w:w="8771" w:type="dxa"/>
            <w:tcBorders>
              <w:top w:val="nil"/>
              <w:left w:val="nil"/>
              <w:bottom w:val="single" w:sz="6" w:space="0" w:color="78A22F"/>
              <w:right w:val="nil"/>
            </w:tcBorders>
            <w:shd w:val="clear" w:color="auto" w:fill="auto"/>
          </w:tcPr>
          <w:p w:rsidR="00BF6E24" w:rsidRDefault="00BF6E24" w:rsidP="00746E44">
            <w:pPr>
              <w:pStyle w:val="Figurespace"/>
            </w:pPr>
          </w:p>
        </w:tc>
      </w:tr>
      <w:tr w:rsidR="00BF6E24" w:rsidRPr="000863A5" w:rsidTr="00746E44">
        <w:tc>
          <w:tcPr>
            <w:tcW w:w="8771" w:type="dxa"/>
            <w:tcBorders>
              <w:top w:val="single" w:sz="6" w:space="0" w:color="78A22F"/>
              <w:left w:val="nil"/>
              <w:bottom w:val="nil"/>
              <w:right w:val="nil"/>
            </w:tcBorders>
          </w:tcPr>
          <w:p w:rsidR="00BF6E24" w:rsidRPr="00626D32" w:rsidRDefault="00BF6E24" w:rsidP="00746E44">
            <w:pPr>
              <w:pStyle w:val="BoxSpaceBelow"/>
            </w:pPr>
          </w:p>
        </w:tc>
      </w:tr>
    </w:tbl>
    <w:p w:rsidR="009A5130" w:rsidRPr="003770C0" w:rsidRDefault="00F76C54" w:rsidP="006B692D">
      <w:pPr>
        <w:pStyle w:val="Heading4"/>
      </w:pPr>
      <w:r>
        <w:lastRenderedPageBreak/>
        <w:t xml:space="preserve">Quality — </w:t>
      </w:r>
      <w:r w:rsidR="009A5130" w:rsidRPr="003770C0">
        <w:t>Dwelling condition</w:t>
      </w:r>
    </w:p>
    <w:p w:rsidR="008023AD" w:rsidRPr="004372D7" w:rsidRDefault="009A5130" w:rsidP="006F7A0C">
      <w:pPr>
        <w:pStyle w:val="BodyText"/>
      </w:pPr>
      <w:r>
        <w:t>‘Dwelling condition’ is a</w:t>
      </w:r>
      <w:r w:rsidR="00A457A7">
        <w:t xml:space="preserve"> proxy </w:t>
      </w:r>
      <w:r>
        <w:t>indicator of gover</w:t>
      </w:r>
      <w:r w:rsidR="0090458C">
        <w:t xml:space="preserve">nments’ objective to provide </w:t>
      </w:r>
      <w:r w:rsidR="00BB6DF1">
        <w:t xml:space="preserve">services that are high </w:t>
      </w:r>
      <w:r w:rsidR="0090458C">
        <w:t xml:space="preserve">quality </w:t>
      </w:r>
      <w:r>
        <w:t>(box</w:t>
      </w:r>
      <w:r w:rsidR="007D1214">
        <w:t> </w:t>
      </w:r>
      <w:r w:rsidR="00BB5630">
        <w:t>18</w:t>
      </w:r>
      <w:r w:rsidR="00463387">
        <w:t>.</w:t>
      </w:r>
      <w:r w:rsidR="00790CB2">
        <w:t>10</w:t>
      </w:r>
      <w:r w:rsidR="00B7770E">
        <w:t>).</w:t>
      </w:r>
    </w:p>
    <w:p w:rsidR="008023AD" w:rsidRDefault="008023AD" w:rsidP="00E648CF">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8023AD" w:rsidTr="00604F8C">
        <w:tc>
          <w:tcPr>
            <w:tcW w:w="5000" w:type="pct"/>
            <w:tcBorders>
              <w:top w:val="single" w:sz="6" w:space="0" w:color="78A22F"/>
              <w:left w:val="nil"/>
              <w:bottom w:val="nil"/>
              <w:right w:val="nil"/>
            </w:tcBorders>
            <w:shd w:val="clear" w:color="auto" w:fill="F2F2F2" w:themeFill="background1" w:themeFillShade="F2"/>
          </w:tcPr>
          <w:p w:rsidR="008023AD" w:rsidRDefault="00BB5630" w:rsidP="00BB5630">
            <w:pPr>
              <w:pStyle w:val="BoxTitle"/>
              <w:tabs>
                <w:tab w:val="left" w:pos="720"/>
                <w:tab w:val="left" w:pos="1440"/>
                <w:tab w:val="left" w:pos="2160"/>
                <w:tab w:val="left" w:pos="2880"/>
                <w:tab w:val="left" w:pos="3600"/>
                <w:tab w:val="left" w:pos="5100"/>
              </w:tabs>
            </w:pPr>
            <w:r>
              <w:rPr>
                <w:b w:val="0"/>
              </w:rPr>
              <w:t xml:space="preserve">Box </w:t>
            </w:r>
            <w:r w:rsidR="00040F38">
              <w:rPr>
                <w:b w:val="0"/>
              </w:rPr>
              <w:t>18.</w:t>
            </w:r>
            <w:r w:rsidR="00892185">
              <w:rPr>
                <w:b w:val="0"/>
                <w:noProof/>
              </w:rPr>
              <w:t>10</w:t>
            </w:r>
            <w:r w:rsidR="008023AD">
              <w:tab/>
            </w:r>
            <w:r w:rsidR="008023AD" w:rsidRPr="008023AD">
              <w:t>Dwelling condition</w:t>
            </w:r>
            <w:r>
              <w:tab/>
            </w:r>
            <w:r>
              <w:tab/>
            </w:r>
          </w:p>
        </w:tc>
      </w:tr>
      <w:tr w:rsidR="008023AD" w:rsidTr="00604F8C">
        <w:trPr>
          <w:cantSplit/>
        </w:trPr>
        <w:tc>
          <w:tcPr>
            <w:tcW w:w="5000" w:type="pct"/>
            <w:tcBorders>
              <w:top w:val="nil"/>
              <w:left w:val="nil"/>
              <w:bottom w:val="nil"/>
              <w:right w:val="nil"/>
            </w:tcBorders>
            <w:shd w:val="clear" w:color="auto" w:fill="F2F2F2" w:themeFill="background1" w:themeFillShade="F2"/>
          </w:tcPr>
          <w:p w:rsidR="00A74B45" w:rsidRPr="004372D7" w:rsidRDefault="008023AD" w:rsidP="008023AD">
            <w:pPr>
              <w:pStyle w:val="Box"/>
            </w:pPr>
            <w:r w:rsidRPr="00B704A4">
              <w:t>‘Dwelling condition’ is defined as the proportion of households living in dwellings of an acceptable standard</w:t>
            </w:r>
            <w:r w:rsidR="009F2F68" w:rsidRPr="00B704A4">
              <w:t xml:space="preserve">. </w:t>
            </w:r>
            <w:r w:rsidRPr="00B704A4">
              <w:t>A dwelling is assessed as being of an acceptable standard if it has at least four working facilities (for washing people, for washing clothes/bedding, for storing/preparing food, and sewerage) and not more than two major structural problems.</w:t>
            </w:r>
          </w:p>
          <w:p w:rsidR="00A74B45" w:rsidRDefault="00665C00" w:rsidP="008023AD">
            <w:pPr>
              <w:pStyle w:val="Box"/>
            </w:pPr>
            <w:r>
              <w:t xml:space="preserve">The </w:t>
            </w:r>
            <w:r w:rsidR="00F16CF7">
              <w:t>survey collections</w:t>
            </w:r>
            <w:r w:rsidR="00A74B45">
              <w:t xml:space="preserve"> </w:t>
            </w:r>
            <w:r>
              <w:t>ask r</w:t>
            </w:r>
            <w:r w:rsidR="005148EB">
              <w:t>espondents</w:t>
            </w:r>
            <w:r w:rsidR="00A74B45">
              <w:t xml:space="preserve"> (</w:t>
            </w:r>
            <w:proofErr w:type="spellStart"/>
            <w:r w:rsidR="00A74B45">
              <w:t>AIHW</w:t>
            </w:r>
            <w:proofErr w:type="spellEnd"/>
            <w:r w:rsidR="00A74B45">
              <w:t xml:space="preserve"> </w:t>
            </w:r>
            <w:proofErr w:type="spellStart"/>
            <w:r w:rsidR="00A74B45">
              <w:t>2015b</w:t>
            </w:r>
            <w:proofErr w:type="spellEnd"/>
            <w:r w:rsidR="00A74B45">
              <w:t>):</w:t>
            </w:r>
          </w:p>
          <w:p w:rsidR="00A74B45" w:rsidRDefault="005148EB" w:rsidP="00A74B45">
            <w:pPr>
              <w:pStyle w:val="BoxListBullet"/>
            </w:pPr>
            <w:r>
              <w:t xml:space="preserve">which of a list of facilities </w:t>
            </w:r>
            <w:r w:rsidR="00665C00">
              <w:t>is</w:t>
            </w:r>
            <w:r>
              <w:t xml:space="preserve"> present in the</w:t>
            </w:r>
            <w:r w:rsidR="00665C00">
              <w:t>ir</w:t>
            </w:r>
            <w:r>
              <w:t xml:space="preserve"> dwelling and whether </w:t>
            </w:r>
            <w:r w:rsidR="00A74B45">
              <w:t>each is</w:t>
            </w:r>
            <w:r>
              <w:t xml:space="preserve"> in working order</w:t>
            </w:r>
          </w:p>
          <w:p w:rsidR="005148EB" w:rsidRPr="00B704A4" w:rsidRDefault="005148EB" w:rsidP="00A74B45">
            <w:pPr>
              <w:pStyle w:val="BoxListBullet"/>
            </w:pPr>
            <w:r>
              <w:t xml:space="preserve">which of a list of structural problems </w:t>
            </w:r>
            <w:r w:rsidR="00A74B45">
              <w:t>is</w:t>
            </w:r>
            <w:r>
              <w:t xml:space="preserve"> present</w:t>
            </w:r>
            <w:r w:rsidR="00665C00">
              <w:t xml:space="preserve"> in their dwelling</w:t>
            </w:r>
            <w:r w:rsidR="003A3707">
              <w:t>.</w:t>
            </w:r>
          </w:p>
          <w:p w:rsidR="008023AD" w:rsidRPr="00B704A4" w:rsidRDefault="00661335" w:rsidP="008023AD">
            <w:pPr>
              <w:pStyle w:val="Box"/>
            </w:pPr>
            <w:r w:rsidRPr="00661335">
              <w:t xml:space="preserve">A high or increasing </w:t>
            </w:r>
            <w:r w:rsidR="008023AD" w:rsidRPr="00B704A4">
              <w:t xml:space="preserve">proportion </w:t>
            </w:r>
            <w:r>
              <w:t>of households living in dwellings of an acceptable standard</w:t>
            </w:r>
            <w:r w:rsidR="002C6C7D">
              <w:t xml:space="preserve"> </w:t>
            </w:r>
            <w:r w:rsidR="008023AD" w:rsidRPr="00B704A4">
              <w:t xml:space="preserve">suggests </w:t>
            </w:r>
            <w:r w:rsidR="00BB6DF1">
              <w:t xml:space="preserve">that services are </w:t>
            </w:r>
            <w:r w:rsidR="008023AD" w:rsidRPr="00B704A4">
              <w:t xml:space="preserve">high or increasing </w:t>
            </w:r>
            <w:r w:rsidR="00BB6DF1">
              <w:t>in</w:t>
            </w:r>
            <w:r w:rsidR="002C6C7D">
              <w:t xml:space="preserve"> </w:t>
            </w:r>
            <w:r w:rsidR="008023AD" w:rsidRPr="00B704A4">
              <w:t>quality.</w:t>
            </w:r>
          </w:p>
          <w:p w:rsidR="008023AD" w:rsidRPr="00B704A4" w:rsidRDefault="008023AD" w:rsidP="008023AD">
            <w:pPr>
              <w:pStyle w:val="Box"/>
            </w:pPr>
            <w:r w:rsidRPr="00B704A4">
              <w:t xml:space="preserve">Data for this indicator are reported for public housing, </w:t>
            </w:r>
            <w:proofErr w:type="spellStart"/>
            <w:r w:rsidRPr="00B704A4">
              <w:t>SOMIH</w:t>
            </w:r>
            <w:proofErr w:type="spellEnd"/>
            <w:r w:rsidR="00021A17">
              <w:t xml:space="preserve">, </w:t>
            </w:r>
            <w:r w:rsidRPr="00B704A4">
              <w:t>community housing</w:t>
            </w:r>
            <w:r w:rsidR="00021A17">
              <w:t xml:space="preserve"> and </w:t>
            </w:r>
            <w:proofErr w:type="spellStart"/>
            <w:r w:rsidR="00786253">
              <w:t>ICH</w:t>
            </w:r>
            <w:proofErr w:type="spellEnd"/>
            <w:r w:rsidR="00F16CF7">
              <w:t xml:space="preserve"> and are</w:t>
            </w:r>
            <w:r w:rsidRPr="00B704A4">
              <w:t>:</w:t>
            </w:r>
          </w:p>
          <w:p w:rsidR="008023AD" w:rsidRPr="00B704A4" w:rsidRDefault="008023AD" w:rsidP="001F13B6">
            <w:pPr>
              <w:pStyle w:val="BoxListBullet"/>
            </w:pPr>
            <w:r w:rsidRPr="00B704A4">
              <w:t xml:space="preserve">comparable (subject to caveats) across jurisdictions for the </w:t>
            </w:r>
            <w:r w:rsidR="00F577C4" w:rsidRPr="00B704A4">
              <w:t xml:space="preserve">most </w:t>
            </w:r>
            <w:r w:rsidRPr="00B704A4">
              <w:t>current reporting period</w:t>
            </w:r>
          </w:p>
          <w:p w:rsidR="008023AD" w:rsidRPr="005E340A" w:rsidRDefault="008023AD" w:rsidP="001F13B6">
            <w:pPr>
              <w:pStyle w:val="BoxListBullet"/>
            </w:pPr>
            <w:r w:rsidRPr="00B704A4">
              <w:t>complete for public housing</w:t>
            </w:r>
            <w:r w:rsidR="00693A63" w:rsidRPr="00B704A4">
              <w:t xml:space="preserve"> and </w:t>
            </w:r>
            <w:proofErr w:type="spellStart"/>
            <w:r w:rsidRPr="00B704A4">
              <w:t>SOMIH</w:t>
            </w:r>
            <w:proofErr w:type="spellEnd"/>
            <w:r w:rsidR="001C58F6" w:rsidRPr="00B704A4">
              <w:t xml:space="preserve"> f</w:t>
            </w:r>
            <w:r w:rsidRPr="00B704A4">
              <w:t xml:space="preserve">or the most current reporting period (subject to caveats). All </w:t>
            </w:r>
            <w:r w:rsidRPr="005E340A">
              <w:t>required</w:t>
            </w:r>
            <w:r w:rsidR="002F4F9A">
              <w:t xml:space="preserve"> 2016</w:t>
            </w:r>
            <w:r w:rsidRPr="005E340A">
              <w:t xml:space="preserve"> (public housing and </w:t>
            </w:r>
            <w:proofErr w:type="spellStart"/>
            <w:r w:rsidRPr="005E340A">
              <w:t>SOMIH</w:t>
            </w:r>
            <w:proofErr w:type="spellEnd"/>
            <w:r w:rsidRPr="005E340A">
              <w:t>) data are available for all jurisdictions providing the service</w:t>
            </w:r>
          </w:p>
          <w:p w:rsidR="008023AD" w:rsidRPr="005E340A" w:rsidRDefault="008023AD" w:rsidP="001F13B6">
            <w:pPr>
              <w:pStyle w:val="BoxListBullet"/>
            </w:pPr>
            <w:r w:rsidRPr="005E340A">
              <w:t>incomplete for community housing</w:t>
            </w:r>
            <w:r w:rsidR="0016221A" w:rsidRPr="005E340A">
              <w:t xml:space="preserve"> for the current reporting period. </w:t>
            </w:r>
            <w:r w:rsidRPr="005E340A">
              <w:t>All required</w:t>
            </w:r>
            <w:r w:rsidR="00313B53">
              <w:t xml:space="preserve"> 201</w:t>
            </w:r>
            <w:r w:rsidR="00E321B8">
              <w:t>6</w:t>
            </w:r>
            <w:r w:rsidR="00313B53">
              <w:t xml:space="preserve"> </w:t>
            </w:r>
            <w:r w:rsidR="0016221A" w:rsidRPr="005E340A">
              <w:t xml:space="preserve">data are </w:t>
            </w:r>
            <w:r w:rsidRPr="00F534E6">
              <w:t xml:space="preserve">not available for the </w:t>
            </w:r>
            <w:r w:rsidR="0016221A" w:rsidRPr="00F534E6">
              <w:t>N</w:t>
            </w:r>
            <w:r w:rsidR="005F73B1" w:rsidRPr="00F534E6">
              <w:t>T</w:t>
            </w:r>
          </w:p>
          <w:p w:rsidR="008023AD" w:rsidRPr="00B704A4" w:rsidRDefault="002F4F9A" w:rsidP="00597ECA">
            <w:pPr>
              <w:pStyle w:val="BoxListBullet"/>
            </w:pPr>
            <w:r w:rsidRPr="00B704A4">
              <w:t xml:space="preserve">for </w:t>
            </w:r>
            <w:proofErr w:type="spellStart"/>
            <w:r w:rsidRPr="005E340A">
              <w:t>ICH</w:t>
            </w:r>
            <w:proofErr w:type="spellEnd"/>
            <w:r>
              <w:t>,</w:t>
            </w:r>
            <w:r w:rsidRPr="005E340A">
              <w:t xml:space="preserve"> </w:t>
            </w:r>
            <w:r w:rsidR="00021A17" w:rsidRPr="005E340A">
              <w:t xml:space="preserve">complete </w:t>
            </w:r>
            <w:r w:rsidR="00B5457F" w:rsidRPr="005E340A">
              <w:t>and comparable</w:t>
            </w:r>
            <w:r w:rsidR="00597ECA">
              <w:t xml:space="preserve"> </w:t>
            </w:r>
            <w:r w:rsidR="00597ECA" w:rsidRPr="00B704A4">
              <w:t xml:space="preserve">(subject to caveats) </w:t>
            </w:r>
            <w:r w:rsidR="00693A63" w:rsidRPr="005E340A">
              <w:t>for th</w:t>
            </w:r>
            <w:r w:rsidR="00021A17" w:rsidRPr="005E340A">
              <w:t>e most current reporting period</w:t>
            </w:r>
            <w:r w:rsidR="00BB38DF" w:rsidRPr="005E340A">
              <w:t xml:space="preserve"> (</w:t>
            </w:r>
            <w:r w:rsidRPr="002F4F9A">
              <w:t>2014</w:t>
            </w:r>
            <w:r w:rsidR="00B93213">
              <w:noBreakHyphen/>
            </w:r>
            <w:r w:rsidRPr="002F4F9A">
              <w:t>15</w:t>
            </w:r>
            <w:r w:rsidR="00BB38DF" w:rsidRPr="005E340A">
              <w:t>)</w:t>
            </w:r>
            <w:r>
              <w:t>, but not comparable with other social housing types</w:t>
            </w:r>
            <w:r w:rsidR="00BB38DF" w:rsidRPr="005E340A">
              <w:t xml:space="preserve">. </w:t>
            </w:r>
          </w:p>
        </w:tc>
      </w:tr>
      <w:tr w:rsidR="008023AD" w:rsidTr="00604F8C">
        <w:trPr>
          <w:cantSplit/>
        </w:trPr>
        <w:tc>
          <w:tcPr>
            <w:tcW w:w="5000" w:type="pct"/>
            <w:tcBorders>
              <w:top w:val="nil"/>
              <w:left w:val="nil"/>
              <w:bottom w:val="single" w:sz="6" w:space="0" w:color="78A22F"/>
              <w:right w:val="nil"/>
            </w:tcBorders>
            <w:shd w:val="clear" w:color="auto" w:fill="F2F2F2" w:themeFill="background1" w:themeFillShade="F2"/>
          </w:tcPr>
          <w:p w:rsidR="008023AD" w:rsidRDefault="008023AD">
            <w:pPr>
              <w:pStyle w:val="Box"/>
              <w:spacing w:before="0" w:line="120" w:lineRule="exact"/>
            </w:pPr>
          </w:p>
        </w:tc>
      </w:tr>
      <w:tr w:rsidR="008023AD" w:rsidRPr="000863A5" w:rsidTr="00604F8C">
        <w:tc>
          <w:tcPr>
            <w:tcW w:w="5000" w:type="pct"/>
            <w:tcBorders>
              <w:top w:val="single" w:sz="6" w:space="0" w:color="78A22F"/>
              <w:left w:val="nil"/>
              <w:bottom w:val="nil"/>
              <w:right w:val="nil"/>
            </w:tcBorders>
          </w:tcPr>
          <w:p w:rsidR="008023AD" w:rsidRPr="00626D32" w:rsidRDefault="008023AD" w:rsidP="00334F07">
            <w:pPr>
              <w:pStyle w:val="BoxSpaceBelow"/>
            </w:pPr>
          </w:p>
        </w:tc>
      </w:tr>
    </w:tbl>
    <w:p w:rsidR="00F05D73" w:rsidRPr="002017DE" w:rsidRDefault="00786253" w:rsidP="00084844">
      <w:pPr>
        <w:pStyle w:val="BodyText"/>
        <w:rPr>
          <w:color w:val="000000" w:themeColor="text1"/>
        </w:rPr>
      </w:pPr>
      <w:r>
        <w:rPr>
          <w:color w:val="000000" w:themeColor="text1"/>
        </w:rPr>
        <w:t>Nationally i</w:t>
      </w:r>
      <w:r w:rsidR="007F59D7">
        <w:rPr>
          <w:color w:val="000000" w:themeColor="text1"/>
        </w:rPr>
        <w:t>n</w:t>
      </w:r>
      <w:r w:rsidR="00634318">
        <w:rPr>
          <w:color w:val="000000" w:themeColor="text1"/>
        </w:rPr>
        <w:t xml:space="preserve"> 2016</w:t>
      </w:r>
      <w:r w:rsidR="007F59D7">
        <w:rPr>
          <w:color w:val="000000" w:themeColor="text1"/>
        </w:rPr>
        <w:t xml:space="preserve">, the </w:t>
      </w:r>
      <w:r w:rsidR="00F05D73">
        <w:rPr>
          <w:color w:val="000000" w:themeColor="text1"/>
        </w:rPr>
        <w:t>majority of social housing respondents lived in dwellings of an acceptable standard</w:t>
      </w:r>
      <w:r w:rsidR="00F16CF7">
        <w:rPr>
          <w:color w:val="000000" w:themeColor="text1"/>
        </w:rPr>
        <w:t xml:space="preserve">, though proportions were lower for </w:t>
      </w:r>
      <w:r w:rsidR="00597ECA" w:rsidRPr="00597ECA">
        <w:rPr>
          <w:color w:val="000000" w:themeColor="text1"/>
        </w:rPr>
        <w:t xml:space="preserve">Aboriginal and Torres Strait Islander </w:t>
      </w:r>
      <w:r w:rsidR="003E067B" w:rsidRPr="00597ECA">
        <w:rPr>
          <w:color w:val="000000" w:themeColor="text1"/>
        </w:rPr>
        <w:t>households</w:t>
      </w:r>
      <w:r w:rsidR="00F05D73" w:rsidRPr="00597ECA">
        <w:rPr>
          <w:color w:val="000000" w:themeColor="text1"/>
        </w:rPr>
        <w:t>:</w:t>
      </w:r>
    </w:p>
    <w:p w:rsidR="00881899" w:rsidRDefault="007F59D7" w:rsidP="0094624A">
      <w:pPr>
        <w:pStyle w:val="ListBullet"/>
      </w:pPr>
      <w:r w:rsidRPr="00881899">
        <w:t>for public housing,</w:t>
      </w:r>
      <w:r w:rsidR="0094624A">
        <w:t xml:space="preserve"> </w:t>
      </w:r>
      <w:r w:rsidR="0094624A" w:rsidRPr="0094624A">
        <w:rPr>
          <w:color w:val="000000" w:themeColor="text1"/>
        </w:rPr>
        <w:t>80.7</w:t>
      </w:r>
      <w:r w:rsidR="00754817" w:rsidRPr="00881899">
        <w:t xml:space="preserve"> per cent of </w:t>
      </w:r>
      <w:r w:rsidR="00E27CAA" w:rsidRPr="00881899">
        <w:t xml:space="preserve">all </w:t>
      </w:r>
      <w:r w:rsidR="00A14845" w:rsidRPr="00881899">
        <w:t xml:space="preserve">dwellings </w:t>
      </w:r>
      <w:r w:rsidR="003E067B">
        <w:t>and</w:t>
      </w:r>
      <w:r w:rsidR="0094624A">
        <w:t xml:space="preserve"> </w:t>
      </w:r>
      <w:r w:rsidR="0094624A" w:rsidRPr="0094624A">
        <w:t>69.6</w:t>
      </w:r>
      <w:r w:rsidR="00754817" w:rsidRPr="00881899">
        <w:t xml:space="preserve"> per cent of </w:t>
      </w:r>
      <w:r w:rsidR="0008455A" w:rsidRPr="00881899">
        <w:t>Aboriginal and Torres Strait Islander</w:t>
      </w:r>
      <w:r w:rsidR="00754817" w:rsidRPr="00881899">
        <w:t xml:space="preserve"> </w:t>
      </w:r>
      <w:r w:rsidR="006F7A0C">
        <w:t>dwellings</w:t>
      </w:r>
    </w:p>
    <w:p w:rsidR="00881899" w:rsidRDefault="00754817" w:rsidP="0094624A">
      <w:pPr>
        <w:pStyle w:val="ListBullet"/>
      </w:pPr>
      <w:r w:rsidRPr="00881899">
        <w:t xml:space="preserve">for </w:t>
      </w:r>
      <w:proofErr w:type="spellStart"/>
      <w:r w:rsidRPr="00881899">
        <w:t>SOMIH</w:t>
      </w:r>
      <w:proofErr w:type="spellEnd"/>
      <w:r w:rsidR="007F59D7" w:rsidRPr="00881899">
        <w:t>,</w:t>
      </w:r>
      <w:r w:rsidR="0094624A">
        <w:t xml:space="preserve"> </w:t>
      </w:r>
      <w:r w:rsidR="0094624A" w:rsidRPr="0094624A">
        <w:rPr>
          <w:color w:val="000000" w:themeColor="text1"/>
        </w:rPr>
        <w:t>75.1</w:t>
      </w:r>
      <w:r w:rsidR="007F59D7" w:rsidRPr="00881899">
        <w:t xml:space="preserve"> </w:t>
      </w:r>
      <w:r w:rsidRPr="00881899">
        <w:t xml:space="preserve">per cent of </w:t>
      </w:r>
      <w:r w:rsidR="00E27CAA" w:rsidRPr="00881899">
        <w:t xml:space="preserve">all </w:t>
      </w:r>
      <w:r w:rsidR="006F7A0C">
        <w:t>dwellings</w:t>
      </w:r>
    </w:p>
    <w:p w:rsidR="00754817" w:rsidRPr="00634318" w:rsidRDefault="00754817" w:rsidP="00670713">
      <w:pPr>
        <w:pStyle w:val="ListBullet"/>
      </w:pPr>
      <w:r w:rsidRPr="00881899">
        <w:t xml:space="preserve">for community </w:t>
      </w:r>
      <w:r w:rsidRPr="00A17C2C">
        <w:t>housing</w:t>
      </w:r>
      <w:r w:rsidR="007F59D7" w:rsidRPr="00A17C2C">
        <w:t>,</w:t>
      </w:r>
      <w:r w:rsidR="00154E76" w:rsidRPr="00A17C2C">
        <w:t xml:space="preserve"> 88.8 </w:t>
      </w:r>
      <w:r w:rsidR="00906A60" w:rsidRPr="00A17C2C">
        <w:t xml:space="preserve">per cent of </w:t>
      </w:r>
      <w:r w:rsidR="00E27CAA" w:rsidRPr="00A17C2C">
        <w:t xml:space="preserve">all </w:t>
      </w:r>
      <w:r w:rsidR="00A14845" w:rsidRPr="00A17C2C">
        <w:t xml:space="preserve">dwellings </w:t>
      </w:r>
      <w:r w:rsidR="00906A60" w:rsidRPr="00A17C2C">
        <w:t>and</w:t>
      </w:r>
      <w:r w:rsidR="00154E76" w:rsidRPr="00A17C2C">
        <w:t xml:space="preserve"> 77.2 </w:t>
      </w:r>
      <w:r w:rsidRPr="00A17C2C">
        <w:t xml:space="preserve">per cent of </w:t>
      </w:r>
      <w:r w:rsidR="0008455A" w:rsidRPr="00A17C2C">
        <w:t>Aboriginal and Torres Strait Islander</w:t>
      </w:r>
      <w:r w:rsidR="00906A60" w:rsidRPr="00A17C2C">
        <w:t xml:space="preserve"> </w:t>
      </w:r>
      <w:r w:rsidR="00A14845" w:rsidRPr="00A17C2C">
        <w:t xml:space="preserve">dwellings </w:t>
      </w:r>
      <w:r w:rsidR="00725DE6" w:rsidRPr="00A17C2C">
        <w:t>(</w:t>
      </w:r>
      <w:r w:rsidR="000B7E98" w:rsidRPr="00A17C2C">
        <w:t>figure</w:t>
      </w:r>
      <w:r w:rsidR="007D1214" w:rsidRPr="00A17C2C">
        <w:t> </w:t>
      </w:r>
      <w:r w:rsidR="000B7E98" w:rsidRPr="00A17C2C">
        <w:t>1</w:t>
      </w:r>
      <w:r w:rsidR="0001777A" w:rsidRPr="00A17C2C">
        <w:t>8</w:t>
      </w:r>
      <w:r w:rsidR="000B7E98" w:rsidRPr="00A17C2C">
        <w:t>.</w:t>
      </w:r>
      <w:r w:rsidR="007C3353" w:rsidRPr="00A17C2C">
        <w:t>6</w:t>
      </w:r>
      <w:r w:rsidR="00670713" w:rsidRPr="00A17C2C">
        <w:t xml:space="preserve"> </w:t>
      </w:r>
      <w:r w:rsidR="00670713" w:rsidRPr="00A17C2C">
        <w:rPr>
          <w:color w:val="000000" w:themeColor="text1"/>
        </w:rPr>
        <w:t>and tables</w:t>
      </w:r>
      <w:r w:rsidR="00B93213">
        <w:rPr>
          <w:color w:val="000000" w:themeColor="text1"/>
        </w:rPr>
        <w:t> </w:t>
      </w:r>
      <w:proofErr w:type="spellStart"/>
      <w:r w:rsidR="00670713" w:rsidRPr="00A17C2C">
        <w:rPr>
          <w:color w:val="000000" w:themeColor="text1"/>
        </w:rPr>
        <w:t>18A.36</w:t>
      </w:r>
      <w:proofErr w:type="spellEnd"/>
      <w:r w:rsidR="00670713" w:rsidRPr="00A17C2C">
        <w:rPr>
          <w:color w:val="000000" w:themeColor="text1"/>
        </w:rPr>
        <w:t xml:space="preserve">, </w:t>
      </w:r>
      <w:proofErr w:type="spellStart"/>
      <w:r w:rsidR="00670713" w:rsidRPr="00A17C2C">
        <w:rPr>
          <w:color w:val="000000" w:themeColor="text1"/>
        </w:rPr>
        <w:t>18A</w:t>
      </w:r>
      <w:r w:rsidR="00670713" w:rsidRPr="00670713">
        <w:rPr>
          <w:color w:val="000000" w:themeColor="text1"/>
        </w:rPr>
        <w:t>.38</w:t>
      </w:r>
      <w:proofErr w:type="spellEnd"/>
      <w:r w:rsidR="00D47994" w:rsidRPr="00881899">
        <w:t>).</w:t>
      </w:r>
    </w:p>
    <w:p w:rsidR="0029231D" w:rsidRDefault="0029231D" w:rsidP="0029231D">
      <w:pPr>
        <w:pStyle w:val="BodyText"/>
      </w:pPr>
      <w:r>
        <w:t>H</w:t>
      </w:r>
      <w:r w:rsidRPr="009C455A">
        <w:t xml:space="preserve">ouseholds with a member with disability </w:t>
      </w:r>
      <w:r>
        <w:t>were also less likely to report living in dwellings of an acceptable standard (</w:t>
      </w:r>
      <w:r w:rsidR="0094624A">
        <w:t>73.9</w:t>
      </w:r>
      <w:r>
        <w:t xml:space="preserve"> per cent in public housing,</w:t>
      </w:r>
      <w:r w:rsidR="0094624A">
        <w:t xml:space="preserve"> 70.2</w:t>
      </w:r>
      <w:r>
        <w:t xml:space="preserve"> per cent in </w:t>
      </w:r>
      <w:proofErr w:type="spellStart"/>
      <w:r>
        <w:t>SOMIH</w:t>
      </w:r>
      <w:proofErr w:type="spellEnd"/>
      <w:r>
        <w:t xml:space="preserve">, </w:t>
      </w:r>
      <w:r w:rsidRPr="00A17C2C">
        <w:t>and</w:t>
      </w:r>
      <w:r w:rsidR="00154E76" w:rsidRPr="00A17C2C">
        <w:t xml:space="preserve"> 86.1 </w:t>
      </w:r>
      <w:r w:rsidRPr="00A17C2C">
        <w:t>per cent</w:t>
      </w:r>
      <w:r>
        <w:t xml:space="preserve"> in community housing) (</w:t>
      </w:r>
      <w:r w:rsidR="00FC3C08">
        <w:t>tables</w:t>
      </w:r>
      <w:r w:rsidR="00B93213">
        <w:t> </w:t>
      </w:r>
      <w:proofErr w:type="spellStart"/>
      <w:r w:rsidR="003B2986">
        <w:t>18A.36</w:t>
      </w:r>
      <w:proofErr w:type="spellEnd"/>
      <w:r w:rsidRPr="009C455A">
        <w:t>–</w:t>
      </w:r>
      <w:r w:rsidR="003B2986">
        <w:t>38</w:t>
      </w:r>
      <w:r>
        <w:t>)</w:t>
      </w:r>
      <w:r w:rsidR="006F7A0C">
        <w:t>.</w:t>
      </w:r>
    </w:p>
    <w:p w:rsidR="00F57CCE" w:rsidRPr="006F7A0C" w:rsidRDefault="00F05D73" w:rsidP="006F7A0C">
      <w:pPr>
        <w:pStyle w:val="BodyText"/>
      </w:pPr>
      <w:r>
        <w:lastRenderedPageBreak/>
        <w:t xml:space="preserve">Nationally in </w:t>
      </w:r>
      <w:r w:rsidRPr="0094624A">
        <w:t>201</w:t>
      </w:r>
      <w:r w:rsidR="0094624A" w:rsidRPr="0094624A">
        <w:t>4</w:t>
      </w:r>
      <w:r w:rsidR="007D1214" w:rsidRPr="0094624A">
        <w:noBreakHyphen/>
      </w:r>
      <w:r w:rsidR="0094624A" w:rsidRPr="0094624A">
        <w:t>15</w:t>
      </w:r>
      <w:r w:rsidRPr="0094624A">
        <w:t>,</w:t>
      </w:r>
      <w:r>
        <w:t xml:space="preserve"> f</w:t>
      </w:r>
      <w:r w:rsidR="00E8441F">
        <w:t>or Indigenous community h</w:t>
      </w:r>
      <w:r w:rsidR="00886C8B">
        <w:t>ousing</w:t>
      </w:r>
      <w:r w:rsidR="00E8441F">
        <w:t xml:space="preserve"> tenants</w:t>
      </w:r>
      <w:r>
        <w:t>,</w:t>
      </w:r>
      <w:r w:rsidR="0094624A">
        <w:t xml:space="preserve"> </w:t>
      </w:r>
      <w:r w:rsidR="0094624A" w:rsidRPr="0094624A">
        <w:t>71.4</w:t>
      </w:r>
      <w:r w:rsidR="00B7770E">
        <w:t xml:space="preserve"> per cent of all dwellings </w:t>
      </w:r>
      <w:r w:rsidR="0090458C">
        <w:t>were</w:t>
      </w:r>
      <w:r w:rsidR="00881899">
        <w:t xml:space="preserve"> reported to be of an acceptable standard</w:t>
      </w:r>
      <w:r w:rsidR="00B7770E">
        <w:t xml:space="preserve"> </w:t>
      </w:r>
      <w:r w:rsidR="00451C44">
        <w:t>(</w:t>
      </w:r>
      <w:r w:rsidR="00FC3C08">
        <w:t>table </w:t>
      </w:r>
      <w:proofErr w:type="spellStart"/>
      <w:r w:rsidR="003B2986">
        <w:t>18A.39</w:t>
      </w:r>
      <w:proofErr w:type="spellEnd"/>
      <w:r w:rsidR="00B7770E" w:rsidRPr="00F05D73">
        <w:t>).</w:t>
      </w:r>
      <w:r w:rsidR="007D1214">
        <w:t xml:space="preserve"> </w:t>
      </w:r>
      <w:r w:rsidR="0029231D">
        <w:t xml:space="preserve">These data are unable to be disaggregated </w:t>
      </w:r>
      <w:r w:rsidR="00326EE4">
        <w:t>for</w:t>
      </w:r>
      <w:r w:rsidR="00BB38DF">
        <w:t xml:space="preserve"> households with a member with</w:t>
      </w:r>
      <w:r w:rsidR="00FC3C08">
        <w:t xml:space="preserve"> disability.</w:t>
      </w:r>
    </w:p>
    <w:p w:rsidR="00BB6F71" w:rsidRDefault="00BB6F71" w:rsidP="00BB6F7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BB6F71" w:rsidTr="006A2597">
        <w:tc>
          <w:tcPr>
            <w:tcW w:w="5000" w:type="pct"/>
            <w:tcBorders>
              <w:top w:val="single" w:sz="6" w:space="0" w:color="78A22F"/>
              <w:left w:val="nil"/>
              <w:bottom w:val="nil"/>
              <w:right w:val="nil"/>
            </w:tcBorders>
            <w:shd w:val="clear" w:color="auto" w:fill="auto"/>
          </w:tcPr>
          <w:p w:rsidR="00BB6F71" w:rsidRPr="00176D3F" w:rsidRDefault="00BB6F71" w:rsidP="007C3353">
            <w:pPr>
              <w:pStyle w:val="FigureTitle"/>
            </w:pPr>
            <w:r w:rsidRPr="00784A05">
              <w:rPr>
                <w:b w:val="0"/>
              </w:rPr>
              <w:t>Figure</w:t>
            </w:r>
            <w:r w:rsidR="000B7E98">
              <w:rPr>
                <w:b w:val="0"/>
              </w:rPr>
              <w:t xml:space="preserve"> </w:t>
            </w:r>
            <w:r w:rsidR="0001777A">
              <w:rPr>
                <w:b w:val="0"/>
              </w:rPr>
              <w:t>18</w:t>
            </w:r>
            <w:r w:rsidR="000B7E98">
              <w:rPr>
                <w:b w:val="0"/>
              </w:rPr>
              <w:t>.</w:t>
            </w:r>
            <w:r w:rsidR="007C3353">
              <w:rPr>
                <w:b w:val="0"/>
              </w:rPr>
              <w:t>6</w:t>
            </w:r>
            <w:r>
              <w:tab/>
              <w:t>Dwellings of an accep</w:t>
            </w:r>
            <w:r w:rsidR="00F22238">
              <w:t>table standard</w:t>
            </w:r>
            <w:r w:rsidR="002157D9">
              <w:t xml:space="preserve"> (a</w:t>
            </w:r>
            <w:r w:rsidR="00B11C80">
              <w:t xml:space="preserve">t least four working facilities </w:t>
            </w:r>
            <w:r w:rsidR="002157D9">
              <w:t>and not more than two major structural problems)</w:t>
            </w:r>
            <w:r w:rsidRPr="007D438E">
              <w:rPr>
                <w:rStyle w:val="NoteLabel"/>
                <w:b/>
              </w:rPr>
              <w:t>a</w:t>
            </w:r>
            <w:r w:rsidR="00D82241">
              <w:rPr>
                <w:rStyle w:val="NoteLabel"/>
                <w:b/>
              </w:rPr>
              <w:t>,</w:t>
            </w:r>
            <w:r w:rsidR="007A2B06">
              <w:rPr>
                <w:rStyle w:val="NoteLabel"/>
                <w:b/>
              </w:rPr>
              <w:t xml:space="preserve"> </w:t>
            </w:r>
            <w:r w:rsidR="00D82241">
              <w:rPr>
                <w:rStyle w:val="NoteLabel"/>
                <w:b/>
              </w:rPr>
              <w:t>b</w:t>
            </w:r>
          </w:p>
        </w:tc>
      </w:tr>
      <w:tr w:rsidR="006A2597" w:rsidTr="00BC3215">
        <w:tblPrEx>
          <w:tblCellMar>
            <w:left w:w="108" w:type="dxa"/>
            <w:right w:w="108" w:type="dxa"/>
          </w:tblCellMar>
        </w:tblPrEx>
        <w:trPr>
          <w:trHeight w:val="6633"/>
        </w:trPr>
        <w:tc>
          <w:tcPr>
            <w:tcW w:w="5000" w:type="pct"/>
            <w:tcBorders>
              <w:top w:val="nil"/>
              <w:left w:val="nil"/>
              <w:bottom w:val="nil"/>
              <w:right w:val="nil"/>
            </w:tcBorders>
            <w:shd w:val="clear" w:color="auto" w:fill="auto"/>
          </w:tcPr>
          <w:p w:rsidR="006A2597" w:rsidRDefault="00BC3215" w:rsidP="006A2597">
            <w:pPr>
              <w:pStyle w:val="Figure"/>
              <w:rPr>
                <w:rFonts w:ascii="Arial" w:hAnsi="Arial" w:cs="Arial"/>
                <w:b/>
                <w:sz w:val="20"/>
              </w:rPr>
            </w:pPr>
            <w:r>
              <w:rPr>
                <w:noProof/>
              </w:rPr>
              <w:t xml:space="preserve"> </w:t>
            </w:r>
            <w:r w:rsidR="000574B3">
              <w:rPr>
                <w:noProof/>
              </w:rPr>
              <w:drawing>
                <wp:inline distT="0" distB="0" distL="0" distR="0" wp14:anchorId="1C074D6E" wp14:editId="5F3223A4">
                  <wp:extent cx="2908300" cy="1938655"/>
                  <wp:effectExtent l="0" t="0" r="6350" b="4445"/>
                  <wp:docPr id="32" name="Picture 32" descr="Figure 18.6 Dwellings of an acceptable standard (at least four working facilities and not more than two major structural problems), 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08300" cy="1938655"/>
                          </a:xfrm>
                          <a:prstGeom prst="rect">
                            <a:avLst/>
                          </a:prstGeom>
                          <a:noFill/>
                        </pic:spPr>
                      </pic:pic>
                    </a:graphicData>
                  </a:graphic>
                </wp:inline>
              </w:drawing>
            </w:r>
            <w:r w:rsidRPr="00F444C6">
              <w:t xml:space="preserve"> </w:t>
            </w:r>
            <w:r w:rsidR="00C24289">
              <w:rPr>
                <w:noProof/>
              </w:rPr>
              <w:drawing>
                <wp:inline distT="0" distB="0" distL="0" distR="0" wp14:anchorId="218E2AA3" wp14:editId="660683CF">
                  <wp:extent cx="2524125" cy="1938655"/>
                  <wp:effectExtent l="0" t="0" r="9525" b="4445"/>
                  <wp:docPr id="14" name="Picture 14" descr="Figure 18.6 Dwellings of an acceptable standard (at least four working facilities and not more than two major structural problems),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24125" cy="1938655"/>
                          </a:xfrm>
                          <a:prstGeom prst="rect">
                            <a:avLst/>
                          </a:prstGeom>
                          <a:noFill/>
                        </pic:spPr>
                      </pic:pic>
                    </a:graphicData>
                  </a:graphic>
                </wp:inline>
              </w:drawing>
            </w:r>
            <w:r>
              <w:rPr>
                <w:noProof/>
              </w:rPr>
              <w:t xml:space="preserve">  </w:t>
            </w:r>
            <w:r w:rsidR="00C24289">
              <w:rPr>
                <w:noProof/>
              </w:rPr>
              <w:t xml:space="preserve"> </w:t>
            </w:r>
            <w:r w:rsidR="00946C21">
              <w:rPr>
                <w:noProof/>
              </w:rPr>
              <w:drawing>
                <wp:inline distT="0" distB="0" distL="0" distR="0" wp14:anchorId="22FB78D0" wp14:editId="24568A86">
                  <wp:extent cx="2524125" cy="1945005"/>
                  <wp:effectExtent l="0" t="0" r="9525" b="0"/>
                  <wp:docPr id="35" name="Picture 35" descr="Figure 18.6 Dwellings of an acceptable standard (at least four working facilities and not more than two major structural problems), 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4125" cy="1945005"/>
                          </a:xfrm>
                          <a:prstGeom prst="rect">
                            <a:avLst/>
                          </a:prstGeom>
                          <a:noFill/>
                        </pic:spPr>
                      </pic:pic>
                    </a:graphicData>
                  </a:graphic>
                </wp:inline>
              </w:drawing>
            </w:r>
            <w:r w:rsidR="00C24289">
              <w:rPr>
                <w:noProof/>
              </w:rPr>
              <w:t xml:space="preserve">   </w:t>
            </w:r>
            <w:r w:rsidR="00BA6A3F">
              <w:rPr>
                <w:noProof/>
              </w:rPr>
              <w:drawing>
                <wp:anchor distT="0" distB="0" distL="17780" distR="0" simplePos="0" relativeHeight="251656192" behindDoc="1" locked="0" layoutInCell="1" allowOverlap="1" wp14:anchorId="270CEAAF" wp14:editId="3593F14C">
                  <wp:simplePos x="0" y="0"/>
                  <wp:positionH relativeFrom="character">
                    <wp:posOffset>661670</wp:posOffset>
                  </wp:positionH>
                  <wp:positionV relativeFrom="paragraph">
                    <wp:posOffset>4040505</wp:posOffset>
                  </wp:positionV>
                  <wp:extent cx="683895" cy="158115"/>
                  <wp:effectExtent l="0" t="0" r="1905" b="0"/>
                  <wp:wrapTight wrapText="bothSides">
                    <wp:wrapPolygon edited="0">
                      <wp:start x="0" y="0"/>
                      <wp:lineTo x="0" y="18217"/>
                      <wp:lineTo x="21058" y="18217"/>
                      <wp:lineTo x="21058" y="0"/>
                      <wp:lineTo x="0" y="0"/>
                    </wp:wrapPolygon>
                  </wp:wrapTight>
                  <wp:docPr id="34" name="Picture 33" descr="Figure 18.6 Dwellings of an acceptable standard. References years for the public housing, SOMIH and Community housing data, 2014 and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3"/>
                          <pic:cNvPicPr>
                            <a:picLocks noChangeAspect="1"/>
                          </pic:cNvPicPr>
                        </pic:nvPicPr>
                        <pic:blipFill rotWithShape="1">
                          <a:blip r:embed="rId28">
                            <a:extLst>
                              <a:ext uri="{28A0092B-C50C-407E-A947-70E740481C1C}">
                                <a14:useLocalDpi xmlns:a14="http://schemas.microsoft.com/office/drawing/2010/main" val="0"/>
                              </a:ext>
                            </a:extLst>
                          </a:blip>
                          <a:srcRect l="42087" t="90799" r="41725" b="2522"/>
                          <a:stretch/>
                        </pic:blipFill>
                        <pic:spPr bwMode="auto">
                          <a:xfrm>
                            <a:off x="0" y="0"/>
                            <a:ext cx="683895" cy="1581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C4BA5">
              <w:rPr>
                <w:noProof/>
              </w:rPr>
              <w:drawing>
                <wp:inline distT="0" distB="0" distL="0" distR="0" wp14:anchorId="079CD385" wp14:editId="266B3FCD">
                  <wp:extent cx="2524125" cy="1945005"/>
                  <wp:effectExtent l="0" t="0" r="9525" b="0"/>
                  <wp:docPr id="31" name="Picture 31" descr="Figure 18.6 Dwellings of an acceptable standard (at least four working facilities and not more than two major structural problems), Indigenous community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4125" cy="1945005"/>
                          </a:xfrm>
                          <a:prstGeom prst="rect">
                            <a:avLst/>
                          </a:prstGeom>
                          <a:noFill/>
                        </pic:spPr>
                      </pic:pic>
                    </a:graphicData>
                  </a:graphic>
                </wp:inline>
              </w:drawing>
            </w:r>
          </w:p>
          <w:p w:rsidR="001644E4" w:rsidRDefault="00BA6A3F" w:rsidP="001644E4">
            <w:pPr>
              <w:pStyle w:val="Figure"/>
              <w:rPr>
                <w:rFonts w:ascii="Arial" w:hAnsi="Arial" w:cs="Arial"/>
                <w:b/>
                <w:sz w:val="16"/>
                <w:szCs w:val="16"/>
              </w:rPr>
            </w:pPr>
            <w:r>
              <w:rPr>
                <w:rFonts w:ascii="Arial" w:hAnsi="Arial" w:cs="Arial"/>
                <w:b/>
                <w:noProof/>
                <w:sz w:val="16"/>
                <w:szCs w:val="16"/>
              </w:rPr>
              <w:drawing>
                <wp:anchor distT="0" distB="0" distL="17780" distR="0" simplePos="0" relativeHeight="251661312" behindDoc="1" locked="0" layoutInCell="1" allowOverlap="1" wp14:anchorId="7B7B74EF" wp14:editId="4A41F061">
                  <wp:simplePos x="0" y="0"/>
                  <wp:positionH relativeFrom="column">
                    <wp:posOffset>3013075</wp:posOffset>
                  </wp:positionH>
                  <wp:positionV relativeFrom="paragraph">
                    <wp:posOffset>255905</wp:posOffset>
                  </wp:positionV>
                  <wp:extent cx="1022350" cy="118745"/>
                  <wp:effectExtent l="0" t="0" r="6350" b="0"/>
                  <wp:wrapTight wrapText="bothSides">
                    <wp:wrapPolygon edited="0">
                      <wp:start x="0" y="0"/>
                      <wp:lineTo x="0" y="17326"/>
                      <wp:lineTo x="21332" y="17326"/>
                      <wp:lineTo x="21332" y="0"/>
                      <wp:lineTo x="0" y="0"/>
                    </wp:wrapPolygon>
                  </wp:wrapTight>
                  <wp:docPr id="3" name="Picture 3" descr="Figure 18.6 Dwellings of an acceptable standard. Reference years for Indigenous community housing data, 2012-13 and 201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22350" cy="118745"/>
                          </a:xfrm>
                          <a:prstGeom prst="rect">
                            <a:avLst/>
                          </a:prstGeom>
                        </pic:spPr>
                      </pic:pic>
                    </a:graphicData>
                  </a:graphic>
                  <wp14:sizeRelH relativeFrom="margin">
                    <wp14:pctWidth>0</wp14:pctWidth>
                  </wp14:sizeRelH>
                  <wp14:sizeRelV relativeFrom="margin">
                    <wp14:pctHeight>0</wp14:pctHeight>
                  </wp14:sizeRelV>
                </wp:anchor>
              </w:drawing>
            </w:r>
            <w:r w:rsidR="001644E4">
              <w:rPr>
                <w:rFonts w:ascii="Arial" w:hAnsi="Arial" w:cs="Arial"/>
                <w:b/>
                <w:sz w:val="16"/>
                <w:szCs w:val="16"/>
              </w:rPr>
              <w:tab/>
            </w:r>
            <w:r w:rsidR="001644E4">
              <w:rPr>
                <w:rFonts w:ascii="Arial" w:hAnsi="Arial" w:cs="Arial"/>
                <w:b/>
                <w:sz w:val="16"/>
                <w:szCs w:val="16"/>
              </w:rPr>
              <w:tab/>
              <w:t>Public housing, </w:t>
            </w:r>
            <w:proofErr w:type="spellStart"/>
            <w:r w:rsidR="001644E4">
              <w:rPr>
                <w:rFonts w:ascii="Arial" w:hAnsi="Arial" w:cs="Arial"/>
                <w:b/>
                <w:sz w:val="16"/>
                <w:szCs w:val="16"/>
              </w:rPr>
              <w:t>SOMIH</w:t>
            </w:r>
            <w:proofErr w:type="spellEnd"/>
            <w:r w:rsidR="001644E4">
              <w:rPr>
                <w:rFonts w:ascii="Arial" w:hAnsi="Arial" w:cs="Arial"/>
                <w:b/>
                <w:sz w:val="16"/>
                <w:szCs w:val="16"/>
              </w:rPr>
              <w:t>, </w:t>
            </w:r>
            <w:r w:rsidR="009A7D9C" w:rsidRPr="009A7D9C">
              <w:rPr>
                <w:rFonts w:ascii="Arial" w:hAnsi="Arial" w:cs="Arial"/>
                <w:b/>
                <w:sz w:val="16"/>
                <w:szCs w:val="16"/>
              </w:rPr>
              <w:t xml:space="preserve">Community housing </w:t>
            </w:r>
            <w:r w:rsidR="009A7D9C">
              <w:rPr>
                <w:rFonts w:ascii="Arial" w:hAnsi="Arial" w:cs="Arial"/>
                <w:b/>
                <w:sz w:val="16"/>
                <w:szCs w:val="16"/>
              </w:rPr>
              <w:t xml:space="preserve">    </w:t>
            </w:r>
          </w:p>
          <w:p w:rsidR="009A7D9C" w:rsidRPr="005D5C61" w:rsidRDefault="001644E4" w:rsidP="001644E4">
            <w:pPr>
              <w:pStyle w:val="Figure"/>
              <w:rPr>
                <w:rFonts w:ascii="Arial" w:hAnsi="Arial" w:cs="Arial"/>
                <w:b/>
                <w:sz w:val="20"/>
              </w:rPr>
            </w:pPr>
            <w:r>
              <w:rPr>
                <w:rFonts w:ascii="Arial" w:hAnsi="Arial" w:cs="Arial"/>
                <w:b/>
                <w:sz w:val="16"/>
                <w:szCs w:val="16"/>
              </w:rPr>
              <w:tab/>
            </w:r>
            <w:r>
              <w:rPr>
                <w:rFonts w:ascii="Arial" w:hAnsi="Arial" w:cs="Arial"/>
                <w:b/>
                <w:sz w:val="16"/>
                <w:szCs w:val="16"/>
              </w:rPr>
              <w:tab/>
            </w:r>
            <w:r>
              <w:rPr>
                <w:rFonts w:ascii="Arial" w:hAnsi="Arial" w:cs="Arial"/>
                <w:b/>
                <w:sz w:val="16"/>
                <w:szCs w:val="16"/>
              </w:rPr>
              <w:tab/>
            </w:r>
            <w:r w:rsidR="009A7D9C">
              <w:rPr>
                <w:rFonts w:ascii="Arial" w:hAnsi="Arial" w:cs="Arial"/>
                <w:b/>
                <w:sz w:val="16"/>
                <w:szCs w:val="16"/>
              </w:rPr>
              <w:t>Indigenous c</w:t>
            </w:r>
            <w:r w:rsidR="009A7D9C" w:rsidRPr="009A7D9C">
              <w:rPr>
                <w:rFonts w:ascii="Arial" w:hAnsi="Arial" w:cs="Arial"/>
                <w:b/>
                <w:sz w:val="16"/>
                <w:szCs w:val="16"/>
              </w:rPr>
              <w:t>ommunity</w:t>
            </w:r>
            <w:r w:rsidR="009A7D9C">
              <w:rPr>
                <w:rFonts w:ascii="Arial" w:hAnsi="Arial" w:cs="Arial"/>
                <w:b/>
                <w:sz w:val="16"/>
                <w:szCs w:val="16"/>
              </w:rPr>
              <w:t xml:space="preserve"> housing</w:t>
            </w:r>
          </w:p>
        </w:tc>
      </w:tr>
      <w:tr w:rsidR="00BB6F71" w:rsidRPr="00176D3F" w:rsidTr="006A2597">
        <w:tc>
          <w:tcPr>
            <w:tcW w:w="5000" w:type="pct"/>
            <w:tcBorders>
              <w:top w:val="nil"/>
              <w:left w:val="nil"/>
              <w:bottom w:val="nil"/>
              <w:right w:val="nil"/>
            </w:tcBorders>
            <w:shd w:val="clear" w:color="auto" w:fill="auto"/>
          </w:tcPr>
          <w:p w:rsidR="00BB6F71" w:rsidRPr="006F7A0C" w:rsidRDefault="00BB6F71" w:rsidP="00354742">
            <w:pPr>
              <w:pStyle w:val="Note"/>
              <w:rPr>
                <w:rStyle w:val="DraftingNote"/>
                <w:color w:val="auto"/>
                <w:sz w:val="20"/>
              </w:rPr>
            </w:pPr>
            <w:r>
              <w:rPr>
                <w:rStyle w:val="NoteLabel"/>
              </w:rPr>
              <w:t>a</w:t>
            </w:r>
            <w:r>
              <w:t xml:space="preserve"> </w:t>
            </w:r>
            <w:r w:rsidR="002157D9">
              <w:t>See box</w:t>
            </w:r>
            <w:r w:rsidR="007D1214">
              <w:t> </w:t>
            </w:r>
            <w:r w:rsidR="002157D9">
              <w:t>1</w:t>
            </w:r>
            <w:r w:rsidR="00BB5630">
              <w:t>8</w:t>
            </w:r>
            <w:r w:rsidR="002157D9">
              <w:t>.</w:t>
            </w:r>
            <w:r w:rsidR="00790CB2">
              <w:t>10</w:t>
            </w:r>
            <w:r w:rsidR="002157D9">
              <w:t xml:space="preserve"> and tables</w:t>
            </w:r>
            <w:r w:rsidR="007D1214">
              <w:t> </w:t>
            </w:r>
            <w:proofErr w:type="spellStart"/>
            <w:r w:rsidR="003B2986">
              <w:t>18A.36</w:t>
            </w:r>
            <w:proofErr w:type="spellEnd"/>
            <w:r w:rsidR="002157D9">
              <w:t>–</w:t>
            </w:r>
            <w:r w:rsidR="003B2986">
              <w:t>39</w:t>
            </w:r>
            <w:r w:rsidR="002157D9">
              <w:t xml:space="preserve"> for detailed definitions, footnotes and caveats.</w:t>
            </w:r>
            <w:r w:rsidR="00D82241">
              <w:t xml:space="preserve"> </w:t>
            </w:r>
            <w:r w:rsidR="00D82241" w:rsidRPr="00D0217C">
              <w:rPr>
                <w:rStyle w:val="NoteLabel"/>
              </w:rPr>
              <w:t xml:space="preserve">b </w:t>
            </w:r>
            <w:r w:rsidR="00341E25">
              <w:t xml:space="preserve">Community housing data </w:t>
            </w:r>
            <w:r w:rsidR="00BD2DBB">
              <w:t>are</w:t>
            </w:r>
            <w:r w:rsidR="00341E25">
              <w:t xml:space="preserve"> not available for the NT. </w:t>
            </w:r>
            <w:r w:rsidR="00D82241">
              <w:t xml:space="preserve">There were no </w:t>
            </w:r>
            <w:proofErr w:type="spellStart"/>
            <w:r w:rsidR="00D82241">
              <w:t>ICH</w:t>
            </w:r>
            <w:proofErr w:type="spellEnd"/>
            <w:r w:rsidR="00D82241">
              <w:t xml:space="preserve"> respondents in t</w:t>
            </w:r>
            <w:r w:rsidR="00BD2DBB">
              <w:t>he survey sample for the ACT.</w:t>
            </w:r>
            <w:r w:rsidR="00341E25">
              <w:t xml:space="preserve"> For Tasmania, </w:t>
            </w:r>
            <w:proofErr w:type="spellStart"/>
            <w:r w:rsidR="00341E25">
              <w:t>ICH</w:t>
            </w:r>
            <w:proofErr w:type="spellEnd"/>
            <w:r w:rsidR="00341E25">
              <w:t xml:space="preserve"> data for </w:t>
            </w:r>
            <w:r w:rsidR="008850F6">
              <w:t>2014</w:t>
            </w:r>
            <w:r w:rsidR="00B93213">
              <w:noBreakHyphen/>
            </w:r>
            <w:r w:rsidR="008850F6">
              <w:t xml:space="preserve">15 </w:t>
            </w:r>
            <w:r w:rsidR="00341E25">
              <w:t xml:space="preserve">are </w:t>
            </w:r>
            <w:r w:rsidR="00BD2DBB">
              <w:t>not published as the estimate is considered too unreliable for general use.</w:t>
            </w:r>
          </w:p>
        </w:tc>
      </w:tr>
      <w:tr w:rsidR="00BB6F71" w:rsidRPr="00176D3F" w:rsidTr="006A2597">
        <w:tc>
          <w:tcPr>
            <w:tcW w:w="5000" w:type="pct"/>
            <w:tcBorders>
              <w:top w:val="nil"/>
              <w:left w:val="nil"/>
              <w:bottom w:val="nil"/>
              <w:right w:val="nil"/>
            </w:tcBorders>
            <w:shd w:val="clear" w:color="auto" w:fill="auto"/>
          </w:tcPr>
          <w:p w:rsidR="00BB6F71" w:rsidRPr="00176D3F" w:rsidRDefault="00BB6F71" w:rsidP="000650F5">
            <w:pPr>
              <w:pStyle w:val="Source"/>
            </w:pPr>
            <w:r>
              <w:rPr>
                <w:i/>
              </w:rPr>
              <w:t>S</w:t>
            </w:r>
            <w:r w:rsidRPr="00784A05">
              <w:rPr>
                <w:i/>
              </w:rPr>
              <w:t>ource</w:t>
            </w:r>
            <w:r w:rsidRPr="00176D3F">
              <w:t xml:space="preserve">: </w:t>
            </w:r>
            <w:r w:rsidR="007A2B06" w:rsidRPr="007A2B06">
              <w:t xml:space="preserve">ABS </w:t>
            </w:r>
            <w:r w:rsidR="007A2B06">
              <w:t xml:space="preserve">(unpublished) </w:t>
            </w:r>
            <w:r w:rsidR="007A2B06" w:rsidRPr="007A2B06">
              <w:t>National Aboriginal and Torres Strait Islander Social Survey 2014</w:t>
            </w:r>
            <w:r w:rsidR="00B93213">
              <w:noBreakHyphen/>
            </w:r>
            <w:r w:rsidR="007A2B06" w:rsidRPr="007A2B06">
              <w:t xml:space="preserve">15; </w:t>
            </w:r>
            <w:r w:rsidR="000D110C">
              <w:t xml:space="preserve">ABS (unpublished) </w:t>
            </w:r>
            <w:r w:rsidR="000D110C" w:rsidRPr="008E1D76">
              <w:t xml:space="preserve">National Aboriginal and Torres Strait </w:t>
            </w:r>
            <w:r w:rsidR="000D110C" w:rsidRPr="007A2B06">
              <w:t>Islander Health Survey 2012</w:t>
            </w:r>
            <w:r w:rsidR="007D1214" w:rsidRPr="007A2B06">
              <w:noBreakHyphen/>
            </w:r>
            <w:r w:rsidR="000D110C" w:rsidRPr="007A2B06">
              <w:t>13,</w:t>
            </w:r>
            <w:r w:rsidR="000D110C" w:rsidRPr="00F306D1">
              <w:t xml:space="preserve"> </w:t>
            </w:r>
            <w:proofErr w:type="spellStart"/>
            <w:r w:rsidRPr="00F306D1">
              <w:t>AIHW</w:t>
            </w:r>
            <w:proofErr w:type="spellEnd"/>
            <w:r w:rsidRPr="00F306D1">
              <w:t xml:space="preserve"> (unpublished) </w:t>
            </w:r>
            <w:r w:rsidRPr="008E1D76">
              <w:t>Na</w:t>
            </w:r>
            <w:r w:rsidR="008D350D" w:rsidRPr="008E1D76">
              <w:t>tional Social Housing Survey</w:t>
            </w:r>
            <w:r w:rsidR="008D350D">
              <w:t xml:space="preserve"> </w:t>
            </w:r>
            <w:r w:rsidR="008D350D" w:rsidRPr="007A2B06">
              <w:t>2014</w:t>
            </w:r>
            <w:r w:rsidR="007A2B06">
              <w:t>,</w:t>
            </w:r>
            <w:r w:rsidR="00A43D82" w:rsidRPr="007A2B06">
              <w:t xml:space="preserve"> 2016</w:t>
            </w:r>
            <w:r w:rsidR="008D350D" w:rsidRPr="007A2B06">
              <w:t>; tables</w:t>
            </w:r>
            <w:r w:rsidR="008D350D">
              <w:t> </w:t>
            </w:r>
            <w:proofErr w:type="spellStart"/>
            <w:r w:rsidR="003B2986">
              <w:t>18A.36</w:t>
            </w:r>
            <w:proofErr w:type="spellEnd"/>
            <w:r w:rsidR="00F306D1">
              <w:t>–</w:t>
            </w:r>
            <w:r w:rsidR="003B2986">
              <w:t>39</w:t>
            </w:r>
            <w:r w:rsidR="008D350D">
              <w:t>.</w:t>
            </w:r>
          </w:p>
        </w:tc>
      </w:tr>
      <w:tr w:rsidR="00BB6F71" w:rsidTr="006A2597">
        <w:tc>
          <w:tcPr>
            <w:tcW w:w="5000" w:type="pct"/>
            <w:tcBorders>
              <w:top w:val="nil"/>
              <w:left w:val="nil"/>
              <w:bottom w:val="single" w:sz="6" w:space="0" w:color="78A22F"/>
              <w:right w:val="nil"/>
            </w:tcBorders>
            <w:shd w:val="clear" w:color="auto" w:fill="auto"/>
          </w:tcPr>
          <w:p w:rsidR="00BB6F71" w:rsidRDefault="00BB6F71" w:rsidP="001668C7">
            <w:pPr>
              <w:pStyle w:val="Figurespace"/>
            </w:pPr>
          </w:p>
        </w:tc>
      </w:tr>
    </w:tbl>
    <w:p w:rsidR="000E1427" w:rsidRDefault="000E1427" w:rsidP="000B0440">
      <w:pPr>
        <w:pStyle w:val="BoxSpaceBelow"/>
      </w:pPr>
    </w:p>
    <w:p w:rsidR="000E1427" w:rsidRPr="00BE5555" w:rsidRDefault="000E1427" w:rsidP="00EC7078">
      <w:pPr>
        <w:pStyle w:val="Heading4"/>
      </w:pPr>
      <w:r>
        <w:t xml:space="preserve">Quality — </w:t>
      </w:r>
      <w:r w:rsidRPr="00BE5555">
        <w:t>Customer satisfaction</w:t>
      </w:r>
    </w:p>
    <w:p w:rsidR="000E1427" w:rsidRDefault="000E1427" w:rsidP="00EC7078">
      <w:pPr>
        <w:pStyle w:val="BodyText"/>
        <w:spacing w:after="240"/>
        <w:rPr>
          <w:szCs w:val="24"/>
        </w:rPr>
      </w:pPr>
      <w:r w:rsidRPr="00462933">
        <w:t xml:space="preserve">‘Customer satisfaction’ is an indicator of governments’ objective to provide </w:t>
      </w:r>
      <w:r w:rsidR="00A21E99">
        <w:t>social housing</w:t>
      </w:r>
      <w:r w:rsidR="009049E5">
        <w:rPr>
          <w:szCs w:val="24"/>
        </w:rPr>
        <w:t xml:space="preserve"> services that are high quality</w:t>
      </w:r>
      <w:r w:rsidRPr="00462933">
        <w:rPr>
          <w:szCs w:val="24"/>
        </w:rPr>
        <w:t xml:space="preserve"> (box</w:t>
      </w:r>
      <w:r>
        <w:rPr>
          <w:szCs w:val="24"/>
        </w:rPr>
        <w:t> 18</w:t>
      </w:r>
      <w:r w:rsidRPr="00462933">
        <w:rPr>
          <w:szCs w:val="24"/>
        </w:rPr>
        <w:t>.</w:t>
      </w:r>
      <w:r w:rsidR="00790CB2">
        <w:rPr>
          <w:szCs w:val="24"/>
        </w:rPr>
        <w:t>11</w:t>
      </w:r>
      <w:r w:rsidRPr="00462933">
        <w:rPr>
          <w:szCs w:val="24"/>
        </w:rPr>
        <w:t>).</w:t>
      </w:r>
    </w:p>
    <w:p w:rsidR="000E1427" w:rsidRDefault="000E1427" w:rsidP="00EC7078">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0E1427" w:rsidTr="00746E44">
        <w:tc>
          <w:tcPr>
            <w:tcW w:w="5000" w:type="pct"/>
            <w:tcBorders>
              <w:top w:val="single" w:sz="6" w:space="0" w:color="78A22F"/>
              <w:left w:val="nil"/>
              <w:bottom w:val="nil"/>
              <w:right w:val="nil"/>
            </w:tcBorders>
            <w:shd w:val="clear" w:color="auto" w:fill="F2F2F2" w:themeFill="background1" w:themeFillShade="F2"/>
          </w:tcPr>
          <w:p w:rsidR="000E1427" w:rsidRDefault="00790CB2" w:rsidP="00790CB2">
            <w:pPr>
              <w:pStyle w:val="BoxTitle"/>
            </w:pPr>
            <w:r>
              <w:rPr>
                <w:b w:val="0"/>
              </w:rPr>
              <w:t>Box 18.</w:t>
            </w:r>
            <w:r w:rsidR="00892185">
              <w:rPr>
                <w:b w:val="0"/>
                <w:noProof/>
              </w:rPr>
              <w:t>11</w:t>
            </w:r>
            <w:r w:rsidR="000E1427">
              <w:tab/>
            </w:r>
            <w:r w:rsidR="000E1427" w:rsidRPr="00153CFD">
              <w:t>Customer satisfaction</w:t>
            </w:r>
          </w:p>
        </w:tc>
      </w:tr>
      <w:tr w:rsidR="000E1427" w:rsidTr="00746E44">
        <w:trPr>
          <w:cantSplit/>
        </w:trPr>
        <w:tc>
          <w:tcPr>
            <w:tcW w:w="5000" w:type="pct"/>
            <w:tcBorders>
              <w:top w:val="nil"/>
              <w:left w:val="nil"/>
              <w:bottom w:val="nil"/>
              <w:right w:val="nil"/>
            </w:tcBorders>
            <w:shd w:val="clear" w:color="auto" w:fill="F2F2F2" w:themeFill="background1" w:themeFillShade="F2"/>
          </w:tcPr>
          <w:p w:rsidR="000E1427" w:rsidRPr="004F0EC5" w:rsidRDefault="000E1427" w:rsidP="00746E44">
            <w:pPr>
              <w:pStyle w:val="Box"/>
            </w:pPr>
            <w:r w:rsidRPr="004F0EC5">
              <w:t xml:space="preserve">‘Customer satisfaction’ is defined as the proportion of social housing </w:t>
            </w:r>
            <w:r w:rsidR="000A59A1">
              <w:t xml:space="preserve">survey respondents </w:t>
            </w:r>
            <w:r w:rsidRPr="004F0EC5">
              <w:t xml:space="preserve">who </w:t>
            </w:r>
            <w:r w:rsidR="00E411E4" w:rsidRPr="00E411E4">
              <w:t xml:space="preserve">indicated </w:t>
            </w:r>
            <w:r w:rsidRPr="004F0EC5">
              <w:t>they were satisfied or very satisfied with the overall service provided by their housing provider.</w:t>
            </w:r>
          </w:p>
          <w:p w:rsidR="000E1427" w:rsidRPr="004F0EC5" w:rsidRDefault="000E1427" w:rsidP="00746E44">
            <w:pPr>
              <w:pStyle w:val="Box"/>
            </w:pPr>
            <w:r w:rsidRPr="004F0EC5">
              <w:t xml:space="preserve">A high or increasing </w:t>
            </w:r>
            <w:r w:rsidR="00661335">
              <w:t>level of</w:t>
            </w:r>
            <w:r w:rsidRPr="004F0EC5">
              <w:t xml:space="preserve"> customer </w:t>
            </w:r>
            <w:r w:rsidR="004D2864" w:rsidRPr="004F0EC5">
              <w:t>satisfaction</w:t>
            </w:r>
            <w:r w:rsidR="004D2864">
              <w:t xml:space="preserve"> is</w:t>
            </w:r>
            <w:r w:rsidR="000A59A1">
              <w:t xml:space="preserve"> desirable</w:t>
            </w:r>
            <w:r w:rsidRPr="004F0EC5">
              <w:t>.</w:t>
            </w:r>
          </w:p>
          <w:p w:rsidR="000E1427" w:rsidRPr="004F0EC5" w:rsidRDefault="000E1427" w:rsidP="00746E44">
            <w:pPr>
              <w:pStyle w:val="Box"/>
            </w:pPr>
            <w:r w:rsidRPr="004F0EC5">
              <w:t xml:space="preserve">Data are reported for public housing, </w:t>
            </w:r>
            <w:proofErr w:type="spellStart"/>
            <w:r w:rsidRPr="004F0EC5">
              <w:t>SOMIH</w:t>
            </w:r>
            <w:proofErr w:type="spellEnd"/>
            <w:r w:rsidRPr="004F0EC5">
              <w:t xml:space="preserve"> and community housing</w:t>
            </w:r>
            <w:r w:rsidR="00D936CC">
              <w:t xml:space="preserve"> (</w:t>
            </w:r>
            <w:proofErr w:type="spellStart"/>
            <w:r w:rsidR="00D936CC">
              <w:t>ICH</w:t>
            </w:r>
            <w:proofErr w:type="spellEnd"/>
            <w:r w:rsidR="00D936CC">
              <w:t xml:space="preserve"> data are</w:t>
            </w:r>
            <w:r w:rsidR="009049E5">
              <w:t xml:space="preserve"> not </w:t>
            </w:r>
            <w:r w:rsidRPr="004F0EC5">
              <w:t>available</w:t>
            </w:r>
            <w:r w:rsidR="00D936CC">
              <w:t>) and are</w:t>
            </w:r>
            <w:r w:rsidR="006F7A0C">
              <w:t>:</w:t>
            </w:r>
          </w:p>
          <w:p w:rsidR="000E1427" w:rsidRPr="004F0EC5" w:rsidRDefault="000E1427" w:rsidP="000A59A1">
            <w:pPr>
              <w:pStyle w:val="BoxListBullet"/>
            </w:pPr>
            <w:r w:rsidRPr="004F0EC5">
              <w:t xml:space="preserve">comparable (subject to caveats) across jurisdictions for the current reporting period </w:t>
            </w:r>
            <w:r w:rsidR="000A59A1">
              <w:t>and</w:t>
            </w:r>
            <w:r w:rsidRPr="000A59A1">
              <w:t xml:space="preserve"> comparable </w:t>
            </w:r>
            <w:r w:rsidR="000A59A1" w:rsidRPr="000A59A1">
              <w:t xml:space="preserve">(subject to caveats) </w:t>
            </w:r>
            <w:r w:rsidRPr="000A59A1">
              <w:t>with data for 201</w:t>
            </w:r>
            <w:r w:rsidR="008144EC" w:rsidRPr="000A59A1">
              <w:t>4</w:t>
            </w:r>
            <w:r w:rsidRPr="000A59A1">
              <w:t xml:space="preserve"> </w:t>
            </w:r>
            <w:r w:rsidR="000A59A1">
              <w:t>but not with</w:t>
            </w:r>
            <w:r w:rsidR="000A59A1" w:rsidRPr="004F0EC5">
              <w:t xml:space="preserve"> </w:t>
            </w:r>
            <w:r w:rsidRPr="004F0EC5">
              <w:t>earlier</w:t>
            </w:r>
            <w:r>
              <w:t xml:space="preserve"> surveys</w:t>
            </w:r>
          </w:p>
          <w:p w:rsidR="000E1427" w:rsidRPr="004F0EC5" w:rsidRDefault="000E1427" w:rsidP="00746E44">
            <w:pPr>
              <w:pStyle w:val="Box"/>
              <w:numPr>
                <w:ilvl w:val="0"/>
                <w:numId w:val="1"/>
              </w:numPr>
            </w:pPr>
            <w:r w:rsidRPr="00A17C2C">
              <w:t xml:space="preserve">comparable </w:t>
            </w:r>
            <w:r w:rsidR="00650D47" w:rsidRPr="00A17C2C">
              <w:t xml:space="preserve">(subject to caveats) </w:t>
            </w:r>
            <w:r w:rsidRPr="00A17C2C">
              <w:t>across public housi</w:t>
            </w:r>
            <w:r w:rsidR="000A59A1" w:rsidRPr="00A17C2C">
              <w:t xml:space="preserve">ng, </w:t>
            </w:r>
            <w:proofErr w:type="spellStart"/>
            <w:r w:rsidR="000A59A1" w:rsidRPr="00A17C2C">
              <w:t>SOMIH</w:t>
            </w:r>
            <w:proofErr w:type="spellEnd"/>
            <w:r w:rsidR="000A59A1" w:rsidRPr="00A17C2C">
              <w:t xml:space="preserve"> and community housing</w:t>
            </w:r>
          </w:p>
          <w:p w:rsidR="000E1427" w:rsidRPr="004F0EC5" w:rsidRDefault="000E1427" w:rsidP="00746E44">
            <w:pPr>
              <w:pStyle w:val="Box"/>
              <w:numPr>
                <w:ilvl w:val="0"/>
                <w:numId w:val="1"/>
              </w:numPr>
            </w:pPr>
            <w:r w:rsidRPr="004F0EC5">
              <w:t xml:space="preserve">complete for public housing and </w:t>
            </w:r>
            <w:proofErr w:type="spellStart"/>
            <w:r w:rsidRPr="004F0EC5">
              <w:t>SOMIH</w:t>
            </w:r>
            <w:proofErr w:type="spellEnd"/>
            <w:r w:rsidRPr="004F0EC5">
              <w:t xml:space="preserve"> for the current reporting period (subject to caveats). All required</w:t>
            </w:r>
            <w:r w:rsidR="00332446">
              <w:t xml:space="preserve"> 2016</w:t>
            </w:r>
            <w:r w:rsidRPr="004F0EC5">
              <w:t xml:space="preserve"> data are available for all jurisdictions providing the service</w:t>
            </w:r>
          </w:p>
          <w:p w:rsidR="000E1427" w:rsidRDefault="000E1427" w:rsidP="00C80198">
            <w:pPr>
              <w:pStyle w:val="BoxListBullet"/>
            </w:pPr>
            <w:r w:rsidRPr="004F0EC5">
              <w:t xml:space="preserve">incomplete for community housing. All required </w:t>
            </w:r>
            <w:r w:rsidR="00332446">
              <w:t xml:space="preserve">2016 </w:t>
            </w:r>
            <w:r w:rsidRPr="004F0EC5">
              <w:t xml:space="preserve">data were not available for the </w:t>
            </w:r>
            <w:r>
              <w:t>NT</w:t>
            </w:r>
            <w:r w:rsidRPr="004F0EC5">
              <w:t>.</w:t>
            </w:r>
          </w:p>
        </w:tc>
      </w:tr>
      <w:tr w:rsidR="000E1427" w:rsidTr="00746E44">
        <w:trPr>
          <w:cantSplit/>
        </w:trPr>
        <w:tc>
          <w:tcPr>
            <w:tcW w:w="5000" w:type="pct"/>
            <w:tcBorders>
              <w:top w:val="nil"/>
              <w:left w:val="nil"/>
              <w:bottom w:val="single" w:sz="6" w:space="0" w:color="78A22F"/>
              <w:right w:val="nil"/>
            </w:tcBorders>
            <w:shd w:val="clear" w:color="auto" w:fill="F2F2F2" w:themeFill="background1" w:themeFillShade="F2"/>
          </w:tcPr>
          <w:p w:rsidR="000E1427" w:rsidRDefault="000E1427" w:rsidP="00746E44">
            <w:pPr>
              <w:pStyle w:val="Box"/>
              <w:spacing w:before="0" w:line="120" w:lineRule="exact"/>
            </w:pPr>
          </w:p>
        </w:tc>
      </w:tr>
      <w:tr w:rsidR="000E1427" w:rsidRPr="000863A5" w:rsidTr="00746E44">
        <w:tc>
          <w:tcPr>
            <w:tcW w:w="5000" w:type="pct"/>
            <w:tcBorders>
              <w:top w:val="single" w:sz="6" w:space="0" w:color="78A22F"/>
              <w:left w:val="nil"/>
              <w:bottom w:val="nil"/>
              <w:right w:val="nil"/>
            </w:tcBorders>
          </w:tcPr>
          <w:p w:rsidR="000E1427" w:rsidRPr="00626D32" w:rsidRDefault="000E1427" w:rsidP="00746E44">
            <w:pPr>
              <w:pStyle w:val="BoxSpaceBelow"/>
            </w:pPr>
          </w:p>
        </w:tc>
      </w:tr>
    </w:tbl>
    <w:p w:rsidR="000E1427" w:rsidRPr="004372D7" w:rsidRDefault="000E1427" w:rsidP="006F7A0C">
      <w:pPr>
        <w:pStyle w:val="BodyText"/>
      </w:pPr>
      <w:r>
        <w:t>Nationally in</w:t>
      </w:r>
      <w:r w:rsidR="004805C8">
        <w:t xml:space="preserve"> 2016</w:t>
      </w:r>
      <w:r>
        <w:t xml:space="preserve">, the majority of social housing tenants were satisfied or very satisfied with the overall service provided by their housing provider </w:t>
      </w:r>
      <w:r w:rsidR="004805C8" w:rsidRPr="004805C8">
        <w:t>(73</w:t>
      </w:r>
      <w:r w:rsidR="004805C8">
        <w:t>.1 </w:t>
      </w:r>
      <w:r>
        <w:t>per cent for public housing,</w:t>
      </w:r>
      <w:r w:rsidR="004805C8">
        <w:t xml:space="preserve"> 67.6</w:t>
      </w:r>
      <w:r>
        <w:t xml:space="preserve"> per cent for </w:t>
      </w:r>
      <w:proofErr w:type="spellStart"/>
      <w:r w:rsidRPr="008F2728">
        <w:t>SOMIH</w:t>
      </w:r>
      <w:proofErr w:type="spellEnd"/>
      <w:r w:rsidRPr="008F2728">
        <w:t>, and</w:t>
      </w:r>
      <w:r w:rsidR="00E87318">
        <w:t xml:space="preserve"> 80.3</w:t>
      </w:r>
      <w:r w:rsidRPr="008F2728">
        <w:t xml:space="preserve"> per cent for community housing)</w:t>
      </w:r>
      <w:r w:rsidR="002875F4">
        <w:t xml:space="preserve"> </w:t>
      </w:r>
      <w:r w:rsidR="007C3353">
        <w:t>(figure 18.7</w:t>
      </w:r>
      <w:r w:rsidRPr="008F2728">
        <w:t>).</w:t>
      </w:r>
      <w:r w:rsidR="00C5023E">
        <w:t xml:space="preserve"> </w:t>
      </w:r>
      <w:r w:rsidR="00C5023E">
        <w:rPr>
          <w:color w:val="000000" w:themeColor="text1"/>
        </w:rPr>
        <w:t>Customer satisfaction d</w:t>
      </w:r>
      <w:r w:rsidR="00C5023E" w:rsidRPr="00C93CD9">
        <w:rPr>
          <w:color w:val="000000" w:themeColor="text1"/>
        </w:rPr>
        <w:t>ata for households with a member w</w:t>
      </w:r>
      <w:r w:rsidR="00C5023E">
        <w:rPr>
          <w:color w:val="000000" w:themeColor="text1"/>
        </w:rPr>
        <w:t xml:space="preserve">ith disability </w:t>
      </w:r>
      <w:r w:rsidR="00C5023E" w:rsidRPr="00C93CD9">
        <w:rPr>
          <w:color w:val="000000" w:themeColor="text1"/>
        </w:rPr>
        <w:t>are available in tables</w:t>
      </w:r>
      <w:r w:rsidR="00C5023E">
        <w:rPr>
          <w:color w:val="000000" w:themeColor="text1"/>
        </w:rPr>
        <w:t> </w:t>
      </w:r>
      <w:proofErr w:type="spellStart"/>
      <w:r w:rsidR="009D52B2">
        <w:t>18A.40</w:t>
      </w:r>
      <w:proofErr w:type="spellEnd"/>
      <w:r w:rsidR="00C5023E">
        <w:rPr>
          <w:color w:val="000000" w:themeColor="text1"/>
        </w:rPr>
        <w:t>–</w:t>
      </w:r>
      <w:r w:rsidR="009D52B2">
        <w:t>42</w:t>
      </w:r>
      <w:r w:rsidR="00C5023E" w:rsidRPr="00C93CD9">
        <w:rPr>
          <w:color w:val="000000" w:themeColor="text1"/>
        </w:rPr>
        <w:t>.</w:t>
      </w:r>
    </w:p>
    <w:p w:rsidR="000E1427" w:rsidRDefault="000E1427" w:rsidP="00EC707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04"/>
      </w:tblGrid>
      <w:tr w:rsidR="000E1427" w:rsidTr="00746E44">
        <w:tc>
          <w:tcPr>
            <w:tcW w:w="8771" w:type="dxa"/>
            <w:tcBorders>
              <w:top w:val="single" w:sz="6" w:space="0" w:color="78A22F"/>
              <w:left w:val="nil"/>
              <w:bottom w:val="nil"/>
              <w:right w:val="nil"/>
            </w:tcBorders>
            <w:shd w:val="clear" w:color="auto" w:fill="auto"/>
          </w:tcPr>
          <w:p w:rsidR="000E1427" w:rsidRPr="00805950" w:rsidRDefault="000E1427" w:rsidP="00D936CC">
            <w:pPr>
              <w:pStyle w:val="FigureTitle"/>
              <w:rPr>
                <w:rStyle w:val="NoteLabel"/>
              </w:rPr>
            </w:pPr>
            <w:r w:rsidRPr="00784A05">
              <w:rPr>
                <w:b w:val="0"/>
              </w:rPr>
              <w:t xml:space="preserve">Figure </w:t>
            </w:r>
            <w:r w:rsidR="007C3353">
              <w:rPr>
                <w:b w:val="0"/>
              </w:rPr>
              <w:t>18.7</w:t>
            </w:r>
            <w:r>
              <w:tab/>
              <w:t>Proportion of tenants either satisfied or very satisfied with the service provided by the State or Territory housing authority,</w:t>
            </w:r>
            <w:r w:rsidR="00531453">
              <w:t xml:space="preserve"> 2016</w:t>
            </w:r>
            <w:r w:rsidRPr="00531453">
              <w:rPr>
                <w:rStyle w:val="NoteLabel"/>
                <w:b/>
              </w:rPr>
              <w:t>a</w:t>
            </w:r>
            <w:r>
              <w:rPr>
                <w:rStyle w:val="NoteLabel"/>
                <w:b/>
              </w:rPr>
              <w:t>, b</w:t>
            </w:r>
          </w:p>
        </w:tc>
      </w:tr>
      <w:tr w:rsidR="000E1427" w:rsidTr="00746E4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92D050"/>
              <w:tblCellMar>
                <w:top w:w="28" w:type="dxa"/>
                <w:left w:w="0" w:type="dxa"/>
                <w:right w:w="0" w:type="dxa"/>
              </w:tblCellMar>
              <w:tblLook w:val="0000" w:firstRow="0" w:lastRow="0" w:firstColumn="0" w:lastColumn="0" w:noHBand="0" w:noVBand="0"/>
            </w:tblPr>
            <w:tblGrid>
              <w:gridCol w:w="8520"/>
            </w:tblGrid>
            <w:tr w:rsidR="000E1427" w:rsidTr="00746E44">
              <w:trPr>
                <w:jc w:val="center"/>
              </w:trPr>
              <w:tc>
                <w:tcPr>
                  <w:tcW w:w="5000" w:type="pct"/>
                  <w:tcBorders>
                    <w:top w:val="nil"/>
                    <w:bottom w:val="nil"/>
                  </w:tcBorders>
                  <w:shd w:val="clear" w:color="auto" w:fill="auto"/>
                </w:tcPr>
                <w:p w:rsidR="000E1427" w:rsidRDefault="009D6A29" w:rsidP="00746E44">
                  <w:pPr>
                    <w:pStyle w:val="Figure"/>
                    <w:spacing w:before="60" w:after="60"/>
                  </w:pPr>
                  <w:r>
                    <w:rPr>
                      <w:noProof/>
                    </w:rPr>
                    <w:drawing>
                      <wp:inline distT="0" distB="0" distL="0" distR="0" wp14:anchorId="5EAFA74E" wp14:editId="13B25506">
                        <wp:extent cx="5400675" cy="2447925"/>
                        <wp:effectExtent l="0" t="0" r="9525" b="9525"/>
                        <wp:docPr id="1" name="Picture 1" descr="Figure 18.7 Proportion of tenants either satisfied or very satisfied with the service provided by the State or Territory housing authority,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1310" cy="2448213"/>
                                </a:xfrm>
                                <a:prstGeom prst="rect">
                                  <a:avLst/>
                                </a:prstGeom>
                                <a:noFill/>
                              </pic:spPr>
                            </pic:pic>
                          </a:graphicData>
                        </a:graphic>
                      </wp:inline>
                    </w:drawing>
                  </w:r>
                </w:p>
              </w:tc>
            </w:tr>
          </w:tbl>
          <w:p w:rsidR="000E1427" w:rsidRDefault="000E1427" w:rsidP="00746E44">
            <w:pPr>
              <w:pStyle w:val="Figure"/>
            </w:pPr>
          </w:p>
        </w:tc>
      </w:tr>
      <w:tr w:rsidR="000E1427" w:rsidRPr="00176D3F" w:rsidTr="00746E44">
        <w:tc>
          <w:tcPr>
            <w:tcW w:w="8771" w:type="dxa"/>
            <w:tcBorders>
              <w:top w:val="nil"/>
              <w:left w:val="nil"/>
              <w:bottom w:val="nil"/>
              <w:right w:val="nil"/>
            </w:tcBorders>
            <w:shd w:val="clear" w:color="auto" w:fill="auto"/>
          </w:tcPr>
          <w:p w:rsidR="000E1427" w:rsidRPr="00176D3F" w:rsidRDefault="000E1427" w:rsidP="000650F5">
            <w:pPr>
              <w:pStyle w:val="Note"/>
            </w:pPr>
            <w:r>
              <w:rPr>
                <w:rStyle w:val="NoteLabel"/>
              </w:rPr>
              <w:t>a</w:t>
            </w:r>
            <w:r>
              <w:t xml:space="preserve"> See box 18.1</w:t>
            </w:r>
            <w:r w:rsidR="00CD6349">
              <w:t>1</w:t>
            </w:r>
            <w:r>
              <w:t xml:space="preserve"> and tables </w:t>
            </w:r>
            <w:proofErr w:type="spellStart"/>
            <w:r w:rsidR="003B2986">
              <w:t>18A.</w:t>
            </w:r>
            <w:r w:rsidR="00BE2D70">
              <w:t>40</w:t>
            </w:r>
            <w:proofErr w:type="spellEnd"/>
            <w:r>
              <w:t>–</w:t>
            </w:r>
            <w:r w:rsidR="00BE2D70">
              <w:t>42</w:t>
            </w:r>
            <w:r>
              <w:t xml:space="preserve"> for detailed definitions, footnotes and caveats.</w:t>
            </w:r>
            <w:r>
              <w:rPr>
                <w:rStyle w:val="NoteLabel"/>
              </w:rPr>
              <w:t xml:space="preserve"> b </w:t>
            </w:r>
            <w:r w:rsidRPr="00E178F8">
              <w:t xml:space="preserve">There </w:t>
            </w:r>
            <w:r w:rsidR="00D936CC">
              <w:t>is no</w:t>
            </w:r>
            <w:r w:rsidRPr="00E178F8">
              <w:t xml:space="preserve"> </w:t>
            </w:r>
            <w:proofErr w:type="spellStart"/>
            <w:r w:rsidRPr="00E178F8">
              <w:t>SOMIH</w:t>
            </w:r>
            <w:proofErr w:type="spellEnd"/>
            <w:r w:rsidRPr="00E178F8">
              <w:t xml:space="preserve"> </w:t>
            </w:r>
            <w:r w:rsidR="00D936CC">
              <w:t>program</w:t>
            </w:r>
            <w:r w:rsidRPr="00E178F8">
              <w:t xml:space="preserve"> </w:t>
            </w:r>
            <w:r>
              <w:t>in</w:t>
            </w:r>
            <w:r w:rsidRPr="00E178F8">
              <w:t xml:space="preserve"> Victoria</w:t>
            </w:r>
            <w:r>
              <w:t>, WA, ACT and the NT, and community housing data are not available for the NT.</w:t>
            </w:r>
          </w:p>
        </w:tc>
      </w:tr>
      <w:tr w:rsidR="000E1427" w:rsidRPr="00176D3F" w:rsidTr="00746E44">
        <w:tc>
          <w:tcPr>
            <w:tcW w:w="8771" w:type="dxa"/>
            <w:tcBorders>
              <w:top w:val="nil"/>
              <w:left w:val="nil"/>
              <w:bottom w:val="nil"/>
              <w:right w:val="nil"/>
            </w:tcBorders>
            <w:shd w:val="clear" w:color="auto" w:fill="auto"/>
          </w:tcPr>
          <w:p w:rsidR="000E1427" w:rsidRPr="00176D3F" w:rsidRDefault="000E1427" w:rsidP="000650F5">
            <w:pPr>
              <w:pStyle w:val="Source"/>
            </w:pPr>
            <w:r>
              <w:rPr>
                <w:i/>
              </w:rPr>
              <w:t>Source</w:t>
            </w:r>
            <w:r w:rsidRPr="00B93213">
              <w:t>:</w:t>
            </w:r>
            <w:r>
              <w:rPr>
                <w:i/>
              </w:rPr>
              <w:t xml:space="preserve"> </w:t>
            </w:r>
            <w:proofErr w:type="spellStart"/>
            <w:r w:rsidRPr="004F3198">
              <w:t>AIHW</w:t>
            </w:r>
            <w:proofErr w:type="spellEnd"/>
            <w:r w:rsidRPr="004F3198">
              <w:t xml:space="preserve"> (unpublished)</w:t>
            </w:r>
            <w:r w:rsidRPr="00AE0C3F">
              <w:rPr>
                <w:i/>
              </w:rPr>
              <w:t xml:space="preserve"> </w:t>
            </w:r>
            <w:r w:rsidRPr="00532280">
              <w:t>National Social Housing Survey</w:t>
            </w:r>
            <w:r w:rsidR="00531453">
              <w:t xml:space="preserve"> 2016</w:t>
            </w:r>
            <w:r>
              <w:t>; tables </w:t>
            </w:r>
            <w:proofErr w:type="spellStart"/>
            <w:r w:rsidR="0032755E">
              <w:t>18A.40</w:t>
            </w:r>
            <w:proofErr w:type="spellEnd"/>
            <w:r>
              <w:t>–</w:t>
            </w:r>
            <w:r w:rsidR="0032755E">
              <w:t>42</w:t>
            </w:r>
            <w:r>
              <w:t>.</w:t>
            </w:r>
          </w:p>
        </w:tc>
      </w:tr>
      <w:tr w:rsidR="000E1427" w:rsidTr="00746E44">
        <w:tc>
          <w:tcPr>
            <w:tcW w:w="8771" w:type="dxa"/>
            <w:tcBorders>
              <w:top w:val="nil"/>
              <w:left w:val="nil"/>
              <w:bottom w:val="single" w:sz="6" w:space="0" w:color="78A22F"/>
              <w:right w:val="nil"/>
            </w:tcBorders>
            <w:shd w:val="clear" w:color="auto" w:fill="auto"/>
          </w:tcPr>
          <w:p w:rsidR="000E1427" w:rsidRDefault="000E1427" w:rsidP="00746E44">
            <w:pPr>
              <w:pStyle w:val="Figurespace"/>
            </w:pPr>
          </w:p>
        </w:tc>
      </w:tr>
      <w:tr w:rsidR="000E1427" w:rsidRPr="000863A5" w:rsidTr="00746E44">
        <w:tc>
          <w:tcPr>
            <w:tcW w:w="8771" w:type="dxa"/>
            <w:tcBorders>
              <w:top w:val="single" w:sz="6" w:space="0" w:color="78A22F"/>
              <w:left w:val="nil"/>
              <w:bottom w:val="nil"/>
              <w:right w:val="nil"/>
            </w:tcBorders>
          </w:tcPr>
          <w:p w:rsidR="000E1427" w:rsidRPr="00626D32" w:rsidRDefault="000E1427" w:rsidP="00746E44">
            <w:pPr>
              <w:pStyle w:val="BoxSpaceBelow"/>
            </w:pPr>
          </w:p>
        </w:tc>
      </w:tr>
    </w:tbl>
    <w:p w:rsidR="00EF495B" w:rsidRPr="00457EC9" w:rsidRDefault="00EF495B" w:rsidP="00457EC9">
      <w:pPr>
        <w:pStyle w:val="Heading3"/>
      </w:pPr>
      <w:r w:rsidRPr="00457EC9">
        <w:lastRenderedPageBreak/>
        <w:t>Efficiency</w:t>
      </w:r>
    </w:p>
    <w:p w:rsidR="00EF495B" w:rsidRPr="0041427D" w:rsidRDefault="00EF495B" w:rsidP="006B692D">
      <w:pPr>
        <w:pStyle w:val="Heading4"/>
      </w:pPr>
      <w:r w:rsidRPr="0041427D">
        <w:t>Net recurrent cost per dwelling</w:t>
      </w:r>
    </w:p>
    <w:p w:rsidR="00565F24" w:rsidRDefault="00EF495B" w:rsidP="00EF495B">
      <w:pPr>
        <w:pStyle w:val="BodyText"/>
      </w:pPr>
      <w:r>
        <w:t xml:space="preserve">‘Net recurrent cost per dwelling’ is an indicator of governments’ objective to </w:t>
      </w:r>
      <w:r w:rsidR="00A21E99">
        <w:t>provide</w:t>
      </w:r>
      <w:r w:rsidR="00024C72">
        <w:t xml:space="preserve"> social housing services in an </w:t>
      </w:r>
      <w:r>
        <w:t xml:space="preserve">efficient </w:t>
      </w:r>
      <w:r w:rsidR="00024C72">
        <w:t xml:space="preserve">manner </w:t>
      </w:r>
      <w:r>
        <w:t>(box</w:t>
      </w:r>
      <w:r w:rsidR="007D1214">
        <w:t> </w:t>
      </w:r>
      <w:r w:rsidR="00463387">
        <w:t>1</w:t>
      </w:r>
      <w:r w:rsidR="00BB5630">
        <w:t>8</w:t>
      </w:r>
      <w:r w:rsidR="00463387">
        <w:t>.</w:t>
      </w:r>
      <w:r w:rsidR="00CD6349">
        <w:t>12</w:t>
      </w:r>
      <w:r>
        <w:t>).</w:t>
      </w:r>
    </w:p>
    <w:p w:rsidR="00716EE3" w:rsidRDefault="00716EE3">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16EE3" w:rsidTr="00604F8C">
        <w:tc>
          <w:tcPr>
            <w:tcW w:w="5000" w:type="pct"/>
            <w:tcBorders>
              <w:top w:val="single" w:sz="6" w:space="0" w:color="78A22F"/>
              <w:left w:val="nil"/>
              <w:bottom w:val="nil"/>
              <w:right w:val="nil"/>
            </w:tcBorders>
            <w:shd w:val="clear" w:color="auto" w:fill="F2F2F2" w:themeFill="background1" w:themeFillShade="F2"/>
          </w:tcPr>
          <w:p w:rsidR="00716EE3" w:rsidRDefault="00E648CF" w:rsidP="00BB5630">
            <w:pPr>
              <w:pStyle w:val="BoxTitle"/>
            </w:pPr>
            <w:r>
              <w:rPr>
                <w:b w:val="0"/>
              </w:rPr>
              <w:t xml:space="preserve">Box </w:t>
            </w:r>
            <w:r w:rsidR="00BB5630">
              <w:rPr>
                <w:b w:val="0"/>
              </w:rPr>
              <w:t>18</w:t>
            </w:r>
            <w:r>
              <w:rPr>
                <w:b w:val="0"/>
              </w:rPr>
              <w:t>.</w:t>
            </w:r>
            <w:r w:rsidR="00892185">
              <w:rPr>
                <w:b w:val="0"/>
                <w:noProof/>
              </w:rPr>
              <w:t>12</w:t>
            </w:r>
            <w:r w:rsidR="00716EE3">
              <w:tab/>
            </w:r>
            <w:r w:rsidR="00716EE3" w:rsidRPr="00716EE3">
              <w:t>Net recurrent cost per dwelling</w:t>
            </w:r>
          </w:p>
        </w:tc>
      </w:tr>
      <w:tr w:rsidR="00716EE3" w:rsidTr="00604F8C">
        <w:trPr>
          <w:cantSplit/>
        </w:trPr>
        <w:tc>
          <w:tcPr>
            <w:tcW w:w="5000" w:type="pct"/>
            <w:tcBorders>
              <w:top w:val="nil"/>
              <w:left w:val="nil"/>
              <w:bottom w:val="nil"/>
              <w:right w:val="nil"/>
            </w:tcBorders>
            <w:shd w:val="clear" w:color="auto" w:fill="F2F2F2" w:themeFill="background1" w:themeFillShade="F2"/>
          </w:tcPr>
          <w:p w:rsidR="00903B4C" w:rsidRPr="00903B4C" w:rsidRDefault="00903B4C" w:rsidP="00903B4C">
            <w:pPr>
              <w:pStyle w:val="Box"/>
            </w:pPr>
            <w:r w:rsidRPr="00903B4C">
              <w:t>‘Net recurrent cost per dwelling’ is defined as the cost of providing assistance per dwelling</w:t>
            </w:r>
            <w:r w:rsidR="00024C72">
              <w:t xml:space="preserve"> and </w:t>
            </w:r>
            <w:r w:rsidR="00A621A5">
              <w:t xml:space="preserve">is </w:t>
            </w:r>
            <w:r w:rsidR="00024C72">
              <w:t xml:space="preserve">measured as </w:t>
            </w:r>
            <w:r w:rsidRPr="00903B4C">
              <w:rPr>
                <w:lang w:val="en-US"/>
              </w:rPr>
              <w:t xml:space="preserve">total recurrent </w:t>
            </w:r>
            <w:r w:rsidR="007039B2" w:rsidRPr="00903B4C">
              <w:rPr>
                <w:lang w:val="en-US"/>
              </w:rPr>
              <w:t>expen</w:t>
            </w:r>
            <w:r w:rsidR="007039B2">
              <w:rPr>
                <w:lang w:val="en-US"/>
              </w:rPr>
              <w:t>diture</w:t>
            </w:r>
            <w:r w:rsidR="007039B2" w:rsidRPr="00903B4C">
              <w:rPr>
                <w:lang w:val="en-US"/>
              </w:rPr>
              <w:t xml:space="preserve"> </w:t>
            </w:r>
            <w:r w:rsidRPr="00903B4C">
              <w:rPr>
                <w:lang w:val="en-US"/>
              </w:rPr>
              <w:t>divided by the total number of dwellings.</w:t>
            </w:r>
          </w:p>
          <w:p w:rsidR="00903B4C" w:rsidRDefault="00024C72" w:rsidP="00903B4C">
            <w:pPr>
              <w:pStyle w:val="Box"/>
            </w:pPr>
            <w:r>
              <w:t>Data</w:t>
            </w:r>
            <w:r w:rsidRPr="00903B4C">
              <w:t xml:space="preserve"> </w:t>
            </w:r>
            <w:r w:rsidR="00903B4C" w:rsidRPr="00903B4C">
              <w:t xml:space="preserve">are reported for public housing, </w:t>
            </w:r>
            <w:proofErr w:type="spellStart"/>
            <w:r w:rsidR="00903B4C" w:rsidRPr="00903B4C">
              <w:t>SOMIH</w:t>
            </w:r>
            <w:proofErr w:type="spellEnd"/>
            <w:r w:rsidR="00903B4C" w:rsidRPr="00903B4C">
              <w:t xml:space="preserve">, community housing and </w:t>
            </w:r>
            <w:proofErr w:type="spellStart"/>
            <w:r w:rsidR="00D82241">
              <w:t>ICH</w:t>
            </w:r>
            <w:proofErr w:type="spellEnd"/>
            <w:r w:rsidR="00903B4C" w:rsidRPr="00903B4C">
              <w:t>. Net recurrent cost per dwelling for public housing is reported</w:t>
            </w:r>
            <w:r>
              <w:t xml:space="preserve"> with</w:t>
            </w:r>
            <w:r w:rsidRPr="00903B4C">
              <w:t xml:space="preserve"> user cost of capital</w:t>
            </w:r>
            <w:r w:rsidR="00903B4C" w:rsidRPr="00903B4C">
              <w:t xml:space="preserve"> both includ</w:t>
            </w:r>
            <w:r>
              <w:t>ed</w:t>
            </w:r>
            <w:r w:rsidR="00903B4C" w:rsidRPr="00903B4C">
              <w:t xml:space="preserve"> and exclud</w:t>
            </w:r>
            <w:r>
              <w:t>ed</w:t>
            </w:r>
            <w:r w:rsidR="00903B4C" w:rsidRPr="00903B4C">
              <w:t xml:space="preserve">. </w:t>
            </w:r>
            <w:r>
              <w:t>U</w:t>
            </w:r>
            <w:r w:rsidR="00903B4C" w:rsidRPr="00903B4C">
              <w:t>ser cost of capital</w:t>
            </w:r>
            <w:r w:rsidR="00F1759B">
              <w:t xml:space="preserve"> </w:t>
            </w:r>
            <w:r w:rsidR="009E4B6C">
              <w:t>data are</w:t>
            </w:r>
            <w:r>
              <w:t xml:space="preserve"> not available for </w:t>
            </w:r>
            <w:proofErr w:type="spellStart"/>
            <w:r w:rsidRPr="00903B4C">
              <w:t>SOMIH</w:t>
            </w:r>
            <w:proofErr w:type="spellEnd"/>
            <w:r w:rsidRPr="00903B4C">
              <w:t xml:space="preserve">, community housing </w:t>
            </w:r>
            <w:r>
              <w:t>or</w:t>
            </w:r>
            <w:r w:rsidRPr="00903B4C">
              <w:t xml:space="preserve"> </w:t>
            </w:r>
            <w:proofErr w:type="spellStart"/>
            <w:r>
              <w:t>ICH</w:t>
            </w:r>
            <w:proofErr w:type="spellEnd"/>
            <w:r w:rsidR="00903B4C" w:rsidRPr="00903B4C">
              <w:t>.</w:t>
            </w:r>
            <w:r w:rsidR="00031B37">
              <w:t xml:space="preserve"> </w:t>
            </w:r>
            <w:r w:rsidR="00A621A5">
              <w:t>F</w:t>
            </w:r>
            <w:r w:rsidR="00903B4C" w:rsidRPr="00903B4C">
              <w:t xml:space="preserve">or </w:t>
            </w:r>
            <w:proofErr w:type="spellStart"/>
            <w:r w:rsidR="00D82241">
              <w:t>ICH</w:t>
            </w:r>
            <w:proofErr w:type="spellEnd"/>
            <w:r w:rsidR="00A621A5">
              <w:t xml:space="preserve">, </w:t>
            </w:r>
            <w:r w:rsidR="00A621A5" w:rsidRPr="00903B4C">
              <w:t>total number of dwellings</w:t>
            </w:r>
            <w:r w:rsidR="00903B4C" w:rsidRPr="00903B4C">
              <w:t xml:space="preserve"> is the number of permanent dwellings.</w:t>
            </w:r>
          </w:p>
          <w:p w:rsidR="00D86B3E" w:rsidRDefault="00E5286C" w:rsidP="00A17C2C">
            <w:pPr>
              <w:pStyle w:val="Box"/>
            </w:pPr>
            <w:r w:rsidRPr="00E5286C">
              <w:t xml:space="preserve">An inconsistency between numerator and denominator with a deflationary effect on community housing cost per dwelling may result from transfer of management responsibility for some public housing and/or </w:t>
            </w:r>
            <w:proofErr w:type="spellStart"/>
            <w:r w:rsidRPr="00E5286C">
              <w:t>SOMIH</w:t>
            </w:r>
            <w:proofErr w:type="spellEnd"/>
            <w:r w:rsidRPr="00E5286C">
              <w:t xml:space="preserve"> stock to the community sector</w:t>
            </w:r>
            <w:r w:rsidR="0086558C">
              <w:t xml:space="preserve">. </w:t>
            </w:r>
            <w:r w:rsidR="001F0BA4">
              <w:t>Th</w:t>
            </w:r>
            <w:r w:rsidR="00D91AF1">
              <w:t>is</w:t>
            </w:r>
            <w:r w:rsidR="001F0BA4">
              <w:t xml:space="preserve"> transfer is </w:t>
            </w:r>
            <w:r>
              <w:t xml:space="preserve">planned </w:t>
            </w:r>
            <w:r w:rsidR="001F0BA4">
              <w:t xml:space="preserve">by most jurisdictions </w:t>
            </w:r>
            <w:r w:rsidR="0086558C">
              <w:t xml:space="preserve">to occur progressively over time </w:t>
            </w:r>
            <w:r w:rsidR="001F0BA4">
              <w:t xml:space="preserve">and </w:t>
            </w:r>
            <w:r w:rsidR="001E41C4">
              <w:t xml:space="preserve">has already </w:t>
            </w:r>
            <w:r w:rsidR="007900FA">
              <w:t>occurred</w:t>
            </w:r>
            <w:r w:rsidR="001E41C4">
              <w:t xml:space="preserve"> in </w:t>
            </w:r>
            <w:r>
              <w:t xml:space="preserve">Tasmania </w:t>
            </w:r>
            <w:r w:rsidR="007900FA">
              <w:t>(</w:t>
            </w:r>
            <w:r w:rsidR="001F0BA4">
              <w:t>in the period 2012</w:t>
            </w:r>
            <w:r w:rsidR="001F0BA4">
              <w:noBreakHyphen/>
            </w:r>
            <w:r w:rsidR="00FD19A5">
              <w:t>13 to 2014</w:t>
            </w:r>
            <w:r w:rsidR="00FD19A5">
              <w:noBreakHyphen/>
            </w:r>
            <w:r w:rsidRPr="00E5286C">
              <w:t>15</w:t>
            </w:r>
            <w:r w:rsidR="007900FA">
              <w:t>)</w:t>
            </w:r>
            <w:r w:rsidRPr="00E5286C">
              <w:t>.</w:t>
            </w:r>
            <w:r w:rsidR="001F0BA4">
              <w:t xml:space="preserve"> The </w:t>
            </w:r>
            <w:r w:rsidR="003908A9">
              <w:t>denominator (number of co</w:t>
            </w:r>
            <w:r w:rsidR="001F0BA4">
              <w:t>mmunity housing dwellings at 30 </w:t>
            </w:r>
            <w:r w:rsidR="003908A9">
              <w:t xml:space="preserve">June) may include dwellings </w:t>
            </w:r>
            <w:r w:rsidR="001E41C4">
              <w:t>for</w:t>
            </w:r>
            <w:r w:rsidR="00197484">
              <w:t xml:space="preserve"> which expenditure </w:t>
            </w:r>
            <w:r w:rsidR="001E41C4">
              <w:t xml:space="preserve">for only part of the reporting year is counted </w:t>
            </w:r>
            <w:r w:rsidR="001F0BA4">
              <w:t>in the numerator</w:t>
            </w:r>
            <w:r w:rsidR="003908A9">
              <w:t xml:space="preserve">. </w:t>
            </w:r>
            <w:r w:rsidR="00B634C2">
              <w:t xml:space="preserve">This inconsistency is not expected to apply for public housing and </w:t>
            </w:r>
            <w:proofErr w:type="spellStart"/>
            <w:r w:rsidR="00B634C2">
              <w:t>SOMIH</w:t>
            </w:r>
            <w:proofErr w:type="spellEnd"/>
            <w:r w:rsidR="00B634C2">
              <w:t xml:space="preserve"> </w:t>
            </w:r>
            <w:r w:rsidR="00197484">
              <w:t>as</w:t>
            </w:r>
            <w:r w:rsidR="003908A9">
              <w:t xml:space="preserve"> the denominator (the average of the number of dwellings for each month of the reporting year) </w:t>
            </w:r>
            <w:r w:rsidR="00CB4F4A">
              <w:t xml:space="preserve">largely </w:t>
            </w:r>
            <w:r w:rsidR="003908A9">
              <w:t xml:space="preserve">accounts for </w:t>
            </w:r>
            <w:r w:rsidR="00B634C2">
              <w:t>transfer</w:t>
            </w:r>
            <w:r w:rsidR="003908A9">
              <w:t xml:space="preserve"> of dwellings to</w:t>
            </w:r>
            <w:r w:rsidR="00B634C2">
              <w:t xml:space="preserve"> </w:t>
            </w:r>
            <w:r w:rsidR="00CB4F4A">
              <w:t xml:space="preserve">the </w:t>
            </w:r>
            <w:r w:rsidR="00B634C2">
              <w:t xml:space="preserve">community </w:t>
            </w:r>
            <w:r w:rsidR="00CB4F4A">
              <w:t>sector</w:t>
            </w:r>
            <w:r w:rsidR="00D86B3E">
              <w:t>.</w:t>
            </w:r>
          </w:p>
          <w:p w:rsidR="008473A0" w:rsidRDefault="007039B2" w:rsidP="00903B4C">
            <w:pPr>
              <w:pStyle w:val="Box"/>
            </w:pPr>
            <w:r>
              <w:t>Holding other factors — such as dwelling condition and tenant support services — equal, a</w:t>
            </w:r>
            <w:r w:rsidRPr="00A621A5">
              <w:t xml:space="preserve"> low or decreasing cost per </w:t>
            </w:r>
            <w:r>
              <w:t>dwelling</w:t>
            </w:r>
            <w:r w:rsidR="0006608D">
              <w:t xml:space="preserve"> i</w:t>
            </w:r>
            <w:r w:rsidR="00641F0D">
              <w:t>s desirable.</w:t>
            </w:r>
          </w:p>
          <w:p w:rsidR="00903B4C" w:rsidRPr="00903B4C" w:rsidRDefault="00903B4C" w:rsidP="00903B4C">
            <w:pPr>
              <w:pStyle w:val="Box"/>
            </w:pPr>
            <w:r w:rsidRPr="00903B4C">
              <w:t>Data reported</w:t>
            </w:r>
            <w:r w:rsidR="00D82241">
              <w:t xml:space="preserve"> for this indicator</w:t>
            </w:r>
            <w:r w:rsidRPr="00903B4C">
              <w:t xml:space="preserve"> are:</w:t>
            </w:r>
          </w:p>
          <w:p w:rsidR="00903B4C" w:rsidRPr="00903B4C" w:rsidRDefault="00903B4C" w:rsidP="00903B4C">
            <w:pPr>
              <w:pStyle w:val="Box"/>
              <w:numPr>
                <w:ilvl w:val="0"/>
                <w:numId w:val="1"/>
              </w:numPr>
            </w:pPr>
            <w:r w:rsidRPr="00903B4C">
              <w:t>comparable (subject to caveats) within some jurisdictions over time but are not comparable across jurisdictions or over time for other jurisdictions</w:t>
            </w:r>
          </w:p>
          <w:p w:rsidR="00903B4C" w:rsidRPr="00903B4C" w:rsidRDefault="00903B4C" w:rsidP="00903B4C">
            <w:pPr>
              <w:pStyle w:val="Box"/>
              <w:numPr>
                <w:ilvl w:val="0"/>
                <w:numId w:val="1"/>
              </w:numPr>
            </w:pPr>
            <w:r w:rsidRPr="00903B4C">
              <w:t xml:space="preserve">not comparable across public housing, </w:t>
            </w:r>
            <w:proofErr w:type="spellStart"/>
            <w:r w:rsidRPr="00903B4C">
              <w:t>SOMIH</w:t>
            </w:r>
            <w:proofErr w:type="spellEnd"/>
            <w:r w:rsidRPr="00903B4C">
              <w:t xml:space="preserve">, community housing and </w:t>
            </w:r>
            <w:proofErr w:type="spellStart"/>
            <w:r w:rsidRPr="00903B4C">
              <w:t>ICH</w:t>
            </w:r>
            <w:proofErr w:type="spellEnd"/>
          </w:p>
          <w:p w:rsidR="00903B4C" w:rsidRDefault="00903B4C" w:rsidP="00903B4C">
            <w:pPr>
              <w:pStyle w:val="Box"/>
              <w:numPr>
                <w:ilvl w:val="0"/>
                <w:numId w:val="1"/>
              </w:numPr>
            </w:pPr>
            <w:r w:rsidRPr="00903B4C">
              <w:t>complete for public housing</w:t>
            </w:r>
            <w:r w:rsidR="004E0008">
              <w:t xml:space="preserve"> and </w:t>
            </w:r>
            <w:proofErr w:type="spellStart"/>
            <w:r w:rsidRPr="00903B4C">
              <w:t>SOMIH</w:t>
            </w:r>
            <w:proofErr w:type="spellEnd"/>
            <w:r w:rsidRPr="00903B4C">
              <w:t xml:space="preserve"> for the current reporting period (subject to caveats). All required</w:t>
            </w:r>
            <w:r w:rsidR="00503B2C">
              <w:t xml:space="preserve"> 2015</w:t>
            </w:r>
            <w:r w:rsidR="00B93213">
              <w:noBreakHyphen/>
            </w:r>
            <w:r w:rsidR="00503B2C">
              <w:t>16</w:t>
            </w:r>
            <w:r w:rsidRPr="00903B4C">
              <w:t xml:space="preserve"> </w:t>
            </w:r>
            <w:r w:rsidR="0037761D">
              <w:t xml:space="preserve">data </w:t>
            </w:r>
            <w:r w:rsidRPr="00903B4C">
              <w:t>are available for all jurisdictions providing the service</w:t>
            </w:r>
          </w:p>
          <w:p w:rsidR="0037761D" w:rsidRPr="00D0217C" w:rsidRDefault="004E0008" w:rsidP="0037761D">
            <w:pPr>
              <w:pStyle w:val="Box"/>
              <w:numPr>
                <w:ilvl w:val="0"/>
                <w:numId w:val="1"/>
              </w:numPr>
            </w:pPr>
            <w:r w:rsidRPr="00575BEF">
              <w:t>incomplete</w:t>
            </w:r>
            <w:r w:rsidRPr="00D0217C">
              <w:t xml:space="preserve"> for community housing for the current reporting period. All required</w:t>
            </w:r>
            <w:r w:rsidR="00313B53">
              <w:t xml:space="preserve"> 2014</w:t>
            </w:r>
            <w:r w:rsidR="00B93213">
              <w:noBreakHyphen/>
            </w:r>
            <w:r w:rsidR="00313B53">
              <w:t>15</w:t>
            </w:r>
            <w:r w:rsidRPr="00D0217C">
              <w:t xml:space="preserve"> data are </w:t>
            </w:r>
            <w:r w:rsidRPr="00575BEF">
              <w:t xml:space="preserve">not available for the </w:t>
            </w:r>
            <w:r w:rsidR="00D82241" w:rsidRPr="00575BEF">
              <w:t>NT</w:t>
            </w:r>
          </w:p>
          <w:p w:rsidR="00716EE3" w:rsidRDefault="00903B4C" w:rsidP="00313B53">
            <w:pPr>
              <w:pStyle w:val="Box"/>
              <w:numPr>
                <w:ilvl w:val="0"/>
                <w:numId w:val="1"/>
              </w:numPr>
            </w:pPr>
            <w:r w:rsidRPr="0037761D">
              <w:t xml:space="preserve">incomplete for </w:t>
            </w:r>
            <w:proofErr w:type="spellStart"/>
            <w:r w:rsidR="00D82241">
              <w:t>ICH</w:t>
            </w:r>
            <w:proofErr w:type="spellEnd"/>
            <w:r w:rsidRPr="0037761D">
              <w:t xml:space="preserve"> for the current reporting period. All required </w:t>
            </w:r>
            <w:r w:rsidR="00540A44" w:rsidRPr="000A0BA8">
              <w:t>2014</w:t>
            </w:r>
            <w:r w:rsidR="00540A44" w:rsidRPr="000A0BA8">
              <w:noBreakHyphen/>
              <w:t>15</w:t>
            </w:r>
            <w:r w:rsidR="00540A44" w:rsidRPr="00903B4C">
              <w:t xml:space="preserve"> </w:t>
            </w:r>
            <w:r w:rsidRPr="0037761D">
              <w:t xml:space="preserve">data </w:t>
            </w:r>
            <w:r w:rsidR="00313B53">
              <w:t>are</w:t>
            </w:r>
            <w:r w:rsidRPr="0037761D">
              <w:t xml:space="preserve"> not available for </w:t>
            </w:r>
            <w:r w:rsidR="005F02B3" w:rsidRPr="0037761D">
              <w:t>SA and the NT.</w:t>
            </w:r>
          </w:p>
        </w:tc>
      </w:tr>
      <w:tr w:rsidR="00716EE3" w:rsidTr="00604F8C">
        <w:trPr>
          <w:cantSplit/>
        </w:trPr>
        <w:tc>
          <w:tcPr>
            <w:tcW w:w="5000" w:type="pct"/>
            <w:tcBorders>
              <w:top w:val="nil"/>
              <w:left w:val="nil"/>
              <w:bottom w:val="single" w:sz="6" w:space="0" w:color="78A22F"/>
              <w:right w:val="nil"/>
            </w:tcBorders>
            <w:shd w:val="clear" w:color="auto" w:fill="F2F2F2" w:themeFill="background1" w:themeFillShade="F2"/>
          </w:tcPr>
          <w:p w:rsidR="00716EE3" w:rsidRDefault="00716EE3">
            <w:pPr>
              <w:pStyle w:val="Box"/>
              <w:spacing w:before="0" w:line="120" w:lineRule="exact"/>
            </w:pPr>
          </w:p>
        </w:tc>
      </w:tr>
      <w:tr w:rsidR="00716EE3" w:rsidRPr="000863A5" w:rsidTr="00604F8C">
        <w:tc>
          <w:tcPr>
            <w:tcW w:w="5000" w:type="pct"/>
            <w:tcBorders>
              <w:top w:val="single" w:sz="6" w:space="0" w:color="78A22F"/>
              <w:left w:val="nil"/>
              <w:bottom w:val="nil"/>
              <w:right w:val="nil"/>
            </w:tcBorders>
          </w:tcPr>
          <w:p w:rsidR="00716EE3" w:rsidRPr="00626D32" w:rsidRDefault="00716EE3" w:rsidP="00334F07">
            <w:pPr>
              <w:pStyle w:val="BoxSpaceBelow"/>
            </w:pPr>
          </w:p>
        </w:tc>
      </w:tr>
    </w:tbl>
    <w:p w:rsidR="005A4F93" w:rsidRPr="003C278A" w:rsidRDefault="0057293A" w:rsidP="005A4F93">
      <w:pPr>
        <w:pStyle w:val="BodyText"/>
      </w:pPr>
      <w:r w:rsidRPr="003C278A">
        <w:t xml:space="preserve">Care needs to be taken in interpreting the cost of delivering </w:t>
      </w:r>
      <w:r w:rsidR="00A91F55" w:rsidRPr="003C278A">
        <w:t>social</w:t>
      </w:r>
      <w:r w:rsidRPr="003C278A">
        <w:t xml:space="preserve"> housing. Data are not comparable across jurisdictions </w:t>
      </w:r>
      <w:r w:rsidR="005D1999" w:rsidRPr="003C278A">
        <w:t>as</w:t>
      </w:r>
      <w:r w:rsidR="005A4F93" w:rsidRPr="003C278A">
        <w:t xml:space="preserve"> jurisdictions</w:t>
      </w:r>
      <w:r w:rsidR="009862B6" w:rsidRPr="003C278A">
        <w:t xml:space="preserve"> </w:t>
      </w:r>
      <w:r w:rsidR="005D1999" w:rsidRPr="003C278A">
        <w:t>vary in</w:t>
      </w:r>
      <w:r w:rsidR="005A4F93" w:rsidRPr="003C278A">
        <w:t xml:space="preserve"> </w:t>
      </w:r>
      <w:r w:rsidRPr="003C278A">
        <w:t>how complete</w:t>
      </w:r>
      <w:r w:rsidR="00A91F55" w:rsidRPr="003C278A">
        <w:t>ly</w:t>
      </w:r>
      <w:r w:rsidR="00A32732" w:rsidRPr="003C278A">
        <w:t xml:space="preserve"> costs are captured</w:t>
      </w:r>
      <w:r w:rsidRPr="003C278A">
        <w:t xml:space="preserve"> </w:t>
      </w:r>
      <w:r w:rsidR="005A4F93" w:rsidRPr="003C278A">
        <w:t xml:space="preserve">and how consistently </w:t>
      </w:r>
      <w:r w:rsidR="00A32732" w:rsidRPr="003C278A">
        <w:t xml:space="preserve">data </w:t>
      </w:r>
      <w:r w:rsidR="005A4F93" w:rsidRPr="003C278A">
        <w:t>are collected</w:t>
      </w:r>
      <w:r w:rsidR="005D1999" w:rsidRPr="003C278A">
        <w:t>, as well as</w:t>
      </w:r>
      <w:r w:rsidR="005A4F93" w:rsidRPr="003C278A">
        <w:t xml:space="preserve"> the degree to which costs can be separated between </w:t>
      </w:r>
      <w:r w:rsidR="005D1999" w:rsidRPr="003C278A">
        <w:t xml:space="preserve">different </w:t>
      </w:r>
      <w:r w:rsidR="005A4F93" w:rsidRPr="003C278A">
        <w:t>models of social housing and homelessness services</w:t>
      </w:r>
      <w:r w:rsidR="005D1999" w:rsidRPr="003C278A">
        <w:t>. There is also</w:t>
      </w:r>
      <w:r w:rsidR="00A91F55" w:rsidRPr="003C278A">
        <w:t xml:space="preserve"> </w:t>
      </w:r>
      <w:r w:rsidR="005A4F93" w:rsidRPr="003C278A">
        <w:t xml:space="preserve">potential </w:t>
      </w:r>
      <w:r w:rsidR="005D1999" w:rsidRPr="003C278A">
        <w:t xml:space="preserve">for </w:t>
      </w:r>
      <w:r w:rsidR="005A4F93" w:rsidRPr="003C278A">
        <w:t xml:space="preserve">double counting — for example, some </w:t>
      </w:r>
      <w:r w:rsidR="005D1999" w:rsidRPr="003C278A">
        <w:t xml:space="preserve">of the </w:t>
      </w:r>
      <w:r w:rsidR="005A4F93" w:rsidRPr="003C278A">
        <w:t xml:space="preserve">user cost of capital </w:t>
      </w:r>
      <w:r w:rsidR="005D1999" w:rsidRPr="003C278A">
        <w:t>may also be included in operating costs</w:t>
      </w:r>
      <w:r w:rsidR="00A32732" w:rsidRPr="003C278A">
        <w:t>.</w:t>
      </w:r>
    </w:p>
    <w:p w:rsidR="00091282" w:rsidRDefault="00031B37" w:rsidP="00C70B88">
      <w:pPr>
        <w:pStyle w:val="BodyText"/>
      </w:pPr>
      <w:r>
        <w:lastRenderedPageBreak/>
        <w:t>T</w:t>
      </w:r>
      <w:r w:rsidRPr="007616B4">
        <w:t xml:space="preserve">he </w:t>
      </w:r>
      <w:r>
        <w:t xml:space="preserve">user </w:t>
      </w:r>
      <w:r w:rsidRPr="007616B4">
        <w:t xml:space="preserve">cost of capital </w:t>
      </w:r>
      <w:r>
        <w:t xml:space="preserve">is </w:t>
      </w:r>
      <w:r w:rsidRPr="007616B4">
        <w:t xml:space="preserve">the cost of the funds tied up in the capital used to provide </w:t>
      </w:r>
      <w:r>
        <w:t>social housing</w:t>
      </w:r>
      <w:r w:rsidRPr="007616B4">
        <w:t>.</w:t>
      </w:r>
      <w:r>
        <w:t xml:space="preserve"> </w:t>
      </w:r>
      <w:r w:rsidR="000B4324">
        <w:t xml:space="preserve">User cost of capital is the main driver of cost per dwelling </w:t>
      </w:r>
      <w:r w:rsidR="003C278A">
        <w:t xml:space="preserve">due to </w:t>
      </w:r>
      <w:r w:rsidR="0006608D">
        <w:t>the level of</w:t>
      </w:r>
      <w:r w:rsidR="003C278A">
        <w:t xml:space="preserve"> </w:t>
      </w:r>
      <w:r w:rsidR="000B4324">
        <w:t xml:space="preserve">capital </w:t>
      </w:r>
      <w:r w:rsidR="0006608D">
        <w:t>expenditure</w:t>
      </w:r>
      <w:r w:rsidR="003C278A">
        <w:t xml:space="preserve"> </w:t>
      </w:r>
      <w:r w:rsidR="0006608D">
        <w:t>on</w:t>
      </w:r>
      <w:r w:rsidR="003C278A">
        <w:t xml:space="preserve"> </w:t>
      </w:r>
      <w:r w:rsidR="0006608D">
        <w:t>housing</w:t>
      </w:r>
      <w:r w:rsidR="000B4324">
        <w:t xml:space="preserve">. </w:t>
      </w:r>
      <w:r w:rsidR="0006608D">
        <w:t>Data should be interpreted with caution due to variation across jurisdictions in the treatment of assets (table</w:t>
      </w:r>
      <w:r w:rsidR="00B93213">
        <w:t> </w:t>
      </w:r>
      <w:proofErr w:type="spellStart"/>
      <w:r w:rsidR="004B2834">
        <w:t>1</w:t>
      </w:r>
      <w:r w:rsidR="00DC4782">
        <w:t>8</w:t>
      </w:r>
      <w:r w:rsidR="004B2834">
        <w:t>A.</w:t>
      </w:r>
      <w:r w:rsidR="00BE137D">
        <w:t>6</w:t>
      </w:r>
      <w:r w:rsidR="009B0E87">
        <w:t>7</w:t>
      </w:r>
      <w:proofErr w:type="spellEnd"/>
      <w:r w:rsidR="0006608D">
        <w:t>) and service delivery models.</w:t>
      </w:r>
    </w:p>
    <w:p w:rsidR="0037761D" w:rsidRDefault="0006608D" w:rsidP="0037761D">
      <w:pPr>
        <w:pStyle w:val="BodyText"/>
      </w:pPr>
      <w:r w:rsidRPr="00ED5C9A">
        <w:t>Payroll tax is excluded from total recurrent cost for public housing</w:t>
      </w:r>
      <w:r>
        <w:t xml:space="preserve"> to improve comparability across jurisdictions</w:t>
      </w:r>
      <w:r w:rsidRPr="00ED5C9A">
        <w:t xml:space="preserve"> (</w:t>
      </w:r>
      <w:r>
        <w:t>see chapter</w:t>
      </w:r>
      <w:r w:rsidR="00B93213">
        <w:t> </w:t>
      </w:r>
      <w:r>
        <w:t>1 for an explanation of the rationale)</w:t>
      </w:r>
      <w:r w:rsidRPr="00ED5C9A">
        <w:t>.</w:t>
      </w:r>
    </w:p>
    <w:p w:rsidR="0006608D" w:rsidRPr="004372D7" w:rsidRDefault="0006608D" w:rsidP="0006608D">
      <w:pPr>
        <w:pStyle w:val="BodyText"/>
      </w:pPr>
      <w:r w:rsidRPr="004372D7">
        <w:t>Nationally in 2015</w:t>
      </w:r>
      <w:r w:rsidR="00B93213" w:rsidRPr="004372D7">
        <w:noBreakHyphen/>
      </w:r>
      <w:r w:rsidRPr="004372D7">
        <w:t>16, net recurrent cost per dwell</w:t>
      </w:r>
      <w:r w:rsidR="0046192C" w:rsidRPr="004372D7">
        <w:t>i</w:t>
      </w:r>
      <w:r w:rsidRPr="004372D7">
        <w:t>ng for public housing was:</w:t>
      </w:r>
    </w:p>
    <w:p w:rsidR="0006608D" w:rsidRPr="004372D7" w:rsidRDefault="0046192C" w:rsidP="00FD49FC">
      <w:pPr>
        <w:pStyle w:val="ListBullet"/>
      </w:pPr>
      <w:r w:rsidRPr="004372D7">
        <w:t>$87</w:t>
      </w:r>
      <w:r w:rsidR="00AD572A" w:rsidRPr="004372D7">
        <w:t>66</w:t>
      </w:r>
      <w:r w:rsidRPr="004372D7">
        <w:t xml:space="preserve"> </w:t>
      </w:r>
      <w:r w:rsidR="008473A0" w:rsidRPr="004372D7">
        <w:t>(excluding</w:t>
      </w:r>
      <w:r w:rsidRPr="004372D7">
        <w:t xml:space="preserve"> user cost of capital</w:t>
      </w:r>
      <w:r w:rsidR="008473A0" w:rsidRPr="004372D7">
        <w:t>)</w:t>
      </w:r>
      <w:r w:rsidRPr="004372D7">
        <w:t xml:space="preserve"> — up 7.</w:t>
      </w:r>
      <w:r w:rsidR="00AD572A" w:rsidRPr="004372D7">
        <w:t>3</w:t>
      </w:r>
      <w:r w:rsidRPr="004372D7">
        <w:t xml:space="preserve"> per cent (in real terms) from 2011</w:t>
      </w:r>
      <w:r w:rsidR="00B93213" w:rsidRPr="004372D7">
        <w:noBreakHyphen/>
      </w:r>
      <w:r w:rsidRPr="004372D7">
        <w:t>12</w:t>
      </w:r>
    </w:p>
    <w:p w:rsidR="0046192C" w:rsidRPr="004372D7" w:rsidRDefault="00EE65E9" w:rsidP="00FD49FC">
      <w:pPr>
        <w:pStyle w:val="ListBullet"/>
      </w:pPr>
      <w:r w:rsidRPr="004372D7">
        <w:t>$</w:t>
      </w:r>
      <w:r w:rsidR="00EA733C" w:rsidRPr="004372D7">
        <w:t>3</w:t>
      </w:r>
      <w:r w:rsidR="00AD572A" w:rsidRPr="004372D7">
        <w:t>6</w:t>
      </w:r>
      <w:r w:rsidR="00EA733C" w:rsidRPr="004372D7">
        <w:t> </w:t>
      </w:r>
      <w:r w:rsidR="00AD572A" w:rsidRPr="004372D7">
        <w:t>066</w:t>
      </w:r>
      <w:r w:rsidR="0046192C" w:rsidRPr="004372D7">
        <w:t xml:space="preserve"> </w:t>
      </w:r>
      <w:r w:rsidR="008473A0" w:rsidRPr="004372D7">
        <w:t>(including</w:t>
      </w:r>
      <w:r w:rsidR="0046192C" w:rsidRPr="004372D7">
        <w:t xml:space="preserve"> user cost of capital</w:t>
      </w:r>
      <w:r w:rsidR="008473A0" w:rsidRPr="004372D7">
        <w:t>)</w:t>
      </w:r>
      <w:r w:rsidR="0046192C" w:rsidRPr="004372D7">
        <w:t xml:space="preserve"> — up 15.</w:t>
      </w:r>
      <w:r w:rsidR="00AD572A" w:rsidRPr="004372D7">
        <w:t>6</w:t>
      </w:r>
      <w:r w:rsidR="0046192C" w:rsidRPr="004372D7">
        <w:t xml:space="preserve"> per cent </w:t>
      </w:r>
      <w:r w:rsidR="007A3AE0" w:rsidRPr="004372D7">
        <w:t>(in real terms) since</w:t>
      </w:r>
      <w:r w:rsidR="0046192C" w:rsidRPr="004372D7">
        <w:t xml:space="preserve"> 2011­12</w:t>
      </w:r>
      <w:r w:rsidR="008473A0" w:rsidRPr="004372D7">
        <w:t xml:space="preserve"> (figure</w:t>
      </w:r>
      <w:r w:rsidR="00B93213" w:rsidRPr="004372D7">
        <w:t> </w:t>
      </w:r>
      <w:r w:rsidR="008473A0" w:rsidRPr="004372D7">
        <w:t>18.8).</w:t>
      </w:r>
    </w:p>
    <w:p w:rsidR="00C35A4C" w:rsidRPr="004372D7" w:rsidRDefault="0046192C" w:rsidP="006F7A0C">
      <w:pPr>
        <w:pStyle w:val="BodyText"/>
      </w:pPr>
      <w:r>
        <w:t>Time series data from 2006</w:t>
      </w:r>
      <w:r w:rsidR="00B93213">
        <w:noBreakHyphen/>
      </w:r>
      <w:r>
        <w:t>07 are reported in tables</w:t>
      </w:r>
      <w:r w:rsidR="00B93213">
        <w:t> </w:t>
      </w:r>
      <w:proofErr w:type="spellStart"/>
      <w:r w:rsidR="003B2986">
        <w:t>18A.4</w:t>
      </w:r>
      <w:r w:rsidR="00B412D7">
        <w:t>3</w:t>
      </w:r>
      <w:proofErr w:type="spellEnd"/>
      <w:r w:rsidR="008473A0">
        <w:t>–4</w:t>
      </w:r>
      <w:r w:rsidR="00B412D7">
        <w:t>4</w:t>
      </w:r>
      <w:r w:rsidR="00C35A4C">
        <w:t>.</w:t>
      </w:r>
    </w:p>
    <w:p w:rsidR="00B61E76" w:rsidRPr="00892C22" w:rsidRDefault="00B61E76" w:rsidP="00892C2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shd w:val="clear" w:color="auto" w:fill="FFFFFF" w:themeFill="background1"/>
        <w:tblLayout w:type="fixed"/>
        <w:tblCellMar>
          <w:left w:w="142" w:type="dxa"/>
          <w:right w:w="142" w:type="dxa"/>
        </w:tblCellMar>
        <w:tblLook w:val="0000" w:firstRow="0" w:lastRow="0" w:firstColumn="0" w:lastColumn="0" w:noHBand="0" w:noVBand="0"/>
      </w:tblPr>
      <w:tblGrid>
        <w:gridCol w:w="8771"/>
      </w:tblGrid>
      <w:tr w:rsidR="00B61E76" w:rsidTr="00FD49FC">
        <w:tc>
          <w:tcPr>
            <w:tcW w:w="8771" w:type="dxa"/>
            <w:tcBorders>
              <w:top w:val="single" w:sz="6" w:space="0" w:color="78A22F"/>
              <w:left w:val="nil"/>
              <w:bottom w:val="nil"/>
              <w:right w:val="nil"/>
            </w:tcBorders>
            <w:shd w:val="clear" w:color="auto" w:fill="FFFFFF" w:themeFill="background1"/>
          </w:tcPr>
          <w:p w:rsidR="00B61E76" w:rsidRPr="00176D3F" w:rsidRDefault="00B61E76" w:rsidP="007C3353">
            <w:pPr>
              <w:pStyle w:val="FigureTitle"/>
            </w:pPr>
            <w:r w:rsidRPr="00784A05">
              <w:rPr>
                <w:b w:val="0"/>
              </w:rPr>
              <w:t xml:space="preserve">Figure </w:t>
            </w:r>
            <w:r w:rsidR="00677E3E">
              <w:rPr>
                <w:b w:val="0"/>
                <w:noProof/>
              </w:rPr>
              <w:t>1</w:t>
            </w:r>
            <w:r w:rsidR="0001777A">
              <w:rPr>
                <w:b w:val="0"/>
              </w:rPr>
              <w:t>8</w:t>
            </w:r>
            <w:r w:rsidRPr="001E7815">
              <w:rPr>
                <w:b w:val="0"/>
              </w:rPr>
              <w:t>.</w:t>
            </w:r>
            <w:r w:rsidR="007C3353">
              <w:rPr>
                <w:b w:val="0"/>
              </w:rPr>
              <w:t>8</w:t>
            </w:r>
            <w:r w:rsidRPr="00EF2240">
              <w:tab/>
              <w:t xml:space="preserve">Net recurrent cost per dwelling – public housing </w:t>
            </w:r>
            <w:r w:rsidR="00E07D02">
              <w:t>(2015</w:t>
            </w:r>
            <w:r w:rsidR="00E07D02">
              <w:noBreakHyphen/>
              <w:t>16 </w:t>
            </w:r>
            <w:r w:rsidRPr="00EF2240">
              <w:t>dollars)</w:t>
            </w:r>
            <w:r w:rsidR="00F7685E">
              <w:rPr>
                <w:rStyle w:val="NoteLabel"/>
                <w:b/>
              </w:rPr>
              <w:t>a</w:t>
            </w:r>
          </w:p>
        </w:tc>
      </w:tr>
      <w:tr w:rsidR="00B61E76" w:rsidTr="00FD49FC">
        <w:tblPrEx>
          <w:tblCellMar>
            <w:left w:w="108" w:type="dxa"/>
            <w:right w:w="108" w:type="dxa"/>
          </w:tblCellMar>
        </w:tblPrEx>
        <w:tc>
          <w:tcPr>
            <w:tcW w:w="8771" w:type="dxa"/>
            <w:tcBorders>
              <w:top w:val="nil"/>
              <w:left w:val="nil"/>
              <w:bottom w:val="nil"/>
              <w:right w:val="nil"/>
            </w:tcBorders>
            <w:shd w:val="clear" w:color="auto" w:fill="FFFFFF" w:themeFill="background1"/>
          </w:tcPr>
          <w:p w:rsidR="001F33C8" w:rsidRDefault="002B02BB" w:rsidP="001F33C8">
            <w:pPr>
              <w:pStyle w:val="Figure"/>
              <w:rPr>
                <w:noProof/>
              </w:rPr>
            </w:pPr>
            <w:r w:rsidRPr="002B02BB">
              <w:rPr>
                <w:rFonts w:ascii="Arial" w:hAnsi="Arial" w:cs="Arial"/>
                <w:b/>
                <w:sz w:val="20"/>
              </w:rPr>
              <w:t>Excluding th</w:t>
            </w:r>
            <w:r>
              <w:rPr>
                <w:rFonts w:ascii="Arial" w:hAnsi="Arial" w:cs="Arial"/>
                <w:b/>
                <w:sz w:val="20"/>
              </w:rPr>
              <w:t>e cost of capital</w:t>
            </w:r>
          </w:p>
          <w:p w:rsidR="00FD49FC" w:rsidRDefault="004C1475" w:rsidP="00FD49FC">
            <w:pPr>
              <w:pStyle w:val="Figure"/>
              <w:rPr>
                <w:rFonts w:ascii="Arial" w:hAnsi="Arial" w:cs="Arial"/>
                <w:b/>
                <w:sz w:val="20"/>
              </w:rPr>
            </w:pPr>
            <w:r>
              <w:rPr>
                <w:rFonts w:ascii="Arial" w:hAnsi="Arial" w:cs="Arial"/>
                <w:b/>
                <w:noProof/>
                <w:sz w:val="20"/>
              </w:rPr>
              <w:drawing>
                <wp:inline distT="0" distB="0" distL="0" distR="0" wp14:anchorId="3B747A0E" wp14:editId="7E7B51BC">
                  <wp:extent cx="5397028" cy="2228850"/>
                  <wp:effectExtent l="0" t="0" r="0" b="0"/>
                  <wp:docPr id="12" name="Picture 12" descr="Figure 18.8 Net recurrent cost per dwelling for public housing, in 2015-16 dollars, excluding the cost of ca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2">
                            <a:extLst>
                              <a:ext uri="{28A0092B-C50C-407E-A947-70E740481C1C}">
                                <a14:useLocalDpi xmlns:a14="http://schemas.microsoft.com/office/drawing/2010/main" val="0"/>
                              </a:ext>
                            </a:extLst>
                          </a:blip>
                          <a:srcRect t="3703" b="3439"/>
                          <a:stretch/>
                        </pic:blipFill>
                        <pic:spPr bwMode="auto">
                          <a:xfrm>
                            <a:off x="0" y="0"/>
                            <a:ext cx="5397028" cy="2228850"/>
                          </a:xfrm>
                          <a:prstGeom prst="rect">
                            <a:avLst/>
                          </a:prstGeom>
                          <a:noFill/>
                          <a:ln>
                            <a:noFill/>
                          </a:ln>
                          <a:extLst>
                            <a:ext uri="{53640926-AAD7-44D8-BBD7-CCE9431645EC}">
                              <a14:shadowObscured xmlns:a14="http://schemas.microsoft.com/office/drawing/2010/main"/>
                            </a:ext>
                          </a:extLst>
                        </pic:spPr>
                      </pic:pic>
                    </a:graphicData>
                  </a:graphic>
                </wp:inline>
              </w:drawing>
            </w:r>
            <w:r w:rsidR="00FD49FC">
              <w:rPr>
                <w:rFonts w:ascii="Arial" w:hAnsi="Arial" w:cs="Arial"/>
                <w:b/>
                <w:sz w:val="20"/>
              </w:rPr>
              <w:br/>
            </w:r>
          </w:p>
          <w:p w:rsidR="002B02BB" w:rsidRPr="004C6F5D" w:rsidRDefault="003540F1" w:rsidP="00FD49FC">
            <w:pPr>
              <w:pStyle w:val="Figure"/>
              <w:rPr>
                <w:rFonts w:ascii="Arial" w:hAnsi="Arial" w:cs="Arial"/>
                <w:b/>
                <w:color w:val="FF0000"/>
                <w:sz w:val="20"/>
              </w:rPr>
            </w:pPr>
            <w:r>
              <w:rPr>
                <w:rFonts w:ascii="Arial" w:hAnsi="Arial" w:cs="Arial"/>
                <w:b/>
                <w:sz w:val="20"/>
              </w:rPr>
              <w:t>Including the cost of capital</w:t>
            </w:r>
          </w:p>
          <w:tbl>
            <w:tblPr>
              <w:tblW w:w="8504" w:type="dxa"/>
              <w:jc w:val="center"/>
              <w:tblLayout w:type="fixed"/>
              <w:tblCellMar>
                <w:top w:w="28" w:type="dxa"/>
              </w:tblCellMar>
              <w:tblLook w:val="0000" w:firstRow="0" w:lastRow="0" w:firstColumn="0" w:lastColumn="0" w:noHBand="0" w:noVBand="0"/>
            </w:tblPr>
            <w:tblGrid>
              <w:gridCol w:w="8504"/>
            </w:tblGrid>
            <w:tr w:rsidR="00B61E76" w:rsidTr="00FD49FC">
              <w:trPr>
                <w:jc w:val="center"/>
              </w:trPr>
              <w:tc>
                <w:tcPr>
                  <w:tcW w:w="8504" w:type="dxa"/>
                </w:tcPr>
                <w:p w:rsidR="00B61E76" w:rsidRDefault="00FD49FC" w:rsidP="00FD49FC">
                  <w:pPr>
                    <w:pStyle w:val="Figure"/>
                    <w:spacing w:before="60" w:after="60"/>
                  </w:pPr>
                  <w:r>
                    <w:rPr>
                      <w:noProof/>
                    </w:rPr>
                    <w:drawing>
                      <wp:inline distT="0" distB="0" distL="0" distR="0" wp14:anchorId="5BFB93A7" wp14:editId="5D5C5F55">
                        <wp:extent cx="5403850" cy="2451100"/>
                        <wp:effectExtent l="0" t="0" r="6350" b="6350"/>
                        <wp:docPr id="13" name="Picture 13" descr="Figure 18.8 Net recurrent cost per dwelling for public housing, in 2015-16 dollars, including the cost of ca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3">
                                  <a:extLst>
                                    <a:ext uri="{28A0092B-C50C-407E-A947-70E740481C1C}">
                                      <a14:useLocalDpi xmlns:a14="http://schemas.microsoft.com/office/drawing/2010/main" val="0"/>
                                    </a:ext>
                                  </a:extLst>
                                </a:blip>
                                <a:srcRect t="3591" b="4019"/>
                                <a:stretch/>
                              </pic:blipFill>
                              <pic:spPr bwMode="auto">
                                <a:xfrm>
                                  <a:off x="0" y="0"/>
                                  <a:ext cx="5401310" cy="2449948"/>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61E76" w:rsidRDefault="00B61E76" w:rsidP="008B68D3">
            <w:pPr>
              <w:pStyle w:val="Figure"/>
            </w:pPr>
          </w:p>
        </w:tc>
      </w:tr>
      <w:tr w:rsidR="00B61E76" w:rsidRPr="00176D3F" w:rsidTr="00B6576C">
        <w:tc>
          <w:tcPr>
            <w:tcW w:w="8771" w:type="dxa"/>
            <w:tcBorders>
              <w:top w:val="nil"/>
              <w:left w:val="nil"/>
              <w:bottom w:val="nil"/>
              <w:right w:val="nil"/>
            </w:tcBorders>
            <w:shd w:val="clear" w:color="auto" w:fill="FFFFFF" w:themeFill="background1"/>
          </w:tcPr>
          <w:p w:rsidR="00B61E76" w:rsidRPr="006F7A0C" w:rsidRDefault="004E6030" w:rsidP="00C855E1">
            <w:pPr>
              <w:pStyle w:val="Note"/>
              <w:spacing w:before="40"/>
              <w:rPr>
                <w:rStyle w:val="DraftingNote"/>
                <w:color w:val="auto"/>
                <w:sz w:val="20"/>
              </w:rPr>
            </w:pPr>
            <w:r>
              <w:rPr>
                <w:rStyle w:val="NoteLabel"/>
              </w:rPr>
              <w:t>a</w:t>
            </w:r>
            <w:r>
              <w:t xml:space="preserve"> </w:t>
            </w:r>
            <w:r w:rsidR="00146DC9">
              <w:t>See box</w:t>
            </w:r>
            <w:r w:rsidR="007D1214">
              <w:t> </w:t>
            </w:r>
            <w:r w:rsidR="00146DC9">
              <w:t>1</w:t>
            </w:r>
            <w:r w:rsidR="00BB5630">
              <w:t>8</w:t>
            </w:r>
            <w:r w:rsidR="00146DC9">
              <w:t>.</w:t>
            </w:r>
            <w:r w:rsidR="00CD6349">
              <w:t>12</w:t>
            </w:r>
            <w:r w:rsidR="0045632D">
              <w:t xml:space="preserve"> and tables</w:t>
            </w:r>
            <w:r w:rsidR="007D1214">
              <w:t> </w:t>
            </w:r>
            <w:proofErr w:type="spellStart"/>
            <w:r w:rsidR="003B2986">
              <w:t>18A.4</w:t>
            </w:r>
            <w:r w:rsidR="00B412D7">
              <w:t>4</w:t>
            </w:r>
            <w:proofErr w:type="spellEnd"/>
            <w:r w:rsidR="0045632D">
              <w:t xml:space="preserve"> and </w:t>
            </w:r>
            <w:proofErr w:type="spellStart"/>
            <w:r w:rsidR="003B2986">
              <w:t>18A.58</w:t>
            </w:r>
            <w:proofErr w:type="spellEnd"/>
            <w:r w:rsidR="00146DC9">
              <w:t xml:space="preserve"> </w:t>
            </w:r>
            <w:r w:rsidR="00AC0EFD">
              <w:t>for detailed definitions, footnotes and caveats.</w:t>
            </w:r>
          </w:p>
        </w:tc>
      </w:tr>
      <w:tr w:rsidR="00B61E76" w:rsidRPr="00176D3F" w:rsidTr="00B6576C">
        <w:tc>
          <w:tcPr>
            <w:tcW w:w="8771" w:type="dxa"/>
            <w:tcBorders>
              <w:top w:val="nil"/>
              <w:left w:val="nil"/>
              <w:bottom w:val="nil"/>
              <w:right w:val="nil"/>
            </w:tcBorders>
            <w:shd w:val="clear" w:color="auto" w:fill="FFFFFF" w:themeFill="background1"/>
          </w:tcPr>
          <w:p w:rsidR="00B61E76" w:rsidRPr="00176D3F" w:rsidRDefault="004E6030" w:rsidP="00C855E1">
            <w:pPr>
              <w:pStyle w:val="Source"/>
              <w:spacing w:before="40"/>
            </w:pPr>
            <w:r>
              <w:rPr>
                <w:i/>
              </w:rPr>
              <w:t>S</w:t>
            </w:r>
            <w:r w:rsidRPr="00784A05">
              <w:rPr>
                <w:i/>
              </w:rPr>
              <w:t>ource</w:t>
            </w:r>
            <w:r w:rsidRPr="00176D3F">
              <w:t xml:space="preserve">: </w:t>
            </w:r>
            <w:r w:rsidRPr="00903B4C">
              <w:t>State and Terri</w:t>
            </w:r>
            <w:r w:rsidR="0031452F">
              <w:t>tory governments (unpublished); tables</w:t>
            </w:r>
            <w:r w:rsidR="007D1214">
              <w:t> </w:t>
            </w:r>
            <w:proofErr w:type="spellStart"/>
            <w:r w:rsidR="003B2986">
              <w:t>18A.4</w:t>
            </w:r>
            <w:r w:rsidR="00B412D7">
              <w:t>4</w:t>
            </w:r>
            <w:proofErr w:type="spellEnd"/>
            <w:r w:rsidR="0031452F">
              <w:t xml:space="preserve"> and </w:t>
            </w:r>
            <w:proofErr w:type="spellStart"/>
            <w:r w:rsidR="003B2986">
              <w:t>18A.58</w:t>
            </w:r>
            <w:proofErr w:type="spellEnd"/>
            <w:r w:rsidR="0031452F">
              <w:t>.</w:t>
            </w:r>
          </w:p>
        </w:tc>
      </w:tr>
      <w:tr w:rsidR="00B61E76" w:rsidTr="00B6576C">
        <w:tc>
          <w:tcPr>
            <w:tcW w:w="8771" w:type="dxa"/>
            <w:tcBorders>
              <w:top w:val="nil"/>
              <w:left w:val="nil"/>
              <w:bottom w:val="single" w:sz="6" w:space="0" w:color="78A22F"/>
              <w:right w:val="nil"/>
            </w:tcBorders>
            <w:shd w:val="clear" w:color="auto" w:fill="FFFFFF" w:themeFill="background1"/>
          </w:tcPr>
          <w:p w:rsidR="00B61E76" w:rsidRDefault="00B61E76" w:rsidP="008B68D3">
            <w:pPr>
              <w:pStyle w:val="Figurespace"/>
            </w:pPr>
          </w:p>
        </w:tc>
      </w:tr>
      <w:tr w:rsidR="00B61E76" w:rsidRPr="000863A5" w:rsidTr="00C855E1">
        <w:trPr>
          <w:trHeight w:val="45"/>
        </w:trPr>
        <w:tc>
          <w:tcPr>
            <w:tcW w:w="8771" w:type="dxa"/>
            <w:tcBorders>
              <w:top w:val="single" w:sz="6" w:space="0" w:color="78A22F"/>
              <w:left w:val="nil"/>
              <w:bottom w:val="nil"/>
              <w:right w:val="nil"/>
            </w:tcBorders>
            <w:shd w:val="clear" w:color="auto" w:fill="FFFFFF" w:themeFill="background1"/>
          </w:tcPr>
          <w:p w:rsidR="00B61E76" w:rsidRPr="00626D32" w:rsidRDefault="00B61E76" w:rsidP="008B68D3">
            <w:pPr>
              <w:pStyle w:val="BoxSpaceBelow"/>
            </w:pPr>
          </w:p>
        </w:tc>
      </w:tr>
    </w:tbl>
    <w:p w:rsidR="00BF55EB" w:rsidRDefault="00BF55EB" w:rsidP="00BF55EB">
      <w:pPr>
        <w:pStyle w:val="BodyText"/>
      </w:pPr>
      <w:r w:rsidRPr="00887F6C">
        <w:t xml:space="preserve">Nationally, the net recurrent cost of providing assistance (excluding </w:t>
      </w:r>
      <w:r>
        <w:t>user</w:t>
      </w:r>
      <w:r w:rsidRPr="00887F6C">
        <w:t xml:space="preserve"> cost of capital) per dwelling for </w:t>
      </w:r>
      <w:proofErr w:type="spellStart"/>
      <w:r w:rsidRPr="00887F6C">
        <w:t>SOMIH</w:t>
      </w:r>
      <w:proofErr w:type="spellEnd"/>
      <w:r w:rsidRPr="00887F6C">
        <w:t xml:space="preserve"> </w:t>
      </w:r>
      <w:r w:rsidRPr="00705266">
        <w:t>was</w:t>
      </w:r>
      <w:r>
        <w:t xml:space="preserve"> $11 424 in 2015</w:t>
      </w:r>
      <w:r w:rsidR="00B93213">
        <w:noBreakHyphen/>
      </w:r>
      <w:r>
        <w:t>16, up 8.9 per cent (in real terms) since 2011</w:t>
      </w:r>
      <w:r w:rsidR="00B93213">
        <w:noBreakHyphen/>
      </w:r>
      <w:r>
        <w:t xml:space="preserve">12 </w:t>
      </w:r>
      <w:r w:rsidRPr="006C7C20">
        <w:t>(figure</w:t>
      </w:r>
      <w:r>
        <w:t> 18</w:t>
      </w:r>
      <w:r w:rsidRPr="006C7C20">
        <w:t>.</w:t>
      </w:r>
      <w:r>
        <w:t>9</w:t>
      </w:r>
      <w:r w:rsidRPr="006C7C20">
        <w:t xml:space="preserve">). </w:t>
      </w:r>
      <w:r>
        <w:t>Table</w:t>
      </w:r>
      <w:r w:rsidR="00B93213">
        <w:t> </w:t>
      </w:r>
      <w:proofErr w:type="spellStart"/>
      <w:r>
        <w:t>18A.4</w:t>
      </w:r>
      <w:r w:rsidR="00B412D7">
        <w:t>5</w:t>
      </w:r>
      <w:proofErr w:type="spellEnd"/>
      <w:r w:rsidRPr="00887F6C">
        <w:t xml:space="preserve"> </w:t>
      </w:r>
      <w:r>
        <w:t xml:space="preserve">reports data from </w:t>
      </w:r>
      <w:r w:rsidRPr="00887F6C">
        <w:t>200</w:t>
      </w:r>
      <w:r>
        <w:t>6</w:t>
      </w:r>
      <w:r>
        <w:noBreakHyphen/>
        <w:t>07</w:t>
      </w:r>
      <w:r w:rsidRPr="00887F6C">
        <w:t>.</w:t>
      </w:r>
    </w:p>
    <w:p w:rsidR="00BF55EB" w:rsidRPr="004372D7" w:rsidRDefault="00BF55EB" w:rsidP="006F7A0C">
      <w:pPr>
        <w:pStyle w:val="BodyText"/>
      </w:pPr>
      <w:r w:rsidRPr="00D27298">
        <w:t xml:space="preserve">Nationally, the net recurrent cost per community housing tenancy for </w:t>
      </w:r>
      <w:r>
        <w:t>2014</w:t>
      </w:r>
      <w:r w:rsidR="00B93213">
        <w:noBreakHyphen/>
      </w:r>
      <w:r>
        <w:t>15</w:t>
      </w:r>
      <w:r w:rsidRPr="00AE3101">
        <w:rPr>
          <w:color w:val="FF0000"/>
        </w:rPr>
        <w:t xml:space="preserve"> </w:t>
      </w:r>
      <w:r w:rsidRPr="00D27298">
        <w:t xml:space="preserve">was </w:t>
      </w:r>
      <w:r w:rsidRPr="00A17C2C">
        <w:t>$11 938, up 38.0 per cent (in real terms) since 2010</w:t>
      </w:r>
      <w:r w:rsidR="00B93213">
        <w:noBreakHyphen/>
      </w:r>
      <w:r w:rsidRPr="00A17C2C">
        <w:t>11 (figure 18.10). Time series data from 2006</w:t>
      </w:r>
      <w:r w:rsidR="00B93213">
        <w:noBreakHyphen/>
      </w:r>
      <w:r w:rsidRPr="00A17C2C">
        <w:t>07</w:t>
      </w:r>
      <w:r>
        <w:t xml:space="preserve"> are reported in table</w:t>
      </w:r>
      <w:r w:rsidR="00B93213">
        <w:t> </w:t>
      </w:r>
      <w:proofErr w:type="spellStart"/>
      <w:r>
        <w:t>18A.4</w:t>
      </w:r>
      <w:r w:rsidR="00B412D7">
        <w:t>6</w:t>
      </w:r>
      <w:proofErr w:type="spellEnd"/>
      <w:r w:rsidRPr="00826A68">
        <w:t>.</w:t>
      </w:r>
    </w:p>
    <w:p w:rsidR="00BF55EB" w:rsidRDefault="00BF55EB" w:rsidP="00334F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903B4C" w:rsidTr="00604F8C">
        <w:tc>
          <w:tcPr>
            <w:tcW w:w="5000" w:type="pct"/>
            <w:tcBorders>
              <w:top w:val="single" w:sz="6" w:space="0" w:color="78A22F"/>
              <w:left w:val="nil"/>
              <w:bottom w:val="nil"/>
              <w:right w:val="nil"/>
            </w:tcBorders>
            <w:shd w:val="clear" w:color="auto" w:fill="auto"/>
          </w:tcPr>
          <w:p w:rsidR="00903B4C" w:rsidRPr="00176D3F" w:rsidRDefault="0001777A" w:rsidP="00EF305D">
            <w:pPr>
              <w:pStyle w:val="FigureTitle"/>
            </w:pPr>
            <w:r>
              <w:rPr>
                <w:b w:val="0"/>
              </w:rPr>
              <w:t>Figure 18</w:t>
            </w:r>
            <w:r w:rsidR="00903B4C" w:rsidRPr="002061F6">
              <w:rPr>
                <w:b w:val="0"/>
              </w:rPr>
              <w:t>.</w:t>
            </w:r>
            <w:r w:rsidR="007C3353">
              <w:rPr>
                <w:b w:val="0"/>
              </w:rPr>
              <w:t>9</w:t>
            </w:r>
            <w:r w:rsidR="00903B4C">
              <w:tab/>
            </w:r>
            <w:r w:rsidR="00903B4C" w:rsidRPr="005E340A">
              <w:t>Net recurrent cost per dwelling</w:t>
            </w:r>
            <w:r w:rsidR="00BD6121">
              <w:t xml:space="preserve">, excluding the cost of capital </w:t>
            </w:r>
            <w:r w:rsidR="00903B4C" w:rsidRPr="005E340A">
              <w:t xml:space="preserve">— </w:t>
            </w:r>
            <w:proofErr w:type="spellStart"/>
            <w:r w:rsidR="00903B4C" w:rsidRPr="005E340A">
              <w:t>SOMIH</w:t>
            </w:r>
            <w:proofErr w:type="spellEnd"/>
            <w:r w:rsidR="00903B4C" w:rsidRPr="005E340A">
              <w:t xml:space="preserve"> (</w:t>
            </w:r>
            <w:r w:rsidR="00EF305D">
              <w:t>2015</w:t>
            </w:r>
            <w:r w:rsidR="00B93213">
              <w:noBreakHyphen/>
            </w:r>
            <w:r w:rsidR="00EF305D">
              <w:t>16</w:t>
            </w:r>
            <w:r w:rsidR="00903B4C" w:rsidRPr="005E340A">
              <w:t> dollars)</w:t>
            </w:r>
            <w:r w:rsidR="000C4A43" w:rsidRPr="005E340A">
              <w:rPr>
                <w:rStyle w:val="NoteLabel"/>
                <w:b/>
              </w:rPr>
              <w:t>a</w:t>
            </w:r>
          </w:p>
        </w:tc>
      </w:tr>
      <w:tr w:rsidR="00903B4C" w:rsidTr="00140C65">
        <w:tblPrEx>
          <w:tblCellMar>
            <w:left w:w="108" w:type="dxa"/>
            <w:right w:w="108" w:type="dxa"/>
          </w:tblCellMar>
        </w:tblPrEx>
        <w:tc>
          <w:tcPr>
            <w:tcW w:w="5000" w:type="pct"/>
            <w:tcBorders>
              <w:top w:val="nil"/>
              <w:left w:val="nil"/>
              <w:bottom w:val="nil"/>
              <w:right w:val="nil"/>
            </w:tcBorders>
            <w:shd w:val="clear" w:color="auto" w:fill="auto"/>
          </w:tcPr>
          <w:p w:rsidR="00903B4C" w:rsidRDefault="00BA7BA2" w:rsidP="00334F07">
            <w:pPr>
              <w:pStyle w:val="Figure"/>
            </w:pPr>
            <w:r>
              <w:rPr>
                <w:noProof/>
              </w:rPr>
              <w:drawing>
                <wp:inline distT="0" distB="0" distL="0" distR="0" wp14:anchorId="3BC22EC6" wp14:editId="2389352D">
                  <wp:extent cx="5395595" cy="2646045"/>
                  <wp:effectExtent l="0" t="0" r="0" b="1905"/>
                  <wp:docPr id="37" name="Picture 37" descr="Figure 18.9 Net recurrent cost per dwelling, excluding the cost of capital, SOMIH,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5595" cy="2646045"/>
                          </a:xfrm>
                          <a:prstGeom prst="rect">
                            <a:avLst/>
                          </a:prstGeom>
                          <a:noFill/>
                        </pic:spPr>
                      </pic:pic>
                    </a:graphicData>
                  </a:graphic>
                </wp:inline>
              </w:drawing>
            </w:r>
          </w:p>
        </w:tc>
      </w:tr>
      <w:tr w:rsidR="00903B4C" w:rsidRPr="00176D3F" w:rsidTr="00604F8C">
        <w:tc>
          <w:tcPr>
            <w:tcW w:w="5000" w:type="pct"/>
            <w:tcBorders>
              <w:top w:val="nil"/>
              <w:left w:val="nil"/>
              <w:bottom w:val="nil"/>
              <w:right w:val="nil"/>
            </w:tcBorders>
            <w:shd w:val="clear" w:color="auto" w:fill="auto"/>
          </w:tcPr>
          <w:p w:rsidR="00903B4C" w:rsidRPr="00176D3F" w:rsidRDefault="00903B4C" w:rsidP="00BA7BA2">
            <w:pPr>
              <w:pStyle w:val="Note"/>
            </w:pPr>
            <w:r>
              <w:rPr>
                <w:rStyle w:val="NoteLabel"/>
              </w:rPr>
              <w:t>a</w:t>
            </w:r>
            <w:r>
              <w:t xml:space="preserve"> </w:t>
            </w:r>
            <w:r w:rsidR="000C4A43">
              <w:t xml:space="preserve">See </w:t>
            </w:r>
            <w:r w:rsidR="007D1214">
              <w:t>b</w:t>
            </w:r>
            <w:r w:rsidR="000C4A43">
              <w:t>ox</w:t>
            </w:r>
            <w:r w:rsidR="007D1214">
              <w:t> </w:t>
            </w:r>
            <w:r w:rsidR="000C4A43">
              <w:t>1</w:t>
            </w:r>
            <w:r w:rsidR="00BB5630">
              <w:t>8</w:t>
            </w:r>
            <w:r w:rsidR="000C4A43">
              <w:t>.</w:t>
            </w:r>
            <w:r w:rsidR="00CD6349">
              <w:t>12</w:t>
            </w:r>
            <w:r w:rsidR="000C4A43">
              <w:t xml:space="preserve"> and </w:t>
            </w:r>
            <w:r w:rsidR="000C4A43" w:rsidRPr="0045632D">
              <w:t>tables</w:t>
            </w:r>
            <w:r w:rsidR="007D1214">
              <w:t> </w:t>
            </w:r>
            <w:proofErr w:type="spellStart"/>
            <w:r w:rsidR="00086999">
              <w:t>18A.45</w:t>
            </w:r>
            <w:proofErr w:type="spellEnd"/>
            <w:r w:rsidR="000C4A43" w:rsidRPr="0045632D">
              <w:t xml:space="preserve"> and </w:t>
            </w:r>
            <w:proofErr w:type="spellStart"/>
            <w:r w:rsidR="003B2986">
              <w:t>18A.58</w:t>
            </w:r>
            <w:proofErr w:type="spellEnd"/>
            <w:r w:rsidR="000C4A43" w:rsidRPr="0045632D">
              <w:t xml:space="preserve"> </w:t>
            </w:r>
            <w:r w:rsidR="00AC0EFD">
              <w:t>for detailed definitions, footnotes and caveats</w:t>
            </w:r>
            <w:r w:rsidR="00BA7BA2">
              <w:t>.</w:t>
            </w:r>
          </w:p>
        </w:tc>
      </w:tr>
      <w:tr w:rsidR="00903B4C" w:rsidRPr="00176D3F" w:rsidTr="00604F8C">
        <w:tc>
          <w:tcPr>
            <w:tcW w:w="5000" w:type="pct"/>
            <w:tcBorders>
              <w:top w:val="nil"/>
              <w:left w:val="nil"/>
              <w:bottom w:val="nil"/>
              <w:right w:val="nil"/>
            </w:tcBorders>
            <w:shd w:val="clear" w:color="auto" w:fill="auto"/>
          </w:tcPr>
          <w:p w:rsidR="00903B4C" w:rsidRPr="00176D3F" w:rsidRDefault="00903B4C" w:rsidP="00B412D7">
            <w:pPr>
              <w:pStyle w:val="Source"/>
            </w:pPr>
            <w:r>
              <w:rPr>
                <w:i/>
              </w:rPr>
              <w:t>S</w:t>
            </w:r>
            <w:r w:rsidRPr="00784A05">
              <w:rPr>
                <w:i/>
              </w:rPr>
              <w:t>ource</w:t>
            </w:r>
            <w:r w:rsidRPr="00176D3F">
              <w:t xml:space="preserve">: </w:t>
            </w:r>
            <w:r w:rsidRPr="00903B4C">
              <w:t>State and Territ</w:t>
            </w:r>
            <w:r w:rsidR="00D244B5">
              <w:t>ory governments (</w:t>
            </w:r>
            <w:r w:rsidR="00D244B5" w:rsidRPr="0045632D">
              <w:t>unpublished)</w:t>
            </w:r>
            <w:r w:rsidR="00023CD6">
              <w:t>; tables</w:t>
            </w:r>
            <w:r w:rsidR="007D1214">
              <w:t> </w:t>
            </w:r>
            <w:proofErr w:type="spellStart"/>
            <w:r w:rsidR="003B2986">
              <w:t>18A.4</w:t>
            </w:r>
            <w:r w:rsidR="00B412D7">
              <w:t>5</w:t>
            </w:r>
            <w:proofErr w:type="spellEnd"/>
            <w:r w:rsidR="00023CD6">
              <w:t xml:space="preserve"> and </w:t>
            </w:r>
            <w:proofErr w:type="spellStart"/>
            <w:r w:rsidR="003B2986">
              <w:t>18A.58</w:t>
            </w:r>
            <w:proofErr w:type="spellEnd"/>
            <w:r w:rsidRPr="0045632D">
              <w:t>.</w:t>
            </w:r>
          </w:p>
        </w:tc>
      </w:tr>
      <w:tr w:rsidR="00903B4C" w:rsidTr="00604F8C">
        <w:tc>
          <w:tcPr>
            <w:tcW w:w="5000" w:type="pct"/>
            <w:tcBorders>
              <w:top w:val="nil"/>
              <w:left w:val="nil"/>
              <w:bottom w:val="single" w:sz="6" w:space="0" w:color="78A22F"/>
              <w:right w:val="nil"/>
            </w:tcBorders>
            <w:shd w:val="clear" w:color="auto" w:fill="auto"/>
          </w:tcPr>
          <w:p w:rsidR="00903B4C" w:rsidRDefault="00903B4C" w:rsidP="00334F07">
            <w:pPr>
              <w:pStyle w:val="Figurespace"/>
            </w:pPr>
          </w:p>
        </w:tc>
      </w:tr>
      <w:tr w:rsidR="00903B4C" w:rsidRPr="000863A5" w:rsidTr="00604F8C">
        <w:tc>
          <w:tcPr>
            <w:tcW w:w="5000" w:type="pct"/>
            <w:tcBorders>
              <w:top w:val="single" w:sz="6" w:space="0" w:color="78A22F"/>
              <w:left w:val="nil"/>
              <w:bottom w:val="nil"/>
              <w:right w:val="nil"/>
            </w:tcBorders>
          </w:tcPr>
          <w:p w:rsidR="00903B4C" w:rsidRPr="00626D32" w:rsidRDefault="00903B4C" w:rsidP="00334F07">
            <w:pPr>
              <w:pStyle w:val="BoxSpaceBelow"/>
            </w:pPr>
          </w:p>
        </w:tc>
      </w:tr>
    </w:tbl>
    <w:p w:rsidR="0013141B" w:rsidRDefault="0013141B" w:rsidP="00334F0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shd w:val="clear" w:color="auto" w:fill="FFFFFF" w:themeFill="background1"/>
        <w:tblLayout w:type="fixed"/>
        <w:tblCellMar>
          <w:left w:w="142" w:type="dxa"/>
          <w:right w:w="142" w:type="dxa"/>
        </w:tblCellMar>
        <w:tblLook w:val="0000" w:firstRow="0" w:lastRow="0" w:firstColumn="0" w:lastColumn="0" w:noHBand="0" w:noVBand="0"/>
      </w:tblPr>
      <w:tblGrid>
        <w:gridCol w:w="8788"/>
      </w:tblGrid>
      <w:tr w:rsidR="00903B4C" w:rsidTr="00804172">
        <w:tc>
          <w:tcPr>
            <w:tcW w:w="5000" w:type="pct"/>
            <w:tcBorders>
              <w:top w:val="single" w:sz="6" w:space="0" w:color="78A22F"/>
              <w:left w:val="nil"/>
              <w:bottom w:val="nil"/>
              <w:right w:val="nil"/>
            </w:tcBorders>
            <w:shd w:val="clear" w:color="auto" w:fill="FFFFFF" w:themeFill="background1"/>
          </w:tcPr>
          <w:p w:rsidR="00903B4C" w:rsidRPr="00176D3F" w:rsidRDefault="0001777A" w:rsidP="007C3353">
            <w:pPr>
              <w:pStyle w:val="FigureTitle"/>
            </w:pPr>
            <w:r>
              <w:rPr>
                <w:b w:val="0"/>
              </w:rPr>
              <w:t>Figure 18</w:t>
            </w:r>
            <w:r w:rsidR="00903B4C" w:rsidRPr="00FD1E41">
              <w:rPr>
                <w:b w:val="0"/>
              </w:rPr>
              <w:t>.</w:t>
            </w:r>
            <w:r w:rsidR="007C3353">
              <w:rPr>
                <w:b w:val="0"/>
              </w:rPr>
              <w:t>10</w:t>
            </w:r>
            <w:r w:rsidR="00903B4C">
              <w:tab/>
            </w:r>
            <w:r w:rsidR="00903B4C" w:rsidRPr="00915CFA">
              <w:t xml:space="preserve">Net recurrent cost </w:t>
            </w:r>
            <w:r w:rsidR="00C80C1C" w:rsidRPr="00915CFA">
              <w:t>per tenancy</w:t>
            </w:r>
            <w:r w:rsidR="009E7ABF">
              <w:t xml:space="preserve"> </w:t>
            </w:r>
            <w:r w:rsidR="00C80C1C" w:rsidRPr="00915CFA">
              <w:t>— community housing</w:t>
            </w:r>
            <w:r w:rsidR="00875B08" w:rsidRPr="00915CFA">
              <w:t xml:space="preserve"> </w:t>
            </w:r>
            <w:r w:rsidR="00903B4C" w:rsidRPr="00915CFA">
              <w:t>(</w:t>
            </w:r>
            <w:r w:rsidR="00903B4C" w:rsidRPr="009E293E">
              <w:t>201</w:t>
            </w:r>
            <w:r w:rsidR="009E293E" w:rsidRPr="009E293E">
              <w:t>4</w:t>
            </w:r>
            <w:r w:rsidR="007D1214" w:rsidRPr="009E293E">
              <w:noBreakHyphen/>
            </w:r>
            <w:r w:rsidR="00023CD6" w:rsidRPr="009E293E">
              <w:t>1</w:t>
            </w:r>
            <w:r w:rsidR="009E293E" w:rsidRPr="009E293E">
              <w:t>5</w:t>
            </w:r>
            <w:r w:rsidR="0010300D">
              <w:t> </w:t>
            </w:r>
            <w:r w:rsidR="00903B4C" w:rsidRPr="009E293E">
              <w:t>dollars</w:t>
            </w:r>
            <w:r w:rsidR="00903B4C" w:rsidRPr="00915CFA">
              <w:t>)</w:t>
            </w:r>
            <w:r w:rsidR="00903B4C" w:rsidRPr="00A11155">
              <w:rPr>
                <w:rStyle w:val="NoteLabel"/>
                <w:b/>
              </w:rPr>
              <w:t>a</w:t>
            </w:r>
            <w:r w:rsidR="00F306D1">
              <w:rPr>
                <w:rStyle w:val="NoteLabel"/>
                <w:b/>
              </w:rPr>
              <w:t>, b</w:t>
            </w:r>
            <w:r w:rsidR="00182DD7">
              <w:rPr>
                <w:rStyle w:val="NoteLabel"/>
                <w:b/>
              </w:rPr>
              <w:t>, c</w:t>
            </w:r>
          </w:p>
        </w:tc>
      </w:tr>
      <w:tr w:rsidR="00903B4C" w:rsidTr="00804172">
        <w:tc>
          <w:tcPr>
            <w:tcW w:w="5000" w:type="pct"/>
            <w:tcBorders>
              <w:top w:val="nil"/>
              <w:left w:val="nil"/>
              <w:bottom w:val="nil"/>
              <w:right w:val="nil"/>
            </w:tcBorders>
            <w:shd w:val="clear" w:color="auto" w:fill="FFFFFF" w:themeFill="background1"/>
            <w:tcMar>
              <w:top w:w="28" w:type="dxa"/>
              <w:bottom w:w="28" w:type="dxa"/>
            </w:tcMar>
          </w:tcPr>
          <w:tbl>
            <w:tblPr>
              <w:tblW w:w="5000" w:type="pct"/>
              <w:tblLayout w:type="fixed"/>
              <w:tblCellMar>
                <w:top w:w="28" w:type="dxa"/>
              </w:tblCellMar>
              <w:tblLook w:val="0000" w:firstRow="0" w:lastRow="0" w:firstColumn="0" w:lastColumn="0" w:noHBand="0" w:noVBand="0"/>
            </w:tblPr>
            <w:tblGrid>
              <w:gridCol w:w="8504"/>
            </w:tblGrid>
            <w:tr w:rsidR="00903B4C" w:rsidRPr="0045632D" w:rsidTr="00804172">
              <w:tc>
                <w:tcPr>
                  <w:tcW w:w="8504" w:type="dxa"/>
                  <w:shd w:val="clear" w:color="auto" w:fill="auto"/>
                </w:tcPr>
                <w:p w:rsidR="00F1759B" w:rsidRPr="0045632D" w:rsidRDefault="009C426E" w:rsidP="00875B08">
                  <w:pPr>
                    <w:pStyle w:val="Figure"/>
                    <w:rPr>
                      <w:highlight w:val="yellow"/>
                    </w:rPr>
                  </w:pPr>
                  <w:r>
                    <w:rPr>
                      <w:noProof/>
                    </w:rPr>
                    <w:drawing>
                      <wp:inline distT="0" distB="0" distL="0" distR="0" wp14:anchorId="61C9D19E" wp14:editId="167B852D">
                        <wp:extent cx="5401310" cy="2646045"/>
                        <wp:effectExtent l="0" t="0" r="8890" b="1905"/>
                        <wp:docPr id="22" name="Picture 22" descr="Figure 18.10 Net recurrent cost per tenancy for community housing, in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1310" cy="2646045"/>
                                </a:xfrm>
                                <a:prstGeom prst="rect">
                                  <a:avLst/>
                                </a:prstGeom>
                                <a:noFill/>
                              </pic:spPr>
                            </pic:pic>
                          </a:graphicData>
                        </a:graphic>
                      </wp:inline>
                    </w:drawing>
                  </w:r>
                </w:p>
              </w:tc>
            </w:tr>
          </w:tbl>
          <w:p w:rsidR="00903B4C" w:rsidRPr="0045632D" w:rsidRDefault="00903B4C" w:rsidP="00334F07">
            <w:pPr>
              <w:pStyle w:val="Figure"/>
              <w:rPr>
                <w:highlight w:val="yellow"/>
              </w:rPr>
            </w:pPr>
          </w:p>
        </w:tc>
      </w:tr>
      <w:tr w:rsidR="00903B4C" w:rsidRPr="00176D3F" w:rsidTr="00804172">
        <w:tc>
          <w:tcPr>
            <w:tcW w:w="5000" w:type="pct"/>
            <w:tcBorders>
              <w:top w:val="nil"/>
              <w:left w:val="nil"/>
              <w:bottom w:val="nil"/>
              <w:right w:val="nil"/>
            </w:tcBorders>
            <w:shd w:val="clear" w:color="auto" w:fill="FFFFFF" w:themeFill="background1"/>
          </w:tcPr>
          <w:p w:rsidR="00903B4C" w:rsidRPr="0045632D" w:rsidRDefault="00903B4C" w:rsidP="009C426E">
            <w:pPr>
              <w:pStyle w:val="Note"/>
              <w:rPr>
                <w:highlight w:val="yellow"/>
              </w:rPr>
            </w:pPr>
            <w:r w:rsidRPr="0045632D">
              <w:rPr>
                <w:rStyle w:val="NoteLabel"/>
              </w:rPr>
              <w:t>a</w:t>
            </w:r>
            <w:r w:rsidR="00F36BC4" w:rsidRPr="0045632D">
              <w:t> </w:t>
            </w:r>
            <w:r w:rsidR="00451C44">
              <w:t>See box</w:t>
            </w:r>
            <w:r w:rsidR="007D1214">
              <w:t> </w:t>
            </w:r>
            <w:r w:rsidR="00BB5630">
              <w:t>18</w:t>
            </w:r>
            <w:r w:rsidR="00CD6349">
              <w:t>.12</w:t>
            </w:r>
            <w:r w:rsidR="00B97B8C" w:rsidRPr="0045632D">
              <w:t xml:space="preserve"> and tables</w:t>
            </w:r>
            <w:r w:rsidR="007D1214">
              <w:t> </w:t>
            </w:r>
            <w:proofErr w:type="spellStart"/>
            <w:r w:rsidR="00086999">
              <w:t>18A.46</w:t>
            </w:r>
            <w:proofErr w:type="spellEnd"/>
            <w:r w:rsidR="00B97B8C" w:rsidRPr="0045632D">
              <w:t xml:space="preserve"> and </w:t>
            </w:r>
            <w:proofErr w:type="spellStart"/>
            <w:r w:rsidR="003B2986">
              <w:t>18A.58</w:t>
            </w:r>
            <w:proofErr w:type="spellEnd"/>
            <w:r w:rsidR="00B97B8C" w:rsidRPr="0045632D">
              <w:t xml:space="preserve"> </w:t>
            </w:r>
            <w:r w:rsidR="00AC0EFD">
              <w:t>for detailed definitions, footnotes and caveats.</w:t>
            </w:r>
            <w:r w:rsidR="00B3374B">
              <w:t xml:space="preserve"> </w:t>
            </w:r>
            <w:r w:rsidR="00B3374B">
              <w:rPr>
                <w:rStyle w:val="NoteLabel"/>
              </w:rPr>
              <w:t xml:space="preserve">b </w:t>
            </w:r>
            <w:r w:rsidR="00B3374B" w:rsidRPr="00B3374B">
              <w:t>Data for</w:t>
            </w:r>
            <w:r w:rsidR="00F306D1">
              <w:t xml:space="preserve"> the</w:t>
            </w:r>
            <w:r w:rsidR="00B3374B" w:rsidRPr="00B3374B">
              <w:t xml:space="preserve"> NT </w:t>
            </w:r>
            <w:r w:rsidR="0015497B">
              <w:t xml:space="preserve">are </w:t>
            </w:r>
            <w:r w:rsidR="00B3374B" w:rsidRPr="00B3374B">
              <w:t>not available.</w:t>
            </w:r>
            <w:r w:rsidR="00915CFA">
              <w:t xml:space="preserve"> </w:t>
            </w:r>
            <w:r w:rsidR="00915CFA">
              <w:rPr>
                <w:rStyle w:val="NoteLabel"/>
              </w:rPr>
              <w:t xml:space="preserve">c </w:t>
            </w:r>
            <w:r w:rsidR="0015497B">
              <w:t>Data for 2</w:t>
            </w:r>
            <w:r w:rsidR="00915CFA" w:rsidRPr="009E293E">
              <w:t>01</w:t>
            </w:r>
            <w:r w:rsidR="00AE3101" w:rsidRPr="009E293E">
              <w:t>3</w:t>
            </w:r>
            <w:r w:rsidR="007D1214" w:rsidRPr="009E293E">
              <w:noBreakHyphen/>
            </w:r>
            <w:r w:rsidR="00915CFA" w:rsidRPr="009E293E">
              <w:t>1</w:t>
            </w:r>
            <w:r w:rsidR="00AE3101" w:rsidRPr="009E293E">
              <w:t>4</w:t>
            </w:r>
            <w:r w:rsidR="00915CFA">
              <w:t xml:space="preserve"> for Tasmania</w:t>
            </w:r>
            <w:r w:rsidR="00915CFA" w:rsidRPr="00B3374B">
              <w:t xml:space="preserve"> </w:t>
            </w:r>
            <w:r w:rsidR="0015497B">
              <w:t xml:space="preserve">are </w:t>
            </w:r>
            <w:r w:rsidR="00915CFA" w:rsidRPr="00B3374B">
              <w:t>not available.</w:t>
            </w:r>
          </w:p>
        </w:tc>
      </w:tr>
      <w:tr w:rsidR="00903B4C" w:rsidRPr="00176D3F" w:rsidTr="00804172">
        <w:tc>
          <w:tcPr>
            <w:tcW w:w="5000" w:type="pct"/>
            <w:tcBorders>
              <w:top w:val="nil"/>
              <w:left w:val="nil"/>
              <w:bottom w:val="nil"/>
              <w:right w:val="nil"/>
            </w:tcBorders>
            <w:shd w:val="clear" w:color="auto" w:fill="FFFFFF" w:themeFill="background1"/>
          </w:tcPr>
          <w:p w:rsidR="00B3374B" w:rsidRPr="00B3374B" w:rsidRDefault="00903B4C" w:rsidP="00B412D7">
            <w:pPr>
              <w:pStyle w:val="Source"/>
            </w:pPr>
            <w:r>
              <w:rPr>
                <w:i/>
              </w:rPr>
              <w:t>S</w:t>
            </w:r>
            <w:r w:rsidRPr="00784A05">
              <w:rPr>
                <w:i/>
              </w:rPr>
              <w:t>ource</w:t>
            </w:r>
            <w:r w:rsidRPr="00176D3F">
              <w:t xml:space="preserve">: </w:t>
            </w:r>
            <w:proofErr w:type="spellStart"/>
            <w:r w:rsidR="00B3374B">
              <w:t>AIHW</w:t>
            </w:r>
            <w:proofErr w:type="spellEnd"/>
            <w:r w:rsidR="00B3374B">
              <w:t xml:space="preserve"> (unpublished) National Housing Assistance Data Repository; tables</w:t>
            </w:r>
            <w:r w:rsidR="007D1214">
              <w:t> </w:t>
            </w:r>
            <w:proofErr w:type="spellStart"/>
            <w:r w:rsidR="003B2986">
              <w:t>18A.4</w:t>
            </w:r>
            <w:r w:rsidR="00B412D7">
              <w:t>6</w:t>
            </w:r>
            <w:proofErr w:type="spellEnd"/>
            <w:r w:rsidR="00B3374B">
              <w:t xml:space="preserve"> and </w:t>
            </w:r>
            <w:proofErr w:type="spellStart"/>
            <w:r w:rsidR="003B2986">
              <w:t>18A.58</w:t>
            </w:r>
            <w:proofErr w:type="spellEnd"/>
            <w:r w:rsidR="00B3374B">
              <w:t>.</w:t>
            </w:r>
          </w:p>
        </w:tc>
      </w:tr>
      <w:tr w:rsidR="00903B4C" w:rsidTr="00804172">
        <w:tc>
          <w:tcPr>
            <w:tcW w:w="5000" w:type="pct"/>
            <w:tcBorders>
              <w:top w:val="nil"/>
              <w:left w:val="nil"/>
              <w:bottom w:val="single" w:sz="6" w:space="0" w:color="78A22F"/>
              <w:right w:val="nil"/>
            </w:tcBorders>
            <w:shd w:val="clear" w:color="auto" w:fill="FFFFFF" w:themeFill="background1"/>
          </w:tcPr>
          <w:p w:rsidR="00903B4C" w:rsidRDefault="00903B4C" w:rsidP="00334F07">
            <w:pPr>
              <w:pStyle w:val="Figurespace"/>
            </w:pPr>
          </w:p>
        </w:tc>
      </w:tr>
      <w:tr w:rsidR="00903B4C" w:rsidRPr="000863A5" w:rsidTr="00804172">
        <w:tc>
          <w:tcPr>
            <w:tcW w:w="5000" w:type="pct"/>
            <w:tcBorders>
              <w:top w:val="single" w:sz="6" w:space="0" w:color="78A22F"/>
              <w:left w:val="nil"/>
              <w:bottom w:val="nil"/>
              <w:right w:val="nil"/>
            </w:tcBorders>
            <w:shd w:val="clear" w:color="auto" w:fill="FFFFFF" w:themeFill="background1"/>
          </w:tcPr>
          <w:p w:rsidR="00903B4C" w:rsidRPr="00626D32" w:rsidRDefault="00903B4C" w:rsidP="00334F07">
            <w:pPr>
              <w:pStyle w:val="BoxSpaceBelow"/>
            </w:pPr>
          </w:p>
        </w:tc>
      </w:tr>
    </w:tbl>
    <w:p w:rsidR="001135D2" w:rsidRPr="004372D7" w:rsidRDefault="00DE2220" w:rsidP="00E246E3">
      <w:pPr>
        <w:pStyle w:val="BodyText"/>
      </w:pPr>
      <w:r>
        <w:lastRenderedPageBreak/>
        <w:t xml:space="preserve">In </w:t>
      </w:r>
      <w:r w:rsidRPr="00C0661F">
        <w:t>201</w:t>
      </w:r>
      <w:r w:rsidR="00517902">
        <w:t>4</w:t>
      </w:r>
      <w:r w:rsidR="007D1214">
        <w:noBreakHyphen/>
      </w:r>
      <w:r w:rsidR="00C0661F">
        <w:t>1</w:t>
      </w:r>
      <w:r w:rsidR="00517902">
        <w:t>5</w:t>
      </w:r>
      <w:r w:rsidR="00DB7801" w:rsidRPr="00DB7801">
        <w:t xml:space="preserve">, the </w:t>
      </w:r>
      <w:r w:rsidR="00517902">
        <w:t xml:space="preserve">average </w:t>
      </w:r>
      <w:r w:rsidR="00DB7801" w:rsidRPr="00DB7801">
        <w:t xml:space="preserve">net current cost per </w:t>
      </w:r>
      <w:proofErr w:type="spellStart"/>
      <w:r w:rsidR="00F1759B">
        <w:t>ICH</w:t>
      </w:r>
      <w:proofErr w:type="spellEnd"/>
      <w:r w:rsidR="00DB7801" w:rsidRPr="00DB7801">
        <w:t xml:space="preserve"> dwelling</w:t>
      </w:r>
      <w:r w:rsidR="00A92DA9">
        <w:t xml:space="preserve"> </w:t>
      </w:r>
      <w:r w:rsidR="00DB7801" w:rsidRPr="00DB7801">
        <w:t>for jurisdictions</w:t>
      </w:r>
      <w:r w:rsidR="00A92DA9">
        <w:t xml:space="preserve"> </w:t>
      </w:r>
      <w:r w:rsidR="00DB7801">
        <w:t xml:space="preserve">where data </w:t>
      </w:r>
      <w:r w:rsidR="00517902">
        <w:t>are</w:t>
      </w:r>
      <w:r w:rsidR="00DB7801">
        <w:t xml:space="preserve"> </w:t>
      </w:r>
      <w:r w:rsidR="00DB7801" w:rsidRPr="00DB7801">
        <w:t>available</w:t>
      </w:r>
      <w:r w:rsidR="00DB7801">
        <w:t xml:space="preserve"> </w:t>
      </w:r>
      <w:r w:rsidR="00DB7801" w:rsidRPr="00DF6667">
        <w:rPr>
          <w:color w:val="000000" w:themeColor="text1"/>
        </w:rPr>
        <w:t xml:space="preserve">was </w:t>
      </w:r>
      <w:r w:rsidR="00C0661F" w:rsidRPr="00C0661F">
        <w:rPr>
          <w:color w:val="000000" w:themeColor="text1"/>
        </w:rPr>
        <w:t>$</w:t>
      </w:r>
      <w:r w:rsidR="00517902">
        <w:rPr>
          <w:color w:val="000000" w:themeColor="text1"/>
        </w:rPr>
        <w:t xml:space="preserve">10 865 — up 39.7 per cent </w:t>
      </w:r>
      <w:r w:rsidR="00670713">
        <w:rPr>
          <w:color w:val="000000" w:themeColor="text1"/>
        </w:rPr>
        <w:t xml:space="preserve">in real terms </w:t>
      </w:r>
      <w:r w:rsidR="006577E7">
        <w:rPr>
          <w:color w:val="000000" w:themeColor="text1"/>
        </w:rPr>
        <w:t>since</w:t>
      </w:r>
      <w:r w:rsidR="00517902">
        <w:rPr>
          <w:color w:val="000000" w:themeColor="text1"/>
        </w:rPr>
        <w:t xml:space="preserve"> 2010</w:t>
      </w:r>
      <w:r w:rsidR="00B93213">
        <w:rPr>
          <w:color w:val="000000" w:themeColor="text1"/>
        </w:rPr>
        <w:noBreakHyphen/>
      </w:r>
      <w:r w:rsidR="00517902">
        <w:rPr>
          <w:color w:val="000000" w:themeColor="text1"/>
        </w:rPr>
        <w:t xml:space="preserve">11 </w:t>
      </w:r>
      <w:r w:rsidR="00DB7801" w:rsidRPr="00DF6667">
        <w:rPr>
          <w:color w:val="000000" w:themeColor="text1"/>
        </w:rPr>
        <w:t>(</w:t>
      </w:r>
      <w:r w:rsidR="00B220CD">
        <w:rPr>
          <w:color w:val="000000" w:themeColor="text1"/>
        </w:rPr>
        <w:t>table</w:t>
      </w:r>
      <w:r w:rsidR="00B93213">
        <w:rPr>
          <w:color w:val="000000" w:themeColor="text1"/>
        </w:rPr>
        <w:t> </w:t>
      </w:r>
      <w:proofErr w:type="spellStart"/>
      <w:r w:rsidR="00EA1A98">
        <w:rPr>
          <w:color w:val="000000" w:themeColor="text1"/>
        </w:rPr>
        <w:t>18A.47</w:t>
      </w:r>
      <w:proofErr w:type="spellEnd"/>
      <w:r w:rsidR="00DB7801" w:rsidRPr="00DB7801">
        <w:t>)</w:t>
      </w:r>
      <w:r w:rsidR="006E5DED" w:rsidRPr="00DB7801">
        <w:t>.</w:t>
      </w:r>
    </w:p>
    <w:p w:rsidR="00286658" w:rsidRPr="00FB0AA2" w:rsidRDefault="00286658" w:rsidP="006B692D">
      <w:pPr>
        <w:pStyle w:val="Heading4"/>
      </w:pPr>
      <w:r w:rsidRPr="00FB0AA2">
        <w:t>Occupancy rate</w:t>
      </w:r>
    </w:p>
    <w:p w:rsidR="00F01AAF" w:rsidRDefault="00286658" w:rsidP="00286658">
      <w:pPr>
        <w:pStyle w:val="BodyText"/>
      </w:pPr>
      <w:r>
        <w:t xml:space="preserve">‘Occupancy rate’ is an indicator of governments’ objective to </w:t>
      </w:r>
      <w:r w:rsidR="00917417">
        <w:t>provide</w:t>
      </w:r>
      <w:r w:rsidR="00DB6F1A" w:rsidRPr="00DB6F1A">
        <w:t xml:space="preserve"> social housing services in an efficient manner</w:t>
      </w:r>
      <w:r>
        <w:t xml:space="preserve"> (box</w:t>
      </w:r>
      <w:r w:rsidR="007D1214">
        <w:t> </w:t>
      </w:r>
      <w:r w:rsidR="00BB5630">
        <w:t>18</w:t>
      </w:r>
      <w:r w:rsidR="00451C44">
        <w:t>.1</w:t>
      </w:r>
      <w:r w:rsidR="00CD6349">
        <w:t>3</w:t>
      </w:r>
      <w:r>
        <w:t>).</w:t>
      </w:r>
    </w:p>
    <w:p w:rsidR="00BC669D" w:rsidRDefault="00BC669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BC669D" w:rsidTr="00604F8C">
        <w:tc>
          <w:tcPr>
            <w:tcW w:w="5000" w:type="pct"/>
            <w:tcBorders>
              <w:top w:val="single" w:sz="6" w:space="0" w:color="78A22F"/>
              <w:left w:val="nil"/>
              <w:bottom w:val="nil"/>
              <w:right w:val="nil"/>
            </w:tcBorders>
            <w:shd w:val="clear" w:color="auto" w:fill="F2F2F2" w:themeFill="background1" w:themeFillShade="F2"/>
          </w:tcPr>
          <w:p w:rsidR="00BC669D" w:rsidRDefault="00BC19EB" w:rsidP="00BB5630">
            <w:pPr>
              <w:pStyle w:val="BoxTitle"/>
            </w:pPr>
            <w:r>
              <w:rPr>
                <w:b w:val="0"/>
              </w:rPr>
              <w:t xml:space="preserve">Box </w:t>
            </w:r>
            <w:r w:rsidR="00BB5630">
              <w:rPr>
                <w:b w:val="0"/>
              </w:rPr>
              <w:t>18</w:t>
            </w:r>
            <w:r>
              <w:rPr>
                <w:b w:val="0"/>
              </w:rPr>
              <w:t>.</w:t>
            </w:r>
            <w:r w:rsidR="00892185">
              <w:rPr>
                <w:b w:val="0"/>
                <w:noProof/>
              </w:rPr>
              <w:t>13</w:t>
            </w:r>
            <w:r w:rsidR="00BC669D">
              <w:tab/>
            </w:r>
            <w:r w:rsidR="00BC669D" w:rsidRPr="00BC669D">
              <w:t>Occupancy rate</w:t>
            </w:r>
          </w:p>
        </w:tc>
      </w:tr>
      <w:tr w:rsidR="00BC669D" w:rsidTr="00604F8C">
        <w:trPr>
          <w:cantSplit/>
        </w:trPr>
        <w:tc>
          <w:tcPr>
            <w:tcW w:w="5000" w:type="pct"/>
            <w:tcBorders>
              <w:top w:val="nil"/>
              <w:left w:val="nil"/>
              <w:bottom w:val="nil"/>
              <w:right w:val="nil"/>
            </w:tcBorders>
            <w:shd w:val="clear" w:color="auto" w:fill="F2F2F2" w:themeFill="background1" w:themeFillShade="F2"/>
          </w:tcPr>
          <w:p w:rsidR="00A21E29" w:rsidRPr="00A21E29" w:rsidRDefault="00A21E29" w:rsidP="00A21E29">
            <w:pPr>
              <w:pStyle w:val="Box"/>
            </w:pPr>
            <w:r w:rsidRPr="00A21E29">
              <w:t xml:space="preserve">‘Occupancy rate’ is defined as the proportion of dwellings occupied at 30 June. The term ‘occupied’ refers to rental housing stock occupied by tenants who have a tenancy agreement with the relevant housing authority (for public housing and </w:t>
            </w:r>
            <w:proofErr w:type="spellStart"/>
            <w:r w:rsidRPr="00A21E29">
              <w:t>SOMIH</w:t>
            </w:r>
            <w:proofErr w:type="spellEnd"/>
            <w:r w:rsidRPr="00A21E29">
              <w:t xml:space="preserve">) or community housing organisation (for community housing and </w:t>
            </w:r>
            <w:proofErr w:type="spellStart"/>
            <w:r w:rsidR="00484EE3">
              <w:t>ICH</w:t>
            </w:r>
            <w:proofErr w:type="spellEnd"/>
            <w:r w:rsidRPr="00A21E29">
              <w:t>).</w:t>
            </w:r>
          </w:p>
          <w:p w:rsidR="00A21E29" w:rsidRPr="00A21E29" w:rsidRDefault="00A21E29" w:rsidP="00A21E29">
            <w:pPr>
              <w:pStyle w:val="Box"/>
            </w:pPr>
            <w:r w:rsidRPr="00A21E29">
              <w:t>A high or increasing proportion suggests greater eff</w:t>
            </w:r>
            <w:r w:rsidR="00E246E3">
              <w:t>iciency of housing utilisation.</w:t>
            </w:r>
          </w:p>
          <w:p w:rsidR="00A21E29" w:rsidRPr="00A21E29" w:rsidRDefault="00A21E29" w:rsidP="00A21E29">
            <w:pPr>
              <w:pStyle w:val="Box"/>
            </w:pPr>
            <w:r w:rsidRPr="00A21E29">
              <w:t>Occupancy is influenced by both turnover and housing supply and demand.</w:t>
            </w:r>
          </w:p>
          <w:p w:rsidR="00A21E29" w:rsidRPr="00A21E29" w:rsidRDefault="00A21E29" w:rsidP="00A21E29">
            <w:pPr>
              <w:pStyle w:val="Box"/>
            </w:pPr>
            <w:r w:rsidRPr="00A21E29">
              <w:t xml:space="preserve">Data for this indicator are reported for public housing, </w:t>
            </w:r>
            <w:proofErr w:type="spellStart"/>
            <w:r w:rsidRPr="00A21E29">
              <w:t>SOMIH</w:t>
            </w:r>
            <w:proofErr w:type="spellEnd"/>
            <w:r w:rsidRPr="00A21E29">
              <w:t xml:space="preserve">, community housing and </w:t>
            </w:r>
            <w:proofErr w:type="spellStart"/>
            <w:r w:rsidR="00484EE3">
              <w:t>ICH</w:t>
            </w:r>
            <w:proofErr w:type="spellEnd"/>
            <w:r w:rsidR="00F672AB">
              <w:t xml:space="preserve"> and are</w:t>
            </w:r>
            <w:r w:rsidRPr="00A21E29">
              <w:t>:</w:t>
            </w:r>
          </w:p>
          <w:p w:rsidR="00A21E29" w:rsidRPr="00A21E29" w:rsidRDefault="00A21E29" w:rsidP="00A21E29">
            <w:pPr>
              <w:pStyle w:val="Box"/>
              <w:numPr>
                <w:ilvl w:val="0"/>
                <w:numId w:val="1"/>
              </w:numPr>
            </w:pPr>
            <w:r w:rsidRPr="00A21E29">
              <w:t>comparable (subject to caveats) within some jurisdictions over time but are not comparable across jurisdictions or over time for other jurisdictions (see caveats in attachment tables for specific jurisdictions)</w:t>
            </w:r>
          </w:p>
          <w:p w:rsidR="00A21E29" w:rsidRPr="00A21E29" w:rsidRDefault="00A21E29" w:rsidP="00A21E29">
            <w:pPr>
              <w:pStyle w:val="Box"/>
              <w:numPr>
                <w:ilvl w:val="0"/>
                <w:numId w:val="1"/>
              </w:numPr>
            </w:pPr>
            <w:r w:rsidRPr="00A21E29">
              <w:t xml:space="preserve">are not comparable across public housing, </w:t>
            </w:r>
            <w:proofErr w:type="spellStart"/>
            <w:r w:rsidRPr="00A21E29">
              <w:t>SOMIH</w:t>
            </w:r>
            <w:proofErr w:type="spellEnd"/>
            <w:r w:rsidRPr="00A21E29">
              <w:t xml:space="preserve">, community housing and </w:t>
            </w:r>
            <w:proofErr w:type="spellStart"/>
            <w:r w:rsidRPr="00A21E29">
              <w:t>ICH</w:t>
            </w:r>
            <w:proofErr w:type="spellEnd"/>
          </w:p>
          <w:p w:rsidR="00A21E29" w:rsidRPr="00A21E29" w:rsidRDefault="00A21E29" w:rsidP="00A21E29">
            <w:pPr>
              <w:pStyle w:val="Box"/>
              <w:numPr>
                <w:ilvl w:val="0"/>
                <w:numId w:val="1"/>
              </w:numPr>
            </w:pPr>
            <w:r w:rsidRPr="00FE3579">
              <w:t xml:space="preserve">complete for public housing, </w:t>
            </w:r>
            <w:proofErr w:type="spellStart"/>
            <w:r w:rsidRPr="00FE3579">
              <w:t>SOMIH</w:t>
            </w:r>
            <w:proofErr w:type="spellEnd"/>
            <w:r w:rsidRPr="00FE3579">
              <w:t xml:space="preserve"> and community housing for</w:t>
            </w:r>
            <w:r w:rsidRPr="00A21E29">
              <w:t xml:space="preserve"> the current reporting period (subject to caveats). All required</w:t>
            </w:r>
            <w:r w:rsidR="00466F7E">
              <w:t xml:space="preserve"> 2016</w:t>
            </w:r>
            <w:r w:rsidRPr="00A21E29">
              <w:t xml:space="preserve"> data are available for all jurisdictions providing the service</w:t>
            </w:r>
          </w:p>
          <w:p w:rsidR="00BC669D" w:rsidRDefault="00A21E29" w:rsidP="00917417">
            <w:pPr>
              <w:pStyle w:val="Box"/>
              <w:numPr>
                <w:ilvl w:val="0"/>
                <w:numId w:val="1"/>
              </w:numPr>
            </w:pPr>
            <w:r w:rsidRPr="00D0217C">
              <w:t xml:space="preserve">incomplete for </w:t>
            </w:r>
            <w:proofErr w:type="spellStart"/>
            <w:r w:rsidR="00484EE3">
              <w:t>ICH</w:t>
            </w:r>
            <w:proofErr w:type="spellEnd"/>
            <w:r w:rsidRPr="00D0217C">
              <w:t xml:space="preserve"> for the current reporting period. All required</w:t>
            </w:r>
            <w:r w:rsidR="00917417">
              <w:t xml:space="preserve"> 20</w:t>
            </w:r>
            <w:r w:rsidR="00466F7E">
              <w:t>15</w:t>
            </w:r>
            <w:r w:rsidR="00E52374" w:rsidRPr="00D0217C">
              <w:t xml:space="preserve"> </w:t>
            </w:r>
            <w:r w:rsidR="00451C44" w:rsidRPr="00D0217C">
              <w:t xml:space="preserve">data were not available </w:t>
            </w:r>
            <w:r w:rsidR="003F0457" w:rsidRPr="00D0217C">
              <w:t>for the NT</w:t>
            </w:r>
            <w:r w:rsidRPr="00D0217C">
              <w:t>.</w:t>
            </w:r>
          </w:p>
        </w:tc>
      </w:tr>
      <w:tr w:rsidR="00BC669D" w:rsidTr="00604F8C">
        <w:trPr>
          <w:cantSplit/>
        </w:trPr>
        <w:tc>
          <w:tcPr>
            <w:tcW w:w="5000" w:type="pct"/>
            <w:tcBorders>
              <w:top w:val="nil"/>
              <w:left w:val="nil"/>
              <w:bottom w:val="single" w:sz="6" w:space="0" w:color="78A22F"/>
              <w:right w:val="nil"/>
            </w:tcBorders>
            <w:shd w:val="clear" w:color="auto" w:fill="F2F2F2" w:themeFill="background1" w:themeFillShade="F2"/>
          </w:tcPr>
          <w:p w:rsidR="00BC669D" w:rsidRDefault="00BC669D">
            <w:pPr>
              <w:pStyle w:val="Box"/>
              <w:spacing w:before="0" w:line="120" w:lineRule="exact"/>
            </w:pPr>
          </w:p>
        </w:tc>
      </w:tr>
      <w:tr w:rsidR="00BC669D" w:rsidRPr="000863A5" w:rsidTr="00604F8C">
        <w:tc>
          <w:tcPr>
            <w:tcW w:w="5000" w:type="pct"/>
            <w:tcBorders>
              <w:top w:val="single" w:sz="6" w:space="0" w:color="78A22F"/>
              <w:left w:val="nil"/>
              <w:bottom w:val="nil"/>
              <w:right w:val="nil"/>
            </w:tcBorders>
          </w:tcPr>
          <w:p w:rsidR="00BC669D" w:rsidRPr="00626D32" w:rsidRDefault="00BC669D" w:rsidP="00334F07">
            <w:pPr>
              <w:pStyle w:val="BoxSpaceBelow"/>
            </w:pPr>
          </w:p>
        </w:tc>
      </w:tr>
    </w:tbl>
    <w:p w:rsidR="00F84378" w:rsidRPr="004372D7" w:rsidRDefault="00D27298" w:rsidP="00D27298">
      <w:pPr>
        <w:pStyle w:val="BodyText"/>
      </w:pPr>
      <w:r>
        <w:t xml:space="preserve">Nationally </w:t>
      </w:r>
      <w:r w:rsidR="00917417">
        <w:t>in</w:t>
      </w:r>
      <w:r>
        <w:t xml:space="preserve"> 201</w:t>
      </w:r>
      <w:r w:rsidR="00E303A8">
        <w:t>6</w:t>
      </w:r>
      <w:r>
        <w:t xml:space="preserve">, </w:t>
      </w:r>
      <w:r w:rsidRPr="00C24779">
        <w:rPr>
          <w:color w:val="000000" w:themeColor="text1"/>
        </w:rPr>
        <w:t xml:space="preserve">the proportion of rental stock occupied </w:t>
      </w:r>
      <w:r w:rsidRPr="005E340A">
        <w:rPr>
          <w:color w:val="000000" w:themeColor="text1"/>
        </w:rPr>
        <w:t xml:space="preserve">was </w:t>
      </w:r>
      <w:r w:rsidR="00662B34" w:rsidRPr="005E340A">
        <w:rPr>
          <w:color w:val="000000" w:themeColor="text1"/>
        </w:rPr>
        <w:t>97</w:t>
      </w:r>
      <w:r w:rsidRPr="005E340A">
        <w:rPr>
          <w:color w:val="000000" w:themeColor="text1"/>
        </w:rPr>
        <w:t>.</w:t>
      </w:r>
      <w:r w:rsidR="00E303A8">
        <w:rPr>
          <w:color w:val="000000" w:themeColor="text1"/>
        </w:rPr>
        <w:t>6</w:t>
      </w:r>
      <w:r w:rsidRPr="005E340A">
        <w:rPr>
          <w:color w:val="000000" w:themeColor="text1"/>
        </w:rPr>
        <w:t> per cent</w:t>
      </w:r>
      <w:r w:rsidRPr="00C24779">
        <w:rPr>
          <w:color w:val="000000" w:themeColor="text1"/>
        </w:rPr>
        <w:t xml:space="preserve"> for public housing, </w:t>
      </w:r>
      <w:r>
        <w:rPr>
          <w:color w:val="000000" w:themeColor="text1"/>
        </w:rPr>
        <w:t>97.</w:t>
      </w:r>
      <w:r w:rsidR="00E303A8">
        <w:rPr>
          <w:color w:val="000000" w:themeColor="text1"/>
        </w:rPr>
        <w:t>1</w:t>
      </w:r>
      <w:r w:rsidRPr="00C24779">
        <w:rPr>
          <w:color w:val="000000" w:themeColor="text1"/>
        </w:rPr>
        <w:t xml:space="preserve"> per </w:t>
      </w:r>
      <w:r w:rsidRPr="008A3EB6">
        <w:t xml:space="preserve">cent for </w:t>
      </w:r>
      <w:proofErr w:type="spellStart"/>
      <w:r w:rsidRPr="008A3EB6">
        <w:t>SOMIH</w:t>
      </w:r>
      <w:proofErr w:type="spellEnd"/>
      <w:r w:rsidRPr="008A3EB6">
        <w:t xml:space="preserve">, </w:t>
      </w:r>
      <w:r w:rsidRPr="00A17C2C">
        <w:t>and</w:t>
      </w:r>
      <w:r w:rsidR="00FE3579" w:rsidRPr="00A17C2C">
        <w:t xml:space="preserve"> 90.3 per </w:t>
      </w:r>
      <w:r w:rsidRPr="00A17C2C">
        <w:t>cent</w:t>
      </w:r>
      <w:r w:rsidRPr="008F2728">
        <w:t xml:space="preserve"> for community housing</w:t>
      </w:r>
      <w:r w:rsidR="00736035">
        <w:t xml:space="preserve"> (tables </w:t>
      </w:r>
      <w:proofErr w:type="spellStart"/>
      <w:r w:rsidR="00736035">
        <w:t>18</w:t>
      </w:r>
      <w:r w:rsidR="00382B49">
        <w:t>A</w:t>
      </w:r>
      <w:r w:rsidR="00736035">
        <w:t>.</w:t>
      </w:r>
      <w:r w:rsidR="00382B49">
        <w:t>52</w:t>
      </w:r>
      <w:proofErr w:type="spellEnd"/>
      <w:r w:rsidR="00736035">
        <w:t>–</w:t>
      </w:r>
      <w:r w:rsidR="003B2986">
        <w:t>5</w:t>
      </w:r>
      <w:r w:rsidR="00382B49">
        <w:t>4</w:t>
      </w:r>
      <w:r w:rsidR="00736035">
        <w:t>)</w:t>
      </w:r>
      <w:r w:rsidR="00E303A8">
        <w:t xml:space="preserve">. </w:t>
      </w:r>
      <w:r w:rsidR="00E303A8" w:rsidRPr="00E303A8">
        <w:t xml:space="preserve">Nationally in </w:t>
      </w:r>
      <w:r>
        <w:t>201</w:t>
      </w:r>
      <w:r w:rsidR="00E303A8">
        <w:t>5</w:t>
      </w:r>
      <w:r>
        <w:t xml:space="preserve">, </w:t>
      </w:r>
      <w:r w:rsidRPr="008F2728">
        <w:rPr>
          <w:color w:val="000000" w:themeColor="text1"/>
        </w:rPr>
        <w:t>9</w:t>
      </w:r>
      <w:r w:rsidR="00E303A8">
        <w:rPr>
          <w:color w:val="000000" w:themeColor="text1"/>
        </w:rPr>
        <w:t>2.8</w:t>
      </w:r>
      <w:r w:rsidRPr="008F2728">
        <w:rPr>
          <w:color w:val="000000" w:themeColor="text1"/>
        </w:rPr>
        <w:t xml:space="preserve"> per cent </w:t>
      </w:r>
      <w:r w:rsidRPr="008F2728">
        <w:t xml:space="preserve">of </w:t>
      </w:r>
      <w:r w:rsidR="003C21EF">
        <w:t xml:space="preserve">total </w:t>
      </w:r>
      <w:proofErr w:type="spellStart"/>
      <w:r>
        <w:t>ICH</w:t>
      </w:r>
      <w:proofErr w:type="spellEnd"/>
      <w:r w:rsidRPr="0007796F">
        <w:t xml:space="preserve"> </w:t>
      </w:r>
      <w:r w:rsidR="00E303A8" w:rsidRPr="00E303A8">
        <w:t xml:space="preserve">rental stock </w:t>
      </w:r>
      <w:r w:rsidRPr="0007796F">
        <w:t>was occupied</w:t>
      </w:r>
      <w:r>
        <w:t xml:space="preserve"> (</w:t>
      </w:r>
      <w:r w:rsidR="00B220CD">
        <w:t>tabl</w:t>
      </w:r>
      <w:r w:rsidR="003C21EF">
        <w:t>e</w:t>
      </w:r>
      <w:r w:rsidR="00B93213">
        <w:t> </w:t>
      </w:r>
      <w:proofErr w:type="spellStart"/>
      <w:r w:rsidR="003B2986">
        <w:t>18A.5</w:t>
      </w:r>
      <w:r w:rsidR="00382B49">
        <w:t>5</w:t>
      </w:r>
      <w:proofErr w:type="spellEnd"/>
      <w:r>
        <w:t>).</w:t>
      </w:r>
    </w:p>
    <w:p w:rsidR="009864C1" w:rsidRPr="004237A3" w:rsidRDefault="009864C1" w:rsidP="00796335">
      <w:pPr>
        <w:pStyle w:val="Heading4"/>
      </w:pPr>
      <w:r w:rsidRPr="004237A3">
        <w:t>Turnaround time</w:t>
      </w:r>
    </w:p>
    <w:p w:rsidR="008E3074" w:rsidRPr="0048696D" w:rsidRDefault="009864C1" w:rsidP="008E3074">
      <w:pPr>
        <w:pStyle w:val="BodyText"/>
        <w:spacing w:after="240"/>
      </w:pPr>
      <w:r w:rsidRPr="0048696D">
        <w:t>‘Turnaround time’</w:t>
      </w:r>
      <w:r w:rsidR="00955446" w:rsidRPr="0048696D">
        <w:t xml:space="preserve"> is </w:t>
      </w:r>
      <w:r w:rsidR="004D23C6" w:rsidRPr="0048696D">
        <w:t>an indicator of governments’ objective to</w:t>
      </w:r>
      <w:r w:rsidR="00955446" w:rsidRPr="0048696D">
        <w:t xml:space="preserve"> </w:t>
      </w:r>
      <w:r w:rsidR="00DB6F1A" w:rsidRPr="00DB6F1A">
        <w:t xml:space="preserve">deliver social housing services in an </w:t>
      </w:r>
      <w:r w:rsidR="00DB6F1A">
        <w:t>efficient manner</w:t>
      </w:r>
      <w:r w:rsidRPr="0048696D">
        <w:t xml:space="preserve"> (box</w:t>
      </w:r>
      <w:r w:rsidR="007D1214">
        <w:t> </w:t>
      </w:r>
      <w:r w:rsidR="00463387" w:rsidRPr="0048696D">
        <w:t>1</w:t>
      </w:r>
      <w:r w:rsidR="00BB5630">
        <w:t>8</w:t>
      </w:r>
      <w:r w:rsidR="00463387" w:rsidRPr="0048696D">
        <w:t>.</w:t>
      </w:r>
      <w:r w:rsidR="00451C44" w:rsidRPr="0048696D">
        <w:t>1</w:t>
      </w:r>
      <w:r w:rsidR="00CD6349">
        <w:t>4</w:t>
      </w:r>
      <w:r w:rsidRPr="0048696D">
        <w:t>).</w:t>
      </w:r>
    </w:p>
    <w:p w:rsidR="00735457" w:rsidRPr="00457EC9" w:rsidRDefault="00735457">
      <w:pPr>
        <w:pStyle w:val="BoxSpaceAbove"/>
        <w:rPr>
          <w:color w:val="FF0000"/>
        </w:rPr>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735457" w:rsidRPr="00457EC9" w:rsidTr="0063129D">
        <w:tc>
          <w:tcPr>
            <w:tcW w:w="5000" w:type="pct"/>
            <w:tcBorders>
              <w:top w:val="single" w:sz="6" w:space="0" w:color="78A22F"/>
              <w:left w:val="nil"/>
              <w:bottom w:val="nil"/>
              <w:right w:val="nil"/>
            </w:tcBorders>
            <w:shd w:val="clear" w:color="auto" w:fill="F2F2F2" w:themeFill="background1" w:themeFillShade="F2"/>
          </w:tcPr>
          <w:p w:rsidR="00735457" w:rsidRPr="00BA6C7C" w:rsidRDefault="00CD6349" w:rsidP="00CD6349">
            <w:pPr>
              <w:pStyle w:val="BoxTitle"/>
            </w:pPr>
            <w:r>
              <w:rPr>
                <w:b w:val="0"/>
              </w:rPr>
              <w:t>Box 18.</w:t>
            </w:r>
            <w:r w:rsidR="00892185">
              <w:rPr>
                <w:b w:val="0"/>
                <w:noProof/>
              </w:rPr>
              <w:t>14</w:t>
            </w:r>
            <w:r w:rsidR="00735457" w:rsidRPr="00BA6C7C">
              <w:tab/>
              <w:t>Turnaround time</w:t>
            </w:r>
          </w:p>
        </w:tc>
      </w:tr>
      <w:tr w:rsidR="00735457" w:rsidRPr="004D0537" w:rsidTr="0063129D">
        <w:trPr>
          <w:cantSplit/>
        </w:trPr>
        <w:tc>
          <w:tcPr>
            <w:tcW w:w="5000" w:type="pct"/>
            <w:tcBorders>
              <w:top w:val="nil"/>
              <w:left w:val="nil"/>
              <w:bottom w:val="nil"/>
              <w:right w:val="nil"/>
            </w:tcBorders>
            <w:shd w:val="clear" w:color="auto" w:fill="F2F2F2" w:themeFill="background1" w:themeFillShade="F2"/>
          </w:tcPr>
          <w:p w:rsidR="00CE40D5" w:rsidRPr="004372D7" w:rsidRDefault="00CE40D5" w:rsidP="00E246E3">
            <w:pPr>
              <w:pStyle w:val="Box"/>
            </w:pPr>
            <w:r w:rsidRPr="004D0537">
              <w:t>‘Turnaround time’ is defined as the average time taken for vacant stock that is available to rent through normal processes to be occupied.</w:t>
            </w:r>
            <w:r w:rsidR="002A6EDB" w:rsidRPr="004D0537">
              <w:t xml:space="preserve"> The indicator is measured as the total number of days that dwellings were vacant for the year, divided by the total number of vacancy episodes for the year.</w:t>
            </w:r>
          </w:p>
          <w:p w:rsidR="00C30EEE" w:rsidRPr="004D0537" w:rsidRDefault="007F169F" w:rsidP="00A17C2C">
            <w:pPr>
              <w:pStyle w:val="Box"/>
            </w:pPr>
            <w:r>
              <w:t>Vacant stock</w:t>
            </w:r>
            <w:r w:rsidR="00C30EEE" w:rsidRPr="004D0537">
              <w:t xml:space="preserve"> includes dwellings that:</w:t>
            </w:r>
          </w:p>
          <w:p w:rsidR="00C30EEE" w:rsidRPr="004D0537" w:rsidRDefault="00C30EEE" w:rsidP="00A17C2C">
            <w:pPr>
              <w:pStyle w:val="BoxListBullet"/>
            </w:pPr>
            <w:r w:rsidRPr="004D0537">
              <w:t>are available to rent through normal processes</w:t>
            </w:r>
            <w:r w:rsidR="007A5DA1">
              <w:t xml:space="preserve"> (includes</w:t>
            </w:r>
            <w:r w:rsidRPr="004D0537">
              <w:t xml:space="preserve"> dwellings that are undergoing normal maintenance</w:t>
            </w:r>
            <w:r w:rsidR="007A5DA1">
              <w:t>)</w:t>
            </w:r>
          </w:p>
          <w:p w:rsidR="00C30EEE" w:rsidRPr="004D0537" w:rsidRDefault="00415458" w:rsidP="00A17C2C">
            <w:pPr>
              <w:pStyle w:val="BoxListBullet"/>
            </w:pPr>
            <w:r>
              <w:t>if</w:t>
            </w:r>
            <w:r w:rsidR="007A5DA1">
              <w:t xml:space="preserve"> </w:t>
            </w:r>
            <w:r>
              <w:t>newly constructed or</w:t>
            </w:r>
            <w:r w:rsidR="00B77AF9">
              <w:t xml:space="preserve"> purchased</w:t>
            </w:r>
            <w:r w:rsidR="007A5DA1">
              <w:t>,</w:t>
            </w:r>
            <w:r w:rsidR="00B77AF9">
              <w:t xml:space="preserve"> </w:t>
            </w:r>
            <w:r w:rsidR="007A5DA1">
              <w:t>or</w:t>
            </w:r>
            <w:r w:rsidR="00823F9E">
              <w:t xml:space="preserve"> have undergone major redevelopment work —</w:t>
            </w:r>
            <w:r w:rsidR="007A5DA1">
              <w:t xml:space="preserve"> have a completed </w:t>
            </w:r>
            <w:r w:rsidR="00C30EEE" w:rsidRPr="004D0537">
              <w:t xml:space="preserve">certificate of occupancy </w:t>
            </w:r>
            <w:r w:rsidR="007A5DA1">
              <w:t>(</w:t>
            </w:r>
            <w:r w:rsidR="00C30EEE" w:rsidRPr="004D0537">
              <w:t>or the keys</w:t>
            </w:r>
            <w:r w:rsidR="007A5DA1">
              <w:t xml:space="preserve"> have been</w:t>
            </w:r>
            <w:r w:rsidR="00C30EEE" w:rsidRPr="004D0537">
              <w:t xml:space="preserve"> </w:t>
            </w:r>
            <w:r w:rsidR="00823F9E">
              <w:t>received</w:t>
            </w:r>
            <w:r w:rsidR="007A5DA1">
              <w:t>)</w:t>
            </w:r>
          </w:p>
          <w:p w:rsidR="002A6EDB" w:rsidRPr="004D0537" w:rsidRDefault="00017E6D" w:rsidP="00A17C2C">
            <w:pPr>
              <w:pStyle w:val="BoxListBullet"/>
            </w:pPr>
            <w:r w:rsidRPr="004D0537">
              <w:t>are considered hard</w:t>
            </w:r>
            <w:r w:rsidR="007D1214">
              <w:noBreakHyphen/>
            </w:r>
            <w:r w:rsidRPr="004D0537">
              <w:t>to</w:t>
            </w:r>
            <w:r w:rsidR="007D1214">
              <w:noBreakHyphen/>
            </w:r>
            <w:r w:rsidRPr="004D0537">
              <w:t>let.</w:t>
            </w:r>
          </w:p>
          <w:p w:rsidR="00D173F6" w:rsidRPr="004D0537" w:rsidRDefault="00D173F6" w:rsidP="00D173F6">
            <w:pPr>
              <w:pStyle w:val="Box"/>
            </w:pPr>
            <w:r w:rsidRPr="004D0537">
              <w:t xml:space="preserve">A low or decreasing turnaround time </w:t>
            </w:r>
            <w:r>
              <w:t>is desirable</w:t>
            </w:r>
            <w:r w:rsidRPr="004D0537">
              <w:t>.</w:t>
            </w:r>
          </w:p>
          <w:p w:rsidR="00CE40D5" w:rsidRPr="004D0537" w:rsidRDefault="00000F51" w:rsidP="009C3B12">
            <w:pPr>
              <w:pStyle w:val="Box"/>
            </w:pPr>
            <w:r>
              <w:t xml:space="preserve">Caution should be used in interpreting data as </w:t>
            </w:r>
            <w:r w:rsidR="00C30EEE" w:rsidRPr="004D0537">
              <w:t xml:space="preserve">jurisdictional differences </w:t>
            </w:r>
            <w:r>
              <w:t xml:space="preserve">in a range of areas affects which dwellings are counted as vacant – for example, </w:t>
            </w:r>
            <w:r w:rsidR="00C30EEE" w:rsidRPr="004D0537">
              <w:t xml:space="preserve">stock profiles, policies </w:t>
            </w:r>
            <w:r>
              <w:t xml:space="preserve">for </w:t>
            </w:r>
            <w:r w:rsidR="00C30EEE" w:rsidRPr="004D0537">
              <w:t xml:space="preserve">maintenance of </w:t>
            </w:r>
            <w:r w:rsidR="00D173F6">
              <w:t xml:space="preserve">vacated </w:t>
            </w:r>
            <w:r w:rsidR="00C30EEE" w:rsidRPr="004D0537">
              <w:t>properties, eligibility criteria</w:t>
            </w:r>
            <w:r>
              <w:t>,</w:t>
            </w:r>
            <w:r w:rsidR="00C30EEE" w:rsidRPr="004D0537">
              <w:t xml:space="preserve"> stock allocation policies, capital works and disability modification programs, and legislation.</w:t>
            </w:r>
          </w:p>
          <w:p w:rsidR="00CE40D5" w:rsidRPr="004D0537" w:rsidRDefault="00CE40D5" w:rsidP="00CE40D5">
            <w:pPr>
              <w:pStyle w:val="Box"/>
            </w:pPr>
            <w:r w:rsidRPr="004D0537">
              <w:t xml:space="preserve">Data for this indicator are reported for public housing and </w:t>
            </w:r>
            <w:proofErr w:type="spellStart"/>
            <w:r w:rsidRPr="004D0537">
              <w:t>SOMIH</w:t>
            </w:r>
            <w:proofErr w:type="spellEnd"/>
            <w:r w:rsidR="00F672AB">
              <w:t xml:space="preserve"> and are</w:t>
            </w:r>
            <w:r w:rsidRPr="004D0537">
              <w:t>:</w:t>
            </w:r>
          </w:p>
          <w:p w:rsidR="00F672AB" w:rsidRDefault="00CE40D5" w:rsidP="00CE1D5E">
            <w:pPr>
              <w:pStyle w:val="BoxListBullet"/>
            </w:pPr>
            <w:r w:rsidRPr="004D0537">
              <w:t>comparable (subject to caveats) within some jurisdictions over time but are not comparable across jurisdictions or ov</w:t>
            </w:r>
            <w:r w:rsidR="00E246E3">
              <w:t>er time for other jurisdictions</w:t>
            </w:r>
          </w:p>
          <w:p w:rsidR="00735457" w:rsidRPr="004D0537" w:rsidRDefault="00BC0506" w:rsidP="00CE1D5E">
            <w:pPr>
              <w:pStyle w:val="BoxListBullet"/>
            </w:pPr>
            <w:r w:rsidRPr="004D0537">
              <w:t xml:space="preserve">incomplete for </w:t>
            </w:r>
            <w:r w:rsidR="00CE1D5E" w:rsidRPr="00CE1D5E">
              <w:t xml:space="preserve">public housing and </w:t>
            </w:r>
            <w:proofErr w:type="spellStart"/>
            <w:r w:rsidR="00CE1D5E" w:rsidRPr="00CE1D5E">
              <w:t>SOMIH</w:t>
            </w:r>
            <w:proofErr w:type="spellEnd"/>
            <w:r w:rsidRPr="004D0537">
              <w:t xml:space="preserve">. All required </w:t>
            </w:r>
            <w:r w:rsidR="00CE1D5E">
              <w:t>2015</w:t>
            </w:r>
            <w:r w:rsidR="00B93213">
              <w:noBreakHyphen/>
            </w:r>
            <w:r w:rsidR="00CE1D5E">
              <w:t xml:space="preserve">16 </w:t>
            </w:r>
            <w:r w:rsidR="0090458C" w:rsidRPr="004D0537">
              <w:t>data were</w:t>
            </w:r>
            <w:r w:rsidRPr="004D0537">
              <w:t xml:space="preserve"> not available for SA.</w:t>
            </w:r>
          </w:p>
        </w:tc>
      </w:tr>
      <w:tr w:rsidR="00735457" w:rsidRPr="004D0537" w:rsidTr="0063129D">
        <w:trPr>
          <w:cantSplit/>
        </w:trPr>
        <w:tc>
          <w:tcPr>
            <w:tcW w:w="5000" w:type="pct"/>
            <w:tcBorders>
              <w:top w:val="nil"/>
              <w:left w:val="nil"/>
              <w:bottom w:val="single" w:sz="6" w:space="0" w:color="78A22F"/>
              <w:right w:val="nil"/>
            </w:tcBorders>
            <w:shd w:val="clear" w:color="auto" w:fill="F2F2F2" w:themeFill="background1" w:themeFillShade="F2"/>
          </w:tcPr>
          <w:p w:rsidR="00735457" w:rsidRPr="004D0537" w:rsidRDefault="00735457">
            <w:pPr>
              <w:pStyle w:val="Box"/>
              <w:spacing w:before="0" w:line="120" w:lineRule="exact"/>
            </w:pPr>
          </w:p>
        </w:tc>
      </w:tr>
      <w:tr w:rsidR="00735457" w:rsidRPr="004D0537" w:rsidTr="0063129D">
        <w:tc>
          <w:tcPr>
            <w:tcW w:w="5000" w:type="pct"/>
            <w:tcBorders>
              <w:top w:val="single" w:sz="6" w:space="0" w:color="78A22F"/>
              <w:left w:val="nil"/>
              <w:bottom w:val="nil"/>
              <w:right w:val="nil"/>
            </w:tcBorders>
          </w:tcPr>
          <w:p w:rsidR="00735457" w:rsidRPr="004D0537" w:rsidRDefault="00735457" w:rsidP="00334F07">
            <w:pPr>
              <w:pStyle w:val="BoxSpaceBelow"/>
            </w:pPr>
          </w:p>
        </w:tc>
      </w:tr>
    </w:tbl>
    <w:p w:rsidR="007F12AF" w:rsidRDefault="00AC0EF9" w:rsidP="009864C1">
      <w:pPr>
        <w:pStyle w:val="BodyText"/>
      </w:pPr>
      <w:r w:rsidRPr="005E340A">
        <w:t>The a</w:t>
      </w:r>
      <w:r w:rsidR="00A13745" w:rsidRPr="005E340A">
        <w:t xml:space="preserve">verage turnaround time for vacant public housing </w:t>
      </w:r>
      <w:r w:rsidR="00E52374" w:rsidRPr="005E340A">
        <w:t xml:space="preserve">and </w:t>
      </w:r>
      <w:proofErr w:type="spellStart"/>
      <w:r w:rsidR="001D61D1" w:rsidRPr="005E340A">
        <w:t>SOMIH</w:t>
      </w:r>
      <w:proofErr w:type="spellEnd"/>
      <w:r w:rsidR="001D61D1" w:rsidRPr="005E340A">
        <w:t xml:space="preserve"> s</w:t>
      </w:r>
      <w:r w:rsidR="00A13745" w:rsidRPr="005E340A">
        <w:t>tock varie</w:t>
      </w:r>
      <w:r w:rsidRPr="005E340A">
        <w:t>d</w:t>
      </w:r>
      <w:r w:rsidR="00E825A7" w:rsidRPr="005E340A">
        <w:t xml:space="preserve"> </w:t>
      </w:r>
      <w:r w:rsidR="00F672AB">
        <w:t xml:space="preserve">within and </w:t>
      </w:r>
      <w:r w:rsidR="00796335" w:rsidRPr="005E340A">
        <w:t xml:space="preserve">across </w:t>
      </w:r>
      <w:r w:rsidR="00E825A7" w:rsidRPr="005E340A">
        <w:t>jurisdictions</w:t>
      </w:r>
      <w:r w:rsidR="00796335" w:rsidRPr="005E340A">
        <w:t xml:space="preserve"> over time</w:t>
      </w:r>
      <w:r w:rsidR="00E825A7" w:rsidRPr="005E340A">
        <w:t xml:space="preserve"> </w:t>
      </w:r>
      <w:r w:rsidR="000B7E98" w:rsidRPr="005E340A">
        <w:t>(figure</w:t>
      </w:r>
      <w:r w:rsidR="007D1214">
        <w:t> </w:t>
      </w:r>
      <w:r w:rsidR="0001777A">
        <w:t>18</w:t>
      </w:r>
      <w:r w:rsidR="007C3353">
        <w:t>.11</w:t>
      </w:r>
      <w:r w:rsidR="0024564C" w:rsidRPr="005E340A">
        <w:t>).</w:t>
      </w:r>
      <w:r w:rsidR="008502FB" w:rsidRPr="005E340A">
        <w:t xml:space="preserve"> This indicator is currently in the process of being r</w:t>
      </w:r>
      <w:r w:rsidR="00955446" w:rsidRPr="005E340A">
        <w:t xml:space="preserve">edeveloped to ensure consistent, </w:t>
      </w:r>
      <w:r w:rsidR="00125CD4" w:rsidRPr="005E340A">
        <w:t>fully comparable and complete</w:t>
      </w:r>
      <w:r w:rsidR="00955446" w:rsidRPr="005E340A">
        <w:t xml:space="preserve"> reporting</w:t>
      </w:r>
      <w:r w:rsidR="008502FB" w:rsidRPr="005E340A">
        <w:t xml:space="preserve"> across jurisdictions</w:t>
      </w:r>
      <w:r w:rsidR="00AA6FBB" w:rsidRPr="005E340A">
        <w:t xml:space="preserve"> for both public housing and </w:t>
      </w:r>
      <w:proofErr w:type="spellStart"/>
      <w:r w:rsidR="00AA6FBB" w:rsidRPr="005E340A">
        <w:t>SOMIH</w:t>
      </w:r>
      <w:proofErr w:type="spellEnd"/>
      <w:r w:rsidR="008502FB" w:rsidRPr="005E340A">
        <w:t>.</w:t>
      </w:r>
    </w:p>
    <w:p w:rsidR="00CE40D5" w:rsidRPr="00457EC9" w:rsidRDefault="00CE40D5" w:rsidP="00334F07">
      <w:pPr>
        <w:pStyle w:val="BoxSpaceAbove"/>
        <w:rPr>
          <w:color w:val="FF0000"/>
        </w:rPr>
      </w:pPr>
    </w:p>
    <w:tbl>
      <w:tblPr>
        <w:tblW w:w="4922"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gridCol w:w="142"/>
      </w:tblGrid>
      <w:tr w:rsidR="00CE40D5" w:rsidRPr="00457EC9" w:rsidTr="00607963">
        <w:tc>
          <w:tcPr>
            <w:tcW w:w="5000" w:type="pct"/>
            <w:gridSpan w:val="2"/>
            <w:tcBorders>
              <w:top w:val="single" w:sz="6" w:space="0" w:color="78A22F"/>
              <w:left w:val="nil"/>
              <w:bottom w:val="nil"/>
              <w:right w:val="nil"/>
            </w:tcBorders>
            <w:shd w:val="clear" w:color="auto" w:fill="auto"/>
          </w:tcPr>
          <w:p w:rsidR="00CE40D5" w:rsidRPr="00BA6C7C" w:rsidRDefault="00CE40D5" w:rsidP="007C3353">
            <w:pPr>
              <w:pStyle w:val="FigureTitle"/>
            </w:pPr>
            <w:r w:rsidRPr="00BA6C7C">
              <w:rPr>
                <w:b w:val="0"/>
              </w:rPr>
              <w:t xml:space="preserve">Figure </w:t>
            </w:r>
            <w:r w:rsidR="0001777A">
              <w:rPr>
                <w:b w:val="0"/>
              </w:rPr>
              <w:t>18</w:t>
            </w:r>
            <w:r w:rsidR="000B7E98">
              <w:rPr>
                <w:b w:val="0"/>
              </w:rPr>
              <w:t>.</w:t>
            </w:r>
            <w:r w:rsidR="007C3353">
              <w:rPr>
                <w:b w:val="0"/>
              </w:rPr>
              <w:t>11</w:t>
            </w:r>
            <w:r w:rsidRPr="00BA6C7C">
              <w:tab/>
              <w:t>Average turnaround time</w:t>
            </w:r>
            <w:r w:rsidR="00BC0506">
              <w:t xml:space="preserve"> for vacant stock</w:t>
            </w:r>
            <w:r w:rsidR="00244CF6" w:rsidRPr="00903B4C">
              <w:rPr>
                <w:rStyle w:val="NoteLabel"/>
                <w:b/>
              </w:rPr>
              <w:t>a</w:t>
            </w:r>
            <w:r w:rsidR="00125CD4">
              <w:rPr>
                <w:rStyle w:val="NoteLabel"/>
                <w:b/>
              </w:rPr>
              <w:t>,</w:t>
            </w:r>
            <w:r w:rsidR="00F306D1">
              <w:rPr>
                <w:rStyle w:val="NoteLabel"/>
                <w:b/>
              </w:rPr>
              <w:t xml:space="preserve"> </w:t>
            </w:r>
            <w:r w:rsidR="00125CD4">
              <w:rPr>
                <w:rStyle w:val="NoteLabel"/>
                <w:b/>
              </w:rPr>
              <w:t>b</w:t>
            </w:r>
            <w:r w:rsidR="00FE7902">
              <w:rPr>
                <w:rStyle w:val="NoteLabel"/>
                <w:b/>
              </w:rPr>
              <w:t>, c</w:t>
            </w:r>
            <w:r w:rsidR="00D81A39">
              <w:t xml:space="preserve"> </w:t>
            </w:r>
          </w:p>
        </w:tc>
      </w:tr>
      <w:tr w:rsidR="00CE40D5" w:rsidRPr="00457EC9" w:rsidTr="00607963">
        <w:tc>
          <w:tcPr>
            <w:tcW w:w="5000" w:type="pct"/>
            <w:gridSpan w:val="2"/>
            <w:tcBorders>
              <w:top w:val="nil"/>
              <w:left w:val="nil"/>
              <w:bottom w:val="nil"/>
              <w:right w:val="nil"/>
            </w:tcBorders>
            <w:shd w:val="clear" w:color="auto" w:fill="auto"/>
            <w:tcMar>
              <w:top w:w="28" w:type="dxa"/>
              <w:bottom w:w="28" w:type="dxa"/>
            </w:tcMar>
          </w:tcPr>
          <w:tbl>
            <w:tblPr>
              <w:tblW w:w="5000" w:type="pct"/>
              <w:tblCellMar>
                <w:top w:w="28" w:type="dxa"/>
              </w:tblCellMar>
              <w:tblLook w:val="0000" w:firstRow="0" w:lastRow="0" w:firstColumn="0" w:lastColumn="0" w:noHBand="0" w:noVBand="0"/>
            </w:tblPr>
            <w:tblGrid>
              <w:gridCol w:w="8647"/>
            </w:tblGrid>
            <w:tr w:rsidR="00064188" w:rsidRPr="00BA6C7C" w:rsidTr="00A17C2C">
              <w:tc>
                <w:tcPr>
                  <w:tcW w:w="8647" w:type="dxa"/>
                </w:tcPr>
                <w:p w:rsidR="00ED5955" w:rsidRDefault="009345BF" w:rsidP="00064188">
                  <w:pPr>
                    <w:pStyle w:val="Figure"/>
                    <w:rPr>
                      <w:rFonts w:ascii="Arial" w:hAnsi="Arial" w:cs="Arial"/>
                      <w:b/>
                      <w:noProof/>
                      <w:sz w:val="20"/>
                    </w:rPr>
                  </w:pPr>
                  <w:r>
                    <w:rPr>
                      <w:rFonts w:ascii="Arial" w:hAnsi="Arial" w:cs="Arial"/>
                      <w:b/>
                      <w:noProof/>
                      <w:sz w:val="20"/>
                    </w:rPr>
                    <w:drawing>
                      <wp:inline distT="0" distB="0" distL="0" distR="0" wp14:anchorId="1BB0BC9B" wp14:editId="6640550E">
                        <wp:extent cx="5401310" cy="2084705"/>
                        <wp:effectExtent l="0" t="0" r="8890" b="0"/>
                        <wp:docPr id="18" name="Picture 18" descr="Figure 18.11 Average turnaround time for vacant stock, Public hous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1310" cy="2084705"/>
                                </a:xfrm>
                                <a:prstGeom prst="rect">
                                  <a:avLst/>
                                </a:prstGeom>
                                <a:noFill/>
                              </pic:spPr>
                            </pic:pic>
                          </a:graphicData>
                        </a:graphic>
                      </wp:inline>
                    </w:drawing>
                  </w:r>
                </w:p>
                <w:p w:rsidR="00064188" w:rsidRPr="00BA6C7C" w:rsidRDefault="00ED5955" w:rsidP="00ED5955">
                  <w:pPr>
                    <w:pStyle w:val="Figure"/>
                  </w:pPr>
                  <w:r>
                    <w:rPr>
                      <w:rFonts w:ascii="Arial" w:hAnsi="Arial" w:cs="Arial"/>
                      <w:b/>
                      <w:noProof/>
                      <w:sz w:val="20"/>
                    </w:rPr>
                    <w:drawing>
                      <wp:inline distT="0" distB="0" distL="0" distR="0" wp14:anchorId="4D0BF69E" wp14:editId="5F00E0E4">
                        <wp:extent cx="5431790" cy="2115185"/>
                        <wp:effectExtent l="0" t="0" r="0" b="0"/>
                        <wp:docPr id="17" name="Picture 17" descr="Figure 18.11 Average turnaround time for vacant stock,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31790" cy="2115185"/>
                                </a:xfrm>
                                <a:prstGeom prst="rect">
                                  <a:avLst/>
                                </a:prstGeom>
                                <a:noFill/>
                              </pic:spPr>
                            </pic:pic>
                          </a:graphicData>
                        </a:graphic>
                      </wp:inline>
                    </w:drawing>
                  </w:r>
                  <w:r>
                    <w:rPr>
                      <w:rFonts w:ascii="Arial" w:hAnsi="Arial" w:cs="Arial"/>
                      <w:b/>
                      <w:noProof/>
                      <w:sz w:val="20"/>
                    </w:rPr>
                    <w:drawing>
                      <wp:inline distT="0" distB="0" distL="0" distR="0" wp14:anchorId="3FC06E55" wp14:editId="5455951C">
                        <wp:extent cx="5401310" cy="207010"/>
                        <wp:effectExtent l="0" t="0" r="8890" b="2540"/>
                        <wp:docPr id="26" name="Picture 26" descr="Figure 18.11 Average turnaround time for vacant stock. Text is for reference years with 2015-16 current year and 2011-12 to 2014-15 historic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1310" cy="207010"/>
                                </a:xfrm>
                                <a:prstGeom prst="rect">
                                  <a:avLst/>
                                </a:prstGeom>
                                <a:noFill/>
                              </pic:spPr>
                            </pic:pic>
                          </a:graphicData>
                        </a:graphic>
                      </wp:inline>
                    </w:drawing>
                  </w:r>
                </w:p>
              </w:tc>
            </w:tr>
          </w:tbl>
          <w:p w:rsidR="00CE40D5" w:rsidRPr="00BA6C7C" w:rsidRDefault="00CE40D5" w:rsidP="00334F07">
            <w:pPr>
              <w:pStyle w:val="Figure"/>
            </w:pPr>
          </w:p>
        </w:tc>
      </w:tr>
      <w:tr w:rsidR="00CE40D5" w:rsidRPr="00457EC9" w:rsidTr="00607963">
        <w:tc>
          <w:tcPr>
            <w:tcW w:w="5000" w:type="pct"/>
            <w:gridSpan w:val="2"/>
            <w:tcBorders>
              <w:top w:val="nil"/>
              <w:left w:val="nil"/>
              <w:bottom w:val="nil"/>
              <w:right w:val="nil"/>
            </w:tcBorders>
            <w:shd w:val="clear" w:color="auto" w:fill="auto"/>
          </w:tcPr>
          <w:p w:rsidR="00CE40D5" w:rsidRPr="00E246E3" w:rsidRDefault="00CE40D5" w:rsidP="000650F5">
            <w:pPr>
              <w:pStyle w:val="Note"/>
              <w:rPr>
                <w:rStyle w:val="DraftingNote"/>
                <w:color w:val="auto"/>
                <w:sz w:val="20"/>
              </w:rPr>
            </w:pPr>
            <w:r w:rsidRPr="00BA6C7C">
              <w:rPr>
                <w:rStyle w:val="NoteLabel"/>
              </w:rPr>
              <w:t>a</w:t>
            </w:r>
            <w:r w:rsidR="00BC0506">
              <w:t xml:space="preserve"> See box</w:t>
            </w:r>
            <w:r w:rsidR="007D1214">
              <w:t> </w:t>
            </w:r>
            <w:r w:rsidR="00451C44">
              <w:t>1</w:t>
            </w:r>
            <w:r w:rsidR="00BB5630">
              <w:t>8</w:t>
            </w:r>
            <w:r w:rsidR="00451C44">
              <w:t>.1</w:t>
            </w:r>
            <w:r w:rsidR="00CD6349">
              <w:t>4</w:t>
            </w:r>
            <w:r w:rsidR="00BC0506">
              <w:t xml:space="preserve"> and tables</w:t>
            </w:r>
            <w:r w:rsidR="007D1214">
              <w:t> </w:t>
            </w:r>
            <w:proofErr w:type="spellStart"/>
            <w:r w:rsidR="003B2986">
              <w:t>18A.5</w:t>
            </w:r>
            <w:r w:rsidR="00D171EA">
              <w:t>6</w:t>
            </w:r>
            <w:proofErr w:type="spellEnd"/>
            <w:r w:rsidR="00606CC5">
              <w:t>–</w:t>
            </w:r>
            <w:r w:rsidR="003B2986">
              <w:t>5</w:t>
            </w:r>
            <w:r w:rsidR="00D171EA">
              <w:t>7</w:t>
            </w:r>
            <w:r w:rsidR="00BC0506">
              <w:t xml:space="preserve"> </w:t>
            </w:r>
            <w:r w:rsidR="00AC0EFD">
              <w:t>for detailed definitions, footnotes and c</w:t>
            </w:r>
            <w:r w:rsidR="00AC0EFD" w:rsidRPr="00A17C2C">
              <w:t>aveats.</w:t>
            </w:r>
            <w:r w:rsidR="00125CD4" w:rsidRPr="00A17C2C">
              <w:t xml:space="preserve"> </w:t>
            </w:r>
            <w:r w:rsidR="00125CD4" w:rsidRPr="00A17C2C">
              <w:rPr>
                <w:rStyle w:val="NoteLabel"/>
              </w:rPr>
              <w:t>b</w:t>
            </w:r>
            <w:r w:rsidR="00125CD4" w:rsidRPr="00A17C2C">
              <w:t xml:space="preserve"> SA data for 2013</w:t>
            </w:r>
            <w:r w:rsidR="007D1214" w:rsidRPr="00A17C2C">
              <w:noBreakHyphen/>
            </w:r>
            <w:r w:rsidR="00125CD4" w:rsidRPr="00A17C2C">
              <w:t xml:space="preserve">14 </w:t>
            </w:r>
            <w:r w:rsidR="00ED5955" w:rsidRPr="00A17C2C">
              <w:t>to</w:t>
            </w:r>
            <w:r w:rsidR="00125CD4" w:rsidRPr="00A17C2C">
              <w:t xml:space="preserve"> 201</w:t>
            </w:r>
            <w:r w:rsidR="00ED5955" w:rsidRPr="00A17C2C">
              <w:t>5</w:t>
            </w:r>
            <w:r w:rsidR="007D1214" w:rsidRPr="00A17C2C">
              <w:noBreakHyphen/>
            </w:r>
            <w:r w:rsidR="00125CD4" w:rsidRPr="00A17C2C">
              <w:t>1</w:t>
            </w:r>
            <w:r w:rsidR="00ED5955" w:rsidRPr="00A17C2C">
              <w:t>6</w:t>
            </w:r>
            <w:r w:rsidR="00125CD4" w:rsidRPr="00A17C2C">
              <w:t xml:space="preserve"> are not available.</w:t>
            </w:r>
            <w:r w:rsidR="007008AE" w:rsidRPr="00A17C2C">
              <w:t xml:space="preserve"> NT data for 2012</w:t>
            </w:r>
            <w:r w:rsidR="00B93213">
              <w:noBreakHyphen/>
            </w:r>
            <w:r w:rsidR="007008AE" w:rsidRPr="00A17C2C">
              <w:t>13 are not available.</w:t>
            </w:r>
            <w:r w:rsidR="00FE7902" w:rsidRPr="00A17C2C">
              <w:t xml:space="preserve"> </w:t>
            </w:r>
            <w:r w:rsidR="00FE7902" w:rsidRPr="00A17C2C">
              <w:rPr>
                <w:rStyle w:val="NoteLabel"/>
              </w:rPr>
              <w:t>c</w:t>
            </w:r>
            <w:r w:rsidR="00FE7902" w:rsidRPr="00A17C2C">
              <w:t xml:space="preserve"> </w:t>
            </w:r>
            <w:r w:rsidR="008C0F34" w:rsidRPr="00A17C2C">
              <w:t>National data are available for 2011</w:t>
            </w:r>
            <w:r w:rsidR="00B93213">
              <w:noBreakHyphen/>
            </w:r>
            <w:r w:rsidR="008C0F34" w:rsidRPr="00A17C2C">
              <w:t xml:space="preserve">12 for public housing and </w:t>
            </w:r>
            <w:r w:rsidR="009A6E2C" w:rsidRPr="00A17C2C">
              <w:t>for 2011</w:t>
            </w:r>
            <w:r w:rsidR="00B93213">
              <w:noBreakHyphen/>
            </w:r>
            <w:r w:rsidR="009A6E2C" w:rsidRPr="00A17C2C">
              <w:t>12 to 2012</w:t>
            </w:r>
            <w:r w:rsidR="00B93213">
              <w:noBreakHyphen/>
            </w:r>
            <w:r w:rsidR="009A6E2C" w:rsidRPr="00A17C2C">
              <w:t xml:space="preserve">13 for </w:t>
            </w:r>
            <w:proofErr w:type="spellStart"/>
            <w:r w:rsidR="008C0F34" w:rsidRPr="00A17C2C">
              <w:t>SOMIH</w:t>
            </w:r>
            <w:proofErr w:type="spellEnd"/>
            <w:r w:rsidR="00FE7902" w:rsidRPr="00A17C2C">
              <w:t>.</w:t>
            </w:r>
          </w:p>
        </w:tc>
      </w:tr>
      <w:tr w:rsidR="00CE40D5" w:rsidRPr="004D0537" w:rsidTr="00607963">
        <w:tc>
          <w:tcPr>
            <w:tcW w:w="5000" w:type="pct"/>
            <w:gridSpan w:val="2"/>
            <w:tcBorders>
              <w:top w:val="nil"/>
              <w:left w:val="nil"/>
              <w:bottom w:val="nil"/>
              <w:right w:val="nil"/>
            </w:tcBorders>
            <w:shd w:val="clear" w:color="auto" w:fill="auto"/>
          </w:tcPr>
          <w:p w:rsidR="00CE40D5" w:rsidRPr="004D0537" w:rsidRDefault="00CE40D5" w:rsidP="000650F5">
            <w:pPr>
              <w:pStyle w:val="Source"/>
            </w:pPr>
            <w:r w:rsidRPr="00D725AC">
              <w:rPr>
                <w:i/>
              </w:rPr>
              <w:t>Source</w:t>
            </w:r>
            <w:r w:rsidRPr="00B93213">
              <w:t>:</w:t>
            </w:r>
            <w:r w:rsidRPr="004D0537">
              <w:t xml:space="preserve"> </w:t>
            </w:r>
            <w:proofErr w:type="spellStart"/>
            <w:r w:rsidR="0078599A" w:rsidRPr="004D0537">
              <w:t>AIHW</w:t>
            </w:r>
            <w:proofErr w:type="spellEnd"/>
            <w:r w:rsidR="0078599A" w:rsidRPr="004D0537">
              <w:t xml:space="preserve"> (unpublished) </w:t>
            </w:r>
            <w:r w:rsidR="00334274" w:rsidRPr="004D0537">
              <w:t>National Housing Assistance Data Repository</w:t>
            </w:r>
            <w:r w:rsidR="0020345F" w:rsidRPr="004D0537">
              <w:t>; tables</w:t>
            </w:r>
            <w:r w:rsidR="007D1214">
              <w:t> </w:t>
            </w:r>
            <w:proofErr w:type="spellStart"/>
            <w:r w:rsidR="00D171EA">
              <w:t>18A.56</w:t>
            </w:r>
            <w:proofErr w:type="spellEnd"/>
            <w:r w:rsidR="00215BB8">
              <w:t>–</w:t>
            </w:r>
            <w:r w:rsidR="00D171EA">
              <w:t>57</w:t>
            </w:r>
            <w:r w:rsidR="0020345F" w:rsidRPr="004D0537">
              <w:t>.</w:t>
            </w:r>
          </w:p>
        </w:tc>
      </w:tr>
      <w:tr w:rsidR="00CE40D5" w:rsidRPr="004D0537" w:rsidTr="00607963">
        <w:tc>
          <w:tcPr>
            <w:tcW w:w="5000" w:type="pct"/>
            <w:gridSpan w:val="2"/>
            <w:tcBorders>
              <w:top w:val="nil"/>
              <w:left w:val="nil"/>
              <w:bottom w:val="single" w:sz="6" w:space="0" w:color="78A22F"/>
              <w:right w:val="nil"/>
            </w:tcBorders>
            <w:shd w:val="clear" w:color="auto" w:fill="auto"/>
          </w:tcPr>
          <w:p w:rsidR="00CE40D5" w:rsidRPr="004D0537" w:rsidRDefault="00CE40D5" w:rsidP="00334F07">
            <w:pPr>
              <w:pStyle w:val="Figurespace"/>
            </w:pPr>
          </w:p>
        </w:tc>
      </w:tr>
      <w:tr w:rsidR="00CE40D5" w:rsidRPr="004D0537" w:rsidTr="00607963">
        <w:tc>
          <w:tcPr>
            <w:tcW w:w="5000" w:type="pct"/>
            <w:gridSpan w:val="2"/>
            <w:tcBorders>
              <w:top w:val="single" w:sz="6" w:space="0" w:color="78A22F"/>
              <w:left w:val="nil"/>
              <w:bottom w:val="nil"/>
              <w:right w:val="nil"/>
            </w:tcBorders>
          </w:tcPr>
          <w:p w:rsidR="00CE40D5" w:rsidRPr="004D0537" w:rsidRDefault="00CE40D5" w:rsidP="00334F07">
            <w:pPr>
              <w:pStyle w:val="BoxSpaceBelow"/>
            </w:pPr>
          </w:p>
        </w:tc>
      </w:tr>
      <w:tr w:rsidR="000E644A" w:rsidRPr="000863A5" w:rsidTr="00607963">
        <w:tblPrEx>
          <w:tblBorders>
            <w:top w:val="single" w:sz="6" w:space="0" w:color="auto"/>
            <w:left w:val="single" w:sz="6" w:space="0" w:color="auto"/>
            <w:bottom w:val="single" w:sz="6" w:space="0" w:color="auto"/>
            <w:right w:val="single" w:sz="6" w:space="0" w:color="auto"/>
          </w:tblBorders>
        </w:tblPrEx>
        <w:trPr>
          <w:gridAfter w:val="1"/>
          <w:wAfter w:w="80" w:type="pct"/>
          <w:hidden/>
        </w:trPr>
        <w:tc>
          <w:tcPr>
            <w:tcW w:w="4920" w:type="pct"/>
            <w:tcBorders>
              <w:top w:val="single" w:sz="6" w:space="0" w:color="78A22F" w:themeColor="accent1"/>
              <w:left w:val="nil"/>
              <w:bottom w:val="nil"/>
              <w:right w:val="nil"/>
            </w:tcBorders>
          </w:tcPr>
          <w:p w:rsidR="006C4B07" w:rsidRPr="006C4B07" w:rsidRDefault="006C4B07" w:rsidP="00607963">
            <w:pPr>
              <w:rPr>
                <w:b/>
                <w:vanish/>
                <w:color w:val="FF00FF"/>
              </w:rPr>
            </w:pPr>
          </w:p>
        </w:tc>
      </w:tr>
    </w:tbl>
    <w:p w:rsidR="007D38F4" w:rsidRPr="00457EC9" w:rsidRDefault="006C4B07" w:rsidP="00457EC9">
      <w:pPr>
        <w:pStyle w:val="Heading3"/>
      </w:pPr>
      <w:r w:rsidRPr="00457EC9">
        <w:t>O</w:t>
      </w:r>
      <w:r w:rsidR="007D38F4" w:rsidRPr="00457EC9">
        <w:t>utcomes</w:t>
      </w:r>
    </w:p>
    <w:p w:rsidR="007D38F4" w:rsidRDefault="007D38F4" w:rsidP="007D38F4">
      <w:pPr>
        <w:pStyle w:val="BodyText"/>
      </w:pPr>
      <w:r>
        <w:t>Outcomes are the impact of services on the status of an individual or group (see chapter</w:t>
      </w:r>
      <w:r w:rsidR="007D1214">
        <w:t> </w:t>
      </w:r>
      <w:r>
        <w:t>1</w:t>
      </w:r>
      <w:r w:rsidR="00537BCC">
        <w:t>)</w:t>
      </w:r>
      <w:r>
        <w:t>.</w:t>
      </w:r>
    </w:p>
    <w:p w:rsidR="00B9496F" w:rsidRDefault="00D011A7" w:rsidP="007D38F4">
      <w:pPr>
        <w:pStyle w:val="BodyText"/>
      </w:pPr>
      <w:r w:rsidRPr="00D011A7">
        <w:t xml:space="preserve">The Steering Committee has identified </w:t>
      </w:r>
      <w:r>
        <w:t>outcomes</w:t>
      </w:r>
      <w:r w:rsidRPr="00D011A7">
        <w:t xml:space="preserve"> as an area for development in future Reports.</w:t>
      </w:r>
    </w:p>
    <w:p w:rsidR="006131F2" w:rsidRPr="00FD1E41" w:rsidRDefault="00040F38" w:rsidP="00040F38">
      <w:pPr>
        <w:pStyle w:val="Heading2"/>
      </w:pPr>
      <w:bookmarkStart w:id="19" w:name="_Toc459884658"/>
      <w:bookmarkEnd w:id="16"/>
      <w:r>
        <w:lastRenderedPageBreak/>
        <w:t>18.</w:t>
      </w:r>
      <w:r w:rsidR="00892185">
        <w:rPr>
          <w:noProof/>
        </w:rPr>
        <w:t>4</w:t>
      </w:r>
      <w:r>
        <w:tab/>
      </w:r>
      <w:bookmarkStart w:id="20" w:name="_Toc314211352"/>
      <w:bookmarkStart w:id="21" w:name="_Toc396143035"/>
      <w:r w:rsidR="006131F2" w:rsidRPr="00FD1E41">
        <w:t xml:space="preserve">Definitions of key </w:t>
      </w:r>
      <w:bookmarkEnd w:id="17"/>
      <w:r w:rsidR="00B76882" w:rsidRPr="00FD1E41">
        <w:t>terms</w:t>
      </w:r>
      <w:bookmarkEnd w:id="19"/>
      <w:bookmarkEnd w:id="20"/>
      <w:bookmarkEnd w:id="21"/>
    </w:p>
    <w:p w:rsidR="00AF5F1A" w:rsidRPr="007D1214" w:rsidRDefault="00AF5F1A" w:rsidP="00532280">
      <w:pPr>
        <w:pStyle w:val="Figurespace"/>
      </w:pP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A35488" w:rsidRPr="002576C5">
        <w:tc>
          <w:tcPr>
            <w:tcW w:w="2410" w:type="dxa"/>
          </w:tcPr>
          <w:p w:rsidR="00A35488" w:rsidRPr="002576C5" w:rsidRDefault="00A35488" w:rsidP="00705266">
            <w:pPr>
              <w:pStyle w:val="TableBodyText"/>
              <w:spacing w:before="120" w:after="120"/>
              <w:jc w:val="left"/>
            </w:pPr>
            <w:r w:rsidRPr="002576C5">
              <w:rPr>
                <w:b/>
              </w:rPr>
              <w:t>Aboriginal and Torres Strait Islander household</w:t>
            </w:r>
          </w:p>
        </w:tc>
        <w:tc>
          <w:tcPr>
            <w:tcW w:w="6379" w:type="dxa"/>
          </w:tcPr>
          <w:p w:rsidR="00A35488" w:rsidRPr="002576C5" w:rsidRDefault="00A35488" w:rsidP="00705266">
            <w:pPr>
              <w:pStyle w:val="TableBodyText"/>
              <w:spacing w:before="120" w:after="120"/>
              <w:jc w:val="both"/>
            </w:pPr>
            <w:r w:rsidRPr="002576C5">
              <w:t>A household with one or more members (including children) who identify as Aboriginal and/or Torres Strait Islander.</w:t>
            </w:r>
          </w:p>
        </w:tc>
      </w:tr>
      <w:tr w:rsidR="00A35488" w:rsidRPr="002576C5">
        <w:tc>
          <w:tcPr>
            <w:tcW w:w="2410" w:type="dxa"/>
          </w:tcPr>
          <w:p w:rsidR="00A35488" w:rsidRPr="002576C5" w:rsidRDefault="00A35488" w:rsidP="00DD2E7E">
            <w:pPr>
              <w:pStyle w:val="TableBodyText"/>
              <w:spacing w:before="120" w:after="120"/>
              <w:jc w:val="left"/>
            </w:pPr>
            <w:r w:rsidRPr="002576C5">
              <w:rPr>
                <w:b/>
              </w:rPr>
              <w:t>Administration costs</w:t>
            </w:r>
          </w:p>
        </w:tc>
        <w:tc>
          <w:tcPr>
            <w:tcW w:w="6379" w:type="dxa"/>
          </w:tcPr>
          <w:p w:rsidR="00A35488" w:rsidRPr="002576C5" w:rsidRDefault="00A35488" w:rsidP="00DD2E7E">
            <w:pPr>
              <w:pStyle w:val="TableBodyText"/>
              <w:spacing w:before="120" w:after="120"/>
              <w:jc w:val="both"/>
            </w:pPr>
            <w:r w:rsidRPr="002576C5">
              <w:t>Those costs associated with the administration offices of the property manager and tenancy manager. They include the general accounting and personnel function costs relating to:</w:t>
            </w:r>
          </w:p>
          <w:p w:rsidR="00A35488" w:rsidRPr="002576C5" w:rsidRDefault="00A35488" w:rsidP="00DD2E7E">
            <w:pPr>
              <w:pStyle w:val="TableBullet"/>
              <w:spacing w:before="120" w:after="120"/>
              <w:jc w:val="both"/>
            </w:pPr>
            <w:r w:rsidRPr="002576C5">
              <w:t>employee expenses (for example, superannuation, compensation, accrued leave and training)</w:t>
            </w:r>
          </w:p>
          <w:p w:rsidR="00A35488" w:rsidRPr="002576C5" w:rsidRDefault="00A35488" w:rsidP="00DD2E7E">
            <w:pPr>
              <w:pStyle w:val="TableBullet"/>
              <w:spacing w:before="120" w:after="120"/>
              <w:jc w:val="both"/>
            </w:pPr>
            <w:r w:rsidRPr="002576C5">
              <w:t>supplies and services expenses (including stationery, postage, telephone, office equipment, information systems and vehicle expenses)</w:t>
            </w:r>
          </w:p>
          <w:p w:rsidR="00A35488" w:rsidRPr="002576C5" w:rsidRDefault="00A35488" w:rsidP="00DD2E7E">
            <w:pPr>
              <w:pStyle w:val="TableBullet"/>
              <w:spacing w:before="120" w:after="120"/>
              <w:jc w:val="both"/>
            </w:pPr>
            <w:r w:rsidRPr="002576C5">
              <w:t>rent</w:t>
            </w:r>
          </w:p>
          <w:p w:rsidR="00A35488" w:rsidRPr="002576C5" w:rsidRDefault="00A35488" w:rsidP="00DD2E7E">
            <w:pPr>
              <w:pStyle w:val="TableBullet"/>
              <w:spacing w:before="120" w:after="120"/>
              <w:jc w:val="both"/>
            </w:pPr>
            <w:r w:rsidRPr="002576C5">
              <w:t>grants and subsidies (excluding rental subsidies)</w:t>
            </w:r>
          </w:p>
          <w:p w:rsidR="00A35488" w:rsidRPr="002576C5" w:rsidRDefault="00A35488" w:rsidP="00DD2E7E">
            <w:pPr>
              <w:pStyle w:val="TableBullet"/>
              <w:spacing w:before="120" w:after="120"/>
              <w:jc w:val="both"/>
            </w:pPr>
            <w:r w:rsidRPr="002576C5">
              <w:t>expenditure incurred by other government agencies on behalf of the public housing agency</w:t>
            </w:r>
          </w:p>
          <w:p w:rsidR="00A35488" w:rsidRPr="002576C5" w:rsidRDefault="00A35488" w:rsidP="00DD2E7E">
            <w:pPr>
              <w:pStyle w:val="TableBullet"/>
              <w:spacing w:before="120" w:after="120"/>
              <w:jc w:val="both"/>
            </w:pPr>
            <w:r w:rsidRPr="002576C5">
              <w:t>contracted public housing management services.</w:t>
            </w:r>
          </w:p>
        </w:tc>
      </w:tr>
      <w:tr w:rsidR="00A35488" w:rsidRPr="002576C5">
        <w:tc>
          <w:tcPr>
            <w:tcW w:w="2410" w:type="dxa"/>
          </w:tcPr>
          <w:p w:rsidR="00A35488" w:rsidRPr="002576C5" w:rsidRDefault="00A35488" w:rsidP="00DD2E7E">
            <w:pPr>
              <w:pStyle w:val="TableBodyText"/>
              <w:spacing w:before="120" w:after="120"/>
              <w:jc w:val="left"/>
            </w:pPr>
            <w:r w:rsidRPr="002576C5">
              <w:rPr>
                <w:b/>
              </w:rPr>
              <w:t>Assessable income</w:t>
            </w:r>
          </w:p>
        </w:tc>
        <w:tc>
          <w:tcPr>
            <w:tcW w:w="6379" w:type="dxa"/>
          </w:tcPr>
          <w:p w:rsidR="00A35488" w:rsidRPr="002576C5" w:rsidRDefault="00A35488" w:rsidP="001F26FD">
            <w:pPr>
              <w:pStyle w:val="TableBodyText"/>
              <w:spacing w:before="120" w:after="120"/>
              <w:jc w:val="both"/>
            </w:pPr>
            <w:r w:rsidRPr="002576C5">
              <w:t xml:space="preserve">The income used to assess eligibility for housing assistance and to calculate the rental housing rebate that allows a household to pay a rent lower than the market rent. </w:t>
            </w:r>
            <w:r w:rsidR="001F26FD">
              <w:t xml:space="preserve">The components of income that are counted as assessable may vary </w:t>
            </w:r>
            <w:r w:rsidRPr="002576C5">
              <w:t>across jurisdictions.</w:t>
            </w:r>
          </w:p>
        </w:tc>
      </w:tr>
      <w:tr w:rsidR="00A35488" w:rsidRPr="002576C5">
        <w:tc>
          <w:tcPr>
            <w:tcW w:w="2410" w:type="dxa"/>
          </w:tcPr>
          <w:p w:rsidR="00A35488" w:rsidRPr="002576C5" w:rsidRDefault="00A35488" w:rsidP="00DD2E7E">
            <w:pPr>
              <w:pStyle w:val="TableBodyText"/>
              <w:spacing w:before="120" w:after="120"/>
              <w:jc w:val="left"/>
              <w:rPr>
                <w:b/>
              </w:rPr>
            </w:pPr>
            <w:r w:rsidRPr="002576C5">
              <w:rPr>
                <w:b/>
              </w:rPr>
              <w:t>Canadian National Occupancy Standard (</w:t>
            </w:r>
            <w:proofErr w:type="spellStart"/>
            <w:r w:rsidRPr="002576C5">
              <w:rPr>
                <w:b/>
              </w:rPr>
              <w:t>CNOS</w:t>
            </w:r>
            <w:proofErr w:type="spellEnd"/>
            <w:r w:rsidRPr="002576C5">
              <w:rPr>
                <w:b/>
              </w:rPr>
              <w:t>)</w:t>
            </w:r>
          </w:p>
        </w:tc>
        <w:tc>
          <w:tcPr>
            <w:tcW w:w="6379" w:type="dxa"/>
          </w:tcPr>
          <w:p w:rsidR="00A35488" w:rsidRPr="002576C5" w:rsidRDefault="00A35488" w:rsidP="00DD2E7E">
            <w:pPr>
              <w:pStyle w:val="TableBodyText"/>
              <w:spacing w:before="120" w:after="120"/>
              <w:jc w:val="both"/>
            </w:pPr>
            <w:r w:rsidRPr="002576C5">
              <w:t>A standardised measure of housing utilisation and overcrowding. This measure assesses a household</w:t>
            </w:r>
            <w:r>
              <w:t>’</w:t>
            </w:r>
            <w:r w:rsidRPr="002576C5">
              <w:t>s bedroom requirements by specifying that:</w:t>
            </w:r>
          </w:p>
          <w:p w:rsidR="00A35488" w:rsidRPr="002576C5" w:rsidRDefault="00A35488" w:rsidP="00DD2E7E">
            <w:pPr>
              <w:pStyle w:val="TableBullet"/>
              <w:spacing w:before="120" w:after="120"/>
            </w:pPr>
            <w:r w:rsidRPr="002576C5">
              <w:t>there should be no more than two people per bedroom</w:t>
            </w:r>
          </w:p>
          <w:p w:rsidR="00A35488" w:rsidRPr="002576C5" w:rsidRDefault="00A35488" w:rsidP="00DD2E7E">
            <w:pPr>
              <w:pStyle w:val="TableBullet"/>
              <w:spacing w:before="120" w:after="120"/>
            </w:pPr>
            <w:r w:rsidRPr="002576C5">
              <w:t>a household of one unattached individual may reasonably occupy a bed–sit (i.e. have no bedroom)</w:t>
            </w:r>
          </w:p>
          <w:p w:rsidR="00A35488" w:rsidRPr="002576C5" w:rsidRDefault="00A35488" w:rsidP="00DD2E7E">
            <w:pPr>
              <w:pStyle w:val="TableBullet"/>
              <w:spacing w:before="120" w:after="120"/>
            </w:pPr>
            <w:r w:rsidRPr="002576C5">
              <w:t>couples and parents should have a separate bedroom</w:t>
            </w:r>
          </w:p>
          <w:p w:rsidR="00A35488" w:rsidRPr="002576C5" w:rsidRDefault="00A35488" w:rsidP="00DD2E7E">
            <w:pPr>
              <w:pStyle w:val="TableBullet"/>
              <w:spacing w:before="120" w:after="120"/>
            </w:pPr>
            <w:r w:rsidRPr="002576C5">
              <w:t>children less than five years of age, of different sexes, may reasonably share a bedroom</w:t>
            </w:r>
          </w:p>
          <w:p w:rsidR="00A35488" w:rsidRPr="002576C5" w:rsidRDefault="00A35488" w:rsidP="00DD2E7E">
            <w:pPr>
              <w:pStyle w:val="TableBullet"/>
              <w:spacing w:before="120" w:after="120"/>
            </w:pPr>
            <w:r w:rsidRPr="002576C5">
              <w:t>children five years of age or over, of the opposite sex, should not share a bedroom</w:t>
            </w:r>
          </w:p>
          <w:p w:rsidR="00A35488" w:rsidRPr="002576C5" w:rsidRDefault="00A35488" w:rsidP="00DD2E7E">
            <w:pPr>
              <w:pStyle w:val="TableBullet"/>
              <w:spacing w:before="120" w:after="120"/>
            </w:pPr>
            <w:r w:rsidRPr="002576C5">
              <w:t>children less than 18 years of age and of the same sex may reasonably share a bedroom; and</w:t>
            </w:r>
          </w:p>
          <w:p w:rsidR="00A35488" w:rsidRPr="002576C5" w:rsidRDefault="00A35488" w:rsidP="00DD2E7E">
            <w:pPr>
              <w:pStyle w:val="TableBullet"/>
              <w:spacing w:before="120" w:after="120"/>
            </w:pPr>
            <w:r w:rsidRPr="002576C5">
              <w:t>single household members aged 18 years or over should have a separate bedroom.</w:t>
            </w:r>
          </w:p>
        </w:tc>
      </w:tr>
      <w:tr w:rsidR="00A35488" w:rsidRPr="002576C5" w:rsidTr="00117DFD">
        <w:tc>
          <w:tcPr>
            <w:tcW w:w="2410" w:type="dxa"/>
            <w:shd w:val="clear" w:color="auto" w:fill="auto"/>
          </w:tcPr>
          <w:p w:rsidR="00A35488" w:rsidRPr="002576C5" w:rsidRDefault="00A35488" w:rsidP="00DD2E7E">
            <w:pPr>
              <w:pStyle w:val="TableBodyText"/>
              <w:spacing w:before="120" w:after="120"/>
              <w:jc w:val="left"/>
              <w:rPr>
                <w:b/>
              </w:rPr>
            </w:pPr>
            <w:r w:rsidRPr="002576C5">
              <w:rPr>
                <w:b/>
              </w:rPr>
              <w:t>Comparability</w:t>
            </w:r>
          </w:p>
        </w:tc>
        <w:tc>
          <w:tcPr>
            <w:tcW w:w="6379" w:type="dxa"/>
            <w:shd w:val="clear" w:color="auto" w:fill="auto"/>
          </w:tcPr>
          <w:p w:rsidR="00A35488" w:rsidRPr="002576C5" w:rsidRDefault="00A35488" w:rsidP="00DD2E7E">
            <w:pPr>
              <w:pStyle w:val="TableBodyText"/>
              <w:spacing w:before="120" w:after="120"/>
              <w:jc w:val="both"/>
            </w:pPr>
            <w:r w:rsidRPr="002576C5">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A35488" w:rsidRPr="002576C5" w:rsidTr="00117DFD">
        <w:tc>
          <w:tcPr>
            <w:tcW w:w="2410" w:type="dxa"/>
            <w:shd w:val="clear" w:color="auto" w:fill="auto"/>
          </w:tcPr>
          <w:p w:rsidR="00A35488" w:rsidRPr="002576C5" w:rsidRDefault="00A35488" w:rsidP="00DD2E7E">
            <w:pPr>
              <w:pStyle w:val="TableBodyText"/>
              <w:spacing w:before="120" w:after="120"/>
              <w:jc w:val="left"/>
              <w:rPr>
                <w:b/>
              </w:rPr>
            </w:pPr>
            <w:r w:rsidRPr="002576C5">
              <w:rPr>
                <w:b/>
              </w:rPr>
              <w:t>Completeness</w:t>
            </w:r>
          </w:p>
        </w:tc>
        <w:tc>
          <w:tcPr>
            <w:tcW w:w="6379" w:type="dxa"/>
            <w:shd w:val="clear" w:color="auto" w:fill="auto"/>
          </w:tcPr>
          <w:p w:rsidR="00A35488" w:rsidRPr="002576C5" w:rsidRDefault="00A35488" w:rsidP="00DD2E7E">
            <w:pPr>
              <w:pStyle w:val="TableBodyText"/>
              <w:spacing w:before="120" w:after="120"/>
              <w:jc w:val="both"/>
            </w:pPr>
            <w:r w:rsidRPr="002576C5">
              <w:t>Data are considered complete if all required data are available for all jurisdictions that provide the service.</w:t>
            </w:r>
          </w:p>
        </w:tc>
      </w:tr>
      <w:tr w:rsidR="00A35488" w:rsidRPr="002576C5">
        <w:tc>
          <w:tcPr>
            <w:tcW w:w="2410" w:type="dxa"/>
          </w:tcPr>
          <w:p w:rsidR="00A35488" w:rsidRPr="002576C5" w:rsidRDefault="00A35488" w:rsidP="00DD2E7E">
            <w:pPr>
              <w:pStyle w:val="TableBodyText"/>
              <w:spacing w:before="120" w:after="120"/>
              <w:jc w:val="left"/>
              <w:rPr>
                <w:b/>
              </w:rPr>
            </w:pPr>
            <w:r w:rsidRPr="002576C5">
              <w:rPr>
                <w:b/>
              </w:rPr>
              <w:t xml:space="preserve">Confidence intervals </w:t>
            </w:r>
          </w:p>
        </w:tc>
        <w:tc>
          <w:tcPr>
            <w:tcW w:w="6379" w:type="dxa"/>
          </w:tcPr>
          <w:p w:rsidR="00A35488" w:rsidRPr="002576C5" w:rsidRDefault="00A35488" w:rsidP="00E21823">
            <w:pPr>
              <w:pStyle w:val="TableBodyText"/>
              <w:spacing w:before="120" w:after="120"/>
              <w:jc w:val="both"/>
            </w:pPr>
            <w:r w:rsidRPr="002576C5">
              <w:t xml:space="preserve">Survey data, for example data from the </w:t>
            </w:r>
            <w:proofErr w:type="spellStart"/>
            <w:r w:rsidRPr="002576C5">
              <w:t>NSHS</w:t>
            </w:r>
            <w:proofErr w:type="spellEnd"/>
            <w:r w:rsidRPr="002576C5">
              <w:t>, are subject to sampling error because they are based on samples of the total population. Where survey data are shown in charts in this report, error bars are included, showing 95 per cent confidence intervals. There is a 95 per cent chance that the true value of the data item lies within the interval shown by the error bars.</w:t>
            </w:r>
          </w:p>
        </w:tc>
      </w:tr>
      <w:tr w:rsidR="00A35488" w:rsidRPr="002576C5">
        <w:tc>
          <w:tcPr>
            <w:tcW w:w="2410" w:type="dxa"/>
          </w:tcPr>
          <w:p w:rsidR="00A35488" w:rsidRPr="002576C5" w:rsidRDefault="00A35488" w:rsidP="00DD2E7E">
            <w:pPr>
              <w:pStyle w:val="TableBodyText"/>
              <w:spacing w:before="120" w:after="120"/>
              <w:jc w:val="left"/>
            </w:pPr>
            <w:r w:rsidRPr="002576C5">
              <w:rPr>
                <w:b/>
              </w:rPr>
              <w:lastRenderedPageBreak/>
              <w:t>Depreciation costs</w:t>
            </w:r>
          </w:p>
        </w:tc>
        <w:tc>
          <w:tcPr>
            <w:tcW w:w="6379" w:type="dxa"/>
          </w:tcPr>
          <w:p w:rsidR="00A35488" w:rsidRPr="002576C5" w:rsidRDefault="00A35488" w:rsidP="00DD2E7E">
            <w:pPr>
              <w:pStyle w:val="TableBodyText"/>
              <w:spacing w:before="120" w:after="120"/>
              <w:jc w:val="both"/>
            </w:pPr>
            <w:r w:rsidRPr="002576C5">
              <w:rPr>
                <w:snapToGrid w:val="0"/>
                <w:lang w:val="en-US"/>
              </w:rPr>
              <w:t>Depreciation calculated on a straight–line basis at a rate that realistically represents the useful life of the asset (as per the Australian Accounting Standards 13–17).</w:t>
            </w:r>
          </w:p>
        </w:tc>
      </w:tr>
      <w:tr w:rsidR="00A35488" w:rsidRPr="002576C5" w:rsidTr="00133541">
        <w:tc>
          <w:tcPr>
            <w:tcW w:w="2410" w:type="dxa"/>
            <w:shd w:val="clear" w:color="auto" w:fill="auto"/>
          </w:tcPr>
          <w:p w:rsidR="00A35488" w:rsidRPr="002576C5" w:rsidRDefault="00A35488" w:rsidP="00DD2E7E">
            <w:pPr>
              <w:pStyle w:val="TableBodyText"/>
              <w:spacing w:before="120" w:after="120"/>
              <w:jc w:val="left"/>
              <w:rPr>
                <w:snapToGrid w:val="0"/>
                <w:lang w:val="en-US"/>
              </w:rPr>
            </w:pPr>
            <w:r w:rsidRPr="002576C5">
              <w:rPr>
                <w:b/>
                <w:snapToGrid w:val="0"/>
              </w:rPr>
              <w:t>Disability</w:t>
            </w:r>
          </w:p>
        </w:tc>
        <w:tc>
          <w:tcPr>
            <w:tcW w:w="6379" w:type="dxa"/>
            <w:shd w:val="clear" w:color="auto" w:fill="auto"/>
          </w:tcPr>
          <w:p w:rsidR="00A35488" w:rsidRPr="002576C5" w:rsidRDefault="00A35488" w:rsidP="00B30269">
            <w:pPr>
              <w:pStyle w:val="TableBodyText"/>
              <w:spacing w:before="120" w:after="120"/>
              <w:jc w:val="left"/>
              <w:rPr>
                <w:snapToGrid w:val="0"/>
              </w:rPr>
            </w:pPr>
            <w:r w:rsidRPr="002576C5">
              <w:rPr>
                <w:snapToGrid w:val="0"/>
              </w:rPr>
              <w:t>Households with a member with disability are defined as households in which at least one member always or sometimes needs assistance with self</w:t>
            </w:r>
            <w:r>
              <w:rPr>
                <w:snapToGrid w:val="0"/>
              </w:rPr>
              <w:noBreakHyphen/>
            </w:r>
            <w:r w:rsidRPr="002576C5">
              <w:rPr>
                <w:snapToGrid w:val="0"/>
              </w:rPr>
              <w:t>care activities, body movement activities or communication, and the reason for needing assistance is either ‘long</w:t>
            </w:r>
            <w:r w:rsidRPr="002576C5">
              <w:rPr>
                <w:snapToGrid w:val="0"/>
              </w:rPr>
              <w:noBreakHyphen/>
              <w:t>term health condition lasting six months or more’ or ‘disability’.</w:t>
            </w:r>
          </w:p>
        </w:tc>
      </w:tr>
      <w:tr w:rsidR="00A35488" w:rsidRPr="002576C5">
        <w:tc>
          <w:tcPr>
            <w:tcW w:w="2410" w:type="dxa"/>
          </w:tcPr>
          <w:p w:rsidR="00A35488" w:rsidRPr="002576C5" w:rsidRDefault="00A35488" w:rsidP="00DD2E7E">
            <w:pPr>
              <w:pStyle w:val="TableBodyText"/>
              <w:spacing w:before="120" w:after="120"/>
              <w:jc w:val="left"/>
              <w:rPr>
                <w:rFonts w:ascii="Times New Roman" w:hAnsi="Times New Roman"/>
              </w:rPr>
            </w:pPr>
            <w:r w:rsidRPr="002576C5">
              <w:br w:type="page"/>
            </w:r>
            <w:r w:rsidRPr="002576C5">
              <w:rPr>
                <w:rFonts w:ascii="Times New Roman" w:hAnsi="Times New Roman"/>
              </w:rPr>
              <w:br w:type="page"/>
            </w:r>
            <w:r w:rsidRPr="002576C5">
              <w:rPr>
                <w:b/>
              </w:rPr>
              <w:t>Dwelling</w:t>
            </w:r>
          </w:p>
        </w:tc>
        <w:tc>
          <w:tcPr>
            <w:tcW w:w="6379" w:type="dxa"/>
          </w:tcPr>
          <w:p w:rsidR="00A35488" w:rsidRPr="002576C5" w:rsidRDefault="00A35488" w:rsidP="00DD2E7E">
            <w:pPr>
              <w:pStyle w:val="TableBodyText"/>
              <w:spacing w:before="120" w:after="120"/>
              <w:jc w:val="both"/>
            </w:pPr>
            <w:r w:rsidRPr="002576C5">
              <w:t>A structure or a discrete space within a structure intended for people to live in or where a person or group of people live. Thus, a structure that people actually live in is a dwelling regardless of its intended purpose, but a vacant structure is a dwelling only if intended for human residence. A dwelling may include one or more rooms that is/are used as an office or workshop, provided the dwelling is in residential use. Dwelling types include:</w:t>
            </w:r>
          </w:p>
          <w:p w:rsidR="00A35488" w:rsidRPr="002576C5" w:rsidRDefault="00A35488" w:rsidP="00DD2E7E">
            <w:pPr>
              <w:pStyle w:val="TableBullet"/>
              <w:spacing w:before="120" w:after="120"/>
            </w:pPr>
            <w:r w:rsidRPr="002576C5">
              <w:t>a separate house</w:t>
            </w:r>
          </w:p>
          <w:p w:rsidR="00A35488" w:rsidRPr="002576C5" w:rsidRDefault="00A35488" w:rsidP="00DD2E7E">
            <w:pPr>
              <w:pStyle w:val="TableBullet"/>
              <w:spacing w:before="120" w:after="120"/>
            </w:pPr>
            <w:r w:rsidRPr="002576C5">
              <w:t>a semi–detached, row or terrace house, townhouse, etc.</w:t>
            </w:r>
          </w:p>
          <w:p w:rsidR="00A35488" w:rsidRPr="002576C5" w:rsidRDefault="00A35488" w:rsidP="00DD2E7E">
            <w:pPr>
              <w:pStyle w:val="TableBullet"/>
              <w:spacing w:before="120" w:after="120"/>
            </w:pPr>
            <w:r w:rsidRPr="002576C5">
              <w:t>a flat, unit or apartment; caravan, tent, cabin etc. either in or not in a caravan park; houseboat in marina, etc.</w:t>
            </w:r>
          </w:p>
          <w:p w:rsidR="00A35488" w:rsidRPr="002576C5" w:rsidRDefault="00A35488" w:rsidP="00DD2E7E">
            <w:pPr>
              <w:pStyle w:val="TableBullet"/>
              <w:spacing w:before="120" w:after="120"/>
            </w:pPr>
            <w:r w:rsidRPr="002576C5">
              <w:t>an improvised home, tent, camper</w:t>
            </w:r>
          </w:p>
          <w:p w:rsidR="00A35488" w:rsidRPr="002576C5" w:rsidRDefault="00A35488" w:rsidP="00DD2E7E">
            <w:pPr>
              <w:pStyle w:val="TableBullet"/>
              <w:spacing w:before="120" w:after="120"/>
            </w:pPr>
            <w:r w:rsidRPr="002576C5">
              <w:t>a house or flat attached to a shop, office, etc.</w:t>
            </w:r>
          </w:p>
          <w:p w:rsidR="00A35488" w:rsidRPr="002576C5" w:rsidRDefault="00A35488" w:rsidP="00DD2E7E">
            <w:pPr>
              <w:pStyle w:val="TableBullet"/>
              <w:spacing w:before="120" w:after="120"/>
            </w:pPr>
            <w:r w:rsidRPr="002576C5">
              <w:t>a boarding/rooming house unit.</w:t>
            </w:r>
          </w:p>
        </w:tc>
      </w:tr>
      <w:tr w:rsidR="00A35488" w:rsidRPr="002576C5" w:rsidTr="00A17C2C">
        <w:tc>
          <w:tcPr>
            <w:tcW w:w="2410" w:type="dxa"/>
            <w:shd w:val="clear" w:color="auto" w:fill="auto"/>
          </w:tcPr>
          <w:p w:rsidR="00A35488" w:rsidRPr="002576C5" w:rsidRDefault="00A35488" w:rsidP="00DD2E7E">
            <w:pPr>
              <w:pStyle w:val="TableBodyText"/>
              <w:spacing w:before="120" w:after="120"/>
              <w:jc w:val="left"/>
              <w:rPr>
                <w:b/>
              </w:rPr>
            </w:pPr>
            <w:proofErr w:type="spellStart"/>
            <w:r w:rsidRPr="002576C5">
              <w:rPr>
                <w:b/>
              </w:rPr>
              <w:t>Equivalisation</w:t>
            </w:r>
            <w:proofErr w:type="spellEnd"/>
          </w:p>
        </w:tc>
        <w:tc>
          <w:tcPr>
            <w:tcW w:w="6379" w:type="dxa"/>
            <w:shd w:val="clear" w:color="auto" w:fill="auto"/>
          </w:tcPr>
          <w:p w:rsidR="00A35488" w:rsidRPr="002576C5" w:rsidRDefault="009C72EB" w:rsidP="009C72EB">
            <w:pPr>
              <w:pStyle w:val="TableBodyText"/>
              <w:spacing w:before="120" w:after="120"/>
              <w:jc w:val="both"/>
            </w:pPr>
            <w:r w:rsidRPr="009C72EB">
              <w:t>See low income households entry.</w:t>
            </w:r>
            <w:r>
              <w:t xml:space="preserve"> </w:t>
            </w:r>
            <w:r w:rsidR="00A35488" w:rsidRPr="002576C5">
              <w:t xml:space="preserve"> </w:t>
            </w:r>
          </w:p>
        </w:tc>
      </w:tr>
      <w:tr w:rsidR="00A35488" w:rsidRPr="002576C5">
        <w:tc>
          <w:tcPr>
            <w:tcW w:w="2410" w:type="dxa"/>
          </w:tcPr>
          <w:p w:rsidR="00A35488" w:rsidRPr="002576C5" w:rsidRDefault="00A35488" w:rsidP="00DD2E7E">
            <w:pPr>
              <w:pStyle w:val="TableBodyText"/>
              <w:spacing w:before="120" w:after="120"/>
              <w:jc w:val="left"/>
            </w:pPr>
            <w:r w:rsidRPr="002576C5">
              <w:rPr>
                <w:b/>
              </w:rPr>
              <w:t>Greatest need</w:t>
            </w:r>
          </w:p>
        </w:tc>
        <w:tc>
          <w:tcPr>
            <w:tcW w:w="6379" w:type="dxa"/>
          </w:tcPr>
          <w:p w:rsidR="00A35488" w:rsidRPr="002576C5" w:rsidRDefault="00A35488" w:rsidP="00DD2E7E">
            <w:pPr>
              <w:pStyle w:val="TableBodyText"/>
              <w:spacing w:before="120" w:after="120"/>
              <w:jc w:val="both"/>
            </w:pPr>
            <w:r w:rsidRPr="002576C5">
              <w:t>Applies to low–income households if, at the time of allocation, household members were subject to one or more of the following circumstances:</w:t>
            </w:r>
          </w:p>
          <w:p w:rsidR="00A35488" w:rsidRPr="002576C5" w:rsidRDefault="00A35488" w:rsidP="00DD2E7E">
            <w:pPr>
              <w:pStyle w:val="TableBullet"/>
              <w:spacing w:before="120" w:after="120"/>
            </w:pPr>
            <w:r w:rsidRPr="002576C5">
              <w:t>they were homeless</w:t>
            </w:r>
          </w:p>
          <w:p w:rsidR="00A35488" w:rsidRPr="002576C5" w:rsidRDefault="00A35488" w:rsidP="00DD2E7E">
            <w:pPr>
              <w:pStyle w:val="TableBullet"/>
              <w:spacing w:before="120" w:after="120"/>
            </w:pPr>
            <w:r w:rsidRPr="002576C5">
              <w:t>their life or safety was at risk in their accommodation</w:t>
            </w:r>
          </w:p>
          <w:p w:rsidR="00A35488" w:rsidRPr="002576C5" w:rsidRDefault="00A35488" w:rsidP="00DD2E7E">
            <w:pPr>
              <w:pStyle w:val="TableBullet"/>
              <w:spacing w:before="120" w:after="120"/>
            </w:pPr>
            <w:r w:rsidRPr="002576C5">
              <w:t>their health condition was aggravated by their housing</w:t>
            </w:r>
          </w:p>
          <w:p w:rsidR="00A35488" w:rsidRPr="002576C5" w:rsidRDefault="00A35488" w:rsidP="00DD2E7E">
            <w:pPr>
              <w:pStyle w:val="TableBullet"/>
              <w:spacing w:before="120" w:after="120"/>
            </w:pPr>
            <w:r w:rsidRPr="002576C5">
              <w:t>their housing was inappropriate to their needs</w:t>
            </w:r>
          </w:p>
          <w:p w:rsidR="00A35488" w:rsidRPr="002576C5" w:rsidRDefault="00A35488" w:rsidP="00DD2E7E">
            <w:pPr>
              <w:pStyle w:val="TableBullet"/>
              <w:spacing w:before="120" w:after="120"/>
            </w:pPr>
            <w:r w:rsidRPr="002576C5">
              <w:t>they had very high rental housing costs.</w:t>
            </w:r>
          </w:p>
          <w:p w:rsidR="00A35488" w:rsidRPr="002576C5" w:rsidRDefault="00A35488" w:rsidP="00DD2E7E">
            <w:pPr>
              <w:pStyle w:val="TableBodyText"/>
              <w:spacing w:before="120" w:after="120"/>
              <w:jc w:val="both"/>
            </w:pPr>
            <w:r w:rsidRPr="002576C5">
              <w:t>A low–income household for the greatest need definition is a household that satisfies an eligibility test to receive housing assistance.</w:t>
            </w:r>
          </w:p>
        </w:tc>
      </w:tr>
      <w:tr w:rsidR="00A35488" w:rsidRPr="002576C5">
        <w:tc>
          <w:tcPr>
            <w:tcW w:w="2410" w:type="dxa"/>
          </w:tcPr>
          <w:p w:rsidR="00A35488" w:rsidRPr="002576C5" w:rsidRDefault="00A35488" w:rsidP="00DD2E7E">
            <w:pPr>
              <w:pStyle w:val="TableBodyText"/>
              <w:spacing w:before="120" w:after="120"/>
              <w:jc w:val="left"/>
            </w:pPr>
            <w:r w:rsidRPr="002576C5">
              <w:rPr>
                <w:b/>
              </w:rPr>
              <w:t>Household</w:t>
            </w:r>
          </w:p>
        </w:tc>
        <w:tc>
          <w:tcPr>
            <w:tcW w:w="6379" w:type="dxa"/>
          </w:tcPr>
          <w:p w:rsidR="00A35488" w:rsidRPr="002576C5" w:rsidRDefault="00A35488" w:rsidP="00AB582F">
            <w:pPr>
              <w:pStyle w:val="TableBodyText"/>
              <w:spacing w:before="120" w:after="120"/>
              <w:jc w:val="both"/>
            </w:pPr>
            <w:r w:rsidRPr="002576C5">
              <w:t xml:space="preserve">The grouping of people living in a dwelling. Household composition is based on couple and parent–child relationships. A </w:t>
            </w:r>
            <w:r w:rsidRPr="002576C5">
              <w:rPr>
                <w:i/>
                <w:iCs/>
              </w:rPr>
              <w:t>single</w:t>
            </w:r>
            <w:r>
              <w:rPr>
                <w:i/>
                <w:iCs/>
              </w:rPr>
              <w:noBreakHyphen/>
            </w:r>
            <w:r w:rsidRPr="002576C5">
              <w:rPr>
                <w:i/>
                <w:iCs/>
              </w:rPr>
              <w:t xml:space="preserve">family </w:t>
            </w:r>
            <w:r w:rsidRPr="002576C5">
              <w:t xml:space="preserve">household contains a main tenant only, or a main tenant residing with a partner and/or the main tenant’s children. </w:t>
            </w:r>
            <w:r w:rsidRPr="002576C5">
              <w:rPr>
                <w:i/>
                <w:iCs/>
              </w:rPr>
              <w:t xml:space="preserve">Group households </w:t>
            </w:r>
            <w:r w:rsidRPr="002576C5">
              <w:t xml:space="preserve">consist of 2 or more tenants aged 16 or over who are not in a couple or parent–child relationship. </w:t>
            </w:r>
            <w:r w:rsidRPr="002576C5">
              <w:rPr>
                <w:i/>
                <w:iCs/>
              </w:rPr>
              <w:t xml:space="preserve">Mixed households </w:t>
            </w:r>
            <w:r w:rsidRPr="002576C5">
              <w:t>are households not described by the other two types</w:t>
            </w:r>
            <w:r>
              <w:t xml:space="preserve"> </w:t>
            </w:r>
            <w:r w:rsidRPr="002576C5">
              <w:t>—</w:t>
            </w:r>
            <w:r>
              <w:t xml:space="preserve"> </w:t>
            </w:r>
            <w:r w:rsidRPr="002576C5">
              <w:t>for example, multiple single</w:t>
            </w:r>
            <w:r>
              <w:noBreakHyphen/>
            </w:r>
            <w:r w:rsidRPr="002576C5">
              <w:t>family households.</w:t>
            </w:r>
          </w:p>
          <w:p w:rsidR="00A35488" w:rsidRPr="002576C5" w:rsidRDefault="00A35488" w:rsidP="00AF7B70">
            <w:pPr>
              <w:pStyle w:val="TableBodyText"/>
              <w:spacing w:before="120" w:after="120"/>
              <w:jc w:val="both"/>
            </w:pPr>
            <w:r w:rsidRPr="002576C5">
              <w:t xml:space="preserve">For the purpose of the public housing, </w:t>
            </w:r>
            <w:proofErr w:type="spellStart"/>
            <w:r w:rsidRPr="002576C5">
              <w:t>SOMIH</w:t>
            </w:r>
            <w:proofErr w:type="spellEnd"/>
            <w:r w:rsidRPr="002576C5">
              <w:t xml:space="preserve"> and community and Indigenous community housing collections,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B12A3B" w:rsidRPr="00B12A3B" w:rsidTr="00A17C2C">
        <w:tc>
          <w:tcPr>
            <w:tcW w:w="2410" w:type="dxa"/>
            <w:shd w:val="clear" w:color="auto" w:fill="auto"/>
          </w:tcPr>
          <w:p w:rsidR="00CD4139" w:rsidRPr="00B12A3B" w:rsidRDefault="00CD4139" w:rsidP="00091282">
            <w:pPr>
              <w:pStyle w:val="TableBodyText"/>
              <w:spacing w:before="120" w:after="120"/>
              <w:jc w:val="both"/>
            </w:pPr>
            <w:r w:rsidRPr="00B12A3B">
              <w:rPr>
                <w:b/>
              </w:rPr>
              <w:t>Low income households</w:t>
            </w:r>
          </w:p>
        </w:tc>
        <w:tc>
          <w:tcPr>
            <w:tcW w:w="6379" w:type="dxa"/>
            <w:shd w:val="clear" w:color="auto" w:fill="auto"/>
          </w:tcPr>
          <w:p w:rsidR="00CD4139" w:rsidRPr="00B12A3B" w:rsidRDefault="00CD4139" w:rsidP="00091282">
            <w:pPr>
              <w:pStyle w:val="TableBodyText"/>
              <w:spacing w:before="120" w:after="120"/>
              <w:jc w:val="both"/>
            </w:pPr>
            <w:r w:rsidRPr="00B12A3B">
              <w:t xml:space="preserve">For the purpose of social housing affordability </w:t>
            </w:r>
            <w:r w:rsidR="00F109CF" w:rsidRPr="00B12A3B">
              <w:t>analyses</w:t>
            </w:r>
            <w:r w:rsidRPr="00B12A3B">
              <w:t xml:space="preserve">, ‘low income households’ are defined as those in the bottom 40 per cent of </w:t>
            </w:r>
            <w:proofErr w:type="spellStart"/>
            <w:r w:rsidRPr="00B12A3B">
              <w:t>equivalised</w:t>
            </w:r>
            <w:proofErr w:type="spellEnd"/>
            <w:r w:rsidRPr="00B12A3B">
              <w:t xml:space="preserve"> gross household income. (Different definitions of low income households are used for different p</w:t>
            </w:r>
            <w:r w:rsidR="008B1B46">
              <w:t>urposes by the ABS and others.)</w:t>
            </w:r>
          </w:p>
          <w:p w:rsidR="00CD4139" w:rsidRPr="00B12A3B" w:rsidRDefault="00E246E3" w:rsidP="00091282">
            <w:pPr>
              <w:pStyle w:val="TableBodyText"/>
              <w:spacing w:before="120" w:after="120"/>
              <w:jc w:val="both"/>
              <w:rPr>
                <w:u w:val="single"/>
              </w:rPr>
            </w:pPr>
            <w:proofErr w:type="spellStart"/>
            <w:r>
              <w:rPr>
                <w:u w:val="single"/>
              </w:rPr>
              <w:lastRenderedPageBreak/>
              <w:t>Equivalisation</w:t>
            </w:r>
            <w:proofErr w:type="spellEnd"/>
          </w:p>
          <w:p w:rsidR="00CD4139" w:rsidRPr="00B12A3B" w:rsidRDefault="00CD4139" w:rsidP="00091282">
            <w:pPr>
              <w:pStyle w:val="TableBodyText"/>
              <w:spacing w:before="120" w:after="120"/>
              <w:jc w:val="both"/>
            </w:pPr>
            <w:r w:rsidRPr="00B12A3B">
              <w:t>Increased household size is associated with increased consumption needs, but also with economies of scale. An equivalence scale is used to adjust household incomes to take account of the economies that flow from sharing resources, enabling more meaningful comparisons across different types of households.</w:t>
            </w:r>
          </w:p>
          <w:p w:rsidR="00CD4139" w:rsidRPr="00B12A3B" w:rsidRDefault="00CD4139" w:rsidP="00091282">
            <w:pPr>
              <w:pStyle w:val="TableBodyText"/>
              <w:spacing w:before="120" w:after="120"/>
              <w:jc w:val="both"/>
            </w:pPr>
            <w:r w:rsidRPr="00B12A3B">
              <w:t xml:space="preserve">The ABS provides low </w:t>
            </w:r>
            <w:r w:rsidR="00CB4472" w:rsidRPr="00B12A3B">
              <w:t xml:space="preserve">income household </w:t>
            </w:r>
            <w:proofErr w:type="spellStart"/>
            <w:r w:rsidRPr="00B12A3B">
              <w:t>equivalised</w:t>
            </w:r>
            <w:proofErr w:type="spellEnd"/>
            <w:r w:rsidRPr="00B12A3B">
              <w:t xml:space="preserve"> gross income </w:t>
            </w:r>
            <w:proofErr w:type="spellStart"/>
            <w:r w:rsidRPr="00B12A3B">
              <w:t>cutoffs</w:t>
            </w:r>
            <w:proofErr w:type="spellEnd"/>
            <w:r w:rsidR="00B12A3B">
              <w:t xml:space="preserve"> </w:t>
            </w:r>
            <w:r w:rsidRPr="00B12A3B">
              <w:t>derived from the biennial Su</w:t>
            </w:r>
            <w:r w:rsidR="00B12A3B">
              <w:t>rvey of Income and Housing data</w:t>
            </w:r>
            <w:r w:rsidRPr="00B12A3B">
              <w:t xml:space="preserve"> to the </w:t>
            </w:r>
            <w:proofErr w:type="spellStart"/>
            <w:r w:rsidRPr="00B12A3B">
              <w:t>AIHW</w:t>
            </w:r>
            <w:proofErr w:type="spellEnd"/>
            <w:r w:rsidRPr="00B12A3B">
              <w:t>.</w:t>
            </w:r>
            <w:r w:rsidR="00C03F81" w:rsidRPr="00B12A3B">
              <w:t xml:space="preserve"> </w:t>
            </w:r>
            <w:r w:rsidRPr="00B12A3B">
              <w:t xml:space="preserve">The </w:t>
            </w:r>
            <w:proofErr w:type="spellStart"/>
            <w:r w:rsidRPr="00B12A3B">
              <w:t>AIHW</w:t>
            </w:r>
            <w:proofErr w:type="spellEnd"/>
            <w:r w:rsidRPr="00B12A3B">
              <w:t xml:space="preserve"> determines the </w:t>
            </w:r>
            <w:proofErr w:type="spellStart"/>
            <w:r w:rsidRPr="00B12A3B">
              <w:t>equivalised</w:t>
            </w:r>
            <w:proofErr w:type="spellEnd"/>
            <w:r w:rsidRPr="00B12A3B">
              <w:t xml:space="preserve"> gross household income for social housing households for affordability analyses.</w:t>
            </w:r>
          </w:p>
          <w:p w:rsidR="00CD4139" w:rsidRPr="00B12A3B" w:rsidRDefault="00CD4139" w:rsidP="00E03C99">
            <w:pPr>
              <w:pStyle w:val="TableBodyText"/>
              <w:spacing w:before="120" w:after="120"/>
              <w:jc w:val="both"/>
              <w:rPr>
                <w:b/>
              </w:rPr>
            </w:pPr>
            <w:r w:rsidRPr="00B12A3B">
              <w:t xml:space="preserve">Note that </w:t>
            </w:r>
            <w:proofErr w:type="spellStart"/>
            <w:r w:rsidRPr="00B12A3B">
              <w:t>equivalised</w:t>
            </w:r>
            <w:proofErr w:type="spellEnd"/>
            <w:r w:rsidRPr="00B12A3B">
              <w:t xml:space="preserve"> gross household income is not used to determine eligibility for social housing or rental subsidies </w:t>
            </w:r>
            <w:r w:rsidR="00E03C99" w:rsidRPr="00B12A3B">
              <w:t>(</w:t>
            </w:r>
            <w:r w:rsidRPr="00B12A3B">
              <w:t>see ‘assessable income’</w:t>
            </w:r>
            <w:r w:rsidR="00E03C99" w:rsidRPr="00B12A3B">
              <w:t>)</w:t>
            </w:r>
            <w:r w:rsidRPr="00B12A3B">
              <w:t>.</w:t>
            </w:r>
          </w:p>
        </w:tc>
      </w:tr>
      <w:tr w:rsidR="00A35488" w:rsidRPr="002576C5">
        <w:tc>
          <w:tcPr>
            <w:tcW w:w="2410" w:type="dxa"/>
          </w:tcPr>
          <w:p w:rsidR="00A35488" w:rsidRPr="002576C5" w:rsidRDefault="00A35488" w:rsidP="00DD2E7E">
            <w:pPr>
              <w:pStyle w:val="TableBodyText"/>
              <w:spacing w:before="120" w:after="120"/>
              <w:jc w:val="left"/>
            </w:pPr>
            <w:r w:rsidRPr="002576C5">
              <w:rPr>
                <w:b/>
              </w:rPr>
              <w:lastRenderedPageBreak/>
              <w:t>Maintenance costs</w:t>
            </w:r>
          </w:p>
        </w:tc>
        <w:tc>
          <w:tcPr>
            <w:tcW w:w="6379" w:type="dxa"/>
          </w:tcPr>
          <w:p w:rsidR="00A35488" w:rsidRPr="002576C5" w:rsidRDefault="00A35488" w:rsidP="00DD2E7E">
            <w:pPr>
              <w:pStyle w:val="TableBodyText"/>
              <w:spacing w:before="120" w:after="120"/>
              <w:jc w:val="both"/>
            </w:pPr>
            <w:r w:rsidRPr="002576C5">
              <w:t>Costs incurred to maintain the value of the asset or to restore an asset to its original condition. The definition includes day–to–day maintenance reflecting general wear and tear, cyclical maintenance, performed as part of a planned maintenance program and other maintenance, such as repairs as a result of vandalism.</w:t>
            </w:r>
          </w:p>
        </w:tc>
      </w:tr>
      <w:tr w:rsidR="00A35488" w:rsidRPr="002576C5" w:rsidTr="0033431F">
        <w:tc>
          <w:tcPr>
            <w:tcW w:w="2410" w:type="dxa"/>
          </w:tcPr>
          <w:p w:rsidR="00A35488" w:rsidRPr="002576C5" w:rsidRDefault="00A35488" w:rsidP="00DD2E7E">
            <w:pPr>
              <w:pStyle w:val="TableBodyText"/>
              <w:spacing w:before="120" w:after="120"/>
              <w:jc w:val="left"/>
            </w:pPr>
            <w:r w:rsidRPr="002576C5">
              <w:rPr>
                <w:b/>
              </w:rPr>
              <w:t>Market rent</w:t>
            </w:r>
          </w:p>
        </w:tc>
        <w:tc>
          <w:tcPr>
            <w:tcW w:w="6379" w:type="dxa"/>
          </w:tcPr>
          <w:p w:rsidR="00A35488" w:rsidRPr="002576C5" w:rsidRDefault="00A35488" w:rsidP="00DD2E7E">
            <w:pPr>
              <w:pStyle w:val="TableBodyText"/>
              <w:spacing w:before="120" w:after="120"/>
              <w:jc w:val="both"/>
            </w:pPr>
            <w:r w:rsidRPr="002576C5">
              <w:t>Aggregate market rent that would be collected if the public rental housing properties were available in the private market.</w:t>
            </w:r>
          </w:p>
        </w:tc>
      </w:tr>
      <w:tr w:rsidR="00A35488" w:rsidRPr="002576C5" w:rsidTr="0033431F">
        <w:tc>
          <w:tcPr>
            <w:tcW w:w="2410" w:type="dxa"/>
          </w:tcPr>
          <w:p w:rsidR="00A35488" w:rsidRPr="002576C5" w:rsidRDefault="00A35488" w:rsidP="00DD2E7E">
            <w:pPr>
              <w:pStyle w:val="TableBodyText"/>
              <w:spacing w:before="120" w:after="120"/>
              <w:jc w:val="left"/>
            </w:pPr>
            <w:r w:rsidRPr="002576C5">
              <w:rPr>
                <w:rFonts w:ascii="Times New Roman" w:hAnsi="Times New Roman"/>
              </w:rPr>
              <w:br w:type="page"/>
            </w:r>
            <w:r w:rsidRPr="002576C5">
              <w:rPr>
                <w:b/>
              </w:rPr>
              <w:t>New household</w:t>
            </w:r>
          </w:p>
        </w:tc>
        <w:tc>
          <w:tcPr>
            <w:tcW w:w="6379" w:type="dxa"/>
          </w:tcPr>
          <w:p w:rsidR="00A35488" w:rsidRPr="002576C5" w:rsidRDefault="00A35488" w:rsidP="00DD2E7E">
            <w:pPr>
              <w:pStyle w:val="TableBodyText"/>
              <w:spacing w:before="120" w:after="120"/>
              <w:jc w:val="both"/>
            </w:pPr>
            <w:r w:rsidRPr="002576C5">
              <w:t>Households that commence receiving assistance during the relevant reporting period (financial year). A new household is recorded if the composition of the household changes i.e. if someone enters or leaves the household.</w:t>
            </w:r>
          </w:p>
        </w:tc>
      </w:tr>
      <w:tr w:rsidR="00A35488" w:rsidRPr="002576C5">
        <w:tc>
          <w:tcPr>
            <w:tcW w:w="2410" w:type="dxa"/>
          </w:tcPr>
          <w:p w:rsidR="00A35488" w:rsidRPr="002576C5" w:rsidRDefault="00A35488" w:rsidP="00DD2E7E">
            <w:pPr>
              <w:pStyle w:val="TableBodyText"/>
              <w:spacing w:before="120" w:after="120"/>
              <w:jc w:val="left"/>
            </w:pPr>
            <w:r w:rsidRPr="002576C5">
              <w:rPr>
                <w:rFonts w:ascii="Times New Roman" w:hAnsi="Times New Roman"/>
              </w:rPr>
              <w:br w:type="page"/>
            </w:r>
            <w:r w:rsidRPr="002576C5">
              <w:rPr>
                <w:b/>
              </w:rPr>
              <w:t>Occupancy rate</w:t>
            </w:r>
          </w:p>
        </w:tc>
        <w:tc>
          <w:tcPr>
            <w:tcW w:w="6379" w:type="dxa"/>
          </w:tcPr>
          <w:p w:rsidR="00A35488" w:rsidRPr="002576C5" w:rsidRDefault="00A35488" w:rsidP="00DD2E7E">
            <w:pPr>
              <w:pStyle w:val="TableBodyText"/>
              <w:spacing w:before="120" w:after="120"/>
              <w:jc w:val="both"/>
            </w:pPr>
            <w:r w:rsidRPr="002576C5">
              <w:t>The number of dwellings occupied as a proportion of total dwellings.</w:t>
            </w:r>
          </w:p>
        </w:tc>
      </w:tr>
      <w:tr w:rsidR="00A35488" w:rsidRPr="002576C5">
        <w:tc>
          <w:tcPr>
            <w:tcW w:w="2410" w:type="dxa"/>
          </w:tcPr>
          <w:p w:rsidR="00A35488" w:rsidRPr="002576C5" w:rsidRDefault="00A35488" w:rsidP="00DD2E7E">
            <w:pPr>
              <w:pStyle w:val="TableBodyText"/>
              <w:spacing w:before="120" w:after="120"/>
              <w:jc w:val="left"/>
            </w:pPr>
            <w:r w:rsidRPr="002576C5">
              <w:rPr>
                <w:b/>
              </w:rPr>
              <w:t>Occupied dwelling</w:t>
            </w:r>
          </w:p>
        </w:tc>
        <w:tc>
          <w:tcPr>
            <w:tcW w:w="6379" w:type="dxa"/>
          </w:tcPr>
          <w:p w:rsidR="00A35488" w:rsidRPr="002576C5" w:rsidRDefault="00A35488" w:rsidP="00DD2E7E">
            <w:pPr>
              <w:pStyle w:val="TableBodyText"/>
              <w:spacing w:before="120" w:after="120"/>
              <w:jc w:val="both"/>
            </w:pPr>
            <w:r w:rsidRPr="002576C5">
              <w:t>Dwellings occupied by tenants who have a tenancy agreement with the relevant housing authority.</w:t>
            </w:r>
          </w:p>
        </w:tc>
      </w:tr>
      <w:tr w:rsidR="00A35488" w:rsidRPr="002576C5">
        <w:tc>
          <w:tcPr>
            <w:tcW w:w="2410" w:type="dxa"/>
          </w:tcPr>
          <w:p w:rsidR="00A35488" w:rsidRPr="002576C5" w:rsidRDefault="00A35488" w:rsidP="00DD2E7E">
            <w:pPr>
              <w:pStyle w:val="TableBodyText"/>
              <w:spacing w:before="120" w:after="120"/>
              <w:jc w:val="left"/>
            </w:pPr>
            <w:r w:rsidRPr="002576C5">
              <w:br w:type="page"/>
            </w:r>
            <w:r w:rsidRPr="002576C5">
              <w:rPr>
                <w:b/>
              </w:rPr>
              <w:t>Overcrowding</w:t>
            </w:r>
          </w:p>
        </w:tc>
        <w:tc>
          <w:tcPr>
            <w:tcW w:w="6379" w:type="dxa"/>
          </w:tcPr>
          <w:p w:rsidR="00A35488" w:rsidRPr="002576C5" w:rsidRDefault="00A35488" w:rsidP="00DD2E7E">
            <w:pPr>
              <w:pStyle w:val="TableBodyText"/>
              <w:spacing w:before="120" w:after="120"/>
              <w:jc w:val="both"/>
            </w:pPr>
            <w:r w:rsidRPr="002576C5">
              <w:rPr>
                <w:rFonts w:cs="Arial"/>
              </w:rPr>
              <w:t>A situation in a dwelling when one or more additional bedrooms are required to meet the Canadian National Occupancy Standard.</w:t>
            </w:r>
          </w:p>
        </w:tc>
      </w:tr>
      <w:tr w:rsidR="00A35488" w:rsidRPr="002576C5">
        <w:tc>
          <w:tcPr>
            <w:tcW w:w="2410" w:type="dxa"/>
          </w:tcPr>
          <w:p w:rsidR="00A35488" w:rsidRPr="002576C5" w:rsidRDefault="00A35488" w:rsidP="00DD2E7E">
            <w:pPr>
              <w:pStyle w:val="TableBodyText"/>
              <w:spacing w:before="120" w:after="120"/>
              <w:jc w:val="left"/>
            </w:pPr>
            <w:r w:rsidRPr="002576C5">
              <w:rPr>
                <w:b/>
              </w:rPr>
              <w:t>Priority access to those in greatest need</w:t>
            </w:r>
          </w:p>
        </w:tc>
        <w:tc>
          <w:tcPr>
            <w:tcW w:w="6379" w:type="dxa"/>
          </w:tcPr>
          <w:p w:rsidR="00A35488" w:rsidRPr="002576C5" w:rsidRDefault="00A35488" w:rsidP="00DD2E7E">
            <w:pPr>
              <w:pStyle w:val="TableBodyText"/>
              <w:spacing w:before="120" w:after="120"/>
              <w:jc w:val="both"/>
            </w:pPr>
            <w:r w:rsidRPr="002576C5">
              <w:t>Allocation processes to ensure those in greatest need have first access to housing. This is measured as the proportion of new allocations to those in greatest need.</w:t>
            </w:r>
          </w:p>
        </w:tc>
      </w:tr>
      <w:tr w:rsidR="00A35488" w:rsidRPr="002576C5">
        <w:tc>
          <w:tcPr>
            <w:tcW w:w="2410" w:type="dxa"/>
          </w:tcPr>
          <w:p w:rsidR="00A35488" w:rsidRPr="002576C5" w:rsidRDefault="00A35488" w:rsidP="00DD2E7E">
            <w:pPr>
              <w:pStyle w:val="TableBodyText"/>
              <w:spacing w:before="120" w:after="120"/>
              <w:jc w:val="left"/>
            </w:pPr>
            <w:r w:rsidRPr="002576C5">
              <w:rPr>
                <w:b/>
              </w:rPr>
              <w:t>Principal tenant</w:t>
            </w:r>
          </w:p>
        </w:tc>
        <w:tc>
          <w:tcPr>
            <w:tcW w:w="6379" w:type="dxa"/>
          </w:tcPr>
          <w:p w:rsidR="00A35488" w:rsidRPr="002576C5" w:rsidRDefault="00A35488" w:rsidP="00DD2E7E">
            <w:pPr>
              <w:pStyle w:val="TableBodyText"/>
              <w:spacing w:before="120" w:after="120"/>
              <w:jc w:val="both"/>
            </w:pPr>
            <w:r w:rsidRPr="002576C5">
              <w:t>The person whose name appears on the tenancy agreement. Where this is not clear, it should be the person who is responsible for rental payments.</w:t>
            </w:r>
          </w:p>
        </w:tc>
      </w:tr>
      <w:tr w:rsidR="00A35488" w:rsidRPr="002576C5">
        <w:tc>
          <w:tcPr>
            <w:tcW w:w="2410" w:type="dxa"/>
          </w:tcPr>
          <w:p w:rsidR="00A35488" w:rsidRPr="002576C5" w:rsidRDefault="00A35488" w:rsidP="00DD2E7E">
            <w:pPr>
              <w:pStyle w:val="TableBodyText"/>
              <w:spacing w:before="120" w:after="120"/>
              <w:jc w:val="left"/>
              <w:rPr>
                <w:b/>
              </w:rPr>
            </w:pPr>
            <w:r w:rsidRPr="002576C5">
              <w:rPr>
                <w:b/>
              </w:rPr>
              <w:t>Rebated household</w:t>
            </w:r>
          </w:p>
        </w:tc>
        <w:tc>
          <w:tcPr>
            <w:tcW w:w="6379" w:type="dxa"/>
          </w:tcPr>
          <w:p w:rsidR="00A35488" w:rsidRPr="002576C5" w:rsidRDefault="00A35488" w:rsidP="00DD2E7E">
            <w:pPr>
              <w:pStyle w:val="TableBodyText"/>
              <w:spacing w:before="120" w:after="120"/>
              <w:jc w:val="both"/>
            </w:pPr>
            <w:r w:rsidRPr="002576C5">
              <w:t>A household that receives housing assistance and pays less than the market rent value for the dwelling.</w:t>
            </w:r>
          </w:p>
        </w:tc>
      </w:tr>
      <w:tr w:rsidR="00A35488" w:rsidRPr="002576C5">
        <w:tc>
          <w:tcPr>
            <w:tcW w:w="2410" w:type="dxa"/>
          </w:tcPr>
          <w:p w:rsidR="00A35488" w:rsidRPr="002576C5" w:rsidRDefault="00A35488" w:rsidP="00DD2E7E">
            <w:pPr>
              <w:pStyle w:val="TableBodyText"/>
              <w:spacing w:before="120" w:after="120"/>
              <w:jc w:val="left"/>
              <w:rPr>
                <w:b/>
              </w:rPr>
            </w:pPr>
            <w:r w:rsidRPr="002576C5">
              <w:rPr>
                <w:b/>
              </w:rPr>
              <w:t>Remoteness areas</w:t>
            </w:r>
          </w:p>
        </w:tc>
        <w:tc>
          <w:tcPr>
            <w:tcW w:w="6379" w:type="dxa"/>
          </w:tcPr>
          <w:p w:rsidR="00A35488" w:rsidRPr="002576C5" w:rsidRDefault="00A35488" w:rsidP="00DD2E7E">
            <w:pPr>
              <w:pStyle w:val="TableBodyText"/>
              <w:spacing w:before="120" w:after="120"/>
              <w:jc w:val="both"/>
            </w:pPr>
            <w:r w:rsidRPr="002576C5">
              <w:t>An aggregation of non</w:t>
            </w:r>
            <w:r>
              <w:noBreakHyphen/>
            </w:r>
            <w:r w:rsidRPr="002576C5">
              <w:t xml:space="preserve">continuous geographical areas which share common characteristics of remoteness. The delimitation criteria for remoteness areas (RAs) are based on the Accessibility/Remoteness Index </w:t>
            </w:r>
            <w:r w:rsidR="00021400">
              <w:t>f</w:t>
            </w:r>
            <w:r w:rsidRPr="002576C5">
              <w:t>or Australia (ARIA+) which measures the remoteness of a point based on the road distance to the nearest urban centre. Within the Australian Statistical Geography Standard, each RA is created from a grouping of Statistical Areas Level 1 having a particular degree of remoteness.</w:t>
            </w:r>
          </w:p>
          <w:p w:rsidR="00A35488" w:rsidRPr="002576C5" w:rsidRDefault="00A35488" w:rsidP="00DD2E7E">
            <w:pPr>
              <w:pStyle w:val="TableBodyText"/>
              <w:spacing w:before="120" w:after="120"/>
              <w:jc w:val="both"/>
            </w:pPr>
            <w:r w:rsidRPr="002576C5">
              <w:t>Remoteness areas comprise the following six categories:</w:t>
            </w:r>
          </w:p>
          <w:p w:rsidR="00A35488" w:rsidRPr="002576C5" w:rsidRDefault="00E246E3" w:rsidP="00E246E3">
            <w:pPr>
              <w:pStyle w:val="TableBullet"/>
              <w:numPr>
                <w:ilvl w:val="0"/>
                <w:numId w:val="28"/>
              </w:numPr>
              <w:spacing w:before="100" w:after="60" w:line="160" w:lineRule="atLeast"/>
              <w:ind w:left="284" w:hanging="284"/>
              <w:jc w:val="both"/>
            </w:pPr>
            <w:r>
              <w:t>major cities of Australia</w:t>
            </w:r>
          </w:p>
          <w:p w:rsidR="00A35488" w:rsidRPr="002576C5" w:rsidRDefault="00E246E3" w:rsidP="00E246E3">
            <w:pPr>
              <w:pStyle w:val="TableBullet"/>
              <w:numPr>
                <w:ilvl w:val="0"/>
                <w:numId w:val="28"/>
              </w:numPr>
              <w:spacing w:before="100" w:after="60" w:line="160" w:lineRule="atLeast"/>
              <w:ind w:left="284" w:hanging="284"/>
              <w:jc w:val="both"/>
            </w:pPr>
            <w:r>
              <w:t>inner regional Australia</w:t>
            </w:r>
          </w:p>
          <w:p w:rsidR="00A35488" w:rsidRPr="002576C5" w:rsidRDefault="00A35488" w:rsidP="00E246E3">
            <w:pPr>
              <w:pStyle w:val="TableBullet"/>
              <w:numPr>
                <w:ilvl w:val="0"/>
                <w:numId w:val="28"/>
              </w:numPr>
              <w:spacing w:before="100" w:after="60" w:line="160" w:lineRule="atLeast"/>
              <w:ind w:left="284" w:hanging="284"/>
              <w:jc w:val="both"/>
            </w:pPr>
            <w:r w:rsidRPr="002576C5">
              <w:t>outer regional Austra</w:t>
            </w:r>
            <w:r w:rsidR="00E246E3">
              <w:t>lia</w:t>
            </w:r>
          </w:p>
          <w:p w:rsidR="00A35488" w:rsidRPr="002576C5" w:rsidRDefault="00E246E3" w:rsidP="00E246E3">
            <w:pPr>
              <w:pStyle w:val="TableBullet"/>
              <w:numPr>
                <w:ilvl w:val="0"/>
                <w:numId w:val="28"/>
              </w:numPr>
              <w:spacing w:before="100" w:after="60" w:line="160" w:lineRule="atLeast"/>
              <w:ind w:left="284" w:hanging="284"/>
              <w:jc w:val="both"/>
            </w:pPr>
            <w:r>
              <w:t>remote Australia</w:t>
            </w:r>
          </w:p>
          <w:p w:rsidR="00E246E3" w:rsidRPr="00E246E3" w:rsidRDefault="00E246E3" w:rsidP="00E246E3">
            <w:pPr>
              <w:pStyle w:val="TableBullet"/>
              <w:numPr>
                <w:ilvl w:val="0"/>
                <w:numId w:val="28"/>
              </w:numPr>
              <w:spacing w:before="100" w:after="60" w:line="160" w:lineRule="atLeast"/>
              <w:ind w:left="284" w:hanging="284"/>
              <w:jc w:val="both"/>
              <w:rPr>
                <w:szCs w:val="24"/>
              </w:rPr>
            </w:pPr>
            <w:r>
              <w:t>very remote Australia</w:t>
            </w:r>
          </w:p>
          <w:p w:rsidR="00A35488" w:rsidRPr="002576C5" w:rsidRDefault="00A35488" w:rsidP="00E246E3">
            <w:pPr>
              <w:pStyle w:val="TableBullet"/>
              <w:numPr>
                <w:ilvl w:val="0"/>
                <w:numId w:val="28"/>
              </w:numPr>
              <w:spacing w:before="100" w:after="0" w:line="160" w:lineRule="atLeast"/>
              <w:ind w:left="284" w:hanging="284"/>
              <w:jc w:val="both"/>
              <w:rPr>
                <w:szCs w:val="24"/>
              </w:rPr>
            </w:pPr>
            <w:r w:rsidRPr="002576C5">
              <w:t xml:space="preserve">migratory — </w:t>
            </w:r>
            <w:proofErr w:type="spellStart"/>
            <w:r w:rsidRPr="002576C5">
              <w:t>off</w:t>
            </w:r>
            <w:r>
              <w:noBreakHyphen/>
            </w:r>
            <w:r w:rsidRPr="002576C5">
              <w:t>shore</w:t>
            </w:r>
            <w:proofErr w:type="spellEnd"/>
            <w:r w:rsidRPr="002576C5">
              <w:t xml:space="preserve"> — shipping.</w:t>
            </w:r>
          </w:p>
        </w:tc>
      </w:tr>
      <w:tr w:rsidR="00A35488" w:rsidRPr="002576C5">
        <w:tc>
          <w:tcPr>
            <w:tcW w:w="2410" w:type="dxa"/>
          </w:tcPr>
          <w:p w:rsidR="00A35488" w:rsidRPr="002576C5" w:rsidRDefault="00A35488" w:rsidP="00DD2E7E">
            <w:pPr>
              <w:pStyle w:val="TableBodyText"/>
              <w:spacing w:before="120" w:after="120"/>
              <w:jc w:val="left"/>
            </w:pPr>
            <w:r w:rsidRPr="002576C5">
              <w:rPr>
                <w:b/>
              </w:rPr>
              <w:lastRenderedPageBreak/>
              <w:t>Rent charged</w:t>
            </w:r>
          </w:p>
        </w:tc>
        <w:tc>
          <w:tcPr>
            <w:tcW w:w="6379" w:type="dxa"/>
          </w:tcPr>
          <w:p w:rsidR="00A35488" w:rsidRPr="002576C5" w:rsidRDefault="00A35488" w:rsidP="00DD2E7E">
            <w:pPr>
              <w:pStyle w:val="TableBodyText"/>
              <w:spacing w:before="120" w:after="120"/>
              <w:jc w:val="both"/>
            </w:pPr>
            <w:r w:rsidRPr="002576C5">
              <w:t>The amount in dollars that households are charged based on the rents they are expected to pay. The rents charged to tenants may or may not have been received.</w:t>
            </w:r>
          </w:p>
        </w:tc>
      </w:tr>
      <w:tr w:rsidR="00A35488" w:rsidRPr="002576C5">
        <w:tc>
          <w:tcPr>
            <w:tcW w:w="2410" w:type="dxa"/>
          </w:tcPr>
          <w:p w:rsidR="00A35488" w:rsidRPr="002576C5" w:rsidRDefault="00A35488" w:rsidP="00DD2E7E">
            <w:pPr>
              <w:pStyle w:val="TableBodyText"/>
              <w:spacing w:before="120" w:after="120"/>
              <w:jc w:val="left"/>
              <w:rPr>
                <w:snapToGrid w:val="0"/>
                <w:lang w:val="en-US"/>
              </w:rPr>
            </w:pPr>
            <w:r w:rsidRPr="002576C5">
              <w:rPr>
                <w:b/>
              </w:rPr>
              <w:t>Tenancy (rental) unit</w:t>
            </w:r>
          </w:p>
        </w:tc>
        <w:tc>
          <w:tcPr>
            <w:tcW w:w="6379" w:type="dxa"/>
          </w:tcPr>
          <w:p w:rsidR="00A35488" w:rsidRPr="002576C5" w:rsidRDefault="00A35488" w:rsidP="00DD2E7E">
            <w:pPr>
              <w:pStyle w:val="TableBodyText"/>
              <w:spacing w:before="120" w:after="120"/>
              <w:jc w:val="both"/>
              <w:rPr>
                <w:snapToGrid w:val="0"/>
                <w:lang w:val="en-US"/>
              </w:rPr>
            </w:pPr>
            <w:r w:rsidRPr="002576C5">
              <w:t>A tenancy (rental) unit is the unit of accommodation for which a rental agreement can be made. In the majority of cases, there will be only one tenancy (rental) unit within a dwelling; in a small number of cases (for example, boarding houses, special group homes, semi–institutional dwellings), there may be more than one tenancy (rental) unit.</w:t>
            </w:r>
          </w:p>
        </w:tc>
      </w:tr>
      <w:tr w:rsidR="00A35488" w:rsidRPr="002576C5">
        <w:tc>
          <w:tcPr>
            <w:tcW w:w="2410" w:type="dxa"/>
          </w:tcPr>
          <w:p w:rsidR="00A35488" w:rsidRPr="002576C5" w:rsidRDefault="00A35488" w:rsidP="00DD2E7E">
            <w:pPr>
              <w:pStyle w:val="TableBodyText"/>
              <w:spacing w:before="120" w:after="120"/>
              <w:jc w:val="left"/>
            </w:pPr>
            <w:r w:rsidRPr="002576C5">
              <w:rPr>
                <w:b/>
              </w:rPr>
              <w:t>Tenantable dwelling</w:t>
            </w:r>
          </w:p>
        </w:tc>
        <w:tc>
          <w:tcPr>
            <w:tcW w:w="6379" w:type="dxa"/>
          </w:tcPr>
          <w:p w:rsidR="00A35488" w:rsidRPr="002576C5" w:rsidRDefault="00A35488" w:rsidP="00DD2E7E">
            <w:pPr>
              <w:pStyle w:val="TableBodyText"/>
              <w:spacing w:before="120" w:after="120"/>
              <w:jc w:val="both"/>
            </w:pPr>
            <w:r w:rsidRPr="002576C5">
              <w:t>A dwelling where maintenance has been completed, whether occupied or unoccupied at 30 June. All occupied dwellings are tenantable.</w:t>
            </w:r>
          </w:p>
        </w:tc>
      </w:tr>
      <w:tr w:rsidR="00A35488" w:rsidRPr="002576C5" w:rsidTr="0033431F">
        <w:tc>
          <w:tcPr>
            <w:tcW w:w="2410" w:type="dxa"/>
          </w:tcPr>
          <w:p w:rsidR="00A35488" w:rsidRPr="002576C5" w:rsidRDefault="00A35488" w:rsidP="00DD2E7E">
            <w:pPr>
              <w:pStyle w:val="TableBodyText"/>
              <w:spacing w:before="120" w:after="120"/>
              <w:jc w:val="left"/>
            </w:pPr>
            <w:r w:rsidRPr="002576C5">
              <w:rPr>
                <w:b/>
              </w:rPr>
              <w:t>Total gross household income</w:t>
            </w:r>
          </w:p>
        </w:tc>
        <w:tc>
          <w:tcPr>
            <w:tcW w:w="6379" w:type="dxa"/>
          </w:tcPr>
          <w:p w:rsidR="00A35488" w:rsidRPr="002576C5" w:rsidRDefault="00A35488" w:rsidP="00DD2E7E">
            <w:pPr>
              <w:pStyle w:val="TableBodyText"/>
              <w:spacing w:before="120" w:after="120"/>
              <w:jc w:val="both"/>
            </w:pPr>
            <w:r w:rsidRPr="002576C5">
              <w:t xml:space="preserve">The value of gross weekly income from all sources (before deductions for income tax, superannuation etc.) for all household members, expressed as dollars per week. The main components of gross income are current usual wages and salary; income derived from self–employment, government pensions, benefits and allowances; and other income comprising investments and other regular income. </w:t>
            </w:r>
            <w:proofErr w:type="spellStart"/>
            <w:r w:rsidRPr="002576C5">
              <w:t>CRA</w:t>
            </w:r>
            <w:proofErr w:type="spellEnd"/>
            <w:r w:rsidRPr="002576C5">
              <w:t xml:space="preserve"> payments are not included as income.</w:t>
            </w:r>
          </w:p>
        </w:tc>
      </w:tr>
      <w:tr w:rsidR="00A35488" w:rsidRPr="002576C5" w:rsidTr="0033431F">
        <w:tc>
          <w:tcPr>
            <w:tcW w:w="2410" w:type="dxa"/>
          </w:tcPr>
          <w:p w:rsidR="00A35488" w:rsidRPr="002576C5" w:rsidRDefault="00A35488" w:rsidP="00DD2E7E">
            <w:pPr>
              <w:pStyle w:val="TableBodyText"/>
              <w:spacing w:before="120" w:after="120"/>
              <w:jc w:val="left"/>
            </w:pPr>
            <w:r w:rsidRPr="002576C5">
              <w:rPr>
                <w:b/>
              </w:rPr>
              <w:t>Transfer household</w:t>
            </w:r>
          </w:p>
        </w:tc>
        <w:tc>
          <w:tcPr>
            <w:tcW w:w="6379" w:type="dxa"/>
          </w:tcPr>
          <w:p w:rsidR="00A35488" w:rsidRPr="002576C5" w:rsidRDefault="00A35488" w:rsidP="00DD2E7E">
            <w:pPr>
              <w:pStyle w:val="TableBodyText"/>
              <w:spacing w:before="120" w:after="120"/>
              <w:jc w:val="both"/>
            </w:pPr>
            <w:r w:rsidRPr="002576C5">
              <w:t>A household, either rebated or market renting, that relocates (transfers) from one dwelling to another within the same social housing program. In the community housing data collection, a transfer household is a household that transfers within a single community housing organisation’s portfolio (not across the sector). This leads to under</w:t>
            </w:r>
            <w:r>
              <w:noBreakHyphen/>
            </w:r>
            <w:r w:rsidRPr="002576C5">
              <w:t>reporting of transfers.</w:t>
            </w:r>
          </w:p>
        </w:tc>
      </w:tr>
      <w:tr w:rsidR="00A35488" w:rsidRPr="002576C5" w:rsidTr="0033431F">
        <w:tc>
          <w:tcPr>
            <w:tcW w:w="2410" w:type="dxa"/>
          </w:tcPr>
          <w:p w:rsidR="00A35488" w:rsidRPr="002576C5" w:rsidRDefault="00A35488" w:rsidP="00DD2E7E">
            <w:pPr>
              <w:pStyle w:val="TableBodyText"/>
              <w:spacing w:before="120" w:after="120"/>
              <w:jc w:val="left"/>
            </w:pPr>
            <w:r w:rsidRPr="002576C5">
              <w:rPr>
                <w:b/>
              </w:rPr>
              <w:t>Turnaround time</w:t>
            </w:r>
          </w:p>
        </w:tc>
        <w:tc>
          <w:tcPr>
            <w:tcW w:w="6379" w:type="dxa"/>
          </w:tcPr>
          <w:p w:rsidR="00A35488" w:rsidRPr="002576C5" w:rsidRDefault="00A35488" w:rsidP="00DD2E7E">
            <w:pPr>
              <w:pStyle w:val="TableBodyText"/>
              <w:spacing w:before="120" w:after="120"/>
              <w:jc w:val="both"/>
            </w:pPr>
            <w:r w:rsidRPr="002576C5">
              <w:t>The average time taken in days for vacant dwellings, which are available for letting, to be occupied.</w:t>
            </w:r>
          </w:p>
        </w:tc>
      </w:tr>
      <w:tr w:rsidR="00A35488" w:rsidRPr="002576C5" w:rsidTr="0033431F">
        <w:tc>
          <w:tcPr>
            <w:tcW w:w="2410" w:type="dxa"/>
          </w:tcPr>
          <w:p w:rsidR="00A35488" w:rsidRPr="002576C5" w:rsidRDefault="00A35488" w:rsidP="00DD2E7E">
            <w:pPr>
              <w:pStyle w:val="TableBodyText"/>
              <w:spacing w:before="120" w:after="120"/>
              <w:jc w:val="left"/>
            </w:pPr>
            <w:r w:rsidRPr="002576C5">
              <w:rPr>
                <w:b/>
              </w:rPr>
              <w:t>Underutilisation</w:t>
            </w:r>
          </w:p>
        </w:tc>
        <w:tc>
          <w:tcPr>
            <w:tcW w:w="6379" w:type="dxa"/>
          </w:tcPr>
          <w:p w:rsidR="00A35488" w:rsidRPr="002576C5" w:rsidRDefault="00A35488" w:rsidP="00DD2E7E">
            <w:pPr>
              <w:pStyle w:val="TableBodyText"/>
              <w:spacing w:before="120" w:after="120"/>
              <w:jc w:val="both"/>
              <w:rPr>
                <w:rStyle w:val="DraftingNote"/>
                <w:b w:val="0"/>
                <w:color w:val="auto"/>
                <w:sz w:val="20"/>
                <w:u w:val="none"/>
              </w:rPr>
            </w:pPr>
            <w:r w:rsidRPr="002576C5">
              <w:t>A situation where a dwelling contains two or more bedrooms surplus to the needs of the household occupying it, according to the Canadian National Occupancy Standard.</w:t>
            </w:r>
          </w:p>
        </w:tc>
      </w:tr>
      <w:tr w:rsidR="00A35488" w:rsidRPr="002576C5">
        <w:tc>
          <w:tcPr>
            <w:tcW w:w="2410" w:type="dxa"/>
          </w:tcPr>
          <w:p w:rsidR="00A35488" w:rsidRPr="002576C5" w:rsidRDefault="00A35488" w:rsidP="00DD2E7E">
            <w:pPr>
              <w:pStyle w:val="TableBodyText"/>
              <w:spacing w:before="120" w:after="120"/>
              <w:jc w:val="left"/>
            </w:pPr>
            <w:proofErr w:type="spellStart"/>
            <w:r w:rsidRPr="002576C5">
              <w:rPr>
                <w:b/>
              </w:rPr>
              <w:t>Untenantable</w:t>
            </w:r>
            <w:proofErr w:type="spellEnd"/>
            <w:r w:rsidRPr="002576C5">
              <w:rPr>
                <w:b/>
              </w:rPr>
              <w:t xml:space="preserve"> dwelling</w:t>
            </w:r>
          </w:p>
        </w:tc>
        <w:tc>
          <w:tcPr>
            <w:tcW w:w="6379" w:type="dxa"/>
          </w:tcPr>
          <w:p w:rsidR="00A35488" w:rsidRPr="002576C5" w:rsidRDefault="00A35488" w:rsidP="00DD2E7E">
            <w:pPr>
              <w:pStyle w:val="TableBodyText"/>
              <w:spacing w:before="120" w:after="120"/>
              <w:jc w:val="both"/>
            </w:pPr>
            <w:r w:rsidRPr="002576C5">
              <w:t>A dwelling not currently occupied by a tenant, where maintenance has been either deferred or not completed at 30 June.</w:t>
            </w:r>
          </w:p>
        </w:tc>
      </w:tr>
    </w:tbl>
    <w:p w:rsidR="006131F2" w:rsidRPr="00430FB3" w:rsidRDefault="006131F2" w:rsidP="000A0716">
      <w:pPr>
        <w:pStyle w:val="Heading2"/>
        <w:spacing w:before="120"/>
      </w:pPr>
    </w:p>
    <w:p w:rsidR="002D1CAE" w:rsidRPr="008F2728" w:rsidRDefault="00040F38" w:rsidP="000B66EF">
      <w:pPr>
        <w:pStyle w:val="Heading2"/>
      </w:pPr>
      <w:bookmarkStart w:id="22" w:name="_Toc314211354"/>
      <w:bookmarkStart w:id="23" w:name="_Toc396143037"/>
      <w:bookmarkStart w:id="24" w:name="_Toc459884659"/>
      <w:r>
        <w:t>18.</w:t>
      </w:r>
      <w:r w:rsidR="00892185">
        <w:rPr>
          <w:noProof/>
        </w:rPr>
        <w:t>5</w:t>
      </w:r>
      <w:r>
        <w:tab/>
      </w:r>
      <w:r w:rsidR="002D1CAE" w:rsidRPr="000B66EF">
        <w:t>References</w:t>
      </w:r>
      <w:bookmarkEnd w:id="22"/>
      <w:bookmarkEnd w:id="23"/>
      <w:bookmarkEnd w:id="24"/>
    </w:p>
    <w:p w:rsidR="0058332F" w:rsidRDefault="0058332F" w:rsidP="000B66EF">
      <w:pPr>
        <w:pStyle w:val="Reference"/>
      </w:pPr>
      <w:proofErr w:type="spellStart"/>
      <w:r w:rsidRPr="0058332F">
        <w:t>AIHW</w:t>
      </w:r>
      <w:proofErr w:type="spellEnd"/>
      <w:r w:rsidRPr="0058332F">
        <w:t xml:space="preserve"> (</w:t>
      </w:r>
      <w:r>
        <w:t xml:space="preserve">Australian Institute of Health and Welfare) 2015, </w:t>
      </w:r>
      <w:r w:rsidRPr="00C36F3C">
        <w:rPr>
          <w:i/>
        </w:rPr>
        <w:t xml:space="preserve">Housing assistance in </w:t>
      </w:r>
      <w:r w:rsidRPr="000B66EF">
        <w:t>Australia</w:t>
      </w:r>
      <w:r>
        <w:t xml:space="preserve">, </w:t>
      </w:r>
      <w:r w:rsidR="00EB182B" w:rsidRPr="00C36F3C">
        <w:t>http://</w:t>
      </w:r>
      <w:proofErr w:type="spellStart"/>
      <w:r w:rsidR="00EB182B" w:rsidRPr="00C36F3C">
        <w:t>www.aihw.gov.au</w:t>
      </w:r>
      <w:proofErr w:type="spellEnd"/>
      <w:r w:rsidR="00EB182B" w:rsidRPr="00C36F3C">
        <w:t>/housing</w:t>
      </w:r>
      <w:r w:rsidR="007D1214">
        <w:noBreakHyphen/>
      </w:r>
      <w:r w:rsidR="00EB182B" w:rsidRPr="00C36F3C">
        <w:t>assistance/</w:t>
      </w:r>
      <w:proofErr w:type="spellStart"/>
      <w:r w:rsidR="00EB182B" w:rsidRPr="00C36F3C">
        <w:t>haa</w:t>
      </w:r>
      <w:proofErr w:type="spellEnd"/>
      <w:r w:rsidR="00EB182B" w:rsidRPr="00C36F3C">
        <w:t>/2015/</w:t>
      </w:r>
    </w:p>
    <w:p w:rsidR="00EB182B" w:rsidRPr="0058332F" w:rsidRDefault="00EB182B" w:rsidP="00C36F3C">
      <w:pPr>
        <w:pStyle w:val="Reference"/>
        <w:jc w:val="left"/>
      </w:pPr>
      <w:r w:rsidRPr="00C36F3C">
        <w:t xml:space="preserve">—— </w:t>
      </w:r>
      <w:proofErr w:type="spellStart"/>
      <w:r w:rsidRPr="00C36F3C">
        <w:t>2015b</w:t>
      </w:r>
      <w:proofErr w:type="spellEnd"/>
      <w:r w:rsidRPr="00C36F3C">
        <w:t xml:space="preserve">, </w:t>
      </w:r>
      <w:r w:rsidRPr="00C36F3C">
        <w:rPr>
          <w:i/>
        </w:rPr>
        <w:t>National Social Housing Surve</w:t>
      </w:r>
      <w:r w:rsidR="00C36F3C" w:rsidRPr="00C36F3C">
        <w:rPr>
          <w:i/>
        </w:rPr>
        <w:t>y</w:t>
      </w:r>
      <w:r w:rsidR="00C36F3C">
        <w:t xml:space="preserve">: detailed results 2014. Cat. no. </w:t>
      </w:r>
      <w:proofErr w:type="spellStart"/>
      <w:r w:rsidR="00C36F3C">
        <w:t>HOU</w:t>
      </w:r>
      <w:proofErr w:type="spellEnd"/>
      <w:r w:rsidR="007D1214">
        <w:noBreakHyphen/>
      </w:r>
      <w:r w:rsidR="00C36F3C">
        <w:t>278, Canberra</w:t>
      </w:r>
      <w:r w:rsidR="00FA189C">
        <w:t>.</w:t>
      </w:r>
    </w:p>
    <w:p w:rsidR="00316E68" w:rsidRDefault="00316E68" w:rsidP="00C36F3C">
      <w:pPr>
        <w:pStyle w:val="Reference"/>
        <w:jc w:val="left"/>
      </w:pPr>
      <w:r w:rsidRPr="00316E68">
        <w:t xml:space="preserve">Productivity Commission, 2010, ‘Appendix I: A case study of social housing’, </w:t>
      </w:r>
      <w:r w:rsidRPr="00316E68">
        <w:rPr>
          <w:i/>
        </w:rPr>
        <w:t>Contribution of the Not–for–Profit Sector</w:t>
      </w:r>
      <w:r w:rsidRPr="00316E68">
        <w:t>, Research Report, Canberra.</w:t>
      </w:r>
    </w:p>
    <w:p w:rsidR="002D1CAE" w:rsidRPr="00F13C00" w:rsidRDefault="002D1CAE" w:rsidP="00C36F3C">
      <w:pPr>
        <w:pStyle w:val="Reference"/>
        <w:jc w:val="left"/>
      </w:pPr>
      <w:r w:rsidRPr="00F13C00">
        <w:t xml:space="preserve">Yates, J. and Gabriel, M. 2006, </w:t>
      </w:r>
      <w:r w:rsidRPr="00F13C00">
        <w:rPr>
          <w:i/>
        </w:rPr>
        <w:t>Housing Affordability in Australia</w:t>
      </w:r>
      <w:r w:rsidR="00F44E27" w:rsidRPr="00F13C00">
        <w:t>, Research Paper No. </w:t>
      </w:r>
      <w:r w:rsidRPr="00F13C00">
        <w:t>3, Australian Housing and Urba</w:t>
      </w:r>
      <w:r w:rsidR="00A043C1" w:rsidRPr="00F13C00">
        <w:t>n Research Institute, Melbourne</w:t>
      </w:r>
      <w:r w:rsidR="00FA189C">
        <w:t>.</w:t>
      </w:r>
    </w:p>
    <w:p w:rsidR="000B66EF" w:rsidRDefault="002D1CAE" w:rsidP="000B66EF">
      <w:pPr>
        <w:pStyle w:val="Reference"/>
        <w:jc w:val="left"/>
      </w:pPr>
      <w:r w:rsidRPr="00F13C00">
        <w:t xml:space="preserve">Yates, J. and Milligan, V. 2007, </w:t>
      </w:r>
      <w:r w:rsidRPr="00F13C00">
        <w:rPr>
          <w:i/>
        </w:rPr>
        <w:t>Housing affordability: a 21st century problem</w:t>
      </w:r>
      <w:r w:rsidR="00F44E27" w:rsidRPr="00F13C00">
        <w:t>, Final Report No. </w:t>
      </w:r>
      <w:r w:rsidRPr="00F13C00">
        <w:t>105, Australian Housing and Urban Research Institute, Melbourne.</w:t>
      </w:r>
    </w:p>
    <w:sectPr w:rsidR="000B66EF" w:rsidSect="00E62304">
      <w:headerReference w:type="even" r:id="rId38"/>
      <w:headerReference w:type="default" r:id="rId39"/>
      <w:footerReference w:type="even" r:id="rId40"/>
      <w:footerReference w:type="default" r:id="rId41"/>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D02" w:rsidRDefault="00100D02">
      <w:r>
        <w:separator/>
      </w:r>
    </w:p>
  </w:endnote>
  <w:endnote w:type="continuationSeparator" w:id="0">
    <w:p w:rsidR="00100D02" w:rsidRDefault="0010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0D02" w:rsidTr="00AE5190">
      <w:trPr>
        <w:trHeight w:hRule="exact" w:val="567"/>
      </w:trPr>
      <w:tc>
        <w:tcPr>
          <w:tcW w:w="510" w:type="dxa"/>
        </w:tcPr>
        <w:p w:rsidR="00100D02" w:rsidRPr="00A24443" w:rsidRDefault="00100D02" w:rsidP="0019293B">
          <w:pPr>
            <w:pStyle w:val="Footer"/>
            <w:tabs>
              <w:tab w:val="left" w:pos="0"/>
            </w:tabs>
            <w:ind w:right="0"/>
            <w:rPr>
              <w:rStyle w:val="PageNumber"/>
              <w:caps w:val="0"/>
            </w:rPr>
          </w:pPr>
          <w:r>
            <w:rPr>
              <w:rStyle w:val="PageNumber"/>
              <w:caps w:val="0"/>
            </w:rPr>
            <w:t>18.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08B5">
            <w:rPr>
              <w:rStyle w:val="PageNumber"/>
              <w:caps w:val="0"/>
              <w:noProof/>
            </w:rPr>
            <w:t>32</w:t>
          </w:r>
          <w:r w:rsidRPr="00A24443">
            <w:rPr>
              <w:rStyle w:val="PageNumber"/>
              <w:caps w:val="0"/>
            </w:rPr>
            <w:fldChar w:fldCharType="end"/>
          </w:r>
        </w:p>
      </w:tc>
      <w:tc>
        <w:tcPr>
          <w:tcW w:w="7767" w:type="dxa"/>
        </w:tcPr>
        <w:p w:rsidR="00100D02" w:rsidRPr="0013739A" w:rsidRDefault="00100D02" w:rsidP="00AE5190">
          <w:pPr>
            <w:pStyle w:val="Footer"/>
            <w:rPr>
              <w:rFonts w:cs="Arial"/>
            </w:rPr>
          </w:pPr>
          <w:r>
            <w:rPr>
              <w:rFonts w:cs="Arial"/>
            </w:rPr>
            <w:t>Report on Government Services 2017</w:t>
          </w:r>
          <w:bookmarkStart w:id="25" w:name="DraftReportEven"/>
          <w:bookmarkEnd w:id="25"/>
        </w:p>
      </w:tc>
      <w:tc>
        <w:tcPr>
          <w:tcW w:w="510" w:type="dxa"/>
        </w:tcPr>
        <w:p w:rsidR="00100D02" w:rsidRDefault="00100D02" w:rsidP="0019293B">
          <w:pPr>
            <w:pStyle w:val="Footer"/>
          </w:pPr>
        </w:p>
      </w:tc>
    </w:tr>
  </w:tbl>
  <w:p w:rsidR="00100D02" w:rsidRDefault="00100D02" w:rsidP="0019293B">
    <w:pPr>
      <w:pStyle w:val="FooterEnd"/>
    </w:pPr>
  </w:p>
  <w:p w:rsidR="00100D02" w:rsidRDefault="00100D0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0D02" w:rsidTr="00AE5190">
      <w:trPr>
        <w:trHeight w:hRule="exact" w:val="567"/>
      </w:trPr>
      <w:tc>
        <w:tcPr>
          <w:tcW w:w="510" w:type="dxa"/>
        </w:tcPr>
        <w:p w:rsidR="00100D02" w:rsidRDefault="00100D02">
          <w:pPr>
            <w:pStyle w:val="Footer"/>
            <w:ind w:right="360" w:firstLine="360"/>
          </w:pPr>
        </w:p>
      </w:tc>
      <w:tc>
        <w:tcPr>
          <w:tcW w:w="7767" w:type="dxa"/>
        </w:tcPr>
        <w:p w:rsidR="00100D02" w:rsidRPr="00BA5B14" w:rsidRDefault="00100D02" w:rsidP="00AE5190">
          <w:pPr>
            <w:pStyle w:val="Footer"/>
            <w:jc w:val="right"/>
            <w:rPr>
              <w:rFonts w:cs="Arial"/>
            </w:rPr>
          </w:pPr>
          <w:r>
            <w:rPr>
              <w:rFonts w:cs="Arial"/>
            </w:rPr>
            <w:t>Housing</w:t>
          </w:r>
        </w:p>
      </w:tc>
      <w:tc>
        <w:tcPr>
          <w:tcW w:w="510" w:type="dxa"/>
        </w:tcPr>
        <w:p w:rsidR="00100D02" w:rsidRPr="00A24443" w:rsidRDefault="00100D02" w:rsidP="00D04B31">
          <w:pPr>
            <w:pStyle w:val="Footer"/>
            <w:jc w:val="right"/>
            <w:rPr>
              <w:caps w:val="0"/>
            </w:rPr>
          </w:pPr>
          <w:r>
            <w:rPr>
              <w:rStyle w:val="PageNumber"/>
              <w:caps w:val="0"/>
            </w:rPr>
            <w:t>18.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08B5">
            <w:rPr>
              <w:rStyle w:val="PageNumber"/>
              <w:caps w:val="0"/>
              <w:noProof/>
            </w:rPr>
            <w:t>1</w:t>
          </w:r>
          <w:r w:rsidRPr="00A24443">
            <w:rPr>
              <w:rStyle w:val="PageNumber"/>
              <w:caps w:val="0"/>
            </w:rPr>
            <w:fldChar w:fldCharType="end"/>
          </w:r>
        </w:p>
      </w:tc>
    </w:tr>
  </w:tbl>
  <w:p w:rsidR="00100D02" w:rsidRDefault="00100D02">
    <w:pPr>
      <w:pStyle w:val="FooterEnd"/>
    </w:pPr>
  </w:p>
  <w:p w:rsidR="00100D02" w:rsidRDefault="00100D02" w:rsidP="003666C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D02" w:rsidRDefault="00100D02">
      <w:r>
        <w:separator/>
      </w:r>
    </w:p>
  </w:footnote>
  <w:footnote w:type="continuationSeparator" w:id="0">
    <w:p w:rsidR="00100D02" w:rsidRDefault="00100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100D02" w:rsidTr="00110D9E">
      <w:tc>
        <w:tcPr>
          <w:tcW w:w="2155" w:type="dxa"/>
          <w:tcBorders>
            <w:top w:val="single" w:sz="24" w:space="0" w:color="auto"/>
          </w:tcBorders>
        </w:tcPr>
        <w:p w:rsidR="00100D02" w:rsidRDefault="00100D02" w:rsidP="00110D9E">
          <w:pPr>
            <w:pStyle w:val="HeaderEven"/>
            <w:jc w:val="right"/>
          </w:pPr>
        </w:p>
      </w:tc>
      <w:tc>
        <w:tcPr>
          <w:tcW w:w="6634" w:type="dxa"/>
          <w:tcBorders>
            <w:top w:val="single" w:sz="6" w:space="0" w:color="auto"/>
          </w:tcBorders>
        </w:tcPr>
        <w:p w:rsidR="00100D02" w:rsidRDefault="00100D02" w:rsidP="00771488">
          <w:pPr>
            <w:pStyle w:val="HeaderEven"/>
            <w:jc w:val="right"/>
          </w:pPr>
        </w:p>
      </w:tc>
    </w:tr>
  </w:tbl>
  <w:p w:rsidR="00100D02" w:rsidRDefault="00100D02" w:rsidP="00110D9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0D02" w:rsidTr="006C0D79">
      <w:tc>
        <w:tcPr>
          <w:tcW w:w="6634" w:type="dxa"/>
          <w:tcBorders>
            <w:top w:val="single" w:sz="6" w:space="0" w:color="auto"/>
          </w:tcBorders>
        </w:tcPr>
        <w:p w:rsidR="00100D02" w:rsidRDefault="00100D02" w:rsidP="006C0D79">
          <w:pPr>
            <w:pStyle w:val="HeaderOdd"/>
          </w:pPr>
        </w:p>
      </w:tc>
      <w:tc>
        <w:tcPr>
          <w:tcW w:w="2155" w:type="dxa"/>
          <w:tcBorders>
            <w:top w:val="single" w:sz="24" w:space="0" w:color="auto"/>
          </w:tcBorders>
        </w:tcPr>
        <w:p w:rsidR="00100D02" w:rsidRDefault="00100D02" w:rsidP="00110D9E">
          <w:pPr>
            <w:pStyle w:val="HeaderOdd"/>
            <w:jc w:val="right"/>
          </w:pPr>
        </w:p>
      </w:tc>
    </w:tr>
  </w:tbl>
  <w:p w:rsidR="00100D02" w:rsidRDefault="00100D02" w:rsidP="00110D9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BE3422D"/>
    <w:multiLevelType w:val="hybridMultilevel"/>
    <w:tmpl w:val="FD7E8178"/>
    <w:lvl w:ilvl="0" w:tplc="A0B4C768">
      <w:start w:val="1"/>
      <w:numFmt w:val="bullet"/>
      <w:pStyle w:val="DHSBulletTex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C6D56DC"/>
    <w:multiLevelType w:val="hybridMultilevel"/>
    <w:tmpl w:val="F6FE027C"/>
    <w:lvl w:ilvl="0" w:tplc="029C98D6">
      <w:start w:val="1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4B179C9"/>
    <w:multiLevelType w:val="hybridMultilevel"/>
    <w:tmpl w:val="00A0676C"/>
    <w:lvl w:ilvl="0" w:tplc="251C1690">
      <w:start w:val="17"/>
      <w:numFmt w:val="bullet"/>
      <w:lvlText w:val="—"/>
      <w:lvlJc w:val="left"/>
      <w:pPr>
        <w:ind w:left="1834" w:hanging="360"/>
      </w:pPr>
      <w:rPr>
        <w:rFonts w:ascii="Arial" w:eastAsia="Times New Roman" w:hAnsi="Arial" w:cs="Arial" w:hint="default"/>
        <w:b/>
        <w:sz w:val="24"/>
      </w:rPr>
    </w:lvl>
    <w:lvl w:ilvl="1" w:tplc="0C090003" w:tentative="1">
      <w:start w:val="1"/>
      <w:numFmt w:val="bullet"/>
      <w:lvlText w:val="o"/>
      <w:lvlJc w:val="left"/>
      <w:pPr>
        <w:ind w:left="2554" w:hanging="360"/>
      </w:pPr>
      <w:rPr>
        <w:rFonts w:ascii="Courier New" w:hAnsi="Courier New" w:cs="Courier New" w:hint="default"/>
      </w:rPr>
    </w:lvl>
    <w:lvl w:ilvl="2" w:tplc="0C090005" w:tentative="1">
      <w:start w:val="1"/>
      <w:numFmt w:val="bullet"/>
      <w:lvlText w:val=""/>
      <w:lvlJc w:val="left"/>
      <w:pPr>
        <w:ind w:left="3274" w:hanging="360"/>
      </w:pPr>
      <w:rPr>
        <w:rFonts w:ascii="Wingdings" w:hAnsi="Wingdings" w:hint="default"/>
      </w:rPr>
    </w:lvl>
    <w:lvl w:ilvl="3" w:tplc="0C090001" w:tentative="1">
      <w:start w:val="1"/>
      <w:numFmt w:val="bullet"/>
      <w:lvlText w:val=""/>
      <w:lvlJc w:val="left"/>
      <w:pPr>
        <w:ind w:left="3994" w:hanging="360"/>
      </w:pPr>
      <w:rPr>
        <w:rFonts w:ascii="Symbol" w:hAnsi="Symbol" w:hint="default"/>
      </w:rPr>
    </w:lvl>
    <w:lvl w:ilvl="4" w:tplc="0C090003" w:tentative="1">
      <w:start w:val="1"/>
      <w:numFmt w:val="bullet"/>
      <w:lvlText w:val="o"/>
      <w:lvlJc w:val="left"/>
      <w:pPr>
        <w:ind w:left="4714" w:hanging="360"/>
      </w:pPr>
      <w:rPr>
        <w:rFonts w:ascii="Courier New" w:hAnsi="Courier New" w:cs="Courier New" w:hint="default"/>
      </w:rPr>
    </w:lvl>
    <w:lvl w:ilvl="5" w:tplc="0C090005" w:tentative="1">
      <w:start w:val="1"/>
      <w:numFmt w:val="bullet"/>
      <w:lvlText w:val=""/>
      <w:lvlJc w:val="left"/>
      <w:pPr>
        <w:ind w:left="5434" w:hanging="360"/>
      </w:pPr>
      <w:rPr>
        <w:rFonts w:ascii="Wingdings" w:hAnsi="Wingdings" w:hint="default"/>
      </w:rPr>
    </w:lvl>
    <w:lvl w:ilvl="6" w:tplc="0C090001" w:tentative="1">
      <w:start w:val="1"/>
      <w:numFmt w:val="bullet"/>
      <w:lvlText w:val=""/>
      <w:lvlJc w:val="left"/>
      <w:pPr>
        <w:ind w:left="6154" w:hanging="360"/>
      </w:pPr>
      <w:rPr>
        <w:rFonts w:ascii="Symbol" w:hAnsi="Symbol" w:hint="default"/>
      </w:rPr>
    </w:lvl>
    <w:lvl w:ilvl="7" w:tplc="0C090003" w:tentative="1">
      <w:start w:val="1"/>
      <w:numFmt w:val="bullet"/>
      <w:lvlText w:val="o"/>
      <w:lvlJc w:val="left"/>
      <w:pPr>
        <w:ind w:left="6874" w:hanging="360"/>
      </w:pPr>
      <w:rPr>
        <w:rFonts w:ascii="Courier New" w:hAnsi="Courier New" w:cs="Courier New" w:hint="default"/>
      </w:rPr>
    </w:lvl>
    <w:lvl w:ilvl="8" w:tplc="0C090005" w:tentative="1">
      <w:start w:val="1"/>
      <w:numFmt w:val="bullet"/>
      <w:lvlText w:val=""/>
      <w:lvlJc w:val="left"/>
      <w:pPr>
        <w:ind w:left="7594"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54910B1"/>
    <w:multiLevelType w:val="hybridMultilevel"/>
    <w:tmpl w:val="E8D6220A"/>
    <w:lvl w:ilvl="0" w:tplc="A7DC2F1E">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6">
    <w:nsid w:val="28B720D8"/>
    <w:multiLevelType w:val="multilevel"/>
    <w:tmpl w:val="4DA8762E"/>
    <w:lvl w:ilvl="0">
      <w:start w:val="17"/>
      <w:numFmt w:val="decimal"/>
      <w:lvlText w:val="%1"/>
      <w:lvlJc w:val="left"/>
      <w:pPr>
        <w:ind w:left="630" w:hanging="63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2C853038"/>
    <w:multiLevelType w:val="hybridMultilevel"/>
    <w:tmpl w:val="387AED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2EA78BD"/>
    <w:multiLevelType w:val="hybridMultilevel"/>
    <w:tmpl w:val="E3FE3906"/>
    <w:lvl w:ilvl="0" w:tplc="129E802E">
      <w:start w:val="1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AA2766C"/>
    <w:multiLevelType w:val="hybridMultilevel"/>
    <w:tmpl w:val="75AA8E5A"/>
    <w:lvl w:ilvl="0" w:tplc="63C0438A">
      <w:start w:val="1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BB21FD3"/>
    <w:multiLevelType w:val="hybridMultilevel"/>
    <w:tmpl w:val="1F7A12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0">
    <w:nsid w:val="6D6B5FCB"/>
    <w:multiLevelType w:val="hybridMultilevel"/>
    <w:tmpl w:val="7A22E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F804322"/>
    <w:multiLevelType w:val="hybridMultilevel"/>
    <w:tmpl w:val="F89C0C04"/>
    <w:lvl w:ilvl="0" w:tplc="03AEA63C">
      <w:numFmt w:val="bullet"/>
      <w:lvlText w:val="-"/>
      <w:lvlJc w:val="left"/>
      <w:pPr>
        <w:ind w:left="480" w:hanging="360"/>
      </w:pPr>
      <w:rPr>
        <w:rFonts w:ascii="Times New Roman" w:eastAsia="Times New Roman" w:hAnsi="Times New Roman" w:cs="Times New Roman" w:hint="default"/>
      </w:rPr>
    </w:lvl>
    <w:lvl w:ilvl="1" w:tplc="0C090003" w:tentative="1">
      <w:start w:val="1"/>
      <w:numFmt w:val="bullet"/>
      <w:lvlText w:val="o"/>
      <w:lvlJc w:val="left"/>
      <w:pPr>
        <w:ind w:left="1200" w:hanging="360"/>
      </w:pPr>
      <w:rPr>
        <w:rFonts w:ascii="Courier New" w:hAnsi="Courier New" w:cs="Courier New" w:hint="default"/>
      </w:rPr>
    </w:lvl>
    <w:lvl w:ilvl="2" w:tplc="0C090005" w:tentative="1">
      <w:start w:val="1"/>
      <w:numFmt w:val="bullet"/>
      <w:lvlText w:val=""/>
      <w:lvlJc w:val="left"/>
      <w:pPr>
        <w:ind w:left="1920" w:hanging="360"/>
      </w:pPr>
      <w:rPr>
        <w:rFonts w:ascii="Wingdings" w:hAnsi="Wingdings" w:hint="default"/>
      </w:rPr>
    </w:lvl>
    <w:lvl w:ilvl="3" w:tplc="0C090001" w:tentative="1">
      <w:start w:val="1"/>
      <w:numFmt w:val="bullet"/>
      <w:lvlText w:val=""/>
      <w:lvlJc w:val="left"/>
      <w:pPr>
        <w:ind w:left="2640" w:hanging="360"/>
      </w:pPr>
      <w:rPr>
        <w:rFonts w:ascii="Symbol" w:hAnsi="Symbol" w:hint="default"/>
      </w:rPr>
    </w:lvl>
    <w:lvl w:ilvl="4" w:tplc="0C090003" w:tentative="1">
      <w:start w:val="1"/>
      <w:numFmt w:val="bullet"/>
      <w:lvlText w:val="o"/>
      <w:lvlJc w:val="left"/>
      <w:pPr>
        <w:ind w:left="3360" w:hanging="360"/>
      </w:pPr>
      <w:rPr>
        <w:rFonts w:ascii="Courier New" w:hAnsi="Courier New" w:cs="Courier New" w:hint="default"/>
      </w:rPr>
    </w:lvl>
    <w:lvl w:ilvl="5" w:tplc="0C090005" w:tentative="1">
      <w:start w:val="1"/>
      <w:numFmt w:val="bullet"/>
      <w:lvlText w:val=""/>
      <w:lvlJc w:val="left"/>
      <w:pPr>
        <w:ind w:left="4080" w:hanging="360"/>
      </w:pPr>
      <w:rPr>
        <w:rFonts w:ascii="Wingdings" w:hAnsi="Wingdings" w:hint="default"/>
      </w:rPr>
    </w:lvl>
    <w:lvl w:ilvl="6" w:tplc="0C090001" w:tentative="1">
      <w:start w:val="1"/>
      <w:numFmt w:val="bullet"/>
      <w:lvlText w:val=""/>
      <w:lvlJc w:val="left"/>
      <w:pPr>
        <w:ind w:left="4800" w:hanging="360"/>
      </w:pPr>
      <w:rPr>
        <w:rFonts w:ascii="Symbol" w:hAnsi="Symbol" w:hint="default"/>
      </w:rPr>
    </w:lvl>
    <w:lvl w:ilvl="7" w:tplc="0C090003" w:tentative="1">
      <w:start w:val="1"/>
      <w:numFmt w:val="bullet"/>
      <w:lvlText w:val="o"/>
      <w:lvlJc w:val="left"/>
      <w:pPr>
        <w:ind w:left="5520" w:hanging="360"/>
      </w:pPr>
      <w:rPr>
        <w:rFonts w:ascii="Courier New" w:hAnsi="Courier New" w:cs="Courier New" w:hint="default"/>
      </w:rPr>
    </w:lvl>
    <w:lvl w:ilvl="8" w:tplc="0C090005" w:tentative="1">
      <w:start w:val="1"/>
      <w:numFmt w:val="bullet"/>
      <w:lvlText w:val=""/>
      <w:lvlJc w:val="left"/>
      <w:pPr>
        <w:ind w:left="6240" w:hanging="360"/>
      </w:pPr>
      <w:rPr>
        <w:rFonts w:ascii="Wingdings" w:hAnsi="Wingdings" w:hint="default"/>
      </w:rPr>
    </w:lvl>
  </w:abstractNum>
  <w:abstractNum w:abstractNumId="32">
    <w:nsid w:val="6FA56D18"/>
    <w:multiLevelType w:val="hybridMultilevel"/>
    <w:tmpl w:val="45C893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4">
    <w:nsid w:val="7B147C3B"/>
    <w:multiLevelType w:val="multilevel"/>
    <w:tmpl w:val="8F0AE852"/>
    <w:lvl w:ilvl="0">
      <w:start w:val="17"/>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6"/>
  </w:num>
  <w:num w:numId="3">
    <w:abstractNumId w:val="33"/>
  </w:num>
  <w:num w:numId="4">
    <w:abstractNumId w:val="4"/>
  </w:num>
  <w:num w:numId="5">
    <w:abstractNumId w:val="24"/>
  </w:num>
  <w:num w:numId="6">
    <w:abstractNumId w:val="5"/>
  </w:num>
  <w:num w:numId="7">
    <w:abstractNumId w:val="29"/>
  </w:num>
  <w:num w:numId="8">
    <w:abstractNumId w:val="26"/>
  </w:num>
  <w:num w:numId="9">
    <w:abstractNumId w:val="35"/>
  </w:num>
  <w:num w:numId="10">
    <w:abstractNumId w:val="14"/>
  </w:num>
  <w:num w:numId="11">
    <w:abstractNumId w:val="11"/>
  </w:num>
  <w:num w:numId="12">
    <w:abstractNumId w:val="25"/>
  </w:num>
  <w:num w:numId="13">
    <w:abstractNumId w:val="10"/>
  </w:num>
  <w:num w:numId="14">
    <w:abstractNumId w:val="9"/>
  </w:num>
  <w:num w:numId="15">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6">
    <w:abstractNumId w:val="17"/>
  </w:num>
  <w:num w:numId="17">
    <w:abstractNumId w:val="23"/>
  </w:num>
  <w:num w:numId="18">
    <w:abstractNumId w:val="27"/>
  </w:num>
  <w:num w:numId="19">
    <w:abstractNumId w:val="34"/>
  </w:num>
  <w:num w:numId="20">
    <w:abstractNumId w:val="16"/>
  </w:num>
  <w:num w:numId="21">
    <w:abstractNumId w:val="7"/>
  </w:num>
  <w:num w:numId="22">
    <w:abstractNumId w:val="28"/>
  </w:num>
  <w:num w:numId="23">
    <w:abstractNumId w:val="12"/>
  </w:num>
  <w:num w:numId="24">
    <w:abstractNumId w:val="0"/>
  </w:num>
  <w:num w:numId="25">
    <w:abstractNumId w:val="2"/>
  </w:num>
  <w:num w:numId="26">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7">
    <w:abstractNumId w:val="1"/>
  </w:num>
  <w:num w:numId="28">
    <w:abstractNumId w:val="30"/>
  </w:num>
  <w:num w:numId="29">
    <w:abstractNumId w:val="22"/>
  </w:num>
  <w:num w:numId="30">
    <w:abstractNumId w:val="18"/>
  </w:num>
  <w:num w:numId="31">
    <w:abstractNumId w:val="21"/>
  </w:num>
  <w:num w:numId="32">
    <w:abstractNumId w:val="8"/>
  </w:num>
  <w:num w:numId="33">
    <w:abstractNumId w:val="20"/>
  </w:num>
  <w:num w:numId="34">
    <w:abstractNumId w:val="13"/>
  </w:num>
  <w:num w:numId="35">
    <w:abstractNumId w:val="24"/>
  </w:num>
  <w:num w:numId="36">
    <w:abstractNumId w:val="24"/>
  </w:num>
  <w:num w:numId="37">
    <w:abstractNumId w:val="19"/>
  </w:num>
  <w:num w:numId="38">
    <w:abstractNumId w:val="15"/>
  </w:num>
  <w:num w:numId="39">
    <w:abstractNumId w:val="32"/>
  </w:num>
  <w:num w:numId="40">
    <w:abstractNumId w:val="19"/>
  </w:num>
  <w:num w:numId="41">
    <w:abstractNumId w:val="19"/>
  </w:num>
  <w:num w:numId="42">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90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w:docVar w:name="ShortReportTitle" w:val="Report on Government Services 2017"/>
  </w:docVars>
  <w:rsids>
    <w:rsidRoot w:val="00337686"/>
    <w:rsid w:val="00000249"/>
    <w:rsid w:val="000005B8"/>
    <w:rsid w:val="000005F8"/>
    <w:rsid w:val="00000F51"/>
    <w:rsid w:val="0000153C"/>
    <w:rsid w:val="000016AA"/>
    <w:rsid w:val="000016B2"/>
    <w:rsid w:val="00001B30"/>
    <w:rsid w:val="00001F48"/>
    <w:rsid w:val="00002763"/>
    <w:rsid w:val="00002B56"/>
    <w:rsid w:val="00002C75"/>
    <w:rsid w:val="00002DCA"/>
    <w:rsid w:val="00002E51"/>
    <w:rsid w:val="00002ED2"/>
    <w:rsid w:val="00002F04"/>
    <w:rsid w:val="00003478"/>
    <w:rsid w:val="0000350F"/>
    <w:rsid w:val="0000376F"/>
    <w:rsid w:val="00003C92"/>
    <w:rsid w:val="00003D7B"/>
    <w:rsid w:val="00003F92"/>
    <w:rsid w:val="00004660"/>
    <w:rsid w:val="0000473A"/>
    <w:rsid w:val="00004874"/>
    <w:rsid w:val="00004BDD"/>
    <w:rsid w:val="00004FBF"/>
    <w:rsid w:val="00005071"/>
    <w:rsid w:val="00005643"/>
    <w:rsid w:val="00005B2C"/>
    <w:rsid w:val="00006088"/>
    <w:rsid w:val="00006B39"/>
    <w:rsid w:val="00006DC5"/>
    <w:rsid w:val="00007225"/>
    <w:rsid w:val="0000797A"/>
    <w:rsid w:val="00007A51"/>
    <w:rsid w:val="00010249"/>
    <w:rsid w:val="00010257"/>
    <w:rsid w:val="000104D2"/>
    <w:rsid w:val="0001078A"/>
    <w:rsid w:val="00010E1B"/>
    <w:rsid w:val="00011143"/>
    <w:rsid w:val="000112BA"/>
    <w:rsid w:val="000114B6"/>
    <w:rsid w:val="000114CE"/>
    <w:rsid w:val="000115D7"/>
    <w:rsid w:val="00011654"/>
    <w:rsid w:val="000119F4"/>
    <w:rsid w:val="00012263"/>
    <w:rsid w:val="000124DA"/>
    <w:rsid w:val="000124EE"/>
    <w:rsid w:val="00012561"/>
    <w:rsid w:val="0001289E"/>
    <w:rsid w:val="00012AAF"/>
    <w:rsid w:val="00012AFA"/>
    <w:rsid w:val="00012BAE"/>
    <w:rsid w:val="00012C3F"/>
    <w:rsid w:val="00012C88"/>
    <w:rsid w:val="00012E95"/>
    <w:rsid w:val="00013467"/>
    <w:rsid w:val="0001387A"/>
    <w:rsid w:val="000142C6"/>
    <w:rsid w:val="000145D1"/>
    <w:rsid w:val="00014766"/>
    <w:rsid w:val="00014850"/>
    <w:rsid w:val="0001494A"/>
    <w:rsid w:val="00015146"/>
    <w:rsid w:val="00015408"/>
    <w:rsid w:val="0001544C"/>
    <w:rsid w:val="00015CC2"/>
    <w:rsid w:val="00016028"/>
    <w:rsid w:val="00016056"/>
    <w:rsid w:val="000160B3"/>
    <w:rsid w:val="00016391"/>
    <w:rsid w:val="0001694A"/>
    <w:rsid w:val="00016B7F"/>
    <w:rsid w:val="00017323"/>
    <w:rsid w:val="0001745F"/>
    <w:rsid w:val="0001777A"/>
    <w:rsid w:val="00017B79"/>
    <w:rsid w:val="00017E6D"/>
    <w:rsid w:val="00020B0A"/>
    <w:rsid w:val="00020CBB"/>
    <w:rsid w:val="00020F6B"/>
    <w:rsid w:val="00021212"/>
    <w:rsid w:val="0002126F"/>
    <w:rsid w:val="00021400"/>
    <w:rsid w:val="00021A17"/>
    <w:rsid w:val="00021B0F"/>
    <w:rsid w:val="000222ED"/>
    <w:rsid w:val="0002281E"/>
    <w:rsid w:val="000229AE"/>
    <w:rsid w:val="00023053"/>
    <w:rsid w:val="000232BE"/>
    <w:rsid w:val="0002377E"/>
    <w:rsid w:val="000238B8"/>
    <w:rsid w:val="00023CD6"/>
    <w:rsid w:val="00023FE1"/>
    <w:rsid w:val="000240E0"/>
    <w:rsid w:val="0002426B"/>
    <w:rsid w:val="000242A6"/>
    <w:rsid w:val="00024406"/>
    <w:rsid w:val="000247DC"/>
    <w:rsid w:val="00024AC8"/>
    <w:rsid w:val="00024BA2"/>
    <w:rsid w:val="00024C72"/>
    <w:rsid w:val="00024D24"/>
    <w:rsid w:val="00024F8B"/>
    <w:rsid w:val="00025506"/>
    <w:rsid w:val="00025580"/>
    <w:rsid w:val="0002564A"/>
    <w:rsid w:val="00025C85"/>
    <w:rsid w:val="00025ED3"/>
    <w:rsid w:val="00025EF4"/>
    <w:rsid w:val="00026187"/>
    <w:rsid w:val="000275D4"/>
    <w:rsid w:val="00027BC9"/>
    <w:rsid w:val="000301BC"/>
    <w:rsid w:val="00030245"/>
    <w:rsid w:val="00030255"/>
    <w:rsid w:val="000302FA"/>
    <w:rsid w:val="000305D7"/>
    <w:rsid w:val="00030693"/>
    <w:rsid w:val="00030E5B"/>
    <w:rsid w:val="00030EEC"/>
    <w:rsid w:val="00031967"/>
    <w:rsid w:val="00031B37"/>
    <w:rsid w:val="00031BB6"/>
    <w:rsid w:val="000326D8"/>
    <w:rsid w:val="00032710"/>
    <w:rsid w:val="000329EA"/>
    <w:rsid w:val="00032C95"/>
    <w:rsid w:val="00032E86"/>
    <w:rsid w:val="00032ED8"/>
    <w:rsid w:val="00033266"/>
    <w:rsid w:val="0003375C"/>
    <w:rsid w:val="000337AA"/>
    <w:rsid w:val="00034A91"/>
    <w:rsid w:val="00034D6C"/>
    <w:rsid w:val="0003504C"/>
    <w:rsid w:val="000352C6"/>
    <w:rsid w:val="00035C82"/>
    <w:rsid w:val="000361D1"/>
    <w:rsid w:val="00036428"/>
    <w:rsid w:val="0003664B"/>
    <w:rsid w:val="000366E7"/>
    <w:rsid w:val="00036A0E"/>
    <w:rsid w:val="00036B00"/>
    <w:rsid w:val="00037B75"/>
    <w:rsid w:val="00037D23"/>
    <w:rsid w:val="00037FC5"/>
    <w:rsid w:val="000404D8"/>
    <w:rsid w:val="000405EE"/>
    <w:rsid w:val="00040955"/>
    <w:rsid w:val="00040D7C"/>
    <w:rsid w:val="00040EF4"/>
    <w:rsid w:val="00040F38"/>
    <w:rsid w:val="000410FF"/>
    <w:rsid w:val="0004111F"/>
    <w:rsid w:val="00041329"/>
    <w:rsid w:val="00041C41"/>
    <w:rsid w:val="000420F9"/>
    <w:rsid w:val="0004243F"/>
    <w:rsid w:val="00042A5A"/>
    <w:rsid w:val="00042BC9"/>
    <w:rsid w:val="00042C82"/>
    <w:rsid w:val="00043169"/>
    <w:rsid w:val="00043270"/>
    <w:rsid w:val="0004347B"/>
    <w:rsid w:val="00044269"/>
    <w:rsid w:val="00044529"/>
    <w:rsid w:val="00044610"/>
    <w:rsid w:val="00044D16"/>
    <w:rsid w:val="000451AD"/>
    <w:rsid w:val="0004527B"/>
    <w:rsid w:val="000466CA"/>
    <w:rsid w:val="00046841"/>
    <w:rsid w:val="00046AC3"/>
    <w:rsid w:val="00046F24"/>
    <w:rsid w:val="00046FF4"/>
    <w:rsid w:val="000475F2"/>
    <w:rsid w:val="000500CB"/>
    <w:rsid w:val="0005039D"/>
    <w:rsid w:val="000506F5"/>
    <w:rsid w:val="000508CB"/>
    <w:rsid w:val="000513A7"/>
    <w:rsid w:val="00051663"/>
    <w:rsid w:val="0005258C"/>
    <w:rsid w:val="000527F0"/>
    <w:rsid w:val="00052944"/>
    <w:rsid w:val="00052B29"/>
    <w:rsid w:val="00052D8D"/>
    <w:rsid w:val="000530C2"/>
    <w:rsid w:val="000534E4"/>
    <w:rsid w:val="000535B7"/>
    <w:rsid w:val="000538C3"/>
    <w:rsid w:val="00053C73"/>
    <w:rsid w:val="00053E71"/>
    <w:rsid w:val="00053F78"/>
    <w:rsid w:val="000544F8"/>
    <w:rsid w:val="000546FD"/>
    <w:rsid w:val="00054841"/>
    <w:rsid w:val="000549E8"/>
    <w:rsid w:val="00054AAF"/>
    <w:rsid w:val="00054CE2"/>
    <w:rsid w:val="000553FB"/>
    <w:rsid w:val="0005549B"/>
    <w:rsid w:val="000558C3"/>
    <w:rsid w:val="00055D4E"/>
    <w:rsid w:val="000561BC"/>
    <w:rsid w:val="00056FE4"/>
    <w:rsid w:val="00056FE5"/>
    <w:rsid w:val="00057016"/>
    <w:rsid w:val="00057056"/>
    <w:rsid w:val="0005728A"/>
    <w:rsid w:val="000574B3"/>
    <w:rsid w:val="00057FB8"/>
    <w:rsid w:val="00057FC1"/>
    <w:rsid w:val="000602D2"/>
    <w:rsid w:val="00060531"/>
    <w:rsid w:val="000617DB"/>
    <w:rsid w:val="00061C68"/>
    <w:rsid w:val="00061D3D"/>
    <w:rsid w:val="00061ECB"/>
    <w:rsid w:val="00062144"/>
    <w:rsid w:val="0006223E"/>
    <w:rsid w:val="000625A0"/>
    <w:rsid w:val="000626E5"/>
    <w:rsid w:val="000627F9"/>
    <w:rsid w:val="00062951"/>
    <w:rsid w:val="00062C54"/>
    <w:rsid w:val="00062CBF"/>
    <w:rsid w:val="00062CE1"/>
    <w:rsid w:val="000631DB"/>
    <w:rsid w:val="00063911"/>
    <w:rsid w:val="00064188"/>
    <w:rsid w:val="00064204"/>
    <w:rsid w:val="00064526"/>
    <w:rsid w:val="00065068"/>
    <w:rsid w:val="00065086"/>
    <w:rsid w:val="000650F5"/>
    <w:rsid w:val="000653BD"/>
    <w:rsid w:val="00065872"/>
    <w:rsid w:val="00065ACD"/>
    <w:rsid w:val="00065B0B"/>
    <w:rsid w:val="0006608D"/>
    <w:rsid w:val="000662C9"/>
    <w:rsid w:val="00066CF5"/>
    <w:rsid w:val="000673F6"/>
    <w:rsid w:val="0006748A"/>
    <w:rsid w:val="00067512"/>
    <w:rsid w:val="000677FF"/>
    <w:rsid w:val="00070736"/>
    <w:rsid w:val="00070A4E"/>
    <w:rsid w:val="00070D9C"/>
    <w:rsid w:val="00070EC9"/>
    <w:rsid w:val="00070F7A"/>
    <w:rsid w:val="000710B7"/>
    <w:rsid w:val="0007150B"/>
    <w:rsid w:val="00071B79"/>
    <w:rsid w:val="00071EC6"/>
    <w:rsid w:val="00072B72"/>
    <w:rsid w:val="00072D3A"/>
    <w:rsid w:val="0007349E"/>
    <w:rsid w:val="000735EA"/>
    <w:rsid w:val="000736E1"/>
    <w:rsid w:val="000737C4"/>
    <w:rsid w:val="00073BB9"/>
    <w:rsid w:val="00074739"/>
    <w:rsid w:val="000748D5"/>
    <w:rsid w:val="00074A47"/>
    <w:rsid w:val="00074DB9"/>
    <w:rsid w:val="000758DA"/>
    <w:rsid w:val="00076302"/>
    <w:rsid w:val="0007680E"/>
    <w:rsid w:val="0007716B"/>
    <w:rsid w:val="00077195"/>
    <w:rsid w:val="000772C9"/>
    <w:rsid w:val="000773E4"/>
    <w:rsid w:val="0007796F"/>
    <w:rsid w:val="000779DA"/>
    <w:rsid w:val="00077C2A"/>
    <w:rsid w:val="00077C3B"/>
    <w:rsid w:val="00077D4F"/>
    <w:rsid w:val="00077E7D"/>
    <w:rsid w:val="0008018E"/>
    <w:rsid w:val="00080FFB"/>
    <w:rsid w:val="00081024"/>
    <w:rsid w:val="00081296"/>
    <w:rsid w:val="000812CB"/>
    <w:rsid w:val="00081787"/>
    <w:rsid w:val="000817B5"/>
    <w:rsid w:val="00081EB9"/>
    <w:rsid w:val="0008233B"/>
    <w:rsid w:val="0008249A"/>
    <w:rsid w:val="00082519"/>
    <w:rsid w:val="00082A03"/>
    <w:rsid w:val="00082CEB"/>
    <w:rsid w:val="0008416B"/>
    <w:rsid w:val="0008423F"/>
    <w:rsid w:val="00084413"/>
    <w:rsid w:val="0008455A"/>
    <w:rsid w:val="0008480F"/>
    <w:rsid w:val="00084844"/>
    <w:rsid w:val="00084DD1"/>
    <w:rsid w:val="00084EEB"/>
    <w:rsid w:val="00084F54"/>
    <w:rsid w:val="000854D1"/>
    <w:rsid w:val="00085928"/>
    <w:rsid w:val="000859C2"/>
    <w:rsid w:val="00085AD4"/>
    <w:rsid w:val="00085E9E"/>
    <w:rsid w:val="00086233"/>
    <w:rsid w:val="00086605"/>
    <w:rsid w:val="00086999"/>
    <w:rsid w:val="00086BB3"/>
    <w:rsid w:val="00087119"/>
    <w:rsid w:val="00087268"/>
    <w:rsid w:val="0008731C"/>
    <w:rsid w:val="00087481"/>
    <w:rsid w:val="00087741"/>
    <w:rsid w:val="00087994"/>
    <w:rsid w:val="00087A91"/>
    <w:rsid w:val="00087BD7"/>
    <w:rsid w:val="00087F87"/>
    <w:rsid w:val="00090414"/>
    <w:rsid w:val="000904F1"/>
    <w:rsid w:val="00090ABF"/>
    <w:rsid w:val="00090F97"/>
    <w:rsid w:val="000910DF"/>
    <w:rsid w:val="00091282"/>
    <w:rsid w:val="00091C19"/>
    <w:rsid w:val="00091D00"/>
    <w:rsid w:val="000920E3"/>
    <w:rsid w:val="00092D60"/>
    <w:rsid w:val="0009307C"/>
    <w:rsid w:val="000931B6"/>
    <w:rsid w:val="000937EA"/>
    <w:rsid w:val="000938F5"/>
    <w:rsid w:val="00093C25"/>
    <w:rsid w:val="00095008"/>
    <w:rsid w:val="000958E6"/>
    <w:rsid w:val="00096575"/>
    <w:rsid w:val="00096B56"/>
    <w:rsid w:val="000970DF"/>
    <w:rsid w:val="0009722E"/>
    <w:rsid w:val="00097753"/>
    <w:rsid w:val="00097C85"/>
    <w:rsid w:val="00097EF8"/>
    <w:rsid w:val="00097F34"/>
    <w:rsid w:val="000A00AC"/>
    <w:rsid w:val="000A02FD"/>
    <w:rsid w:val="000A04F2"/>
    <w:rsid w:val="000A063D"/>
    <w:rsid w:val="000A06B1"/>
    <w:rsid w:val="000A0716"/>
    <w:rsid w:val="000A09B2"/>
    <w:rsid w:val="000A0AA7"/>
    <w:rsid w:val="000A0BA8"/>
    <w:rsid w:val="000A0D02"/>
    <w:rsid w:val="000A0D33"/>
    <w:rsid w:val="000A10D4"/>
    <w:rsid w:val="000A152B"/>
    <w:rsid w:val="000A1C0E"/>
    <w:rsid w:val="000A1DDC"/>
    <w:rsid w:val="000A2123"/>
    <w:rsid w:val="000A2259"/>
    <w:rsid w:val="000A22C2"/>
    <w:rsid w:val="000A273A"/>
    <w:rsid w:val="000A2CD9"/>
    <w:rsid w:val="000A2F10"/>
    <w:rsid w:val="000A2FE2"/>
    <w:rsid w:val="000A3D47"/>
    <w:rsid w:val="000A3D61"/>
    <w:rsid w:val="000A3DCC"/>
    <w:rsid w:val="000A4093"/>
    <w:rsid w:val="000A4207"/>
    <w:rsid w:val="000A4576"/>
    <w:rsid w:val="000A4E9D"/>
    <w:rsid w:val="000A4F99"/>
    <w:rsid w:val="000A52EB"/>
    <w:rsid w:val="000A5406"/>
    <w:rsid w:val="000A59A1"/>
    <w:rsid w:val="000A5DDB"/>
    <w:rsid w:val="000A621E"/>
    <w:rsid w:val="000A6389"/>
    <w:rsid w:val="000A6752"/>
    <w:rsid w:val="000A6AAE"/>
    <w:rsid w:val="000A6D9F"/>
    <w:rsid w:val="000A7B4E"/>
    <w:rsid w:val="000B0020"/>
    <w:rsid w:val="000B0440"/>
    <w:rsid w:val="000B0586"/>
    <w:rsid w:val="000B0CB9"/>
    <w:rsid w:val="000B1355"/>
    <w:rsid w:val="000B1B4C"/>
    <w:rsid w:val="000B1E28"/>
    <w:rsid w:val="000B2205"/>
    <w:rsid w:val="000B257B"/>
    <w:rsid w:val="000B2B72"/>
    <w:rsid w:val="000B2DD1"/>
    <w:rsid w:val="000B30AE"/>
    <w:rsid w:val="000B344E"/>
    <w:rsid w:val="000B36F5"/>
    <w:rsid w:val="000B3B28"/>
    <w:rsid w:val="000B3D36"/>
    <w:rsid w:val="000B4232"/>
    <w:rsid w:val="000B4324"/>
    <w:rsid w:val="000B4367"/>
    <w:rsid w:val="000B497A"/>
    <w:rsid w:val="000B4C83"/>
    <w:rsid w:val="000B4D9B"/>
    <w:rsid w:val="000B4FF4"/>
    <w:rsid w:val="000B542D"/>
    <w:rsid w:val="000B5512"/>
    <w:rsid w:val="000B5515"/>
    <w:rsid w:val="000B588E"/>
    <w:rsid w:val="000B5B0D"/>
    <w:rsid w:val="000B5BE9"/>
    <w:rsid w:val="000B5BF1"/>
    <w:rsid w:val="000B5F00"/>
    <w:rsid w:val="000B601B"/>
    <w:rsid w:val="000B66EF"/>
    <w:rsid w:val="000B68FD"/>
    <w:rsid w:val="000B6C96"/>
    <w:rsid w:val="000B6DF5"/>
    <w:rsid w:val="000B7223"/>
    <w:rsid w:val="000B739B"/>
    <w:rsid w:val="000B75B4"/>
    <w:rsid w:val="000B7DEC"/>
    <w:rsid w:val="000B7E82"/>
    <w:rsid w:val="000B7E98"/>
    <w:rsid w:val="000C00BA"/>
    <w:rsid w:val="000C0126"/>
    <w:rsid w:val="000C0320"/>
    <w:rsid w:val="000C0893"/>
    <w:rsid w:val="000C0A69"/>
    <w:rsid w:val="000C18CC"/>
    <w:rsid w:val="000C207E"/>
    <w:rsid w:val="000C214E"/>
    <w:rsid w:val="000C215C"/>
    <w:rsid w:val="000C3144"/>
    <w:rsid w:val="000C35CC"/>
    <w:rsid w:val="000C38EC"/>
    <w:rsid w:val="000C39DB"/>
    <w:rsid w:val="000C3DF9"/>
    <w:rsid w:val="000C4A43"/>
    <w:rsid w:val="000C4D74"/>
    <w:rsid w:val="000C4DFF"/>
    <w:rsid w:val="000C51A4"/>
    <w:rsid w:val="000C5568"/>
    <w:rsid w:val="000C5700"/>
    <w:rsid w:val="000C573A"/>
    <w:rsid w:val="000C5F5B"/>
    <w:rsid w:val="000C64FF"/>
    <w:rsid w:val="000C69C3"/>
    <w:rsid w:val="000C6CF1"/>
    <w:rsid w:val="000C6CF8"/>
    <w:rsid w:val="000C73E9"/>
    <w:rsid w:val="000C73F4"/>
    <w:rsid w:val="000C741A"/>
    <w:rsid w:val="000C7B80"/>
    <w:rsid w:val="000C7D91"/>
    <w:rsid w:val="000C7F2A"/>
    <w:rsid w:val="000D04FA"/>
    <w:rsid w:val="000D056C"/>
    <w:rsid w:val="000D0C6F"/>
    <w:rsid w:val="000D110C"/>
    <w:rsid w:val="000D18AE"/>
    <w:rsid w:val="000D1B2E"/>
    <w:rsid w:val="000D1CC9"/>
    <w:rsid w:val="000D2055"/>
    <w:rsid w:val="000D223E"/>
    <w:rsid w:val="000D265E"/>
    <w:rsid w:val="000D2A00"/>
    <w:rsid w:val="000D2AF9"/>
    <w:rsid w:val="000D33B1"/>
    <w:rsid w:val="000D37AC"/>
    <w:rsid w:val="000D4042"/>
    <w:rsid w:val="000D4120"/>
    <w:rsid w:val="000D4A8C"/>
    <w:rsid w:val="000D4C9C"/>
    <w:rsid w:val="000D4DB8"/>
    <w:rsid w:val="000D4F60"/>
    <w:rsid w:val="000D5006"/>
    <w:rsid w:val="000D5AD9"/>
    <w:rsid w:val="000D5DCD"/>
    <w:rsid w:val="000D6255"/>
    <w:rsid w:val="000D654F"/>
    <w:rsid w:val="000D6E88"/>
    <w:rsid w:val="000D788D"/>
    <w:rsid w:val="000D79BA"/>
    <w:rsid w:val="000D79F2"/>
    <w:rsid w:val="000D7CFC"/>
    <w:rsid w:val="000D7E15"/>
    <w:rsid w:val="000D7FA9"/>
    <w:rsid w:val="000E0114"/>
    <w:rsid w:val="000E02F8"/>
    <w:rsid w:val="000E07C3"/>
    <w:rsid w:val="000E09CC"/>
    <w:rsid w:val="000E1427"/>
    <w:rsid w:val="000E152D"/>
    <w:rsid w:val="000E168B"/>
    <w:rsid w:val="000E19B6"/>
    <w:rsid w:val="000E2139"/>
    <w:rsid w:val="000E25AE"/>
    <w:rsid w:val="000E26D7"/>
    <w:rsid w:val="000E27F6"/>
    <w:rsid w:val="000E29C7"/>
    <w:rsid w:val="000E2C91"/>
    <w:rsid w:val="000E2EA2"/>
    <w:rsid w:val="000E39C7"/>
    <w:rsid w:val="000E4402"/>
    <w:rsid w:val="000E4426"/>
    <w:rsid w:val="000E4457"/>
    <w:rsid w:val="000E4754"/>
    <w:rsid w:val="000E482B"/>
    <w:rsid w:val="000E49EF"/>
    <w:rsid w:val="000E49F4"/>
    <w:rsid w:val="000E4AD6"/>
    <w:rsid w:val="000E582C"/>
    <w:rsid w:val="000E58EB"/>
    <w:rsid w:val="000E5A49"/>
    <w:rsid w:val="000E5C2C"/>
    <w:rsid w:val="000E5F84"/>
    <w:rsid w:val="000E644A"/>
    <w:rsid w:val="000E65EC"/>
    <w:rsid w:val="000E71D5"/>
    <w:rsid w:val="000E7211"/>
    <w:rsid w:val="000E7A5A"/>
    <w:rsid w:val="000E7B1A"/>
    <w:rsid w:val="000E7B33"/>
    <w:rsid w:val="000E7E52"/>
    <w:rsid w:val="000F0098"/>
    <w:rsid w:val="000F0DE9"/>
    <w:rsid w:val="000F1054"/>
    <w:rsid w:val="000F1064"/>
    <w:rsid w:val="000F1824"/>
    <w:rsid w:val="000F217E"/>
    <w:rsid w:val="000F21B5"/>
    <w:rsid w:val="000F243E"/>
    <w:rsid w:val="000F28AE"/>
    <w:rsid w:val="000F2B74"/>
    <w:rsid w:val="000F3408"/>
    <w:rsid w:val="000F3A42"/>
    <w:rsid w:val="000F3A46"/>
    <w:rsid w:val="000F3A82"/>
    <w:rsid w:val="000F3B84"/>
    <w:rsid w:val="000F3C72"/>
    <w:rsid w:val="000F3D06"/>
    <w:rsid w:val="000F3E2F"/>
    <w:rsid w:val="000F4045"/>
    <w:rsid w:val="000F46A8"/>
    <w:rsid w:val="000F494E"/>
    <w:rsid w:val="000F538B"/>
    <w:rsid w:val="000F55F8"/>
    <w:rsid w:val="000F58E4"/>
    <w:rsid w:val="000F5C71"/>
    <w:rsid w:val="000F64E1"/>
    <w:rsid w:val="000F6521"/>
    <w:rsid w:val="000F6678"/>
    <w:rsid w:val="000F6968"/>
    <w:rsid w:val="000F6B8B"/>
    <w:rsid w:val="000F6C0F"/>
    <w:rsid w:val="000F6DD6"/>
    <w:rsid w:val="000F6DE1"/>
    <w:rsid w:val="000F6E23"/>
    <w:rsid w:val="000F706A"/>
    <w:rsid w:val="000F71AC"/>
    <w:rsid w:val="000F7860"/>
    <w:rsid w:val="000F7A62"/>
    <w:rsid w:val="000F7F7B"/>
    <w:rsid w:val="001007EB"/>
    <w:rsid w:val="00100D02"/>
    <w:rsid w:val="00100EA7"/>
    <w:rsid w:val="00100EEB"/>
    <w:rsid w:val="00101790"/>
    <w:rsid w:val="00101A99"/>
    <w:rsid w:val="00101B80"/>
    <w:rsid w:val="00101C2B"/>
    <w:rsid w:val="00101D1E"/>
    <w:rsid w:val="00101E69"/>
    <w:rsid w:val="0010218A"/>
    <w:rsid w:val="00102A7D"/>
    <w:rsid w:val="0010300D"/>
    <w:rsid w:val="0010353C"/>
    <w:rsid w:val="0010361E"/>
    <w:rsid w:val="001037FB"/>
    <w:rsid w:val="00103E02"/>
    <w:rsid w:val="0010401B"/>
    <w:rsid w:val="0010445B"/>
    <w:rsid w:val="0010489E"/>
    <w:rsid w:val="00104B98"/>
    <w:rsid w:val="00104FBA"/>
    <w:rsid w:val="001054E5"/>
    <w:rsid w:val="001054FB"/>
    <w:rsid w:val="00105BE0"/>
    <w:rsid w:val="00105EFD"/>
    <w:rsid w:val="00106F5B"/>
    <w:rsid w:val="00107296"/>
    <w:rsid w:val="0010734B"/>
    <w:rsid w:val="001076B4"/>
    <w:rsid w:val="001077A2"/>
    <w:rsid w:val="00107ACE"/>
    <w:rsid w:val="00110116"/>
    <w:rsid w:val="00110466"/>
    <w:rsid w:val="00110D9E"/>
    <w:rsid w:val="001116D9"/>
    <w:rsid w:val="001118F8"/>
    <w:rsid w:val="00111968"/>
    <w:rsid w:val="00111CA3"/>
    <w:rsid w:val="00112639"/>
    <w:rsid w:val="0011274E"/>
    <w:rsid w:val="00112A18"/>
    <w:rsid w:val="00112AEA"/>
    <w:rsid w:val="00112DFB"/>
    <w:rsid w:val="001130D1"/>
    <w:rsid w:val="001135D2"/>
    <w:rsid w:val="00113F79"/>
    <w:rsid w:val="001140AB"/>
    <w:rsid w:val="00114108"/>
    <w:rsid w:val="001141AB"/>
    <w:rsid w:val="001146AC"/>
    <w:rsid w:val="001147DF"/>
    <w:rsid w:val="00114B88"/>
    <w:rsid w:val="00115080"/>
    <w:rsid w:val="00115291"/>
    <w:rsid w:val="001155BE"/>
    <w:rsid w:val="0011598E"/>
    <w:rsid w:val="00115CF8"/>
    <w:rsid w:val="00116F71"/>
    <w:rsid w:val="001171BA"/>
    <w:rsid w:val="001174A0"/>
    <w:rsid w:val="001175C8"/>
    <w:rsid w:val="00117A0C"/>
    <w:rsid w:val="00117A73"/>
    <w:rsid w:val="00117DFD"/>
    <w:rsid w:val="001204D9"/>
    <w:rsid w:val="0012087E"/>
    <w:rsid w:val="001209BF"/>
    <w:rsid w:val="001213F0"/>
    <w:rsid w:val="0012148B"/>
    <w:rsid w:val="00121885"/>
    <w:rsid w:val="00121CE2"/>
    <w:rsid w:val="00122175"/>
    <w:rsid w:val="001224B3"/>
    <w:rsid w:val="00122ED8"/>
    <w:rsid w:val="0012329D"/>
    <w:rsid w:val="0012332F"/>
    <w:rsid w:val="00123A48"/>
    <w:rsid w:val="00123C38"/>
    <w:rsid w:val="00123CFE"/>
    <w:rsid w:val="00123F5D"/>
    <w:rsid w:val="001240A7"/>
    <w:rsid w:val="0012441B"/>
    <w:rsid w:val="00124927"/>
    <w:rsid w:val="00124C56"/>
    <w:rsid w:val="00125B59"/>
    <w:rsid w:val="00125CD4"/>
    <w:rsid w:val="00125FE9"/>
    <w:rsid w:val="0012631E"/>
    <w:rsid w:val="0012658E"/>
    <w:rsid w:val="00126650"/>
    <w:rsid w:val="001269E6"/>
    <w:rsid w:val="00126EB8"/>
    <w:rsid w:val="001271FB"/>
    <w:rsid w:val="00127672"/>
    <w:rsid w:val="00127B0B"/>
    <w:rsid w:val="00127C94"/>
    <w:rsid w:val="00127CD2"/>
    <w:rsid w:val="00130407"/>
    <w:rsid w:val="00131182"/>
    <w:rsid w:val="001313D5"/>
    <w:rsid w:val="0013141B"/>
    <w:rsid w:val="00131C1E"/>
    <w:rsid w:val="001322CD"/>
    <w:rsid w:val="001322EB"/>
    <w:rsid w:val="001323E0"/>
    <w:rsid w:val="00132F95"/>
    <w:rsid w:val="00133288"/>
    <w:rsid w:val="001334B7"/>
    <w:rsid w:val="00133541"/>
    <w:rsid w:val="00133C0C"/>
    <w:rsid w:val="00133D14"/>
    <w:rsid w:val="001340ED"/>
    <w:rsid w:val="00134720"/>
    <w:rsid w:val="00134EDB"/>
    <w:rsid w:val="001350A0"/>
    <w:rsid w:val="001351F5"/>
    <w:rsid w:val="001354F6"/>
    <w:rsid w:val="0013550D"/>
    <w:rsid w:val="00135840"/>
    <w:rsid w:val="001359AC"/>
    <w:rsid w:val="00135B1B"/>
    <w:rsid w:val="00135D78"/>
    <w:rsid w:val="001363AA"/>
    <w:rsid w:val="001363B3"/>
    <w:rsid w:val="001363DF"/>
    <w:rsid w:val="0013665B"/>
    <w:rsid w:val="00136941"/>
    <w:rsid w:val="00136F4A"/>
    <w:rsid w:val="001372CC"/>
    <w:rsid w:val="00137408"/>
    <w:rsid w:val="00137702"/>
    <w:rsid w:val="001379EE"/>
    <w:rsid w:val="00137A01"/>
    <w:rsid w:val="00137B97"/>
    <w:rsid w:val="0014042A"/>
    <w:rsid w:val="00140700"/>
    <w:rsid w:val="00140C65"/>
    <w:rsid w:val="00140DAA"/>
    <w:rsid w:val="001415F0"/>
    <w:rsid w:val="00141734"/>
    <w:rsid w:val="00141A40"/>
    <w:rsid w:val="00141C57"/>
    <w:rsid w:val="00141C95"/>
    <w:rsid w:val="00141CF1"/>
    <w:rsid w:val="00142827"/>
    <w:rsid w:val="001430AE"/>
    <w:rsid w:val="00143193"/>
    <w:rsid w:val="00143246"/>
    <w:rsid w:val="0014337C"/>
    <w:rsid w:val="00143730"/>
    <w:rsid w:val="00143848"/>
    <w:rsid w:val="001438AA"/>
    <w:rsid w:val="00143CAB"/>
    <w:rsid w:val="00143CC9"/>
    <w:rsid w:val="00143E12"/>
    <w:rsid w:val="00144043"/>
    <w:rsid w:val="0014407F"/>
    <w:rsid w:val="00144097"/>
    <w:rsid w:val="0014426C"/>
    <w:rsid w:val="00144297"/>
    <w:rsid w:val="001448F4"/>
    <w:rsid w:val="00144C16"/>
    <w:rsid w:val="00144C1F"/>
    <w:rsid w:val="00145E3B"/>
    <w:rsid w:val="00145E6A"/>
    <w:rsid w:val="00145FBA"/>
    <w:rsid w:val="00146424"/>
    <w:rsid w:val="001469A9"/>
    <w:rsid w:val="00146D1B"/>
    <w:rsid w:val="00146DC9"/>
    <w:rsid w:val="00147493"/>
    <w:rsid w:val="001477AD"/>
    <w:rsid w:val="001478F8"/>
    <w:rsid w:val="00147D49"/>
    <w:rsid w:val="00147E3C"/>
    <w:rsid w:val="0015048A"/>
    <w:rsid w:val="001505D7"/>
    <w:rsid w:val="001514D3"/>
    <w:rsid w:val="0015152C"/>
    <w:rsid w:val="00151A02"/>
    <w:rsid w:val="00151C46"/>
    <w:rsid w:val="00151D93"/>
    <w:rsid w:val="00152771"/>
    <w:rsid w:val="00152DFC"/>
    <w:rsid w:val="00152E8E"/>
    <w:rsid w:val="0015342B"/>
    <w:rsid w:val="00153A66"/>
    <w:rsid w:val="00153C3C"/>
    <w:rsid w:val="00153CFD"/>
    <w:rsid w:val="001545F1"/>
    <w:rsid w:val="00154675"/>
    <w:rsid w:val="0015497B"/>
    <w:rsid w:val="00154CCB"/>
    <w:rsid w:val="00154CFE"/>
    <w:rsid w:val="00154E76"/>
    <w:rsid w:val="00154F0C"/>
    <w:rsid w:val="0015518A"/>
    <w:rsid w:val="001553C4"/>
    <w:rsid w:val="00155AFB"/>
    <w:rsid w:val="001560D7"/>
    <w:rsid w:val="0015673A"/>
    <w:rsid w:val="00156754"/>
    <w:rsid w:val="001570BE"/>
    <w:rsid w:val="001572ED"/>
    <w:rsid w:val="001573EB"/>
    <w:rsid w:val="00157ABC"/>
    <w:rsid w:val="00157EF2"/>
    <w:rsid w:val="00160184"/>
    <w:rsid w:val="0016048C"/>
    <w:rsid w:val="001607FA"/>
    <w:rsid w:val="001609E8"/>
    <w:rsid w:val="00160CB6"/>
    <w:rsid w:val="00160EFC"/>
    <w:rsid w:val="001610D3"/>
    <w:rsid w:val="001612D5"/>
    <w:rsid w:val="00161994"/>
    <w:rsid w:val="00161A56"/>
    <w:rsid w:val="00161C37"/>
    <w:rsid w:val="0016221A"/>
    <w:rsid w:val="001627E2"/>
    <w:rsid w:val="00162ABC"/>
    <w:rsid w:val="00162C94"/>
    <w:rsid w:val="00163F2B"/>
    <w:rsid w:val="001642C0"/>
    <w:rsid w:val="001644E4"/>
    <w:rsid w:val="0016467D"/>
    <w:rsid w:val="001646DC"/>
    <w:rsid w:val="0016487F"/>
    <w:rsid w:val="0016499A"/>
    <w:rsid w:val="00164A5F"/>
    <w:rsid w:val="00164C2F"/>
    <w:rsid w:val="001650FD"/>
    <w:rsid w:val="001651A9"/>
    <w:rsid w:val="0016521B"/>
    <w:rsid w:val="001652C4"/>
    <w:rsid w:val="0016539C"/>
    <w:rsid w:val="001659B3"/>
    <w:rsid w:val="00165FDE"/>
    <w:rsid w:val="0016660A"/>
    <w:rsid w:val="00166831"/>
    <w:rsid w:val="001668C7"/>
    <w:rsid w:val="00167143"/>
    <w:rsid w:val="00167324"/>
    <w:rsid w:val="001674BE"/>
    <w:rsid w:val="001677EF"/>
    <w:rsid w:val="00167BD9"/>
    <w:rsid w:val="00167C4B"/>
    <w:rsid w:val="00167D9E"/>
    <w:rsid w:val="001701BA"/>
    <w:rsid w:val="00170215"/>
    <w:rsid w:val="001708D5"/>
    <w:rsid w:val="00170945"/>
    <w:rsid w:val="00170C93"/>
    <w:rsid w:val="0017117E"/>
    <w:rsid w:val="001711E0"/>
    <w:rsid w:val="001713F2"/>
    <w:rsid w:val="0017167A"/>
    <w:rsid w:val="001716DB"/>
    <w:rsid w:val="001719AB"/>
    <w:rsid w:val="00171D01"/>
    <w:rsid w:val="00171D2F"/>
    <w:rsid w:val="00171F9A"/>
    <w:rsid w:val="00171FCB"/>
    <w:rsid w:val="001726BF"/>
    <w:rsid w:val="00172865"/>
    <w:rsid w:val="00172B44"/>
    <w:rsid w:val="0017317C"/>
    <w:rsid w:val="00173A16"/>
    <w:rsid w:val="00173D65"/>
    <w:rsid w:val="001742B2"/>
    <w:rsid w:val="00174D0E"/>
    <w:rsid w:val="001752D3"/>
    <w:rsid w:val="00175361"/>
    <w:rsid w:val="00175AE9"/>
    <w:rsid w:val="0017602F"/>
    <w:rsid w:val="0017632B"/>
    <w:rsid w:val="001764D0"/>
    <w:rsid w:val="0017667D"/>
    <w:rsid w:val="001770E3"/>
    <w:rsid w:val="00177341"/>
    <w:rsid w:val="001779E0"/>
    <w:rsid w:val="00177D4B"/>
    <w:rsid w:val="00177F00"/>
    <w:rsid w:val="0018024D"/>
    <w:rsid w:val="00180AEE"/>
    <w:rsid w:val="00180BF3"/>
    <w:rsid w:val="00180BF5"/>
    <w:rsid w:val="00180F30"/>
    <w:rsid w:val="00181281"/>
    <w:rsid w:val="001817DA"/>
    <w:rsid w:val="00182069"/>
    <w:rsid w:val="00182348"/>
    <w:rsid w:val="00182DD7"/>
    <w:rsid w:val="001830C9"/>
    <w:rsid w:val="0018393B"/>
    <w:rsid w:val="0018396E"/>
    <w:rsid w:val="0018403D"/>
    <w:rsid w:val="00184675"/>
    <w:rsid w:val="0018468B"/>
    <w:rsid w:val="00184851"/>
    <w:rsid w:val="00184A42"/>
    <w:rsid w:val="00184C75"/>
    <w:rsid w:val="00184EB9"/>
    <w:rsid w:val="001851FB"/>
    <w:rsid w:val="00185364"/>
    <w:rsid w:val="00185EED"/>
    <w:rsid w:val="00185F20"/>
    <w:rsid w:val="0018644B"/>
    <w:rsid w:val="00186500"/>
    <w:rsid w:val="00186616"/>
    <w:rsid w:val="001867F0"/>
    <w:rsid w:val="00186832"/>
    <w:rsid w:val="00187CAF"/>
    <w:rsid w:val="00187DBF"/>
    <w:rsid w:val="00187FEA"/>
    <w:rsid w:val="00190D32"/>
    <w:rsid w:val="00191412"/>
    <w:rsid w:val="0019199D"/>
    <w:rsid w:val="00191CCF"/>
    <w:rsid w:val="00191D57"/>
    <w:rsid w:val="00192312"/>
    <w:rsid w:val="0019293B"/>
    <w:rsid w:val="0019331C"/>
    <w:rsid w:val="001935A1"/>
    <w:rsid w:val="00193930"/>
    <w:rsid w:val="00193D26"/>
    <w:rsid w:val="00193E33"/>
    <w:rsid w:val="00193E40"/>
    <w:rsid w:val="00193EAA"/>
    <w:rsid w:val="0019402D"/>
    <w:rsid w:val="001941AD"/>
    <w:rsid w:val="001941E9"/>
    <w:rsid w:val="001946E2"/>
    <w:rsid w:val="001948ED"/>
    <w:rsid w:val="00194A58"/>
    <w:rsid w:val="00195157"/>
    <w:rsid w:val="0019562B"/>
    <w:rsid w:val="00195657"/>
    <w:rsid w:val="001959A3"/>
    <w:rsid w:val="001959B1"/>
    <w:rsid w:val="00195BD1"/>
    <w:rsid w:val="00196214"/>
    <w:rsid w:val="00196491"/>
    <w:rsid w:val="0019649E"/>
    <w:rsid w:val="0019729C"/>
    <w:rsid w:val="00197484"/>
    <w:rsid w:val="0019756F"/>
    <w:rsid w:val="001976AF"/>
    <w:rsid w:val="001A06BB"/>
    <w:rsid w:val="001A0F41"/>
    <w:rsid w:val="001A1190"/>
    <w:rsid w:val="001A12A0"/>
    <w:rsid w:val="001A1558"/>
    <w:rsid w:val="001A1637"/>
    <w:rsid w:val="001A1996"/>
    <w:rsid w:val="001A1F6F"/>
    <w:rsid w:val="001A25A7"/>
    <w:rsid w:val="001A2A7F"/>
    <w:rsid w:val="001A2EBF"/>
    <w:rsid w:val="001A32B5"/>
    <w:rsid w:val="001A36F5"/>
    <w:rsid w:val="001A39A7"/>
    <w:rsid w:val="001A44F3"/>
    <w:rsid w:val="001A478F"/>
    <w:rsid w:val="001A49DB"/>
    <w:rsid w:val="001A505C"/>
    <w:rsid w:val="001A5965"/>
    <w:rsid w:val="001A5A9D"/>
    <w:rsid w:val="001A5D10"/>
    <w:rsid w:val="001A5D3D"/>
    <w:rsid w:val="001A670C"/>
    <w:rsid w:val="001A6766"/>
    <w:rsid w:val="001A677B"/>
    <w:rsid w:val="001A6AA4"/>
    <w:rsid w:val="001A6E67"/>
    <w:rsid w:val="001A6FCA"/>
    <w:rsid w:val="001A7714"/>
    <w:rsid w:val="001A7980"/>
    <w:rsid w:val="001A7A50"/>
    <w:rsid w:val="001A7C33"/>
    <w:rsid w:val="001B00D0"/>
    <w:rsid w:val="001B04C6"/>
    <w:rsid w:val="001B057F"/>
    <w:rsid w:val="001B0997"/>
    <w:rsid w:val="001B0DCF"/>
    <w:rsid w:val="001B1089"/>
    <w:rsid w:val="001B116E"/>
    <w:rsid w:val="001B1456"/>
    <w:rsid w:val="001B167A"/>
    <w:rsid w:val="001B1793"/>
    <w:rsid w:val="001B1B52"/>
    <w:rsid w:val="001B1C5D"/>
    <w:rsid w:val="001B229C"/>
    <w:rsid w:val="001B2443"/>
    <w:rsid w:val="001B2A83"/>
    <w:rsid w:val="001B2D4E"/>
    <w:rsid w:val="001B310A"/>
    <w:rsid w:val="001B384C"/>
    <w:rsid w:val="001B3851"/>
    <w:rsid w:val="001B3A3B"/>
    <w:rsid w:val="001B3A4E"/>
    <w:rsid w:val="001B3AB4"/>
    <w:rsid w:val="001B4043"/>
    <w:rsid w:val="001B4050"/>
    <w:rsid w:val="001B465C"/>
    <w:rsid w:val="001B49D7"/>
    <w:rsid w:val="001B4D55"/>
    <w:rsid w:val="001B58EA"/>
    <w:rsid w:val="001B64AB"/>
    <w:rsid w:val="001B65F0"/>
    <w:rsid w:val="001B6BDB"/>
    <w:rsid w:val="001B6D22"/>
    <w:rsid w:val="001B6EBE"/>
    <w:rsid w:val="001B76FA"/>
    <w:rsid w:val="001B7A0C"/>
    <w:rsid w:val="001B7E51"/>
    <w:rsid w:val="001C018D"/>
    <w:rsid w:val="001C0696"/>
    <w:rsid w:val="001C0865"/>
    <w:rsid w:val="001C1300"/>
    <w:rsid w:val="001C15D7"/>
    <w:rsid w:val="001C16E0"/>
    <w:rsid w:val="001C1960"/>
    <w:rsid w:val="001C1DDC"/>
    <w:rsid w:val="001C1E61"/>
    <w:rsid w:val="001C2228"/>
    <w:rsid w:val="001C2CF8"/>
    <w:rsid w:val="001C37A4"/>
    <w:rsid w:val="001C38AF"/>
    <w:rsid w:val="001C3ABA"/>
    <w:rsid w:val="001C3C92"/>
    <w:rsid w:val="001C4339"/>
    <w:rsid w:val="001C4B02"/>
    <w:rsid w:val="001C5662"/>
    <w:rsid w:val="001C58F6"/>
    <w:rsid w:val="001C5C53"/>
    <w:rsid w:val="001C5F57"/>
    <w:rsid w:val="001C641C"/>
    <w:rsid w:val="001C647C"/>
    <w:rsid w:val="001C6590"/>
    <w:rsid w:val="001C7437"/>
    <w:rsid w:val="001C7BAF"/>
    <w:rsid w:val="001D04D7"/>
    <w:rsid w:val="001D0613"/>
    <w:rsid w:val="001D0880"/>
    <w:rsid w:val="001D0CA3"/>
    <w:rsid w:val="001D0F2E"/>
    <w:rsid w:val="001D1195"/>
    <w:rsid w:val="001D120C"/>
    <w:rsid w:val="001D1490"/>
    <w:rsid w:val="001D1497"/>
    <w:rsid w:val="001D1B32"/>
    <w:rsid w:val="001D1C87"/>
    <w:rsid w:val="001D21B1"/>
    <w:rsid w:val="001D2645"/>
    <w:rsid w:val="001D2D56"/>
    <w:rsid w:val="001D32C5"/>
    <w:rsid w:val="001D3533"/>
    <w:rsid w:val="001D35B6"/>
    <w:rsid w:val="001D3C52"/>
    <w:rsid w:val="001D3E65"/>
    <w:rsid w:val="001D4385"/>
    <w:rsid w:val="001D4944"/>
    <w:rsid w:val="001D4CD5"/>
    <w:rsid w:val="001D50CE"/>
    <w:rsid w:val="001D5158"/>
    <w:rsid w:val="001D56AC"/>
    <w:rsid w:val="001D61D1"/>
    <w:rsid w:val="001D61FF"/>
    <w:rsid w:val="001D664B"/>
    <w:rsid w:val="001D6859"/>
    <w:rsid w:val="001D75ED"/>
    <w:rsid w:val="001D7A25"/>
    <w:rsid w:val="001D7DC3"/>
    <w:rsid w:val="001E09AA"/>
    <w:rsid w:val="001E0ADD"/>
    <w:rsid w:val="001E12CE"/>
    <w:rsid w:val="001E1BC2"/>
    <w:rsid w:val="001E2330"/>
    <w:rsid w:val="001E25B7"/>
    <w:rsid w:val="001E26BC"/>
    <w:rsid w:val="001E2D09"/>
    <w:rsid w:val="001E3503"/>
    <w:rsid w:val="001E388C"/>
    <w:rsid w:val="001E3B6B"/>
    <w:rsid w:val="001E41C4"/>
    <w:rsid w:val="001E478E"/>
    <w:rsid w:val="001E48FC"/>
    <w:rsid w:val="001E4AF3"/>
    <w:rsid w:val="001E4C3E"/>
    <w:rsid w:val="001E4E08"/>
    <w:rsid w:val="001E5100"/>
    <w:rsid w:val="001E5C4B"/>
    <w:rsid w:val="001E5C5B"/>
    <w:rsid w:val="001E606D"/>
    <w:rsid w:val="001E6561"/>
    <w:rsid w:val="001E65EE"/>
    <w:rsid w:val="001E6B48"/>
    <w:rsid w:val="001E7797"/>
    <w:rsid w:val="001E7815"/>
    <w:rsid w:val="001E791B"/>
    <w:rsid w:val="001E7BE8"/>
    <w:rsid w:val="001E7CC6"/>
    <w:rsid w:val="001F0036"/>
    <w:rsid w:val="001F0064"/>
    <w:rsid w:val="001F0248"/>
    <w:rsid w:val="001F098F"/>
    <w:rsid w:val="001F09B4"/>
    <w:rsid w:val="001F0A49"/>
    <w:rsid w:val="001F0BA4"/>
    <w:rsid w:val="001F0E26"/>
    <w:rsid w:val="001F0F29"/>
    <w:rsid w:val="001F0F4F"/>
    <w:rsid w:val="001F1185"/>
    <w:rsid w:val="001F13A5"/>
    <w:rsid w:val="001F13B6"/>
    <w:rsid w:val="001F15DA"/>
    <w:rsid w:val="001F1621"/>
    <w:rsid w:val="001F16BC"/>
    <w:rsid w:val="001F1B84"/>
    <w:rsid w:val="001F1E7C"/>
    <w:rsid w:val="001F2352"/>
    <w:rsid w:val="001F26FD"/>
    <w:rsid w:val="001F29CA"/>
    <w:rsid w:val="001F3011"/>
    <w:rsid w:val="001F33C8"/>
    <w:rsid w:val="001F3404"/>
    <w:rsid w:val="001F34E8"/>
    <w:rsid w:val="001F3811"/>
    <w:rsid w:val="001F3B41"/>
    <w:rsid w:val="001F402B"/>
    <w:rsid w:val="001F4106"/>
    <w:rsid w:val="001F4A33"/>
    <w:rsid w:val="001F4C0B"/>
    <w:rsid w:val="001F4C5D"/>
    <w:rsid w:val="001F4CAE"/>
    <w:rsid w:val="001F5561"/>
    <w:rsid w:val="001F5803"/>
    <w:rsid w:val="001F5E9F"/>
    <w:rsid w:val="001F6672"/>
    <w:rsid w:val="001F6A0D"/>
    <w:rsid w:val="001F7114"/>
    <w:rsid w:val="001F735C"/>
    <w:rsid w:val="001F7A37"/>
    <w:rsid w:val="001F7D6D"/>
    <w:rsid w:val="001F7F04"/>
    <w:rsid w:val="002000F9"/>
    <w:rsid w:val="002002AA"/>
    <w:rsid w:val="00201442"/>
    <w:rsid w:val="002017B4"/>
    <w:rsid w:val="002017CC"/>
    <w:rsid w:val="002017DE"/>
    <w:rsid w:val="00201A0B"/>
    <w:rsid w:val="00201D3F"/>
    <w:rsid w:val="00201E3B"/>
    <w:rsid w:val="0020255B"/>
    <w:rsid w:val="0020296D"/>
    <w:rsid w:val="00202BAB"/>
    <w:rsid w:val="00202C2C"/>
    <w:rsid w:val="0020345F"/>
    <w:rsid w:val="00203BB2"/>
    <w:rsid w:val="00204043"/>
    <w:rsid w:val="00204577"/>
    <w:rsid w:val="002047FD"/>
    <w:rsid w:val="00204932"/>
    <w:rsid w:val="00204A2A"/>
    <w:rsid w:val="00204AF9"/>
    <w:rsid w:val="00204C94"/>
    <w:rsid w:val="002050F8"/>
    <w:rsid w:val="002051FF"/>
    <w:rsid w:val="00205544"/>
    <w:rsid w:val="00205938"/>
    <w:rsid w:val="00205AC8"/>
    <w:rsid w:val="00205DE4"/>
    <w:rsid w:val="002061F6"/>
    <w:rsid w:val="00206352"/>
    <w:rsid w:val="002063F3"/>
    <w:rsid w:val="002064AB"/>
    <w:rsid w:val="00206A5F"/>
    <w:rsid w:val="00206A6F"/>
    <w:rsid w:val="00206E3D"/>
    <w:rsid w:val="00207355"/>
    <w:rsid w:val="0020741C"/>
    <w:rsid w:val="00207588"/>
    <w:rsid w:val="0020796D"/>
    <w:rsid w:val="00207BA0"/>
    <w:rsid w:val="00207D65"/>
    <w:rsid w:val="002101ED"/>
    <w:rsid w:val="0021057E"/>
    <w:rsid w:val="00211376"/>
    <w:rsid w:val="002114F4"/>
    <w:rsid w:val="00211820"/>
    <w:rsid w:val="002118B8"/>
    <w:rsid w:val="00211A61"/>
    <w:rsid w:val="00211C36"/>
    <w:rsid w:val="00211C41"/>
    <w:rsid w:val="00212011"/>
    <w:rsid w:val="00212164"/>
    <w:rsid w:val="00212372"/>
    <w:rsid w:val="00212399"/>
    <w:rsid w:val="0021255E"/>
    <w:rsid w:val="002125EB"/>
    <w:rsid w:val="002126ED"/>
    <w:rsid w:val="00212ABE"/>
    <w:rsid w:val="00213455"/>
    <w:rsid w:val="00213BF5"/>
    <w:rsid w:val="00214004"/>
    <w:rsid w:val="00214A88"/>
    <w:rsid w:val="00214D2E"/>
    <w:rsid w:val="00215011"/>
    <w:rsid w:val="00215485"/>
    <w:rsid w:val="00215759"/>
    <w:rsid w:val="002157D9"/>
    <w:rsid w:val="00215BB8"/>
    <w:rsid w:val="00215FA5"/>
    <w:rsid w:val="002160C7"/>
    <w:rsid w:val="00216242"/>
    <w:rsid w:val="0021640A"/>
    <w:rsid w:val="00216721"/>
    <w:rsid w:val="00216849"/>
    <w:rsid w:val="00216ADB"/>
    <w:rsid w:val="00216B08"/>
    <w:rsid w:val="00216B9B"/>
    <w:rsid w:val="00216C24"/>
    <w:rsid w:val="00216EF2"/>
    <w:rsid w:val="002173F3"/>
    <w:rsid w:val="00217EF3"/>
    <w:rsid w:val="00220131"/>
    <w:rsid w:val="00220797"/>
    <w:rsid w:val="00220798"/>
    <w:rsid w:val="0022083A"/>
    <w:rsid w:val="00220CB7"/>
    <w:rsid w:val="00220E9F"/>
    <w:rsid w:val="0022182D"/>
    <w:rsid w:val="0022319C"/>
    <w:rsid w:val="00223450"/>
    <w:rsid w:val="00223485"/>
    <w:rsid w:val="0022359E"/>
    <w:rsid w:val="002237A2"/>
    <w:rsid w:val="00223C4D"/>
    <w:rsid w:val="002248BA"/>
    <w:rsid w:val="002249BB"/>
    <w:rsid w:val="00224B26"/>
    <w:rsid w:val="00225267"/>
    <w:rsid w:val="002255CC"/>
    <w:rsid w:val="00225994"/>
    <w:rsid w:val="00226498"/>
    <w:rsid w:val="0022670B"/>
    <w:rsid w:val="00226710"/>
    <w:rsid w:val="002268D8"/>
    <w:rsid w:val="002276EC"/>
    <w:rsid w:val="00227930"/>
    <w:rsid w:val="00227A91"/>
    <w:rsid w:val="00227BC8"/>
    <w:rsid w:val="00227CA5"/>
    <w:rsid w:val="002300E8"/>
    <w:rsid w:val="00230780"/>
    <w:rsid w:val="00230905"/>
    <w:rsid w:val="00230C95"/>
    <w:rsid w:val="00230F42"/>
    <w:rsid w:val="00231179"/>
    <w:rsid w:val="002312D2"/>
    <w:rsid w:val="002312E9"/>
    <w:rsid w:val="002313E7"/>
    <w:rsid w:val="002314A1"/>
    <w:rsid w:val="0023151F"/>
    <w:rsid w:val="0023172E"/>
    <w:rsid w:val="00231D5D"/>
    <w:rsid w:val="00231E9A"/>
    <w:rsid w:val="00232FBB"/>
    <w:rsid w:val="0023314C"/>
    <w:rsid w:val="00233222"/>
    <w:rsid w:val="002337AE"/>
    <w:rsid w:val="00233BC0"/>
    <w:rsid w:val="00234577"/>
    <w:rsid w:val="002349C4"/>
    <w:rsid w:val="00235998"/>
    <w:rsid w:val="00235CC3"/>
    <w:rsid w:val="00236172"/>
    <w:rsid w:val="002365F3"/>
    <w:rsid w:val="00236915"/>
    <w:rsid w:val="00236DE7"/>
    <w:rsid w:val="00236F2C"/>
    <w:rsid w:val="00237209"/>
    <w:rsid w:val="00237597"/>
    <w:rsid w:val="00237742"/>
    <w:rsid w:val="002379B6"/>
    <w:rsid w:val="00237D93"/>
    <w:rsid w:val="00237FE5"/>
    <w:rsid w:val="002405BB"/>
    <w:rsid w:val="0024081F"/>
    <w:rsid w:val="00241277"/>
    <w:rsid w:val="00241320"/>
    <w:rsid w:val="002414BA"/>
    <w:rsid w:val="002414F8"/>
    <w:rsid w:val="002414F9"/>
    <w:rsid w:val="00241617"/>
    <w:rsid w:val="00241A33"/>
    <w:rsid w:val="00242279"/>
    <w:rsid w:val="0024255E"/>
    <w:rsid w:val="00242B0A"/>
    <w:rsid w:val="00242B91"/>
    <w:rsid w:val="00242F3A"/>
    <w:rsid w:val="0024378F"/>
    <w:rsid w:val="00243A6A"/>
    <w:rsid w:val="00243B3F"/>
    <w:rsid w:val="00243EEA"/>
    <w:rsid w:val="002446A3"/>
    <w:rsid w:val="00244749"/>
    <w:rsid w:val="00244A8E"/>
    <w:rsid w:val="00244CF6"/>
    <w:rsid w:val="00244D29"/>
    <w:rsid w:val="002450D2"/>
    <w:rsid w:val="0024564C"/>
    <w:rsid w:val="00245CAE"/>
    <w:rsid w:val="00245EF6"/>
    <w:rsid w:val="00246087"/>
    <w:rsid w:val="00246379"/>
    <w:rsid w:val="00246955"/>
    <w:rsid w:val="00246C0B"/>
    <w:rsid w:val="00246EB8"/>
    <w:rsid w:val="00246ECA"/>
    <w:rsid w:val="00246F87"/>
    <w:rsid w:val="00246F9D"/>
    <w:rsid w:val="002472D8"/>
    <w:rsid w:val="00247370"/>
    <w:rsid w:val="00247395"/>
    <w:rsid w:val="00247642"/>
    <w:rsid w:val="00247B3D"/>
    <w:rsid w:val="00247B6C"/>
    <w:rsid w:val="00247E35"/>
    <w:rsid w:val="00250D14"/>
    <w:rsid w:val="00250E4E"/>
    <w:rsid w:val="00250FBC"/>
    <w:rsid w:val="00251319"/>
    <w:rsid w:val="00251562"/>
    <w:rsid w:val="00251583"/>
    <w:rsid w:val="0025180B"/>
    <w:rsid w:val="00251D23"/>
    <w:rsid w:val="00251E0C"/>
    <w:rsid w:val="00251E1C"/>
    <w:rsid w:val="002520DE"/>
    <w:rsid w:val="0025252F"/>
    <w:rsid w:val="00252B80"/>
    <w:rsid w:val="00252C38"/>
    <w:rsid w:val="00252CAA"/>
    <w:rsid w:val="00252DF3"/>
    <w:rsid w:val="00252EC6"/>
    <w:rsid w:val="00253255"/>
    <w:rsid w:val="002532C8"/>
    <w:rsid w:val="00253760"/>
    <w:rsid w:val="00253A9E"/>
    <w:rsid w:val="00253B1C"/>
    <w:rsid w:val="00253F4F"/>
    <w:rsid w:val="00254BB3"/>
    <w:rsid w:val="00254BCB"/>
    <w:rsid w:val="00255187"/>
    <w:rsid w:val="0025527F"/>
    <w:rsid w:val="00255470"/>
    <w:rsid w:val="0025555D"/>
    <w:rsid w:val="00255583"/>
    <w:rsid w:val="00255C3A"/>
    <w:rsid w:val="002568E7"/>
    <w:rsid w:val="002571D5"/>
    <w:rsid w:val="0025733F"/>
    <w:rsid w:val="002576C5"/>
    <w:rsid w:val="00260302"/>
    <w:rsid w:val="0026088F"/>
    <w:rsid w:val="0026118D"/>
    <w:rsid w:val="002614EE"/>
    <w:rsid w:val="0026170F"/>
    <w:rsid w:val="00262219"/>
    <w:rsid w:val="00262CF3"/>
    <w:rsid w:val="002636CE"/>
    <w:rsid w:val="00263ABD"/>
    <w:rsid w:val="00263F08"/>
    <w:rsid w:val="002644FD"/>
    <w:rsid w:val="0026454E"/>
    <w:rsid w:val="00264956"/>
    <w:rsid w:val="0026526B"/>
    <w:rsid w:val="0026590F"/>
    <w:rsid w:val="00265940"/>
    <w:rsid w:val="00265B4D"/>
    <w:rsid w:val="00265DB7"/>
    <w:rsid w:val="00266488"/>
    <w:rsid w:val="00266A59"/>
    <w:rsid w:val="00266BC4"/>
    <w:rsid w:val="00266D16"/>
    <w:rsid w:val="0026711E"/>
    <w:rsid w:val="0026766A"/>
    <w:rsid w:val="00267A06"/>
    <w:rsid w:val="00267D3B"/>
    <w:rsid w:val="00267E4F"/>
    <w:rsid w:val="00267F76"/>
    <w:rsid w:val="002702C4"/>
    <w:rsid w:val="00270E9E"/>
    <w:rsid w:val="00271B5C"/>
    <w:rsid w:val="002723B0"/>
    <w:rsid w:val="00272A85"/>
    <w:rsid w:val="00272D6D"/>
    <w:rsid w:val="00273135"/>
    <w:rsid w:val="002735A7"/>
    <w:rsid w:val="0027398D"/>
    <w:rsid w:val="00273D1E"/>
    <w:rsid w:val="002744CE"/>
    <w:rsid w:val="00274890"/>
    <w:rsid w:val="00274E55"/>
    <w:rsid w:val="002750E3"/>
    <w:rsid w:val="002751A4"/>
    <w:rsid w:val="002751A7"/>
    <w:rsid w:val="00275431"/>
    <w:rsid w:val="00275F9E"/>
    <w:rsid w:val="002761C8"/>
    <w:rsid w:val="0027625B"/>
    <w:rsid w:val="00276671"/>
    <w:rsid w:val="00276C2C"/>
    <w:rsid w:val="00276FA0"/>
    <w:rsid w:val="0027744B"/>
    <w:rsid w:val="00277719"/>
    <w:rsid w:val="00277C09"/>
    <w:rsid w:val="00277D73"/>
    <w:rsid w:val="002803F8"/>
    <w:rsid w:val="002806F0"/>
    <w:rsid w:val="00280724"/>
    <w:rsid w:val="00280BB2"/>
    <w:rsid w:val="00280E56"/>
    <w:rsid w:val="002810B7"/>
    <w:rsid w:val="002816D8"/>
    <w:rsid w:val="002816FB"/>
    <w:rsid w:val="00281CB5"/>
    <w:rsid w:val="0028249D"/>
    <w:rsid w:val="002828D3"/>
    <w:rsid w:val="00282A83"/>
    <w:rsid w:val="00282F7F"/>
    <w:rsid w:val="002833BC"/>
    <w:rsid w:val="0028380A"/>
    <w:rsid w:val="00284174"/>
    <w:rsid w:val="002841DB"/>
    <w:rsid w:val="0028432A"/>
    <w:rsid w:val="002843B4"/>
    <w:rsid w:val="00284627"/>
    <w:rsid w:val="0028495D"/>
    <w:rsid w:val="002849B0"/>
    <w:rsid w:val="00284C6D"/>
    <w:rsid w:val="002850FA"/>
    <w:rsid w:val="0028570A"/>
    <w:rsid w:val="00285B7A"/>
    <w:rsid w:val="00285C39"/>
    <w:rsid w:val="0028629C"/>
    <w:rsid w:val="00286658"/>
    <w:rsid w:val="00286A74"/>
    <w:rsid w:val="00286DEC"/>
    <w:rsid w:val="002870BB"/>
    <w:rsid w:val="002875F4"/>
    <w:rsid w:val="002876B4"/>
    <w:rsid w:val="002878E8"/>
    <w:rsid w:val="00290029"/>
    <w:rsid w:val="002905A7"/>
    <w:rsid w:val="002910C9"/>
    <w:rsid w:val="002911E2"/>
    <w:rsid w:val="002919B8"/>
    <w:rsid w:val="00291B40"/>
    <w:rsid w:val="00291E55"/>
    <w:rsid w:val="00291F6E"/>
    <w:rsid w:val="002922E5"/>
    <w:rsid w:val="0029231D"/>
    <w:rsid w:val="002929FD"/>
    <w:rsid w:val="00292DDD"/>
    <w:rsid w:val="00293007"/>
    <w:rsid w:val="00293119"/>
    <w:rsid w:val="00293211"/>
    <w:rsid w:val="00293350"/>
    <w:rsid w:val="0029339D"/>
    <w:rsid w:val="00293768"/>
    <w:rsid w:val="00293868"/>
    <w:rsid w:val="002941F1"/>
    <w:rsid w:val="002945E5"/>
    <w:rsid w:val="002947F6"/>
    <w:rsid w:val="00294A0B"/>
    <w:rsid w:val="00295628"/>
    <w:rsid w:val="002956A4"/>
    <w:rsid w:val="00295811"/>
    <w:rsid w:val="0029588E"/>
    <w:rsid w:val="002959C4"/>
    <w:rsid w:val="002959CA"/>
    <w:rsid w:val="00295AC5"/>
    <w:rsid w:val="00295FEF"/>
    <w:rsid w:val="00296661"/>
    <w:rsid w:val="00296AB6"/>
    <w:rsid w:val="00296EBF"/>
    <w:rsid w:val="00296FE9"/>
    <w:rsid w:val="00297723"/>
    <w:rsid w:val="002977A8"/>
    <w:rsid w:val="0029795B"/>
    <w:rsid w:val="00297CBA"/>
    <w:rsid w:val="00297E5E"/>
    <w:rsid w:val="00297F2E"/>
    <w:rsid w:val="002A003B"/>
    <w:rsid w:val="002A08DC"/>
    <w:rsid w:val="002A0AF1"/>
    <w:rsid w:val="002A0D6E"/>
    <w:rsid w:val="002A0D8F"/>
    <w:rsid w:val="002A0E01"/>
    <w:rsid w:val="002A1A37"/>
    <w:rsid w:val="002A1ACE"/>
    <w:rsid w:val="002A1B59"/>
    <w:rsid w:val="002A1C87"/>
    <w:rsid w:val="002A1FC0"/>
    <w:rsid w:val="002A23A8"/>
    <w:rsid w:val="002A27C9"/>
    <w:rsid w:val="002A293E"/>
    <w:rsid w:val="002A2AAF"/>
    <w:rsid w:val="002A2EEE"/>
    <w:rsid w:val="002A3AD4"/>
    <w:rsid w:val="002A4593"/>
    <w:rsid w:val="002A4B30"/>
    <w:rsid w:val="002A4E05"/>
    <w:rsid w:val="002A4F6B"/>
    <w:rsid w:val="002A4F70"/>
    <w:rsid w:val="002A5121"/>
    <w:rsid w:val="002A541D"/>
    <w:rsid w:val="002A5743"/>
    <w:rsid w:val="002A5CE6"/>
    <w:rsid w:val="002A5EE5"/>
    <w:rsid w:val="002A693E"/>
    <w:rsid w:val="002A6E44"/>
    <w:rsid w:val="002A6EDB"/>
    <w:rsid w:val="002A7490"/>
    <w:rsid w:val="002A762C"/>
    <w:rsid w:val="002A7EDF"/>
    <w:rsid w:val="002B00F5"/>
    <w:rsid w:val="002B029A"/>
    <w:rsid w:val="002B02BB"/>
    <w:rsid w:val="002B0B9A"/>
    <w:rsid w:val="002B0E67"/>
    <w:rsid w:val="002B0EAC"/>
    <w:rsid w:val="002B11E7"/>
    <w:rsid w:val="002B1201"/>
    <w:rsid w:val="002B136B"/>
    <w:rsid w:val="002B1520"/>
    <w:rsid w:val="002B1DB3"/>
    <w:rsid w:val="002B1EB7"/>
    <w:rsid w:val="002B2103"/>
    <w:rsid w:val="002B2391"/>
    <w:rsid w:val="002B2D38"/>
    <w:rsid w:val="002B316E"/>
    <w:rsid w:val="002B3DB8"/>
    <w:rsid w:val="002B4008"/>
    <w:rsid w:val="002B40DA"/>
    <w:rsid w:val="002B49FC"/>
    <w:rsid w:val="002B54EE"/>
    <w:rsid w:val="002B5642"/>
    <w:rsid w:val="002B5679"/>
    <w:rsid w:val="002B570E"/>
    <w:rsid w:val="002B57AB"/>
    <w:rsid w:val="002B59A3"/>
    <w:rsid w:val="002B5AD5"/>
    <w:rsid w:val="002B5EE5"/>
    <w:rsid w:val="002B60D1"/>
    <w:rsid w:val="002B61E4"/>
    <w:rsid w:val="002B6B78"/>
    <w:rsid w:val="002B6EFE"/>
    <w:rsid w:val="002B72D4"/>
    <w:rsid w:val="002B7397"/>
    <w:rsid w:val="002B791F"/>
    <w:rsid w:val="002B7AEB"/>
    <w:rsid w:val="002B7C00"/>
    <w:rsid w:val="002B7D99"/>
    <w:rsid w:val="002C0000"/>
    <w:rsid w:val="002C05A7"/>
    <w:rsid w:val="002C0857"/>
    <w:rsid w:val="002C0D06"/>
    <w:rsid w:val="002C0DB8"/>
    <w:rsid w:val="002C176C"/>
    <w:rsid w:val="002C1DEC"/>
    <w:rsid w:val="002C21C4"/>
    <w:rsid w:val="002C2577"/>
    <w:rsid w:val="002C2675"/>
    <w:rsid w:val="002C27DC"/>
    <w:rsid w:val="002C283D"/>
    <w:rsid w:val="002C2EA1"/>
    <w:rsid w:val="002C3021"/>
    <w:rsid w:val="002C3391"/>
    <w:rsid w:val="002C3616"/>
    <w:rsid w:val="002C3DD9"/>
    <w:rsid w:val="002C49C3"/>
    <w:rsid w:val="002C4B37"/>
    <w:rsid w:val="002C4ECF"/>
    <w:rsid w:val="002C525D"/>
    <w:rsid w:val="002C5CFB"/>
    <w:rsid w:val="002C64CF"/>
    <w:rsid w:val="002C65C4"/>
    <w:rsid w:val="002C6907"/>
    <w:rsid w:val="002C6C7D"/>
    <w:rsid w:val="002C7449"/>
    <w:rsid w:val="002C79A4"/>
    <w:rsid w:val="002C79AB"/>
    <w:rsid w:val="002C7C98"/>
    <w:rsid w:val="002C7CFA"/>
    <w:rsid w:val="002C7DF9"/>
    <w:rsid w:val="002D0061"/>
    <w:rsid w:val="002D02F8"/>
    <w:rsid w:val="002D037C"/>
    <w:rsid w:val="002D091B"/>
    <w:rsid w:val="002D0E8E"/>
    <w:rsid w:val="002D1308"/>
    <w:rsid w:val="002D1438"/>
    <w:rsid w:val="002D1571"/>
    <w:rsid w:val="002D1C08"/>
    <w:rsid w:val="002D1C1B"/>
    <w:rsid w:val="002D1CAE"/>
    <w:rsid w:val="002D207B"/>
    <w:rsid w:val="002D20E6"/>
    <w:rsid w:val="002D21AF"/>
    <w:rsid w:val="002D2864"/>
    <w:rsid w:val="002D2DA2"/>
    <w:rsid w:val="002D2E09"/>
    <w:rsid w:val="002D2FC0"/>
    <w:rsid w:val="002D33E4"/>
    <w:rsid w:val="002D34F0"/>
    <w:rsid w:val="002D3710"/>
    <w:rsid w:val="002D3951"/>
    <w:rsid w:val="002D42E9"/>
    <w:rsid w:val="002D4338"/>
    <w:rsid w:val="002D45FC"/>
    <w:rsid w:val="002D47D2"/>
    <w:rsid w:val="002D55F7"/>
    <w:rsid w:val="002D574E"/>
    <w:rsid w:val="002D58AB"/>
    <w:rsid w:val="002D590D"/>
    <w:rsid w:val="002D5C11"/>
    <w:rsid w:val="002D6944"/>
    <w:rsid w:val="002D6ADF"/>
    <w:rsid w:val="002D6D0A"/>
    <w:rsid w:val="002D715A"/>
    <w:rsid w:val="002D73AB"/>
    <w:rsid w:val="002D7543"/>
    <w:rsid w:val="002D758F"/>
    <w:rsid w:val="002D7D5E"/>
    <w:rsid w:val="002D7D65"/>
    <w:rsid w:val="002E00FF"/>
    <w:rsid w:val="002E0352"/>
    <w:rsid w:val="002E0483"/>
    <w:rsid w:val="002E06BF"/>
    <w:rsid w:val="002E079A"/>
    <w:rsid w:val="002E094B"/>
    <w:rsid w:val="002E0A5F"/>
    <w:rsid w:val="002E0AF9"/>
    <w:rsid w:val="002E0DD6"/>
    <w:rsid w:val="002E0F02"/>
    <w:rsid w:val="002E0F0F"/>
    <w:rsid w:val="002E1345"/>
    <w:rsid w:val="002E157E"/>
    <w:rsid w:val="002E1CC7"/>
    <w:rsid w:val="002E1DE3"/>
    <w:rsid w:val="002E1F16"/>
    <w:rsid w:val="002E204D"/>
    <w:rsid w:val="002E25D5"/>
    <w:rsid w:val="002E25DC"/>
    <w:rsid w:val="002E25F9"/>
    <w:rsid w:val="002E28BA"/>
    <w:rsid w:val="002E35B5"/>
    <w:rsid w:val="002E39D6"/>
    <w:rsid w:val="002E3AFC"/>
    <w:rsid w:val="002E3E0D"/>
    <w:rsid w:val="002E44E3"/>
    <w:rsid w:val="002E494B"/>
    <w:rsid w:val="002E4A26"/>
    <w:rsid w:val="002E5A7F"/>
    <w:rsid w:val="002E5B3D"/>
    <w:rsid w:val="002E5C30"/>
    <w:rsid w:val="002E5C55"/>
    <w:rsid w:val="002E62A2"/>
    <w:rsid w:val="002E6346"/>
    <w:rsid w:val="002E658D"/>
    <w:rsid w:val="002E65DB"/>
    <w:rsid w:val="002E67B5"/>
    <w:rsid w:val="002E6FEA"/>
    <w:rsid w:val="002E74DC"/>
    <w:rsid w:val="002E7905"/>
    <w:rsid w:val="002E7B83"/>
    <w:rsid w:val="002F0287"/>
    <w:rsid w:val="002F0417"/>
    <w:rsid w:val="002F0C19"/>
    <w:rsid w:val="002F0F45"/>
    <w:rsid w:val="002F1054"/>
    <w:rsid w:val="002F1CD1"/>
    <w:rsid w:val="002F1D44"/>
    <w:rsid w:val="002F211A"/>
    <w:rsid w:val="002F21A9"/>
    <w:rsid w:val="002F2412"/>
    <w:rsid w:val="002F2CB6"/>
    <w:rsid w:val="002F2E1E"/>
    <w:rsid w:val="002F3040"/>
    <w:rsid w:val="002F3187"/>
    <w:rsid w:val="002F31B4"/>
    <w:rsid w:val="002F328C"/>
    <w:rsid w:val="002F3361"/>
    <w:rsid w:val="002F36D7"/>
    <w:rsid w:val="002F3AC7"/>
    <w:rsid w:val="002F40FE"/>
    <w:rsid w:val="002F4164"/>
    <w:rsid w:val="002F4419"/>
    <w:rsid w:val="002F458B"/>
    <w:rsid w:val="002F481B"/>
    <w:rsid w:val="002F4C8D"/>
    <w:rsid w:val="002F4EF0"/>
    <w:rsid w:val="002F4F9A"/>
    <w:rsid w:val="002F5AE2"/>
    <w:rsid w:val="002F5E4C"/>
    <w:rsid w:val="002F60CF"/>
    <w:rsid w:val="002F6276"/>
    <w:rsid w:val="002F6328"/>
    <w:rsid w:val="002F6543"/>
    <w:rsid w:val="002F6554"/>
    <w:rsid w:val="002F7229"/>
    <w:rsid w:val="002F73C8"/>
    <w:rsid w:val="002F7628"/>
    <w:rsid w:val="002F798D"/>
    <w:rsid w:val="002F7FC7"/>
    <w:rsid w:val="00300329"/>
    <w:rsid w:val="0030072E"/>
    <w:rsid w:val="00300F79"/>
    <w:rsid w:val="00301189"/>
    <w:rsid w:val="003020A9"/>
    <w:rsid w:val="00302291"/>
    <w:rsid w:val="003022A0"/>
    <w:rsid w:val="00302360"/>
    <w:rsid w:val="00302501"/>
    <w:rsid w:val="003029CE"/>
    <w:rsid w:val="00302BB3"/>
    <w:rsid w:val="00302C59"/>
    <w:rsid w:val="00302CFB"/>
    <w:rsid w:val="00302DDE"/>
    <w:rsid w:val="00302F35"/>
    <w:rsid w:val="00302FD2"/>
    <w:rsid w:val="003030F0"/>
    <w:rsid w:val="003031C1"/>
    <w:rsid w:val="003031FA"/>
    <w:rsid w:val="00303E27"/>
    <w:rsid w:val="00304733"/>
    <w:rsid w:val="00304A00"/>
    <w:rsid w:val="00304BCB"/>
    <w:rsid w:val="00304DE7"/>
    <w:rsid w:val="003069A0"/>
    <w:rsid w:val="00307095"/>
    <w:rsid w:val="0030760C"/>
    <w:rsid w:val="0030783A"/>
    <w:rsid w:val="00310447"/>
    <w:rsid w:val="00310860"/>
    <w:rsid w:val="00310DF5"/>
    <w:rsid w:val="00310F84"/>
    <w:rsid w:val="00311360"/>
    <w:rsid w:val="003114D0"/>
    <w:rsid w:val="003117B9"/>
    <w:rsid w:val="00312401"/>
    <w:rsid w:val="00312C05"/>
    <w:rsid w:val="00313323"/>
    <w:rsid w:val="00313367"/>
    <w:rsid w:val="00313653"/>
    <w:rsid w:val="00313B53"/>
    <w:rsid w:val="00313C3B"/>
    <w:rsid w:val="00314085"/>
    <w:rsid w:val="0031452F"/>
    <w:rsid w:val="0031506D"/>
    <w:rsid w:val="00315666"/>
    <w:rsid w:val="00316902"/>
    <w:rsid w:val="0031695E"/>
    <w:rsid w:val="00316B8A"/>
    <w:rsid w:val="00316C44"/>
    <w:rsid w:val="00316C95"/>
    <w:rsid w:val="00316D2B"/>
    <w:rsid w:val="00316DD6"/>
    <w:rsid w:val="00316E68"/>
    <w:rsid w:val="0031744E"/>
    <w:rsid w:val="0031794B"/>
    <w:rsid w:val="0032022D"/>
    <w:rsid w:val="0032023D"/>
    <w:rsid w:val="0032032F"/>
    <w:rsid w:val="00320380"/>
    <w:rsid w:val="003206DA"/>
    <w:rsid w:val="0032079A"/>
    <w:rsid w:val="00320C76"/>
    <w:rsid w:val="00320FC4"/>
    <w:rsid w:val="0032118B"/>
    <w:rsid w:val="003211C5"/>
    <w:rsid w:val="003212B5"/>
    <w:rsid w:val="0032135C"/>
    <w:rsid w:val="0032143F"/>
    <w:rsid w:val="003215AD"/>
    <w:rsid w:val="003218FB"/>
    <w:rsid w:val="00321DEA"/>
    <w:rsid w:val="00321F5F"/>
    <w:rsid w:val="003221DF"/>
    <w:rsid w:val="00322B5B"/>
    <w:rsid w:val="00322F94"/>
    <w:rsid w:val="00323342"/>
    <w:rsid w:val="0032336C"/>
    <w:rsid w:val="00323E09"/>
    <w:rsid w:val="00323F7E"/>
    <w:rsid w:val="00324B3F"/>
    <w:rsid w:val="00325014"/>
    <w:rsid w:val="003252E4"/>
    <w:rsid w:val="003254F0"/>
    <w:rsid w:val="003258B2"/>
    <w:rsid w:val="00325C1B"/>
    <w:rsid w:val="00325E75"/>
    <w:rsid w:val="00325EE8"/>
    <w:rsid w:val="0032607A"/>
    <w:rsid w:val="00326328"/>
    <w:rsid w:val="00326879"/>
    <w:rsid w:val="00326BD3"/>
    <w:rsid w:val="00326EE4"/>
    <w:rsid w:val="003271AB"/>
    <w:rsid w:val="0032735E"/>
    <w:rsid w:val="003273ED"/>
    <w:rsid w:val="0032755E"/>
    <w:rsid w:val="00327589"/>
    <w:rsid w:val="00327779"/>
    <w:rsid w:val="00330E0A"/>
    <w:rsid w:val="00331CCC"/>
    <w:rsid w:val="003320CB"/>
    <w:rsid w:val="00332446"/>
    <w:rsid w:val="00332831"/>
    <w:rsid w:val="00332C8A"/>
    <w:rsid w:val="00332DAA"/>
    <w:rsid w:val="0033317F"/>
    <w:rsid w:val="0033344E"/>
    <w:rsid w:val="00333606"/>
    <w:rsid w:val="003336E7"/>
    <w:rsid w:val="00333715"/>
    <w:rsid w:val="00333932"/>
    <w:rsid w:val="00333A40"/>
    <w:rsid w:val="00333D76"/>
    <w:rsid w:val="00334274"/>
    <w:rsid w:val="0033429D"/>
    <w:rsid w:val="0033431F"/>
    <w:rsid w:val="00334BF7"/>
    <w:rsid w:val="00334D33"/>
    <w:rsid w:val="00334F07"/>
    <w:rsid w:val="0033576D"/>
    <w:rsid w:val="003358BB"/>
    <w:rsid w:val="00335A2C"/>
    <w:rsid w:val="00335F80"/>
    <w:rsid w:val="00335FFD"/>
    <w:rsid w:val="0033647F"/>
    <w:rsid w:val="00336812"/>
    <w:rsid w:val="00336C71"/>
    <w:rsid w:val="00337237"/>
    <w:rsid w:val="00337686"/>
    <w:rsid w:val="00337798"/>
    <w:rsid w:val="00337C3D"/>
    <w:rsid w:val="00340641"/>
    <w:rsid w:val="0034089D"/>
    <w:rsid w:val="003408C7"/>
    <w:rsid w:val="003409D4"/>
    <w:rsid w:val="00340BB1"/>
    <w:rsid w:val="00341E25"/>
    <w:rsid w:val="00342565"/>
    <w:rsid w:val="0034265B"/>
    <w:rsid w:val="003430B0"/>
    <w:rsid w:val="00343135"/>
    <w:rsid w:val="00343268"/>
    <w:rsid w:val="00343354"/>
    <w:rsid w:val="00343ADF"/>
    <w:rsid w:val="00343B93"/>
    <w:rsid w:val="00343D9D"/>
    <w:rsid w:val="00343DED"/>
    <w:rsid w:val="00343DF1"/>
    <w:rsid w:val="003440B9"/>
    <w:rsid w:val="003445D0"/>
    <w:rsid w:val="003448C0"/>
    <w:rsid w:val="00344AF7"/>
    <w:rsid w:val="0034585E"/>
    <w:rsid w:val="0034596D"/>
    <w:rsid w:val="00346194"/>
    <w:rsid w:val="00346261"/>
    <w:rsid w:val="00346293"/>
    <w:rsid w:val="00346295"/>
    <w:rsid w:val="0034669F"/>
    <w:rsid w:val="003468D0"/>
    <w:rsid w:val="00346A92"/>
    <w:rsid w:val="00347317"/>
    <w:rsid w:val="00347335"/>
    <w:rsid w:val="003473BE"/>
    <w:rsid w:val="00347990"/>
    <w:rsid w:val="0035010E"/>
    <w:rsid w:val="003505F6"/>
    <w:rsid w:val="00350BE7"/>
    <w:rsid w:val="00350CCF"/>
    <w:rsid w:val="0035134C"/>
    <w:rsid w:val="00351478"/>
    <w:rsid w:val="003518AA"/>
    <w:rsid w:val="00351D29"/>
    <w:rsid w:val="00351D58"/>
    <w:rsid w:val="00351DEA"/>
    <w:rsid w:val="00351F8C"/>
    <w:rsid w:val="00351FFC"/>
    <w:rsid w:val="003523F8"/>
    <w:rsid w:val="003526A3"/>
    <w:rsid w:val="00352719"/>
    <w:rsid w:val="00352C9D"/>
    <w:rsid w:val="00352D73"/>
    <w:rsid w:val="003530C2"/>
    <w:rsid w:val="003530F6"/>
    <w:rsid w:val="00353182"/>
    <w:rsid w:val="003531DF"/>
    <w:rsid w:val="0035373E"/>
    <w:rsid w:val="00353A4B"/>
    <w:rsid w:val="003540F1"/>
    <w:rsid w:val="0035412E"/>
    <w:rsid w:val="00354230"/>
    <w:rsid w:val="0035458F"/>
    <w:rsid w:val="0035464B"/>
    <w:rsid w:val="00354742"/>
    <w:rsid w:val="00354B44"/>
    <w:rsid w:val="00354D50"/>
    <w:rsid w:val="00355005"/>
    <w:rsid w:val="00355130"/>
    <w:rsid w:val="00355798"/>
    <w:rsid w:val="003571EA"/>
    <w:rsid w:val="003576CB"/>
    <w:rsid w:val="003602E1"/>
    <w:rsid w:val="00360589"/>
    <w:rsid w:val="00360735"/>
    <w:rsid w:val="00360E96"/>
    <w:rsid w:val="00361AD2"/>
    <w:rsid w:val="00361BA9"/>
    <w:rsid w:val="00361BFA"/>
    <w:rsid w:val="00362136"/>
    <w:rsid w:val="00362522"/>
    <w:rsid w:val="00362AB0"/>
    <w:rsid w:val="00362FB5"/>
    <w:rsid w:val="0036304F"/>
    <w:rsid w:val="003632A0"/>
    <w:rsid w:val="00363578"/>
    <w:rsid w:val="003635A1"/>
    <w:rsid w:val="00363CDA"/>
    <w:rsid w:val="00364166"/>
    <w:rsid w:val="00364183"/>
    <w:rsid w:val="00364C5C"/>
    <w:rsid w:val="00364CF8"/>
    <w:rsid w:val="00364E4D"/>
    <w:rsid w:val="0036598F"/>
    <w:rsid w:val="00365E36"/>
    <w:rsid w:val="00366008"/>
    <w:rsid w:val="0036604F"/>
    <w:rsid w:val="00366143"/>
    <w:rsid w:val="003666CD"/>
    <w:rsid w:val="003669B2"/>
    <w:rsid w:val="00367541"/>
    <w:rsid w:val="003679BA"/>
    <w:rsid w:val="00367F38"/>
    <w:rsid w:val="00370107"/>
    <w:rsid w:val="00370692"/>
    <w:rsid w:val="00371041"/>
    <w:rsid w:val="003710FC"/>
    <w:rsid w:val="003711C6"/>
    <w:rsid w:val="00371240"/>
    <w:rsid w:val="00371309"/>
    <w:rsid w:val="00371551"/>
    <w:rsid w:val="00371761"/>
    <w:rsid w:val="00371B4A"/>
    <w:rsid w:val="003729CC"/>
    <w:rsid w:val="003729FB"/>
    <w:rsid w:val="00372DB8"/>
    <w:rsid w:val="00372E16"/>
    <w:rsid w:val="003731BF"/>
    <w:rsid w:val="00373282"/>
    <w:rsid w:val="00373458"/>
    <w:rsid w:val="00373A1C"/>
    <w:rsid w:val="00373A24"/>
    <w:rsid w:val="00373D2D"/>
    <w:rsid w:val="00373F78"/>
    <w:rsid w:val="003740E4"/>
    <w:rsid w:val="0037419A"/>
    <w:rsid w:val="00374547"/>
    <w:rsid w:val="00374622"/>
    <w:rsid w:val="00374716"/>
    <w:rsid w:val="00374731"/>
    <w:rsid w:val="00374922"/>
    <w:rsid w:val="00374AD4"/>
    <w:rsid w:val="00374B17"/>
    <w:rsid w:val="00374F17"/>
    <w:rsid w:val="00375266"/>
    <w:rsid w:val="003754B8"/>
    <w:rsid w:val="003758F5"/>
    <w:rsid w:val="0037665F"/>
    <w:rsid w:val="00376E68"/>
    <w:rsid w:val="003770C0"/>
    <w:rsid w:val="0037761D"/>
    <w:rsid w:val="00377737"/>
    <w:rsid w:val="00377898"/>
    <w:rsid w:val="003779D7"/>
    <w:rsid w:val="00377AEC"/>
    <w:rsid w:val="00377CD4"/>
    <w:rsid w:val="00377CF4"/>
    <w:rsid w:val="00377E2E"/>
    <w:rsid w:val="00377E9F"/>
    <w:rsid w:val="00377FE9"/>
    <w:rsid w:val="003804D0"/>
    <w:rsid w:val="00380692"/>
    <w:rsid w:val="00380959"/>
    <w:rsid w:val="00380CA0"/>
    <w:rsid w:val="00380D02"/>
    <w:rsid w:val="00380FBB"/>
    <w:rsid w:val="003812D5"/>
    <w:rsid w:val="003815A7"/>
    <w:rsid w:val="00381A6B"/>
    <w:rsid w:val="00382233"/>
    <w:rsid w:val="003826C2"/>
    <w:rsid w:val="00382742"/>
    <w:rsid w:val="00382B49"/>
    <w:rsid w:val="00382BAC"/>
    <w:rsid w:val="00382C70"/>
    <w:rsid w:val="00382EEB"/>
    <w:rsid w:val="003836D4"/>
    <w:rsid w:val="003837AA"/>
    <w:rsid w:val="003839FC"/>
    <w:rsid w:val="00383CF2"/>
    <w:rsid w:val="00383DCF"/>
    <w:rsid w:val="00383F46"/>
    <w:rsid w:val="0038492D"/>
    <w:rsid w:val="00384A15"/>
    <w:rsid w:val="0038592B"/>
    <w:rsid w:val="00385D8E"/>
    <w:rsid w:val="00386EB4"/>
    <w:rsid w:val="00386FED"/>
    <w:rsid w:val="003876E0"/>
    <w:rsid w:val="00387856"/>
    <w:rsid w:val="00387ADB"/>
    <w:rsid w:val="00387C2D"/>
    <w:rsid w:val="00390503"/>
    <w:rsid w:val="00390552"/>
    <w:rsid w:val="003908A4"/>
    <w:rsid w:val="003908A9"/>
    <w:rsid w:val="00390937"/>
    <w:rsid w:val="0039098A"/>
    <w:rsid w:val="00390E9A"/>
    <w:rsid w:val="00391570"/>
    <w:rsid w:val="0039164D"/>
    <w:rsid w:val="00391722"/>
    <w:rsid w:val="003919DB"/>
    <w:rsid w:val="00391B7E"/>
    <w:rsid w:val="0039258B"/>
    <w:rsid w:val="00392F8A"/>
    <w:rsid w:val="0039313C"/>
    <w:rsid w:val="00393346"/>
    <w:rsid w:val="0039346D"/>
    <w:rsid w:val="00393491"/>
    <w:rsid w:val="00393493"/>
    <w:rsid w:val="0039355B"/>
    <w:rsid w:val="00393E4D"/>
    <w:rsid w:val="00394074"/>
    <w:rsid w:val="00394585"/>
    <w:rsid w:val="00394E50"/>
    <w:rsid w:val="00395037"/>
    <w:rsid w:val="00395253"/>
    <w:rsid w:val="003958D3"/>
    <w:rsid w:val="00395D29"/>
    <w:rsid w:val="00395D73"/>
    <w:rsid w:val="00396211"/>
    <w:rsid w:val="003962F7"/>
    <w:rsid w:val="00397C21"/>
    <w:rsid w:val="00397C5A"/>
    <w:rsid w:val="00397D04"/>
    <w:rsid w:val="003A0282"/>
    <w:rsid w:val="003A14EB"/>
    <w:rsid w:val="003A1686"/>
    <w:rsid w:val="003A179E"/>
    <w:rsid w:val="003A181F"/>
    <w:rsid w:val="003A1D2C"/>
    <w:rsid w:val="003A1DA5"/>
    <w:rsid w:val="003A1EA5"/>
    <w:rsid w:val="003A2217"/>
    <w:rsid w:val="003A25CC"/>
    <w:rsid w:val="003A2958"/>
    <w:rsid w:val="003A2B33"/>
    <w:rsid w:val="003A33BE"/>
    <w:rsid w:val="003A341A"/>
    <w:rsid w:val="003A36F6"/>
    <w:rsid w:val="003A3707"/>
    <w:rsid w:val="003A375F"/>
    <w:rsid w:val="003A3B98"/>
    <w:rsid w:val="003A3BF4"/>
    <w:rsid w:val="003A3D2A"/>
    <w:rsid w:val="003A4149"/>
    <w:rsid w:val="003A4767"/>
    <w:rsid w:val="003A4A74"/>
    <w:rsid w:val="003A4DF3"/>
    <w:rsid w:val="003A53C8"/>
    <w:rsid w:val="003A55C8"/>
    <w:rsid w:val="003A57D0"/>
    <w:rsid w:val="003A5B1B"/>
    <w:rsid w:val="003A600D"/>
    <w:rsid w:val="003A629D"/>
    <w:rsid w:val="003A64D6"/>
    <w:rsid w:val="003A68C5"/>
    <w:rsid w:val="003A7B81"/>
    <w:rsid w:val="003B021A"/>
    <w:rsid w:val="003B02C9"/>
    <w:rsid w:val="003B06EC"/>
    <w:rsid w:val="003B083B"/>
    <w:rsid w:val="003B0BC6"/>
    <w:rsid w:val="003B0D7B"/>
    <w:rsid w:val="003B0EBA"/>
    <w:rsid w:val="003B0FCF"/>
    <w:rsid w:val="003B1177"/>
    <w:rsid w:val="003B1591"/>
    <w:rsid w:val="003B1A76"/>
    <w:rsid w:val="003B2986"/>
    <w:rsid w:val="003B2AE9"/>
    <w:rsid w:val="003B2D31"/>
    <w:rsid w:val="003B2D48"/>
    <w:rsid w:val="003B2F43"/>
    <w:rsid w:val="003B3524"/>
    <w:rsid w:val="003B4139"/>
    <w:rsid w:val="003B41AC"/>
    <w:rsid w:val="003B434F"/>
    <w:rsid w:val="003B4875"/>
    <w:rsid w:val="003B4A40"/>
    <w:rsid w:val="003B4EB7"/>
    <w:rsid w:val="003B50FC"/>
    <w:rsid w:val="003B5353"/>
    <w:rsid w:val="003B53E6"/>
    <w:rsid w:val="003B54BD"/>
    <w:rsid w:val="003B54E5"/>
    <w:rsid w:val="003B5808"/>
    <w:rsid w:val="003B5ABA"/>
    <w:rsid w:val="003B5BD1"/>
    <w:rsid w:val="003B5D50"/>
    <w:rsid w:val="003B6140"/>
    <w:rsid w:val="003B6422"/>
    <w:rsid w:val="003B648A"/>
    <w:rsid w:val="003B6814"/>
    <w:rsid w:val="003B68B2"/>
    <w:rsid w:val="003B6AF5"/>
    <w:rsid w:val="003B6B34"/>
    <w:rsid w:val="003B6EF8"/>
    <w:rsid w:val="003B7689"/>
    <w:rsid w:val="003B7AC8"/>
    <w:rsid w:val="003B7B3F"/>
    <w:rsid w:val="003B7D35"/>
    <w:rsid w:val="003C021E"/>
    <w:rsid w:val="003C023B"/>
    <w:rsid w:val="003C0640"/>
    <w:rsid w:val="003C0C80"/>
    <w:rsid w:val="003C0CDD"/>
    <w:rsid w:val="003C0EA6"/>
    <w:rsid w:val="003C1056"/>
    <w:rsid w:val="003C153E"/>
    <w:rsid w:val="003C1688"/>
    <w:rsid w:val="003C21E8"/>
    <w:rsid w:val="003C21EF"/>
    <w:rsid w:val="003C278A"/>
    <w:rsid w:val="003C2817"/>
    <w:rsid w:val="003C28D7"/>
    <w:rsid w:val="003C2F75"/>
    <w:rsid w:val="003C367F"/>
    <w:rsid w:val="003C38B5"/>
    <w:rsid w:val="003C39D8"/>
    <w:rsid w:val="003C3F93"/>
    <w:rsid w:val="003C45DA"/>
    <w:rsid w:val="003C47C9"/>
    <w:rsid w:val="003C5046"/>
    <w:rsid w:val="003C55B1"/>
    <w:rsid w:val="003C58FB"/>
    <w:rsid w:val="003C5B15"/>
    <w:rsid w:val="003C5D99"/>
    <w:rsid w:val="003C5FE0"/>
    <w:rsid w:val="003C6021"/>
    <w:rsid w:val="003C6643"/>
    <w:rsid w:val="003C6E8B"/>
    <w:rsid w:val="003C723F"/>
    <w:rsid w:val="003C7A24"/>
    <w:rsid w:val="003C7DA4"/>
    <w:rsid w:val="003D0374"/>
    <w:rsid w:val="003D0955"/>
    <w:rsid w:val="003D0ADE"/>
    <w:rsid w:val="003D1142"/>
    <w:rsid w:val="003D1194"/>
    <w:rsid w:val="003D14B5"/>
    <w:rsid w:val="003D17F2"/>
    <w:rsid w:val="003D1BAF"/>
    <w:rsid w:val="003D1FC4"/>
    <w:rsid w:val="003D31AD"/>
    <w:rsid w:val="003D37C8"/>
    <w:rsid w:val="003D3803"/>
    <w:rsid w:val="003D3990"/>
    <w:rsid w:val="003D4285"/>
    <w:rsid w:val="003D457A"/>
    <w:rsid w:val="003D4FBB"/>
    <w:rsid w:val="003D5CDE"/>
    <w:rsid w:val="003D5F3C"/>
    <w:rsid w:val="003D618F"/>
    <w:rsid w:val="003D6283"/>
    <w:rsid w:val="003D6C52"/>
    <w:rsid w:val="003D6F50"/>
    <w:rsid w:val="003D7311"/>
    <w:rsid w:val="003E00C5"/>
    <w:rsid w:val="003E0482"/>
    <w:rsid w:val="003E04DF"/>
    <w:rsid w:val="003E067B"/>
    <w:rsid w:val="003E0845"/>
    <w:rsid w:val="003E11B3"/>
    <w:rsid w:val="003E1208"/>
    <w:rsid w:val="003E1273"/>
    <w:rsid w:val="003E1872"/>
    <w:rsid w:val="003E1A0E"/>
    <w:rsid w:val="003E1E2C"/>
    <w:rsid w:val="003E2295"/>
    <w:rsid w:val="003E2920"/>
    <w:rsid w:val="003E2FAF"/>
    <w:rsid w:val="003E306E"/>
    <w:rsid w:val="003E3250"/>
    <w:rsid w:val="003E3577"/>
    <w:rsid w:val="003E3A19"/>
    <w:rsid w:val="003E3BB5"/>
    <w:rsid w:val="003E3BF2"/>
    <w:rsid w:val="003E3F5E"/>
    <w:rsid w:val="003E4188"/>
    <w:rsid w:val="003E4261"/>
    <w:rsid w:val="003E44C5"/>
    <w:rsid w:val="003E45C4"/>
    <w:rsid w:val="003E4784"/>
    <w:rsid w:val="003E5211"/>
    <w:rsid w:val="003E5461"/>
    <w:rsid w:val="003E5758"/>
    <w:rsid w:val="003E64B5"/>
    <w:rsid w:val="003E684C"/>
    <w:rsid w:val="003E6967"/>
    <w:rsid w:val="003E7639"/>
    <w:rsid w:val="003E7718"/>
    <w:rsid w:val="003F0457"/>
    <w:rsid w:val="003F0789"/>
    <w:rsid w:val="003F0D27"/>
    <w:rsid w:val="003F0D8E"/>
    <w:rsid w:val="003F0F53"/>
    <w:rsid w:val="003F1ADD"/>
    <w:rsid w:val="003F28E5"/>
    <w:rsid w:val="003F2988"/>
    <w:rsid w:val="003F2C9A"/>
    <w:rsid w:val="003F2FBD"/>
    <w:rsid w:val="003F301D"/>
    <w:rsid w:val="003F31CA"/>
    <w:rsid w:val="003F43C4"/>
    <w:rsid w:val="003F4524"/>
    <w:rsid w:val="003F505E"/>
    <w:rsid w:val="003F50DE"/>
    <w:rsid w:val="003F511D"/>
    <w:rsid w:val="003F5B08"/>
    <w:rsid w:val="003F6378"/>
    <w:rsid w:val="003F64DE"/>
    <w:rsid w:val="003F67CE"/>
    <w:rsid w:val="003F71D9"/>
    <w:rsid w:val="003F722C"/>
    <w:rsid w:val="003F7285"/>
    <w:rsid w:val="003F7377"/>
    <w:rsid w:val="003F77CC"/>
    <w:rsid w:val="003F7A73"/>
    <w:rsid w:val="003F7BC4"/>
    <w:rsid w:val="003F7C9E"/>
    <w:rsid w:val="00400194"/>
    <w:rsid w:val="00400814"/>
    <w:rsid w:val="00400967"/>
    <w:rsid w:val="00401210"/>
    <w:rsid w:val="004014FD"/>
    <w:rsid w:val="00401882"/>
    <w:rsid w:val="004019DC"/>
    <w:rsid w:val="004024C8"/>
    <w:rsid w:val="0040254F"/>
    <w:rsid w:val="0040285F"/>
    <w:rsid w:val="004030A8"/>
    <w:rsid w:val="00403B7E"/>
    <w:rsid w:val="00403FB9"/>
    <w:rsid w:val="0040437B"/>
    <w:rsid w:val="00404644"/>
    <w:rsid w:val="00404669"/>
    <w:rsid w:val="00404AA7"/>
    <w:rsid w:val="00405260"/>
    <w:rsid w:val="004052A1"/>
    <w:rsid w:val="00405508"/>
    <w:rsid w:val="004062E9"/>
    <w:rsid w:val="0040669E"/>
    <w:rsid w:val="004067F0"/>
    <w:rsid w:val="00406831"/>
    <w:rsid w:val="00406A10"/>
    <w:rsid w:val="00406A64"/>
    <w:rsid w:val="0040710C"/>
    <w:rsid w:val="00407334"/>
    <w:rsid w:val="0040739C"/>
    <w:rsid w:val="0040759F"/>
    <w:rsid w:val="004079AD"/>
    <w:rsid w:val="00407A34"/>
    <w:rsid w:val="00407BC2"/>
    <w:rsid w:val="00407CB8"/>
    <w:rsid w:val="004100C8"/>
    <w:rsid w:val="00410428"/>
    <w:rsid w:val="00410641"/>
    <w:rsid w:val="004108F1"/>
    <w:rsid w:val="00410A16"/>
    <w:rsid w:val="0041102D"/>
    <w:rsid w:val="0041115D"/>
    <w:rsid w:val="004111E4"/>
    <w:rsid w:val="004114D4"/>
    <w:rsid w:val="0041156E"/>
    <w:rsid w:val="00411C92"/>
    <w:rsid w:val="00411D0E"/>
    <w:rsid w:val="004121F9"/>
    <w:rsid w:val="004123E0"/>
    <w:rsid w:val="0041251C"/>
    <w:rsid w:val="00412534"/>
    <w:rsid w:val="00412624"/>
    <w:rsid w:val="00412733"/>
    <w:rsid w:val="00412ACE"/>
    <w:rsid w:val="00412F3C"/>
    <w:rsid w:val="00413387"/>
    <w:rsid w:val="0041385E"/>
    <w:rsid w:val="00413873"/>
    <w:rsid w:val="00413AF8"/>
    <w:rsid w:val="00413EF6"/>
    <w:rsid w:val="00414150"/>
    <w:rsid w:val="004141F1"/>
    <w:rsid w:val="0041427D"/>
    <w:rsid w:val="00414411"/>
    <w:rsid w:val="00414555"/>
    <w:rsid w:val="004145D6"/>
    <w:rsid w:val="00414D77"/>
    <w:rsid w:val="00414E5E"/>
    <w:rsid w:val="00415458"/>
    <w:rsid w:val="004157AE"/>
    <w:rsid w:val="00415B59"/>
    <w:rsid w:val="00415BF2"/>
    <w:rsid w:val="00415C0C"/>
    <w:rsid w:val="00415CD0"/>
    <w:rsid w:val="00415F37"/>
    <w:rsid w:val="00416897"/>
    <w:rsid w:val="004169AC"/>
    <w:rsid w:val="0041729B"/>
    <w:rsid w:val="00417C64"/>
    <w:rsid w:val="00417E61"/>
    <w:rsid w:val="0042006B"/>
    <w:rsid w:val="00420244"/>
    <w:rsid w:val="00420D4C"/>
    <w:rsid w:val="00420F05"/>
    <w:rsid w:val="00420F0E"/>
    <w:rsid w:val="00421027"/>
    <w:rsid w:val="00421A89"/>
    <w:rsid w:val="00421DA1"/>
    <w:rsid w:val="0042212D"/>
    <w:rsid w:val="0042276D"/>
    <w:rsid w:val="00422DE5"/>
    <w:rsid w:val="00422E7D"/>
    <w:rsid w:val="00423072"/>
    <w:rsid w:val="004237A3"/>
    <w:rsid w:val="00423C1C"/>
    <w:rsid w:val="00423CFD"/>
    <w:rsid w:val="0042431B"/>
    <w:rsid w:val="0042445E"/>
    <w:rsid w:val="004249E8"/>
    <w:rsid w:val="00424CC4"/>
    <w:rsid w:val="00425020"/>
    <w:rsid w:val="0042516A"/>
    <w:rsid w:val="004253F0"/>
    <w:rsid w:val="00425722"/>
    <w:rsid w:val="00425B39"/>
    <w:rsid w:val="00425BE8"/>
    <w:rsid w:val="00425C5C"/>
    <w:rsid w:val="00425DDF"/>
    <w:rsid w:val="00426197"/>
    <w:rsid w:val="0042657C"/>
    <w:rsid w:val="00426C10"/>
    <w:rsid w:val="0042740C"/>
    <w:rsid w:val="00427710"/>
    <w:rsid w:val="00430CF6"/>
    <w:rsid w:val="00430D05"/>
    <w:rsid w:val="00430F4F"/>
    <w:rsid w:val="00430FB3"/>
    <w:rsid w:val="00430FD1"/>
    <w:rsid w:val="0043106A"/>
    <w:rsid w:val="00431249"/>
    <w:rsid w:val="00431C62"/>
    <w:rsid w:val="00432294"/>
    <w:rsid w:val="004323A7"/>
    <w:rsid w:val="00432786"/>
    <w:rsid w:val="004328A8"/>
    <w:rsid w:val="00432A5F"/>
    <w:rsid w:val="00432B4C"/>
    <w:rsid w:val="00432E86"/>
    <w:rsid w:val="00432EC7"/>
    <w:rsid w:val="004338C8"/>
    <w:rsid w:val="00433B71"/>
    <w:rsid w:val="00433E29"/>
    <w:rsid w:val="00434194"/>
    <w:rsid w:val="004344E0"/>
    <w:rsid w:val="0043490B"/>
    <w:rsid w:val="00434C19"/>
    <w:rsid w:val="00434FA8"/>
    <w:rsid w:val="00435399"/>
    <w:rsid w:val="0043547A"/>
    <w:rsid w:val="0043558F"/>
    <w:rsid w:val="00435BB6"/>
    <w:rsid w:val="0043619D"/>
    <w:rsid w:val="004361C5"/>
    <w:rsid w:val="00436303"/>
    <w:rsid w:val="00436436"/>
    <w:rsid w:val="004365F3"/>
    <w:rsid w:val="0043661C"/>
    <w:rsid w:val="00436891"/>
    <w:rsid w:val="00436D4F"/>
    <w:rsid w:val="00436DA9"/>
    <w:rsid w:val="004371BE"/>
    <w:rsid w:val="004372D7"/>
    <w:rsid w:val="0043771B"/>
    <w:rsid w:val="004377D8"/>
    <w:rsid w:val="004401EF"/>
    <w:rsid w:val="00440367"/>
    <w:rsid w:val="004405CB"/>
    <w:rsid w:val="004407EA"/>
    <w:rsid w:val="00440C6A"/>
    <w:rsid w:val="00440FB7"/>
    <w:rsid w:val="004410F5"/>
    <w:rsid w:val="00441DB8"/>
    <w:rsid w:val="0044275D"/>
    <w:rsid w:val="00442AA3"/>
    <w:rsid w:val="00443258"/>
    <w:rsid w:val="00443D56"/>
    <w:rsid w:val="00444C46"/>
    <w:rsid w:val="00444EDD"/>
    <w:rsid w:val="00445A60"/>
    <w:rsid w:val="00445BA8"/>
    <w:rsid w:val="00446013"/>
    <w:rsid w:val="00446017"/>
    <w:rsid w:val="0044615F"/>
    <w:rsid w:val="004465F6"/>
    <w:rsid w:val="00446660"/>
    <w:rsid w:val="004466D7"/>
    <w:rsid w:val="00446998"/>
    <w:rsid w:val="00446AC0"/>
    <w:rsid w:val="00446B4B"/>
    <w:rsid w:val="0044735A"/>
    <w:rsid w:val="004476E0"/>
    <w:rsid w:val="00447BB2"/>
    <w:rsid w:val="00447CA5"/>
    <w:rsid w:val="00447EE5"/>
    <w:rsid w:val="00450810"/>
    <w:rsid w:val="00450BC6"/>
    <w:rsid w:val="00450FA2"/>
    <w:rsid w:val="0045114E"/>
    <w:rsid w:val="00451301"/>
    <w:rsid w:val="004514A4"/>
    <w:rsid w:val="00451B09"/>
    <w:rsid w:val="00451C44"/>
    <w:rsid w:val="00451CB0"/>
    <w:rsid w:val="00451DEA"/>
    <w:rsid w:val="00452058"/>
    <w:rsid w:val="00452282"/>
    <w:rsid w:val="0045297E"/>
    <w:rsid w:val="00452B3E"/>
    <w:rsid w:val="00452BA4"/>
    <w:rsid w:val="004530CD"/>
    <w:rsid w:val="004533A4"/>
    <w:rsid w:val="0045377F"/>
    <w:rsid w:val="00453DBC"/>
    <w:rsid w:val="004541A3"/>
    <w:rsid w:val="00454676"/>
    <w:rsid w:val="004547DD"/>
    <w:rsid w:val="00454A91"/>
    <w:rsid w:val="00454AFB"/>
    <w:rsid w:val="00454DE0"/>
    <w:rsid w:val="00454EB2"/>
    <w:rsid w:val="00455DCF"/>
    <w:rsid w:val="00455F27"/>
    <w:rsid w:val="00456175"/>
    <w:rsid w:val="004561D7"/>
    <w:rsid w:val="0045632D"/>
    <w:rsid w:val="00456348"/>
    <w:rsid w:val="004563A4"/>
    <w:rsid w:val="00456B69"/>
    <w:rsid w:val="004572CD"/>
    <w:rsid w:val="004573A3"/>
    <w:rsid w:val="0045744F"/>
    <w:rsid w:val="00457C2D"/>
    <w:rsid w:val="00457EC6"/>
    <w:rsid w:val="00457EC9"/>
    <w:rsid w:val="00460322"/>
    <w:rsid w:val="00460406"/>
    <w:rsid w:val="0046050F"/>
    <w:rsid w:val="0046051A"/>
    <w:rsid w:val="0046054D"/>
    <w:rsid w:val="0046125A"/>
    <w:rsid w:val="004614A2"/>
    <w:rsid w:val="00461630"/>
    <w:rsid w:val="004616D0"/>
    <w:rsid w:val="00461721"/>
    <w:rsid w:val="0046192C"/>
    <w:rsid w:val="004619A8"/>
    <w:rsid w:val="00461AAB"/>
    <w:rsid w:val="00462295"/>
    <w:rsid w:val="004624B1"/>
    <w:rsid w:val="0046261A"/>
    <w:rsid w:val="004628A4"/>
    <w:rsid w:val="00462933"/>
    <w:rsid w:val="004629DF"/>
    <w:rsid w:val="00462EAC"/>
    <w:rsid w:val="00463387"/>
    <w:rsid w:val="00463546"/>
    <w:rsid w:val="004635B1"/>
    <w:rsid w:val="00463649"/>
    <w:rsid w:val="004637BA"/>
    <w:rsid w:val="0046428B"/>
    <w:rsid w:val="00464829"/>
    <w:rsid w:val="00464B0A"/>
    <w:rsid w:val="00464B55"/>
    <w:rsid w:val="00465488"/>
    <w:rsid w:val="0046557A"/>
    <w:rsid w:val="00465ED7"/>
    <w:rsid w:val="004662A7"/>
    <w:rsid w:val="0046687B"/>
    <w:rsid w:val="00466AAF"/>
    <w:rsid w:val="00466ADE"/>
    <w:rsid w:val="00466AE8"/>
    <w:rsid w:val="00466CEF"/>
    <w:rsid w:val="00466E46"/>
    <w:rsid w:val="00466F7E"/>
    <w:rsid w:val="0046702C"/>
    <w:rsid w:val="00467258"/>
    <w:rsid w:val="0046746F"/>
    <w:rsid w:val="0046768A"/>
    <w:rsid w:val="00467808"/>
    <w:rsid w:val="004679A4"/>
    <w:rsid w:val="004679C6"/>
    <w:rsid w:val="00470109"/>
    <w:rsid w:val="00470462"/>
    <w:rsid w:val="0047058D"/>
    <w:rsid w:val="00470DA2"/>
    <w:rsid w:val="0047107E"/>
    <w:rsid w:val="004710B6"/>
    <w:rsid w:val="004715E3"/>
    <w:rsid w:val="0047192F"/>
    <w:rsid w:val="00471D66"/>
    <w:rsid w:val="00471FA0"/>
    <w:rsid w:val="00471FE3"/>
    <w:rsid w:val="00472142"/>
    <w:rsid w:val="004726CE"/>
    <w:rsid w:val="00472E6C"/>
    <w:rsid w:val="0047327D"/>
    <w:rsid w:val="00473E44"/>
    <w:rsid w:val="00473F2B"/>
    <w:rsid w:val="00473F9D"/>
    <w:rsid w:val="004740F2"/>
    <w:rsid w:val="004744F1"/>
    <w:rsid w:val="00474706"/>
    <w:rsid w:val="00474841"/>
    <w:rsid w:val="00474858"/>
    <w:rsid w:val="00474E0C"/>
    <w:rsid w:val="00475232"/>
    <w:rsid w:val="004754B5"/>
    <w:rsid w:val="00475BAB"/>
    <w:rsid w:val="00476459"/>
    <w:rsid w:val="0047653D"/>
    <w:rsid w:val="00476868"/>
    <w:rsid w:val="00477137"/>
    <w:rsid w:val="00477144"/>
    <w:rsid w:val="0047739E"/>
    <w:rsid w:val="004803EB"/>
    <w:rsid w:val="004805C8"/>
    <w:rsid w:val="004809CE"/>
    <w:rsid w:val="00480B01"/>
    <w:rsid w:val="00480C89"/>
    <w:rsid w:val="0048140D"/>
    <w:rsid w:val="00481F7C"/>
    <w:rsid w:val="00482569"/>
    <w:rsid w:val="00482FFB"/>
    <w:rsid w:val="00484296"/>
    <w:rsid w:val="004843DE"/>
    <w:rsid w:val="00484589"/>
    <w:rsid w:val="0048472C"/>
    <w:rsid w:val="00484AB1"/>
    <w:rsid w:val="00484ACF"/>
    <w:rsid w:val="00484EE3"/>
    <w:rsid w:val="00485447"/>
    <w:rsid w:val="004858DC"/>
    <w:rsid w:val="00486028"/>
    <w:rsid w:val="00486458"/>
    <w:rsid w:val="00486854"/>
    <w:rsid w:val="0048696D"/>
    <w:rsid w:val="004869B6"/>
    <w:rsid w:val="00486FAF"/>
    <w:rsid w:val="00487362"/>
    <w:rsid w:val="00487498"/>
    <w:rsid w:val="00487BE2"/>
    <w:rsid w:val="00487C8B"/>
    <w:rsid w:val="00487E08"/>
    <w:rsid w:val="0049056B"/>
    <w:rsid w:val="0049059C"/>
    <w:rsid w:val="00490994"/>
    <w:rsid w:val="00490A13"/>
    <w:rsid w:val="00490A99"/>
    <w:rsid w:val="00490E02"/>
    <w:rsid w:val="00490E96"/>
    <w:rsid w:val="004915CA"/>
    <w:rsid w:val="00491A9B"/>
    <w:rsid w:val="00491AEA"/>
    <w:rsid w:val="004926A8"/>
    <w:rsid w:val="004926F8"/>
    <w:rsid w:val="004930B8"/>
    <w:rsid w:val="00493390"/>
    <w:rsid w:val="0049393F"/>
    <w:rsid w:val="0049459F"/>
    <w:rsid w:val="00494800"/>
    <w:rsid w:val="00495675"/>
    <w:rsid w:val="004959A5"/>
    <w:rsid w:val="00495DA7"/>
    <w:rsid w:val="00495E68"/>
    <w:rsid w:val="00495FF4"/>
    <w:rsid w:val="004961F7"/>
    <w:rsid w:val="0049702E"/>
    <w:rsid w:val="0049731E"/>
    <w:rsid w:val="0049779C"/>
    <w:rsid w:val="004979ED"/>
    <w:rsid w:val="00497DEF"/>
    <w:rsid w:val="004A008B"/>
    <w:rsid w:val="004A01AA"/>
    <w:rsid w:val="004A0290"/>
    <w:rsid w:val="004A0351"/>
    <w:rsid w:val="004A08B5"/>
    <w:rsid w:val="004A0FFF"/>
    <w:rsid w:val="004A1A78"/>
    <w:rsid w:val="004A1C4B"/>
    <w:rsid w:val="004A1E37"/>
    <w:rsid w:val="004A1F27"/>
    <w:rsid w:val="004A23CF"/>
    <w:rsid w:val="004A24E9"/>
    <w:rsid w:val="004A2950"/>
    <w:rsid w:val="004A31CB"/>
    <w:rsid w:val="004A3346"/>
    <w:rsid w:val="004A3721"/>
    <w:rsid w:val="004A3805"/>
    <w:rsid w:val="004A3870"/>
    <w:rsid w:val="004A3A1C"/>
    <w:rsid w:val="004A3EAD"/>
    <w:rsid w:val="004A3EAE"/>
    <w:rsid w:val="004A40C1"/>
    <w:rsid w:val="004A43E6"/>
    <w:rsid w:val="004A4849"/>
    <w:rsid w:val="004A4A79"/>
    <w:rsid w:val="004A4D78"/>
    <w:rsid w:val="004A4D9A"/>
    <w:rsid w:val="004A4F52"/>
    <w:rsid w:val="004A5117"/>
    <w:rsid w:val="004A5202"/>
    <w:rsid w:val="004A54D0"/>
    <w:rsid w:val="004A5512"/>
    <w:rsid w:val="004A5D11"/>
    <w:rsid w:val="004A5EEA"/>
    <w:rsid w:val="004A67A4"/>
    <w:rsid w:val="004A6C03"/>
    <w:rsid w:val="004A713F"/>
    <w:rsid w:val="004A774B"/>
    <w:rsid w:val="004A7BCD"/>
    <w:rsid w:val="004B0AE6"/>
    <w:rsid w:val="004B0F2C"/>
    <w:rsid w:val="004B1135"/>
    <w:rsid w:val="004B11E6"/>
    <w:rsid w:val="004B186A"/>
    <w:rsid w:val="004B1A5B"/>
    <w:rsid w:val="004B1B09"/>
    <w:rsid w:val="004B1CF0"/>
    <w:rsid w:val="004B2130"/>
    <w:rsid w:val="004B2834"/>
    <w:rsid w:val="004B2C15"/>
    <w:rsid w:val="004B32E5"/>
    <w:rsid w:val="004B3ACA"/>
    <w:rsid w:val="004B407E"/>
    <w:rsid w:val="004B43AE"/>
    <w:rsid w:val="004B4435"/>
    <w:rsid w:val="004B4481"/>
    <w:rsid w:val="004B4575"/>
    <w:rsid w:val="004B4B47"/>
    <w:rsid w:val="004B51C3"/>
    <w:rsid w:val="004B571A"/>
    <w:rsid w:val="004B5764"/>
    <w:rsid w:val="004B64B5"/>
    <w:rsid w:val="004B6715"/>
    <w:rsid w:val="004B6893"/>
    <w:rsid w:val="004B6A7A"/>
    <w:rsid w:val="004B7440"/>
    <w:rsid w:val="004B7795"/>
    <w:rsid w:val="004B7C48"/>
    <w:rsid w:val="004C007C"/>
    <w:rsid w:val="004C06CB"/>
    <w:rsid w:val="004C0762"/>
    <w:rsid w:val="004C0A3F"/>
    <w:rsid w:val="004C1475"/>
    <w:rsid w:val="004C18A5"/>
    <w:rsid w:val="004C27F9"/>
    <w:rsid w:val="004C2A40"/>
    <w:rsid w:val="004C2A9E"/>
    <w:rsid w:val="004C2BF5"/>
    <w:rsid w:val="004C30ED"/>
    <w:rsid w:val="004C337C"/>
    <w:rsid w:val="004C357D"/>
    <w:rsid w:val="004C3693"/>
    <w:rsid w:val="004C3840"/>
    <w:rsid w:val="004C3859"/>
    <w:rsid w:val="004C3B34"/>
    <w:rsid w:val="004C42F5"/>
    <w:rsid w:val="004C46FA"/>
    <w:rsid w:val="004C49E8"/>
    <w:rsid w:val="004C4D69"/>
    <w:rsid w:val="004C5114"/>
    <w:rsid w:val="004C5597"/>
    <w:rsid w:val="004C6315"/>
    <w:rsid w:val="004C63F4"/>
    <w:rsid w:val="004C678D"/>
    <w:rsid w:val="004C6F5D"/>
    <w:rsid w:val="004C7161"/>
    <w:rsid w:val="004C7183"/>
    <w:rsid w:val="004C753C"/>
    <w:rsid w:val="004C75E9"/>
    <w:rsid w:val="004C7644"/>
    <w:rsid w:val="004C7713"/>
    <w:rsid w:val="004C789B"/>
    <w:rsid w:val="004C7DE1"/>
    <w:rsid w:val="004D0509"/>
    <w:rsid w:val="004D0537"/>
    <w:rsid w:val="004D0624"/>
    <w:rsid w:val="004D087C"/>
    <w:rsid w:val="004D0C05"/>
    <w:rsid w:val="004D0D2E"/>
    <w:rsid w:val="004D0D39"/>
    <w:rsid w:val="004D0E59"/>
    <w:rsid w:val="004D142A"/>
    <w:rsid w:val="004D151C"/>
    <w:rsid w:val="004D1B73"/>
    <w:rsid w:val="004D1F79"/>
    <w:rsid w:val="004D208B"/>
    <w:rsid w:val="004D210D"/>
    <w:rsid w:val="004D23C6"/>
    <w:rsid w:val="004D27AA"/>
    <w:rsid w:val="004D2864"/>
    <w:rsid w:val="004D2A59"/>
    <w:rsid w:val="004D2B06"/>
    <w:rsid w:val="004D2C4B"/>
    <w:rsid w:val="004D2CEE"/>
    <w:rsid w:val="004D343A"/>
    <w:rsid w:val="004D3B88"/>
    <w:rsid w:val="004D3BF4"/>
    <w:rsid w:val="004D3C50"/>
    <w:rsid w:val="004D3F84"/>
    <w:rsid w:val="004D40AD"/>
    <w:rsid w:val="004D45F2"/>
    <w:rsid w:val="004D4944"/>
    <w:rsid w:val="004D49C4"/>
    <w:rsid w:val="004D4E9E"/>
    <w:rsid w:val="004D507C"/>
    <w:rsid w:val="004D5B90"/>
    <w:rsid w:val="004D5EE4"/>
    <w:rsid w:val="004D63B2"/>
    <w:rsid w:val="004D65AF"/>
    <w:rsid w:val="004D662F"/>
    <w:rsid w:val="004D6AFF"/>
    <w:rsid w:val="004D6DFD"/>
    <w:rsid w:val="004D6EFE"/>
    <w:rsid w:val="004D72F7"/>
    <w:rsid w:val="004D76A8"/>
    <w:rsid w:val="004D76B9"/>
    <w:rsid w:val="004D77ED"/>
    <w:rsid w:val="004D7A01"/>
    <w:rsid w:val="004E0008"/>
    <w:rsid w:val="004E066B"/>
    <w:rsid w:val="004E0714"/>
    <w:rsid w:val="004E07D1"/>
    <w:rsid w:val="004E0A44"/>
    <w:rsid w:val="004E0E39"/>
    <w:rsid w:val="004E10D5"/>
    <w:rsid w:val="004E180F"/>
    <w:rsid w:val="004E19E2"/>
    <w:rsid w:val="004E1FB9"/>
    <w:rsid w:val="004E203E"/>
    <w:rsid w:val="004E2312"/>
    <w:rsid w:val="004E2CE6"/>
    <w:rsid w:val="004E2DAB"/>
    <w:rsid w:val="004E30B1"/>
    <w:rsid w:val="004E3131"/>
    <w:rsid w:val="004E3331"/>
    <w:rsid w:val="004E33D7"/>
    <w:rsid w:val="004E3509"/>
    <w:rsid w:val="004E37D0"/>
    <w:rsid w:val="004E3BA1"/>
    <w:rsid w:val="004E3F4D"/>
    <w:rsid w:val="004E3F61"/>
    <w:rsid w:val="004E534E"/>
    <w:rsid w:val="004E53A3"/>
    <w:rsid w:val="004E53EF"/>
    <w:rsid w:val="004E5F25"/>
    <w:rsid w:val="004E6030"/>
    <w:rsid w:val="004E6210"/>
    <w:rsid w:val="004E6245"/>
    <w:rsid w:val="004E64EF"/>
    <w:rsid w:val="004E65AE"/>
    <w:rsid w:val="004E66E2"/>
    <w:rsid w:val="004E6985"/>
    <w:rsid w:val="004E6A88"/>
    <w:rsid w:val="004E6C74"/>
    <w:rsid w:val="004E73C5"/>
    <w:rsid w:val="004E75F3"/>
    <w:rsid w:val="004E7755"/>
    <w:rsid w:val="004E7921"/>
    <w:rsid w:val="004E7A4C"/>
    <w:rsid w:val="004F031C"/>
    <w:rsid w:val="004F0546"/>
    <w:rsid w:val="004F055D"/>
    <w:rsid w:val="004F0736"/>
    <w:rsid w:val="004F0753"/>
    <w:rsid w:val="004F0EC5"/>
    <w:rsid w:val="004F1364"/>
    <w:rsid w:val="004F15B5"/>
    <w:rsid w:val="004F16B0"/>
    <w:rsid w:val="004F17B4"/>
    <w:rsid w:val="004F19E9"/>
    <w:rsid w:val="004F2308"/>
    <w:rsid w:val="004F2385"/>
    <w:rsid w:val="004F2740"/>
    <w:rsid w:val="004F2AD4"/>
    <w:rsid w:val="004F2D04"/>
    <w:rsid w:val="004F2EE1"/>
    <w:rsid w:val="004F2F11"/>
    <w:rsid w:val="004F30C6"/>
    <w:rsid w:val="004F310E"/>
    <w:rsid w:val="004F3198"/>
    <w:rsid w:val="004F40A1"/>
    <w:rsid w:val="004F459C"/>
    <w:rsid w:val="004F4906"/>
    <w:rsid w:val="004F4A48"/>
    <w:rsid w:val="004F4E71"/>
    <w:rsid w:val="004F5372"/>
    <w:rsid w:val="004F5985"/>
    <w:rsid w:val="004F5B22"/>
    <w:rsid w:val="004F5D54"/>
    <w:rsid w:val="004F695B"/>
    <w:rsid w:val="004F6C9D"/>
    <w:rsid w:val="004F715A"/>
    <w:rsid w:val="004F72EC"/>
    <w:rsid w:val="004F73C5"/>
    <w:rsid w:val="004F76DB"/>
    <w:rsid w:val="004F7F57"/>
    <w:rsid w:val="005000C8"/>
    <w:rsid w:val="00500CAD"/>
    <w:rsid w:val="00500E8E"/>
    <w:rsid w:val="005012BF"/>
    <w:rsid w:val="00501660"/>
    <w:rsid w:val="00501A18"/>
    <w:rsid w:val="00501A34"/>
    <w:rsid w:val="00501CFF"/>
    <w:rsid w:val="00502271"/>
    <w:rsid w:val="00502752"/>
    <w:rsid w:val="00502997"/>
    <w:rsid w:val="00502A46"/>
    <w:rsid w:val="00502B75"/>
    <w:rsid w:val="00502BB1"/>
    <w:rsid w:val="00503486"/>
    <w:rsid w:val="005037C7"/>
    <w:rsid w:val="00503B2C"/>
    <w:rsid w:val="00503B56"/>
    <w:rsid w:val="00503E02"/>
    <w:rsid w:val="00504096"/>
    <w:rsid w:val="005040A2"/>
    <w:rsid w:val="0050481D"/>
    <w:rsid w:val="005048B3"/>
    <w:rsid w:val="00504B2D"/>
    <w:rsid w:val="00504E74"/>
    <w:rsid w:val="00505782"/>
    <w:rsid w:val="00505B7F"/>
    <w:rsid w:val="00505C0D"/>
    <w:rsid w:val="00506142"/>
    <w:rsid w:val="0050635E"/>
    <w:rsid w:val="00506821"/>
    <w:rsid w:val="005068DC"/>
    <w:rsid w:val="00506904"/>
    <w:rsid w:val="005069A4"/>
    <w:rsid w:val="005071BE"/>
    <w:rsid w:val="00507336"/>
    <w:rsid w:val="00507779"/>
    <w:rsid w:val="00507D6D"/>
    <w:rsid w:val="00510056"/>
    <w:rsid w:val="005101E8"/>
    <w:rsid w:val="00510E72"/>
    <w:rsid w:val="00511015"/>
    <w:rsid w:val="005110A2"/>
    <w:rsid w:val="00511341"/>
    <w:rsid w:val="005115A6"/>
    <w:rsid w:val="0051200D"/>
    <w:rsid w:val="00512248"/>
    <w:rsid w:val="0051262E"/>
    <w:rsid w:val="00512A4B"/>
    <w:rsid w:val="00512D74"/>
    <w:rsid w:val="00512ECA"/>
    <w:rsid w:val="005138B7"/>
    <w:rsid w:val="00513E19"/>
    <w:rsid w:val="0051409F"/>
    <w:rsid w:val="0051416B"/>
    <w:rsid w:val="0051440A"/>
    <w:rsid w:val="00514533"/>
    <w:rsid w:val="005148EB"/>
    <w:rsid w:val="00514E4F"/>
    <w:rsid w:val="00514E83"/>
    <w:rsid w:val="00515293"/>
    <w:rsid w:val="00515626"/>
    <w:rsid w:val="00516157"/>
    <w:rsid w:val="005165C4"/>
    <w:rsid w:val="005168D0"/>
    <w:rsid w:val="00516C9B"/>
    <w:rsid w:val="00516D0B"/>
    <w:rsid w:val="005172A0"/>
    <w:rsid w:val="005172FE"/>
    <w:rsid w:val="005173BC"/>
    <w:rsid w:val="005174AE"/>
    <w:rsid w:val="00517647"/>
    <w:rsid w:val="00517902"/>
    <w:rsid w:val="00517BF7"/>
    <w:rsid w:val="005200FE"/>
    <w:rsid w:val="005207F1"/>
    <w:rsid w:val="00520A31"/>
    <w:rsid w:val="005215C1"/>
    <w:rsid w:val="00521799"/>
    <w:rsid w:val="0052183E"/>
    <w:rsid w:val="00521968"/>
    <w:rsid w:val="00521B5D"/>
    <w:rsid w:val="005225AF"/>
    <w:rsid w:val="00522C23"/>
    <w:rsid w:val="00523445"/>
    <w:rsid w:val="005235F9"/>
    <w:rsid w:val="00523908"/>
    <w:rsid w:val="00523977"/>
    <w:rsid w:val="00524384"/>
    <w:rsid w:val="00524516"/>
    <w:rsid w:val="00524666"/>
    <w:rsid w:val="00524740"/>
    <w:rsid w:val="00524823"/>
    <w:rsid w:val="00524CC4"/>
    <w:rsid w:val="00525062"/>
    <w:rsid w:val="00525AB3"/>
    <w:rsid w:val="00525D57"/>
    <w:rsid w:val="00526087"/>
    <w:rsid w:val="00526291"/>
    <w:rsid w:val="005262E8"/>
    <w:rsid w:val="005267D7"/>
    <w:rsid w:val="005268FF"/>
    <w:rsid w:val="00526BAA"/>
    <w:rsid w:val="00526BEA"/>
    <w:rsid w:val="00526DCD"/>
    <w:rsid w:val="005271E6"/>
    <w:rsid w:val="005272F2"/>
    <w:rsid w:val="00527467"/>
    <w:rsid w:val="0052764D"/>
    <w:rsid w:val="005300D1"/>
    <w:rsid w:val="005303DD"/>
    <w:rsid w:val="00530462"/>
    <w:rsid w:val="005306BE"/>
    <w:rsid w:val="00530876"/>
    <w:rsid w:val="00531453"/>
    <w:rsid w:val="0053179C"/>
    <w:rsid w:val="00531DB2"/>
    <w:rsid w:val="0053221F"/>
    <w:rsid w:val="00532280"/>
    <w:rsid w:val="0053239E"/>
    <w:rsid w:val="005324D5"/>
    <w:rsid w:val="00532C20"/>
    <w:rsid w:val="00533150"/>
    <w:rsid w:val="005333D6"/>
    <w:rsid w:val="00533819"/>
    <w:rsid w:val="005339DE"/>
    <w:rsid w:val="005343A0"/>
    <w:rsid w:val="005350D6"/>
    <w:rsid w:val="00535409"/>
    <w:rsid w:val="00535739"/>
    <w:rsid w:val="005358A5"/>
    <w:rsid w:val="00535926"/>
    <w:rsid w:val="00535B95"/>
    <w:rsid w:val="00536160"/>
    <w:rsid w:val="0053684D"/>
    <w:rsid w:val="00536AC3"/>
    <w:rsid w:val="00536F13"/>
    <w:rsid w:val="005371E9"/>
    <w:rsid w:val="0053763B"/>
    <w:rsid w:val="00537BCC"/>
    <w:rsid w:val="00537F7B"/>
    <w:rsid w:val="005402DA"/>
    <w:rsid w:val="005407D7"/>
    <w:rsid w:val="00540A44"/>
    <w:rsid w:val="005416EE"/>
    <w:rsid w:val="00541B96"/>
    <w:rsid w:val="00541CC0"/>
    <w:rsid w:val="00541F1C"/>
    <w:rsid w:val="005423BA"/>
    <w:rsid w:val="00542465"/>
    <w:rsid w:val="00542C9E"/>
    <w:rsid w:val="0054334A"/>
    <w:rsid w:val="00543624"/>
    <w:rsid w:val="00543903"/>
    <w:rsid w:val="0054391E"/>
    <w:rsid w:val="00543B22"/>
    <w:rsid w:val="00543E21"/>
    <w:rsid w:val="0054405B"/>
    <w:rsid w:val="00544558"/>
    <w:rsid w:val="005445E4"/>
    <w:rsid w:val="005447E6"/>
    <w:rsid w:val="00544B17"/>
    <w:rsid w:val="0054542F"/>
    <w:rsid w:val="005455CC"/>
    <w:rsid w:val="00545611"/>
    <w:rsid w:val="0054584B"/>
    <w:rsid w:val="00545A67"/>
    <w:rsid w:val="00546176"/>
    <w:rsid w:val="0054650E"/>
    <w:rsid w:val="00546674"/>
    <w:rsid w:val="005467AE"/>
    <w:rsid w:val="00546CA1"/>
    <w:rsid w:val="00546FA2"/>
    <w:rsid w:val="00547056"/>
    <w:rsid w:val="005470C0"/>
    <w:rsid w:val="005471F5"/>
    <w:rsid w:val="005475F7"/>
    <w:rsid w:val="005479F0"/>
    <w:rsid w:val="00547A12"/>
    <w:rsid w:val="00547CD6"/>
    <w:rsid w:val="00547F8B"/>
    <w:rsid w:val="00550191"/>
    <w:rsid w:val="00550406"/>
    <w:rsid w:val="005509E2"/>
    <w:rsid w:val="00550E1A"/>
    <w:rsid w:val="00550EDF"/>
    <w:rsid w:val="005527F4"/>
    <w:rsid w:val="005529DD"/>
    <w:rsid w:val="00552FFF"/>
    <w:rsid w:val="00553A03"/>
    <w:rsid w:val="00553C06"/>
    <w:rsid w:val="00553E02"/>
    <w:rsid w:val="00554051"/>
    <w:rsid w:val="005541B6"/>
    <w:rsid w:val="005544BF"/>
    <w:rsid w:val="00554B88"/>
    <w:rsid w:val="00554C1C"/>
    <w:rsid w:val="00555622"/>
    <w:rsid w:val="005559A7"/>
    <w:rsid w:val="00555AC1"/>
    <w:rsid w:val="0055677D"/>
    <w:rsid w:val="005569FE"/>
    <w:rsid w:val="00556B81"/>
    <w:rsid w:val="00557329"/>
    <w:rsid w:val="005573B2"/>
    <w:rsid w:val="00557656"/>
    <w:rsid w:val="00557FEA"/>
    <w:rsid w:val="005604AB"/>
    <w:rsid w:val="0056061F"/>
    <w:rsid w:val="00560822"/>
    <w:rsid w:val="00561456"/>
    <w:rsid w:val="005616BF"/>
    <w:rsid w:val="00561EEF"/>
    <w:rsid w:val="0056230F"/>
    <w:rsid w:val="00562E2A"/>
    <w:rsid w:val="00563439"/>
    <w:rsid w:val="00563582"/>
    <w:rsid w:val="0056363C"/>
    <w:rsid w:val="00563D1F"/>
    <w:rsid w:val="00563D37"/>
    <w:rsid w:val="00563E83"/>
    <w:rsid w:val="005642BD"/>
    <w:rsid w:val="0056458F"/>
    <w:rsid w:val="005645F8"/>
    <w:rsid w:val="0056469F"/>
    <w:rsid w:val="005649E6"/>
    <w:rsid w:val="00564A49"/>
    <w:rsid w:val="00564A56"/>
    <w:rsid w:val="00564B54"/>
    <w:rsid w:val="00565317"/>
    <w:rsid w:val="005657A3"/>
    <w:rsid w:val="005657DA"/>
    <w:rsid w:val="005658F9"/>
    <w:rsid w:val="00565AD7"/>
    <w:rsid w:val="00565BA9"/>
    <w:rsid w:val="00565DA8"/>
    <w:rsid w:val="00565E48"/>
    <w:rsid w:val="00565ED1"/>
    <w:rsid w:val="00565F24"/>
    <w:rsid w:val="00565F7E"/>
    <w:rsid w:val="00565F9A"/>
    <w:rsid w:val="005663CD"/>
    <w:rsid w:val="0056674C"/>
    <w:rsid w:val="0056685C"/>
    <w:rsid w:val="005668BA"/>
    <w:rsid w:val="00566D79"/>
    <w:rsid w:val="00566DB0"/>
    <w:rsid w:val="0056707E"/>
    <w:rsid w:val="005671CD"/>
    <w:rsid w:val="00567557"/>
    <w:rsid w:val="00567D98"/>
    <w:rsid w:val="00567EDB"/>
    <w:rsid w:val="005710D1"/>
    <w:rsid w:val="00571847"/>
    <w:rsid w:val="00571927"/>
    <w:rsid w:val="00571C92"/>
    <w:rsid w:val="00572457"/>
    <w:rsid w:val="00572557"/>
    <w:rsid w:val="00572823"/>
    <w:rsid w:val="0057293A"/>
    <w:rsid w:val="00572F88"/>
    <w:rsid w:val="0057342D"/>
    <w:rsid w:val="0057364E"/>
    <w:rsid w:val="005736D7"/>
    <w:rsid w:val="00573CF5"/>
    <w:rsid w:val="00574275"/>
    <w:rsid w:val="00574366"/>
    <w:rsid w:val="005743CD"/>
    <w:rsid w:val="00574AD8"/>
    <w:rsid w:val="00574BC9"/>
    <w:rsid w:val="00574F11"/>
    <w:rsid w:val="00575413"/>
    <w:rsid w:val="0057570E"/>
    <w:rsid w:val="005757CB"/>
    <w:rsid w:val="00575914"/>
    <w:rsid w:val="00575BD2"/>
    <w:rsid w:val="00575BEF"/>
    <w:rsid w:val="00575ED3"/>
    <w:rsid w:val="00575F58"/>
    <w:rsid w:val="005760A6"/>
    <w:rsid w:val="005760CA"/>
    <w:rsid w:val="005761AF"/>
    <w:rsid w:val="00576379"/>
    <w:rsid w:val="00576679"/>
    <w:rsid w:val="00576DDC"/>
    <w:rsid w:val="0057714A"/>
    <w:rsid w:val="00577180"/>
    <w:rsid w:val="00577496"/>
    <w:rsid w:val="00577B12"/>
    <w:rsid w:val="00577D6F"/>
    <w:rsid w:val="00577FF5"/>
    <w:rsid w:val="00580356"/>
    <w:rsid w:val="00580511"/>
    <w:rsid w:val="0058090F"/>
    <w:rsid w:val="00580A73"/>
    <w:rsid w:val="00580CEE"/>
    <w:rsid w:val="00580E18"/>
    <w:rsid w:val="0058114B"/>
    <w:rsid w:val="0058121C"/>
    <w:rsid w:val="005813C9"/>
    <w:rsid w:val="0058195C"/>
    <w:rsid w:val="00581A52"/>
    <w:rsid w:val="00582121"/>
    <w:rsid w:val="0058213F"/>
    <w:rsid w:val="0058284B"/>
    <w:rsid w:val="00582952"/>
    <w:rsid w:val="0058296E"/>
    <w:rsid w:val="00582979"/>
    <w:rsid w:val="005830F3"/>
    <w:rsid w:val="00583315"/>
    <w:rsid w:val="0058332F"/>
    <w:rsid w:val="00583556"/>
    <w:rsid w:val="00583563"/>
    <w:rsid w:val="00583C39"/>
    <w:rsid w:val="005841D9"/>
    <w:rsid w:val="0058438C"/>
    <w:rsid w:val="005844DC"/>
    <w:rsid w:val="0058454D"/>
    <w:rsid w:val="00584815"/>
    <w:rsid w:val="00584EE6"/>
    <w:rsid w:val="00585299"/>
    <w:rsid w:val="00585834"/>
    <w:rsid w:val="0058586C"/>
    <w:rsid w:val="00586075"/>
    <w:rsid w:val="0058615B"/>
    <w:rsid w:val="005862AA"/>
    <w:rsid w:val="005864C9"/>
    <w:rsid w:val="00586745"/>
    <w:rsid w:val="0058674F"/>
    <w:rsid w:val="00586ACA"/>
    <w:rsid w:val="00586CA1"/>
    <w:rsid w:val="00586CB6"/>
    <w:rsid w:val="00587169"/>
    <w:rsid w:val="00587968"/>
    <w:rsid w:val="00587A0C"/>
    <w:rsid w:val="005900AC"/>
    <w:rsid w:val="005907F0"/>
    <w:rsid w:val="005909CF"/>
    <w:rsid w:val="00590A4B"/>
    <w:rsid w:val="00590EE6"/>
    <w:rsid w:val="00590FC8"/>
    <w:rsid w:val="00591309"/>
    <w:rsid w:val="0059152D"/>
    <w:rsid w:val="00591AB4"/>
    <w:rsid w:val="00591CC5"/>
    <w:rsid w:val="00591E20"/>
    <w:rsid w:val="00591E3C"/>
    <w:rsid w:val="00591E71"/>
    <w:rsid w:val="005925A1"/>
    <w:rsid w:val="00592D8E"/>
    <w:rsid w:val="0059333B"/>
    <w:rsid w:val="00593762"/>
    <w:rsid w:val="00593771"/>
    <w:rsid w:val="005937BC"/>
    <w:rsid w:val="005937FC"/>
    <w:rsid w:val="00594B23"/>
    <w:rsid w:val="00594E92"/>
    <w:rsid w:val="00594FCA"/>
    <w:rsid w:val="005955AB"/>
    <w:rsid w:val="0059564D"/>
    <w:rsid w:val="00595819"/>
    <w:rsid w:val="00595965"/>
    <w:rsid w:val="00595F0B"/>
    <w:rsid w:val="00595F3A"/>
    <w:rsid w:val="005962F0"/>
    <w:rsid w:val="00596555"/>
    <w:rsid w:val="00597ECA"/>
    <w:rsid w:val="005A0340"/>
    <w:rsid w:val="005A0A18"/>
    <w:rsid w:val="005A0B21"/>
    <w:rsid w:val="005A0C1B"/>
    <w:rsid w:val="005A0D0E"/>
    <w:rsid w:val="005A1146"/>
    <w:rsid w:val="005A11E6"/>
    <w:rsid w:val="005A14DA"/>
    <w:rsid w:val="005A1779"/>
    <w:rsid w:val="005A189D"/>
    <w:rsid w:val="005A1923"/>
    <w:rsid w:val="005A2037"/>
    <w:rsid w:val="005A2122"/>
    <w:rsid w:val="005A215A"/>
    <w:rsid w:val="005A2615"/>
    <w:rsid w:val="005A2F5B"/>
    <w:rsid w:val="005A2FB7"/>
    <w:rsid w:val="005A3390"/>
    <w:rsid w:val="005A3464"/>
    <w:rsid w:val="005A3577"/>
    <w:rsid w:val="005A3BC7"/>
    <w:rsid w:val="005A3F2B"/>
    <w:rsid w:val="005A412E"/>
    <w:rsid w:val="005A426B"/>
    <w:rsid w:val="005A4423"/>
    <w:rsid w:val="005A4AB5"/>
    <w:rsid w:val="005A4C8C"/>
    <w:rsid w:val="005A4F93"/>
    <w:rsid w:val="005A607E"/>
    <w:rsid w:val="005A634B"/>
    <w:rsid w:val="005A63D6"/>
    <w:rsid w:val="005A64C5"/>
    <w:rsid w:val="005A6657"/>
    <w:rsid w:val="005A67D2"/>
    <w:rsid w:val="005A6A40"/>
    <w:rsid w:val="005A6DBB"/>
    <w:rsid w:val="005A71E4"/>
    <w:rsid w:val="005A72C4"/>
    <w:rsid w:val="005A791C"/>
    <w:rsid w:val="005A7B67"/>
    <w:rsid w:val="005A7FB9"/>
    <w:rsid w:val="005B050B"/>
    <w:rsid w:val="005B0954"/>
    <w:rsid w:val="005B13D6"/>
    <w:rsid w:val="005B1A11"/>
    <w:rsid w:val="005B23DA"/>
    <w:rsid w:val="005B241A"/>
    <w:rsid w:val="005B2643"/>
    <w:rsid w:val="005B2D10"/>
    <w:rsid w:val="005B2EF5"/>
    <w:rsid w:val="005B2F82"/>
    <w:rsid w:val="005B3015"/>
    <w:rsid w:val="005B351E"/>
    <w:rsid w:val="005B365D"/>
    <w:rsid w:val="005B3986"/>
    <w:rsid w:val="005B3C86"/>
    <w:rsid w:val="005B4447"/>
    <w:rsid w:val="005B46A6"/>
    <w:rsid w:val="005B4F88"/>
    <w:rsid w:val="005B51D7"/>
    <w:rsid w:val="005B51FE"/>
    <w:rsid w:val="005B5652"/>
    <w:rsid w:val="005B58D9"/>
    <w:rsid w:val="005B6059"/>
    <w:rsid w:val="005B6081"/>
    <w:rsid w:val="005B64EC"/>
    <w:rsid w:val="005B654D"/>
    <w:rsid w:val="005B6C33"/>
    <w:rsid w:val="005B7F8E"/>
    <w:rsid w:val="005C0462"/>
    <w:rsid w:val="005C06ED"/>
    <w:rsid w:val="005C1109"/>
    <w:rsid w:val="005C1B47"/>
    <w:rsid w:val="005C2190"/>
    <w:rsid w:val="005C222E"/>
    <w:rsid w:val="005C2299"/>
    <w:rsid w:val="005C2370"/>
    <w:rsid w:val="005C2E04"/>
    <w:rsid w:val="005C2E48"/>
    <w:rsid w:val="005C2FDF"/>
    <w:rsid w:val="005C308F"/>
    <w:rsid w:val="005C318E"/>
    <w:rsid w:val="005C3211"/>
    <w:rsid w:val="005C3542"/>
    <w:rsid w:val="005C35F5"/>
    <w:rsid w:val="005C372B"/>
    <w:rsid w:val="005C3A62"/>
    <w:rsid w:val="005C4331"/>
    <w:rsid w:val="005C4523"/>
    <w:rsid w:val="005C47D0"/>
    <w:rsid w:val="005C4ACA"/>
    <w:rsid w:val="005C4C2B"/>
    <w:rsid w:val="005C509E"/>
    <w:rsid w:val="005C522C"/>
    <w:rsid w:val="005C53C9"/>
    <w:rsid w:val="005C559A"/>
    <w:rsid w:val="005C5747"/>
    <w:rsid w:val="005C5F39"/>
    <w:rsid w:val="005C662A"/>
    <w:rsid w:val="005C69E7"/>
    <w:rsid w:val="005C6E3C"/>
    <w:rsid w:val="005C7082"/>
    <w:rsid w:val="005C78A1"/>
    <w:rsid w:val="005C79CA"/>
    <w:rsid w:val="005D0027"/>
    <w:rsid w:val="005D01E8"/>
    <w:rsid w:val="005D0792"/>
    <w:rsid w:val="005D0CE6"/>
    <w:rsid w:val="005D1999"/>
    <w:rsid w:val="005D19D6"/>
    <w:rsid w:val="005D23E1"/>
    <w:rsid w:val="005D2523"/>
    <w:rsid w:val="005D25CB"/>
    <w:rsid w:val="005D26CC"/>
    <w:rsid w:val="005D2953"/>
    <w:rsid w:val="005D29AB"/>
    <w:rsid w:val="005D2E5D"/>
    <w:rsid w:val="005D3232"/>
    <w:rsid w:val="005D3F10"/>
    <w:rsid w:val="005D45AF"/>
    <w:rsid w:val="005D46D4"/>
    <w:rsid w:val="005D48D7"/>
    <w:rsid w:val="005D4958"/>
    <w:rsid w:val="005D535E"/>
    <w:rsid w:val="005D574F"/>
    <w:rsid w:val="005D6033"/>
    <w:rsid w:val="005D64CD"/>
    <w:rsid w:val="005D6F27"/>
    <w:rsid w:val="005D70AB"/>
    <w:rsid w:val="005D72A4"/>
    <w:rsid w:val="005D7305"/>
    <w:rsid w:val="005D75DD"/>
    <w:rsid w:val="005D7959"/>
    <w:rsid w:val="005D7F59"/>
    <w:rsid w:val="005E008A"/>
    <w:rsid w:val="005E0280"/>
    <w:rsid w:val="005E0479"/>
    <w:rsid w:val="005E1126"/>
    <w:rsid w:val="005E166B"/>
    <w:rsid w:val="005E1980"/>
    <w:rsid w:val="005E28DC"/>
    <w:rsid w:val="005E3172"/>
    <w:rsid w:val="005E340A"/>
    <w:rsid w:val="005E363B"/>
    <w:rsid w:val="005E3698"/>
    <w:rsid w:val="005E3ACF"/>
    <w:rsid w:val="005E3D4D"/>
    <w:rsid w:val="005E4448"/>
    <w:rsid w:val="005E46FB"/>
    <w:rsid w:val="005E495B"/>
    <w:rsid w:val="005E4CA5"/>
    <w:rsid w:val="005E4F22"/>
    <w:rsid w:val="005E4F57"/>
    <w:rsid w:val="005E5226"/>
    <w:rsid w:val="005E5357"/>
    <w:rsid w:val="005E5F36"/>
    <w:rsid w:val="005E5FC2"/>
    <w:rsid w:val="005E5FEF"/>
    <w:rsid w:val="005E6769"/>
    <w:rsid w:val="005E683B"/>
    <w:rsid w:val="005E6D08"/>
    <w:rsid w:val="005E6E80"/>
    <w:rsid w:val="005F02B3"/>
    <w:rsid w:val="005F0342"/>
    <w:rsid w:val="005F0DBA"/>
    <w:rsid w:val="005F0EFD"/>
    <w:rsid w:val="005F13A4"/>
    <w:rsid w:val="005F15E8"/>
    <w:rsid w:val="005F2034"/>
    <w:rsid w:val="005F23B2"/>
    <w:rsid w:val="005F265B"/>
    <w:rsid w:val="005F277E"/>
    <w:rsid w:val="005F2BA7"/>
    <w:rsid w:val="005F3704"/>
    <w:rsid w:val="005F3AB3"/>
    <w:rsid w:val="005F45E7"/>
    <w:rsid w:val="005F4695"/>
    <w:rsid w:val="005F4B00"/>
    <w:rsid w:val="005F4CA5"/>
    <w:rsid w:val="005F53D5"/>
    <w:rsid w:val="005F57BB"/>
    <w:rsid w:val="005F5B8C"/>
    <w:rsid w:val="005F5F15"/>
    <w:rsid w:val="005F6411"/>
    <w:rsid w:val="005F65ED"/>
    <w:rsid w:val="005F6834"/>
    <w:rsid w:val="005F6BE0"/>
    <w:rsid w:val="005F6EE1"/>
    <w:rsid w:val="005F73B1"/>
    <w:rsid w:val="005F7575"/>
    <w:rsid w:val="005F7815"/>
    <w:rsid w:val="005F791C"/>
    <w:rsid w:val="005F7A34"/>
    <w:rsid w:val="005F7A71"/>
    <w:rsid w:val="005F7E75"/>
    <w:rsid w:val="0060027A"/>
    <w:rsid w:val="006003A7"/>
    <w:rsid w:val="00600501"/>
    <w:rsid w:val="00600C57"/>
    <w:rsid w:val="00600E92"/>
    <w:rsid w:val="00600F5C"/>
    <w:rsid w:val="00601007"/>
    <w:rsid w:val="006013FA"/>
    <w:rsid w:val="0060165B"/>
    <w:rsid w:val="00601C0D"/>
    <w:rsid w:val="00601C40"/>
    <w:rsid w:val="00601EC6"/>
    <w:rsid w:val="006027B1"/>
    <w:rsid w:val="00602ACF"/>
    <w:rsid w:val="00602BDD"/>
    <w:rsid w:val="00602D97"/>
    <w:rsid w:val="0060327C"/>
    <w:rsid w:val="0060333F"/>
    <w:rsid w:val="0060360A"/>
    <w:rsid w:val="006039ED"/>
    <w:rsid w:val="00603AF7"/>
    <w:rsid w:val="00603D0A"/>
    <w:rsid w:val="00603F41"/>
    <w:rsid w:val="00603FDC"/>
    <w:rsid w:val="00604BD2"/>
    <w:rsid w:val="00604ED9"/>
    <w:rsid w:val="00604F8C"/>
    <w:rsid w:val="006054E2"/>
    <w:rsid w:val="00605B33"/>
    <w:rsid w:val="006061B0"/>
    <w:rsid w:val="00606CC5"/>
    <w:rsid w:val="00606E40"/>
    <w:rsid w:val="00606EB4"/>
    <w:rsid w:val="00607963"/>
    <w:rsid w:val="00607A6D"/>
    <w:rsid w:val="00607A86"/>
    <w:rsid w:val="00607B04"/>
    <w:rsid w:val="00607BF1"/>
    <w:rsid w:val="00607E8B"/>
    <w:rsid w:val="00607F84"/>
    <w:rsid w:val="0061008D"/>
    <w:rsid w:val="006100DD"/>
    <w:rsid w:val="00610306"/>
    <w:rsid w:val="0061039E"/>
    <w:rsid w:val="00610882"/>
    <w:rsid w:val="00610A69"/>
    <w:rsid w:val="00610B85"/>
    <w:rsid w:val="0061105D"/>
    <w:rsid w:val="006110A5"/>
    <w:rsid w:val="0061128F"/>
    <w:rsid w:val="00611293"/>
    <w:rsid w:val="0061130A"/>
    <w:rsid w:val="0061197A"/>
    <w:rsid w:val="00612161"/>
    <w:rsid w:val="00612384"/>
    <w:rsid w:val="0061259D"/>
    <w:rsid w:val="006125A0"/>
    <w:rsid w:val="00612614"/>
    <w:rsid w:val="0061273E"/>
    <w:rsid w:val="00612B0B"/>
    <w:rsid w:val="00612BBA"/>
    <w:rsid w:val="006131F2"/>
    <w:rsid w:val="006133F0"/>
    <w:rsid w:val="00613408"/>
    <w:rsid w:val="006137AC"/>
    <w:rsid w:val="00613B6D"/>
    <w:rsid w:val="00613F18"/>
    <w:rsid w:val="00613FF7"/>
    <w:rsid w:val="0061492C"/>
    <w:rsid w:val="00615338"/>
    <w:rsid w:val="0061547C"/>
    <w:rsid w:val="00615842"/>
    <w:rsid w:val="006159E5"/>
    <w:rsid w:val="00615DF5"/>
    <w:rsid w:val="006160CF"/>
    <w:rsid w:val="0061656A"/>
    <w:rsid w:val="00616646"/>
    <w:rsid w:val="006167FB"/>
    <w:rsid w:val="00616B32"/>
    <w:rsid w:val="00616C3E"/>
    <w:rsid w:val="00616CC6"/>
    <w:rsid w:val="00616D94"/>
    <w:rsid w:val="006177B4"/>
    <w:rsid w:val="00617E3D"/>
    <w:rsid w:val="00617E52"/>
    <w:rsid w:val="00620779"/>
    <w:rsid w:val="006207A7"/>
    <w:rsid w:val="00620D4F"/>
    <w:rsid w:val="00621057"/>
    <w:rsid w:val="00621376"/>
    <w:rsid w:val="006217B6"/>
    <w:rsid w:val="00621A35"/>
    <w:rsid w:val="00621D36"/>
    <w:rsid w:val="00621E7E"/>
    <w:rsid w:val="00621E94"/>
    <w:rsid w:val="00622160"/>
    <w:rsid w:val="006225AB"/>
    <w:rsid w:val="006228F9"/>
    <w:rsid w:val="00622A76"/>
    <w:rsid w:val="00622B8D"/>
    <w:rsid w:val="00622DA3"/>
    <w:rsid w:val="00622ED8"/>
    <w:rsid w:val="006230D9"/>
    <w:rsid w:val="00623457"/>
    <w:rsid w:val="006235AB"/>
    <w:rsid w:val="00623B47"/>
    <w:rsid w:val="00623E51"/>
    <w:rsid w:val="00623F39"/>
    <w:rsid w:val="006243D9"/>
    <w:rsid w:val="00624B41"/>
    <w:rsid w:val="006258DC"/>
    <w:rsid w:val="006258F3"/>
    <w:rsid w:val="0062631C"/>
    <w:rsid w:val="00626AF2"/>
    <w:rsid w:val="00626C98"/>
    <w:rsid w:val="0062711C"/>
    <w:rsid w:val="00627213"/>
    <w:rsid w:val="00627FCE"/>
    <w:rsid w:val="00630004"/>
    <w:rsid w:val="00630655"/>
    <w:rsid w:val="00630A95"/>
    <w:rsid w:val="00630B7B"/>
    <w:rsid w:val="00630D4D"/>
    <w:rsid w:val="006311A8"/>
    <w:rsid w:val="0063129D"/>
    <w:rsid w:val="00631502"/>
    <w:rsid w:val="006317DD"/>
    <w:rsid w:val="00632250"/>
    <w:rsid w:val="00632513"/>
    <w:rsid w:val="00632684"/>
    <w:rsid w:val="00632A74"/>
    <w:rsid w:val="00632AE9"/>
    <w:rsid w:val="00633265"/>
    <w:rsid w:val="0063394D"/>
    <w:rsid w:val="0063402C"/>
    <w:rsid w:val="00634038"/>
    <w:rsid w:val="00634318"/>
    <w:rsid w:val="00634842"/>
    <w:rsid w:val="00634ACE"/>
    <w:rsid w:val="00634BCF"/>
    <w:rsid w:val="00634F31"/>
    <w:rsid w:val="00635684"/>
    <w:rsid w:val="00635A69"/>
    <w:rsid w:val="00635ABB"/>
    <w:rsid w:val="00636719"/>
    <w:rsid w:val="006374EE"/>
    <w:rsid w:val="006400F5"/>
    <w:rsid w:val="00640327"/>
    <w:rsid w:val="0064046A"/>
    <w:rsid w:val="006407E5"/>
    <w:rsid w:val="00640BCF"/>
    <w:rsid w:val="00640F08"/>
    <w:rsid w:val="0064100F"/>
    <w:rsid w:val="00641877"/>
    <w:rsid w:val="00641E49"/>
    <w:rsid w:val="00641F0D"/>
    <w:rsid w:val="00642320"/>
    <w:rsid w:val="00642C30"/>
    <w:rsid w:val="00642D65"/>
    <w:rsid w:val="0064324A"/>
    <w:rsid w:val="00643D88"/>
    <w:rsid w:val="00643F4D"/>
    <w:rsid w:val="00643FA5"/>
    <w:rsid w:val="006443A4"/>
    <w:rsid w:val="00644455"/>
    <w:rsid w:val="00644A62"/>
    <w:rsid w:val="00644AE3"/>
    <w:rsid w:val="006453E7"/>
    <w:rsid w:val="00645438"/>
    <w:rsid w:val="0064553C"/>
    <w:rsid w:val="00645598"/>
    <w:rsid w:val="0064595A"/>
    <w:rsid w:val="00645E29"/>
    <w:rsid w:val="00645EE0"/>
    <w:rsid w:val="006461BA"/>
    <w:rsid w:val="006465A9"/>
    <w:rsid w:val="006466C5"/>
    <w:rsid w:val="0064678D"/>
    <w:rsid w:val="00646CD3"/>
    <w:rsid w:val="00646FC7"/>
    <w:rsid w:val="006475D1"/>
    <w:rsid w:val="006475E5"/>
    <w:rsid w:val="006478C7"/>
    <w:rsid w:val="00647A83"/>
    <w:rsid w:val="00647C13"/>
    <w:rsid w:val="006500AB"/>
    <w:rsid w:val="006502D4"/>
    <w:rsid w:val="006506D0"/>
    <w:rsid w:val="0065071E"/>
    <w:rsid w:val="00650D47"/>
    <w:rsid w:val="00651011"/>
    <w:rsid w:val="00651042"/>
    <w:rsid w:val="0065145D"/>
    <w:rsid w:val="00652315"/>
    <w:rsid w:val="006523FA"/>
    <w:rsid w:val="006526F4"/>
    <w:rsid w:val="00652A7B"/>
    <w:rsid w:val="00652AD7"/>
    <w:rsid w:val="00652F20"/>
    <w:rsid w:val="00653694"/>
    <w:rsid w:val="0065371B"/>
    <w:rsid w:val="00653C17"/>
    <w:rsid w:val="00653D04"/>
    <w:rsid w:val="00653F85"/>
    <w:rsid w:val="006547C8"/>
    <w:rsid w:val="0065490B"/>
    <w:rsid w:val="00654CBC"/>
    <w:rsid w:val="006558DF"/>
    <w:rsid w:val="006563D2"/>
    <w:rsid w:val="00656447"/>
    <w:rsid w:val="0065661C"/>
    <w:rsid w:val="0065687D"/>
    <w:rsid w:val="00656B95"/>
    <w:rsid w:val="00656DE5"/>
    <w:rsid w:val="00657270"/>
    <w:rsid w:val="00657554"/>
    <w:rsid w:val="006577E7"/>
    <w:rsid w:val="00657C20"/>
    <w:rsid w:val="00660372"/>
    <w:rsid w:val="006608EA"/>
    <w:rsid w:val="006609C0"/>
    <w:rsid w:val="00660AF6"/>
    <w:rsid w:val="00660B07"/>
    <w:rsid w:val="00660EB1"/>
    <w:rsid w:val="00660F55"/>
    <w:rsid w:val="00661335"/>
    <w:rsid w:val="00661478"/>
    <w:rsid w:val="00661C0F"/>
    <w:rsid w:val="0066278D"/>
    <w:rsid w:val="00662A3E"/>
    <w:rsid w:val="00662B34"/>
    <w:rsid w:val="00662C4C"/>
    <w:rsid w:val="00662EBA"/>
    <w:rsid w:val="00662EED"/>
    <w:rsid w:val="006631CD"/>
    <w:rsid w:val="00663349"/>
    <w:rsid w:val="0066348F"/>
    <w:rsid w:val="006635D0"/>
    <w:rsid w:val="0066383E"/>
    <w:rsid w:val="006643D4"/>
    <w:rsid w:val="00664504"/>
    <w:rsid w:val="006648EB"/>
    <w:rsid w:val="006649E6"/>
    <w:rsid w:val="00664D05"/>
    <w:rsid w:val="00664ED5"/>
    <w:rsid w:val="00665088"/>
    <w:rsid w:val="006653DB"/>
    <w:rsid w:val="00665999"/>
    <w:rsid w:val="00665B6B"/>
    <w:rsid w:val="00665C00"/>
    <w:rsid w:val="00665E9F"/>
    <w:rsid w:val="006662E0"/>
    <w:rsid w:val="006665FB"/>
    <w:rsid w:val="00666CA3"/>
    <w:rsid w:val="00666E29"/>
    <w:rsid w:val="00666E54"/>
    <w:rsid w:val="0066742E"/>
    <w:rsid w:val="00667795"/>
    <w:rsid w:val="00667E50"/>
    <w:rsid w:val="00670642"/>
    <w:rsid w:val="00670713"/>
    <w:rsid w:val="00670A9B"/>
    <w:rsid w:val="0067121C"/>
    <w:rsid w:val="00671406"/>
    <w:rsid w:val="0067142B"/>
    <w:rsid w:val="00672018"/>
    <w:rsid w:val="00672812"/>
    <w:rsid w:val="0067307B"/>
    <w:rsid w:val="00673D99"/>
    <w:rsid w:val="0067422B"/>
    <w:rsid w:val="006744FC"/>
    <w:rsid w:val="00674805"/>
    <w:rsid w:val="00675082"/>
    <w:rsid w:val="00675758"/>
    <w:rsid w:val="0067579B"/>
    <w:rsid w:val="00675D02"/>
    <w:rsid w:val="00675FC7"/>
    <w:rsid w:val="006760D1"/>
    <w:rsid w:val="00676155"/>
    <w:rsid w:val="0067681F"/>
    <w:rsid w:val="006772D1"/>
    <w:rsid w:val="006775A6"/>
    <w:rsid w:val="006776BA"/>
    <w:rsid w:val="00677711"/>
    <w:rsid w:val="00677928"/>
    <w:rsid w:val="00677A45"/>
    <w:rsid w:val="00677D43"/>
    <w:rsid w:val="00677D81"/>
    <w:rsid w:val="00677E3E"/>
    <w:rsid w:val="00677E8B"/>
    <w:rsid w:val="006802B4"/>
    <w:rsid w:val="006805BE"/>
    <w:rsid w:val="006805F0"/>
    <w:rsid w:val="0068098A"/>
    <w:rsid w:val="00680CBA"/>
    <w:rsid w:val="00680E31"/>
    <w:rsid w:val="00681013"/>
    <w:rsid w:val="0068105D"/>
    <w:rsid w:val="006810AA"/>
    <w:rsid w:val="00681A55"/>
    <w:rsid w:val="006821CB"/>
    <w:rsid w:val="006822EE"/>
    <w:rsid w:val="006824F6"/>
    <w:rsid w:val="006831E1"/>
    <w:rsid w:val="00683472"/>
    <w:rsid w:val="006838EF"/>
    <w:rsid w:val="00683E77"/>
    <w:rsid w:val="006845AD"/>
    <w:rsid w:val="0068475E"/>
    <w:rsid w:val="006849F8"/>
    <w:rsid w:val="00684E9C"/>
    <w:rsid w:val="006856A7"/>
    <w:rsid w:val="006858C2"/>
    <w:rsid w:val="00685A37"/>
    <w:rsid w:val="00685B4E"/>
    <w:rsid w:val="006860C6"/>
    <w:rsid w:val="006861A0"/>
    <w:rsid w:val="0068664D"/>
    <w:rsid w:val="00686E6D"/>
    <w:rsid w:val="0068708B"/>
    <w:rsid w:val="00687177"/>
    <w:rsid w:val="00687547"/>
    <w:rsid w:val="0069002D"/>
    <w:rsid w:val="0069003F"/>
    <w:rsid w:val="006901E0"/>
    <w:rsid w:val="00690484"/>
    <w:rsid w:val="0069074D"/>
    <w:rsid w:val="006907C1"/>
    <w:rsid w:val="00690D51"/>
    <w:rsid w:val="0069131B"/>
    <w:rsid w:val="0069149B"/>
    <w:rsid w:val="006914EA"/>
    <w:rsid w:val="006915EB"/>
    <w:rsid w:val="0069275C"/>
    <w:rsid w:val="00692801"/>
    <w:rsid w:val="00692D1F"/>
    <w:rsid w:val="00692DF8"/>
    <w:rsid w:val="00692E3A"/>
    <w:rsid w:val="00693009"/>
    <w:rsid w:val="0069318F"/>
    <w:rsid w:val="00693782"/>
    <w:rsid w:val="00693A63"/>
    <w:rsid w:val="0069418C"/>
    <w:rsid w:val="006944E3"/>
    <w:rsid w:val="006945C2"/>
    <w:rsid w:val="00694650"/>
    <w:rsid w:val="006948A7"/>
    <w:rsid w:val="00694A2C"/>
    <w:rsid w:val="00694BE4"/>
    <w:rsid w:val="006950F7"/>
    <w:rsid w:val="00695813"/>
    <w:rsid w:val="00695CAF"/>
    <w:rsid w:val="00696071"/>
    <w:rsid w:val="006966B4"/>
    <w:rsid w:val="006967A0"/>
    <w:rsid w:val="0069694B"/>
    <w:rsid w:val="00696C94"/>
    <w:rsid w:val="00696E61"/>
    <w:rsid w:val="00697901"/>
    <w:rsid w:val="006979A2"/>
    <w:rsid w:val="00697A9D"/>
    <w:rsid w:val="00697B5E"/>
    <w:rsid w:val="00697DA1"/>
    <w:rsid w:val="00697DD7"/>
    <w:rsid w:val="006A0749"/>
    <w:rsid w:val="006A092F"/>
    <w:rsid w:val="006A1117"/>
    <w:rsid w:val="006A2352"/>
    <w:rsid w:val="006A23B8"/>
    <w:rsid w:val="006A2597"/>
    <w:rsid w:val="006A26EF"/>
    <w:rsid w:val="006A2DD5"/>
    <w:rsid w:val="006A3075"/>
    <w:rsid w:val="006A34E6"/>
    <w:rsid w:val="006A374C"/>
    <w:rsid w:val="006A4200"/>
    <w:rsid w:val="006A435A"/>
    <w:rsid w:val="006A4497"/>
    <w:rsid w:val="006A4655"/>
    <w:rsid w:val="006A472A"/>
    <w:rsid w:val="006A4D9A"/>
    <w:rsid w:val="006A51D8"/>
    <w:rsid w:val="006A56A3"/>
    <w:rsid w:val="006A5D4B"/>
    <w:rsid w:val="006A5E2D"/>
    <w:rsid w:val="006A5F34"/>
    <w:rsid w:val="006A609D"/>
    <w:rsid w:val="006A6828"/>
    <w:rsid w:val="006A69B3"/>
    <w:rsid w:val="006A7516"/>
    <w:rsid w:val="006A758E"/>
    <w:rsid w:val="006A7B23"/>
    <w:rsid w:val="006A7E09"/>
    <w:rsid w:val="006A7F5F"/>
    <w:rsid w:val="006B01C5"/>
    <w:rsid w:val="006B094E"/>
    <w:rsid w:val="006B110C"/>
    <w:rsid w:val="006B1472"/>
    <w:rsid w:val="006B15E7"/>
    <w:rsid w:val="006B181D"/>
    <w:rsid w:val="006B1AB7"/>
    <w:rsid w:val="006B1EB1"/>
    <w:rsid w:val="006B1F8B"/>
    <w:rsid w:val="006B231E"/>
    <w:rsid w:val="006B2494"/>
    <w:rsid w:val="006B2636"/>
    <w:rsid w:val="006B2FBC"/>
    <w:rsid w:val="006B33EA"/>
    <w:rsid w:val="006B362A"/>
    <w:rsid w:val="006B37A8"/>
    <w:rsid w:val="006B39B0"/>
    <w:rsid w:val="006B3A24"/>
    <w:rsid w:val="006B3E55"/>
    <w:rsid w:val="006B3F13"/>
    <w:rsid w:val="006B3F40"/>
    <w:rsid w:val="006B47EC"/>
    <w:rsid w:val="006B50DB"/>
    <w:rsid w:val="006B53F0"/>
    <w:rsid w:val="006B5925"/>
    <w:rsid w:val="006B5A9A"/>
    <w:rsid w:val="006B5C6D"/>
    <w:rsid w:val="006B5E7D"/>
    <w:rsid w:val="006B60EB"/>
    <w:rsid w:val="006B62C3"/>
    <w:rsid w:val="006B64EE"/>
    <w:rsid w:val="006B6636"/>
    <w:rsid w:val="006B692D"/>
    <w:rsid w:val="006B6D28"/>
    <w:rsid w:val="006B6EC4"/>
    <w:rsid w:val="006B6F5B"/>
    <w:rsid w:val="006B7819"/>
    <w:rsid w:val="006B7A11"/>
    <w:rsid w:val="006C0051"/>
    <w:rsid w:val="006C026D"/>
    <w:rsid w:val="006C09D1"/>
    <w:rsid w:val="006C0D79"/>
    <w:rsid w:val="006C1297"/>
    <w:rsid w:val="006C15A0"/>
    <w:rsid w:val="006C15FC"/>
    <w:rsid w:val="006C1D91"/>
    <w:rsid w:val="006C2102"/>
    <w:rsid w:val="006C2612"/>
    <w:rsid w:val="006C2A1E"/>
    <w:rsid w:val="006C2B94"/>
    <w:rsid w:val="006C2E27"/>
    <w:rsid w:val="006C399C"/>
    <w:rsid w:val="006C3E57"/>
    <w:rsid w:val="006C4452"/>
    <w:rsid w:val="006C4B07"/>
    <w:rsid w:val="006C4E17"/>
    <w:rsid w:val="006C4F13"/>
    <w:rsid w:val="006C5808"/>
    <w:rsid w:val="006C595F"/>
    <w:rsid w:val="006C6017"/>
    <w:rsid w:val="006C609B"/>
    <w:rsid w:val="006C62A0"/>
    <w:rsid w:val="006C6639"/>
    <w:rsid w:val="006C69BA"/>
    <w:rsid w:val="006C6A31"/>
    <w:rsid w:val="006C6D52"/>
    <w:rsid w:val="006C7038"/>
    <w:rsid w:val="006C771A"/>
    <w:rsid w:val="006C7A8F"/>
    <w:rsid w:val="006C7C20"/>
    <w:rsid w:val="006D0226"/>
    <w:rsid w:val="006D0C53"/>
    <w:rsid w:val="006D0E8A"/>
    <w:rsid w:val="006D1130"/>
    <w:rsid w:val="006D13DB"/>
    <w:rsid w:val="006D1621"/>
    <w:rsid w:val="006D1A0A"/>
    <w:rsid w:val="006D2B3E"/>
    <w:rsid w:val="006D2BCA"/>
    <w:rsid w:val="006D31CA"/>
    <w:rsid w:val="006D3889"/>
    <w:rsid w:val="006D38C1"/>
    <w:rsid w:val="006D397F"/>
    <w:rsid w:val="006D41E8"/>
    <w:rsid w:val="006D4246"/>
    <w:rsid w:val="006D4302"/>
    <w:rsid w:val="006D4368"/>
    <w:rsid w:val="006D43CC"/>
    <w:rsid w:val="006D449C"/>
    <w:rsid w:val="006D464D"/>
    <w:rsid w:val="006D476A"/>
    <w:rsid w:val="006D4912"/>
    <w:rsid w:val="006D4B39"/>
    <w:rsid w:val="006D4D1E"/>
    <w:rsid w:val="006D4DDD"/>
    <w:rsid w:val="006D4FC4"/>
    <w:rsid w:val="006D5664"/>
    <w:rsid w:val="006D5DB8"/>
    <w:rsid w:val="006D6015"/>
    <w:rsid w:val="006D6200"/>
    <w:rsid w:val="006D6493"/>
    <w:rsid w:val="006D66DD"/>
    <w:rsid w:val="006D67FA"/>
    <w:rsid w:val="006D6CAF"/>
    <w:rsid w:val="006D6E4D"/>
    <w:rsid w:val="006D75F4"/>
    <w:rsid w:val="006D7648"/>
    <w:rsid w:val="006D7E05"/>
    <w:rsid w:val="006D7F73"/>
    <w:rsid w:val="006E0348"/>
    <w:rsid w:val="006E03E6"/>
    <w:rsid w:val="006E082B"/>
    <w:rsid w:val="006E086A"/>
    <w:rsid w:val="006E0B13"/>
    <w:rsid w:val="006E0C9F"/>
    <w:rsid w:val="006E0F08"/>
    <w:rsid w:val="006E0F57"/>
    <w:rsid w:val="006E12F3"/>
    <w:rsid w:val="006E1A19"/>
    <w:rsid w:val="006E29AD"/>
    <w:rsid w:val="006E2F2C"/>
    <w:rsid w:val="006E320F"/>
    <w:rsid w:val="006E33B6"/>
    <w:rsid w:val="006E36DB"/>
    <w:rsid w:val="006E3B4A"/>
    <w:rsid w:val="006E3CAE"/>
    <w:rsid w:val="006E4075"/>
    <w:rsid w:val="006E4436"/>
    <w:rsid w:val="006E4B3A"/>
    <w:rsid w:val="006E548C"/>
    <w:rsid w:val="006E5643"/>
    <w:rsid w:val="006E56A7"/>
    <w:rsid w:val="006E571B"/>
    <w:rsid w:val="006E5BB0"/>
    <w:rsid w:val="006E5C7D"/>
    <w:rsid w:val="006E5DED"/>
    <w:rsid w:val="006E5DF2"/>
    <w:rsid w:val="006E5FC4"/>
    <w:rsid w:val="006E6379"/>
    <w:rsid w:val="006E6B52"/>
    <w:rsid w:val="006E73EF"/>
    <w:rsid w:val="006E7AEE"/>
    <w:rsid w:val="006F006A"/>
    <w:rsid w:val="006F015C"/>
    <w:rsid w:val="006F0331"/>
    <w:rsid w:val="006F0382"/>
    <w:rsid w:val="006F0664"/>
    <w:rsid w:val="006F07EF"/>
    <w:rsid w:val="006F0982"/>
    <w:rsid w:val="006F0B27"/>
    <w:rsid w:val="006F124C"/>
    <w:rsid w:val="006F12F0"/>
    <w:rsid w:val="006F12F4"/>
    <w:rsid w:val="006F198F"/>
    <w:rsid w:val="006F1CED"/>
    <w:rsid w:val="006F25B9"/>
    <w:rsid w:val="006F31C3"/>
    <w:rsid w:val="006F33B9"/>
    <w:rsid w:val="006F386D"/>
    <w:rsid w:val="006F3B3B"/>
    <w:rsid w:val="006F4619"/>
    <w:rsid w:val="006F467F"/>
    <w:rsid w:val="006F537E"/>
    <w:rsid w:val="006F5704"/>
    <w:rsid w:val="006F57E7"/>
    <w:rsid w:val="006F59BC"/>
    <w:rsid w:val="006F6031"/>
    <w:rsid w:val="006F6486"/>
    <w:rsid w:val="006F68D5"/>
    <w:rsid w:val="006F6A74"/>
    <w:rsid w:val="006F6C51"/>
    <w:rsid w:val="006F7719"/>
    <w:rsid w:val="006F794B"/>
    <w:rsid w:val="006F7A0C"/>
    <w:rsid w:val="006F7D23"/>
    <w:rsid w:val="007008AE"/>
    <w:rsid w:val="00700906"/>
    <w:rsid w:val="00700CB3"/>
    <w:rsid w:val="00700E00"/>
    <w:rsid w:val="00701649"/>
    <w:rsid w:val="0070166F"/>
    <w:rsid w:val="007018AC"/>
    <w:rsid w:val="007018CD"/>
    <w:rsid w:val="00701D94"/>
    <w:rsid w:val="00701DAC"/>
    <w:rsid w:val="0070211E"/>
    <w:rsid w:val="007021DE"/>
    <w:rsid w:val="007025BD"/>
    <w:rsid w:val="0070271E"/>
    <w:rsid w:val="00702B86"/>
    <w:rsid w:val="00703239"/>
    <w:rsid w:val="007032F9"/>
    <w:rsid w:val="00703357"/>
    <w:rsid w:val="007034CC"/>
    <w:rsid w:val="00703538"/>
    <w:rsid w:val="007039B2"/>
    <w:rsid w:val="00703AD0"/>
    <w:rsid w:val="00703DDB"/>
    <w:rsid w:val="00704430"/>
    <w:rsid w:val="00704746"/>
    <w:rsid w:val="00704858"/>
    <w:rsid w:val="00704D10"/>
    <w:rsid w:val="00704D9C"/>
    <w:rsid w:val="00705266"/>
    <w:rsid w:val="00705789"/>
    <w:rsid w:val="007057C4"/>
    <w:rsid w:val="00705C01"/>
    <w:rsid w:val="00705CB9"/>
    <w:rsid w:val="007069E4"/>
    <w:rsid w:val="00706A72"/>
    <w:rsid w:val="007070A8"/>
    <w:rsid w:val="00707A42"/>
    <w:rsid w:val="00710056"/>
    <w:rsid w:val="0071068A"/>
    <w:rsid w:val="00710A2E"/>
    <w:rsid w:val="00710B71"/>
    <w:rsid w:val="00711416"/>
    <w:rsid w:val="00711A65"/>
    <w:rsid w:val="00711A92"/>
    <w:rsid w:val="00711B6F"/>
    <w:rsid w:val="00711ED1"/>
    <w:rsid w:val="0071202B"/>
    <w:rsid w:val="0071231C"/>
    <w:rsid w:val="00712BE3"/>
    <w:rsid w:val="00712C5E"/>
    <w:rsid w:val="0071309B"/>
    <w:rsid w:val="0071335B"/>
    <w:rsid w:val="00713552"/>
    <w:rsid w:val="00713563"/>
    <w:rsid w:val="0071425E"/>
    <w:rsid w:val="00714348"/>
    <w:rsid w:val="00714766"/>
    <w:rsid w:val="00714A0D"/>
    <w:rsid w:val="007152DC"/>
    <w:rsid w:val="0071551B"/>
    <w:rsid w:val="00715A60"/>
    <w:rsid w:val="00715D72"/>
    <w:rsid w:val="00715FA0"/>
    <w:rsid w:val="00716251"/>
    <w:rsid w:val="007162E3"/>
    <w:rsid w:val="007166DC"/>
    <w:rsid w:val="0071670A"/>
    <w:rsid w:val="00716EE3"/>
    <w:rsid w:val="00717344"/>
    <w:rsid w:val="0071745A"/>
    <w:rsid w:val="00717655"/>
    <w:rsid w:val="00717689"/>
    <w:rsid w:val="00717C51"/>
    <w:rsid w:val="00717C63"/>
    <w:rsid w:val="00717F6C"/>
    <w:rsid w:val="0072018A"/>
    <w:rsid w:val="007204CD"/>
    <w:rsid w:val="00720887"/>
    <w:rsid w:val="00720943"/>
    <w:rsid w:val="00720BC3"/>
    <w:rsid w:val="0072103E"/>
    <w:rsid w:val="0072137D"/>
    <w:rsid w:val="0072143E"/>
    <w:rsid w:val="00721581"/>
    <w:rsid w:val="007215E2"/>
    <w:rsid w:val="00721F0D"/>
    <w:rsid w:val="00722372"/>
    <w:rsid w:val="00722980"/>
    <w:rsid w:val="00722E8D"/>
    <w:rsid w:val="00723343"/>
    <w:rsid w:val="00723718"/>
    <w:rsid w:val="0072382A"/>
    <w:rsid w:val="00723C6E"/>
    <w:rsid w:val="00723CD2"/>
    <w:rsid w:val="00723CEF"/>
    <w:rsid w:val="00723D6B"/>
    <w:rsid w:val="007243D9"/>
    <w:rsid w:val="007247B0"/>
    <w:rsid w:val="007249B7"/>
    <w:rsid w:val="00724A2B"/>
    <w:rsid w:val="00725040"/>
    <w:rsid w:val="00725280"/>
    <w:rsid w:val="00725498"/>
    <w:rsid w:val="0072568D"/>
    <w:rsid w:val="007257A1"/>
    <w:rsid w:val="007257F2"/>
    <w:rsid w:val="00725998"/>
    <w:rsid w:val="00725DE2"/>
    <w:rsid w:val="00725DE6"/>
    <w:rsid w:val="00726031"/>
    <w:rsid w:val="007262E6"/>
    <w:rsid w:val="0072683D"/>
    <w:rsid w:val="00726AF8"/>
    <w:rsid w:val="00726C15"/>
    <w:rsid w:val="00726FA9"/>
    <w:rsid w:val="007273D2"/>
    <w:rsid w:val="0072747E"/>
    <w:rsid w:val="007275D3"/>
    <w:rsid w:val="00727BBB"/>
    <w:rsid w:val="00727ECF"/>
    <w:rsid w:val="00727FC9"/>
    <w:rsid w:val="00730027"/>
    <w:rsid w:val="00730262"/>
    <w:rsid w:val="007305E1"/>
    <w:rsid w:val="00730892"/>
    <w:rsid w:val="00730FBD"/>
    <w:rsid w:val="0073124D"/>
    <w:rsid w:val="00731733"/>
    <w:rsid w:val="00731E34"/>
    <w:rsid w:val="00731EC3"/>
    <w:rsid w:val="007321CF"/>
    <w:rsid w:val="007323F3"/>
    <w:rsid w:val="0073265C"/>
    <w:rsid w:val="00732A43"/>
    <w:rsid w:val="00732ABF"/>
    <w:rsid w:val="007333D9"/>
    <w:rsid w:val="0073348B"/>
    <w:rsid w:val="00733573"/>
    <w:rsid w:val="00733579"/>
    <w:rsid w:val="0073367E"/>
    <w:rsid w:val="007338D3"/>
    <w:rsid w:val="00733EE6"/>
    <w:rsid w:val="00733F11"/>
    <w:rsid w:val="0073413D"/>
    <w:rsid w:val="00734779"/>
    <w:rsid w:val="00734AF3"/>
    <w:rsid w:val="00734EDC"/>
    <w:rsid w:val="0073525F"/>
    <w:rsid w:val="00735457"/>
    <w:rsid w:val="007355FF"/>
    <w:rsid w:val="0073583C"/>
    <w:rsid w:val="00735C62"/>
    <w:rsid w:val="00736035"/>
    <w:rsid w:val="0073625E"/>
    <w:rsid w:val="0073679E"/>
    <w:rsid w:val="00736B4D"/>
    <w:rsid w:val="00736F4E"/>
    <w:rsid w:val="00736F94"/>
    <w:rsid w:val="00737191"/>
    <w:rsid w:val="0073728E"/>
    <w:rsid w:val="00737430"/>
    <w:rsid w:val="00737AC0"/>
    <w:rsid w:val="00737B3E"/>
    <w:rsid w:val="00737B89"/>
    <w:rsid w:val="00740132"/>
    <w:rsid w:val="007402E4"/>
    <w:rsid w:val="00740873"/>
    <w:rsid w:val="00740951"/>
    <w:rsid w:val="00740C30"/>
    <w:rsid w:val="00740E18"/>
    <w:rsid w:val="00741239"/>
    <w:rsid w:val="007413A9"/>
    <w:rsid w:val="00741628"/>
    <w:rsid w:val="007417A6"/>
    <w:rsid w:val="00741C0A"/>
    <w:rsid w:val="0074207D"/>
    <w:rsid w:val="00742429"/>
    <w:rsid w:val="007424FB"/>
    <w:rsid w:val="00743251"/>
    <w:rsid w:val="00743633"/>
    <w:rsid w:val="00743A12"/>
    <w:rsid w:val="0074400A"/>
    <w:rsid w:val="007444A3"/>
    <w:rsid w:val="007446F3"/>
    <w:rsid w:val="0074472E"/>
    <w:rsid w:val="00744AA0"/>
    <w:rsid w:val="00744D8D"/>
    <w:rsid w:val="00744E66"/>
    <w:rsid w:val="00744F32"/>
    <w:rsid w:val="0074564E"/>
    <w:rsid w:val="007456D6"/>
    <w:rsid w:val="00745705"/>
    <w:rsid w:val="00745A49"/>
    <w:rsid w:val="00745D90"/>
    <w:rsid w:val="00745DCA"/>
    <w:rsid w:val="00745E52"/>
    <w:rsid w:val="0074643D"/>
    <w:rsid w:val="00746E44"/>
    <w:rsid w:val="00746EF5"/>
    <w:rsid w:val="00746F59"/>
    <w:rsid w:val="00746FD2"/>
    <w:rsid w:val="0074744C"/>
    <w:rsid w:val="0074768E"/>
    <w:rsid w:val="00747C32"/>
    <w:rsid w:val="00750258"/>
    <w:rsid w:val="007504E5"/>
    <w:rsid w:val="00750622"/>
    <w:rsid w:val="007506E0"/>
    <w:rsid w:val="0075081E"/>
    <w:rsid w:val="007508BC"/>
    <w:rsid w:val="007509CB"/>
    <w:rsid w:val="00750B24"/>
    <w:rsid w:val="00750FF6"/>
    <w:rsid w:val="007510B3"/>
    <w:rsid w:val="007517CA"/>
    <w:rsid w:val="00751B62"/>
    <w:rsid w:val="00751BC3"/>
    <w:rsid w:val="00751F3F"/>
    <w:rsid w:val="0075232B"/>
    <w:rsid w:val="00752523"/>
    <w:rsid w:val="0075288E"/>
    <w:rsid w:val="00752966"/>
    <w:rsid w:val="00752C37"/>
    <w:rsid w:val="00752D32"/>
    <w:rsid w:val="00752EFD"/>
    <w:rsid w:val="00752FF4"/>
    <w:rsid w:val="00753539"/>
    <w:rsid w:val="00753684"/>
    <w:rsid w:val="00753748"/>
    <w:rsid w:val="0075376C"/>
    <w:rsid w:val="0075384B"/>
    <w:rsid w:val="0075393A"/>
    <w:rsid w:val="00753BB3"/>
    <w:rsid w:val="00753C31"/>
    <w:rsid w:val="00753DD2"/>
    <w:rsid w:val="00753FE7"/>
    <w:rsid w:val="00754267"/>
    <w:rsid w:val="0075470F"/>
    <w:rsid w:val="00754817"/>
    <w:rsid w:val="00754AA1"/>
    <w:rsid w:val="00754B8C"/>
    <w:rsid w:val="00755009"/>
    <w:rsid w:val="00755074"/>
    <w:rsid w:val="007551F1"/>
    <w:rsid w:val="007554A2"/>
    <w:rsid w:val="00755823"/>
    <w:rsid w:val="007559BA"/>
    <w:rsid w:val="00755F29"/>
    <w:rsid w:val="0075631F"/>
    <w:rsid w:val="00756881"/>
    <w:rsid w:val="007569E4"/>
    <w:rsid w:val="00756A57"/>
    <w:rsid w:val="007570DB"/>
    <w:rsid w:val="007573E9"/>
    <w:rsid w:val="0075796A"/>
    <w:rsid w:val="00757AC2"/>
    <w:rsid w:val="0076007E"/>
    <w:rsid w:val="007602D5"/>
    <w:rsid w:val="00760347"/>
    <w:rsid w:val="007604BB"/>
    <w:rsid w:val="00760601"/>
    <w:rsid w:val="00760744"/>
    <w:rsid w:val="00760CC3"/>
    <w:rsid w:val="0076107D"/>
    <w:rsid w:val="007616B4"/>
    <w:rsid w:val="0076196B"/>
    <w:rsid w:val="0076201B"/>
    <w:rsid w:val="00762108"/>
    <w:rsid w:val="007622D9"/>
    <w:rsid w:val="00762530"/>
    <w:rsid w:val="0076332F"/>
    <w:rsid w:val="00763453"/>
    <w:rsid w:val="007634DB"/>
    <w:rsid w:val="007634FC"/>
    <w:rsid w:val="00763B51"/>
    <w:rsid w:val="00763C97"/>
    <w:rsid w:val="00763F88"/>
    <w:rsid w:val="00764213"/>
    <w:rsid w:val="00764B88"/>
    <w:rsid w:val="00764B8D"/>
    <w:rsid w:val="00764C7F"/>
    <w:rsid w:val="00764D0B"/>
    <w:rsid w:val="00765000"/>
    <w:rsid w:val="0076558D"/>
    <w:rsid w:val="007655E0"/>
    <w:rsid w:val="007655F7"/>
    <w:rsid w:val="0076579D"/>
    <w:rsid w:val="007658B6"/>
    <w:rsid w:val="00765A48"/>
    <w:rsid w:val="00765F8F"/>
    <w:rsid w:val="0076646E"/>
    <w:rsid w:val="00766897"/>
    <w:rsid w:val="00766E02"/>
    <w:rsid w:val="00766F98"/>
    <w:rsid w:val="00767265"/>
    <w:rsid w:val="00767451"/>
    <w:rsid w:val="0076752A"/>
    <w:rsid w:val="007679CD"/>
    <w:rsid w:val="00767B1E"/>
    <w:rsid w:val="00767CDE"/>
    <w:rsid w:val="007700C2"/>
    <w:rsid w:val="007702D6"/>
    <w:rsid w:val="0077031D"/>
    <w:rsid w:val="0077057C"/>
    <w:rsid w:val="00770AD9"/>
    <w:rsid w:val="00770B41"/>
    <w:rsid w:val="00770C17"/>
    <w:rsid w:val="00770D96"/>
    <w:rsid w:val="00771346"/>
    <w:rsid w:val="00771488"/>
    <w:rsid w:val="007721AB"/>
    <w:rsid w:val="00772380"/>
    <w:rsid w:val="00772841"/>
    <w:rsid w:val="0077295D"/>
    <w:rsid w:val="00772EA9"/>
    <w:rsid w:val="0077307F"/>
    <w:rsid w:val="00773114"/>
    <w:rsid w:val="00773AA3"/>
    <w:rsid w:val="00773BA4"/>
    <w:rsid w:val="0077410B"/>
    <w:rsid w:val="00774392"/>
    <w:rsid w:val="00774AF1"/>
    <w:rsid w:val="007752F1"/>
    <w:rsid w:val="00775577"/>
    <w:rsid w:val="0077589E"/>
    <w:rsid w:val="00776420"/>
    <w:rsid w:val="00776465"/>
    <w:rsid w:val="007769E2"/>
    <w:rsid w:val="00776CC9"/>
    <w:rsid w:val="00776FFA"/>
    <w:rsid w:val="00777256"/>
    <w:rsid w:val="00777290"/>
    <w:rsid w:val="00777582"/>
    <w:rsid w:val="00777607"/>
    <w:rsid w:val="007778D6"/>
    <w:rsid w:val="00777B70"/>
    <w:rsid w:val="00777BCC"/>
    <w:rsid w:val="0078041D"/>
    <w:rsid w:val="00780700"/>
    <w:rsid w:val="00780A18"/>
    <w:rsid w:val="00780EBF"/>
    <w:rsid w:val="00781124"/>
    <w:rsid w:val="007813BF"/>
    <w:rsid w:val="007819C4"/>
    <w:rsid w:val="00781A07"/>
    <w:rsid w:val="00781CD1"/>
    <w:rsid w:val="00781E7A"/>
    <w:rsid w:val="0078276C"/>
    <w:rsid w:val="0078292F"/>
    <w:rsid w:val="00782A00"/>
    <w:rsid w:val="00782FB5"/>
    <w:rsid w:val="00783382"/>
    <w:rsid w:val="0078387D"/>
    <w:rsid w:val="00783AF0"/>
    <w:rsid w:val="00783D19"/>
    <w:rsid w:val="00783D8D"/>
    <w:rsid w:val="00783FA4"/>
    <w:rsid w:val="0078457E"/>
    <w:rsid w:val="007846A9"/>
    <w:rsid w:val="0078562A"/>
    <w:rsid w:val="0078599A"/>
    <w:rsid w:val="00785EFE"/>
    <w:rsid w:val="007861AF"/>
    <w:rsid w:val="00786253"/>
    <w:rsid w:val="007863D9"/>
    <w:rsid w:val="0078642D"/>
    <w:rsid w:val="00786453"/>
    <w:rsid w:val="00786797"/>
    <w:rsid w:val="00786B50"/>
    <w:rsid w:val="00786D9A"/>
    <w:rsid w:val="00786FD2"/>
    <w:rsid w:val="007875AA"/>
    <w:rsid w:val="007875AB"/>
    <w:rsid w:val="00787BF3"/>
    <w:rsid w:val="007900FA"/>
    <w:rsid w:val="00790790"/>
    <w:rsid w:val="00790CB2"/>
    <w:rsid w:val="00790D37"/>
    <w:rsid w:val="00790FC6"/>
    <w:rsid w:val="00791422"/>
    <w:rsid w:val="0079162B"/>
    <w:rsid w:val="00791C44"/>
    <w:rsid w:val="00791D51"/>
    <w:rsid w:val="00792395"/>
    <w:rsid w:val="00792896"/>
    <w:rsid w:val="007929F8"/>
    <w:rsid w:val="00792ECF"/>
    <w:rsid w:val="00792EEE"/>
    <w:rsid w:val="0079320C"/>
    <w:rsid w:val="007933EF"/>
    <w:rsid w:val="00793A38"/>
    <w:rsid w:val="00793BA3"/>
    <w:rsid w:val="007946B4"/>
    <w:rsid w:val="007947DB"/>
    <w:rsid w:val="00794E06"/>
    <w:rsid w:val="00795490"/>
    <w:rsid w:val="007956F5"/>
    <w:rsid w:val="00796335"/>
    <w:rsid w:val="00796803"/>
    <w:rsid w:val="00796AC0"/>
    <w:rsid w:val="00796B1B"/>
    <w:rsid w:val="00796D8C"/>
    <w:rsid w:val="0079766B"/>
    <w:rsid w:val="00797ED6"/>
    <w:rsid w:val="007A000D"/>
    <w:rsid w:val="007A0227"/>
    <w:rsid w:val="007A0592"/>
    <w:rsid w:val="007A0967"/>
    <w:rsid w:val="007A0D90"/>
    <w:rsid w:val="007A1001"/>
    <w:rsid w:val="007A1233"/>
    <w:rsid w:val="007A13CA"/>
    <w:rsid w:val="007A16E1"/>
    <w:rsid w:val="007A1DA0"/>
    <w:rsid w:val="007A1E3F"/>
    <w:rsid w:val="007A1F63"/>
    <w:rsid w:val="007A2170"/>
    <w:rsid w:val="007A21EB"/>
    <w:rsid w:val="007A26FE"/>
    <w:rsid w:val="007A2B06"/>
    <w:rsid w:val="007A35D8"/>
    <w:rsid w:val="007A3AE0"/>
    <w:rsid w:val="007A3E13"/>
    <w:rsid w:val="007A3E57"/>
    <w:rsid w:val="007A3EAB"/>
    <w:rsid w:val="007A5213"/>
    <w:rsid w:val="007A578F"/>
    <w:rsid w:val="007A5DA1"/>
    <w:rsid w:val="007A5F19"/>
    <w:rsid w:val="007A6493"/>
    <w:rsid w:val="007A64F9"/>
    <w:rsid w:val="007A6616"/>
    <w:rsid w:val="007A69BF"/>
    <w:rsid w:val="007A6FAD"/>
    <w:rsid w:val="007A7057"/>
    <w:rsid w:val="007A7941"/>
    <w:rsid w:val="007A7A94"/>
    <w:rsid w:val="007A7CFA"/>
    <w:rsid w:val="007A7FCB"/>
    <w:rsid w:val="007B066C"/>
    <w:rsid w:val="007B07D0"/>
    <w:rsid w:val="007B07D3"/>
    <w:rsid w:val="007B0976"/>
    <w:rsid w:val="007B0B2E"/>
    <w:rsid w:val="007B0E52"/>
    <w:rsid w:val="007B0E7A"/>
    <w:rsid w:val="007B141F"/>
    <w:rsid w:val="007B1D0B"/>
    <w:rsid w:val="007B2007"/>
    <w:rsid w:val="007B2035"/>
    <w:rsid w:val="007B2191"/>
    <w:rsid w:val="007B2457"/>
    <w:rsid w:val="007B24D6"/>
    <w:rsid w:val="007B2541"/>
    <w:rsid w:val="007B2BED"/>
    <w:rsid w:val="007B3482"/>
    <w:rsid w:val="007B34A1"/>
    <w:rsid w:val="007B4A66"/>
    <w:rsid w:val="007B4AAF"/>
    <w:rsid w:val="007B524F"/>
    <w:rsid w:val="007B5ABF"/>
    <w:rsid w:val="007B5BAA"/>
    <w:rsid w:val="007B629F"/>
    <w:rsid w:val="007B6533"/>
    <w:rsid w:val="007B693C"/>
    <w:rsid w:val="007B6B48"/>
    <w:rsid w:val="007B6CFD"/>
    <w:rsid w:val="007B6ED7"/>
    <w:rsid w:val="007B7025"/>
    <w:rsid w:val="007B723B"/>
    <w:rsid w:val="007B7389"/>
    <w:rsid w:val="007B783F"/>
    <w:rsid w:val="007C012C"/>
    <w:rsid w:val="007C0358"/>
    <w:rsid w:val="007C084E"/>
    <w:rsid w:val="007C0856"/>
    <w:rsid w:val="007C0901"/>
    <w:rsid w:val="007C09EE"/>
    <w:rsid w:val="007C10FA"/>
    <w:rsid w:val="007C132D"/>
    <w:rsid w:val="007C183F"/>
    <w:rsid w:val="007C1904"/>
    <w:rsid w:val="007C1A4E"/>
    <w:rsid w:val="007C2228"/>
    <w:rsid w:val="007C2253"/>
    <w:rsid w:val="007C28DB"/>
    <w:rsid w:val="007C2E77"/>
    <w:rsid w:val="007C2F17"/>
    <w:rsid w:val="007C2FC9"/>
    <w:rsid w:val="007C32CB"/>
    <w:rsid w:val="007C3353"/>
    <w:rsid w:val="007C36C9"/>
    <w:rsid w:val="007C3706"/>
    <w:rsid w:val="007C371F"/>
    <w:rsid w:val="007C380B"/>
    <w:rsid w:val="007C3F35"/>
    <w:rsid w:val="007C40F5"/>
    <w:rsid w:val="007C495C"/>
    <w:rsid w:val="007C4C42"/>
    <w:rsid w:val="007C4F0F"/>
    <w:rsid w:val="007C5169"/>
    <w:rsid w:val="007C56AD"/>
    <w:rsid w:val="007C5C24"/>
    <w:rsid w:val="007C628D"/>
    <w:rsid w:val="007C66B7"/>
    <w:rsid w:val="007C67AF"/>
    <w:rsid w:val="007C6A51"/>
    <w:rsid w:val="007C6A95"/>
    <w:rsid w:val="007C6AC2"/>
    <w:rsid w:val="007C7153"/>
    <w:rsid w:val="007C789F"/>
    <w:rsid w:val="007D0295"/>
    <w:rsid w:val="007D06F7"/>
    <w:rsid w:val="007D0B2C"/>
    <w:rsid w:val="007D0E12"/>
    <w:rsid w:val="007D1076"/>
    <w:rsid w:val="007D118B"/>
    <w:rsid w:val="007D1214"/>
    <w:rsid w:val="007D1D45"/>
    <w:rsid w:val="007D1D9F"/>
    <w:rsid w:val="007D22DB"/>
    <w:rsid w:val="007D2346"/>
    <w:rsid w:val="007D2363"/>
    <w:rsid w:val="007D27FF"/>
    <w:rsid w:val="007D29D8"/>
    <w:rsid w:val="007D2DA3"/>
    <w:rsid w:val="007D32E2"/>
    <w:rsid w:val="007D33B7"/>
    <w:rsid w:val="007D33F6"/>
    <w:rsid w:val="007D3682"/>
    <w:rsid w:val="007D3748"/>
    <w:rsid w:val="007D38F4"/>
    <w:rsid w:val="007D3DE7"/>
    <w:rsid w:val="007D3E50"/>
    <w:rsid w:val="007D4057"/>
    <w:rsid w:val="007D441B"/>
    <w:rsid w:val="007D44B3"/>
    <w:rsid w:val="007D47BB"/>
    <w:rsid w:val="007D4BFD"/>
    <w:rsid w:val="007D5294"/>
    <w:rsid w:val="007D5B1A"/>
    <w:rsid w:val="007D5E17"/>
    <w:rsid w:val="007D6644"/>
    <w:rsid w:val="007D6826"/>
    <w:rsid w:val="007D6959"/>
    <w:rsid w:val="007D6C6E"/>
    <w:rsid w:val="007D6FA0"/>
    <w:rsid w:val="007D71BE"/>
    <w:rsid w:val="007D72C7"/>
    <w:rsid w:val="007D74BA"/>
    <w:rsid w:val="007D788A"/>
    <w:rsid w:val="007D79A3"/>
    <w:rsid w:val="007E01E4"/>
    <w:rsid w:val="007E03E6"/>
    <w:rsid w:val="007E0546"/>
    <w:rsid w:val="007E05F0"/>
    <w:rsid w:val="007E118A"/>
    <w:rsid w:val="007E11A9"/>
    <w:rsid w:val="007E135F"/>
    <w:rsid w:val="007E1616"/>
    <w:rsid w:val="007E1926"/>
    <w:rsid w:val="007E29B0"/>
    <w:rsid w:val="007E302E"/>
    <w:rsid w:val="007E306A"/>
    <w:rsid w:val="007E397C"/>
    <w:rsid w:val="007E3E64"/>
    <w:rsid w:val="007E40C3"/>
    <w:rsid w:val="007E43C0"/>
    <w:rsid w:val="007E4601"/>
    <w:rsid w:val="007E51C5"/>
    <w:rsid w:val="007E5666"/>
    <w:rsid w:val="007E57B0"/>
    <w:rsid w:val="007E58A1"/>
    <w:rsid w:val="007E625A"/>
    <w:rsid w:val="007E677D"/>
    <w:rsid w:val="007E67E4"/>
    <w:rsid w:val="007E68BF"/>
    <w:rsid w:val="007E6BE4"/>
    <w:rsid w:val="007E6C6C"/>
    <w:rsid w:val="007E6F3D"/>
    <w:rsid w:val="007E73DA"/>
    <w:rsid w:val="007E7892"/>
    <w:rsid w:val="007E7EB5"/>
    <w:rsid w:val="007E7F5A"/>
    <w:rsid w:val="007F0808"/>
    <w:rsid w:val="007F0975"/>
    <w:rsid w:val="007F0A12"/>
    <w:rsid w:val="007F12AF"/>
    <w:rsid w:val="007F14EF"/>
    <w:rsid w:val="007F1650"/>
    <w:rsid w:val="007F1671"/>
    <w:rsid w:val="007F169F"/>
    <w:rsid w:val="007F20AC"/>
    <w:rsid w:val="007F2305"/>
    <w:rsid w:val="007F2363"/>
    <w:rsid w:val="007F23F8"/>
    <w:rsid w:val="007F2912"/>
    <w:rsid w:val="007F299D"/>
    <w:rsid w:val="007F2F30"/>
    <w:rsid w:val="007F30DB"/>
    <w:rsid w:val="007F37CD"/>
    <w:rsid w:val="007F3874"/>
    <w:rsid w:val="007F3A9C"/>
    <w:rsid w:val="007F3C47"/>
    <w:rsid w:val="007F3F3D"/>
    <w:rsid w:val="007F4247"/>
    <w:rsid w:val="007F476A"/>
    <w:rsid w:val="007F4C0F"/>
    <w:rsid w:val="007F4C39"/>
    <w:rsid w:val="007F56BA"/>
    <w:rsid w:val="007F5742"/>
    <w:rsid w:val="007F59A6"/>
    <w:rsid w:val="007F59D7"/>
    <w:rsid w:val="007F5B9B"/>
    <w:rsid w:val="007F615A"/>
    <w:rsid w:val="007F6C4F"/>
    <w:rsid w:val="007F7107"/>
    <w:rsid w:val="007F7352"/>
    <w:rsid w:val="007F756D"/>
    <w:rsid w:val="007F75B8"/>
    <w:rsid w:val="007F7FAA"/>
    <w:rsid w:val="008006F4"/>
    <w:rsid w:val="008008DB"/>
    <w:rsid w:val="00800E88"/>
    <w:rsid w:val="008011F2"/>
    <w:rsid w:val="00801A2E"/>
    <w:rsid w:val="00801C87"/>
    <w:rsid w:val="00801C91"/>
    <w:rsid w:val="008023AD"/>
    <w:rsid w:val="008026B0"/>
    <w:rsid w:val="00802D5A"/>
    <w:rsid w:val="0080324C"/>
    <w:rsid w:val="00803394"/>
    <w:rsid w:val="00803690"/>
    <w:rsid w:val="00804172"/>
    <w:rsid w:val="00804838"/>
    <w:rsid w:val="008049BB"/>
    <w:rsid w:val="0080527F"/>
    <w:rsid w:val="00805362"/>
    <w:rsid w:val="00805683"/>
    <w:rsid w:val="00805950"/>
    <w:rsid w:val="0080599C"/>
    <w:rsid w:val="0080617C"/>
    <w:rsid w:val="0080675E"/>
    <w:rsid w:val="008068F2"/>
    <w:rsid w:val="0080696E"/>
    <w:rsid w:val="00806CC7"/>
    <w:rsid w:val="00807001"/>
    <w:rsid w:val="00807FDE"/>
    <w:rsid w:val="0081030F"/>
    <w:rsid w:val="0081047F"/>
    <w:rsid w:val="00811501"/>
    <w:rsid w:val="008116C5"/>
    <w:rsid w:val="00811E52"/>
    <w:rsid w:val="00811E84"/>
    <w:rsid w:val="00811F90"/>
    <w:rsid w:val="008120D6"/>
    <w:rsid w:val="00812779"/>
    <w:rsid w:val="00812F58"/>
    <w:rsid w:val="008132E4"/>
    <w:rsid w:val="00813749"/>
    <w:rsid w:val="00813E54"/>
    <w:rsid w:val="00813FC1"/>
    <w:rsid w:val="00814104"/>
    <w:rsid w:val="008144EC"/>
    <w:rsid w:val="008145D3"/>
    <w:rsid w:val="00814799"/>
    <w:rsid w:val="0081489C"/>
    <w:rsid w:val="00814EA8"/>
    <w:rsid w:val="00815817"/>
    <w:rsid w:val="00815F53"/>
    <w:rsid w:val="00816949"/>
    <w:rsid w:val="008169AB"/>
    <w:rsid w:val="00816E3E"/>
    <w:rsid w:val="0081710A"/>
    <w:rsid w:val="008178DE"/>
    <w:rsid w:val="00817D86"/>
    <w:rsid w:val="00820255"/>
    <w:rsid w:val="0082051D"/>
    <w:rsid w:val="0082087D"/>
    <w:rsid w:val="00820F59"/>
    <w:rsid w:val="00821434"/>
    <w:rsid w:val="00821EFC"/>
    <w:rsid w:val="0082238A"/>
    <w:rsid w:val="0082291E"/>
    <w:rsid w:val="00822967"/>
    <w:rsid w:val="00822F00"/>
    <w:rsid w:val="008236C2"/>
    <w:rsid w:val="00823EDB"/>
    <w:rsid w:val="00823F9E"/>
    <w:rsid w:val="00824196"/>
    <w:rsid w:val="008242EB"/>
    <w:rsid w:val="0082497C"/>
    <w:rsid w:val="00824C8D"/>
    <w:rsid w:val="00825406"/>
    <w:rsid w:val="0082562D"/>
    <w:rsid w:val="00825714"/>
    <w:rsid w:val="0082586F"/>
    <w:rsid w:val="00825CC6"/>
    <w:rsid w:val="00825EC7"/>
    <w:rsid w:val="008261BB"/>
    <w:rsid w:val="008266FE"/>
    <w:rsid w:val="00826A68"/>
    <w:rsid w:val="00826A6A"/>
    <w:rsid w:val="00826C0D"/>
    <w:rsid w:val="00826EF9"/>
    <w:rsid w:val="00826F16"/>
    <w:rsid w:val="00827244"/>
    <w:rsid w:val="00827488"/>
    <w:rsid w:val="0082757F"/>
    <w:rsid w:val="0082791A"/>
    <w:rsid w:val="008300C4"/>
    <w:rsid w:val="0083073F"/>
    <w:rsid w:val="008308DF"/>
    <w:rsid w:val="008309AB"/>
    <w:rsid w:val="00830E13"/>
    <w:rsid w:val="00830F4D"/>
    <w:rsid w:val="0083168D"/>
    <w:rsid w:val="00831B3F"/>
    <w:rsid w:val="00831ED7"/>
    <w:rsid w:val="0083233D"/>
    <w:rsid w:val="00832351"/>
    <w:rsid w:val="00832455"/>
    <w:rsid w:val="0083270D"/>
    <w:rsid w:val="00832A58"/>
    <w:rsid w:val="00832DA1"/>
    <w:rsid w:val="008334D4"/>
    <w:rsid w:val="008343E0"/>
    <w:rsid w:val="00834D64"/>
    <w:rsid w:val="00834D9C"/>
    <w:rsid w:val="008352E0"/>
    <w:rsid w:val="008359DF"/>
    <w:rsid w:val="00835C85"/>
    <w:rsid w:val="0083665D"/>
    <w:rsid w:val="0083686E"/>
    <w:rsid w:val="00836F79"/>
    <w:rsid w:val="00837086"/>
    <w:rsid w:val="00837B42"/>
    <w:rsid w:val="00837E75"/>
    <w:rsid w:val="00840153"/>
    <w:rsid w:val="008402F6"/>
    <w:rsid w:val="008402F8"/>
    <w:rsid w:val="0084041D"/>
    <w:rsid w:val="00840599"/>
    <w:rsid w:val="008405CF"/>
    <w:rsid w:val="0084067C"/>
    <w:rsid w:val="008408F0"/>
    <w:rsid w:val="00840BC3"/>
    <w:rsid w:val="008411B4"/>
    <w:rsid w:val="0084124C"/>
    <w:rsid w:val="008414E1"/>
    <w:rsid w:val="008416A9"/>
    <w:rsid w:val="00841836"/>
    <w:rsid w:val="00841C15"/>
    <w:rsid w:val="008424C2"/>
    <w:rsid w:val="00842B35"/>
    <w:rsid w:val="00842F9F"/>
    <w:rsid w:val="008432FB"/>
    <w:rsid w:val="0084357A"/>
    <w:rsid w:val="008438A2"/>
    <w:rsid w:val="00844043"/>
    <w:rsid w:val="00844198"/>
    <w:rsid w:val="008441B4"/>
    <w:rsid w:val="00844277"/>
    <w:rsid w:val="008448F3"/>
    <w:rsid w:val="00844A6F"/>
    <w:rsid w:val="00844EFC"/>
    <w:rsid w:val="00845FBC"/>
    <w:rsid w:val="0084601B"/>
    <w:rsid w:val="008462CA"/>
    <w:rsid w:val="00846675"/>
    <w:rsid w:val="00846682"/>
    <w:rsid w:val="00846945"/>
    <w:rsid w:val="00846C8A"/>
    <w:rsid w:val="00846FA2"/>
    <w:rsid w:val="0084709B"/>
    <w:rsid w:val="008473A0"/>
    <w:rsid w:val="008475DF"/>
    <w:rsid w:val="00847A15"/>
    <w:rsid w:val="00850257"/>
    <w:rsid w:val="0085025F"/>
    <w:rsid w:val="008502FB"/>
    <w:rsid w:val="0085060A"/>
    <w:rsid w:val="00851573"/>
    <w:rsid w:val="00851834"/>
    <w:rsid w:val="00851952"/>
    <w:rsid w:val="00851C7D"/>
    <w:rsid w:val="00851E6E"/>
    <w:rsid w:val="0085216C"/>
    <w:rsid w:val="00852E25"/>
    <w:rsid w:val="008531A8"/>
    <w:rsid w:val="008536C8"/>
    <w:rsid w:val="00853908"/>
    <w:rsid w:val="00853C87"/>
    <w:rsid w:val="00854050"/>
    <w:rsid w:val="00854961"/>
    <w:rsid w:val="00854C92"/>
    <w:rsid w:val="0085518A"/>
    <w:rsid w:val="008551B9"/>
    <w:rsid w:val="008551D0"/>
    <w:rsid w:val="008555EB"/>
    <w:rsid w:val="00855766"/>
    <w:rsid w:val="00855D4F"/>
    <w:rsid w:val="00855E3D"/>
    <w:rsid w:val="00855E84"/>
    <w:rsid w:val="00856264"/>
    <w:rsid w:val="008562FD"/>
    <w:rsid w:val="0085693A"/>
    <w:rsid w:val="008569C2"/>
    <w:rsid w:val="008569CC"/>
    <w:rsid w:val="00856ECB"/>
    <w:rsid w:val="00856F85"/>
    <w:rsid w:val="008573B3"/>
    <w:rsid w:val="008573F6"/>
    <w:rsid w:val="008575C9"/>
    <w:rsid w:val="008578DA"/>
    <w:rsid w:val="00857A36"/>
    <w:rsid w:val="00857DD4"/>
    <w:rsid w:val="00860054"/>
    <w:rsid w:val="008600EF"/>
    <w:rsid w:val="0086061E"/>
    <w:rsid w:val="008606A6"/>
    <w:rsid w:val="0086082C"/>
    <w:rsid w:val="008619BE"/>
    <w:rsid w:val="00861F64"/>
    <w:rsid w:val="008625F7"/>
    <w:rsid w:val="00862837"/>
    <w:rsid w:val="00863499"/>
    <w:rsid w:val="0086352C"/>
    <w:rsid w:val="008639BA"/>
    <w:rsid w:val="00863AEB"/>
    <w:rsid w:val="00863BEE"/>
    <w:rsid w:val="00863C3D"/>
    <w:rsid w:val="00863C5C"/>
    <w:rsid w:val="00863D05"/>
    <w:rsid w:val="0086431A"/>
    <w:rsid w:val="0086447C"/>
    <w:rsid w:val="0086457F"/>
    <w:rsid w:val="008645EA"/>
    <w:rsid w:val="0086461F"/>
    <w:rsid w:val="00864ADC"/>
    <w:rsid w:val="00864CD6"/>
    <w:rsid w:val="00864D9F"/>
    <w:rsid w:val="00864F44"/>
    <w:rsid w:val="00865349"/>
    <w:rsid w:val="0086558C"/>
    <w:rsid w:val="00865861"/>
    <w:rsid w:val="00865AE0"/>
    <w:rsid w:val="0086616B"/>
    <w:rsid w:val="008665A7"/>
    <w:rsid w:val="0086665B"/>
    <w:rsid w:val="00866D08"/>
    <w:rsid w:val="00866DD2"/>
    <w:rsid w:val="008670BA"/>
    <w:rsid w:val="008677B8"/>
    <w:rsid w:val="00867A28"/>
    <w:rsid w:val="00870553"/>
    <w:rsid w:val="008708C0"/>
    <w:rsid w:val="008714AB"/>
    <w:rsid w:val="00871C10"/>
    <w:rsid w:val="00872181"/>
    <w:rsid w:val="008721C4"/>
    <w:rsid w:val="00872780"/>
    <w:rsid w:val="00872899"/>
    <w:rsid w:val="00872BAA"/>
    <w:rsid w:val="0087300E"/>
    <w:rsid w:val="0087335F"/>
    <w:rsid w:val="008734FE"/>
    <w:rsid w:val="00873E1C"/>
    <w:rsid w:val="00874419"/>
    <w:rsid w:val="0087486F"/>
    <w:rsid w:val="008748A3"/>
    <w:rsid w:val="0087503F"/>
    <w:rsid w:val="0087515A"/>
    <w:rsid w:val="008752CE"/>
    <w:rsid w:val="00875B08"/>
    <w:rsid w:val="00875CA6"/>
    <w:rsid w:val="0087611F"/>
    <w:rsid w:val="008763B9"/>
    <w:rsid w:val="0087640C"/>
    <w:rsid w:val="00876411"/>
    <w:rsid w:val="00876479"/>
    <w:rsid w:val="0087691D"/>
    <w:rsid w:val="00877220"/>
    <w:rsid w:val="008773D7"/>
    <w:rsid w:val="008774F7"/>
    <w:rsid w:val="00877581"/>
    <w:rsid w:val="00877AB2"/>
    <w:rsid w:val="00877BE6"/>
    <w:rsid w:val="00877E2A"/>
    <w:rsid w:val="00877EFB"/>
    <w:rsid w:val="00880153"/>
    <w:rsid w:val="0088043D"/>
    <w:rsid w:val="0088048C"/>
    <w:rsid w:val="00880870"/>
    <w:rsid w:val="00880A00"/>
    <w:rsid w:val="00880D13"/>
    <w:rsid w:val="00880F97"/>
    <w:rsid w:val="00880FAC"/>
    <w:rsid w:val="00881037"/>
    <w:rsid w:val="00881254"/>
    <w:rsid w:val="0088133A"/>
    <w:rsid w:val="008814A0"/>
    <w:rsid w:val="00881899"/>
    <w:rsid w:val="00881A12"/>
    <w:rsid w:val="00881B0D"/>
    <w:rsid w:val="00881C23"/>
    <w:rsid w:val="00881CCB"/>
    <w:rsid w:val="00881FB8"/>
    <w:rsid w:val="0088234B"/>
    <w:rsid w:val="00882736"/>
    <w:rsid w:val="00882774"/>
    <w:rsid w:val="00882A1F"/>
    <w:rsid w:val="00882BE3"/>
    <w:rsid w:val="00882DDC"/>
    <w:rsid w:val="00883293"/>
    <w:rsid w:val="0088340B"/>
    <w:rsid w:val="00884642"/>
    <w:rsid w:val="00884651"/>
    <w:rsid w:val="0088477C"/>
    <w:rsid w:val="00884EE5"/>
    <w:rsid w:val="008850F6"/>
    <w:rsid w:val="0088521C"/>
    <w:rsid w:val="008854F7"/>
    <w:rsid w:val="0088552E"/>
    <w:rsid w:val="00885545"/>
    <w:rsid w:val="0088562B"/>
    <w:rsid w:val="008858D8"/>
    <w:rsid w:val="00885EE3"/>
    <w:rsid w:val="00886087"/>
    <w:rsid w:val="008861F8"/>
    <w:rsid w:val="008869F6"/>
    <w:rsid w:val="00886C8B"/>
    <w:rsid w:val="008875A6"/>
    <w:rsid w:val="0088786D"/>
    <w:rsid w:val="00887DB5"/>
    <w:rsid w:val="00887F6C"/>
    <w:rsid w:val="00890011"/>
    <w:rsid w:val="008900BD"/>
    <w:rsid w:val="0089019E"/>
    <w:rsid w:val="00890407"/>
    <w:rsid w:val="00890461"/>
    <w:rsid w:val="00890571"/>
    <w:rsid w:val="0089066C"/>
    <w:rsid w:val="0089071C"/>
    <w:rsid w:val="00890A55"/>
    <w:rsid w:val="00890BBA"/>
    <w:rsid w:val="00891089"/>
    <w:rsid w:val="008912B7"/>
    <w:rsid w:val="008912EF"/>
    <w:rsid w:val="008916F2"/>
    <w:rsid w:val="00891A39"/>
    <w:rsid w:val="0089205B"/>
    <w:rsid w:val="00892185"/>
    <w:rsid w:val="00892671"/>
    <w:rsid w:val="008926EC"/>
    <w:rsid w:val="00892757"/>
    <w:rsid w:val="0089285E"/>
    <w:rsid w:val="00892902"/>
    <w:rsid w:val="00892AF4"/>
    <w:rsid w:val="00892C22"/>
    <w:rsid w:val="00893589"/>
    <w:rsid w:val="008940DC"/>
    <w:rsid w:val="0089436C"/>
    <w:rsid w:val="008947CC"/>
    <w:rsid w:val="0089548C"/>
    <w:rsid w:val="00895627"/>
    <w:rsid w:val="0089584A"/>
    <w:rsid w:val="00895C55"/>
    <w:rsid w:val="00895F79"/>
    <w:rsid w:val="00896437"/>
    <w:rsid w:val="008965F7"/>
    <w:rsid w:val="00896711"/>
    <w:rsid w:val="00896B0E"/>
    <w:rsid w:val="00896C66"/>
    <w:rsid w:val="00896F44"/>
    <w:rsid w:val="00897083"/>
    <w:rsid w:val="00897392"/>
    <w:rsid w:val="00897429"/>
    <w:rsid w:val="008978B6"/>
    <w:rsid w:val="00897A42"/>
    <w:rsid w:val="00897C4B"/>
    <w:rsid w:val="008A0425"/>
    <w:rsid w:val="008A057D"/>
    <w:rsid w:val="008A05DB"/>
    <w:rsid w:val="008A078B"/>
    <w:rsid w:val="008A0CC1"/>
    <w:rsid w:val="008A0CCE"/>
    <w:rsid w:val="008A1097"/>
    <w:rsid w:val="008A1421"/>
    <w:rsid w:val="008A197C"/>
    <w:rsid w:val="008A1C7F"/>
    <w:rsid w:val="008A20C5"/>
    <w:rsid w:val="008A249E"/>
    <w:rsid w:val="008A2B61"/>
    <w:rsid w:val="008A2E39"/>
    <w:rsid w:val="008A30F3"/>
    <w:rsid w:val="008A346D"/>
    <w:rsid w:val="008A379F"/>
    <w:rsid w:val="008A3AA2"/>
    <w:rsid w:val="008A3CDF"/>
    <w:rsid w:val="008A3EB6"/>
    <w:rsid w:val="008A4113"/>
    <w:rsid w:val="008A4187"/>
    <w:rsid w:val="008A4426"/>
    <w:rsid w:val="008A4565"/>
    <w:rsid w:val="008A47FF"/>
    <w:rsid w:val="008A4A97"/>
    <w:rsid w:val="008A4B3E"/>
    <w:rsid w:val="008A5836"/>
    <w:rsid w:val="008A5E1C"/>
    <w:rsid w:val="008A62A4"/>
    <w:rsid w:val="008A6488"/>
    <w:rsid w:val="008A663C"/>
    <w:rsid w:val="008A69A5"/>
    <w:rsid w:val="008A6BBB"/>
    <w:rsid w:val="008A6CA0"/>
    <w:rsid w:val="008A7040"/>
    <w:rsid w:val="008A71B9"/>
    <w:rsid w:val="008A740F"/>
    <w:rsid w:val="008A7507"/>
    <w:rsid w:val="008A7880"/>
    <w:rsid w:val="008A7ECA"/>
    <w:rsid w:val="008B0C9F"/>
    <w:rsid w:val="008B0FA3"/>
    <w:rsid w:val="008B1292"/>
    <w:rsid w:val="008B16BC"/>
    <w:rsid w:val="008B16E5"/>
    <w:rsid w:val="008B19A4"/>
    <w:rsid w:val="008B1B46"/>
    <w:rsid w:val="008B1C4C"/>
    <w:rsid w:val="008B21E9"/>
    <w:rsid w:val="008B221C"/>
    <w:rsid w:val="008B23F6"/>
    <w:rsid w:val="008B286E"/>
    <w:rsid w:val="008B2965"/>
    <w:rsid w:val="008B2DD2"/>
    <w:rsid w:val="008B3690"/>
    <w:rsid w:val="008B3C81"/>
    <w:rsid w:val="008B444E"/>
    <w:rsid w:val="008B4A5F"/>
    <w:rsid w:val="008B4B13"/>
    <w:rsid w:val="008B555F"/>
    <w:rsid w:val="008B5FFD"/>
    <w:rsid w:val="008B607D"/>
    <w:rsid w:val="008B6436"/>
    <w:rsid w:val="008B684A"/>
    <w:rsid w:val="008B68D3"/>
    <w:rsid w:val="008B7064"/>
    <w:rsid w:val="008B7299"/>
    <w:rsid w:val="008C07F0"/>
    <w:rsid w:val="008C0F34"/>
    <w:rsid w:val="008C1093"/>
    <w:rsid w:val="008C13FC"/>
    <w:rsid w:val="008C15C1"/>
    <w:rsid w:val="008C18A0"/>
    <w:rsid w:val="008C1987"/>
    <w:rsid w:val="008C1B8A"/>
    <w:rsid w:val="008C1C1B"/>
    <w:rsid w:val="008C26AC"/>
    <w:rsid w:val="008C2877"/>
    <w:rsid w:val="008C2A33"/>
    <w:rsid w:val="008C2E20"/>
    <w:rsid w:val="008C3945"/>
    <w:rsid w:val="008C3C2F"/>
    <w:rsid w:val="008C4337"/>
    <w:rsid w:val="008C47D8"/>
    <w:rsid w:val="008C4955"/>
    <w:rsid w:val="008C505C"/>
    <w:rsid w:val="008C58A7"/>
    <w:rsid w:val="008C6063"/>
    <w:rsid w:val="008C651C"/>
    <w:rsid w:val="008C67B4"/>
    <w:rsid w:val="008C6D12"/>
    <w:rsid w:val="008C6D75"/>
    <w:rsid w:val="008C6EFD"/>
    <w:rsid w:val="008C73A0"/>
    <w:rsid w:val="008C78BA"/>
    <w:rsid w:val="008C7B36"/>
    <w:rsid w:val="008C7E7F"/>
    <w:rsid w:val="008D0120"/>
    <w:rsid w:val="008D04B2"/>
    <w:rsid w:val="008D0830"/>
    <w:rsid w:val="008D0EC1"/>
    <w:rsid w:val="008D0F9B"/>
    <w:rsid w:val="008D10D6"/>
    <w:rsid w:val="008D1105"/>
    <w:rsid w:val="008D1144"/>
    <w:rsid w:val="008D120B"/>
    <w:rsid w:val="008D13F8"/>
    <w:rsid w:val="008D1761"/>
    <w:rsid w:val="008D1FBE"/>
    <w:rsid w:val="008D2137"/>
    <w:rsid w:val="008D219D"/>
    <w:rsid w:val="008D238A"/>
    <w:rsid w:val="008D3032"/>
    <w:rsid w:val="008D350D"/>
    <w:rsid w:val="008D3619"/>
    <w:rsid w:val="008D3EEB"/>
    <w:rsid w:val="008D4829"/>
    <w:rsid w:val="008D49B8"/>
    <w:rsid w:val="008D4B98"/>
    <w:rsid w:val="008D4B9C"/>
    <w:rsid w:val="008D4FB5"/>
    <w:rsid w:val="008D5586"/>
    <w:rsid w:val="008D5CFF"/>
    <w:rsid w:val="008D6171"/>
    <w:rsid w:val="008D61BA"/>
    <w:rsid w:val="008D6562"/>
    <w:rsid w:val="008D7737"/>
    <w:rsid w:val="008D7744"/>
    <w:rsid w:val="008D7C5C"/>
    <w:rsid w:val="008D7D0D"/>
    <w:rsid w:val="008E014F"/>
    <w:rsid w:val="008E0571"/>
    <w:rsid w:val="008E0683"/>
    <w:rsid w:val="008E0E1B"/>
    <w:rsid w:val="008E11E4"/>
    <w:rsid w:val="008E1D76"/>
    <w:rsid w:val="008E1DDD"/>
    <w:rsid w:val="008E1E1D"/>
    <w:rsid w:val="008E2161"/>
    <w:rsid w:val="008E2562"/>
    <w:rsid w:val="008E2BAB"/>
    <w:rsid w:val="008E2E8A"/>
    <w:rsid w:val="008E2ED8"/>
    <w:rsid w:val="008E3074"/>
    <w:rsid w:val="008E316F"/>
    <w:rsid w:val="008E32C8"/>
    <w:rsid w:val="008E3361"/>
    <w:rsid w:val="008E3364"/>
    <w:rsid w:val="008E33B7"/>
    <w:rsid w:val="008E35F1"/>
    <w:rsid w:val="008E3AFF"/>
    <w:rsid w:val="008E3BA8"/>
    <w:rsid w:val="008E43FE"/>
    <w:rsid w:val="008E4725"/>
    <w:rsid w:val="008E4D77"/>
    <w:rsid w:val="008E50AD"/>
    <w:rsid w:val="008E5A62"/>
    <w:rsid w:val="008E5A98"/>
    <w:rsid w:val="008E5B95"/>
    <w:rsid w:val="008E69CB"/>
    <w:rsid w:val="008E6CE5"/>
    <w:rsid w:val="008E6D1F"/>
    <w:rsid w:val="008E709E"/>
    <w:rsid w:val="008E7147"/>
    <w:rsid w:val="008E760A"/>
    <w:rsid w:val="008F0BE5"/>
    <w:rsid w:val="008F0D14"/>
    <w:rsid w:val="008F14A5"/>
    <w:rsid w:val="008F165C"/>
    <w:rsid w:val="008F171A"/>
    <w:rsid w:val="008F22AD"/>
    <w:rsid w:val="008F23B5"/>
    <w:rsid w:val="008F2728"/>
    <w:rsid w:val="008F2A76"/>
    <w:rsid w:val="008F30DB"/>
    <w:rsid w:val="008F3235"/>
    <w:rsid w:val="008F3BD3"/>
    <w:rsid w:val="008F3D04"/>
    <w:rsid w:val="008F46D1"/>
    <w:rsid w:val="008F4AC3"/>
    <w:rsid w:val="008F4FBA"/>
    <w:rsid w:val="008F554B"/>
    <w:rsid w:val="008F59A9"/>
    <w:rsid w:val="008F5A30"/>
    <w:rsid w:val="008F5EA0"/>
    <w:rsid w:val="008F62E0"/>
    <w:rsid w:val="008F638E"/>
    <w:rsid w:val="008F6462"/>
    <w:rsid w:val="008F7080"/>
    <w:rsid w:val="008F718E"/>
    <w:rsid w:val="008F72A1"/>
    <w:rsid w:val="008F7785"/>
    <w:rsid w:val="008F782F"/>
    <w:rsid w:val="008F7C80"/>
    <w:rsid w:val="008F7C90"/>
    <w:rsid w:val="008F7E93"/>
    <w:rsid w:val="008F7EF2"/>
    <w:rsid w:val="009002DC"/>
    <w:rsid w:val="0090051A"/>
    <w:rsid w:val="00900C3D"/>
    <w:rsid w:val="00901005"/>
    <w:rsid w:val="0090116D"/>
    <w:rsid w:val="0090194E"/>
    <w:rsid w:val="0090199A"/>
    <w:rsid w:val="00901B24"/>
    <w:rsid w:val="0090260A"/>
    <w:rsid w:val="009028B0"/>
    <w:rsid w:val="009030BF"/>
    <w:rsid w:val="0090381D"/>
    <w:rsid w:val="00903A91"/>
    <w:rsid w:val="00903AEF"/>
    <w:rsid w:val="00903B4C"/>
    <w:rsid w:val="00903F9C"/>
    <w:rsid w:val="0090406F"/>
    <w:rsid w:val="0090457F"/>
    <w:rsid w:val="0090458C"/>
    <w:rsid w:val="009049E5"/>
    <w:rsid w:val="00904B30"/>
    <w:rsid w:val="00904B58"/>
    <w:rsid w:val="00904F67"/>
    <w:rsid w:val="009054CC"/>
    <w:rsid w:val="0090563B"/>
    <w:rsid w:val="00905844"/>
    <w:rsid w:val="009058F5"/>
    <w:rsid w:val="00905A9F"/>
    <w:rsid w:val="00905E80"/>
    <w:rsid w:val="00905FD8"/>
    <w:rsid w:val="009063B7"/>
    <w:rsid w:val="00906469"/>
    <w:rsid w:val="00906644"/>
    <w:rsid w:val="0090692C"/>
    <w:rsid w:val="00906931"/>
    <w:rsid w:val="00906A60"/>
    <w:rsid w:val="00906E02"/>
    <w:rsid w:val="0090715D"/>
    <w:rsid w:val="009073F1"/>
    <w:rsid w:val="00907A09"/>
    <w:rsid w:val="00907D7D"/>
    <w:rsid w:val="00910235"/>
    <w:rsid w:val="009102F3"/>
    <w:rsid w:val="00910467"/>
    <w:rsid w:val="009104E7"/>
    <w:rsid w:val="00910676"/>
    <w:rsid w:val="00910DCA"/>
    <w:rsid w:val="0091132C"/>
    <w:rsid w:val="0091136C"/>
    <w:rsid w:val="00911BD6"/>
    <w:rsid w:val="00911C87"/>
    <w:rsid w:val="009122CF"/>
    <w:rsid w:val="00912739"/>
    <w:rsid w:val="00912D6E"/>
    <w:rsid w:val="00913645"/>
    <w:rsid w:val="0091384D"/>
    <w:rsid w:val="00913A1B"/>
    <w:rsid w:val="00913CDB"/>
    <w:rsid w:val="00913D74"/>
    <w:rsid w:val="0091406E"/>
    <w:rsid w:val="00914368"/>
    <w:rsid w:val="00914418"/>
    <w:rsid w:val="009144C1"/>
    <w:rsid w:val="00914AC7"/>
    <w:rsid w:val="00914EBD"/>
    <w:rsid w:val="00914FE8"/>
    <w:rsid w:val="00915234"/>
    <w:rsid w:val="0091542A"/>
    <w:rsid w:val="0091565B"/>
    <w:rsid w:val="00915CFA"/>
    <w:rsid w:val="00916406"/>
    <w:rsid w:val="00917014"/>
    <w:rsid w:val="009170FF"/>
    <w:rsid w:val="0091737B"/>
    <w:rsid w:val="00917417"/>
    <w:rsid w:val="009174C8"/>
    <w:rsid w:val="009179F7"/>
    <w:rsid w:val="00917CD8"/>
    <w:rsid w:val="00920226"/>
    <w:rsid w:val="00920374"/>
    <w:rsid w:val="009204C2"/>
    <w:rsid w:val="00920B0B"/>
    <w:rsid w:val="00921224"/>
    <w:rsid w:val="009217BA"/>
    <w:rsid w:val="00921841"/>
    <w:rsid w:val="00921CE0"/>
    <w:rsid w:val="00921E25"/>
    <w:rsid w:val="00921F56"/>
    <w:rsid w:val="00922436"/>
    <w:rsid w:val="009229C6"/>
    <w:rsid w:val="00922B39"/>
    <w:rsid w:val="00922C9F"/>
    <w:rsid w:val="00922F98"/>
    <w:rsid w:val="009230D3"/>
    <w:rsid w:val="0092359F"/>
    <w:rsid w:val="009235B0"/>
    <w:rsid w:val="00923A31"/>
    <w:rsid w:val="00923B18"/>
    <w:rsid w:val="00923F0B"/>
    <w:rsid w:val="00924920"/>
    <w:rsid w:val="00924BBC"/>
    <w:rsid w:val="00924C26"/>
    <w:rsid w:val="009250BD"/>
    <w:rsid w:val="0092548E"/>
    <w:rsid w:val="009256E0"/>
    <w:rsid w:val="00925DC0"/>
    <w:rsid w:val="00926272"/>
    <w:rsid w:val="009264D3"/>
    <w:rsid w:val="00926774"/>
    <w:rsid w:val="0092686B"/>
    <w:rsid w:val="00926947"/>
    <w:rsid w:val="00926FF2"/>
    <w:rsid w:val="009274AD"/>
    <w:rsid w:val="00927968"/>
    <w:rsid w:val="00927A41"/>
    <w:rsid w:val="00927EC9"/>
    <w:rsid w:val="00930D9D"/>
    <w:rsid w:val="00930EF8"/>
    <w:rsid w:val="00931076"/>
    <w:rsid w:val="009319E5"/>
    <w:rsid w:val="00931FD5"/>
    <w:rsid w:val="009320BD"/>
    <w:rsid w:val="00932A5E"/>
    <w:rsid w:val="00932B3B"/>
    <w:rsid w:val="00932B3F"/>
    <w:rsid w:val="00932BC2"/>
    <w:rsid w:val="00932EB6"/>
    <w:rsid w:val="009333EC"/>
    <w:rsid w:val="0093379E"/>
    <w:rsid w:val="009337F0"/>
    <w:rsid w:val="00933AA4"/>
    <w:rsid w:val="00933B6F"/>
    <w:rsid w:val="00933E6F"/>
    <w:rsid w:val="0093448F"/>
    <w:rsid w:val="009345BF"/>
    <w:rsid w:val="009345D9"/>
    <w:rsid w:val="00934B15"/>
    <w:rsid w:val="00934B2F"/>
    <w:rsid w:val="00934B93"/>
    <w:rsid w:val="00934C6C"/>
    <w:rsid w:val="00935E23"/>
    <w:rsid w:val="009361AB"/>
    <w:rsid w:val="0093677F"/>
    <w:rsid w:val="00936925"/>
    <w:rsid w:val="00936BC3"/>
    <w:rsid w:val="00937439"/>
    <w:rsid w:val="0093755A"/>
    <w:rsid w:val="00937F0A"/>
    <w:rsid w:val="00940026"/>
    <w:rsid w:val="0094044B"/>
    <w:rsid w:val="00940F6C"/>
    <w:rsid w:val="009413EC"/>
    <w:rsid w:val="0094166E"/>
    <w:rsid w:val="00941869"/>
    <w:rsid w:val="00941ED8"/>
    <w:rsid w:val="00942196"/>
    <w:rsid w:val="00942A99"/>
    <w:rsid w:val="00942B62"/>
    <w:rsid w:val="00942F8F"/>
    <w:rsid w:val="00943052"/>
    <w:rsid w:val="00943172"/>
    <w:rsid w:val="00943215"/>
    <w:rsid w:val="009433FB"/>
    <w:rsid w:val="00943B2C"/>
    <w:rsid w:val="00943C9B"/>
    <w:rsid w:val="00944296"/>
    <w:rsid w:val="0094436A"/>
    <w:rsid w:val="00944931"/>
    <w:rsid w:val="00944B6C"/>
    <w:rsid w:val="00944BE1"/>
    <w:rsid w:val="00944EB7"/>
    <w:rsid w:val="00944F82"/>
    <w:rsid w:val="009450F1"/>
    <w:rsid w:val="00945211"/>
    <w:rsid w:val="00945829"/>
    <w:rsid w:val="00945A7E"/>
    <w:rsid w:val="00945B42"/>
    <w:rsid w:val="00946013"/>
    <w:rsid w:val="0094624A"/>
    <w:rsid w:val="009463C2"/>
    <w:rsid w:val="0094673E"/>
    <w:rsid w:val="0094684B"/>
    <w:rsid w:val="00946ABF"/>
    <w:rsid w:val="00946C21"/>
    <w:rsid w:val="00946CB4"/>
    <w:rsid w:val="00947403"/>
    <w:rsid w:val="009478DB"/>
    <w:rsid w:val="00947B36"/>
    <w:rsid w:val="00947CDD"/>
    <w:rsid w:val="00947D2C"/>
    <w:rsid w:val="00947E21"/>
    <w:rsid w:val="00950093"/>
    <w:rsid w:val="00950818"/>
    <w:rsid w:val="00950FC9"/>
    <w:rsid w:val="00951107"/>
    <w:rsid w:val="0095122E"/>
    <w:rsid w:val="00951ED2"/>
    <w:rsid w:val="00951FFB"/>
    <w:rsid w:val="00952220"/>
    <w:rsid w:val="00952340"/>
    <w:rsid w:val="009524D2"/>
    <w:rsid w:val="009524EB"/>
    <w:rsid w:val="00952534"/>
    <w:rsid w:val="009526EA"/>
    <w:rsid w:val="009530B9"/>
    <w:rsid w:val="00953304"/>
    <w:rsid w:val="0095341E"/>
    <w:rsid w:val="00954135"/>
    <w:rsid w:val="00954201"/>
    <w:rsid w:val="00954224"/>
    <w:rsid w:val="009549EF"/>
    <w:rsid w:val="00954F5E"/>
    <w:rsid w:val="009550F7"/>
    <w:rsid w:val="00955394"/>
    <w:rsid w:val="00955446"/>
    <w:rsid w:val="00955A2E"/>
    <w:rsid w:val="00955A78"/>
    <w:rsid w:val="0095633F"/>
    <w:rsid w:val="00956826"/>
    <w:rsid w:val="00956A0C"/>
    <w:rsid w:val="00956AEC"/>
    <w:rsid w:val="00956BD9"/>
    <w:rsid w:val="00956E84"/>
    <w:rsid w:val="00956F08"/>
    <w:rsid w:val="00956F78"/>
    <w:rsid w:val="009573E8"/>
    <w:rsid w:val="00957670"/>
    <w:rsid w:val="00957955"/>
    <w:rsid w:val="00957D71"/>
    <w:rsid w:val="00957EA9"/>
    <w:rsid w:val="009602DB"/>
    <w:rsid w:val="009602FE"/>
    <w:rsid w:val="00960C9A"/>
    <w:rsid w:val="0096118E"/>
    <w:rsid w:val="009617F6"/>
    <w:rsid w:val="00962239"/>
    <w:rsid w:val="00962489"/>
    <w:rsid w:val="009626FD"/>
    <w:rsid w:val="00962A05"/>
    <w:rsid w:val="00962AEA"/>
    <w:rsid w:val="00963A1C"/>
    <w:rsid w:val="00963BE5"/>
    <w:rsid w:val="009640BD"/>
    <w:rsid w:val="00964231"/>
    <w:rsid w:val="009642CC"/>
    <w:rsid w:val="00964570"/>
    <w:rsid w:val="00964D65"/>
    <w:rsid w:val="00964D98"/>
    <w:rsid w:val="00964E55"/>
    <w:rsid w:val="00964E8C"/>
    <w:rsid w:val="0096533D"/>
    <w:rsid w:val="00965381"/>
    <w:rsid w:val="0096571C"/>
    <w:rsid w:val="00965908"/>
    <w:rsid w:val="009661D2"/>
    <w:rsid w:val="009663F4"/>
    <w:rsid w:val="00966825"/>
    <w:rsid w:val="00966F16"/>
    <w:rsid w:val="00966F57"/>
    <w:rsid w:val="00966F7B"/>
    <w:rsid w:val="00967306"/>
    <w:rsid w:val="00967357"/>
    <w:rsid w:val="0096741F"/>
    <w:rsid w:val="00967F3C"/>
    <w:rsid w:val="00970173"/>
    <w:rsid w:val="00970362"/>
    <w:rsid w:val="0097055B"/>
    <w:rsid w:val="00970616"/>
    <w:rsid w:val="00970A51"/>
    <w:rsid w:val="00970A67"/>
    <w:rsid w:val="00970B14"/>
    <w:rsid w:val="00970DA4"/>
    <w:rsid w:val="0097174F"/>
    <w:rsid w:val="00971E23"/>
    <w:rsid w:val="00971E6B"/>
    <w:rsid w:val="00972046"/>
    <w:rsid w:val="009721B7"/>
    <w:rsid w:val="00972373"/>
    <w:rsid w:val="009725F7"/>
    <w:rsid w:val="00972AF4"/>
    <w:rsid w:val="00972C86"/>
    <w:rsid w:val="00972DD7"/>
    <w:rsid w:val="009731C4"/>
    <w:rsid w:val="009737F9"/>
    <w:rsid w:val="00973A29"/>
    <w:rsid w:val="00973B10"/>
    <w:rsid w:val="00973CFD"/>
    <w:rsid w:val="00973F8E"/>
    <w:rsid w:val="009746CB"/>
    <w:rsid w:val="009749BC"/>
    <w:rsid w:val="00974CA2"/>
    <w:rsid w:val="00974E64"/>
    <w:rsid w:val="0097505C"/>
    <w:rsid w:val="009751F9"/>
    <w:rsid w:val="0097567C"/>
    <w:rsid w:val="009758D9"/>
    <w:rsid w:val="00975A92"/>
    <w:rsid w:val="00976126"/>
    <w:rsid w:val="00976594"/>
    <w:rsid w:val="00976B43"/>
    <w:rsid w:val="00977547"/>
    <w:rsid w:val="00977AB3"/>
    <w:rsid w:val="00977F06"/>
    <w:rsid w:val="0098005A"/>
    <w:rsid w:val="0098012B"/>
    <w:rsid w:val="0098070C"/>
    <w:rsid w:val="00980879"/>
    <w:rsid w:val="00980CF3"/>
    <w:rsid w:val="00980FD7"/>
    <w:rsid w:val="00981442"/>
    <w:rsid w:val="00981A96"/>
    <w:rsid w:val="00981F3C"/>
    <w:rsid w:val="00982A64"/>
    <w:rsid w:val="00982A70"/>
    <w:rsid w:val="00982CC2"/>
    <w:rsid w:val="00982E89"/>
    <w:rsid w:val="00982EE0"/>
    <w:rsid w:val="0098308B"/>
    <w:rsid w:val="009833A4"/>
    <w:rsid w:val="00983487"/>
    <w:rsid w:val="0098388B"/>
    <w:rsid w:val="00983992"/>
    <w:rsid w:val="00983C51"/>
    <w:rsid w:val="0098418B"/>
    <w:rsid w:val="009842D2"/>
    <w:rsid w:val="00984736"/>
    <w:rsid w:val="00984C14"/>
    <w:rsid w:val="00984CF3"/>
    <w:rsid w:val="00985027"/>
    <w:rsid w:val="00985396"/>
    <w:rsid w:val="009858DC"/>
    <w:rsid w:val="00985B01"/>
    <w:rsid w:val="00985B93"/>
    <w:rsid w:val="00985F8C"/>
    <w:rsid w:val="00986140"/>
    <w:rsid w:val="009862B6"/>
    <w:rsid w:val="009864C1"/>
    <w:rsid w:val="00986808"/>
    <w:rsid w:val="00986985"/>
    <w:rsid w:val="00986CD9"/>
    <w:rsid w:val="0098713D"/>
    <w:rsid w:val="00987469"/>
    <w:rsid w:val="00987AA8"/>
    <w:rsid w:val="00987CFB"/>
    <w:rsid w:val="00990220"/>
    <w:rsid w:val="00990302"/>
    <w:rsid w:val="0099044E"/>
    <w:rsid w:val="00990DCE"/>
    <w:rsid w:val="009914FD"/>
    <w:rsid w:val="00991609"/>
    <w:rsid w:val="009916CF"/>
    <w:rsid w:val="0099175B"/>
    <w:rsid w:val="00991F8B"/>
    <w:rsid w:val="009922EF"/>
    <w:rsid w:val="0099234D"/>
    <w:rsid w:val="0099286C"/>
    <w:rsid w:val="00992879"/>
    <w:rsid w:val="0099291B"/>
    <w:rsid w:val="00993126"/>
    <w:rsid w:val="0099317C"/>
    <w:rsid w:val="00993315"/>
    <w:rsid w:val="009936F9"/>
    <w:rsid w:val="00993959"/>
    <w:rsid w:val="00993D63"/>
    <w:rsid w:val="0099406B"/>
    <w:rsid w:val="009941BE"/>
    <w:rsid w:val="00994575"/>
    <w:rsid w:val="00994A56"/>
    <w:rsid w:val="009962FF"/>
    <w:rsid w:val="009963B6"/>
    <w:rsid w:val="009965D2"/>
    <w:rsid w:val="0099673D"/>
    <w:rsid w:val="00996AFF"/>
    <w:rsid w:val="00997321"/>
    <w:rsid w:val="00997BFD"/>
    <w:rsid w:val="00997F64"/>
    <w:rsid w:val="009A0483"/>
    <w:rsid w:val="009A055A"/>
    <w:rsid w:val="009A09A9"/>
    <w:rsid w:val="009A0A9E"/>
    <w:rsid w:val="009A0B19"/>
    <w:rsid w:val="009A0E86"/>
    <w:rsid w:val="009A12C1"/>
    <w:rsid w:val="009A1AFC"/>
    <w:rsid w:val="009A22A7"/>
    <w:rsid w:val="009A2772"/>
    <w:rsid w:val="009A3766"/>
    <w:rsid w:val="009A3961"/>
    <w:rsid w:val="009A3B97"/>
    <w:rsid w:val="009A3E7B"/>
    <w:rsid w:val="009A47B8"/>
    <w:rsid w:val="009A480F"/>
    <w:rsid w:val="009A49EC"/>
    <w:rsid w:val="009A4D30"/>
    <w:rsid w:val="009A50A5"/>
    <w:rsid w:val="009A5130"/>
    <w:rsid w:val="009A55C3"/>
    <w:rsid w:val="009A55C6"/>
    <w:rsid w:val="009A5872"/>
    <w:rsid w:val="009A5913"/>
    <w:rsid w:val="009A5BF8"/>
    <w:rsid w:val="009A6144"/>
    <w:rsid w:val="009A6263"/>
    <w:rsid w:val="009A6397"/>
    <w:rsid w:val="009A65E6"/>
    <w:rsid w:val="009A6BEE"/>
    <w:rsid w:val="009A6BF6"/>
    <w:rsid w:val="009A6D5E"/>
    <w:rsid w:val="009A6E2C"/>
    <w:rsid w:val="009A6F58"/>
    <w:rsid w:val="009A6FDC"/>
    <w:rsid w:val="009A7566"/>
    <w:rsid w:val="009A7C04"/>
    <w:rsid w:val="009A7D9C"/>
    <w:rsid w:val="009B0135"/>
    <w:rsid w:val="009B02AF"/>
    <w:rsid w:val="009B0E87"/>
    <w:rsid w:val="009B119D"/>
    <w:rsid w:val="009B1221"/>
    <w:rsid w:val="009B1ACD"/>
    <w:rsid w:val="009B1EC3"/>
    <w:rsid w:val="009B25A6"/>
    <w:rsid w:val="009B26D4"/>
    <w:rsid w:val="009B300D"/>
    <w:rsid w:val="009B34AD"/>
    <w:rsid w:val="009B3C88"/>
    <w:rsid w:val="009B3CAF"/>
    <w:rsid w:val="009B418E"/>
    <w:rsid w:val="009B4588"/>
    <w:rsid w:val="009B473F"/>
    <w:rsid w:val="009B4ABE"/>
    <w:rsid w:val="009B4E91"/>
    <w:rsid w:val="009B58D7"/>
    <w:rsid w:val="009B5A03"/>
    <w:rsid w:val="009B5BC2"/>
    <w:rsid w:val="009B5C98"/>
    <w:rsid w:val="009B5E34"/>
    <w:rsid w:val="009B6125"/>
    <w:rsid w:val="009B631B"/>
    <w:rsid w:val="009B64E2"/>
    <w:rsid w:val="009B65C3"/>
    <w:rsid w:val="009B66FA"/>
    <w:rsid w:val="009B6D16"/>
    <w:rsid w:val="009B71B8"/>
    <w:rsid w:val="009B7439"/>
    <w:rsid w:val="009B751D"/>
    <w:rsid w:val="009B76C6"/>
    <w:rsid w:val="009B77BC"/>
    <w:rsid w:val="009B7F71"/>
    <w:rsid w:val="009B7F74"/>
    <w:rsid w:val="009C011B"/>
    <w:rsid w:val="009C0D03"/>
    <w:rsid w:val="009C18B7"/>
    <w:rsid w:val="009C1BDB"/>
    <w:rsid w:val="009C1D25"/>
    <w:rsid w:val="009C23FC"/>
    <w:rsid w:val="009C24C8"/>
    <w:rsid w:val="009C24D8"/>
    <w:rsid w:val="009C2563"/>
    <w:rsid w:val="009C2A4B"/>
    <w:rsid w:val="009C3548"/>
    <w:rsid w:val="009C371F"/>
    <w:rsid w:val="009C38A2"/>
    <w:rsid w:val="009C39CF"/>
    <w:rsid w:val="009C3A7D"/>
    <w:rsid w:val="009C3AD3"/>
    <w:rsid w:val="009C3B12"/>
    <w:rsid w:val="009C426E"/>
    <w:rsid w:val="009C455A"/>
    <w:rsid w:val="009C4698"/>
    <w:rsid w:val="009C5471"/>
    <w:rsid w:val="009C56E8"/>
    <w:rsid w:val="009C5F5A"/>
    <w:rsid w:val="009C5F9E"/>
    <w:rsid w:val="009C672F"/>
    <w:rsid w:val="009C6D48"/>
    <w:rsid w:val="009C6D7B"/>
    <w:rsid w:val="009C6E6C"/>
    <w:rsid w:val="009C6F25"/>
    <w:rsid w:val="009C70DD"/>
    <w:rsid w:val="009C719A"/>
    <w:rsid w:val="009C72EB"/>
    <w:rsid w:val="009C7370"/>
    <w:rsid w:val="009C7DA4"/>
    <w:rsid w:val="009C7EFA"/>
    <w:rsid w:val="009D002A"/>
    <w:rsid w:val="009D00FA"/>
    <w:rsid w:val="009D053E"/>
    <w:rsid w:val="009D0548"/>
    <w:rsid w:val="009D0F15"/>
    <w:rsid w:val="009D1739"/>
    <w:rsid w:val="009D17BE"/>
    <w:rsid w:val="009D2C4B"/>
    <w:rsid w:val="009D30E2"/>
    <w:rsid w:val="009D362C"/>
    <w:rsid w:val="009D363D"/>
    <w:rsid w:val="009D43D6"/>
    <w:rsid w:val="009D4994"/>
    <w:rsid w:val="009D51B4"/>
    <w:rsid w:val="009D52B2"/>
    <w:rsid w:val="009D5C97"/>
    <w:rsid w:val="009D62A9"/>
    <w:rsid w:val="009D655C"/>
    <w:rsid w:val="009D679A"/>
    <w:rsid w:val="009D6923"/>
    <w:rsid w:val="009D6A29"/>
    <w:rsid w:val="009D72AC"/>
    <w:rsid w:val="009D759E"/>
    <w:rsid w:val="009D7939"/>
    <w:rsid w:val="009D7BB7"/>
    <w:rsid w:val="009E06F0"/>
    <w:rsid w:val="009E0792"/>
    <w:rsid w:val="009E0B6F"/>
    <w:rsid w:val="009E1040"/>
    <w:rsid w:val="009E14AD"/>
    <w:rsid w:val="009E1AD9"/>
    <w:rsid w:val="009E1D05"/>
    <w:rsid w:val="009E23D6"/>
    <w:rsid w:val="009E259F"/>
    <w:rsid w:val="009E293E"/>
    <w:rsid w:val="009E2CB3"/>
    <w:rsid w:val="009E3349"/>
    <w:rsid w:val="009E342B"/>
    <w:rsid w:val="009E3BA1"/>
    <w:rsid w:val="009E436C"/>
    <w:rsid w:val="009E4674"/>
    <w:rsid w:val="009E467E"/>
    <w:rsid w:val="009E4B6C"/>
    <w:rsid w:val="009E4F07"/>
    <w:rsid w:val="009E53C3"/>
    <w:rsid w:val="009E5B6E"/>
    <w:rsid w:val="009E5E05"/>
    <w:rsid w:val="009E6A8B"/>
    <w:rsid w:val="009E714A"/>
    <w:rsid w:val="009E761E"/>
    <w:rsid w:val="009E7A42"/>
    <w:rsid w:val="009E7ABF"/>
    <w:rsid w:val="009E7C39"/>
    <w:rsid w:val="009F06B9"/>
    <w:rsid w:val="009F0D11"/>
    <w:rsid w:val="009F0D48"/>
    <w:rsid w:val="009F0F2A"/>
    <w:rsid w:val="009F0F32"/>
    <w:rsid w:val="009F1489"/>
    <w:rsid w:val="009F1A35"/>
    <w:rsid w:val="009F1D8D"/>
    <w:rsid w:val="009F2045"/>
    <w:rsid w:val="009F222E"/>
    <w:rsid w:val="009F2584"/>
    <w:rsid w:val="009F2BC7"/>
    <w:rsid w:val="009F2F68"/>
    <w:rsid w:val="009F2FBD"/>
    <w:rsid w:val="009F4C90"/>
    <w:rsid w:val="009F4EDE"/>
    <w:rsid w:val="009F5887"/>
    <w:rsid w:val="009F5BC7"/>
    <w:rsid w:val="009F604E"/>
    <w:rsid w:val="009F63D8"/>
    <w:rsid w:val="009F696D"/>
    <w:rsid w:val="009F6A39"/>
    <w:rsid w:val="009F6BC6"/>
    <w:rsid w:val="009F6D2C"/>
    <w:rsid w:val="009F7629"/>
    <w:rsid w:val="009F7892"/>
    <w:rsid w:val="009F7A8F"/>
    <w:rsid w:val="009F7DE6"/>
    <w:rsid w:val="00A00951"/>
    <w:rsid w:val="00A00AB0"/>
    <w:rsid w:val="00A00C40"/>
    <w:rsid w:val="00A01217"/>
    <w:rsid w:val="00A014E8"/>
    <w:rsid w:val="00A0161E"/>
    <w:rsid w:val="00A01638"/>
    <w:rsid w:val="00A016B7"/>
    <w:rsid w:val="00A01758"/>
    <w:rsid w:val="00A01B08"/>
    <w:rsid w:val="00A01B5A"/>
    <w:rsid w:val="00A021FA"/>
    <w:rsid w:val="00A023BB"/>
    <w:rsid w:val="00A02942"/>
    <w:rsid w:val="00A02B91"/>
    <w:rsid w:val="00A0372C"/>
    <w:rsid w:val="00A03A7F"/>
    <w:rsid w:val="00A03D43"/>
    <w:rsid w:val="00A03D7E"/>
    <w:rsid w:val="00A03EDA"/>
    <w:rsid w:val="00A03F07"/>
    <w:rsid w:val="00A043C1"/>
    <w:rsid w:val="00A043E8"/>
    <w:rsid w:val="00A0457C"/>
    <w:rsid w:val="00A04611"/>
    <w:rsid w:val="00A0470D"/>
    <w:rsid w:val="00A0483A"/>
    <w:rsid w:val="00A05466"/>
    <w:rsid w:val="00A0565F"/>
    <w:rsid w:val="00A0592F"/>
    <w:rsid w:val="00A05BD3"/>
    <w:rsid w:val="00A0633F"/>
    <w:rsid w:val="00A06389"/>
    <w:rsid w:val="00A063D9"/>
    <w:rsid w:val="00A0640E"/>
    <w:rsid w:val="00A06AAB"/>
    <w:rsid w:val="00A07416"/>
    <w:rsid w:val="00A0796B"/>
    <w:rsid w:val="00A07F9A"/>
    <w:rsid w:val="00A10374"/>
    <w:rsid w:val="00A1045A"/>
    <w:rsid w:val="00A1072E"/>
    <w:rsid w:val="00A10BB8"/>
    <w:rsid w:val="00A10F67"/>
    <w:rsid w:val="00A11155"/>
    <w:rsid w:val="00A11723"/>
    <w:rsid w:val="00A11B36"/>
    <w:rsid w:val="00A120A4"/>
    <w:rsid w:val="00A121CB"/>
    <w:rsid w:val="00A12808"/>
    <w:rsid w:val="00A12A16"/>
    <w:rsid w:val="00A1303A"/>
    <w:rsid w:val="00A130DF"/>
    <w:rsid w:val="00A13557"/>
    <w:rsid w:val="00A13745"/>
    <w:rsid w:val="00A13B0A"/>
    <w:rsid w:val="00A13B89"/>
    <w:rsid w:val="00A13DE3"/>
    <w:rsid w:val="00A1415B"/>
    <w:rsid w:val="00A1417D"/>
    <w:rsid w:val="00A145C3"/>
    <w:rsid w:val="00A145E9"/>
    <w:rsid w:val="00A14845"/>
    <w:rsid w:val="00A14DBC"/>
    <w:rsid w:val="00A14E32"/>
    <w:rsid w:val="00A1557E"/>
    <w:rsid w:val="00A15838"/>
    <w:rsid w:val="00A1598A"/>
    <w:rsid w:val="00A160D9"/>
    <w:rsid w:val="00A16567"/>
    <w:rsid w:val="00A16760"/>
    <w:rsid w:val="00A167C8"/>
    <w:rsid w:val="00A16A2B"/>
    <w:rsid w:val="00A16FD5"/>
    <w:rsid w:val="00A1701B"/>
    <w:rsid w:val="00A1707B"/>
    <w:rsid w:val="00A17328"/>
    <w:rsid w:val="00A173B8"/>
    <w:rsid w:val="00A17424"/>
    <w:rsid w:val="00A17B9A"/>
    <w:rsid w:val="00A17C2C"/>
    <w:rsid w:val="00A201B6"/>
    <w:rsid w:val="00A203E2"/>
    <w:rsid w:val="00A20489"/>
    <w:rsid w:val="00A20761"/>
    <w:rsid w:val="00A20A3F"/>
    <w:rsid w:val="00A20CF3"/>
    <w:rsid w:val="00A20F78"/>
    <w:rsid w:val="00A2112D"/>
    <w:rsid w:val="00A215CA"/>
    <w:rsid w:val="00A215E0"/>
    <w:rsid w:val="00A217E2"/>
    <w:rsid w:val="00A219F3"/>
    <w:rsid w:val="00A21E29"/>
    <w:rsid w:val="00A21E99"/>
    <w:rsid w:val="00A2213E"/>
    <w:rsid w:val="00A22788"/>
    <w:rsid w:val="00A22922"/>
    <w:rsid w:val="00A23035"/>
    <w:rsid w:val="00A23C6D"/>
    <w:rsid w:val="00A2445B"/>
    <w:rsid w:val="00A24994"/>
    <w:rsid w:val="00A249D5"/>
    <w:rsid w:val="00A24EDD"/>
    <w:rsid w:val="00A251F9"/>
    <w:rsid w:val="00A253D7"/>
    <w:rsid w:val="00A25FDF"/>
    <w:rsid w:val="00A25FFE"/>
    <w:rsid w:val="00A26973"/>
    <w:rsid w:val="00A269EF"/>
    <w:rsid w:val="00A26D20"/>
    <w:rsid w:val="00A26F1D"/>
    <w:rsid w:val="00A2703A"/>
    <w:rsid w:val="00A27952"/>
    <w:rsid w:val="00A30528"/>
    <w:rsid w:val="00A3073B"/>
    <w:rsid w:val="00A30D99"/>
    <w:rsid w:val="00A31386"/>
    <w:rsid w:val="00A315E8"/>
    <w:rsid w:val="00A31922"/>
    <w:rsid w:val="00A31CAD"/>
    <w:rsid w:val="00A32587"/>
    <w:rsid w:val="00A326CC"/>
    <w:rsid w:val="00A32732"/>
    <w:rsid w:val="00A32AE5"/>
    <w:rsid w:val="00A33121"/>
    <w:rsid w:val="00A331FA"/>
    <w:rsid w:val="00A3367E"/>
    <w:rsid w:val="00A33753"/>
    <w:rsid w:val="00A33B23"/>
    <w:rsid w:val="00A33D92"/>
    <w:rsid w:val="00A33DFF"/>
    <w:rsid w:val="00A34198"/>
    <w:rsid w:val="00A34397"/>
    <w:rsid w:val="00A34E23"/>
    <w:rsid w:val="00A34F6A"/>
    <w:rsid w:val="00A34FFE"/>
    <w:rsid w:val="00A35006"/>
    <w:rsid w:val="00A35115"/>
    <w:rsid w:val="00A35335"/>
    <w:rsid w:val="00A35488"/>
    <w:rsid w:val="00A363DD"/>
    <w:rsid w:val="00A36559"/>
    <w:rsid w:val="00A374B5"/>
    <w:rsid w:val="00A37BAE"/>
    <w:rsid w:val="00A4064A"/>
    <w:rsid w:val="00A40A61"/>
    <w:rsid w:val="00A41643"/>
    <w:rsid w:val="00A4174A"/>
    <w:rsid w:val="00A418D6"/>
    <w:rsid w:val="00A4190B"/>
    <w:rsid w:val="00A41A1A"/>
    <w:rsid w:val="00A41C6F"/>
    <w:rsid w:val="00A41E42"/>
    <w:rsid w:val="00A41EEE"/>
    <w:rsid w:val="00A422F6"/>
    <w:rsid w:val="00A42915"/>
    <w:rsid w:val="00A42B09"/>
    <w:rsid w:val="00A430AF"/>
    <w:rsid w:val="00A430DC"/>
    <w:rsid w:val="00A430FD"/>
    <w:rsid w:val="00A43322"/>
    <w:rsid w:val="00A4341F"/>
    <w:rsid w:val="00A43424"/>
    <w:rsid w:val="00A4346D"/>
    <w:rsid w:val="00A434F9"/>
    <w:rsid w:val="00A43567"/>
    <w:rsid w:val="00A4366A"/>
    <w:rsid w:val="00A43AE2"/>
    <w:rsid w:val="00A43B15"/>
    <w:rsid w:val="00A43D82"/>
    <w:rsid w:val="00A440CD"/>
    <w:rsid w:val="00A443BF"/>
    <w:rsid w:val="00A44551"/>
    <w:rsid w:val="00A44775"/>
    <w:rsid w:val="00A44936"/>
    <w:rsid w:val="00A44C93"/>
    <w:rsid w:val="00A45158"/>
    <w:rsid w:val="00A453D0"/>
    <w:rsid w:val="00A4558F"/>
    <w:rsid w:val="00A456A2"/>
    <w:rsid w:val="00A45735"/>
    <w:rsid w:val="00A457A7"/>
    <w:rsid w:val="00A457F5"/>
    <w:rsid w:val="00A4595E"/>
    <w:rsid w:val="00A45995"/>
    <w:rsid w:val="00A46403"/>
    <w:rsid w:val="00A465EF"/>
    <w:rsid w:val="00A468D4"/>
    <w:rsid w:val="00A46B60"/>
    <w:rsid w:val="00A46E6C"/>
    <w:rsid w:val="00A4712C"/>
    <w:rsid w:val="00A47178"/>
    <w:rsid w:val="00A4729F"/>
    <w:rsid w:val="00A4751A"/>
    <w:rsid w:val="00A4796E"/>
    <w:rsid w:val="00A47A8E"/>
    <w:rsid w:val="00A47FEC"/>
    <w:rsid w:val="00A501AF"/>
    <w:rsid w:val="00A501E7"/>
    <w:rsid w:val="00A5036B"/>
    <w:rsid w:val="00A503C9"/>
    <w:rsid w:val="00A505F8"/>
    <w:rsid w:val="00A50C0E"/>
    <w:rsid w:val="00A50DE6"/>
    <w:rsid w:val="00A50ECC"/>
    <w:rsid w:val="00A510AC"/>
    <w:rsid w:val="00A51558"/>
    <w:rsid w:val="00A516AE"/>
    <w:rsid w:val="00A51ADD"/>
    <w:rsid w:val="00A524AC"/>
    <w:rsid w:val="00A524CE"/>
    <w:rsid w:val="00A5268E"/>
    <w:rsid w:val="00A52DCE"/>
    <w:rsid w:val="00A531AC"/>
    <w:rsid w:val="00A53587"/>
    <w:rsid w:val="00A53769"/>
    <w:rsid w:val="00A53ABE"/>
    <w:rsid w:val="00A53DCC"/>
    <w:rsid w:val="00A54442"/>
    <w:rsid w:val="00A5448E"/>
    <w:rsid w:val="00A549D4"/>
    <w:rsid w:val="00A55014"/>
    <w:rsid w:val="00A554AB"/>
    <w:rsid w:val="00A55906"/>
    <w:rsid w:val="00A55954"/>
    <w:rsid w:val="00A55A37"/>
    <w:rsid w:val="00A55BF5"/>
    <w:rsid w:val="00A55F2C"/>
    <w:rsid w:val="00A56216"/>
    <w:rsid w:val="00A56AB3"/>
    <w:rsid w:val="00A5736B"/>
    <w:rsid w:val="00A574E4"/>
    <w:rsid w:val="00A57514"/>
    <w:rsid w:val="00A6068C"/>
    <w:rsid w:val="00A606B1"/>
    <w:rsid w:val="00A6115E"/>
    <w:rsid w:val="00A6134D"/>
    <w:rsid w:val="00A613A4"/>
    <w:rsid w:val="00A615A5"/>
    <w:rsid w:val="00A6175E"/>
    <w:rsid w:val="00A61ADF"/>
    <w:rsid w:val="00A61D9C"/>
    <w:rsid w:val="00A61E14"/>
    <w:rsid w:val="00A621A5"/>
    <w:rsid w:val="00A62221"/>
    <w:rsid w:val="00A62222"/>
    <w:rsid w:val="00A629CD"/>
    <w:rsid w:val="00A62C2E"/>
    <w:rsid w:val="00A6307B"/>
    <w:rsid w:val="00A632BE"/>
    <w:rsid w:val="00A63750"/>
    <w:rsid w:val="00A63AD0"/>
    <w:rsid w:val="00A64331"/>
    <w:rsid w:val="00A646A4"/>
    <w:rsid w:val="00A64925"/>
    <w:rsid w:val="00A64C65"/>
    <w:rsid w:val="00A64CCB"/>
    <w:rsid w:val="00A65142"/>
    <w:rsid w:val="00A656E3"/>
    <w:rsid w:val="00A65929"/>
    <w:rsid w:val="00A65CF7"/>
    <w:rsid w:val="00A65CF9"/>
    <w:rsid w:val="00A66A4C"/>
    <w:rsid w:val="00A66F04"/>
    <w:rsid w:val="00A70131"/>
    <w:rsid w:val="00A702CB"/>
    <w:rsid w:val="00A703F4"/>
    <w:rsid w:val="00A70809"/>
    <w:rsid w:val="00A70AD3"/>
    <w:rsid w:val="00A715CA"/>
    <w:rsid w:val="00A719A7"/>
    <w:rsid w:val="00A71DD5"/>
    <w:rsid w:val="00A726E7"/>
    <w:rsid w:val="00A7282A"/>
    <w:rsid w:val="00A72908"/>
    <w:rsid w:val="00A7330C"/>
    <w:rsid w:val="00A734CD"/>
    <w:rsid w:val="00A7354D"/>
    <w:rsid w:val="00A739CA"/>
    <w:rsid w:val="00A73E21"/>
    <w:rsid w:val="00A73EF7"/>
    <w:rsid w:val="00A741E7"/>
    <w:rsid w:val="00A741EC"/>
    <w:rsid w:val="00A741FD"/>
    <w:rsid w:val="00A7432F"/>
    <w:rsid w:val="00A74418"/>
    <w:rsid w:val="00A74535"/>
    <w:rsid w:val="00A748F2"/>
    <w:rsid w:val="00A74B45"/>
    <w:rsid w:val="00A74FF3"/>
    <w:rsid w:val="00A7501C"/>
    <w:rsid w:val="00A75226"/>
    <w:rsid w:val="00A75285"/>
    <w:rsid w:val="00A7555C"/>
    <w:rsid w:val="00A75727"/>
    <w:rsid w:val="00A76330"/>
    <w:rsid w:val="00A7634A"/>
    <w:rsid w:val="00A76AED"/>
    <w:rsid w:val="00A76D5B"/>
    <w:rsid w:val="00A76F74"/>
    <w:rsid w:val="00A77457"/>
    <w:rsid w:val="00A77631"/>
    <w:rsid w:val="00A7767D"/>
    <w:rsid w:val="00A779EA"/>
    <w:rsid w:val="00A77C88"/>
    <w:rsid w:val="00A80DFC"/>
    <w:rsid w:val="00A81316"/>
    <w:rsid w:val="00A813C3"/>
    <w:rsid w:val="00A81B7A"/>
    <w:rsid w:val="00A8202A"/>
    <w:rsid w:val="00A82051"/>
    <w:rsid w:val="00A821D5"/>
    <w:rsid w:val="00A823F5"/>
    <w:rsid w:val="00A82D67"/>
    <w:rsid w:val="00A83542"/>
    <w:rsid w:val="00A83712"/>
    <w:rsid w:val="00A83B2D"/>
    <w:rsid w:val="00A8428A"/>
    <w:rsid w:val="00A8432E"/>
    <w:rsid w:val="00A84371"/>
    <w:rsid w:val="00A8490B"/>
    <w:rsid w:val="00A84C9D"/>
    <w:rsid w:val="00A84DF1"/>
    <w:rsid w:val="00A850A1"/>
    <w:rsid w:val="00A85A3A"/>
    <w:rsid w:val="00A85E87"/>
    <w:rsid w:val="00A867F8"/>
    <w:rsid w:val="00A86B94"/>
    <w:rsid w:val="00A86C04"/>
    <w:rsid w:val="00A87197"/>
    <w:rsid w:val="00A87A6F"/>
    <w:rsid w:val="00A87A86"/>
    <w:rsid w:val="00A87D14"/>
    <w:rsid w:val="00A9079B"/>
    <w:rsid w:val="00A90861"/>
    <w:rsid w:val="00A909D8"/>
    <w:rsid w:val="00A9127D"/>
    <w:rsid w:val="00A912E2"/>
    <w:rsid w:val="00A9149D"/>
    <w:rsid w:val="00A9159D"/>
    <w:rsid w:val="00A91F55"/>
    <w:rsid w:val="00A92955"/>
    <w:rsid w:val="00A92B6D"/>
    <w:rsid w:val="00A92CC0"/>
    <w:rsid w:val="00A92DA9"/>
    <w:rsid w:val="00A93228"/>
    <w:rsid w:val="00A93682"/>
    <w:rsid w:val="00A93C22"/>
    <w:rsid w:val="00A942F3"/>
    <w:rsid w:val="00A94585"/>
    <w:rsid w:val="00A94597"/>
    <w:rsid w:val="00A947C6"/>
    <w:rsid w:val="00A949D5"/>
    <w:rsid w:val="00A94C2B"/>
    <w:rsid w:val="00A94C8C"/>
    <w:rsid w:val="00A94DCA"/>
    <w:rsid w:val="00A94FA6"/>
    <w:rsid w:val="00A9526B"/>
    <w:rsid w:val="00A9552F"/>
    <w:rsid w:val="00A955E5"/>
    <w:rsid w:val="00A95DA6"/>
    <w:rsid w:val="00A962FD"/>
    <w:rsid w:val="00A9636D"/>
    <w:rsid w:val="00A9668F"/>
    <w:rsid w:val="00A96C78"/>
    <w:rsid w:val="00A96EA8"/>
    <w:rsid w:val="00A971C0"/>
    <w:rsid w:val="00A97553"/>
    <w:rsid w:val="00A97FB6"/>
    <w:rsid w:val="00AA03FF"/>
    <w:rsid w:val="00AA0960"/>
    <w:rsid w:val="00AA0AC1"/>
    <w:rsid w:val="00AA12D1"/>
    <w:rsid w:val="00AA14A7"/>
    <w:rsid w:val="00AA1A87"/>
    <w:rsid w:val="00AA1AE6"/>
    <w:rsid w:val="00AA22B4"/>
    <w:rsid w:val="00AA2894"/>
    <w:rsid w:val="00AA2927"/>
    <w:rsid w:val="00AA36CF"/>
    <w:rsid w:val="00AA376D"/>
    <w:rsid w:val="00AA39D3"/>
    <w:rsid w:val="00AA3A68"/>
    <w:rsid w:val="00AA3A73"/>
    <w:rsid w:val="00AA4DC9"/>
    <w:rsid w:val="00AA4FB9"/>
    <w:rsid w:val="00AA50D8"/>
    <w:rsid w:val="00AA55A1"/>
    <w:rsid w:val="00AA5693"/>
    <w:rsid w:val="00AA5744"/>
    <w:rsid w:val="00AA5A26"/>
    <w:rsid w:val="00AA6710"/>
    <w:rsid w:val="00AA67D6"/>
    <w:rsid w:val="00AA6BC6"/>
    <w:rsid w:val="00AA6FBB"/>
    <w:rsid w:val="00AA770E"/>
    <w:rsid w:val="00AB01E2"/>
    <w:rsid w:val="00AB0431"/>
    <w:rsid w:val="00AB0681"/>
    <w:rsid w:val="00AB06E8"/>
    <w:rsid w:val="00AB08D4"/>
    <w:rsid w:val="00AB0F13"/>
    <w:rsid w:val="00AB0F14"/>
    <w:rsid w:val="00AB0F37"/>
    <w:rsid w:val="00AB0FE7"/>
    <w:rsid w:val="00AB1029"/>
    <w:rsid w:val="00AB15DA"/>
    <w:rsid w:val="00AB1898"/>
    <w:rsid w:val="00AB1BC4"/>
    <w:rsid w:val="00AB213A"/>
    <w:rsid w:val="00AB22B2"/>
    <w:rsid w:val="00AB240A"/>
    <w:rsid w:val="00AB2CBD"/>
    <w:rsid w:val="00AB2F2B"/>
    <w:rsid w:val="00AB384A"/>
    <w:rsid w:val="00AB3941"/>
    <w:rsid w:val="00AB3D56"/>
    <w:rsid w:val="00AB43B0"/>
    <w:rsid w:val="00AB45FF"/>
    <w:rsid w:val="00AB4AA8"/>
    <w:rsid w:val="00AB5020"/>
    <w:rsid w:val="00AB520B"/>
    <w:rsid w:val="00AB582F"/>
    <w:rsid w:val="00AB5842"/>
    <w:rsid w:val="00AB5954"/>
    <w:rsid w:val="00AB59B6"/>
    <w:rsid w:val="00AB672C"/>
    <w:rsid w:val="00AB6883"/>
    <w:rsid w:val="00AB705E"/>
    <w:rsid w:val="00AB71B8"/>
    <w:rsid w:val="00AB77F2"/>
    <w:rsid w:val="00AC02D0"/>
    <w:rsid w:val="00AC089E"/>
    <w:rsid w:val="00AC0E0D"/>
    <w:rsid w:val="00AC0EF9"/>
    <w:rsid w:val="00AC0EFD"/>
    <w:rsid w:val="00AC10DB"/>
    <w:rsid w:val="00AC13F6"/>
    <w:rsid w:val="00AC15CF"/>
    <w:rsid w:val="00AC1B3A"/>
    <w:rsid w:val="00AC1B57"/>
    <w:rsid w:val="00AC2383"/>
    <w:rsid w:val="00AC2616"/>
    <w:rsid w:val="00AC2B16"/>
    <w:rsid w:val="00AC31B2"/>
    <w:rsid w:val="00AC33DA"/>
    <w:rsid w:val="00AC35FF"/>
    <w:rsid w:val="00AC3B80"/>
    <w:rsid w:val="00AC4497"/>
    <w:rsid w:val="00AC459C"/>
    <w:rsid w:val="00AC47B6"/>
    <w:rsid w:val="00AC48D7"/>
    <w:rsid w:val="00AC5056"/>
    <w:rsid w:val="00AC5313"/>
    <w:rsid w:val="00AC5697"/>
    <w:rsid w:val="00AC5966"/>
    <w:rsid w:val="00AC5BCF"/>
    <w:rsid w:val="00AC6062"/>
    <w:rsid w:val="00AC63C4"/>
    <w:rsid w:val="00AC6559"/>
    <w:rsid w:val="00AC6710"/>
    <w:rsid w:val="00AC71E3"/>
    <w:rsid w:val="00AC72E3"/>
    <w:rsid w:val="00AC7746"/>
    <w:rsid w:val="00AD0234"/>
    <w:rsid w:val="00AD0329"/>
    <w:rsid w:val="00AD0FEE"/>
    <w:rsid w:val="00AD1292"/>
    <w:rsid w:val="00AD1829"/>
    <w:rsid w:val="00AD19CF"/>
    <w:rsid w:val="00AD1D01"/>
    <w:rsid w:val="00AD1EDF"/>
    <w:rsid w:val="00AD1F6E"/>
    <w:rsid w:val="00AD21BE"/>
    <w:rsid w:val="00AD2243"/>
    <w:rsid w:val="00AD29C9"/>
    <w:rsid w:val="00AD2EA3"/>
    <w:rsid w:val="00AD2F4F"/>
    <w:rsid w:val="00AD3AF4"/>
    <w:rsid w:val="00AD3CF1"/>
    <w:rsid w:val="00AD407F"/>
    <w:rsid w:val="00AD572A"/>
    <w:rsid w:val="00AD6374"/>
    <w:rsid w:val="00AD65CB"/>
    <w:rsid w:val="00AD6A08"/>
    <w:rsid w:val="00AD6D45"/>
    <w:rsid w:val="00AD72B6"/>
    <w:rsid w:val="00AE02FE"/>
    <w:rsid w:val="00AE0972"/>
    <w:rsid w:val="00AE09B0"/>
    <w:rsid w:val="00AE0C3F"/>
    <w:rsid w:val="00AE0C4F"/>
    <w:rsid w:val="00AE0E73"/>
    <w:rsid w:val="00AE17D0"/>
    <w:rsid w:val="00AE1CEC"/>
    <w:rsid w:val="00AE1D5E"/>
    <w:rsid w:val="00AE21F7"/>
    <w:rsid w:val="00AE28AF"/>
    <w:rsid w:val="00AE3101"/>
    <w:rsid w:val="00AE3206"/>
    <w:rsid w:val="00AE3208"/>
    <w:rsid w:val="00AE37AE"/>
    <w:rsid w:val="00AE3C3C"/>
    <w:rsid w:val="00AE3E27"/>
    <w:rsid w:val="00AE414A"/>
    <w:rsid w:val="00AE494F"/>
    <w:rsid w:val="00AE4B67"/>
    <w:rsid w:val="00AE5190"/>
    <w:rsid w:val="00AE5516"/>
    <w:rsid w:val="00AE58AB"/>
    <w:rsid w:val="00AE61A6"/>
    <w:rsid w:val="00AE6AB0"/>
    <w:rsid w:val="00AE7266"/>
    <w:rsid w:val="00AE729B"/>
    <w:rsid w:val="00AE7A08"/>
    <w:rsid w:val="00AE7B7A"/>
    <w:rsid w:val="00AE7DA1"/>
    <w:rsid w:val="00AF0562"/>
    <w:rsid w:val="00AF05CA"/>
    <w:rsid w:val="00AF137A"/>
    <w:rsid w:val="00AF19D9"/>
    <w:rsid w:val="00AF1E52"/>
    <w:rsid w:val="00AF1F34"/>
    <w:rsid w:val="00AF209F"/>
    <w:rsid w:val="00AF239F"/>
    <w:rsid w:val="00AF2A12"/>
    <w:rsid w:val="00AF2A2C"/>
    <w:rsid w:val="00AF2A3F"/>
    <w:rsid w:val="00AF2C0E"/>
    <w:rsid w:val="00AF33B6"/>
    <w:rsid w:val="00AF3668"/>
    <w:rsid w:val="00AF36A6"/>
    <w:rsid w:val="00AF3FA5"/>
    <w:rsid w:val="00AF40CC"/>
    <w:rsid w:val="00AF4654"/>
    <w:rsid w:val="00AF4866"/>
    <w:rsid w:val="00AF48D1"/>
    <w:rsid w:val="00AF4EC0"/>
    <w:rsid w:val="00AF5279"/>
    <w:rsid w:val="00AF52EC"/>
    <w:rsid w:val="00AF52F5"/>
    <w:rsid w:val="00AF5DD9"/>
    <w:rsid w:val="00AF5F1A"/>
    <w:rsid w:val="00AF5F9C"/>
    <w:rsid w:val="00AF5FAD"/>
    <w:rsid w:val="00AF60E1"/>
    <w:rsid w:val="00AF705B"/>
    <w:rsid w:val="00AF7757"/>
    <w:rsid w:val="00AF7B3E"/>
    <w:rsid w:val="00AF7B70"/>
    <w:rsid w:val="00AF7C40"/>
    <w:rsid w:val="00AF7F3A"/>
    <w:rsid w:val="00B0035E"/>
    <w:rsid w:val="00B00A3A"/>
    <w:rsid w:val="00B00FE2"/>
    <w:rsid w:val="00B010EA"/>
    <w:rsid w:val="00B012AD"/>
    <w:rsid w:val="00B016A3"/>
    <w:rsid w:val="00B016D5"/>
    <w:rsid w:val="00B02235"/>
    <w:rsid w:val="00B0266B"/>
    <w:rsid w:val="00B02C07"/>
    <w:rsid w:val="00B030E2"/>
    <w:rsid w:val="00B03183"/>
    <w:rsid w:val="00B0319E"/>
    <w:rsid w:val="00B03CEA"/>
    <w:rsid w:val="00B0400B"/>
    <w:rsid w:val="00B04361"/>
    <w:rsid w:val="00B04575"/>
    <w:rsid w:val="00B049E8"/>
    <w:rsid w:val="00B04A99"/>
    <w:rsid w:val="00B054C3"/>
    <w:rsid w:val="00B05530"/>
    <w:rsid w:val="00B05901"/>
    <w:rsid w:val="00B05946"/>
    <w:rsid w:val="00B05BA1"/>
    <w:rsid w:val="00B061AC"/>
    <w:rsid w:val="00B06795"/>
    <w:rsid w:val="00B06D95"/>
    <w:rsid w:val="00B0707A"/>
    <w:rsid w:val="00B07458"/>
    <w:rsid w:val="00B07BAA"/>
    <w:rsid w:val="00B07C7F"/>
    <w:rsid w:val="00B07C93"/>
    <w:rsid w:val="00B07E30"/>
    <w:rsid w:val="00B1013E"/>
    <w:rsid w:val="00B1020D"/>
    <w:rsid w:val="00B10222"/>
    <w:rsid w:val="00B10243"/>
    <w:rsid w:val="00B103B0"/>
    <w:rsid w:val="00B10638"/>
    <w:rsid w:val="00B10697"/>
    <w:rsid w:val="00B113D8"/>
    <w:rsid w:val="00B116C7"/>
    <w:rsid w:val="00B118EC"/>
    <w:rsid w:val="00B11B0E"/>
    <w:rsid w:val="00B11C80"/>
    <w:rsid w:val="00B11D73"/>
    <w:rsid w:val="00B124D6"/>
    <w:rsid w:val="00B12A3B"/>
    <w:rsid w:val="00B12E81"/>
    <w:rsid w:val="00B12E9A"/>
    <w:rsid w:val="00B12FD7"/>
    <w:rsid w:val="00B139AC"/>
    <w:rsid w:val="00B13A4D"/>
    <w:rsid w:val="00B13C5C"/>
    <w:rsid w:val="00B13E68"/>
    <w:rsid w:val="00B1423B"/>
    <w:rsid w:val="00B1485B"/>
    <w:rsid w:val="00B15453"/>
    <w:rsid w:val="00B15E47"/>
    <w:rsid w:val="00B160CA"/>
    <w:rsid w:val="00B162B6"/>
    <w:rsid w:val="00B16324"/>
    <w:rsid w:val="00B165EC"/>
    <w:rsid w:val="00B16727"/>
    <w:rsid w:val="00B16CEC"/>
    <w:rsid w:val="00B16CFE"/>
    <w:rsid w:val="00B1725D"/>
    <w:rsid w:val="00B179FC"/>
    <w:rsid w:val="00B17A69"/>
    <w:rsid w:val="00B17ADF"/>
    <w:rsid w:val="00B17B6A"/>
    <w:rsid w:val="00B17C51"/>
    <w:rsid w:val="00B17CC4"/>
    <w:rsid w:val="00B200A2"/>
    <w:rsid w:val="00B201C7"/>
    <w:rsid w:val="00B203E8"/>
    <w:rsid w:val="00B20485"/>
    <w:rsid w:val="00B2052A"/>
    <w:rsid w:val="00B213FC"/>
    <w:rsid w:val="00B214D1"/>
    <w:rsid w:val="00B215DF"/>
    <w:rsid w:val="00B21865"/>
    <w:rsid w:val="00B220CD"/>
    <w:rsid w:val="00B22510"/>
    <w:rsid w:val="00B22D1E"/>
    <w:rsid w:val="00B23387"/>
    <w:rsid w:val="00B23431"/>
    <w:rsid w:val="00B23C09"/>
    <w:rsid w:val="00B23D8C"/>
    <w:rsid w:val="00B23F83"/>
    <w:rsid w:val="00B24B70"/>
    <w:rsid w:val="00B24F2C"/>
    <w:rsid w:val="00B2514E"/>
    <w:rsid w:val="00B258D3"/>
    <w:rsid w:val="00B25CB3"/>
    <w:rsid w:val="00B25D61"/>
    <w:rsid w:val="00B25EBD"/>
    <w:rsid w:val="00B25F58"/>
    <w:rsid w:val="00B26054"/>
    <w:rsid w:val="00B2649B"/>
    <w:rsid w:val="00B264CE"/>
    <w:rsid w:val="00B265F7"/>
    <w:rsid w:val="00B26828"/>
    <w:rsid w:val="00B2708D"/>
    <w:rsid w:val="00B2745A"/>
    <w:rsid w:val="00B276AB"/>
    <w:rsid w:val="00B27879"/>
    <w:rsid w:val="00B27B7F"/>
    <w:rsid w:val="00B30153"/>
    <w:rsid w:val="00B30191"/>
    <w:rsid w:val="00B30269"/>
    <w:rsid w:val="00B30481"/>
    <w:rsid w:val="00B30676"/>
    <w:rsid w:val="00B30838"/>
    <w:rsid w:val="00B30A69"/>
    <w:rsid w:val="00B30E49"/>
    <w:rsid w:val="00B31214"/>
    <w:rsid w:val="00B31605"/>
    <w:rsid w:val="00B31712"/>
    <w:rsid w:val="00B31E2D"/>
    <w:rsid w:val="00B32380"/>
    <w:rsid w:val="00B32867"/>
    <w:rsid w:val="00B32940"/>
    <w:rsid w:val="00B32D35"/>
    <w:rsid w:val="00B334D2"/>
    <w:rsid w:val="00B3374B"/>
    <w:rsid w:val="00B33F4F"/>
    <w:rsid w:val="00B34710"/>
    <w:rsid w:val="00B34884"/>
    <w:rsid w:val="00B34ABF"/>
    <w:rsid w:val="00B34B3B"/>
    <w:rsid w:val="00B34BE9"/>
    <w:rsid w:val="00B34C18"/>
    <w:rsid w:val="00B35120"/>
    <w:rsid w:val="00B351FA"/>
    <w:rsid w:val="00B354E2"/>
    <w:rsid w:val="00B3564E"/>
    <w:rsid w:val="00B358AF"/>
    <w:rsid w:val="00B35A44"/>
    <w:rsid w:val="00B36092"/>
    <w:rsid w:val="00B36400"/>
    <w:rsid w:val="00B36561"/>
    <w:rsid w:val="00B368A2"/>
    <w:rsid w:val="00B36A25"/>
    <w:rsid w:val="00B36D86"/>
    <w:rsid w:val="00B36DED"/>
    <w:rsid w:val="00B37076"/>
    <w:rsid w:val="00B37E67"/>
    <w:rsid w:val="00B40E45"/>
    <w:rsid w:val="00B40F51"/>
    <w:rsid w:val="00B41049"/>
    <w:rsid w:val="00B410EC"/>
    <w:rsid w:val="00B41140"/>
    <w:rsid w:val="00B411BB"/>
    <w:rsid w:val="00B412D7"/>
    <w:rsid w:val="00B412E2"/>
    <w:rsid w:val="00B4147D"/>
    <w:rsid w:val="00B41A6D"/>
    <w:rsid w:val="00B41BC4"/>
    <w:rsid w:val="00B41E41"/>
    <w:rsid w:val="00B42159"/>
    <w:rsid w:val="00B4254B"/>
    <w:rsid w:val="00B42D94"/>
    <w:rsid w:val="00B4318B"/>
    <w:rsid w:val="00B43223"/>
    <w:rsid w:val="00B43405"/>
    <w:rsid w:val="00B434FE"/>
    <w:rsid w:val="00B43B21"/>
    <w:rsid w:val="00B43B83"/>
    <w:rsid w:val="00B43E8F"/>
    <w:rsid w:val="00B44337"/>
    <w:rsid w:val="00B44481"/>
    <w:rsid w:val="00B4456B"/>
    <w:rsid w:val="00B445CB"/>
    <w:rsid w:val="00B44983"/>
    <w:rsid w:val="00B44E03"/>
    <w:rsid w:val="00B45243"/>
    <w:rsid w:val="00B45B24"/>
    <w:rsid w:val="00B45C55"/>
    <w:rsid w:val="00B45F2C"/>
    <w:rsid w:val="00B45FB6"/>
    <w:rsid w:val="00B468E1"/>
    <w:rsid w:val="00B46A5E"/>
    <w:rsid w:val="00B46FE0"/>
    <w:rsid w:val="00B47575"/>
    <w:rsid w:val="00B47681"/>
    <w:rsid w:val="00B47833"/>
    <w:rsid w:val="00B47CD7"/>
    <w:rsid w:val="00B47F72"/>
    <w:rsid w:val="00B47FE7"/>
    <w:rsid w:val="00B50263"/>
    <w:rsid w:val="00B5093C"/>
    <w:rsid w:val="00B50A63"/>
    <w:rsid w:val="00B511AD"/>
    <w:rsid w:val="00B514C4"/>
    <w:rsid w:val="00B5171D"/>
    <w:rsid w:val="00B519E4"/>
    <w:rsid w:val="00B51CFD"/>
    <w:rsid w:val="00B523AB"/>
    <w:rsid w:val="00B52758"/>
    <w:rsid w:val="00B52CD9"/>
    <w:rsid w:val="00B537CF"/>
    <w:rsid w:val="00B53E7E"/>
    <w:rsid w:val="00B53E80"/>
    <w:rsid w:val="00B540C9"/>
    <w:rsid w:val="00B5418F"/>
    <w:rsid w:val="00B5431E"/>
    <w:rsid w:val="00B544BC"/>
    <w:rsid w:val="00B544D3"/>
    <w:rsid w:val="00B5457F"/>
    <w:rsid w:val="00B54594"/>
    <w:rsid w:val="00B5472C"/>
    <w:rsid w:val="00B54BF8"/>
    <w:rsid w:val="00B54CB2"/>
    <w:rsid w:val="00B54CBA"/>
    <w:rsid w:val="00B557B2"/>
    <w:rsid w:val="00B559D2"/>
    <w:rsid w:val="00B55A8E"/>
    <w:rsid w:val="00B55BF9"/>
    <w:rsid w:val="00B55C3C"/>
    <w:rsid w:val="00B55E40"/>
    <w:rsid w:val="00B5657E"/>
    <w:rsid w:val="00B566E2"/>
    <w:rsid w:val="00B56FB1"/>
    <w:rsid w:val="00B575F4"/>
    <w:rsid w:val="00B57C45"/>
    <w:rsid w:val="00B57FCF"/>
    <w:rsid w:val="00B603B1"/>
    <w:rsid w:val="00B60500"/>
    <w:rsid w:val="00B609E9"/>
    <w:rsid w:val="00B60A49"/>
    <w:rsid w:val="00B60C6B"/>
    <w:rsid w:val="00B60CE0"/>
    <w:rsid w:val="00B610ED"/>
    <w:rsid w:val="00B6145C"/>
    <w:rsid w:val="00B61510"/>
    <w:rsid w:val="00B61678"/>
    <w:rsid w:val="00B618D8"/>
    <w:rsid w:val="00B61BC7"/>
    <w:rsid w:val="00B61E76"/>
    <w:rsid w:val="00B620D3"/>
    <w:rsid w:val="00B62674"/>
    <w:rsid w:val="00B6276F"/>
    <w:rsid w:val="00B63010"/>
    <w:rsid w:val="00B63105"/>
    <w:rsid w:val="00B63272"/>
    <w:rsid w:val="00B6342E"/>
    <w:rsid w:val="00B634C2"/>
    <w:rsid w:val="00B63691"/>
    <w:rsid w:val="00B63800"/>
    <w:rsid w:val="00B63D57"/>
    <w:rsid w:val="00B640F6"/>
    <w:rsid w:val="00B6426C"/>
    <w:rsid w:val="00B64728"/>
    <w:rsid w:val="00B64964"/>
    <w:rsid w:val="00B64E10"/>
    <w:rsid w:val="00B6576C"/>
    <w:rsid w:val="00B65D6E"/>
    <w:rsid w:val="00B65E87"/>
    <w:rsid w:val="00B66203"/>
    <w:rsid w:val="00B667BE"/>
    <w:rsid w:val="00B66924"/>
    <w:rsid w:val="00B66FB1"/>
    <w:rsid w:val="00B66FDC"/>
    <w:rsid w:val="00B67470"/>
    <w:rsid w:val="00B67571"/>
    <w:rsid w:val="00B67B92"/>
    <w:rsid w:val="00B70405"/>
    <w:rsid w:val="00B70474"/>
    <w:rsid w:val="00B704A4"/>
    <w:rsid w:val="00B70608"/>
    <w:rsid w:val="00B70742"/>
    <w:rsid w:val="00B70F78"/>
    <w:rsid w:val="00B7110A"/>
    <w:rsid w:val="00B7113F"/>
    <w:rsid w:val="00B71234"/>
    <w:rsid w:val="00B7184A"/>
    <w:rsid w:val="00B71D5B"/>
    <w:rsid w:val="00B71DDB"/>
    <w:rsid w:val="00B71E61"/>
    <w:rsid w:val="00B72266"/>
    <w:rsid w:val="00B722B7"/>
    <w:rsid w:val="00B723BC"/>
    <w:rsid w:val="00B72B59"/>
    <w:rsid w:val="00B72D61"/>
    <w:rsid w:val="00B73107"/>
    <w:rsid w:val="00B734A5"/>
    <w:rsid w:val="00B73531"/>
    <w:rsid w:val="00B73690"/>
    <w:rsid w:val="00B73D89"/>
    <w:rsid w:val="00B743ED"/>
    <w:rsid w:val="00B74439"/>
    <w:rsid w:val="00B744AB"/>
    <w:rsid w:val="00B74566"/>
    <w:rsid w:val="00B75031"/>
    <w:rsid w:val="00B751B4"/>
    <w:rsid w:val="00B75955"/>
    <w:rsid w:val="00B75A02"/>
    <w:rsid w:val="00B75F4D"/>
    <w:rsid w:val="00B761E0"/>
    <w:rsid w:val="00B76631"/>
    <w:rsid w:val="00B7682A"/>
    <w:rsid w:val="00B76882"/>
    <w:rsid w:val="00B768AB"/>
    <w:rsid w:val="00B76B9D"/>
    <w:rsid w:val="00B7721A"/>
    <w:rsid w:val="00B77248"/>
    <w:rsid w:val="00B773F5"/>
    <w:rsid w:val="00B7770E"/>
    <w:rsid w:val="00B77AF9"/>
    <w:rsid w:val="00B77B55"/>
    <w:rsid w:val="00B77B94"/>
    <w:rsid w:val="00B77EB1"/>
    <w:rsid w:val="00B80220"/>
    <w:rsid w:val="00B805F6"/>
    <w:rsid w:val="00B80994"/>
    <w:rsid w:val="00B80C01"/>
    <w:rsid w:val="00B80C21"/>
    <w:rsid w:val="00B80CA0"/>
    <w:rsid w:val="00B81EDA"/>
    <w:rsid w:val="00B82043"/>
    <w:rsid w:val="00B820C5"/>
    <w:rsid w:val="00B827A9"/>
    <w:rsid w:val="00B82B2F"/>
    <w:rsid w:val="00B82B5D"/>
    <w:rsid w:val="00B83793"/>
    <w:rsid w:val="00B8385F"/>
    <w:rsid w:val="00B8397F"/>
    <w:rsid w:val="00B8428C"/>
    <w:rsid w:val="00B84417"/>
    <w:rsid w:val="00B84C36"/>
    <w:rsid w:val="00B84DE4"/>
    <w:rsid w:val="00B84E59"/>
    <w:rsid w:val="00B84EB7"/>
    <w:rsid w:val="00B84FBC"/>
    <w:rsid w:val="00B852B6"/>
    <w:rsid w:val="00B85784"/>
    <w:rsid w:val="00B85B20"/>
    <w:rsid w:val="00B861AA"/>
    <w:rsid w:val="00B873BE"/>
    <w:rsid w:val="00B8760E"/>
    <w:rsid w:val="00B87DDC"/>
    <w:rsid w:val="00B90395"/>
    <w:rsid w:val="00B904B6"/>
    <w:rsid w:val="00B906F5"/>
    <w:rsid w:val="00B90749"/>
    <w:rsid w:val="00B90796"/>
    <w:rsid w:val="00B908DB"/>
    <w:rsid w:val="00B90E41"/>
    <w:rsid w:val="00B914BE"/>
    <w:rsid w:val="00B91733"/>
    <w:rsid w:val="00B91ADE"/>
    <w:rsid w:val="00B92118"/>
    <w:rsid w:val="00B9211E"/>
    <w:rsid w:val="00B92328"/>
    <w:rsid w:val="00B92362"/>
    <w:rsid w:val="00B923E8"/>
    <w:rsid w:val="00B9292F"/>
    <w:rsid w:val="00B92D04"/>
    <w:rsid w:val="00B93213"/>
    <w:rsid w:val="00B94501"/>
    <w:rsid w:val="00B948D1"/>
    <w:rsid w:val="00B9496F"/>
    <w:rsid w:val="00B94A67"/>
    <w:rsid w:val="00B94AAA"/>
    <w:rsid w:val="00B9522D"/>
    <w:rsid w:val="00B9555D"/>
    <w:rsid w:val="00B955A1"/>
    <w:rsid w:val="00B95C75"/>
    <w:rsid w:val="00B95DDF"/>
    <w:rsid w:val="00B960FC"/>
    <w:rsid w:val="00B963C4"/>
    <w:rsid w:val="00B96ECB"/>
    <w:rsid w:val="00B970EF"/>
    <w:rsid w:val="00B97330"/>
    <w:rsid w:val="00B9738A"/>
    <w:rsid w:val="00B97B8C"/>
    <w:rsid w:val="00B97DF4"/>
    <w:rsid w:val="00B97EE2"/>
    <w:rsid w:val="00BA011D"/>
    <w:rsid w:val="00BA0534"/>
    <w:rsid w:val="00BA12F5"/>
    <w:rsid w:val="00BA13E3"/>
    <w:rsid w:val="00BA1C58"/>
    <w:rsid w:val="00BA2204"/>
    <w:rsid w:val="00BA2836"/>
    <w:rsid w:val="00BA28F5"/>
    <w:rsid w:val="00BA290A"/>
    <w:rsid w:val="00BA31E5"/>
    <w:rsid w:val="00BA34A7"/>
    <w:rsid w:val="00BA373B"/>
    <w:rsid w:val="00BA3F5B"/>
    <w:rsid w:val="00BA3F63"/>
    <w:rsid w:val="00BA3FFD"/>
    <w:rsid w:val="00BA4100"/>
    <w:rsid w:val="00BA4938"/>
    <w:rsid w:val="00BA4B4D"/>
    <w:rsid w:val="00BA4DA0"/>
    <w:rsid w:val="00BA5139"/>
    <w:rsid w:val="00BA5539"/>
    <w:rsid w:val="00BA5ADB"/>
    <w:rsid w:val="00BA5C4B"/>
    <w:rsid w:val="00BA656E"/>
    <w:rsid w:val="00BA66E1"/>
    <w:rsid w:val="00BA68D2"/>
    <w:rsid w:val="00BA6930"/>
    <w:rsid w:val="00BA6A3F"/>
    <w:rsid w:val="00BA6C7C"/>
    <w:rsid w:val="00BA6E2A"/>
    <w:rsid w:val="00BA73B6"/>
    <w:rsid w:val="00BA7B85"/>
    <w:rsid w:val="00BA7BA2"/>
    <w:rsid w:val="00BA7C83"/>
    <w:rsid w:val="00BA7E79"/>
    <w:rsid w:val="00BA7ED2"/>
    <w:rsid w:val="00BA7F65"/>
    <w:rsid w:val="00BB0353"/>
    <w:rsid w:val="00BB093D"/>
    <w:rsid w:val="00BB0E4B"/>
    <w:rsid w:val="00BB0F08"/>
    <w:rsid w:val="00BB1006"/>
    <w:rsid w:val="00BB1514"/>
    <w:rsid w:val="00BB18EE"/>
    <w:rsid w:val="00BB193F"/>
    <w:rsid w:val="00BB197A"/>
    <w:rsid w:val="00BB1AB8"/>
    <w:rsid w:val="00BB2145"/>
    <w:rsid w:val="00BB2165"/>
    <w:rsid w:val="00BB24B7"/>
    <w:rsid w:val="00BB2E35"/>
    <w:rsid w:val="00BB2F24"/>
    <w:rsid w:val="00BB34C6"/>
    <w:rsid w:val="00BB3525"/>
    <w:rsid w:val="00BB38DF"/>
    <w:rsid w:val="00BB3D0A"/>
    <w:rsid w:val="00BB40AF"/>
    <w:rsid w:val="00BB416B"/>
    <w:rsid w:val="00BB41F8"/>
    <w:rsid w:val="00BB4270"/>
    <w:rsid w:val="00BB4ED5"/>
    <w:rsid w:val="00BB4F4C"/>
    <w:rsid w:val="00BB4FCD"/>
    <w:rsid w:val="00BB52CD"/>
    <w:rsid w:val="00BB5630"/>
    <w:rsid w:val="00BB58A6"/>
    <w:rsid w:val="00BB5BBF"/>
    <w:rsid w:val="00BB5D1D"/>
    <w:rsid w:val="00BB5D41"/>
    <w:rsid w:val="00BB5E42"/>
    <w:rsid w:val="00BB5F4F"/>
    <w:rsid w:val="00BB6092"/>
    <w:rsid w:val="00BB6376"/>
    <w:rsid w:val="00BB682C"/>
    <w:rsid w:val="00BB6DF1"/>
    <w:rsid w:val="00BB6F71"/>
    <w:rsid w:val="00BB7748"/>
    <w:rsid w:val="00BB7B00"/>
    <w:rsid w:val="00BB7C12"/>
    <w:rsid w:val="00BB7DE4"/>
    <w:rsid w:val="00BC0252"/>
    <w:rsid w:val="00BC0506"/>
    <w:rsid w:val="00BC0F76"/>
    <w:rsid w:val="00BC1257"/>
    <w:rsid w:val="00BC158A"/>
    <w:rsid w:val="00BC16C1"/>
    <w:rsid w:val="00BC19EB"/>
    <w:rsid w:val="00BC1FAF"/>
    <w:rsid w:val="00BC21E0"/>
    <w:rsid w:val="00BC261B"/>
    <w:rsid w:val="00BC2958"/>
    <w:rsid w:val="00BC2B06"/>
    <w:rsid w:val="00BC2BED"/>
    <w:rsid w:val="00BC2C48"/>
    <w:rsid w:val="00BC2D9B"/>
    <w:rsid w:val="00BC2DEA"/>
    <w:rsid w:val="00BC2ED7"/>
    <w:rsid w:val="00BC3143"/>
    <w:rsid w:val="00BC3215"/>
    <w:rsid w:val="00BC39A2"/>
    <w:rsid w:val="00BC3CFC"/>
    <w:rsid w:val="00BC4BA5"/>
    <w:rsid w:val="00BC4C68"/>
    <w:rsid w:val="00BC4CE3"/>
    <w:rsid w:val="00BC4FF2"/>
    <w:rsid w:val="00BC5EFC"/>
    <w:rsid w:val="00BC60F5"/>
    <w:rsid w:val="00BC6132"/>
    <w:rsid w:val="00BC62E6"/>
    <w:rsid w:val="00BC63EB"/>
    <w:rsid w:val="00BC6414"/>
    <w:rsid w:val="00BC669D"/>
    <w:rsid w:val="00BC6964"/>
    <w:rsid w:val="00BC7047"/>
    <w:rsid w:val="00BC7887"/>
    <w:rsid w:val="00BC7D26"/>
    <w:rsid w:val="00BC7F8C"/>
    <w:rsid w:val="00BD0066"/>
    <w:rsid w:val="00BD01C9"/>
    <w:rsid w:val="00BD06F6"/>
    <w:rsid w:val="00BD0824"/>
    <w:rsid w:val="00BD0866"/>
    <w:rsid w:val="00BD0876"/>
    <w:rsid w:val="00BD0A6A"/>
    <w:rsid w:val="00BD0EAD"/>
    <w:rsid w:val="00BD13EA"/>
    <w:rsid w:val="00BD15ED"/>
    <w:rsid w:val="00BD23B1"/>
    <w:rsid w:val="00BD28CC"/>
    <w:rsid w:val="00BD2DBB"/>
    <w:rsid w:val="00BD350A"/>
    <w:rsid w:val="00BD354A"/>
    <w:rsid w:val="00BD383F"/>
    <w:rsid w:val="00BD3F61"/>
    <w:rsid w:val="00BD4417"/>
    <w:rsid w:val="00BD4666"/>
    <w:rsid w:val="00BD4E8F"/>
    <w:rsid w:val="00BD50CF"/>
    <w:rsid w:val="00BD52DA"/>
    <w:rsid w:val="00BD536B"/>
    <w:rsid w:val="00BD54D4"/>
    <w:rsid w:val="00BD5518"/>
    <w:rsid w:val="00BD552F"/>
    <w:rsid w:val="00BD58F8"/>
    <w:rsid w:val="00BD5BBF"/>
    <w:rsid w:val="00BD60FB"/>
    <w:rsid w:val="00BD6121"/>
    <w:rsid w:val="00BD63EA"/>
    <w:rsid w:val="00BD640B"/>
    <w:rsid w:val="00BD69C9"/>
    <w:rsid w:val="00BD6FD3"/>
    <w:rsid w:val="00BD7113"/>
    <w:rsid w:val="00BD72D8"/>
    <w:rsid w:val="00BD7675"/>
    <w:rsid w:val="00BD77E2"/>
    <w:rsid w:val="00BD7C1A"/>
    <w:rsid w:val="00BD7D84"/>
    <w:rsid w:val="00BD7EC1"/>
    <w:rsid w:val="00BE0499"/>
    <w:rsid w:val="00BE07AE"/>
    <w:rsid w:val="00BE128F"/>
    <w:rsid w:val="00BE137D"/>
    <w:rsid w:val="00BE1987"/>
    <w:rsid w:val="00BE1BEF"/>
    <w:rsid w:val="00BE1C0E"/>
    <w:rsid w:val="00BE1C83"/>
    <w:rsid w:val="00BE1EEC"/>
    <w:rsid w:val="00BE1EFE"/>
    <w:rsid w:val="00BE1FDA"/>
    <w:rsid w:val="00BE250D"/>
    <w:rsid w:val="00BE28D1"/>
    <w:rsid w:val="00BE293A"/>
    <w:rsid w:val="00BE2B22"/>
    <w:rsid w:val="00BE2C51"/>
    <w:rsid w:val="00BE2D70"/>
    <w:rsid w:val="00BE31E2"/>
    <w:rsid w:val="00BE3808"/>
    <w:rsid w:val="00BE3967"/>
    <w:rsid w:val="00BE3D73"/>
    <w:rsid w:val="00BE477B"/>
    <w:rsid w:val="00BE5086"/>
    <w:rsid w:val="00BE513C"/>
    <w:rsid w:val="00BE5162"/>
    <w:rsid w:val="00BE5278"/>
    <w:rsid w:val="00BE5555"/>
    <w:rsid w:val="00BE5C2C"/>
    <w:rsid w:val="00BE609F"/>
    <w:rsid w:val="00BE6174"/>
    <w:rsid w:val="00BE64B1"/>
    <w:rsid w:val="00BE66A8"/>
    <w:rsid w:val="00BE6B64"/>
    <w:rsid w:val="00BE756A"/>
    <w:rsid w:val="00BE7AA2"/>
    <w:rsid w:val="00BE7D37"/>
    <w:rsid w:val="00BF0418"/>
    <w:rsid w:val="00BF0BFE"/>
    <w:rsid w:val="00BF0DF4"/>
    <w:rsid w:val="00BF0E24"/>
    <w:rsid w:val="00BF121A"/>
    <w:rsid w:val="00BF14DB"/>
    <w:rsid w:val="00BF1752"/>
    <w:rsid w:val="00BF19F4"/>
    <w:rsid w:val="00BF1C0E"/>
    <w:rsid w:val="00BF2143"/>
    <w:rsid w:val="00BF2392"/>
    <w:rsid w:val="00BF2B3F"/>
    <w:rsid w:val="00BF30B5"/>
    <w:rsid w:val="00BF3176"/>
    <w:rsid w:val="00BF3285"/>
    <w:rsid w:val="00BF32F9"/>
    <w:rsid w:val="00BF3357"/>
    <w:rsid w:val="00BF33A1"/>
    <w:rsid w:val="00BF3656"/>
    <w:rsid w:val="00BF3CF0"/>
    <w:rsid w:val="00BF41A7"/>
    <w:rsid w:val="00BF43E0"/>
    <w:rsid w:val="00BF4920"/>
    <w:rsid w:val="00BF4A93"/>
    <w:rsid w:val="00BF50CF"/>
    <w:rsid w:val="00BF55EB"/>
    <w:rsid w:val="00BF60B7"/>
    <w:rsid w:val="00BF6439"/>
    <w:rsid w:val="00BF679D"/>
    <w:rsid w:val="00BF69DD"/>
    <w:rsid w:val="00BF6A80"/>
    <w:rsid w:val="00BF6BE9"/>
    <w:rsid w:val="00BF6E24"/>
    <w:rsid w:val="00BF7271"/>
    <w:rsid w:val="00BF734F"/>
    <w:rsid w:val="00BF767A"/>
    <w:rsid w:val="00BF76F4"/>
    <w:rsid w:val="00BF7830"/>
    <w:rsid w:val="00BF7933"/>
    <w:rsid w:val="00BF7A50"/>
    <w:rsid w:val="00BF7F40"/>
    <w:rsid w:val="00BF7FA2"/>
    <w:rsid w:val="00C00239"/>
    <w:rsid w:val="00C00317"/>
    <w:rsid w:val="00C003BF"/>
    <w:rsid w:val="00C00899"/>
    <w:rsid w:val="00C0097A"/>
    <w:rsid w:val="00C00ACE"/>
    <w:rsid w:val="00C00C85"/>
    <w:rsid w:val="00C00D03"/>
    <w:rsid w:val="00C00E8B"/>
    <w:rsid w:val="00C00E95"/>
    <w:rsid w:val="00C00F19"/>
    <w:rsid w:val="00C0136B"/>
    <w:rsid w:val="00C014B8"/>
    <w:rsid w:val="00C01F65"/>
    <w:rsid w:val="00C01F80"/>
    <w:rsid w:val="00C02FA4"/>
    <w:rsid w:val="00C03119"/>
    <w:rsid w:val="00C03166"/>
    <w:rsid w:val="00C03546"/>
    <w:rsid w:val="00C03F24"/>
    <w:rsid w:val="00C03F81"/>
    <w:rsid w:val="00C04103"/>
    <w:rsid w:val="00C04624"/>
    <w:rsid w:val="00C046EC"/>
    <w:rsid w:val="00C04970"/>
    <w:rsid w:val="00C04C9E"/>
    <w:rsid w:val="00C04E5D"/>
    <w:rsid w:val="00C05439"/>
    <w:rsid w:val="00C061EE"/>
    <w:rsid w:val="00C062E9"/>
    <w:rsid w:val="00C06403"/>
    <w:rsid w:val="00C064FA"/>
    <w:rsid w:val="00C0661F"/>
    <w:rsid w:val="00C068A1"/>
    <w:rsid w:val="00C06ADA"/>
    <w:rsid w:val="00C06CBA"/>
    <w:rsid w:val="00C06D80"/>
    <w:rsid w:val="00C070F6"/>
    <w:rsid w:val="00C0790E"/>
    <w:rsid w:val="00C07CAD"/>
    <w:rsid w:val="00C07FAD"/>
    <w:rsid w:val="00C10393"/>
    <w:rsid w:val="00C1040A"/>
    <w:rsid w:val="00C10509"/>
    <w:rsid w:val="00C10845"/>
    <w:rsid w:val="00C11120"/>
    <w:rsid w:val="00C11389"/>
    <w:rsid w:val="00C11B78"/>
    <w:rsid w:val="00C11D03"/>
    <w:rsid w:val="00C11FA2"/>
    <w:rsid w:val="00C127DE"/>
    <w:rsid w:val="00C12ACA"/>
    <w:rsid w:val="00C1321F"/>
    <w:rsid w:val="00C133B0"/>
    <w:rsid w:val="00C134D4"/>
    <w:rsid w:val="00C13721"/>
    <w:rsid w:val="00C137E2"/>
    <w:rsid w:val="00C142DB"/>
    <w:rsid w:val="00C14634"/>
    <w:rsid w:val="00C1475C"/>
    <w:rsid w:val="00C14C7A"/>
    <w:rsid w:val="00C14FAF"/>
    <w:rsid w:val="00C1551D"/>
    <w:rsid w:val="00C158B1"/>
    <w:rsid w:val="00C159FF"/>
    <w:rsid w:val="00C16534"/>
    <w:rsid w:val="00C16576"/>
    <w:rsid w:val="00C165AC"/>
    <w:rsid w:val="00C172B0"/>
    <w:rsid w:val="00C17A48"/>
    <w:rsid w:val="00C17C85"/>
    <w:rsid w:val="00C17D2F"/>
    <w:rsid w:val="00C201AB"/>
    <w:rsid w:val="00C201B5"/>
    <w:rsid w:val="00C219C6"/>
    <w:rsid w:val="00C21A1F"/>
    <w:rsid w:val="00C21B75"/>
    <w:rsid w:val="00C21EBF"/>
    <w:rsid w:val="00C22416"/>
    <w:rsid w:val="00C224D6"/>
    <w:rsid w:val="00C2307E"/>
    <w:rsid w:val="00C236DB"/>
    <w:rsid w:val="00C23836"/>
    <w:rsid w:val="00C23DFA"/>
    <w:rsid w:val="00C23E1E"/>
    <w:rsid w:val="00C24289"/>
    <w:rsid w:val="00C242DD"/>
    <w:rsid w:val="00C24779"/>
    <w:rsid w:val="00C2491A"/>
    <w:rsid w:val="00C24F19"/>
    <w:rsid w:val="00C2563C"/>
    <w:rsid w:val="00C25674"/>
    <w:rsid w:val="00C257E9"/>
    <w:rsid w:val="00C268DF"/>
    <w:rsid w:val="00C26AB8"/>
    <w:rsid w:val="00C26BFC"/>
    <w:rsid w:val="00C27020"/>
    <w:rsid w:val="00C271D0"/>
    <w:rsid w:val="00C2771E"/>
    <w:rsid w:val="00C2797F"/>
    <w:rsid w:val="00C27CBB"/>
    <w:rsid w:val="00C27FA8"/>
    <w:rsid w:val="00C3000A"/>
    <w:rsid w:val="00C3015E"/>
    <w:rsid w:val="00C302E9"/>
    <w:rsid w:val="00C306AF"/>
    <w:rsid w:val="00C30BA8"/>
    <w:rsid w:val="00C30EB5"/>
    <w:rsid w:val="00C30EEE"/>
    <w:rsid w:val="00C30EFB"/>
    <w:rsid w:val="00C30F3E"/>
    <w:rsid w:val="00C30FF5"/>
    <w:rsid w:val="00C310B8"/>
    <w:rsid w:val="00C31332"/>
    <w:rsid w:val="00C31379"/>
    <w:rsid w:val="00C31D91"/>
    <w:rsid w:val="00C32769"/>
    <w:rsid w:val="00C32C11"/>
    <w:rsid w:val="00C32C28"/>
    <w:rsid w:val="00C32C65"/>
    <w:rsid w:val="00C33596"/>
    <w:rsid w:val="00C33A50"/>
    <w:rsid w:val="00C33F43"/>
    <w:rsid w:val="00C33F51"/>
    <w:rsid w:val="00C3410C"/>
    <w:rsid w:val="00C343A4"/>
    <w:rsid w:val="00C34668"/>
    <w:rsid w:val="00C34A06"/>
    <w:rsid w:val="00C3546F"/>
    <w:rsid w:val="00C354B7"/>
    <w:rsid w:val="00C3558D"/>
    <w:rsid w:val="00C35A4C"/>
    <w:rsid w:val="00C35F5A"/>
    <w:rsid w:val="00C36095"/>
    <w:rsid w:val="00C36189"/>
    <w:rsid w:val="00C362EA"/>
    <w:rsid w:val="00C3670E"/>
    <w:rsid w:val="00C3677F"/>
    <w:rsid w:val="00C367A7"/>
    <w:rsid w:val="00C3681A"/>
    <w:rsid w:val="00C36856"/>
    <w:rsid w:val="00C36E12"/>
    <w:rsid w:val="00C36F3C"/>
    <w:rsid w:val="00C37137"/>
    <w:rsid w:val="00C37CA5"/>
    <w:rsid w:val="00C37E86"/>
    <w:rsid w:val="00C40289"/>
    <w:rsid w:val="00C406DC"/>
    <w:rsid w:val="00C40A1C"/>
    <w:rsid w:val="00C40A89"/>
    <w:rsid w:val="00C40B3F"/>
    <w:rsid w:val="00C40CFB"/>
    <w:rsid w:val="00C40ED4"/>
    <w:rsid w:val="00C41039"/>
    <w:rsid w:val="00C415C8"/>
    <w:rsid w:val="00C41648"/>
    <w:rsid w:val="00C41D53"/>
    <w:rsid w:val="00C43749"/>
    <w:rsid w:val="00C44002"/>
    <w:rsid w:val="00C4409E"/>
    <w:rsid w:val="00C440DD"/>
    <w:rsid w:val="00C44578"/>
    <w:rsid w:val="00C446C8"/>
    <w:rsid w:val="00C447E5"/>
    <w:rsid w:val="00C45768"/>
    <w:rsid w:val="00C457BC"/>
    <w:rsid w:val="00C45AE7"/>
    <w:rsid w:val="00C4610E"/>
    <w:rsid w:val="00C464F5"/>
    <w:rsid w:val="00C4699E"/>
    <w:rsid w:val="00C46C06"/>
    <w:rsid w:val="00C46CAC"/>
    <w:rsid w:val="00C47312"/>
    <w:rsid w:val="00C47AE7"/>
    <w:rsid w:val="00C50138"/>
    <w:rsid w:val="00C5023E"/>
    <w:rsid w:val="00C50726"/>
    <w:rsid w:val="00C50798"/>
    <w:rsid w:val="00C50944"/>
    <w:rsid w:val="00C50BCA"/>
    <w:rsid w:val="00C511D5"/>
    <w:rsid w:val="00C516BB"/>
    <w:rsid w:val="00C51B2B"/>
    <w:rsid w:val="00C52346"/>
    <w:rsid w:val="00C527AA"/>
    <w:rsid w:val="00C52FD1"/>
    <w:rsid w:val="00C530D5"/>
    <w:rsid w:val="00C531F9"/>
    <w:rsid w:val="00C53428"/>
    <w:rsid w:val="00C53497"/>
    <w:rsid w:val="00C539C1"/>
    <w:rsid w:val="00C53B9E"/>
    <w:rsid w:val="00C53CCF"/>
    <w:rsid w:val="00C53D67"/>
    <w:rsid w:val="00C543F4"/>
    <w:rsid w:val="00C5455C"/>
    <w:rsid w:val="00C54957"/>
    <w:rsid w:val="00C54EEA"/>
    <w:rsid w:val="00C55602"/>
    <w:rsid w:val="00C557AE"/>
    <w:rsid w:val="00C55BF6"/>
    <w:rsid w:val="00C56241"/>
    <w:rsid w:val="00C563D0"/>
    <w:rsid w:val="00C566F3"/>
    <w:rsid w:val="00C56A8D"/>
    <w:rsid w:val="00C56CD8"/>
    <w:rsid w:val="00C56F5B"/>
    <w:rsid w:val="00C570B7"/>
    <w:rsid w:val="00C57488"/>
    <w:rsid w:val="00C574D0"/>
    <w:rsid w:val="00C576B4"/>
    <w:rsid w:val="00C5788D"/>
    <w:rsid w:val="00C578CB"/>
    <w:rsid w:val="00C57A8B"/>
    <w:rsid w:val="00C57B77"/>
    <w:rsid w:val="00C57BD9"/>
    <w:rsid w:val="00C601C2"/>
    <w:rsid w:val="00C604D8"/>
    <w:rsid w:val="00C605F0"/>
    <w:rsid w:val="00C6092F"/>
    <w:rsid w:val="00C6132B"/>
    <w:rsid w:val="00C615A4"/>
    <w:rsid w:val="00C61786"/>
    <w:rsid w:val="00C61CC4"/>
    <w:rsid w:val="00C61DC6"/>
    <w:rsid w:val="00C62424"/>
    <w:rsid w:val="00C62485"/>
    <w:rsid w:val="00C624A3"/>
    <w:rsid w:val="00C62568"/>
    <w:rsid w:val="00C628F8"/>
    <w:rsid w:val="00C6291C"/>
    <w:rsid w:val="00C62EA6"/>
    <w:rsid w:val="00C633CB"/>
    <w:rsid w:val="00C633FF"/>
    <w:rsid w:val="00C6368D"/>
    <w:rsid w:val="00C63A77"/>
    <w:rsid w:val="00C63AEA"/>
    <w:rsid w:val="00C63C64"/>
    <w:rsid w:val="00C64127"/>
    <w:rsid w:val="00C642D6"/>
    <w:rsid w:val="00C645F0"/>
    <w:rsid w:val="00C6482A"/>
    <w:rsid w:val="00C64C78"/>
    <w:rsid w:val="00C6513D"/>
    <w:rsid w:val="00C656DF"/>
    <w:rsid w:val="00C65C2D"/>
    <w:rsid w:val="00C66563"/>
    <w:rsid w:val="00C667C1"/>
    <w:rsid w:val="00C66B2C"/>
    <w:rsid w:val="00C66E91"/>
    <w:rsid w:val="00C67034"/>
    <w:rsid w:val="00C673EE"/>
    <w:rsid w:val="00C674FF"/>
    <w:rsid w:val="00C67567"/>
    <w:rsid w:val="00C701FB"/>
    <w:rsid w:val="00C7073B"/>
    <w:rsid w:val="00C70B88"/>
    <w:rsid w:val="00C70DFD"/>
    <w:rsid w:val="00C71091"/>
    <w:rsid w:val="00C71346"/>
    <w:rsid w:val="00C71982"/>
    <w:rsid w:val="00C71BC7"/>
    <w:rsid w:val="00C723BB"/>
    <w:rsid w:val="00C730C5"/>
    <w:rsid w:val="00C73100"/>
    <w:rsid w:val="00C731C5"/>
    <w:rsid w:val="00C732D5"/>
    <w:rsid w:val="00C73438"/>
    <w:rsid w:val="00C7345A"/>
    <w:rsid w:val="00C73812"/>
    <w:rsid w:val="00C73AB2"/>
    <w:rsid w:val="00C74044"/>
    <w:rsid w:val="00C746B5"/>
    <w:rsid w:val="00C74923"/>
    <w:rsid w:val="00C74EC4"/>
    <w:rsid w:val="00C758B9"/>
    <w:rsid w:val="00C758C5"/>
    <w:rsid w:val="00C75938"/>
    <w:rsid w:val="00C7599F"/>
    <w:rsid w:val="00C76600"/>
    <w:rsid w:val="00C7685B"/>
    <w:rsid w:val="00C76C96"/>
    <w:rsid w:val="00C77089"/>
    <w:rsid w:val="00C7722C"/>
    <w:rsid w:val="00C777BC"/>
    <w:rsid w:val="00C77D5A"/>
    <w:rsid w:val="00C80165"/>
    <w:rsid w:val="00C80198"/>
    <w:rsid w:val="00C80573"/>
    <w:rsid w:val="00C80697"/>
    <w:rsid w:val="00C80934"/>
    <w:rsid w:val="00C80A35"/>
    <w:rsid w:val="00C80B6B"/>
    <w:rsid w:val="00C80C1C"/>
    <w:rsid w:val="00C80F6B"/>
    <w:rsid w:val="00C81086"/>
    <w:rsid w:val="00C81092"/>
    <w:rsid w:val="00C8136D"/>
    <w:rsid w:val="00C8158E"/>
    <w:rsid w:val="00C8168D"/>
    <w:rsid w:val="00C827C1"/>
    <w:rsid w:val="00C828D4"/>
    <w:rsid w:val="00C83032"/>
    <w:rsid w:val="00C83472"/>
    <w:rsid w:val="00C83507"/>
    <w:rsid w:val="00C83551"/>
    <w:rsid w:val="00C835D1"/>
    <w:rsid w:val="00C83737"/>
    <w:rsid w:val="00C83B9E"/>
    <w:rsid w:val="00C83BEE"/>
    <w:rsid w:val="00C83D8A"/>
    <w:rsid w:val="00C83FC0"/>
    <w:rsid w:val="00C84528"/>
    <w:rsid w:val="00C84691"/>
    <w:rsid w:val="00C84D5F"/>
    <w:rsid w:val="00C84D86"/>
    <w:rsid w:val="00C84DA2"/>
    <w:rsid w:val="00C84DB9"/>
    <w:rsid w:val="00C8510F"/>
    <w:rsid w:val="00C85159"/>
    <w:rsid w:val="00C852F5"/>
    <w:rsid w:val="00C854C2"/>
    <w:rsid w:val="00C855E1"/>
    <w:rsid w:val="00C8575B"/>
    <w:rsid w:val="00C85B5E"/>
    <w:rsid w:val="00C85CBD"/>
    <w:rsid w:val="00C85CF2"/>
    <w:rsid w:val="00C85E75"/>
    <w:rsid w:val="00C86236"/>
    <w:rsid w:val="00C86653"/>
    <w:rsid w:val="00C86951"/>
    <w:rsid w:val="00C86B91"/>
    <w:rsid w:val="00C86C50"/>
    <w:rsid w:val="00C873B6"/>
    <w:rsid w:val="00C8751E"/>
    <w:rsid w:val="00C8762C"/>
    <w:rsid w:val="00C8767A"/>
    <w:rsid w:val="00C877EB"/>
    <w:rsid w:val="00C87F78"/>
    <w:rsid w:val="00C90649"/>
    <w:rsid w:val="00C90A2A"/>
    <w:rsid w:val="00C91239"/>
    <w:rsid w:val="00C91921"/>
    <w:rsid w:val="00C91BA2"/>
    <w:rsid w:val="00C91DE6"/>
    <w:rsid w:val="00C920AF"/>
    <w:rsid w:val="00C92566"/>
    <w:rsid w:val="00C93320"/>
    <w:rsid w:val="00C9339F"/>
    <w:rsid w:val="00C936DE"/>
    <w:rsid w:val="00C93CD9"/>
    <w:rsid w:val="00C93DC4"/>
    <w:rsid w:val="00C93E54"/>
    <w:rsid w:val="00C93F8E"/>
    <w:rsid w:val="00C9403E"/>
    <w:rsid w:val="00C94555"/>
    <w:rsid w:val="00C94783"/>
    <w:rsid w:val="00C9512D"/>
    <w:rsid w:val="00C95984"/>
    <w:rsid w:val="00C95C1F"/>
    <w:rsid w:val="00C96499"/>
    <w:rsid w:val="00C9649F"/>
    <w:rsid w:val="00C972BA"/>
    <w:rsid w:val="00C972E5"/>
    <w:rsid w:val="00C978C3"/>
    <w:rsid w:val="00C97A4C"/>
    <w:rsid w:val="00C97A52"/>
    <w:rsid w:val="00C97C61"/>
    <w:rsid w:val="00CA00F9"/>
    <w:rsid w:val="00CA0E3B"/>
    <w:rsid w:val="00CA102E"/>
    <w:rsid w:val="00CA127A"/>
    <w:rsid w:val="00CA161E"/>
    <w:rsid w:val="00CA184E"/>
    <w:rsid w:val="00CA270B"/>
    <w:rsid w:val="00CA2797"/>
    <w:rsid w:val="00CA2961"/>
    <w:rsid w:val="00CA2CCE"/>
    <w:rsid w:val="00CA3828"/>
    <w:rsid w:val="00CA3AE3"/>
    <w:rsid w:val="00CA40CC"/>
    <w:rsid w:val="00CA44BB"/>
    <w:rsid w:val="00CA4620"/>
    <w:rsid w:val="00CA4B68"/>
    <w:rsid w:val="00CA5359"/>
    <w:rsid w:val="00CA54BD"/>
    <w:rsid w:val="00CA554D"/>
    <w:rsid w:val="00CA6301"/>
    <w:rsid w:val="00CA655F"/>
    <w:rsid w:val="00CA65D7"/>
    <w:rsid w:val="00CA69AB"/>
    <w:rsid w:val="00CA6AE2"/>
    <w:rsid w:val="00CA6F4C"/>
    <w:rsid w:val="00CA7080"/>
    <w:rsid w:val="00CA70D4"/>
    <w:rsid w:val="00CA7867"/>
    <w:rsid w:val="00CA7E26"/>
    <w:rsid w:val="00CB0059"/>
    <w:rsid w:val="00CB0279"/>
    <w:rsid w:val="00CB0792"/>
    <w:rsid w:val="00CB126E"/>
    <w:rsid w:val="00CB14ED"/>
    <w:rsid w:val="00CB1841"/>
    <w:rsid w:val="00CB2966"/>
    <w:rsid w:val="00CB2C1E"/>
    <w:rsid w:val="00CB2D79"/>
    <w:rsid w:val="00CB3143"/>
    <w:rsid w:val="00CB3506"/>
    <w:rsid w:val="00CB3547"/>
    <w:rsid w:val="00CB3878"/>
    <w:rsid w:val="00CB38AA"/>
    <w:rsid w:val="00CB3AA6"/>
    <w:rsid w:val="00CB4472"/>
    <w:rsid w:val="00CB46B2"/>
    <w:rsid w:val="00CB4B9C"/>
    <w:rsid w:val="00CB4F4A"/>
    <w:rsid w:val="00CB50D7"/>
    <w:rsid w:val="00CB5252"/>
    <w:rsid w:val="00CB5659"/>
    <w:rsid w:val="00CB5759"/>
    <w:rsid w:val="00CB5968"/>
    <w:rsid w:val="00CB5FDE"/>
    <w:rsid w:val="00CB618C"/>
    <w:rsid w:val="00CB61AF"/>
    <w:rsid w:val="00CB63A8"/>
    <w:rsid w:val="00CB66E8"/>
    <w:rsid w:val="00CB6A35"/>
    <w:rsid w:val="00CB7177"/>
    <w:rsid w:val="00CB7A26"/>
    <w:rsid w:val="00CC0100"/>
    <w:rsid w:val="00CC02B2"/>
    <w:rsid w:val="00CC02E7"/>
    <w:rsid w:val="00CC0519"/>
    <w:rsid w:val="00CC08BE"/>
    <w:rsid w:val="00CC0D54"/>
    <w:rsid w:val="00CC1071"/>
    <w:rsid w:val="00CC1998"/>
    <w:rsid w:val="00CC1A40"/>
    <w:rsid w:val="00CC1BBB"/>
    <w:rsid w:val="00CC1CFD"/>
    <w:rsid w:val="00CC1EB0"/>
    <w:rsid w:val="00CC257F"/>
    <w:rsid w:val="00CC25F5"/>
    <w:rsid w:val="00CC2629"/>
    <w:rsid w:val="00CC2BA0"/>
    <w:rsid w:val="00CC2E16"/>
    <w:rsid w:val="00CC382D"/>
    <w:rsid w:val="00CC3DE5"/>
    <w:rsid w:val="00CC45CC"/>
    <w:rsid w:val="00CC4946"/>
    <w:rsid w:val="00CC4C1A"/>
    <w:rsid w:val="00CC4C47"/>
    <w:rsid w:val="00CC51A2"/>
    <w:rsid w:val="00CC585A"/>
    <w:rsid w:val="00CC66FB"/>
    <w:rsid w:val="00CC6772"/>
    <w:rsid w:val="00CC694E"/>
    <w:rsid w:val="00CC6D6A"/>
    <w:rsid w:val="00CC6E42"/>
    <w:rsid w:val="00CC6FEC"/>
    <w:rsid w:val="00CC709A"/>
    <w:rsid w:val="00CC79E2"/>
    <w:rsid w:val="00CC7CE3"/>
    <w:rsid w:val="00CC7E20"/>
    <w:rsid w:val="00CC7F27"/>
    <w:rsid w:val="00CD01E4"/>
    <w:rsid w:val="00CD0249"/>
    <w:rsid w:val="00CD0514"/>
    <w:rsid w:val="00CD07C1"/>
    <w:rsid w:val="00CD07F1"/>
    <w:rsid w:val="00CD0CF8"/>
    <w:rsid w:val="00CD0EBD"/>
    <w:rsid w:val="00CD14A1"/>
    <w:rsid w:val="00CD167B"/>
    <w:rsid w:val="00CD16D7"/>
    <w:rsid w:val="00CD2906"/>
    <w:rsid w:val="00CD294B"/>
    <w:rsid w:val="00CD2E96"/>
    <w:rsid w:val="00CD306F"/>
    <w:rsid w:val="00CD3BE2"/>
    <w:rsid w:val="00CD3C62"/>
    <w:rsid w:val="00CD4139"/>
    <w:rsid w:val="00CD41CF"/>
    <w:rsid w:val="00CD44D0"/>
    <w:rsid w:val="00CD516A"/>
    <w:rsid w:val="00CD51EA"/>
    <w:rsid w:val="00CD5325"/>
    <w:rsid w:val="00CD5389"/>
    <w:rsid w:val="00CD5E15"/>
    <w:rsid w:val="00CD5F34"/>
    <w:rsid w:val="00CD608A"/>
    <w:rsid w:val="00CD6349"/>
    <w:rsid w:val="00CD63FC"/>
    <w:rsid w:val="00CD659E"/>
    <w:rsid w:val="00CD6782"/>
    <w:rsid w:val="00CD6B47"/>
    <w:rsid w:val="00CD6F93"/>
    <w:rsid w:val="00CD6FFF"/>
    <w:rsid w:val="00CD706E"/>
    <w:rsid w:val="00CD7216"/>
    <w:rsid w:val="00CD72D4"/>
    <w:rsid w:val="00CD7309"/>
    <w:rsid w:val="00CD7D8C"/>
    <w:rsid w:val="00CD7E06"/>
    <w:rsid w:val="00CD7E93"/>
    <w:rsid w:val="00CD7FE0"/>
    <w:rsid w:val="00CE0537"/>
    <w:rsid w:val="00CE0AA1"/>
    <w:rsid w:val="00CE0CB8"/>
    <w:rsid w:val="00CE131C"/>
    <w:rsid w:val="00CE1417"/>
    <w:rsid w:val="00CE1419"/>
    <w:rsid w:val="00CE149B"/>
    <w:rsid w:val="00CE19FF"/>
    <w:rsid w:val="00CE1D5E"/>
    <w:rsid w:val="00CE1F66"/>
    <w:rsid w:val="00CE2523"/>
    <w:rsid w:val="00CE2F36"/>
    <w:rsid w:val="00CE3653"/>
    <w:rsid w:val="00CE37BC"/>
    <w:rsid w:val="00CE4015"/>
    <w:rsid w:val="00CE40D5"/>
    <w:rsid w:val="00CE43F7"/>
    <w:rsid w:val="00CE4542"/>
    <w:rsid w:val="00CE4E95"/>
    <w:rsid w:val="00CE52B5"/>
    <w:rsid w:val="00CE5754"/>
    <w:rsid w:val="00CE5852"/>
    <w:rsid w:val="00CE5E05"/>
    <w:rsid w:val="00CE7707"/>
    <w:rsid w:val="00CF0432"/>
    <w:rsid w:val="00CF0582"/>
    <w:rsid w:val="00CF05AB"/>
    <w:rsid w:val="00CF063B"/>
    <w:rsid w:val="00CF0911"/>
    <w:rsid w:val="00CF0A65"/>
    <w:rsid w:val="00CF1096"/>
    <w:rsid w:val="00CF10C0"/>
    <w:rsid w:val="00CF11BF"/>
    <w:rsid w:val="00CF1D7B"/>
    <w:rsid w:val="00CF1E70"/>
    <w:rsid w:val="00CF1E85"/>
    <w:rsid w:val="00CF1F60"/>
    <w:rsid w:val="00CF22A9"/>
    <w:rsid w:val="00CF263E"/>
    <w:rsid w:val="00CF26D6"/>
    <w:rsid w:val="00CF2C96"/>
    <w:rsid w:val="00CF2DB2"/>
    <w:rsid w:val="00CF320B"/>
    <w:rsid w:val="00CF3291"/>
    <w:rsid w:val="00CF34B5"/>
    <w:rsid w:val="00CF3BC6"/>
    <w:rsid w:val="00CF3BD9"/>
    <w:rsid w:val="00CF3E65"/>
    <w:rsid w:val="00CF4139"/>
    <w:rsid w:val="00CF490B"/>
    <w:rsid w:val="00CF4999"/>
    <w:rsid w:val="00CF4CB1"/>
    <w:rsid w:val="00CF4F06"/>
    <w:rsid w:val="00CF5079"/>
    <w:rsid w:val="00CF5118"/>
    <w:rsid w:val="00CF534A"/>
    <w:rsid w:val="00CF5EC7"/>
    <w:rsid w:val="00CF709F"/>
    <w:rsid w:val="00CF7309"/>
    <w:rsid w:val="00CF74A8"/>
    <w:rsid w:val="00CF74C0"/>
    <w:rsid w:val="00CF7950"/>
    <w:rsid w:val="00CF7AB4"/>
    <w:rsid w:val="00D004F2"/>
    <w:rsid w:val="00D008EA"/>
    <w:rsid w:val="00D00B85"/>
    <w:rsid w:val="00D00BDB"/>
    <w:rsid w:val="00D00F8A"/>
    <w:rsid w:val="00D011A7"/>
    <w:rsid w:val="00D0140A"/>
    <w:rsid w:val="00D01735"/>
    <w:rsid w:val="00D02150"/>
    <w:rsid w:val="00D0217C"/>
    <w:rsid w:val="00D0249F"/>
    <w:rsid w:val="00D02992"/>
    <w:rsid w:val="00D02C38"/>
    <w:rsid w:val="00D03826"/>
    <w:rsid w:val="00D038F5"/>
    <w:rsid w:val="00D03975"/>
    <w:rsid w:val="00D03D6E"/>
    <w:rsid w:val="00D04133"/>
    <w:rsid w:val="00D0474D"/>
    <w:rsid w:val="00D049CE"/>
    <w:rsid w:val="00D04B31"/>
    <w:rsid w:val="00D04DF1"/>
    <w:rsid w:val="00D04ED7"/>
    <w:rsid w:val="00D057F8"/>
    <w:rsid w:val="00D0681F"/>
    <w:rsid w:val="00D0685B"/>
    <w:rsid w:val="00D06B5C"/>
    <w:rsid w:val="00D07592"/>
    <w:rsid w:val="00D0791F"/>
    <w:rsid w:val="00D105DF"/>
    <w:rsid w:val="00D10998"/>
    <w:rsid w:val="00D10A94"/>
    <w:rsid w:val="00D10E6C"/>
    <w:rsid w:val="00D1151B"/>
    <w:rsid w:val="00D116B6"/>
    <w:rsid w:val="00D1231D"/>
    <w:rsid w:val="00D12612"/>
    <w:rsid w:val="00D1292A"/>
    <w:rsid w:val="00D1336A"/>
    <w:rsid w:val="00D13911"/>
    <w:rsid w:val="00D13D6A"/>
    <w:rsid w:val="00D13E5A"/>
    <w:rsid w:val="00D14B64"/>
    <w:rsid w:val="00D14FB0"/>
    <w:rsid w:val="00D1546A"/>
    <w:rsid w:val="00D155E2"/>
    <w:rsid w:val="00D157EB"/>
    <w:rsid w:val="00D159F9"/>
    <w:rsid w:val="00D15A54"/>
    <w:rsid w:val="00D15B0B"/>
    <w:rsid w:val="00D15C13"/>
    <w:rsid w:val="00D15DB3"/>
    <w:rsid w:val="00D15E03"/>
    <w:rsid w:val="00D15EE4"/>
    <w:rsid w:val="00D1604E"/>
    <w:rsid w:val="00D1668F"/>
    <w:rsid w:val="00D16C77"/>
    <w:rsid w:val="00D16F4E"/>
    <w:rsid w:val="00D171EA"/>
    <w:rsid w:val="00D173F6"/>
    <w:rsid w:val="00D1752A"/>
    <w:rsid w:val="00D17E6B"/>
    <w:rsid w:val="00D20132"/>
    <w:rsid w:val="00D20C59"/>
    <w:rsid w:val="00D20E27"/>
    <w:rsid w:val="00D20EE3"/>
    <w:rsid w:val="00D20FF3"/>
    <w:rsid w:val="00D21075"/>
    <w:rsid w:val="00D210EA"/>
    <w:rsid w:val="00D22868"/>
    <w:rsid w:val="00D2286C"/>
    <w:rsid w:val="00D22B23"/>
    <w:rsid w:val="00D233BE"/>
    <w:rsid w:val="00D233E5"/>
    <w:rsid w:val="00D233F3"/>
    <w:rsid w:val="00D23466"/>
    <w:rsid w:val="00D23696"/>
    <w:rsid w:val="00D23765"/>
    <w:rsid w:val="00D23B74"/>
    <w:rsid w:val="00D23C4B"/>
    <w:rsid w:val="00D23D43"/>
    <w:rsid w:val="00D23D9E"/>
    <w:rsid w:val="00D24056"/>
    <w:rsid w:val="00D244B5"/>
    <w:rsid w:val="00D24A5E"/>
    <w:rsid w:val="00D24B80"/>
    <w:rsid w:val="00D24E9D"/>
    <w:rsid w:val="00D2552D"/>
    <w:rsid w:val="00D2579C"/>
    <w:rsid w:val="00D26051"/>
    <w:rsid w:val="00D2615B"/>
    <w:rsid w:val="00D264E4"/>
    <w:rsid w:val="00D26FEA"/>
    <w:rsid w:val="00D27076"/>
    <w:rsid w:val="00D270A4"/>
    <w:rsid w:val="00D27298"/>
    <w:rsid w:val="00D27334"/>
    <w:rsid w:val="00D274B3"/>
    <w:rsid w:val="00D274BB"/>
    <w:rsid w:val="00D27509"/>
    <w:rsid w:val="00D2751D"/>
    <w:rsid w:val="00D278ED"/>
    <w:rsid w:val="00D27A67"/>
    <w:rsid w:val="00D27A74"/>
    <w:rsid w:val="00D305F2"/>
    <w:rsid w:val="00D30642"/>
    <w:rsid w:val="00D30A11"/>
    <w:rsid w:val="00D311D3"/>
    <w:rsid w:val="00D31666"/>
    <w:rsid w:val="00D3187F"/>
    <w:rsid w:val="00D31ACF"/>
    <w:rsid w:val="00D31FB2"/>
    <w:rsid w:val="00D32609"/>
    <w:rsid w:val="00D32A26"/>
    <w:rsid w:val="00D32A33"/>
    <w:rsid w:val="00D32ACA"/>
    <w:rsid w:val="00D330C8"/>
    <w:rsid w:val="00D339A7"/>
    <w:rsid w:val="00D33BD0"/>
    <w:rsid w:val="00D33F44"/>
    <w:rsid w:val="00D34399"/>
    <w:rsid w:val="00D344B3"/>
    <w:rsid w:val="00D34532"/>
    <w:rsid w:val="00D34E1B"/>
    <w:rsid w:val="00D35471"/>
    <w:rsid w:val="00D354D3"/>
    <w:rsid w:val="00D35BC6"/>
    <w:rsid w:val="00D35FAD"/>
    <w:rsid w:val="00D36A60"/>
    <w:rsid w:val="00D36BD5"/>
    <w:rsid w:val="00D36D70"/>
    <w:rsid w:val="00D36E2F"/>
    <w:rsid w:val="00D37155"/>
    <w:rsid w:val="00D3728F"/>
    <w:rsid w:val="00D376E3"/>
    <w:rsid w:val="00D37921"/>
    <w:rsid w:val="00D37F2A"/>
    <w:rsid w:val="00D40142"/>
    <w:rsid w:val="00D4038B"/>
    <w:rsid w:val="00D40C79"/>
    <w:rsid w:val="00D41218"/>
    <w:rsid w:val="00D41313"/>
    <w:rsid w:val="00D414A2"/>
    <w:rsid w:val="00D416EC"/>
    <w:rsid w:val="00D4191E"/>
    <w:rsid w:val="00D41AFF"/>
    <w:rsid w:val="00D41C77"/>
    <w:rsid w:val="00D420B8"/>
    <w:rsid w:val="00D42A15"/>
    <w:rsid w:val="00D436B7"/>
    <w:rsid w:val="00D437A4"/>
    <w:rsid w:val="00D4386D"/>
    <w:rsid w:val="00D43FA3"/>
    <w:rsid w:val="00D449B7"/>
    <w:rsid w:val="00D450E7"/>
    <w:rsid w:val="00D45367"/>
    <w:rsid w:val="00D456F9"/>
    <w:rsid w:val="00D457F4"/>
    <w:rsid w:val="00D458B0"/>
    <w:rsid w:val="00D45BB3"/>
    <w:rsid w:val="00D467F7"/>
    <w:rsid w:val="00D46827"/>
    <w:rsid w:val="00D470FD"/>
    <w:rsid w:val="00D4753A"/>
    <w:rsid w:val="00D47549"/>
    <w:rsid w:val="00D47702"/>
    <w:rsid w:val="00D478D2"/>
    <w:rsid w:val="00D47994"/>
    <w:rsid w:val="00D479CA"/>
    <w:rsid w:val="00D47B9B"/>
    <w:rsid w:val="00D47E60"/>
    <w:rsid w:val="00D50C1E"/>
    <w:rsid w:val="00D51700"/>
    <w:rsid w:val="00D5194B"/>
    <w:rsid w:val="00D51A0B"/>
    <w:rsid w:val="00D51D8F"/>
    <w:rsid w:val="00D521EF"/>
    <w:rsid w:val="00D5228C"/>
    <w:rsid w:val="00D525DB"/>
    <w:rsid w:val="00D5264F"/>
    <w:rsid w:val="00D52D72"/>
    <w:rsid w:val="00D53F5F"/>
    <w:rsid w:val="00D54500"/>
    <w:rsid w:val="00D545CE"/>
    <w:rsid w:val="00D546B3"/>
    <w:rsid w:val="00D549D3"/>
    <w:rsid w:val="00D5589F"/>
    <w:rsid w:val="00D55A38"/>
    <w:rsid w:val="00D55D2A"/>
    <w:rsid w:val="00D55ED6"/>
    <w:rsid w:val="00D56014"/>
    <w:rsid w:val="00D56B12"/>
    <w:rsid w:val="00D57486"/>
    <w:rsid w:val="00D5749C"/>
    <w:rsid w:val="00D578CD"/>
    <w:rsid w:val="00D57CB3"/>
    <w:rsid w:val="00D57E9E"/>
    <w:rsid w:val="00D57FDC"/>
    <w:rsid w:val="00D6019E"/>
    <w:rsid w:val="00D60309"/>
    <w:rsid w:val="00D604E8"/>
    <w:rsid w:val="00D61085"/>
    <w:rsid w:val="00D612FF"/>
    <w:rsid w:val="00D618AC"/>
    <w:rsid w:val="00D61D91"/>
    <w:rsid w:val="00D62052"/>
    <w:rsid w:val="00D62634"/>
    <w:rsid w:val="00D6328C"/>
    <w:rsid w:val="00D63696"/>
    <w:rsid w:val="00D63C86"/>
    <w:rsid w:val="00D63CE1"/>
    <w:rsid w:val="00D63D73"/>
    <w:rsid w:val="00D63DAE"/>
    <w:rsid w:val="00D63F56"/>
    <w:rsid w:val="00D640DA"/>
    <w:rsid w:val="00D64B9E"/>
    <w:rsid w:val="00D64FC9"/>
    <w:rsid w:val="00D6511E"/>
    <w:rsid w:val="00D651DF"/>
    <w:rsid w:val="00D6542B"/>
    <w:rsid w:val="00D65752"/>
    <w:rsid w:val="00D65A38"/>
    <w:rsid w:val="00D65B74"/>
    <w:rsid w:val="00D65D6D"/>
    <w:rsid w:val="00D66397"/>
    <w:rsid w:val="00D663F1"/>
    <w:rsid w:val="00D66427"/>
    <w:rsid w:val="00D66745"/>
    <w:rsid w:val="00D669C0"/>
    <w:rsid w:val="00D66A97"/>
    <w:rsid w:val="00D66E1E"/>
    <w:rsid w:val="00D674D1"/>
    <w:rsid w:val="00D674D7"/>
    <w:rsid w:val="00D6750C"/>
    <w:rsid w:val="00D6759F"/>
    <w:rsid w:val="00D6771E"/>
    <w:rsid w:val="00D677F2"/>
    <w:rsid w:val="00D67803"/>
    <w:rsid w:val="00D67CCD"/>
    <w:rsid w:val="00D67ECD"/>
    <w:rsid w:val="00D67F89"/>
    <w:rsid w:val="00D702ED"/>
    <w:rsid w:val="00D7063B"/>
    <w:rsid w:val="00D709D5"/>
    <w:rsid w:val="00D70EC5"/>
    <w:rsid w:val="00D71382"/>
    <w:rsid w:val="00D714BD"/>
    <w:rsid w:val="00D71D65"/>
    <w:rsid w:val="00D725AC"/>
    <w:rsid w:val="00D73413"/>
    <w:rsid w:val="00D7377F"/>
    <w:rsid w:val="00D737D4"/>
    <w:rsid w:val="00D738E5"/>
    <w:rsid w:val="00D7395D"/>
    <w:rsid w:val="00D74014"/>
    <w:rsid w:val="00D741BD"/>
    <w:rsid w:val="00D7484E"/>
    <w:rsid w:val="00D74871"/>
    <w:rsid w:val="00D74A1A"/>
    <w:rsid w:val="00D74A9F"/>
    <w:rsid w:val="00D74FFC"/>
    <w:rsid w:val="00D7501B"/>
    <w:rsid w:val="00D755DF"/>
    <w:rsid w:val="00D755EE"/>
    <w:rsid w:val="00D75722"/>
    <w:rsid w:val="00D757ED"/>
    <w:rsid w:val="00D758DC"/>
    <w:rsid w:val="00D75959"/>
    <w:rsid w:val="00D75968"/>
    <w:rsid w:val="00D75F94"/>
    <w:rsid w:val="00D76206"/>
    <w:rsid w:val="00D76443"/>
    <w:rsid w:val="00D76633"/>
    <w:rsid w:val="00D76840"/>
    <w:rsid w:val="00D76AB0"/>
    <w:rsid w:val="00D779F2"/>
    <w:rsid w:val="00D803C6"/>
    <w:rsid w:val="00D80641"/>
    <w:rsid w:val="00D806CF"/>
    <w:rsid w:val="00D810D2"/>
    <w:rsid w:val="00D8119D"/>
    <w:rsid w:val="00D81A39"/>
    <w:rsid w:val="00D81F9A"/>
    <w:rsid w:val="00D820E2"/>
    <w:rsid w:val="00D8210A"/>
    <w:rsid w:val="00D82241"/>
    <w:rsid w:val="00D822E6"/>
    <w:rsid w:val="00D8283A"/>
    <w:rsid w:val="00D82A79"/>
    <w:rsid w:val="00D83924"/>
    <w:rsid w:val="00D83F3B"/>
    <w:rsid w:val="00D84172"/>
    <w:rsid w:val="00D847C2"/>
    <w:rsid w:val="00D85031"/>
    <w:rsid w:val="00D85329"/>
    <w:rsid w:val="00D8548A"/>
    <w:rsid w:val="00D85876"/>
    <w:rsid w:val="00D859D7"/>
    <w:rsid w:val="00D85D91"/>
    <w:rsid w:val="00D860A9"/>
    <w:rsid w:val="00D8668D"/>
    <w:rsid w:val="00D867EB"/>
    <w:rsid w:val="00D86837"/>
    <w:rsid w:val="00D86B3E"/>
    <w:rsid w:val="00D87606"/>
    <w:rsid w:val="00D87704"/>
    <w:rsid w:val="00D87B28"/>
    <w:rsid w:val="00D87BA2"/>
    <w:rsid w:val="00D87F2C"/>
    <w:rsid w:val="00D91383"/>
    <w:rsid w:val="00D91967"/>
    <w:rsid w:val="00D91A08"/>
    <w:rsid w:val="00D91AF1"/>
    <w:rsid w:val="00D91D93"/>
    <w:rsid w:val="00D92A22"/>
    <w:rsid w:val="00D92DBC"/>
    <w:rsid w:val="00D9327F"/>
    <w:rsid w:val="00D936A2"/>
    <w:rsid w:val="00D936CC"/>
    <w:rsid w:val="00D93B9C"/>
    <w:rsid w:val="00D93EC4"/>
    <w:rsid w:val="00D940F3"/>
    <w:rsid w:val="00D941FB"/>
    <w:rsid w:val="00D946F9"/>
    <w:rsid w:val="00D94AC7"/>
    <w:rsid w:val="00D94B74"/>
    <w:rsid w:val="00D94D23"/>
    <w:rsid w:val="00D95274"/>
    <w:rsid w:val="00D954EE"/>
    <w:rsid w:val="00D956B1"/>
    <w:rsid w:val="00D958D6"/>
    <w:rsid w:val="00D96386"/>
    <w:rsid w:val="00D96B85"/>
    <w:rsid w:val="00D96BA4"/>
    <w:rsid w:val="00D96C11"/>
    <w:rsid w:val="00D96F72"/>
    <w:rsid w:val="00D972D0"/>
    <w:rsid w:val="00D973DF"/>
    <w:rsid w:val="00D97592"/>
    <w:rsid w:val="00DA0165"/>
    <w:rsid w:val="00DA0168"/>
    <w:rsid w:val="00DA0193"/>
    <w:rsid w:val="00DA0691"/>
    <w:rsid w:val="00DA075C"/>
    <w:rsid w:val="00DA08C5"/>
    <w:rsid w:val="00DA0F27"/>
    <w:rsid w:val="00DA1125"/>
    <w:rsid w:val="00DA120E"/>
    <w:rsid w:val="00DA12A5"/>
    <w:rsid w:val="00DA1789"/>
    <w:rsid w:val="00DA2015"/>
    <w:rsid w:val="00DA2354"/>
    <w:rsid w:val="00DA2943"/>
    <w:rsid w:val="00DA3129"/>
    <w:rsid w:val="00DA3532"/>
    <w:rsid w:val="00DA373C"/>
    <w:rsid w:val="00DA380D"/>
    <w:rsid w:val="00DA3AE1"/>
    <w:rsid w:val="00DA3CBD"/>
    <w:rsid w:val="00DA3D79"/>
    <w:rsid w:val="00DA3E93"/>
    <w:rsid w:val="00DA44FD"/>
    <w:rsid w:val="00DA532F"/>
    <w:rsid w:val="00DA55A6"/>
    <w:rsid w:val="00DA564E"/>
    <w:rsid w:val="00DA6091"/>
    <w:rsid w:val="00DA6396"/>
    <w:rsid w:val="00DA6812"/>
    <w:rsid w:val="00DA695B"/>
    <w:rsid w:val="00DA6B85"/>
    <w:rsid w:val="00DA73E5"/>
    <w:rsid w:val="00DA7882"/>
    <w:rsid w:val="00DB00FC"/>
    <w:rsid w:val="00DB03E5"/>
    <w:rsid w:val="00DB06A1"/>
    <w:rsid w:val="00DB0CEC"/>
    <w:rsid w:val="00DB1204"/>
    <w:rsid w:val="00DB1480"/>
    <w:rsid w:val="00DB151A"/>
    <w:rsid w:val="00DB199E"/>
    <w:rsid w:val="00DB1BC8"/>
    <w:rsid w:val="00DB1D10"/>
    <w:rsid w:val="00DB1EAD"/>
    <w:rsid w:val="00DB20B7"/>
    <w:rsid w:val="00DB24C9"/>
    <w:rsid w:val="00DB2638"/>
    <w:rsid w:val="00DB270B"/>
    <w:rsid w:val="00DB399E"/>
    <w:rsid w:val="00DB3A04"/>
    <w:rsid w:val="00DB4166"/>
    <w:rsid w:val="00DB4593"/>
    <w:rsid w:val="00DB482D"/>
    <w:rsid w:val="00DB4E90"/>
    <w:rsid w:val="00DB6206"/>
    <w:rsid w:val="00DB6785"/>
    <w:rsid w:val="00DB67C9"/>
    <w:rsid w:val="00DB6BE7"/>
    <w:rsid w:val="00DB6E70"/>
    <w:rsid w:val="00DB6F1A"/>
    <w:rsid w:val="00DB6FD9"/>
    <w:rsid w:val="00DB70AD"/>
    <w:rsid w:val="00DB7399"/>
    <w:rsid w:val="00DB7801"/>
    <w:rsid w:val="00DB786A"/>
    <w:rsid w:val="00DB7BAB"/>
    <w:rsid w:val="00DB7DFB"/>
    <w:rsid w:val="00DC0228"/>
    <w:rsid w:val="00DC0789"/>
    <w:rsid w:val="00DC0C95"/>
    <w:rsid w:val="00DC0F03"/>
    <w:rsid w:val="00DC1A92"/>
    <w:rsid w:val="00DC1B07"/>
    <w:rsid w:val="00DC3010"/>
    <w:rsid w:val="00DC336E"/>
    <w:rsid w:val="00DC3920"/>
    <w:rsid w:val="00DC3D81"/>
    <w:rsid w:val="00DC42DD"/>
    <w:rsid w:val="00DC4545"/>
    <w:rsid w:val="00DC4782"/>
    <w:rsid w:val="00DC4DA9"/>
    <w:rsid w:val="00DC4E9B"/>
    <w:rsid w:val="00DC4FAD"/>
    <w:rsid w:val="00DC5D54"/>
    <w:rsid w:val="00DC5E16"/>
    <w:rsid w:val="00DC5E58"/>
    <w:rsid w:val="00DC62B4"/>
    <w:rsid w:val="00DC6D6D"/>
    <w:rsid w:val="00DC7412"/>
    <w:rsid w:val="00DC748F"/>
    <w:rsid w:val="00DC75B5"/>
    <w:rsid w:val="00DC76F4"/>
    <w:rsid w:val="00DC793F"/>
    <w:rsid w:val="00DC7B95"/>
    <w:rsid w:val="00DC7F30"/>
    <w:rsid w:val="00DD0036"/>
    <w:rsid w:val="00DD012D"/>
    <w:rsid w:val="00DD0946"/>
    <w:rsid w:val="00DD0CE8"/>
    <w:rsid w:val="00DD1057"/>
    <w:rsid w:val="00DD125A"/>
    <w:rsid w:val="00DD192E"/>
    <w:rsid w:val="00DD1A24"/>
    <w:rsid w:val="00DD2548"/>
    <w:rsid w:val="00DD2735"/>
    <w:rsid w:val="00DD291C"/>
    <w:rsid w:val="00DD2954"/>
    <w:rsid w:val="00DD2A86"/>
    <w:rsid w:val="00DD2E7E"/>
    <w:rsid w:val="00DD36A1"/>
    <w:rsid w:val="00DD3D0C"/>
    <w:rsid w:val="00DD40B9"/>
    <w:rsid w:val="00DD454B"/>
    <w:rsid w:val="00DD4A16"/>
    <w:rsid w:val="00DD5202"/>
    <w:rsid w:val="00DD52F4"/>
    <w:rsid w:val="00DD55A5"/>
    <w:rsid w:val="00DD570D"/>
    <w:rsid w:val="00DD5CC7"/>
    <w:rsid w:val="00DD60BF"/>
    <w:rsid w:val="00DD64CE"/>
    <w:rsid w:val="00DD6564"/>
    <w:rsid w:val="00DD6580"/>
    <w:rsid w:val="00DD6956"/>
    <w:rsid w:val="00DD6B06"/>
    <w:rsid w:val="00DD70D0"/>
    <w:rsid w:val="00DD73A8"/>
    <w:rsid w:val="00DD744E"/>
    <w:rsid w:val="00DD77F8"/>
    <w:rsid w:val="00DD79AB"/>
    <w:rsid w:val="00DD7AB2"/>
    <w:rsid w:val="00DE01A6"/>
    <w:rsid w:val="00DE0702"/>
    <w:rsid w:val="00DE0ADE"/>
    <w:rsid w:val="00DE0CAA"/>
    <w:rsid w:val="00DE0DC2"/>
    <w:rsid w:val="00DE1193"/>
    <w:rsid w:val="00DE1771"/>
    <w:rsid w:val="00DE1D24"/>
    <w:rsid w:val="00DE1E44"/>
    <w:rsid w:val="00DE2078"/>
    <w:rsid w:val="00DE2130"/>
    <w:rsid w:val="00DE21B9"/>
    <w:rsid w:val="00DE220D"/>
    <w:rsid w:val="00DE2220"/>
    <w:rsid w:val="00DE2783"/>
    <w:rsid w:val="00DE27C8"/>
    <w:rsid w:val="00DE2879"/>
    <w:rsid w:val="00DE29AE"/>
    <w:rsid w:val="00DE2C6C"/>
    <w:rsid w:val="00DE2CA9"/>
    <w:rsid w:val="00DE3294"/>
    <w:rsid w:val="00DE35AD"/>
    <w:rsid w:val="00DE36F2"/>
    <w:rsid w:val="00DE3A13"/>
    <w:rsid w:val="00DE3DAE"/>
    <w:rsid w:val="00DE41C0"/>
    <w:rsid w:val="00DE4218"/>
    <w:rsid w:val="00DE4D7D"/>
    <w:rsid w:val="00DE4F6E"/>
    <w:rsid w:val="00DE4FB4"/>
    <w:rsid w:val="00DE5069"/>
    <w:rsid w:val="00DE580A"/>
    <w:rsid w:val="00DE5FF5"/>
    <w:rsid w:val="00DE6842"/>
    <w:rsid w:val="00DE6A0D"/>
    <w:rsid w:val="00DE6B23"/>
    <w:rsid w:val="00DE6FF3"/>
    <w:rsid w:val="00DE7625"/>
    <w:rsid w:val="00DE77A5"/>
    <w:rsid w:val="00DE77A9"/>
    <w:rsid w:val="00DE7AA3"/>
    <w:rsid w:val="00DE7B08"/>
    <w:rsid w:val="00DF040F"/>
    <w:rsid w:val="00DF0714"/>
    <w:rsid w:val="00DF075D"/>
    <w:rsid w:val="00DF0B98"/>
    <w:rsid w:val="00DF0FCE"/>
    <w:rsid w:val="00DF108C"/>
    <w:rsid w:val="00DF1255"/>
    <w:rsid w:val="00DF12D0"/>
    <w:rsid w:val="00DF13DC"/>
    <w:rsid w:val="00DF167E"/>
    <w:rsid w:val="00DF185C"/>
    <w:rsid w:val="00DF1A19"/>
    <w:rsid w:val="00DF1F3B"/>
    <w:rsid w:val="00DF244B"/>
    <w:rsid w:val="00DF2B19"/>
    <w:rsid w:val="00DF32C4"/>
    <w:rsid w:val="00DF36BE"/>
    <w:rsid w:val="00DF3B2F"/>
    <w:rsid w:val="00DF3C39"/>
    <w:rsid w:val="00DF41A1"/>
    <w:rsid w:val="00DF41B2"/>
    <w:rsid w:val="00DF42D0"/>
    <w:rsid w:val="00DF4407"/>
    <w:rsid w:val="00DF45E7"/>
    <w:rsid w:val="00DF463B"/>
    <w:rsid w:val="00DF4672"/>
    <w:rsid w:val="00DF4A29"/>
    <w:rsid w:val="00DF4C20"/>
    <w:rsid w:val="00DF4C53"/>
    <w:rsid w:val="00DF63A4"/>
    <w:rsid w:val="00DF6558"/>
    <w:rsid w:val="00DF659A"/>
    <w:rsid w:val="00DF65F7"/>
    <w:rsid w:val="00DF6667"/>
    <w:rsid w:val="00DF69C0"/>
    <w:rsid w:val="00DF6F21"/>
    <w:rsid w:val="00DF7128"/>
    <w:rsid w:val="00DF7678"/>
    <w:rsid w:val="00DF768A"/>
    <w:rsid w:val="00DF78AF"/>
    <w:rsid w:val="00E00147"/>
    <w:rsid w:val="00E00539"/>
    <w:rsid w:val="00E00857"/>
    <w:rsid w:val="00E00AF1"/>
    <w:rsid w:val="00E00B00"/>
    <w:rsid w:val="00E00E03"/>
    <w:rsid w:val="00E01192"/>
    <w:rsid w:val="00E015B9"/>
    <w:rsid w:val="00E01857"/>
    <w:rsid w:val="00E019A4"/>
    <w:rsid w:val="00E01B29"/>
    <w:rsid w:val="00E02220"/>
    <w:rsid w:val="00E0225F"/>
    <w:rsid w:val="00E02642"/>
    <w:rsid w:val="00E0295B"/>
    <w:rsid w:val="00E02C3B"/>
    <w:rsid w:val="00E02E6F"/>
    <w:rsid w:val="00E0309E"/>
    <w:rsid w:val="00E031EB"/>
    <w:rsid w:val="00E03365"/>
    <w:rsid w:val="00E03488"/>
    <w:rsid w:val="00E03C99"/>
    <w:rsid w:val="00E044F0"/>
    <w:rsid w:val="00E05387"/>
    <w:rsid w:val="00E058A4"/>
    <w:rsid w:val="00E05A82"/>
    <w:rsid w:val="00E05A90"/>
    <w:rsid w:val="00E05B07"/>
    <w:rsid w:val="00E066A5"/>
    <w:rsid w:val="00E06820"/>
    <w:rsid w:val="00E074E0"/>
    <w:rsid w:val="00E07D02"/>
    <w:rsid w:val="00E101C4"/>
    <w:rsid w:val="00E10D3D"/>
    <w:rsid w:val="00E10F18"/>
    <w:rsid w:val="00E11218"/>
    <w:rsid w:val="00E113AE"/>
    <w:rsid w:val="00E11443"/>
    <w:rsid w:val="00E121E0"/>
    <w:rsid w:val="00E121EA"/>
    <w:rsid w:val="00E12465"/>
    <w:rsid w:val="00E12485"/>
    <w:rsid w:val="00E124A5"/>
    <w:rsid w:val="00E12788"/>
    <w:rsid w:val="00E12BDB"/>
    <w:rsid w:val="00E13075"/>
    <w:rsid w:val="00E13192"/>
    <w:rsid w:val="00E132A0"/>
    <w:rsid w:val="00E137B6"/>
    <w:rsid w:val="00E13EED"/>
    <w:rsid w:val="00E1432A"/>
    <w:rsid w:val="00E14450"/>
    <w:rsid w:val="00E14ED5"/>
    <w:rsid w:val="00E15BC1"/>
    <w:rsid w:val="00E1600E"/>
    <w:rsid w:val="00E1650F"/>
    <w:rsid w:val="00E16A86"/>
    <w:rsid w:val="00E16C46"/>
    <w:rsid w:val="00E17113"/>
    <w:rsid w:val="00E176A1"/>
    <w:rsid w:val="00E178D6"/>
    <w:rsid w:val="00E178F8"/>
    <w:rsid w:val="00E17908"/>
    <w:rsid w:val="00E17C72"/>
    <w:rsid w:val="00E202BF"/>
    <w:rsid w:val="00E20344"/>
    <w:rsid w:val="00E210F5"/>
    <w:rsid w:val="00E2168C"/>
    <w:rsid w:val="00E21823"/>
    <w:rsid w:val="00E21AC0"/>
    <w:rsid w:val="00E21C02"/>
    <w:rsid w:val="00E21C17"/>
    <w:rsid w:val="00E21CF1"/>
    <w:rsid w:val="00E21D47"/>
    <w:rsid w:val="00E22192"/>
    <w:rsid w:val="00E225F9"/>
    <w:rsid w:val="00E22DB1"/>
    <w:rsid w:val="00E22E4C"/>
    <w:rsid w:val="00E22EF0"/>
    <w:rsid w:val="00E22F5D"/>
    <w:rsid w:val="00E233B1"/>
    <w:rsid w:val="00E2369C"/>
    <w:rsid w:val="00E2379C"/>
    <w:rsid w:val="00E2444E"/>
    <w:rsid w:val="00E246E3"/>
    <w:rsid w:val="00E24C71"/>
    <w:rsid w:val="00E25C01"/>
    <w:rsid w:val="00E25CA6"/>
    <w:rsid w:val="00E25D03"/>
    <w:rsid w:val="00E26639"/>
    <w:rsid w:val="00E267FA"/>
    <w:rsid w:val="00E26CCB"/>
    <w:rsid w:val="00E27379"/>
    <w:rsid w:val="00E276C1"/>
    <w:rsid w:val="00E2787A"/>
    <w:rsid w:val="00E27CAA"/>
    <w:rsid w:val="00E300C9"/>
    <w:rsid w:val="00E303A8"/>
    <w:rsid w:val="00E30458"/>
    <w:rsid w:val="00E30B9A"/>
    <w:rsid w:val="00E30C54"/>
    <w:rsid w:val="00E3133E"/>
    <w:rsid w:val="00E31F08"/>
    <w:rsid w:val="00E31F44"/>
    <w:rsid w:val="00E321B8"/>
    <w:rsid w:val="00E32A8C"/>
    <w:rsid w:val="00E32F15"/>
    <w:rsid w:val="00E32F19"/>
    <w:rsid w:val="00E33D92"/>
    <w:rsid w:val="00E33E55"/>
    <w:rsid w:val="00E3488B"/>
    <w:rsid w:val="00E34A2F"/>
    <w:rsid w:val="00E34B5F"/>
    <w:rsid w:val="00E3532E"/>
    <w:rsid w:val="00E3591C"/>
    <w:rsid w:val="00E35AE5"/>
    <w:rsid w:val="00E36246"/>
    <w:rsid w:val="00E366AC"/>
    <w:rsid w:val="00E36AC7"/>
    <w:rsid w:val="00E36C7E"/>
    <w:rsid w:val="00E36CA3"/>
    <w:rsid w:val="00E37300"/>
    <w:rsid w:val="00E377BC"/>
    <w:rsid w:val="00E37851"/>
    <w:rsid w:val="00E37B70"/>
    <w:rsid w:val="00E37D33"/>
    <w:rsid w:val="00E4084E"/>
    <w:rsid w:val="00E40933"/>
    <w:rsid w:val="00E40B68"/>
    <w:rsid w:val="00E40EA0"/>
    <w:rsid w:val="00E411E4"/>
    <w:rsid w:val="00E418AA"/>
    <w:rsid w:val="00E41B06"/>
    <w:rsid w:val="00E41B2F"/>
    <w:rsid w:val="00E41FB2"/>
    <w:rsid w:val="00E428B4"/>
    <w:rsid w:val="00E42B18"/>
    <w:rsid w:val="00E42D83"/>
    <w:rsid w:val="00E42E27"/>
    <w:rsid w:val="00E42FEB"/>
    <w:rsid w:val="00E43284"/>
    <w:rsid w:val="00E43460"/>
    <w:rsid w:val="00E43471"/>
    <w:rsid w:val="00E435BD"/>
    <w:rsid w:val="00E43606"/>
    <w:rsid w:val="00E436B7"/>
    <w:rsid w:val="00E438D3"/>
    <w:rsid w:val="00E43B6D"/>
    <w:rsid w:val="00E43D24"/>
    <w:rsid w:val="00E43ED3"/>
    <w:rsid w:val="00E43EF2"/>
    <w:rsid w:val="00E44368"/>
    <w:rsid w:val="00E449C0"/>
    <w:rsid w:val="00E44C23"/>
    <w:rsid w:val="00E44D36"/>
    <w:rsid w:val="00E45392"/>
    <w:rsid w:val="00E456AD"/>
    <w:rsid w:val="00E457DA"/>
    <w:rsid w:val="00E45F52"/>
    <w:rsid w:val="00E46171"/>
    <w:rsid w:val="00E4640D"/>
    <w:rsid w:val="00E46990"/>
    <w:rsid w:val="00E46B65"/>
    <w:rsid w:val="00E46DFB"/>
    <w:rsid w:val="00E476F7"/>
    <w:rsid w:val="00E477A7"/>
    <w:rsid w:val="00E504F9"/>
    <w:rsid w:val="00E5071D"/>
    <w:rsid w:val="00E50F21"/>
    <w:rsid w:val="00E50F31"/>
    <w:rsid w:val="00E50F6E"/>
    <w:rsid w:val="00E511C7"/>
    <w:rsid w:val="00E51463"/>
    <w:rsid w:val="00E515D3"/>
    <w:rsid w:val="00E518A6"/>
    <w:rsid w:val="00E51928"/>
    <w:rsid w:val="00E51E31"/>
    <w:rsid w:val="00E51EFA"/>
    <w:rsid w:val="00E52072"/>
    <w:rsid w:val="00E52374"/>
    <w:rsid w:val="00E523DC"/>
    <w:rsid w:val="00E52627"/>
    <w:rsid w:val="00E527DE"/>
    <w:rsid w:val="00E52851"/>
    <w:rsid w:val="00E5286C"/>
    <w:rsid w:val="00E5290E"/>
    <w:rsid w:val="00E52BC7"/>
    <w:rsid w:val="00E52D09"/>
    <w:rsid w:val="00E52E66"/>
    <w:rsid w:val="00E52F36"/>
    <w:rsid w:val="00E52F4A"/>
    <w:rsid w:val="00E52FED"/>
    <w:rsid w:val="00E53080"/>
    <w:rsid w:val="00E5324B"/>
    <w:rsid w:val="00E5352C"/>
    <w:rsid w:val="00E5388D"/>
    <w:rsid w:val="00E53DF7"/>
    <w:rsid w:val="00E53FCF"/>
    <w:rsid w:val="00E540DE"/>
    <w:rsid w:val="00E54100"/>
    <w:rsid w:val="00E547C3"/>
    <w:rsid w:val="00E54B77"/>
    <w:rsid w:val="00E55360"/>
    <w:rsid w:val="00E557A6"/>
    <w:rsid w:val="00E55A3A"/>
    <w:rsid w:val="00E55C87"/>
    <w:rsid w:val="00E5604E"/>
    <w:rsid w:val="00E5604F"/>
    <w:rsid w:val="00E56379"/>
    <w:rsid w:val="00E565B3"/>
    <w:rsid w:val="00E57579"/>
    <w:rsid w:val="00E5761F"/>
    <w:rsid w:val="00E57683"/>
    <w:rsid w:val="00E579F0"/>
    <w:rsid w:val="00E57A2F"/>
    <w:rsid w:val="00E57DEE"/>
    <w:rsid w:val="00E6002F"/>
    <w:rsid w:val="00E602A4"/>
    <w:rsid w:val="00E602B4"/>
    <w:rsid w:val="00E60467"/>
    <w:rsid w:val="00E60484"/>
    <w:rsid w:val="00E60553"/>
    <w:rsid w:val="00E60630"/>
    <w:rsid w:val="00E607F7"/>
    <w:rsid w:val="00E608F5"/>
    <w:rsid w:val="00E60F65"/>
    <w:rsid w:val="00E619E9"/>
    <w:rsid w:val="00E61FAC"/>
    <w:rsid w:val="00E6220B"/>
    <w:rsid w:val="00E62304"/>
    <w:rsid w:val="00E6290C"/>
    <w:rsid w:val="00E62B30"/>
    <w:rsid w:val="00E62F1F"/>
    <w:rsid w:val="00E634D5"/>
    <w:rsid w:val="00E63933"/>
    <w:rsid w:val="00E642E8"/>
    <w:rsid w:val="00E644FB"/>
    <w:rsid w:val="00E6485F"/>
    <w:rsid w:val="00E648CF"/>
    <w:rsid w:val="00E64C93"/>
    <w:rsid w:val="00E65149"/>
    <w:rsid w:val="00E653E4"/>
    <w:rsid w:val="00E6550A"/>
    <w:rsid w:val="00E655EA"/>
    <w:rsid w:val="00E659F0"/>
    <w:rsid w:val="00E65ABB"/>
    <w:rsid w:val="00E65CB4"/>
    <w:rsid w:val="00E65E3E"/>
    <w:rsid w:val="00E669E2"/>
    <w:rsid w:val="00E66BE3"/>
    <w:rsid w:val="00E66CBB"/>
    <w:rsid w:val="00E670C3"/>
    <w:rsid w:val="00E67455"/>
    <w:rsid w:val="00E67752"/>
    <w:rsid w:val="00E709E1"/>
    <w:rsid w:val="00E71542"/>
    <w:rsid w:val="00E716CC"/>
    <w:rsid w:val="00E717C4"/>
    <w:rsid w:val="00E7244A"/>
    <w:rsid w:val="00E72841"/>
    <w:rsid w:val="00E7286F"/>
    <w:rsid w:val="00E73740"/>
    <w:rsid w:val="00E73BE1"/>
    <w:rsid w:val="00E744F2"/>
    <w:rsid w:val="00E74520"/>
    <w:rsid w:val="00E74FBC"/>
    <w:rsid w:val="00E755DA"/>
    <w:rsid w:val="00E75697"/>
    <w:rsid w:val="00E75969"/>
    <w:rsid w:val="00E75F37"/>
    <w:rsid w:val="00E76088"/>
    <w:rsid w:val="00E76135"/>
    <w:rsid w:val="00E76161"/>
    <w:rsid w:val="00E7662B"/>
    <w:rsid w:val="00E766EC"/>
    <w:rsid w:val="00E76BCB"/>
    <w:rsid w:val="00E76D5E"/>
    <w:rsid w:val="00E77290"/>
    <w:rsid w:val="00E7762E"/>
    <w:rsid w:val="00E7789B"/>
    <w:rsid w:val="00E800E3"/>
    <w:rsid w:val="00E8081F"/>
    <w:rsid w:val="00E80927"/>
    <w:rsid w:val="00E80B41"/>
    <w:rsid w:val="00E818DA"/>
    <w:rsid w:val="00E8196B"/>
    <w:rsid w:val="00E81E36"/>
    <w:rsid w:val="00E821B6"/>
    <w:rsid w:val="00E825A7"/>
    <w:rsid w:val="00E82838"/>
    <w:rsid w:val="00E828F1"/>
    <w:rsid w:val="00E82CD4"/>
    <w:rsid w:val="00E82F35"/>
    <w:rsid w:val="00E83874"/>
    <w:rsid w:val="00E8398D"/>
    <w:rsid w:val="00E83CD2"/>
    <w:rsid w:val="00E83FDE"/>
    <w:rsid w:val="00E841C6"/>
    <w:rsid w:val="00E8441F"/>
    <w:rsid w:val="00E845CD"/>
    <w:rsid w:val="00E848AD"/>
    <w:rsid w:val="00E848D6"/>
    <w:rsid w:val="00E84C2B"/>
    <w:rsid w:val="00E84F5E"/>
    <w:rsid w:val="00E85160"/>
    <w:rsid w:val="00E8543C"/>
    <w:rsid w:val="00E858A2"/>
    <w:rsid w:val="00E85BFA"/>
    <w:rsid w:val="00E86302"/>
    <w:rsid w:val="00E86A2D"/>
    <w:rsid w:val="00E86C03"/>
    <w:rsid w:val="00E86EEE"/>
    <w:rsid w:val="00E87318"/>
    <w:rsid w:val="00E879E6"/>
    <w:rsid w:val="00E87A0C"/>
    <w:rsid w:val="00E87BC2"/>
    <w:rsid w:val="00E87C8E"/>
    <w:rsid w:val="00E87DDF"/>
    <w:rsid w:val="00E90043"/>
    <w:rsid w:val="00E90E6B"/>
    <w:rsid w:val="00E911DF"/>
    <w:rsid w:val="00E913E9"/>
    <w:rsid w:val="00E91D61"/>
    <w:rsid w:val="00E921E6"/>
    <w:rsid w:val="00E923C3"/>
    <w:rsid w:val="00E923FC"/>
    <w:rsid w:val="00E92F42"/>
    <w:rsid w:val="00E92F7B"/>
    <w:rsid w:val="00E9342B"/>
    <w:rsid w:val="00E93805"/>
    <w:rsid w:val="00E93F2C"/>
    <w:rsid w:val="00E94268"/>
    <w:rsid w:val="00E94881"/>
    <w:rsid w:val="00E95699"/>
    <w:rsid w:val="00E95AC5"/>
    <w:rsid w:val="00E95FCA"/>
    <w:rsid w:val="00E95FDE"/>
    <w:rsid w:val="00E965D7"/>
    <w:rsid w:val="00E96735"/>
    <w:rsid w:val="00E9697F"/>
    <w:rsid w:val="00E972FC"/>
    <w:rsid w:val="00E97405"/>
    <w:rsid w:val="00E976A2"/>
    <w:rsid w:val="00E97762"/>
    <w:rsid w:val="00E97940"/>
    <w:rsid w:val="00E97FE6"/>
    <w:rsid w:val="00EA041E"/>
    <w:rsid w:val="00EA0464"/>
    <w:rsid w:val="00EA131B"/>
    <w:rsid w:val="00EA17D2"/>
    <w:rsid w:val="00EA1927"/>
    <w:rsid w:val="00EA1A98"/>
    <w:rsid w:val="00EA1DC0"/>
    <w:rsid w:val="00EA2270"/>
    <w:rsid w:val="00EA27BD"/>
    <w:rsid w:val="00EA2BC2"/>
    <w:rsid w:val="00EA2E2B"/>
    <w:rsid w:val="00EA3147"/>
    <w:rsid w:val="00EA3B9B"/>
    <w:rsid w:val="00EA4211"/>
    <w:rsid w:val="00EA4EA3"/>
    <w:rsid w:val="00EA4F61"/>
    <w:rsid w:val="00EA53E4"/>
    <w:rsid w:val="00EA5675"/>
    <w:rsid w:val="00EA5694"/>
    <w:rsid w:val="00EA59B1"/>
    <w:rsid w:val="00EA5D53"/>
    <w:rsid w:val="00EA5D61"/>
    <w:rsid w:val="00EA5E13"/>
    <w:rsid w:val="00EA5E7D"/>
    <w:rsid w:val="00EA6B3C"/>
    <w:rsid w:val="00EA6DD8"/>
    <w:rsid w:val="00EA70F7"/>
    <w:rsid w:val="00EA7208"/>
    <w:rsid w:val="00EA733C"/>
    <w:rsid w:val="00EA7857"/>
    <w:rsid w:val="00EA79F0"/>
    <w:rsid w:val="00EA7CD7"/>
    <w:rsid w:val="00EA7E85"/>
    <w:rsid w:val="00EB061A"/>
    <w:rsid w:val="00EB08E8"/>
    <w:rsid w:val="00EB117B"/>
    <w:rsid w:val="00EB1812"/>
    <w:rsid w:val="00EB182B"/>
    <w:rsid w:val="00EB1A56"/>
    <w:rsid w:val="00EB1D5A"/>
    <w:rsid w:val="00EB22FA"/>
    <w:rsid w:val="00EB2762"/>
    <w:rsid w:val="00EB2857"/>
    <w:rsid w:val="00EB2D01"/>
    <w:rsid w:val="00EB2F23"/>
    <w:rsid w:val="00EB3500"/>
    <w:rsid w:val="00EB37CB"/>
    <w:rsid w:val="00EB43AF"/>
    <w:rsid w:val="00EB4586"/>
    <w:rsid w:val="00EB4754"/>
    <w:rsid w:val="00EB4791"/>
    <w:rsid w:val="00EB48A6"/>
    <w:rsid w:val="00EB4B57"/>
    <w:rsid w:val="00EB4E3E"/>
    <w:rsid w:val="00EB50C4"/>
    <w:rsid w:val="00EB5628"/>
    <w:rsid w:val="00EB5CC5"/>
    <w:rsid w:val="00EB6077"/>
    <w:rsid w:val="00EB67E1"/>
    <w:rsid w:val="00EB67F4"/>
    <w:rsid w:val="00EB6B2E"/>
    <w:rsid w:val="00EB6F8D"/>
    <w:rsid w:val="00EB73C4"/>
    <w:rsid w:val="00EB7441"/>
    <w:rsid w:val="00EB7757"/>
    <w:rsid w:val="00EB77AE"/>
    <w:rsid w:val="00EB7E78"/>
    <w:rsid w:val="00EC0197"/>
    <w:rsid w:val="00EC021A"/>
    <w:rsid w:val="00EC0222"/>
    <w:rsid w:val="00EC0317"/>
    <w:rsid w:val="00EC0731"/>
    <w:rsid w:val="00EC09E1"/>
    <w:rsid w:val="00EC1020"/>
    <w:rsid w:val="00EC14BF"/>
    <w:rsid w:val="00EC3CA1"/>
    <w:rsid w:val="00EC3F3A"/>
    <w:rsid w:val="00EC41B8"/>
    <w:rsid w:val="00EC4319"/>
    <w:rsid w:val="00EC4498"/>
    <w:rsid w:val="00EC47F7"/>
    <w:rsid w:val="00EC481A"/>
    <w:rsid w:val="00EC486A"/>
    <w:rsid w:val="00EC4FA4"/>
    <w:rsid w:val="00EC5009"/>
    <w:rsid w:val="00EC5816"/>
    <w:rsid w:val="00EC5C13"/>
    <w:rsid w:val="00EC5DB3"/>
    <w:rsid w:val="00EC608A"/>
    <w:rsid w:val="00EC636C"/>
    <w:rsid w:val="00EC6A60"/>
    <w:rsid w:val="00EC6B5E"/>
    <w:rsid w:val="00EC6C7A"/>
    <w:rsid w:val="00EC6CF3"/>
    <w:rsid w:val="00EC7078"/>
    <w:rsid w:val="00EC7512"/>
    <w:rsid w:val="00EC75C3"/>
    <w:rsid w:val="00EC796E"/>
    <w:rsid w:val="00EC7AF5"/>
    <w:rsid w:val="00ED04B7"/>
    <w:rsid w:val="00ED0B1A"/>
    <w:rsid w:val="00ED182A"/>
    <w:rsid w:val="00ED1F59"/>
    <w:rsid w:val="00ED2034"/>
    <w:rsid w:val="00ED208C"/>
    <w:rsid w:val="00ED234B"/>
    <w:rsid w:val="00ED239E"/>
    <w:rsid w:val="00ED27F5"/>
    <w:rsid w:val="00ED2ACD"/>
    <w:rsid w:val="00ED2E16"/>
    <w:rsid w:val="00ED2E8D"/>
    <w:rsid w:val="00ED308B"/>
    <w:rsid w:val="00ED360E"/>
    <w:rsid w:val="00ED3873"/>
    <w:rsid w:val="00ED3AF4"/>
    <w:rsid w:val="00ED3F31"/>
    <w:rsid w:val="00ED4224"/>
    <w:rsid w:val="00ED42D0"/>
    <w:rsid w:val="00ED43CD"/>
    <w:rsid w:val="00ED4553"/>
    <w:rsid w:val="00ED4A7E"/>
    <w:rsid w:val="00ED4BFB"/>
    <w:rsid w:val="00ED4EC3"/>
    <w:rsid w:val="00ED4F2B"/>
    <w:rsid w:val="00ED51F7"/>
    <w:rsid w:val="00ED5845"/>
    <w:rsid w:val="00ED5955"/>
    <w:rsid w:val="00ED5C56"/>
    <w:rsid w:val="00ED5C9A"/>
    <w:rsid w:val="00ED6489"/>
    <w:rsid w:val="00ED6D34"/>
    <w:rsid w:val="00ED6EAD"/>
    <w:rsid w:val="00ED7640"/>
    <w:rsid w:val="00ED7C88"/>
    <w:rsid w:val="00ED7D95"/>
    <w:rsid w:val="00EE0344"/>
    <w:rsid w:val="00EE0AD4"/>
    <w:rsid w:val="00EE1520"/>
    <w:rsid w:val="00EE1559"/>
    <w:rsid w:val="00EE2931"/>
    <w:rsid w:val="00EE2A1A"/>
    <w:rsid w:val="00EE2BF2"/>
    <w:rsid w:val="00EE2F62"/>
    <w:rsid w:val="00EE310A"/>
    <w:rsid w:val="00EE374C"/>
    <w:rsid w:val="00EE3777"/>
    <w:rsid w:val="00EE4055"/>
    <w:rsid w:val="00EE409D"/>
    <w:rsid w:val="00EE45E2"/>
    <w:rsid w:val="00EE4E91"/>
    <w:rsid w:val="00EE4EB4"/>
    <w:rsid w:val="00EE5006"/>
    <w:rsid w:val="00EE5B49"/>
    <w:rsid w:val="00EE5C1A"/>
    <w:rsid w:val="00EE60D8"/>
    <w:rsid w:val="00EE6174"/>
    <w:rsid w:val="00EE65E9"/>
    <w:rsid w:val="00EE6691"/>
    <w:rsid w:val="00EE6D7E"/>
    <w:rsid w:val="00EE718F"/>
    <w:rsid w:val="00EE7211"/>
    <w:rsid w:val="00EE74AA"/>
    <w:rsid w:val="00EE7BBF"/>
    <w:rsid w:val="00EF01DC"/>
    <w:rsid w:val="00EF081E"/>
    <w:rsid w:val="00EF0AA4"/>
    <w:rsid w:val="00EF0EB8"/>
    <w:rsid w:val="00EF1D14"/>
    <w:rsid w:val="00EF2015"/>
    <w:rsid w:val="00EF2240"/>
    <w:rsid w:val="00EF23FC"/>
    <w:rsid w:val="00EF251A"/>
    <w:rsid w:val="00EF2624"/>
    <w:rsid w:val="00EF305D"/>
    <w:rsid w:val="00EF3699"/>
    <w:rsid w:val="00EF3843"/>
    <w:rsid w:val="00EF3902"/>
    <w:rsid w:val="00EF4446"/>
    <w:rsid w:val="00EF495B"/>
    <w:rsid w:val="00EF4B04"/>
    <w:rsid w:val="00EF4D35"/>
    <w:rsid w:val="00EF5381"/>
    <w:rsid w:val="00EF540C"/>
    <w:rsid w:val="00EF54A7"/>
    <w:rsid w:val="00EF55FC"/>
    <w:rsid w:val="00EF5AED"/>
    <w:rsid w:val="00EF5CAD"/>
    <w:rsid w:val="00EF700B"/>
    <w:rsid w:val="00EF7082"/>
    <w:rsid w:val="00EF70C9"/>
    <w:rsid w:val="00EF765A"/>
    <w:rsid w:val="00F000C9"/>
    <w:rsid w:val="00F0062B"/>
    <w:rsid w:val="00F00B27"/>
    <w:rsid w:val="00F00C01"/>
    <w:rsid w:val="00F00DEF"/>
    <w:rsid w:val="00F010F9"/>
    <w:rsid w:val="00F01AAF"/>
    <w:rsid w:val="00F01CF1"/>
    <w:rsid w:val="00F01EFA"/>
    <w:rsid w:val="00F023B1"/>
    <w:rsid w:val="00F02456"/>
    <w:rsid w:val="00F02682"/>
    <w:rsid w:val="00F02A46"/>
    <w:rsid w:val="00F02F35"/>
    <w:rsid w:val="00F03AB2"/>
    <w:rsid w:val="00F03B4D"/>
    <w:rsid w:val="00F03EB1"/>
    <w:rsid w:val="00F040F3"/>
    <w:rsid w:val="00F04129"/>
    <w:rsid w:val="00F04219"/>
    <w:rsid w:val="00F04254"/>
    <w:rsid w:val="00F0454A"/>
    <w:rsid w:val="00F045E4"/>
    <w:rsid w:val="00F04724"/>
    <w:rsid w:val="00F04761"/>
    <w:rsid w:val="00F04A20"/>
    <w:rsid w:val="00F04D40"/>
    <w:rsid w:val="00F04E87"/>
    <w:rsid w:val="00F0551B"/>
    <w:rsid w:val="00F056D7"/>
    <w:rsid w:val="00F056FC"/>
    <w:rsid w:val="00F05D73"/>
    <w:rsid w:val="00F05D8A"/>
    <w:rsid w:val="00F05F9E"/>
    <w:rsid w:val="00F066BC"/>
    <w:rsid w:val="00F06CA7"/>
    <w:rsid w:val="00F06F4F"/>
    <w:rsid w:val="00F10009"/>
    <w:rsid w:val="00F1030F"/>
    <w:rsid w:val="00F109CF"/>
    <w:rsid w:val="00F109D0"/>
    <w:rsid w:val="00F10E1E"/>
    <w:rsid w:val="00F10F98"/>
    <w:rsid w:val="00F10FCF"/>
    <w:rsid w:val="00F114CC"/>
    <w:rsid w:val="00F114E1"/>
    <w:rsid w:val="00F1150D"/>
    <w:rsid w:val="00F11AFC"/>
    <w:rsid w:val="00F11B67"/>
    <w:rsid w:val="00F11B8D"/>
    <w:rsid w:val="00F12168"/>
    <w:rsid w:val="00F12776"/>
    <w:rsid w:val="00F133CE"/>
    <w:rsid w:val="00F134C7"/>
    <w:rsid w:val="00F135D8"/>
    <w:rsid w:val="00F13864"/>
    <w:rsid w:val="00F13C00"/>
    <w:rsid w:val="00F140ED"/>
    <w:rsid w:val="00F14112"/>
    <w:rsid w:val="00F1436B"/>
    <w:rsid w:val="00F147CD"/>
    <w:rsid w:val="00F14C03"/>
    <w:rsid w:val="00F14D97"/>
    <w:rsid w:val="00F15557"/>
    <w:rsid w:val="00F15577"/>
    <w:rsid w:val="00F156B8"/>
    <w:rsid w:val="00F15A39"/>
    <w:rsid w:val="00F15B1D"/>
    <w:rsid w:val="00F15C44"/>
    <w:rsid w:val="00F15CDA"/>
    <w:rsid w:val="00F15F8A"/>
    <w:rsid w:val="00F161A0"/>
    <w:rsid w:val="00F1643C"/>
    <w:rsid w:val="00F1657F"/>
    <w:rsid w:val="00F16B40"/>
    <w:rsid w:val="00F16CF2"/>
    <w:rsid w:val="00F16CF7"/>
    <w:rsid w:val="00F16DD3"/>
    <w:rsid w:val="00F16EBB"/>
    <w:rsid w:val="00F17261"/>
    <w:rsid w:val="00F1759B"/>
    <w:rsid w:val="00F20157"/>
    <w:rsid w:val="00F20258"/>
    <w:rsid w:val="00F20750"/>
    <w:rsid w:val="00F208DE"/>
    <w:rsid w:val="00F20AAD"/>
    <w:rsid w:val="00F20C63"/>
    <w:rsid w:val="00F20E37"/>
    <w:rsid w:val="00F21015"/>
    <w:rsid w:val="00F21363"/>
    <w:rsid w:val="00F21396"/>
    <w:rsid w:val="00F2167E"/>
    <w:rsid w:val="00F21C1D"/>
    <w:rsid w:val="00F21D74"/>
    <w:rsid w:val="00F22238"/>
    <w:rsid w:val="00F22851"/>
    <w:rsid w:val="00F22E3B"/>
    <w:rsid w:val="00F22E79"/>
    <w:rsid w:val="00F2314A"/>
    <w:rsid w:val="00F235D6"/>
    <w:rsid w:val="00F23BDB"/>
    <w:rsid w:val="00F23D2B"/>
    <w:rsid w:val="00F23E4B"/>
    <w:rsid w:val="00F242AB"/>
    <w:rsid w:val="00F244B7"/>
    <w:rsid w:val="00F24603"/>
    <w:rsid w:val="00F248B8"/>
    <w:rsid w:val="00F249A5"/>
    <w:rsid w:val="00F24B64"/>
    <w:rsid w:val="00F25300"/>
    <w:rsid w:val="00F257D4"/>
    <w:rsid w:val="00F26573"/>
    <w:rsid w:val="00F26842"/>
    <w:rsid w:val="00F26D5E"/>
    <w:rsid w:val="00F27136"/>
    <w:rsid w:val="00F272F5"/>
    <w:rsid w:val="00F273E9"/>
    <w:rsid w:val="00F275E3"/>
    <w:rsid w:val="00F27CE0"/>
    <w:rsid w:val="00F27D00"/>
    <w:rsid w:val="00F27DED"/>
    <w:rsid w:val="00F3008F"/>
    <w:rsid w:val="00F3042D"/>
    <w:rsid w:val="00F306D1"/>
    <w:rsid w:val="00F3089E"/>
    <w:rsid w:val="00F30D29"/>
    <w:rsid w:val="00F3119C"/>
    <w:rsid w:val="00F311E0"/>
    <w:rsid w:val="00F31299"/>
    <w:rsid w:val="00F31504"/>
    <w:rsid w:val="00F3186D"/>
    <w:rsid w:val="00F319A0"/>
    <w:rsid w:val="00F31C54"/>
    <w:rsid w:val="00F322D8"/>
    <w:rsid w:val="00F3243E"/>
    <w:rsid w:val="00F32BD4"/>
    <w:rsid w:val="00F32C37"/>
    <w:rsid w:val="00F32F6A"/>
    <w:rsid w:val="00F332A3"/>
    <w:rsid w:val="00F33488"/>
    <w:rsid w:val="00F33BAF"/>
    <w:rsid w:val="00F33C0D"/>
    <w:rsid w:val="00F33DD0"/>
    <w:rsid w:val="00F34423"/>
    <w:rsid w:val="00F3450F"/>
    <w:rsid w:val="00F3461D"/>
    <w:rsid w:val="00F349E7"/>
    <w:rsid w:val="00F34CB2"/>
    <w:rsid w:val="00F3514D"/>
    <w:rsid w:val="00F35256"/>
    <w:rsid w:val="00F3534A"/>
    <w:rsid w:val="00F35EF8"/>
    <w:rsid w:val="00F35F5B"/>
    <w:rsid w:val="00F364CF"/>
    <w:rsid w:val="00F36B1E"/>
    <w:rsid w:val="00F36BC4"/>
    <w:rsid w:val="00F3707B"/>
    <w:rsid w:val="00F37BAB"/>
    <w:rsid w:val="00F37FB3"/>
    <w:rsid w:val="00F40901"/>
    <w:rsid w:val="00F409B4"/>
    <w:rsid w:val="00F40E69"/>
    <w:rsid w:val="00F40EAE"/>
    <w:rsid w:val="00F41255"/>
    <w:rsid w:val="00F412E4"/>
    <w:rsid w:val="00F418E1"/>
    <w:rsid w:val="00F41BA8"/>
    <w:rsid w:val="00F4239E"/>
    <w:rsid w:val="00F428DC"/>
    <w:rsid w:val="00F42A35"/>
    <w:rsid w:val="00F42AC5"/>
    <w:rsid w:val="00F42E80"/>
    <w:rsid w:val="00F43304"/>
    <w:rsid w:val="00F433AD"/>
    <w:rsid w:val="00F4384E"/>
    <w:rsid w:val="00F444C4"/>
    <w:rsid w:val="00F444C6"/>
    <w:rsid w:val="00F447C8"/>
    <w:rsid w:val="00F44837"/>
    <w:rsid w:val="00F448BD"/>
    <w:rsid w:val="00F44DC3"/>
    <w:rsid w:val="00F44E27"/>
    <w:rsid w:val="00F458CD"/>
    <w:rsid w:val="00F45A7E"/>
    <w:rsid w:val="00F45B35"/>
    <w:rsid w:val="00F45E11"/>
    <w:rsid w:val="00F45F36"/>
    <w:rsid w:val="00F4613B"/>
    <w:rsid w:val="00F4658C"/>
    <w:rsid w:val="00F46D5E"/>
    <w:rsid w:val="00F473DC"/>
    <w:rsid w:val="00F47872"/>
    <w:rsid w:val="00F47CDE"/>
    <w:rsid w:val="00F5027B"/>
    <w:rsid w:val="00F504B6"/>
    <w:rsid w:val="00F50990"/>
    <w:rsid w:val="00F50D26"/>
    <w:rsid w:val="00F50DD4"/>
    <w:rsid w:val="00F51091"/>
    <w:rsid w:val="00F510AB"/>
    <w:rsid w:val="00F51354"/>
    <w:rsid w:val="00F516F9"/>
    <w:rsid w:val="00F51985"/>
    <w:rsid w:val="00F51C17"/>
    <w:rsid w:val="00F51E05"/>
    <w:rsid w:val="00F52417"/>
    <w:rsid w:val="00F530A7"/>
    <w:rsid w:val="00F53428"/>
    <w:rsid w:val="00F534E6"/>
    <w:rsid w:val="00F538DC"/>
    <w:rsid w:val="00F54590"/>
    <w:rsid w:val="00F54A71"/>
    <w:rsid w:val="00F54DC5"/>
    <w:rsid w:val="00F551C4"/>
    <w:rsid w:val="00F55246"/>
    <w:rsid w:val="00F5564D"/>
    <w:rsid w:val="00F55798"/>
    <w:rsid w:val="00F56C08"/>
    <w:rsid w:val="00F56C97"/>
    <w:rsid w:val="00F56D26"/>
    <w:rsid w:val="00F56EB4"/>
    <w:rsid w:val="00F5707E"/>
    <w:rsid w:val="00F570CB"/>
    <w:rsid w:val="00F572C8"/>
    <w:rsid w:val="00F576F3"/>
    <w:rsid w:val="00F577C4"/>
    <w:rsid w:val="00F57B18"/>
    <w:rsid w:val="00F57CCE"/>
    <w:rsid w:val="00F6040B"/>
    <w:rsid w:val="00F609AF"/>
    <w:rsid w:val="00F60D74"/>
    <w:rsid w:val="00F60E88"/>
    <w:rsid w:val="00F61052"/>
    <w:rsid w:val="00F612F8"/>
    <w:rsid w:val="00F6176D"/>
    <w:rsid w:val="00F61D8A"/>
    <w:rsid w:val="00F62732"/>
    <w:rsid w:val="00F628B4"/>
    <w:rsid w:val="00F62C56"/>
    <w:rsid w:val="00F63391"/>
    <w:rsid w:val="00F63E5A"/>
    <w:rsid w:val="00F63FF2"/>
    <w:rsid w:val="00F64332"/>
    <w:rsid w:val="00F6437F"/>
    <w:rsid w:val="00F64B3E"/>
    <w:rsid w:val="00F64BF8"/>
    <w:rsid w:val="00F65266"/>
    <w:rsid w:val="00F65CC6"/>
    <w:rsid w:val="00F6618C"/>
    <w:rsid w:val="00F6660B"/>
    <w:rsid w:val="00F666CF"/>
    <w:rsid w:val="00F668A4"/>
    <w:rsid w:val="00F66B1E"/>
    <w:rsid w:val="00F6708B"/>
    <w:rsid w:val="00F672AB"/>
    <w:rsid w:val="00F67C9D"/>
    <w:rsid w:val="00F67DE4"/>
    <w:rsid w:val="00F702CD"/>
    <w:rsid w:val="00F70868"/>
    <w:rsid w:val="00F70C11"/>
    <w:rsid w:val="00F71321"/>
    <w:rsid w:val="00F71947"/>
    <w:rsid w:val="00F71D8F"/>
    <w:rsid w:val="00F71E10"/>
    <w:rsid w:val="00F72B7A"/>
    <w:rsid w:val="00F72D56"/>
    <w:rsid w:val="00F72FCD"/>
    <w:rsid w:val="00F73106"/>
    <w:rsid w:val="00F731A0"/>
    <w:rsid w:val="00F73258"/>
    <w:rsid w:val="00F73449"/>
    <w:rsid w:val="00F7384F"/>
    <w:rsid w:val="00F73FEE"/>
    <w:rsid w:val="00F7418F"/>
    <w:rsid w:val="00F747A1"/>
    <w:rsid w:val="00F74E55"/>
    <w:rsid w:val="00F75444"/>
    <w:rsid w:val="00F75A5C"/>
    <w:rsid w:val="00F7616C"/>
    <w:rsid w:val="00F761A5"/>
    <w:rsid w:val="00F761AD"/>
    <w:rsid w:val="00F76494"/>
    <w:rsid w:val="00F7677C"/>
    <w:rsid w:val="00F7685E"/>
    <w:rsid w:val="00F76A02"/>
    <w:rsid w:val="00F76BB9"/>
    <w:rsid w:val="00F76C54"/>
    <w:rsid w:val="00F772AC"/>
    <w:rsid w:val="00F7770F"/>
    <w:rsid w:val="00F7774A"/>
    <w:rsid w:val="00F7775E"/>
    <w:rsid w:val="00F7778E"/>
    <w:rsid w:val="00F77CAB"/>
    <w:rsid w:val="00F80037"/>
    <w:rsid w:val="00F80314"/>
    <w:rsid w:val="00F8073E"/>
    <w:rsid w:val="00F807C2"/>
    <w:rsid w:val="00F808B7"/>
    <w:rsid w:val="00F80B54"/>
    <w:rsid w:val="00F80C47"/>
    <w:rsid w:val="00F80E62"/>
    <w:rsid w:val="00F80E91"/>
    <w:rsid w:val="00F80ED3"/>
    <w:rsid w:val="00F810AE"/>
    <w:rsid w:val="00F816F7"/>
    <w:rsid w:val="00F81912"/>
    <w:rsid w:val="00F81A7C"/>
    <w:rsid w:val="00F81C7E"/>
    <w:rsid w:val="00F81EF7"/>
    <w:rsid w:val="00F82278"/>
    <w:rsid w:val="00F82333"/>
    <w:rsid w:val="00F8236D"/>
    <w:rsid w:val="00F82C63"/>
    <w:rsid w:val="00F82E50"/>
    <w:rsid w:val="00F83155"/>
    <w:rsid w:val="00F833AB"/>
    <w:rsid w:val="00F83852"/>
    <w:rsid w:val="00F83884"/>
    <w:rsid w:val="00F83BF1"/>
    <w:rsid w:val="00F83D06"/>
    <w:rsid w:val="00F83DE5"/>
    <w:rsid w:val="00F83F2F"/>
    <w:rsid w:val="00F84378"/>
    <w:rsid w:val="00F846AC"/>
    <w:rsid w:val="00F84ADD"/>
    <w:rsid w:val="00F85325"/>
    <w:rsid w:val="00F85354"/>
    <w:rsid w:val="00F85B04"/>
    <w:rsid w:val="00F86A95"/>
    <w:rsid w:val="00F86D02"/>
    <w:rsid w:val="00F86DF2"/>
    <w:rsid w:val="00F86E0C"/>
    <w:rsid w:val="00F877BD"/>
    <w:rsid w:val="00F87845"/>
    <w:rsid w:val="00F878B0"/>
    <w:rsid w:val="00F87A28"/>
    <w:rsid w:val="00F87C20"/>
    <w:rsid w:val="00F87D31"/>
    <w:rsid w:val="00F87EF3"/>
    <w:rsid w:val="00F902C1"/>
    <w:rsid w:val="00F91398"/>
    <w:rsid w:val="00F913A6"/>
    <w:rsid w:val="00F9185B"/>
    <w:rsid w:val="00F91EE9"/>
    <w:rsid w:val="00F91F77"/>
    <w:rsid w:val="00F924B6"/>
    <w:rsid w:val="00F9252D"/>
    <w:rsid w:val="00F92535"/>
    <w:rsid w:val="00F928C2"/>
    <w:rsid w:val="00F93CD5"/>
    <w:rsid w:val="00F93FF1"/>
    <w:rsid w:val="00F94344"/>
    <w:rsid w:val="00F94447"/>
    <w:rsid w:val="00F954E6"/>
    <w:rsid w:val="00F95909"/>
    <w:rsid w:val="00F95ACC"/>
    <w:rsid w:val="00F95C20"/>
    <w:rsid w:val="00F95DDC"/>
    <w:rsid w:val="00F95DFF"/>
    <w:rsid w:val="00F97049"/>
    <w:rsid w:val="00F9721D"/>
    <w:rsid w:val="00F973E9"/>
    <w:rsid w:val="00F9791D"/>
    <w:rsid w:val="00F97BB5"/>
    <w:rsid w:val="00F97C96"/>
    <w:rsid w:val="00FA044C"/>
    <w:rsid w:val="00FA0501"/>
    <w:rsid w:val="00FA0E96"/>
    <w:rsid w:val="00FA10B6"/>
    <w:rsid w:val="00FA189C"/>
    <w:rsid w:val="00FA1A0E"/>
    <w:rsid w:val="00FA1C5A"/>
    <w:rsid w:val="00FA1D5A"/>
    <w:rsid w:val="00FA22CC"/>
    <w:rsid w:val="00FA254B"/>
    <w:rsid w:val="00FA290D"/>
    <w:rsid w:val="00FA2B62"/>
    <w:rsid w:val="00FA2C13"/>
    <w:rsid w:val="00FA2E1D"/>
    <w:rsid w:val="00FA3177"/>
    <w:rsid w:val="00FA38DE"/>
    <w:rsid w:val="00FA3B60"/>
    <w:rsid w:val="00FA4CEB"/>
    <w:rsid w:val="00FA4EF1"/>
    <w:rsid w:val="00FA5220"/>
    <w:rsid w:val="00FA54BA"/>
    <w:rsid w:val="00FA557E"/>
    <w:rsid w:val="00FA5D37"/>
    <w:rsid w:val="00FA668C"/>
    <w:rsid w:val="00FA676A"/>
    <w:rsid w:val="00FA6975"/>
    <w:rsid w:val="00FA6AB5"/>
    <w:rsid w:val="00FA77C9"/>
    <w:rsid w:val="00FA7C5E"/>
    <w:rsid w:val="00FA7F5E"/>
    <w:rsid w:val="00FB07F0"/>
    <w:rsid w:val="00FB0910"/>
    <w:rsid w:val="00FB0AA2"/>
    <w:rsid w:val="00FB0EE8"/>
    <w:rsid w:val="00FB0F45"/>
    <w:rsid w:val="00FB1295"/>
    <w:rsid w:val="00FB136A"/>
    <w:rsid w:val="00FB19EA"/>
    <w:rsid w:val="00FB23AC"/>
    <w:rsid w:val="00FB2535"/>
    <w:rsid w:val="00FB2876"/>
    <w:rsid w:val="00FB2D6C"/>
    <w:rsid w:val="00FB2EB3"/>
    <w:rsid w:val="00FB3046"/>
    <w:rsid w:val="00FB31B3"/>
    <w:rsid w:val="00FB3260"/>
    <w:rsid w:val="00FB33C2"/>
    <w:rsid w:val="00FB38EB"/>
    <w:rsid w:val="00FB3CD2"/>
    <w:rsid w:val="00FB3FA7"/>
    <w:rsid w:val="00FB40BD"/>
    <w:rsid w:val="00FB41D3"/>
    <w:rsid w:val="00FB47AA"/>
    <w:rsid w:val="00FB4851"/>
    <w:rsid w:val="00FB5022"/>
    <w:rsid w:val="00FB5419"/>
    <w:rsid w:val="00FB64F8"/>
    <w:rsid w:val="00FB6A3D"/>
    <w:rsid w:val="00FB7137"/>
    <w:rsid w:val="00FB7989"/>
    <w:rsid w:val="00FB7CEA"/>
    <w:rsid w:val="00FB7F01"/>
    <w:rsid w:val="00FC035B"/>
    <w:rsid w:val="00FC0641"/>
    <w:rsid w:val="00FC0CC5"/>
    <w:rsid w:val="00FC133B"/>
    <w:rsid w:val="00FC15EA"/>
    <w:rsid w:val="00FC1657"/>
    <w:rsid w:val="00FC18C8"/>
    <w:rsid w:val="00FC1962"/>
    <w:rsid w:val="00FC1D63"/>
    <w:rsid w:val="00FC1FE8"/>
    <w:rsid w:val="00FC277B"/>
    <w:rsid w:val="00FC3108"/>
    <w:rsid w:val="00FC3C08"/>
    <w:rsid w:val="00FC417F"/>
    <w:rsid w:val="00FC4AB3"/>
    <w:rsid w:val="00FC4BD7"/>
    <w:rsid w:val="00FC4E4C"/>
    <w:rsid w:val="00FC5122"/>
    <w:rsid w:val="00FC528D"/>
    <w:rsid w:val="00FC5B94"/>
    <w:rsid w:val="00FC6003"/>
    <w:rsid w:val="00FC65B5"/>
    <w:rsid w:val="00FC6B98"/>
    <w:rsid w:val="00FC70EE"/>
    <w:rsid w:val="00FC760B"/>
    <w:rsid w:val="00FC7B3A"/>
    <w:rsid w:val="00FD02A3"/>
    <w:rsid w:val="00FD0EEB"/>
    <w:rsid w:val="00FD122E"/>
    <w:rsid w:val="00FD137C"/>
    <w:rsid w:val="00FD14E1"/>
    <w:rsid w:val="00FD19A5"/>
    <w:rsid w:val="00FD1BCE"/>
    <w:rsid w:val="00FD1CD6"/>
    <w:rsid w:val="00FD1D0C"/>
    <w:rsid w:val="00FD1E41"/>
    <w:rsid w:val="00FD2181"/>
    <w:rsid w:val="00FD22B1"/>
    <w:rsid w:val="00FD23CD"/>
    <w:rsid w:val="00FD23E0"/>
    <w:rsid w:val="00FD24EF"/>
    <w:rsid w:val="00FD25D7"/>
    <w:rsid w:val="00FD2D5F"/>
    <w:rsid w:val="00FD2EE2"/>
    <w:rsid w:val="00FD2F5E"/>
    <w:rsid w:val="00FD31E3"/>
    <w:rsid w:val="00FD3349"/>
    <w:rsid w:val="00FD37E9"/>
    <w:rsid w:val="00FD3891"/>
    <w:rsid w:val="00FD3D68"/>
    <w:rsid w:val="00FD3F48"/>
    <w:rsid w:val="00FD3FD4"/>
    <w:rsid w:val="00FD4286"/>
    <w:rsid w:val="00FD4520"/>
    <w:rsid w:val="00FD458D"/>
    <w:rsid w:val="00FD483F"/>
    <w:rsid w:val="00FD49DE"/>
    <w:rsid w:val="00FD49FC"/>
    <w:rsid w:val="00FD4A1F"/>
    <w:rsid w:val="00FD5168"/>
    <w:rsid w:val="00FD537A"/>
    <w:rsid w:val="00FD5879"/>
    <w:rsid w:val="00FD58AA"/>
    <w:rsid w:val="00FD5BE8"/>
    <w:rsid w:val="00FD6088"/>
    <w:rsid w:val="00FD659B"/>
    <w:rsid w:val="00FD6840"/>
    <w:rsid w:val="00FD68B9"/>
    <w:rsid w:val="00FD69EB"/>
    <w:rsid w:val="00FD6AB9"/>
    <w:rsid w:val="00FD6DB5"/>
    <w:rsid w:val="00FD6FAD"/>
    <w:rsid w:val="00FD7626"/>
    <w:rsid w:val="00FD78D8"/>
    <w:rsid w:val="00FD79CD"/>
    <w:rsid w:val="00FD7E37"/>
    <w:rsid w:val="00FD7FD5"/>
    <w:rsid w:val="00FE09AA"/>
    <w:rsid w:val="00FE0D59"/>
    <w:rsid w:val="00FE1294"/>
    <w:rsid w:val="00FE1455"/>
    <w:rsid w:val="00FE1B2F"/>
    <w:rsid w:val="00FE1DE7"/>
    <w:rsid w:val="00FE2181"/>
    <w:rsid w:val="00FE2C05"/>
    <w:rsid w:val="00FE2C79"/>
    <w:rsid w:val="00FE3362"/>
    <w:rsid w:val="00FE3579"/>
    <w:rsid w:val="00FE35CF"/>
    <w:rsid w:val="00FE3844"/>
    <w:rsid w:val="00FE3FD5"/>
    <w:rsid w:val="00FE5771"/>
    <w:rsid w:val="00FE67C0"/>
    <w:rsid w:val="00FE6C36"/>
    <w:rsid w:val="00FE6CD0"/>
    <w:rsid w:val="00FE6FD3"/>
    <w:rsid w:val="00FE6FF0"/>
    <w:rsid w:val="00FE7088"/>
    <w:rsid w:val="00FE70D7"/>
    <w:rsid w:val="00FE7484"/>
    <w:rsid w:val="00FE7691"/>
    <w:rsid w:val="00FE7902"/>
    <w:rsid w:val="00FE7917"/>
    <w:rsid w:val="00FE7A96"/>
    <w:rsid w:val="00FE7F63"/>
    <w:rsid w:val="00FF0455"/>
    <w:rsid w:val="00FF05C9"/>
    <w:rsid w:val="00FF0E24"/>
    <w:rsid w:val="00FF0E91"/>
    <w:rsid w:val="00FF0EED"/>
    <w:rsid w:val="00FF19C9"/>
    <w:rsid w:val="00FF1A4B"/>
    <w:rsid w:val="00FF1BCC"/>
    <w:rsid w:val="00FF1EDD"/>
    <w:rsid w:val="00FF2914"/>
    <w:rsid w:val="00FF2BFF"/>
    <w:rsid w:val="00FF2CF2"/>
    <w:rsid w:val="00FF2D10"/>
    <w:rsid w:val="00FF308D"/>
    <w:rsid w:val="00FF342F"/>
    <w:rsid w:val="00FF3AB0"/>
    <w:rsid w:val="00FF3E06"/>
    <w:rsid w:val="00FF4064"/>
    <w:rsid w:val="00FF4143"/>
    <w:rsid w:val="00FF51D0"/>
    <w:rsid w:val="00FF53AD"/>
    <w:rsid w:val="00FF53BE"/>
    <w:rsid w:val="00FF5AC5"/>
    <w:rsid w:val="00FF5D8E"/>
    <w:rsid w:val="00FF65C1"/>
    <w:rsid w:val="00FF6681"/>
    <w:rsid w:val="00FF6793"/>
    <w:rsid w:val="00FF6952"/>
    <w:rsid w:val="00FF6AE7"/>
    <w:rsid w:val="00FF6DC3"/>
    <w:rsid w:val="00FF700E"/>
    <w:rsid w:val="00FF73DF"/>
    <w:rsid w:val="00FF7D08"/>
    <w:rsid w:val="00FF7F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72557"/>
    <w:rPr>
      <w:sz w:val="24"/>
      <w:szCs w:val="24"/>
    </w:rPr>
  </w:style>
  <w:style w:type="paragraph" w:styleId="Heading1">
    <w:name w:val="heading 1"/>
    <w:basedOn w:val="BodyText"/>
    <w:next w:val="BodyText"/>
    <w:link w:val="Heading1Char"/>
    <w:rsid w:val="005725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7255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72557"/>
    <w:pPr>
      <w:spacing w:before="560" w:line="320" w:lineRule="exact"/>
      <w:ind w:left="0" w:firstLine="0"/>
      <w:outlineLvl w:val="2"/>
    </w:pPr>
    <w:rPr>
      <w:sz w:val="26"/>
    </w:rPr>
  </w:style>
  <w:style w:type="paragraph" w:styleId="Heading4">
    <w:name w:val="heading 4"/>
    <w:basedOn w:val="Heading3"/>
    <w:next w:val="BodyText"/>
    <w:qFormat/>
    <w:rsid w:val="00572557"/>
    <w:pPr>
      <w:spacing w:before="480"/>
      <w:outlineLvl w:val="3"/>
    </w:pPr>
    <w:rPr>
      <w:b w:val="0"/>
      <w:sz w:val="24"/>
    </w:rPr>
  </w:style>
  <w:style w:type="paragraph" w:styleId="Heading5">
    <w:name w:val="heading 5"/>
    <w:basedOn w:val="Heading4"/>
    <w:next w:val="BodyText"/>
    <w:link w:val="Heading5Char"/>
    <w:qFormat/>
    <w:rsid w:val="00572557"/>
    <w:pPr>
      <w:outlineLvl w:val="4"/>
    </w:pPr>
    <w:rPr>
      <w:i/>
      <w:sz w:val="22"/>
    </w:rPr>
  </w:style>
  <w:style w:type="paragraph" w:styleId="Heading6">
    <w:name w:val="heading 6"/>
    <w:basedOn w:val="BodyText"/>
    <w:next w:val="BodyText"/>
    <w:rsid w:val="00572557"/>
    <w:pPr>
      <w:spacing w:after="60"/>
      <w:jc w:val="left"/>
      <w:outlineLvl w:val="5"/>
    </w:pPr>
    <w:rPr>
      <w:i/>
      <w:sz w:val="22"/>
    </w:rPr>
  </w:style>
  <w:style w:type="paragraph" w:styleId="Heading7">
    <w:name w:val="heading 7"/>
    <w:basedOn w:val="BodyText"/>
    <w:next w:val="BodyText"/>
    <w:rsid w:val="00572557"/>
    <w:pPr>
      <w:spacing w:after="60" w:line="240" w:lineRule="auto"/>
      <w:jc w:val="left"/>
      <w:outlineLvl w:val="6"/>
    </w:pPr>
    <w:rPr>
      <w:rFonts w:ascii="Arial" w:hAnsi="Arial"/>
      <w:sz w:val="20"/>
    </w:rPr>
  </w:style>
  <w:style w:type="paragraph" w:styleId="Heading8">
    <w:name w:val="heading 8"/>
    <w:basedOn w:val="BodyText"/>
    <w:next w:val="BodyText"/>
    <w:rsid w:val="00572557"/>
    <w:pPr>
      <w:spacing w:after="60" w:line="240" w:lineRule="auto"/>
      <w:jc w:val="left"/>
      <w:outlineLvl w:val="7"/>
    </w:pPr>
    <w:rPr>
      <w:rFonts w:ascii="Arial" w:hAnsi="Arial"/>
      <w:i/>
      <w:sz w:val="20"/>
    </w:rPr>
  </w:style>
  <w:style w:type="paragraph" w:styleId="Heading9">
    <w:name w:val="heading 9"/>
    <w:basedOn w:val="BodyText"/>
    <w:next w:val="BodyText"/>
    <w:rsid w:val="005725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72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557"/>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572557"/>
    <w:pPr>
      <w:spacing w:before="240" w:line="300" w:lineRule="atLeast"/>
      <w:jc w:val="both"/>
    </w:pPr>
    <w:rPr>
      <w:sz w:val="24"/>
    </w:rPr>
  </w:style>
  <w:style w:type="paragraph" w:customStyle="1" w:styleId="Chapter">
    <w:name w:val="Chapter"/>
    <w:basedOn w:val="Heading1"/>
    <w:next w:val="BodyText"/>
    <w:semiHidden/>
    <w:rsid w:val="00572557"/>
    <w:pPr>
      <w:ind w:left="0" w:firstLine="0"/>
      <w:outlineLvl w:val="9"/>
    </w:pPr>
  </w:style>
  <w:style w:type="paragraph" w:styleId="Footer">
    <w:name w:val="footer"/>
    <w:basedOn w:val="BodyText"/>
    <w:link w:val="FooterChar"/>
    <w:rsid w:val="00572557"/>
    <w:pPr>
      <w:spacing w:before="80" w:line="200" w:lineRule="exact"/>
      <w:ind w:right="6"/>
      <w:jc w:val="left"/>
    </w:pPr>
    <w:rPr>
      <w:rFonts w:ascii="Arial" w:hAnsi="Arial"/>
      <w:caps/>
      <w:spacing w:val="-4"/>
      <w:sz w:val="16"/>
    </w:rPr>
  </w:style>
  <w:style w:type="paragraph" w:customStyle="1" w:styleId="FooterEnd">
    <w:name w:val="Footer End"/>
    <w:basedOn w:val="Footer"/>
    <w:rsid w:val="00572557"/>
    <w:pPr>
      <w:spacing w:before="0" w:line="20" w:lineRule="exact"/>
    </w:pPr>
  </w:style>
  <w:style w:type="paragraph" w:styleId="Header">
    <w:name w:val="header"/>
    <w:basedOn w:val="BodyText"/>
    <w:rsid w:val="005725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72557"/>
    <w:pPr>
      <w:spacing w:line="20" w:lineRule="exact"/>
    </w:pPr>
    <w:rPr>
      <w:sz w:val="16"/>
    </w:rPr>
  </w:style>
  <w:style w:type="paragraph" w:customStyle="1" w:styleId="HeaderEven">
    <w:name w:val="Header Even"/>
    <w:basedOn w:val="Header"/>
    <w:semiHidden/>
    <w:rsid w:val="00572557"/>
  </w:style>
  <w:style w:type="paragraph" w:customStyle="1" w:styleId="HeaderOdd">
    <w:name w:val="Header Odd"/>
    <w:basedOn w:val="Header"/>
    <w:rsid w:val="00572557"/>
  </w:style>
  <w:style w:type="character" w:styleId="PageNumber">
    <w:name w:val="page number"/>
    <w:basedOn w:val="DefaultParagraphFont"/>
    <w:rsid w:val="00572557"/>
    <w:rPr>
      <w:rFonts w:ascii="Arial" w:hAnsi="Arial"/>
      <w:b/>
      <w:sz w:val="16"/>
    </w:rPr>
  </w:style>
  <w:style w:type="paragraph" w:customStyle="1" w:styleId="Abbreviation">
    <w:name w:val="Abbreviation"/>
    <w:basedOn w:val="BodyText"/>
    <w:rsid w:val="00572557"/>
    <w:pPr>
      <w:spacing w:before="120"/>
      <w:ind w:left="2381" w:hanging="2381"/>
      <w:jc w:val="left"/>
    </w:pPr>
  </w:style>
  <w:style w:type="paragraph" w:customStyle="1" w:styleId="Box">
    <w:name w:val="Box"/>
    <w:basedOn w:val="BodyText"/>
    <w:link w:val="BoxChar"/>
    <w:qFormat/>
    <w:rsid w:val="0057255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72557"/>
    <w:pPr>
      <w:spacing w:before="180" w:line="220" w:lineRule="exact"/>
      <w:jc w:val="right"/>
    </w:pPr>
    <w:rPr>
      <w:rFonts w:ascii="Arial" w:hAnsi="Arial"/>
      <w:sz w:val="18"/>
    </w:rPr>
  </w:style>
  <w:style w:type="paragraph" w:customStyle="1" w:styleId="BoxHeading1">
    <w:name w:val="Box Heading 1"/>
    <w:basedOn w:val="BodyText"/>
    <w:next w:val="Box"/>
    <w:rsid w:val="00572557"/>
    <w:pPr>
      <w:keepNext/>
      <w:spacing w:before="200" w:line="280" w:lineRule="atLeast"/>
    </w:pPr>
    <w:rPr>
      <w:rFonts w:ascii="Arial" w:hAnsi="Arial"/>
      <w:b/>
      <w:sz w:val="22"/>
    </w:rPr>
  </w:style>
  <w:style w:type="paragraph" w:customStyle="1" w:styleId="BoxHeading2">
    <w:name w:val="Box Heading 2"/>
    <w:basedOn w:val="BoxHeading1"/>
    <w:next w:val="Normal"/>
    <w:rsid w:val="00572557"/>
    <w:rPr>
      <w:b w:val="0"/>
      <w:i/>
    </w:rPr>
  </w:style>
  <w:style w:type="paragraph" w:customStyle="1" w:styleId="BoxListBullet">
    <w:name w:val="Box List Bullet"/>
    <w:basedOn w:val="BodyText"/>
    <w:link w:val="BoxListBulletChar"/>
    <w:rsid w:val="005725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72557"/>
    <w:pPr>
      <w:numPr>
        <w:numId w:val="2"/>
      </w:numPr>
      <w:ind w:left="568" w:hanging="284"/>
    </w:pPr>
  </w:style>
  <w:style w:type="paragraph" w:customStyle="1" w:styleId="BoxListNumber">
    <w:name w:val="Box List Number"/>
    <w:basedOn w:val="BodyText"/>
    <w:rsid w:val="0057255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72557"/>
    <w:pPr>
      <w:numPr>
        <w:ilvl w:val="1"/>
      </w:numPr>
      <w:ind w:left="681" w:hanging="397"/>
    </w:pPr>
  </w:style>
  <w:style w:type="paragraph" w:customStyle="1" w:styleId="BoxQuote">
    <w:name w:val="Box Quote"/>
    <w:basedOn w:val="BodyText"/>
    <w:next w:val="Box"/>
    <w:qFormat/>
    <w:rsid w:val="00572557"/>
    <w:pPr>
      <w:keepNext/>
      <w:spacing w:before="60" w:line="240" w:lineRule="exact"/>
      <w:ind w:left="284"/>
    </w:pPr>
    <w:rPr>
      <w:rFonts w:ascii="Arial" w:hAnsi="Arial"/>
      <w:sz w:val="18"/>
    </w:rPr>
  </w:style>
  <w:style w:type="paragraph" w:customStyle="1" w:styleId="Note">
    <w:name w:val="Note"/>
    <w:basedOn w:val="BodyText"/>
    <w:next w:val="BodyText"/>
    <w:link w:val="NoteChar"/>
    <w:rsid w:val="00572557"/>
    <w:pPr>
      <w:keepLines/>
      <w:spacing w:before="80" w:line="220" w:lineRule="exact"/>
    </w:pPr>
    <w:rPr>
      <w:rFonts w:ascii="Arial" w:hAnsi="Arial"/>
      <w:sz w:val="18"/>
    </w:rPr>
  </w:style>
  <w:style w:type="paragraph" w:customStyle="1" w:styleId="Source">
    <w:name w:val="Source"/>
    <w:basedOn w:val="Normal"/>
    <w:next w:val="BodyText"/>
    <w:link w:val="SourceChar"/>
    <w:rsid w:val="00572557"/>
    <w:pPr>
      <w:keepLines/>
      <w:spacing w:before="80" w:line="220" w:lineRule="exact"/>
      <w:jc w:val="both"/>
    </w:pPr>
    <w:rPr>
      <w:rFonts w:ascii="Arial" w:hAnsi="Arial"/>
      <w:sz w:val="18"/>
      <w:szCs w:val="20"/>
    </w:rPr>
  </w:style>
  <w:style w:type="paragraph" w:customStyle="1" w:styleId="BoxSource">
    <w:name w:val="Box Source"/>
    <w:basedOn w:val="Source"/>
    <w:next w:val="BodyText"/>
    <w:rsid w:val="00572557"/>
    <w:pPr>
      <w:spacing w:before="12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5725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72557"/>
    <w:pPr>
      <w:spacing w:before="120" w:after="0"/>
    </w:pPr>
  </w:style>
  <w:style w:type="paragraph" w:customStyle="1" w:styleId="BoxSubtitle">
    <w:name w:val="Box Subtitle"/>
    <w:basedOn w:val="BoxTitle"/>
    <w:next w:val="Normal"/>
    <w:rsid w:val="00572557"/>
    <w:pPr>
      <w:spacing w:after="80" w:line="200" w:lineRule="exact"/>
      <w:ind w:firstLine="0"/>
    </w:pPr>
    <w:rPr>
      <w:b w:val="0"/>
      <w:sz w:val="20"/>
    </w:rPr>
  </w:style>
  <w:style w:type="paragraph" w:customStyle="1" w:styleId="ChapterSummary">
    <w:name w:val="Chapter Summary"/>
    <w:basedOn w:val="BodyText"/>
    <w:rsid w:val="00572557"/>
    <w:pPr>
      <w:spacing w:line="280" w:lineRule="atLeast"/>
      <w:ind w:left="907"/>
    </w:pPr>
    <w:rPr>
      <w:rFonts w:ascii="Arial" w:hAnsi="Arial"/>
      <w:b/>
      <w:sz w:val="20"/>
    </w:rPr>
  </w:style>
  <w:style w:type="character" w:styleId="CommentReference">
    <w:name w:val="annotation reference"/>
    <w:basedOn w:val="DefaultParagraphFont"/>
    <w:semiHidden/>
    <w:rsid w:val="00572557"/>
    <w:rPr>
      <w:b/>
      <w:vanish/>
      <w:color w:val="FF00FF"/>
      <w:sz w:val="20"/>
    </w:rPr>
  </w:style>
  <w:style w:type="paragraph" w:styleId="CommentText">
    <w:name w:val="annotation text"/>
    <w:basedOn w:val="Normal"/>
    <w:link w:val="CommentTextChar"/>
    <w:semiHidden/>
    <w:rsid w:val="00572557"/>
    <w:pPr>
      <w:spacing w:before="120" w:line="240" w:lineRule="atLeast"/>
      <w:ind w:left="567" w:hanging="567"/>
    </w:pPr>
    <w:rPr>
      <w:sz w:val="20"/>
    </w:rPr>
  </w:style>
  <w:style w:type="paragraph" w:customStyle="1" w:styleId="Continued">
    <w:name w:val="Continued"/>
    <w:basedOn w:val="BoxContinued"/>
    <w:next w:val="BodyText"/>
    <w:link w:val="ContinuedChar"/>
    <w:rsid w:val="00572557"/>
  </w:style>
  <w:style w:type="character" w:customStyle="1" w:styleId="DocumentInfo">
    <w:name w:val="Document Info"/>
    <w:basedOn w:val="DefaultParagraphFont"/>
    <w:semiHidden/>
    <w:rsid w:val="00572557"/>
    <w:rPr>
      <w:rFonts w:ascii="Arial" w:hAnsi="Arial"/>
      <w:sz w:val="14"/>
    </w:rPr>
  </w:style>
  <w:style w:type="character" w:customStyle="1" w:styleId="DraftingNote">
    <w:name w:val="Drafting Note"/>
    <w:basedOn w:val="DefaultParagraphFont"/>
    <w:rsid w:val="00572557"/>
    <w:rPr>
      <w:b/>
      <w:color w:val="FF0000"/>
      <w:sz w:val="24"/>
      <w:u w:val="dotted"/>
    </w:rPr>
  </w:style>
  <w:style w:type="paragraph" w:customStyle="1" w:styleId="Figure">
    <w:name w:val="Figure"/>
    <w:basedOn w:val="BodyText"/>
    <w:rsid w:val="00572557"/>
    <w:pPr>
      <w:keepNext/>
      <w:spacing w:before="120" w:after="120" w:line="240" w:lineRule="atLeast"/>
      <w:jc w:val="center"/>
    </w:pPr>
  </w:style>
  <w:style w:type="paragraph" w:customStyle="1" w:styleId="FigureTitle">
    <w:name w:val="Figure Title"/>
    <w:basedOn w:val="Caption"/>
    <w:next w:val="Subtitle"/>
    <w:rsid w:val="00572557"/>
    <w:pPr>
      <w:spacing w:before="120"/>
    </w:pPr>
  </w:style>
  <w:style w:type="paragraph" w:styleId="Subtitle">
    <w:name w:val="Subtitle"/>
    <w:basedOn w:val="Caption"/>
    <w:link w:val="SubtitleChar"/>
    <w:qFormat/>
    <w:rsid w:val="00572557"/>
    <w:pPr>
      <w:spacing w:before="0" w:line="200" w:lineRule="exact"/>
      <w:ind w:firstLine="0"/>
    </w:pPr>
    <w:rPr>
      <w:b w:val="0"/>
      <w:sz w:val="20"/>
    </w:rPr>
  </w:style>
  <w:style w:type="paragraph" w:customStyle="1" w:styleId="Finding">
    <w:name w:val="Finding"/>
    <w:basedOn w:val="BodyText"/>
    <w:rsid w:val="00572557"/>
    <w:pPr>
      <w:keepLines/>
      <w:spacing w:before="120" w:line="280" w:lineRule="atLeast"/>
    </w:pPr>
    <w:rPr>
      <w:rFonts w:ascii="Arial" w:hAnsi="Arial"/>
      <w:sz w:val="22"/>
    </w:rPr>
  </w:style>
  <w:style w:type="paragraph" w:customStyle="1" w:styleId="FindingBullet">
    <w:name w:val="Finding Bullet"/>
    <w:basedOn w:val="Finding"/>
    <w:rsid w:val="00572557"/>
    <w:pPr>
      <w:numPr>
        <w:numId w:val="3"/>
      </w:numPr>
      <w:spacing w:before="80"/>
    </w:pPr>
  </w:style>
  <w:style w:type="paragraph" w:customStyle="1" w:styleId="FindingNoTitle">
    <w:name w:val="Finding NoTitle"/>
    <w:basedOn w:val="Finding"/>
    <w:rsid w:val="00572557"/>
    <w:pPr>
      <w:spacing w:before="240"/>
    </w:pPr>
  </w:style>
  <w:style w:type="paragraph" w:customStyle="1" w:styleId="RecTitle">
    <w:name w:val="Rec Title"/>
    <w:basedOn w:val="BodyText"/>
    <w:next w:val="Rec"/>
    <w:qFormat/>
    <w:rsid w:val="00572557"/>
    <w:pPr>
      <w:keepNext/>
      <w:keepLines/>
      <w:spacing w:line="280" w:lineRule="atLeast"/>
    </w:pPr>
    <w:rPr>
      <w:rFonts w:ascii="Arial" w:hAnsi="Arial"/>
      <w:caps/>
      <w:sz w:val="18"/>
    </w:rPr>
  </w:style>
  <w:style w:type="paragraph" w:customStyle="1" w:styleId="FindingTitle">
    <w:name w:val="Finding Title"/>
    <w:basedOn w:val="RecTitle"/>
    <w:next w:val="Finding"/>
    <w:rsid w:val="00572557"/>
  </w:style>
  <w:style w:type="character" w:styleId="FootnoteReference">
    <w:name w:val="footnote reference"/>
    <w:basedOn w:val="DefaultParagraphFont"/>
    <w:rsid w:val="00572557"/>
    <w:rPr>
      <w:rFonts w:ascii="Times New Roman" w:hAnsi="Times New Roman"/>
      <w:position w:val="6"/>
      <w:sz w:val="20"/>
      <w:vertAlign w:val="baseline"/>
    </w:rPr>
  </w:style>
  <w:style w:type="paragraph" w:styleId="FootnoteText">
    <w:name w:val="footnote text"/>
    <w:basedOn w:val="BodyText"/>
    <w:rsid w:val="005725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72557"/>
    <w:rPr>
      <w:i/>
    </w:rPr>
  </w:style>
  <w:style w:type="paragraph" w:customStyle="1" w:styleId="Jurisdictioncommentsbodytext">
    <w:name w:val="Jurisdiction comments body text"/>
    <w:rsid w:val="00572557"/>
    <w:pPr>
      <w:spacing w:after="140"/>
      <w:jc w:val="both"/>
    </w:pPr>
    <w:rPr>
      <w:rFonts w:ascii="Arial" w:hAnsi="Arial"/>
      <w:sz w:val="24"/>
      <w:lang w:eastAsia="en-US"/>
    </w:rPr>
  </w:style>
  <w:style w:type="paragraph" w:customStyle="1" w:styleId="Jurisdictioncommentsheading">
    <w:name w:val="Jurisdiction comments heading"/>
    <w:rsid w:val="005725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72557"/>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572557"/>
    <w:pPr>
      <w:numPr>
        <w:numId w:val="5"/>
      </w:numPr>
      <w:spacing w:before="120"/>
    </w:pPr>
  </w:style>
  <w:style w:type="paragraph" w:styleId="ListBullet2">
    <w:name w:val="List Bullet 2"/>
    <w:basedOn w:val="BodyText"/>
    <w:rsid w:val="00572557"/>
    <w:pPr>
      <w:numPr>
        <w:numId w:val="6"/>
      </w:numPr>
      <w:spacing w:before="120"/>
    </w:pPr>
  </w:style>
  <w:style w:type="paragraph" w:styleId="ListBullet3">
    <w:name w:val="List Bullet 3"/>
    <w:basedOn w:val="BodyText"/>
    <w:rsid w:val="00572557"/>
    <w:pPr>
      <w:numPr>
        <w:numId w:val="7"/>
      </w:numPr>
      <w:spacing w:before="120"/>
      <w:ind w:left="1020" w:hanging="340"/>
    </w:pPr>
  </w:style>
  <w:style w:type="paragraph" w:styleId="ListNumber">
    <w:name w:val="List Number"/>
    <w:basedOn w:val="BodyText"/>
    <w:rsid w:val="00572557"/>
    <w:pPr>
      <w:numPr>
        <w:numId w:val="13"/>
      </w:numPr>
      <w:spacing w:before="120"/>
    </w:pPr>
  </w:style>
  <w:style w:type="paragraph" w:styleId="ListNumber2">
    <w:name w:val="List Number 2"/>
    <w:basedOn w:val="ListNumber"/>
    <w:rsid w:val="00572557"/>
    <w:pPr>
      <w:numPr>
        <w:ilvl w:val="1"/>
      </w:numPr>
    </w:pPr>
  </w:style>
  <w:style w:type="paragraph" w:styleId="ListNumber3">
    <w:name w:val="List Number 3"/>
    <w:basedOn w:val="ListNumber2"/>
    <w:rsid w:val="00572557"/>
    <w:pPr>
      <w:numPr>
        <w:ilvl w:val="2"/>
      </w:numPr>
    </w:pPr>
  </w:style>
  <w:style w:type="character" w:customStyle="1" w:styleId="NoteLabel">
    <w:name w:val="Note Label"/>
    <w:basedOn w:val="DefaultParagraphFont"/>
    <w:rsid w:val="00572557"/>
    <w:rPr>
      <w:rFonts w:ascii="Arial" w:hAnsi="Arial"/>
      <w:b/>
      <w:position w:val="6"/>
      <w:sz w:val="18"/>
    </w:rPr>
  </w:style>
  <w:style w:type="paragraph" w:customStyle="1" w:styleId="PartDivider">
    <w:name w:val="Part Divider"/>
    <w:basedOn w:val="BodyText"/>
    <w:next w:val="BodyText"/>
    <w:semiHidden/>
    <w:rsid w:val="00572557"/>
    <w:pPr>
      <w:spacing w:before="0" w:line="40" w:lineRule="exact"/>
      <w:jc w:val="right"/>
    </w:pPr>
    <w:rPr>
      <w:smallCaps/>
      <w:sz w:val="16"/>
    </w:rPr>
  </w:style>
  <w:style w:type="paragraph" w:customStyle="1" w:styleId="PartNumber">
    <w:name w:val="Part Number"/>
    <w:basedOn w:val="BodyText"/>
    <w:next w:val="BodyText"/>
    <w:semiHidden/>
    <w:rsid w:val="00572557"/>
    <w:pPr>
      <w:spacing w:before="4000" w:line="320" w:lineRule="exact"/>
      <w:ind w:left="6634"/>
      <w:jc w:val="right"/>
    </w:pPr>
    <w:rPr>
      <w:smallCaps/>
      <w:spacing w:val="60"/>
      <w:sz w:val="32"/>
    </w:rPr>
  </w:style>
  <w:style w:type="paragraph" w:customStyle="1" w:styleId="PartTitle">
    <w:name w:val="Part Title"/>
    <w:basedOn w:val="BodyText"/>
    <w:rsid w:val="00572557"/>
    <w:pPr>
      <w:spacing w:before="160" w:after="1360" w:line="520" w:lineRule="exact"/>
      <w:ind w:right="2381"/>
      <w:jc w:val="right"/>
    </w:pPr>
    <w:rPr>
      <w:smallCaps/>
      <w:sz w:val="52"/>
    </w:rPr>
  </w:style>
  <w:style w:type="paragraph" w:styleId="Quote">
    <w:name w:val="Quote"/>
    <w:basedOn w:val="BodyText"/>
    <w:next w:val="BodyText"/>
    <w:qFormat/>
    <w:rsid w:val="00572557"/>
    <w:pPr>
      <w:spacing w:before="120" w:line="280" w:lineRule="exact"/>
      <w:ind w:left="340"/>
    </w:pPr>
    <w:rPr>
      <w:sz w:val="22"/>
    </w:rPr>
  </w:style>
  <w:style w:type="paragraph" w:customStyle="1" w:styleId="QuoteBullet">
    <w:name w:val="Quote Bullet"/>
    <w:basedOn w:val="Quote"/>
    <w:rsid w:val="00572557"/>
    <w:pPr>
      <w:numPr>
        <w:numId w:val="8"/>
      </w:numPr>
    </w:pPr>
  </w:style>
  <w:style w:type="paragraph" w:customStyle="1" w:styleId="Rec">
    <w:name w:val="Rec"/>
    <w:basedOn w:val="BodyText"/>
    <w:qFormat/>
    <w:rsid w:val="00572557"/>
    <w:pPr>
      <w:keepLines/>
      <w:spacing w:before="120" w:line="280" w:lineRule="atLeast"/>
    </w:pPr>
    <w:rPr>
      <w:rFonts w:ascii="Arial" w:hAnsi="Arial"/>
      <w:sz w:val="22"/>
    </w:rPr>
  </w:style>
  <w:style w:type="paragraph" w:customStyle="1" w:styleId="RecBullet">
    <w:name w:val="Rec Bullet"/>
    <w:basedOn w:val="Rec"/>
    <w:rsid w:val="00572557"/>
    <w:pPr>
      <w:numPr>
        <w:numId w:val="9"/>
      </w:numPr>
      <w:spacing w:before="80"/>
    </w:pPr>
  </w:style>
  <w:style w:type="paragraph" w:customStyle="1" w:styleId="RecB">
    <w:name w:val="RecB"/>
    <w:basedOn w:val="Normal"/>
    <w:rsid w:val="005725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72557"/>
    <w:pPr>
      <w:numPr>
        <w:numId w:val="10"/>
      </w:numPr>
      <w:spacing w:before="80"/>
    </w:pPr>
  </w:style>
  <w:style w:type="paragraph" w:customStyle="1" w:styleId="RecBNoTitle">
    <w:name w:val="RecB NoTitle"/>
    <w:basedOn w:val="RecB"/>
    <w:rsid w:val="00572557"/>
    <w:pPr>
      <w:spacing w:before="240"/>
    </w:pPr>
  </w:style>
  <w:style w:type="paragraph" w:customStyle="1" w:styleId="Reference">
    <w:name w:val="Reference"/>
    <w:basedOn w:val="BodyText"/>
    <w:rsid w:val="00572557"/>
    <w:pPr>
      <w:spacing w:before="120"/>
      <w:ind w:left="340" w:hanging="340"/>
    </w:pPr>
  </w:style>
  <w:style w:type="paragraph" w:customStyle="1" w:styleId="SequenceInfo">
    <w:name w:val="Sequence Info"/>
    <w:basedOn w:val="BodyText"/>
    <w:semiHidden/>
    <w:rsid w:val="00572557"/>
    <w:rPr>
      <w:vanish/>
      <w:sz w:val="16"/>
    </w:rPr>
  </w:style>
  <w:style w:type="paragraph" w:customStyle="1" w:styleId="SideNote">
    <w:name w:val="Side Note"/>
    <w:basedOn w:val="BodyText"/>
    <w:next w:val="BodyText"/>
    <w:semiHidden/>
    <w:rsid w:val="005725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72557"/>
    <w:pPr>
      <w:framePr w:wrap="around"/>
      <w:numPr>
        <w:numId w:val="11"/>
      </w:numPr>
      <w:tabs>
        <w:tab w:val="left" w:pos="227"/>
      </w:tabs>
    </w:pPr>
  </w:style>
  <w:style w:type="paragraph" w:customStyle="1" w:styleId="SideNoteGraphic">
    <w:name w:val="Side Note Graphic"/>
    <w:basedOn w:val="SideNote"/>
    <w:next w:val="BodyText"/>
    <w:semiHidden/>
    <w:rsid w:val="00572557"/>
    <w:pPr>
      <w:framePr w:wrap="around"/>
    </w:pPr>
  </w:style>
  <w:style w:type="paragraph" w:customStyle="1" w:styleId="TableBodyText">
    <w:name w:val="Table Body Text"/>
    <w:basedOn w:val="BodyText"/>
    <w:link w:val="TableBodyTextChar"/>
    <w:rsid w:val="005725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572557"/>
    <w:pPr>
      <w:numPr>
        <w:numId w:val="12"/>
      </w:numPr>
      <w:jc w:val="left"/>
    </w:pPr>
  </w:style>
  <w:style w:type="paragraph" w:customStyle="1" w:styleId="TableColumnHeading">
    <w:name w:val="Table Column Heading"/>
    <w:basedOn w:val="TableBodyText"/>
    <w:link w:val="TableColumnHeadingChar"/>
    <w:rsid w:val="00572557"/>
    <w:pPr>
      <w:spacing w:before="80" w:after="80"/>
    </w:pPr>
    <w:rPr>
      <w:i/>
    </w:rPr>
  </w:style>
  <w:style w:type="paragraph" w:styleId="TOC2">
    <w:name w:val="toc 2"/>
    <w:basedOn w:val="TOC1"/>
    <w:rsid w:val="00572557"/>
    <w:pPr>
      <w:ind w:left="1134" w:hanging="624"/>
    </w:pPr>
    <w:rPr>
      <w:b w:val="0"/>
    </w:rPr>
  </w:style>
  <w:style w:type="paragraph" w:styleId="TOC3">
    <w:name w:val="toc 3"/>
    <w:basedOn w:val="TOC2"/>
    <w:rsid w:val="00572557"/>
    <w:pPr>
      <w:spacing w:before="60"/>
      <w:ind w:left="1190" w:hanging="680"/>
    </w:pPr>
  </w:style>
  <w:style w:type="paragraph" w:styleId="TableofFigures">
    <w:name w:val="table of figures"/>
    <w:basedOn w:val="TOC3"/>
    <w:next w:val="BodyText"/>
    <w:semiHidden/>
    <w:rsid w:val="00572557"/>
    <w:pPr>
      <w:ind w:left="737" w:hanging="737"/>
    </w:pPr>
  </w:style>
  <w:style w:type="paragraph" w:customStyle="1" w:styleId="TableTitle">
    <w:name w:val="Table Title"/>
    <w:basedOn w:val="Caption"/>
    <w:next w:val="Subtitle"/>
    <w:link w:val="TableTitleChar"/>
    <w:qFormat/>
    <w:rsid w:val="00572557"/>
    <w:pPr>
      <w:spacing w:before="120"/>
    </w:pPr>
  </w:style>
  <w:style w:type="paragraph" w:customStyle="1" w:styleId="TableUnitsRow">
    <w:name w:val="Table Units Row"/>
    <w:basedOn w:val="TableBodyText"/>
    <w:rsid w:val="00572557"/>
    <w:pPr>
      <w:spacing w:before="40"/>
    </w:pPr>
  </w:style>
  <w:style w:type="paragraph" w:styleId="TOC1">
    <w:name w:val="toc 1"/>
    <w:basedOn w:val="Normal"/>
    <w:next w:val="TOC2"/>
    <w:link w:val="TOC1Char"/>
    <w:rsid w:val="005725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72557"/>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572557"/>
    <w:rPr>
      <w:rFonts w:ascii="Tahoma" w:hAnsi="Tahoma" w:cs="Tahoma"/>
      <w:sz w:val="16"/>
      <w:szCs w:val="16"/>
    </w:rPr>
  </w:style>
  <w:style w:type="table" w:styleId="TableGrid">
    <w:name w:val="Table Grid"/>
    <w:basedOn w:val="TableNormal"/>
    <w:rsid w:val="00572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basedOn w:val="DefaultParagraphFont"/>
    <w:link w:val="BodyText"/>
    <w:rsid w:val="00572557"/>
    <w:rPr>
      <w:sz w:val="24"/>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sz w:val="18"/>
    </w:rPr>
  </w:style>
  <w:style w:type="character" w:customStyle="1" w:styleId="TableColumnHeadingChar">
    <w:name w:val="Table Column Heading Char"/>
    <w:link w:val="TableColumnHeading"/>
    <w:rsid w:val="0027625B"/>
    <w:rPr>
      <w:rFonts w:ascii="Arial" w:hAnsi="Arial"/>
      <w:i/>
      <w:sz w:val="18"/>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4"/>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572557"/>
    <w:rPr>
      <w:rFonts w:ascii="Arial" w:hAnsi="Arial"/>
      <w:szCs w:val="24"/>
    </w:rPr>
  </w:style>
  <w:style w:type="paragraph" w:customStyle="1" w:styleId="RecBBullet2">
    <w:name w:val="RecB Bullet 2"/>
    <w:basedOn w:val="ListBullet2"/>
    <w:semiHidden/>
    <w:rsid w:val="00572557"/>
    <w:pPr>
      <w:pBdr>
        <w:left w:val="single" w:sz="24" w:space="29" w:color="C0C0C0"/>
      </w:pBdr>
    </w:pPr>
    <w:rPr>
      <w:b/>
      <w:i/>
    </w:rPr>
  </w:style>
  <w:style w:type="character" w:customStyle="1" w:styleId="BalloonTextChar">
    <w:name w:val="Balloon Text Char"/>
    <w:basedOn w:val="DefaultParagraphFont"/>
    <w:link w:val="BalloonText"/>
    <w:rsid w:val="00572557"/>
    <w:rPr>
      <w:rFonts w:ascii="Tahoma" w:hAnsi="Tahoma" w:cs="Tahoma"/>
      <w:sz w:val="16"/>
      <w:szCs w:val="16"/>
    </w:rPr>
  </w:style>
  <w:style w:type="paragraph" w:customStyle="1" w:styleId="BoxListBullet3">
    <w:name w:val="Box List Bullet 3"/>
    <w:basedOn w:val="ListBullet3"/>
    <w:rsid w:val="00572557"/>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72557"/>
    <w:rPr>
      <w:i/>
      <w:iCs/>
    </w:rPr>
  </w:style>
  <w:style w:type="paragraph" w:customStyle="1" w:styleId="BoxQuoteBullet">
    <w:name w:val="Box Quote Bullet"/>
    <w:basedOn w:val="BoxQuote"/>
    <w:next w:val="Box"/>
    <w:rsid w:val="00572557"/>
    <w:pPr>
      <w:numPr>
        <w:numId w:val="16"/>
      </w:numPr>
      <w:ind w:left="568" w:hanging="284"/>
    </w:pPr>
  </w:style>
  <w:style w:type="paragraph" w:customStyle="1" w:styleId="InformationRequestBullet">
    <w:name w:val="Information Request Bullet"/>
    <w:basedOn w:val="ListBullet"/>
    <w:next w:val="BodyText"/>
    <w:rsid w:val="00572557"/>
    <w:pPr>
      <w:numPr>
        <w:numId w:val="17"/>
      </w:numPr>
      <w:spacing w:before="80" w:line="280" w:lineRule="atLeast"/>
      <w:ind w:left="357" w:hanging="357"/>
    </w:pPr>
    <w:rPr>
      <w:rFonts w:ascii="Arial" w:hAnsi="Arial"/>
      <w:i/>
      <w:sz w:val="22"/>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572557"/>
    <w:pPr>
      <w:keepNext/>
      <w:spacing w:before="360" w:line="80" w:lineRule="exact"/>
      <w:jc w:val="left"/>
    </w:pPr>
  </w:style>
  <w:style w:type="paragraph" w:customStyle="1" w:styleId="BoxSpaceBelow">
    <w:name w:val="Box Space Below"/>
    <w:basedOn w:val="Box"/>
    <w:rsid w:val="00572557"/>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 w:type="paragraph" w:customStyle="1" w:styleId="KeyPointsListBullet">
    <w:name w:val="Key Points List Bullet"/>
    <w:basedOn w:val="Normal"/>
    <w:qFormat/>
    <w:rsid w:val="00572557"/>
    <w:pPr>
      <w:keepNext/>
      <w:numPr>
        <w:numId w:val="22"/>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72557"/>
    <w:pPr>
      <w:numPr>
        <w:numId w:val="23"/>
      </w:numPr>
      <w:ind w:left="568" w:hanging="284"/>
    </w:pPr>
  </w:style>
  <w:style w:type="paragraph" w:customStyle="1" w:styleId="InformationRequestTitle">
    <w:name w:val="Information Request Title"/>
    <w:basedOn w:val="FindingTitle"/>
    <w:next w:val="InformationRequest"/>
    <w:rsid w:val="00572557"/>
    <w:rPr>
      <w:i/>
    </w:rPr>
  </w:style>
  <w:style w:type="paragraph" w:customStyle="1" w:styleId="Space">
    <w:name w:val="Space"/>
    <w:basedOn w:val="Normal"/>
    <w:rsid w:val="00572557"/>
    <w:pPr>
      <w:keepNext/>
      <w:spacing w:line="120" w:lineRule="exact"/>
      <w:jc w:val="both"/>
    </w:pPr>
    <w:rPr>
      <w:rFonts w:ascii="Arial" w:hAnsi="Arial"/>
      <w:sz w:val="20"/>
      <w:szCs w:val="20"/>
    </w:rPr>
  </w:style>
  <w:style w:type="paragraph" w:customStyle="1" w:styleId="Heading1nochapterno">
    <w:name w:val="Heading 1 (no chapter no.)"/>
    <w:basedOn w:val="Heading1"/>
    <w:rsid w:val="00572557"/>
    <w:pPr>
      <w:spacing w:before="0"/>
      <w:ind w:left="0" w:firstLine="0"/>
    </w:pPr>
  </w:style>
  <w:style w:type="paragraph" w:customStyle="1" w:styleId="Heading2nosectionno">
    <w:name w:val="Heading 2 (no section no.)"/>
    <w:basedOn w:val="Heading2"/>
    <w:rsid w:val="00572557"/>
    <w:pPr>
      <w:ind w:left="0" w:firstLine="0"/>
    </w:pPr>
  </w:style>
  <w:style w:type="character" w:customStyle="1" w:styleId="Heading5Char">
    <w:name w:val="Heading 5 Char"/>
    <w:basedOn w:val="DefaultParagraphFont"/>
    <w:link w:val="Heading5"/>
    <w:rsid w:val="00572557"/>
    <w:rPr>
      <w:rFonts w:ascii="Arial" w:hAnsi="Arial"/>
      <w:i/>
      <w:sz w:val="22"/>
    </w:rPr>
  </w:style>
  <w:style w:type="paragraph" w:customStyle="1" w:styleId="Figurespace">
    <w:name w:val="Figure space"/>
    <w:basedOn w:val="Box"/>
    <w:rsid w:val="00572557"/>
    <w:pPr>
      <w:spacing w:before="0" w:line="120" w:lineRule="exact"/>
    </w:pPr>
  </w:style>
  <w:style w:type="paragraph" w:customStyle="1" w:styleId="FooterDraftReport">
    <w:name w:val="FooterDraftReport"/>
    <w:basedOn w:val="Footer"/>
    <w:link w:val="FooterDraftReportChar"/>
    <w:rsid w:val="005725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72557"/>
    <w:rPr>
      <w:rFonts w:ascii="Arial" w:hAnsi="Arial"/>
      <w:caps/>
      <w:spacing w:val="-4"/>
      <w:sz w:val="16"/>
    </w:rPr>
  </w:style>
  <w:style w:type="character" w:customStyle="1" w:styleId="FooterDraftReportChar">
    <w:name w:val="FooterDraftReport Char"/>
    <w:basedOn w:val="FooterChar"/>
    <w:link w:val="FooterDraftReport"/>
    <w:rsid w:val="005725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72557"/>
    <w:rPr>
      <w:rFonts w:ascii="Arial" w:hAnsi="Arial"/>
      <w:b/>
      <w:sz w:val="26"/>
      <w:szCs w:val="26"/>
      <w:lang w:eastAsia="en-US"/>
    </w:rPr>
  </w:style>
  <w:style w:type="character" w:customStyle="1" w:styleId="Heading1Char">
    <w:name w:val="Heading 1 Char"/>
    <w:basedOn w:val="DefaultParagraphFont"/>
    <w:link w:val="Heading1"/>
    <w:rsid w:val="00EB3500"/>
    <w:rPr>
      <w:sz w:val="52"/>
    </w:rPr>
  </w:style>
  <w:style w:type="paragraph" w:customStyle="1" w:styleId="Heading1NotTOC">
    <w:name w:val="Heading 1 Not TOC"/>
    <w:basedOn w:val="Heading1"/>
    <w:next w:val="BodyText"/>
    <w:rsid w:val="00EB3500"/>
    <w:rPr>
      <w:kern w:val="28"/>
      <w:szCs w:val="26"/>
      <w:lang w:eastAsia="en-US"/>
    </w:rPr>
  </w:style>
  <w:style w:type="paragraph" w:styleId="ListParagraph">
    <w:name w:val="List Paragraph"/>
    <w:basedOn w:val="Normal"/>
    <w:uiPriority w:val="34"/>
    <w:qFormat/>
    <w:rsid w:val="006B01C5"/>
    <w:pPr>
      <w:ind w:left="720"/>
      <w:contextualSpacing/>
    </w:pPr>
  </w:style>
  <w:style w:type="character" w:customStyle="1" w:styleId="TableBulletChar">
    <w:name w:val="Table Bullet Char"/>
    <w:basedOn w:val="TableBodyTextChar"/>
    <w:link w:val="TableBullet"/>
    <w:rsid w:val="00F15B1D"/>
    <w:rPr>
      <w:rFonts w:ascii="Arial" w:hAnsi="Arial"/>
      <w:sz w:val="18"/>
    </w:rPr>
  </w:style>
  <w:style w:type="character" w:customStyle="1" w:styleId="BoxListBulletChar">
    <w:name w:val="Box List Bullet Char"/>
    <w:basedOn w:val="DefaultParagraphFont"/>
    <w:link w:val="BoxListBullet"/>
    <w:rsid w:val="007D22DB"/>
    <w:rPr>
      <w:rFonts w:ascii="Arial" w:hAnsi="Arial"/>
    </w:rPr>
  </w:style>
  <w:style w:type="paragraph" w:styleId="Revision">
    <w:name w:val="Revision"/>
    <w:hidden/>
    <w:uiPriority w:val="99"/>
    <w:semiHidden/>
    <w:rsid w:val="007F3A9C"/>
    <w:rPr>
      <w:sz w:val="24"/>
      <w:szCs w:val="24"/>
    </w:rPr>
  </w:style>
  <w:style w:type="character" w:customStyle="1" w:styleId="TableTitleChar">
    <w:name w:val="Table Title Char"/>
    <w:link w:val="TableTitle"/>
    <w:locked/>
    <w:rsid w:val="00BD4E8F"/>
    <w:rPr>
      <w:rFonts w:ascii="Arial" w:hAnsi="Arial"/>
      <w:b/>
      <w:sz w:val="24"/>
      <w:szCs w:val="24"/>
    </w:rPr>
  </w:style>
  <w:style w:type="character" w:customStyle="1" w:styleId="SourceChar">
    <w:name w:val="Source Char"/>
    <w:link w:val="Source"/>
    <w:rsid w:val="00BD4E8F"/>
    <w:rPr>
      <w:rFonts w:ascii="Arial" w:hAnsi="Arial"/>
      <w:sz w:val="18"/>
    </w:rPr>
  </w:style>
  <w:style w:type="character" w:customStyle="1" w:styleId="BoxChar">
    <w:name w:val="Box Char"/>
    <w:link w:val="Box"/>
    <w:rsid w:val="00BD4E8F"/>
    <w:rPr>
      <w:rFonts w:ascii="Arial" w:hAnsi="Arial"/>
    </w:rPr>
  </w:style>
  <w:style w:type="character" w:customStyle="1" w:styleId="Heading3Char">
    <w:name w:val="Heading 3 Char"/>
    <w:basedOn w:val="DefaultParagraphFont"/>
    <w:link w:val="Heading3"/>
    <w:rsid w:val="0065490B"/>
    <w:rPr>
      <w:rFonts w:ascii="Arial" w:hAnsi="Arial"/>
      <w:b/>
      <w:sz w:val="26"/>
    </w:rPr>
  </w:style>
  <w:style w:type="character" w:customStyle="1" w:styleId="Continuedintitle">
    <w:name w:val="Continued (in title)"/>
    <w:basedOn w:val="DefaultParagraphFont"/>
    <w:rsid w:val="00443258"/>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72557"/>
    <w:rPr>
      <w:sz w:val="24"/>
      <w:szCs w:val="24"/>
    </w:rPr>
  </w:style>
  <w:style w:type="paragraph" w:styleId="Heading1">
    <w:name w:val="heading 1"/>
    <w:basedOn w:val="BodyText"/>
    <w:next w:val="BodyText"/>
    <w:link w:val="Heading1Char"/>
    <w:rsid w:val="005725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7255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72557"/>
    <w:pPr>
      <w:spacing w:before="560" w:line="320" w:lineRule="exact"/>
      <w:ind w:left="0" w:firstLine="0"/>
      <w:outlineLvl w:val="2"/>
    </w:pPr>
    <w:rPr>
      <w:sz w:val="26"/>
    </w:rPr>
  </w:style>
  <w:style w:type="paragraph" w:styleId="Heading4">
    <w:name w:val="heading 4"/>
    <w:basedOn w:val="Heading3"/>
    <w:next w:val="BodyText"/>
    <w:qFormat/>
    <w:rsid w:val="00572557"/>
    <w:pPr>
      <w:spacing w:before="480"/>
      <w:outlineLvl w:val="3"/>
    </w:pPr>
    <w:rPr>
      <w:b w:val="0"/>
      <w:sz w:val="24"/>
    </w:rPr>
  </w:style>
  <w:style w:type="paragraph" w:styleId="Heading5">
    <w:name w:val="heading 5"/>
    <w:basedOn w:val="Heading4"/>
    <w:next w:val="BodyText"/>
    <w:link w:val="Heading5Char"/>
    <w:qFormat/>
    <w:rsid w:val="00572557"/>
    <w:pPr>
      <w:outlineLvl w:val="4"/>
    </w:pPr>
    <w:rPr>
      <w:i/>
      <w:sz w:val="22"/>
    </w:rPr>
  </w:style>
  <w:style w:type="paragraph" w:styleId="Heading6">
    <w:name w:val="heading 6"/>
    <w:basedOn w:val="BodyText"/>
    <w:next w:val="BodyText"/>
    <w:rsid w:val="00572557"/>
    <w:pPr>
      <w:spacing w:after="60"/>
      <w:jc w:val="left"/>
      <w:outlineLvl w:val="5"/>
    </w:pPr>
    <w:rPr>
      <w:i/>
      <w:sz w:val="22"/>
    </w:rPr>
  </w:style>
  <w:style w:type="paragraph" w:styleId="Heading7">
    <w:name w:val="heading 7"/>
    <w:basedOn w:val="BodyText"/>
    <w:next w:val="BodyText"/>
    <w:rsid w:val="00572557"/>
    <w:pPr>
      <w:spacing w:after="60" w:line="240" w:lineRule="auto"/>
      <w:jc w:val="left"/>
      <w:outlineLvl w:val="6"/>
    </w:pPr>
    <w:rPr>
      <w:rFonts w:ascii="Arial" w:hAnsi="Arial"/>
      <w:sz w:val="20"/>
    </w:rPr>
  </w:style>
  <w:style w:type="paragraph" w:styleId="Heading8">
    <w:name w:val="heading 8"/>
    <w:basedOn w:val="BodyText"/>
    <w:next w:val="BodyText"/>
    <w:rsid w:val="00572557"/>
    <w:pPr>
      <w:spacing w:after="60" w:line="240" w:lineRule="auto"/>
      <w:jc w:val="left"/>
      <w:outlineLvl w:val="7"/>
    </w:pPr>
    <w:rPr>
      <w:rFonts w:ascii="Arial" w:hAnsi="Arial"/>
      <w:i/>
      <w:sz w:val="20"/>
    </w:rPr>
  </w:style>
  <w:style w:type="paragraph" w:styleId="Heading9">
    <w:name w:val="heading 9"/>
    <w:basedOn w:val="BodyText"/>
    <w:next w:val="BodyText"/>
    <w:rsid w:val="005725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72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557"/>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572557"/>
    <w:pPr>
      <w:spacing w:before="240" w:line="300" w:lineRule="atLeast"/>
      <w:jc w:val="both"/>
    </w:pPr>
    <w:rPr>
      <w:sz w:val="24"/>
    </w:rPr>
  </w:style>
  <w:style w:type="paragraph" w:customStyle="1" w:styleId="Chapter">
    <w:name w:val="Chapter"/>
    <w:basedOn w:val="Heading1"/>
    <w:next w:val="BodyText"/>
    <w:semiHidden/>
    <w:rsid w:val="00572557"/>
    <w:pPr>
      <w:ind w:left="0" w:firstLine="0"/>
      <w:outlineLvl w:val="9"/>
    </w:pPr>
  </w:style>
  <w:style w:type="paragraph" w:styleId="Footer">
    <w:name w:val="footer"/>
    <w:basedOn w:val="BodyText"/>
    <w:link w:val="FooterChar"/>
    <w:rsid w:val="00572557"/>
    <w:pPr>
      <w:spacing w:before="80" w:line="200" w:lineRule="exact"/>
      <w:ind w:right="6"/>
      <w:jc w:val="left"/>
    </w:pPr>
    <w:rPr>
      <w:rFonts w:ascii="Arial" w:hAnsi="Arial"/>
      <w:caps/>
      <w:spacing w:val="-4"/>
      <w:sz w:val="16"/>
    </w:rPr>
  </w:style>
  <w:style w:type="paragraph" w:customStyle="1" w:styleId="FooterEnd">
    <w:name w:val="Footer End"/>
    <w:basedOn w:val="Footer"/>
    <w:rsid w:val="00572557"/>
    <w:pPr>
      <w:spacing w:before="0" w:line="20" w:lineRule="exact"/>
    </w:pPr>
  </w:style>
  <w:style w:type="paragraph" w:styleId="Header">
    <w:name w:val="header"/>
    <w:basedOn w:val="BodyText"/>
    <w:rsid w:val="005725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72557"/>
    <w:pPr>
      <w:spacing w:line="20" w:lineRule="exact"/>
    </w:pPr>
    <w:rPr>
      <w:sz w:val="16"/>
    </w:rPr>
  </w:style>
  <w:style w:type="paragraph" w:customStyle="1" w:styleId="HeaderEven">
    <w:name w:val="Header Even"/>
    <w:basedOn w:val="Header"/>
    <w:semiHidden/>
    <w:rsid w:val="00572557"/>
  </w:style>
  <w:style w:type="paragraph" w:customStyle="1" w:styleId="HeaderOdd">
    <w:name w:val="Header Odd"/>
    <w:basedOn w:val="Header"/>
    <w:rsid w:val="00572557"/>
  </w:style>
  <w:style w:type="character" w:styleId="PageNumber">
    <w:name w:val="page number"/>
    <w:basedOn w:val="DefaultParagraphFont"/>
    <w:rsid w:val="00572557"/>
    <w:rPr>
      <w:rFonts w:ascii="Arial" w:hAnsi="Arial"/>
      <w:b/>
      <w:sz w:val="16"/>
    </w:rPr>
  </w:style>
  <w:style w:type="paragraph" w:customStyle="1" w:styleId="Abbreviation">
    <w:name w:val="Abbreviation"/>
    <w:basedOn w:val="BodyText"/>
    <w:rsid w:val="00572557"/>
    <w:pPr>
      <w:spacing w:before="120"/>
      <w:ind w:left="2381" w:hanging="2381"/>
      <w:jc w:val="left"/>
    </w:pPr>
  </w:style>
  <w:style w:type="paragraph" w:customStyle="1" w:styleId="Box">
    <w:name w:val="Box"/>
    <w:basedOn w:val="BodyText"/>
    <w:link w:val="BoxChar"/>
    <w:qFormat/>
    <w:rsid w:val="0057255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572557"/>
    <w:pPr>
      <w:spacing w:before="180" w:line="220" w:lineRule="exact"/>
      <w:jc w:val="right"/>
    </w:pPr>
    <w:rPr>
      <w:rFonts w:ascii="Arial" w:hAnsi="Arial"/>
      <w:sz w:val="18"/>
    </w:rPr>
  </w:style>
  <w:style w:type="paragraph" w:customStyle="1" w:styleId="BoxHeading1">
    <w:name w:val="Box Heading 1"/>
    <w:basedOn w:val="BodyText"/>
    <w:next w:val="Box"/>
    <w:rsid w:val="00572557"/>
    <w:pPr>
      <w:keepNext/>
      <w:spacing w:before="200" w:line="280" w:lineRule="atLeast"/>
    </w:pPr>
    <w:rPr>
      <w:rFonts w:ascii="Arial" w:hAnsi="Arial"/>
      <w:b/>
      <w:sz w:val="22"/>
    </w:rPr>
  </w:style>
  <w:style w:type="paragraph" w:customStyle="1" w:styleId="BoxHeading2">
    <w:name w:val="Box Heading 2"/>
    <w:basedOn w:val="BoxHeading1"/>
    <w:next w:val="Normal"/>
    <w:rsid w:val="00572557"/>
    <w:rPr>
      <w:b w:val="0"/>
      <w:i/>
    </w:rPr>
  </w:style>
  <w:style w:type="paragraph" w:customStyle="1" w:styleId="BoxListBullet">
    <w:name w:val="Box List Bullet"/>
    <w:basedOn w:val="BodyText"/>
    <w:link w:val="BoxListBulletChar"/>
    <w:rsid w:val="005725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72557"/>
    <w:pPr>
      <w:numPr>
        <w:numId w:val="2"/>
      </w:numPr>
      <w:ind w:left="568" w:hanging="284"/>
    </w:pPr>
  </w:style>
  <w:style w:type="paragraph" w:customStyle="1" w:styleId="BoxListNumber">
    <w:name w:val="Box List Number"/>
    <w:basedOn w:val="BodyText"/>
    <w:rsid w:val="0057255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72557"/>
    <w:pPr>
      <w:numPr>
        <w:ilvl w:val="1"/>
      </w:numPr>
      <w:ind w:left="681" w:hanging="397"/>
    </w:pPr>
  </w:style>
  <w:style w:type="paragraph" w:customStyle="1" w:styleId="BoxQuote">
    <w:name w:val="Box Quote"/>
    <w:basedOn w:val="BodyText"/>
    <w:next w:val="Box"/>
    <w:qFormat/>
    <w:rsid w:val="00572557"/>
    <w:pPr>
      <w:keepNext/>
      <w:spacing w:before="60" w:line="240" w:lineRule="exact"/>
      <w:ind w:left="284"/>
    </w:pPr>
    <w:rPr>
      <w:rFonts w:ascii="Arial" w:hAnsi="Arial"/>
      <w:sz w:val="18"/>
    </w:rPr>
  </w:style>
  <w:style w:type="paragraph" w:customStyle="1" w:styleId="Note">
    <w:name w:val="Note"/>
    <w:basedOn w:val="BodyText"/>
    <w:next w:val="BodyText"/>
    <w:link w:val="NoteChar"/>
    <w:rsid w:val="00572557"/>
    <w:pPr>
      <w:keepLines/>
      <w:spacing w:before="80" w:line="220" w:lineRule="exact"/>
    </w:pPr>
    <w:rPr>
      <w:rFonts w:ascii="Arial" w:hAnsi="Arial"/>
      <w:sz w:val="18"/>
    </w:rPr>
  </w:style>
  <w:style w:type="paragraph" w:customStyle="1" w:styleId="Source">
    <w:name w:val="Source"/>
    <w:basedOn w:val="Normal"/>
    <w:next w:val="BodyText"/>
    <w:link w:val="SourceChar"/>
    <w:rsid w:val="00572557"/>
    <w:pPr>
      <w:keepLines/>
      <w:spacing w:before="80" w:line="220" w:lineRule="exact"/>
      <w:jc w:val="both"/>
    </w:pPr>
    <w:rPr>
      <w:rFonts w:ascii="Arial" w:hAnsi="Arial"/>
      <w:sz w:val="18"/>
      <w:szCs w:val="20"/>
    </w:rPr>
  </w:style>
  <w:style w:type="paragraph" w:customStyle="1" w:styleId="BoxSource">
    <w:name w:val="Box Source"/>
    <w:basedOn w:val="Source"/>
    <w:next w:val="BodyText"/>
    <w:rsid w:val="00572557"/>
    <w:pPr>
      <w:spacing w:before="120"/>
    </w:pPr>
  </w:style>
  <w:style w:type="paragraph" w:customStyle="1" w:styleId="BoxSpace">
    <w:name w:val="Box Space"/>
    <w:basedOn w:val="BodyText"/>
    <w:rsid w:val="003C39D8"/>
    <w:pPr>
      <w:keepNext/>
      <w:spacing w:before="360" w:line="80" w:lineRule="exact"/>
      <w:jc w:val="left"/>
    </w:pPr>
  </w:style>
  <w:style w:type="paragraph" w:styleId="Caption">
    <w:name w:val="caption"/>
    <w:basedOn w:val="Normal"/>
    <w:next w:val="BodyText"/>
    <w:rsid w:val="005725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572557"/>
    <w:pPr>
      <w:spacing w:before="120" w:after="0"/>
    </w:pPr>
  </w:style>
  <w:style w:type="paragraph" w:customStyle="1" w:styleId="BoxSubtitle">
    <w:name w:val="Box Subtitle"/>
    <w:basedOn w:val="BoxTitle"/>
    <w:next w:val="Normal"/>
    <w:rsid w:val="00572557"/>
    <w:pPr>
      <w:spacing w:after="80" w:line="200" w:lineRule="exact"/>
      <w:ind w:firstLine="0"/>
    </w:pPr>
    <w:rPr>
      <w:b w:val="0"/>
      <w:sz w:val="20"/>
    </w:rPr>
  </w:style>
  <w:style w:type="paragraph" w:customStyle="1" w:styleId="ChapterSummary">
    <w:name w:val="Chapter Summary"/>
    <w:basedOn w:val="BodyText"/>
    <w:rsid w:val="00572557"/>
    <w:pPr>
      <w:spacing w:line="280" w:lineRule="atLeast"/>
      <w:ind w:left="907"/>
    </w:pPr>
    <w:rPr>
      <w:rFonts w:ascii="Arial" w:hAnsi="Arial"/>
      <w:b/>
      <w:sz w:val="20"/>
    </w:rPr>
  </w:style>
  <w:style w:type="character" w:styleId="CommentReference">
    <w:name w:val="annotation reference"/>
    <w:basedOn w:val="DefaultParagraphFont"/>
    <w:semiHidden/>
    <w:rsid w:val="00572557"/>
    <w:rPr>
      <w:b/>
      <w:vanish/>
      <w:color w:val="FF00FF"/>
      <w:sz w:val="20"/>
    </w:rPr>
  </w:style>
  <w:style w:type="paragraph" w:styleId="CommentText">
    <w:name w:val="annotation text"/>
    <w:basedOn w:val="Normal"/>
    <w:link w:val="CommentTextChar"/>
    <w:semiHidden/>
    <w:rsid w:val="00572557"/>
    <w:pPr>
      <w:spacing w:before="120" w:line="240" w:lineRule="atLeast"/>
      <w:ind w:left="567" w:hanging="567"/>
    </w:pPr>
    <w:rPr>
      <w:sz w:val="20"/>
    </w:rPr>
  </w:style>
  <w:style w:type="paragraph" w:customStyle="1" w:styleId="Continued">
    <w:name w:val="Continued"/>
    <w:basedOn w:val="BoxContinued"/>
    <w:next w:val="BodyText"/>
    <w:link w:val="ContinuedChar"/>
    <w:rsid w:val="00572557"/>
  </w:style>
  <w:style w:type="character" w:customStyle="1" w:styleId="DocumentInfo">
    <w:name w:val="Document Info"/>
    <w:basedOn w:val="DefaultParagraphFont"/>
    <w:semiHidden/>
    <w:rsid w:val="00572557"/>
    <w:rPr>
      <w:rFonts w:ascii="Arial" w:hAnsi="Arial"/>
      <w:sz w:val="14"/>
    </w:rPr>
  </w:style>
  <w:style w:type="character" w:customStyle="1" w:styleId="DraftingNote">
    <w:name w:val="Drafting Note"/>
    <w:basedOn w:val="DefaultParagraphFont"/>
    <w:rsid w:val="00572557"/>
    <w:rPr>
      <w:b/>
      <w:color w:val="FF0000"/>
      <w:sz w:val="24"/>
      <w:u w:val="dotted"/>
    </w:rPr>
  </w:style>
  <w:style w:type="paragraph" w:customStyle="1" w:styleId="Figure">
    <w:name w:val="Figure"/>
    <w:basedOn w:val="BodyText"/>
    <w:rsid w:val="00572557"/>
    <w:pPr>
      <w:keepNext/>
      <w:spacing w:before="120" w:after="120" w:line="240" w:lineRule="atLeast"/>
      <w:jc w:val="center"/>
    </w:pPr>
  </w:style>
  <w:style w:type="paragraph" w:customStyle="1" w:styleId="FigureTitle">
    <w:name w:val="Figure Title"/>
    <w:basedOn w:val="Caption"/>
    <w:next w:val="Subtitle"/>
    <w:rsid w:val="00572557"/>
    <w:pPr>
      <w:spacing w:before="120"/>
    </w:pPr>
  </w:style>
  <w:style w:type="paragraph" w:styleId="Subtitle">
    <w:name w:val="Subtitle"/>
    <w:basedOn w:val="Caption"/>
    <w:link w:val="SubtitleChar"/>
    <w:qFormat/>
    <w:rsid w:val="00572557"/>
    <w:pPr>
      <w:spacing w:before="0" w:line="200" w:lineRule="exact"/>
      <w:ind w:firstLine="0"/>
    </w:pPr>
    <w:rPr>
      <w:b w:val="0"/>
      <w:sz w:val="20"/>
    </w:rPr>
  </w:style>
  <w:style w:type="paragraph" w:customStyle="1" w:styleId="Finding">
    <w:name w:val="Finding"/>
    <w:basedOn w:val="BodyText"/>
    <w:rsid w:val="00572557"/>
    <w:pPr>
      <w:keepLines/>
      <w:spacing w:before="120" w:line="280" w:lineRule="atLeast"/>
    </w:pPr>
    <w:rPr>
      <w:rFonts w:ascii="Arial" w:hAnsi="Arial"/>
      <w:sz w:val="22"/>
    </w:rPr>
  </w:style>
  <w:style w:type="paragraph" w:customStyle="1" w:styleId="FindingBullet">
    <w:name w:val="Finding Bullet"/>
    <w:basedOn w:val="Finding"/>
    <w:rsid w:val="00572557"/>
    <w:pPr>
      <w:numPr>
        <w:numId w:val="3"/>
      </w:numPr>
      <w:spacing w:before="80"/>
    </w:pPr>
  </w:style>
  <w:style w:type="paragraph" w:customStyle="1" w:styleId="FindingNoTitle">
    <w:name w:val="Finding NoTitle"/>
    <w:basedOn w:val="Finding"/>
    <w:rsid w:val="00572557"/>
    <w:pPr>
      <w:spacing w:before="240"/>
    </w:pPr>
  </w:style>
  <w:style w:type="paragraph" w:customStyle="1" w:styleId="RecTitle">
    <w:name w:val="Rec Title"/>
    <w:basedOn w:val="BodyText"/>
    <w:next w:val="Rec"/>
    <w:qFormat/>
    <w:rsid w:val="00572557"/>
    <w:pPr>
      <w:keepNext/>
      <w:keepLines/>
      <w:spacing w:line="280" w:lineRule="atLeast"/>
    </w:pPr>
    <w:rPr>
      <w:rFonts w:ascii="Arial" w:hAnsi="Arial"/>
      <w:caps/>
      <w:sz w:val="18"/>
    </w:rPr>
  </w:style>
  <w:style w:type="paragraph" w:customStyle="1" w:styleId="FindingTitle">
    <w:name w:val="Finding Title"/>
    <w:basedOn w:val="RecTitle"/>
    <w:next w:val="Finding"/>
    <w:rsid w:val="00572557"/>
  </w:style>
  <w:style w:type="character" w:styleId="FootnoteReference">
    <w:name w:val="footnote reference"/>
    <w:basedOn w:val="DefaultParagraphFont"/>
    <w:rsid w:val="00572557"/>
    <w:rPr>
      <w:rFonts w:ascii="Times New Roman" w:hAnsi="Times New Roman"/>
      <w:position w:val="6"/>
      <w:sz w:val="20"/>
      <w:vertAlign w:val="baseline"/>
    </w:rPr>
  </w:style>
  <w:style w:type="paragraph" w:styleId="FootnoteText">
    <w:name w:val="footnote text"/>
    <w:basedOn w:val="BodyText"/>
    <w:rsid w:val="005725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72557"/>
    <w:rPr>
      <w:i/>
    </w:rPr>
  </w:style>
  <w:style w:type="paragraph" w:customStyle="1" w:styleId="Jurisdictioncommentsbodytext">
    <w:name w:val="Jurisdiction comments body text"/>
    <w:rsid w:val="00572557"/>
    <w:pPr>
      <w:spacing w:after="140"/>
      <w:jc w:val="both"/>
    </w:pPr>
    <w:rPr>
      <w:rFonts w:ascii="Arial" w:hAnsi="Arial"/>
      <w:sz w:val="24"/>
      <w:lang w:eastAsia="en-US"/>
    </w:rPr>
  </w:style>
  <w:style w:type="paragraph" w:customStyle="1" w:styleId="Jurisdictioncommentsheading">
    <w:name w:val="Jurisdiction comments heading"/>
    <w:rsid w:val="005725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72557"/>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572557"/>
    <w:pPr>
      <w:numPr>
        <w:numId w:val="5"/>
      </w:numPr>
      <w:spacing w:before="120"/>
    </w:pPr>
  </w:style>
  <w:style w:type="paragraph" w:styleId="ListBullet2">
    <w:name w:val="List Bullet 2"/>
    <w:basedOn w:val="BodyText"/>
    <w:rsid w:val="00572557"/>
    <w:pPr>
      <w:numPr>
        <w:numId w:val="6"/>
      </w:numPr>
      <w:spacing w:before="120"/>
    </w:pPr>
  </w:style>
  <w:style w:type="paragraph" w:styleId="ListBullet3">
    <w:name w:val="List Bullet 3"/>
    <w:basedOn w:val="BodyText"/>
    <w:rsid w:val="00572557"/>
    <w:pPr>
      <w:numPr>
        <w:numId w:val="7"/>
      </w:numPr>
      <w:spacing w:before="120"/>
      <w:ind w:left="1020" w:hanging="340"/>
    </w:pPr>
  </w:style>
  <w:style w:type="paragraph" w:styleId="ListNumber">
    <w:name w:val="List Number"/>
    <w:basedOn w:val="BodyText"/>
    <w:rsid w:val="00572557"/>
    <w:pPr>
      <w:numPr>
        <w:numId w:val="13"/>
      </w:numPr>
      <w:spacing w:before="120"/>
    </w:pPr>
  </w:style>
  <w:style w:type="paragraph" w:styleId="ListNumber2">
    <w:name w:val="List Number 2"/>
    <w:basedOn w:val="ListNumber"/>
    <w:rsid w:val="00572557"/>
    <w:pPr>
      <w:numPr>
        <w:ilvl w:val="1"/>
      </w:numPr>
    </w:pPr>
  </w:style>
  <w:style w:type="paragraph" w:styleId="ListNumber3">
    <w:name w:val="List Number 3"/>
    <w:basedOn w:val="ListNumber2"/>
    <w:rsid w:val="00572557"/>
    <w:pPr>
      <w:numPr>
        <w:ilvl w:val="2"/>
      </w:numPr>
    </w:pPr>
  </w:style>
  <w:style w:type="character" w:customStyle="1" w:styleId="NoteLabel">
    <w:name w:val="Note Label"/>
    <w:basedOn w:val="DefaultParagraphFont"/>
    <w:rsid w:val="00572557"/>
    <w:rPr>
      <w:rFonts w:ascii="Arial" w:hAnsi="Arial"/>
      <w:b/>
      <w:position w:val="6"/>
      <w:sz w:val="18"/>
    </w:rPr>
  </w:style>
  <w:style w:type="paragraph" w:customStyle="1" w:styleId="PartDivider">
    <w:name w:val="Part Divider"/>
    <w:basedOn w:val="BodyText"/>
    <w:next w:val="BodyText"/>
    <w:semiHidden/>
    <w:rsid w:val="00572557"/>
    <w:pPr>
      <w:spacing w:before="0" w:line="40" w:lineRule="exact"/>
      <w:jc w:val="right"/>
    </w:pPr>
    <w:rPr>
      <w:smallCaps/>
      <w:sz w:val="16"/>
    </w:rPr>
  </w:style>
  <w:style w:type="paragraph" w:customStyle="1" w:styleId="PartNumber">
    <w:name w:val="Part Number"/>
    <w:basedOn w:val="BodyText"/>
    <w:next w:val="BodyText"/>
    <w:semiHidden/>
    <w:rsid w:val="00572557"/>
    <w:pPr>
      <w:spacing w:before="4000" w:line="320" w:lineRule="exact"/>
      <w:ind w:left="6634"/>
      <w:jc w:val="right"/>
    </w:pPr>
    <w:rPr>
      <w:smallCaps/>
      <w:spacing w:val="60"/>
      <w:sz w:val="32"/>
    </w:rPr>
  </w:style>
  <w:style w:type="paragraph" w:customStyle="1" w:styleId="PartTitle">
    <w:name w:val="Part Title"/>
    <w:basedOn w:val="BodyText"/>
    <w:rsid w:val="00572557"/>
    <w:pPr>
      <w:spacing w:before="160" w:after="1360" w:line="520" w:lineRule="exact"/>
      <w:ind w:right="2381"/>
      <w:jc w:val="right"/>
    </w:pPr>
    <w:rPr>
      <w:smallCaps/>
      <w:sz w:val="52"/>
    </w:rPr>
  </w:style>
  <w:style w:type="paragraph" w:styleId="Quote">
    <w:name w:val="Quote"/>
    <w:basedOn w:val="BodyText"/>
    <w:next w:val="BodyText"/>
    <w:qFormat/>
    <w:rsid w:val="00572557"/>
    <w:pPr>
      <w:spacing w:before="120" w:line="280" w:lineRule="exact"/>
      <w:ind w:left="340"/>
    </w:pPr>
    <w:rPr>
      <w:sz w:val="22"/>
    </w:rPr>
  </w:style>
  <w:style w:type="paragraph" w:customStyle="1" w:styleId="QuoteBullet">
    <w:name w:val="Quote Bullet"/>
    <w:basedOn w:val="Quote"/>
    <w:rsid w:val="00572557"/>
    <w:pPr>
      <w:numPr>
        <w:numId w:val="8"/>
      </w:numPr>
    </w:pPr>
  </w:style>
  <w:style w:type="paragraph" w:customStyle="1" w:styleId="Rec">
    <w:name w:val="Rec"/>
    <w:basedOn w:val="BodyText"/>
    <w:qFormat/>
    <w:rsid w:val="00572557"/>
    <w:pPr>
      <w:keepLines/>
      <w:spacing w:before="120" w:line="280" w:lineRule="atLeast"/>
    </w:pPr>
    <w:rPr>
      <w:rFonts w:ascii="Arial" w:hAnsi="Arial"/>
      <w:sz w:val="22"/>
    </w:rPr>
  </w:style>
  <w:style w:type="paragraph" w:customStyle="1" w:styleId="RecBullet">
    <w:name w:val="Rec Bullet"/>
    <w:basedOn w:val="Rec"/>
    <w:rsid w:val="00572557"/>
    <w:pPr>
      <w:numPr>
        <w:numId w:val="9"/>
      </w:numPr>
      <w:spacing w:before="80"/>
    </w:pPr>
  </w:style>
  <w:style w:type="paragraph" w:customStyle="1" w:styleId="RecB">
    <w:name w:val="RecB"/>
    <w:basedOn w:val="Normal"/>
    <w:rsid w:val="0057255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72557"/>
    <w:pPr>
      <w:numPr>
        <w:numId w:val="10"/>
      </w:numPr>
      <w:spacing w:before="80"/>
    </w:pPr>
  </w:style>
  <w:style w:type="paragraph" w:customStyle="1" w:styleId="RecBNoTitle">
    <w:name w:val="RecB NoTitle"/>
    <w:basedOn w:val="RecB"/>
    <w:rsid w:val="00572557"/>
    <w:pPr>
      <w:spacing w:before="240"/>
    </w:pPr>
  </w:style>
  <w:style w:type="paragraph" w:customStyle="1" w:styleId="Reference">
    <w:name w:val="Reference"/>
    <w:basedOn w:val="BodyText"/>
    <w:rsid w:val="00572557"/>
    <w:pPr>
      <w:spacing w:before="120"/>
      <w:ind w:left="340" w:hanging="340"/>
    </w:pPr>
  </w:style>
  <w:style w:type="paragraph" w:customStyle="1" w:styleId="SequenceInfo">
    <w:name w:val="Sequence Info"/>
    <w:basedOn w:val="BodyText"/>
    <w:semiHidden/>
    <w:rsid w:val="00572557"/>
    <w:rPr>
      <w:vanish/>
      <w:sz w:val="16"/>
    </w:rPr>
  </w:style>
  <w:style w:type="paragraph" w:customStyle="1" w:styleId="SideNote">
    <w:name w:val="Side Note"/>
    <w:basedOn w:val="BodyText"/>
    <w:next w:val="BodyText"/>
    <w:semiHidden/>
    <w:rsid w:val="005725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72557"/>
    <w:pPr>
      <w:framePr w:wrap="around"/>
      <w:numPr>
        <w:numId w:val="11"/>
      </w:numPr>
      <w:tabs>
        <w:tab w:val="left" w:pos="227"/>
      </w:tabs>
    </w:pPr>
  </w:style>
  <w:style w:type="paragraph" w:customStyle="1" w:styleId="SideNoteGraphic">
    <w:name w:val="Side Note Graphic"/>
    <w:basedOn w:val="SideNote"/>
    <w:next w:val="BodyText"/>
    <w:semiHidden/>
    <w:rsid w:val="00572557"/>
    <w:pPr>
      <w:framePr w:wrap="around"/>
    </w:pPr>
  </w:style>
  <w:style w:type="paragraph" w:customStyle="1" w:styleId="TableBodyText">
    <w:name w:val="Table Body Text"/>
    <w:basedOn w:val="BodyText"/>
    <w:link w:val="TableBodyTextChar"/>
    <w:rsid w:val="005725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572557"/>
    <w:pPr>
      <w:numPr>
        <w:numId w:val="12"/>
      </w:numPr>
      <w:jc w:val="left"/>
    </w:pPr>
  </w:style>
  <w:style w:type="paragraph" w:customStyle="1" w:styleId="TableColumnHeading">
    <w:name w:val="Table Column Heading"/>
    <w:basedOn w:val="TableBodyText"/>
    <w:link w:val="TableColumnHeadingChar"/>
    <w:rsid w:val="00572557"/>
    <w:pPr>
      <w:spacing w:before="80" w:after="80"/>
    </w:pPr>
    <w:rPr>
      <w:i/>
    </w:rPr>
  </w:style>
  <w:style w:type="paragraph" w:styleId="TOC2">
    <w:name w:val="toc 2"/>
    <w:basedOn w:val="TOC1"/>
    <w:rsid w:val="00572557"/>
    <w:pPr>
      <w:ind w:left="1134" w:hanging="624"/>
    </w:pPr>
    <w:rPr>
      <w:b w:val="0"/>
    </w:rPr>
  </w:style>
  <w:style w:type="paragraph" w:styleId="TOC3">
    <w:name w:val="toc 3"/>
    <w:basedOn w:val="TOC2"/>
    <w:rsid w:val="00572557"/>
    <w:pPr>
      <w:spacing w:before="60"/>
      <w:ind w:left="1190" w:hanging="680"/>
    </w:pPr>
  </w:style>
  <w:style w:type="paragraph" w:styleId="TableofFigures">
    <w:name w:val="table of figures"/>
    <w:basedOn w:val="TOC3"/>
    <w:next w:val="BodyText"/>
    <w:semiHidden/>
    <w:rsid w:val="00572557"/>
    <w:pPr>
      <w:ind w:left="737" w:hanging="737"/>
    </w:pPr>
  </w:style>
  <w:style w:type="paragraph" w:customStyle="1" w:styleId="TableTitle">
    <w:name w:val="Table Title"/>
    <w:basedOn w:val="Caption"/>
    <w:next w:val="Subtitle"/>
    <w:link w:val="TableTitleChar"/>
    <w:qFormat/>
    <w:rsid w:val="00572557"/>
    <w:pPr>
      <w:spacing w:before="120"/>
    </w:pPr>
  </w:style>
  <w:style w:type="paragraph" w:customStyle="1" w:styleId="TableUnitsRow">
    <w:name w:val="Table Units Row"/>
    <w:basedOn w:val="TableBodyText"/>
    <w:rsid w:val="00572557"/>
    <w:pPr>
      <w:spacing w:before="40"/>
    </w:pPr>
  </w:style>
  <w:style w:type="paragraph" w:styleId="TOC1">
    <w:name w:val="toc 1"/>
    <w:basedOn w:val="Normal"/>
    <w:next w:val="TOC2"/>
    <w:link w:val="TOC1Char"/>
    <w:rsid w:val="005725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72557"/>
    <w:pPr>
      <w:ind w:left="1191" w:firstLine="0"/>
    </w:pPr>
  </w:style>
  <w:style w:type="character" w:styleId="Hyperlink">
    <w:name w:val="Hyperlink"/>
    <w:uiPriority w:val="99"/>
    <w:rsid w:val="006100DD"/>
    <w:rPr>
      <w:color w:val="0000FF"/>
      <w:u w:val="single"/>
    </w:rPr>
  </w:style>
  <w:style w:type="paragraph" w:styleId="BalloonText">
    <w:name w:val="Balloon Text"/>
    <w:basedOn w:val="Normal"/>
    <w:link w:val="BalloonTextChar"/>
    <w:rsid w:val="00572557"/>
    <w:rPr>
      <w:rFonts w:ascii="Tahoma" w:hAnsi="Tahoma" w:cs="Tahoma"/>
      <w:sz w:val="16"/>
      <w:szCs w:val="16"/>
    </w:rPr>
  </w:style>
  <w:style w:type="table" w:styleId="TableGrid">
    <w:name w:val="Table Grid"/>
    <w:basedOn w:val="TableNormal"/>
    <w:rsid w:val="00572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basedOn w:val="DefaultParagraphFont"/>
    <w:link w:val="BodyText"/>
    <w:rsid w:val="00572557"/>
    <w:rPr>
      <w:sz w:val="24"/>
    </w:rPr>
  </w:style>
  <w:style w:type="character" w:customStyle="1" w:styleId="BoxContinuedChar">
    <w:name w:val="Box Continued Char"/>
    <w:link w:val="BoxContinued"/>
    <w:semiHidden/>
    <w:rsid w:val="00910676"/>
    <w:rPr>
      <w:rFonts w:ascii="Arial" w:hAnsi="Arial"/>
      <w:sz w:val="18"/>
    </w:rPr>
  </w:style>
  <w:style w:type="character" w:customStyle="1" w:styleId="ContinuedChar">
    <w:name w:val="Continued Char"/>
    <w:basedOn w:val="BoxContinuedChar"/>
    <w:link w:val="Continued"/>
    <w:rsid w:val="00910676"/>
    <w:rPr>
      <w:rFonts w:ascii="Arial" w:hAnsi="Arial"/>
      <w:sz w:val="18"/>
    </w:rPr>
  </w:style>
  <w:style w:type="character" w:customStyle="1" w:styleId="NoteChar">
    <w:name w:val="Note Char"/>
    <w:link w:val="Note"/>
    <w:rsid w:val="00F00DEF"/>
    <w:rPr>
      <w:rFonts w:ascii="Arial" w:hAnsi="Arial"/>
      <w:sz w:val="18"/>
    </w:rPr>
  </w:style>
  <w:style w:type="character" w:customStyle="1" w:styleId="TableBodyTextChar">
    <w:name w:val="Table Body Text Char"/>
    <w:link w:val="TableBodyText"/>
    <w:rsid w:val="0027625B"/>
    <w:rPr>
      <w:rFonts w:ascii="Arial" w:hAnsi="Arial"/>
      <w:sz w:val="18"/>
    </w:rPr>
  </w:style>
  <w:style w:type="character" w:customStyle="1" w:styleId="TableColumnHeadingChar">
    <w:name w:val="Table Column Heading Char"/>
    <w:link w:val="TableColumnHeading"/>
    <w:rsid w:val="0027625B"/>
    <w:rPr>
      <w:rFonts w:ascii="Arial" w:hAnsi="Arial"/>
      <w:i/>
      <w:sz w:val="18"/>
    </w:rPr>
  </w:style>
  <w:style w:type="paragraph" w:styleId="CommentSubject">
    <w:name w:val="annotation subject"/>
    <w:basedOn w:val="CommentText"/>
    <w:next w:val="CommentText"/>
    <w:semiHidden/>
    <w:rsid w:val="004F2AD4"/>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
    <w:link w:val="ListBullet"/>
    <w:rsid w:val="00F71D8F"/>
    <w:rPr>
      <w:sz w:val="24"/>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801C91"/>
    <w:rPr>
      <w:sz w:val="26"/>
      <w:lang w:val="en-AU" w:eastAsia="en-AU" w:bidi="ar-SA"/>
    </w:rPr>
  </w:style>
  <w:style w:type="character" w:customStyle="1" w:styleId="SubtitleChar">
    <w:name w:val="Subtitle Char"/>
    <w:basedOn w:val="DefaultParagraphFont"/>
    <w:link w:val="Subtitle"/>
    <w:rsid w:val="00572557"/>
    <w:rPr>
      <w:rFonts w:ascii="Arial" w:hAnsi="Arial"/>
      <w:szCs w:val="24"/>
    </w:rPr>
  </w:style>
  <w:style w:type="paragraph" w:customStyle="1" w:styleId="RecBBullet2">
    <w:name w:val="RecB Bullet 2"/>
    <w:basedOn w:val="ListBullet2"/>
    <w:semiHidden/>
    <w:rsid w:val="00572557"/>
    <w:pPr>
      <w:pBdr>
        <w:left w:val="single" w:sz="24" w:space="29" w:color="C0C0C0"/>
      </w:pBdr>
    </w:pPr>
    <w:rPr>
      <w:b/>
      <w:i/>
    </w:rPr>
  </w:style>
  <w:style w:type="character" w:customStyle="1" w:styleId="BalloonTextChar">
    <w:name w:val="Balloon Text Char"/>
    <w:basedOn w:val="DefaultParagraphFont"/>
    <w:link w:val="BalloonText"/>
    <w:rsid w:val="00572557"/>
    <w:rPr>
      <w:rFonts w:ascii="Tahoma" w:hAnsi="Tahoma" w:cs="Tahoma"/>
      <w:sz w:val="16"/>
      <w:szCs w:val="16"/>
    </w:rPr>
  </w:style>
  <w:style w:type="paragraph" w:customStyle="1" w:styleId="BoxListBullet3">
    <w:name w:val="Box List Bullet 3"/>
    <w:basedOn w:val="ListBullet3"/>
    <w:rsid w:val="00572557"/>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72557"/>
    <w:rPr>
      <w:i/>
      <w:iCs/>
    </w:rPr>
  </w:style>
  <w:style w:type="paragraph" w:customStyle="1" w:styleId="BoxQuoteBullet">
    <w:name w:val="Box Quote Bullet"/>
    <w:basedOn w:val="BoxQuote"/>
    <w:next w:val="Box"/>
    <w:rsid w:val="00572557"/>
    <w:pPr>
      <w:numPr>
        <w:numId w:val="16"/>
      </w:numPr>
      <w:ind w:left="568" w:hanging="284"/>
    </w:pPr>
  </w:style>
  <w:style w:type="paragraph" w:customStyle="1" w:styleId="InformationRequestBullet">
    <w:name w:val="Information Request Bullet"/>
    <w:basedOn w:val="ListBullet"/>
    <w:next w:val="BodyText"/>
    <w:rsid w:val="00572557"/>
    <w:pPr>
      <w:numPr>
        <w:numId w:val="17"/>
      </w:numPr>
      <w:spacing w:before="80" w:line="280" w:lineRule="atLeast"/>
      <w:ind w:left="357" w:hanging="357"/>
    </w:pPr>
    <w:rPr>
      <w:rFonts w:ascii="Arial" w:hAnsi="Arial"/>
      <w:i/>
      <w:sz w:val="22"/>
    </w:rPr>
  </w:style>
  <w:style w:type="paragraph" w:styleId="EndnoteText">
    <w:name w:val="endnote text"/>
    <w:basedOn w:val="Normal"/>
    <w:link w:val="EndnoteTextChar"/>
    <w:rsid w:val="004C7183"/>
    <w:rPr>
      <w:sz w:val="20"/>
      <w:szCs w:val="20"/>
    </w:rPr>
  </w:style>
  <w:style w:type="character" w:customStyle="1" w:styleId="EndnoteTextChar">
    <w:name w:val="Endnote Text Char"/>
    <w:basedOn w:val="DefaultParagraphFont"/>
    <w:link w:val="EndnoteText"/>
    <w:rsid w:val="004C7183"/>
  </w:style>
  <w:style w:type="character" w:styleId="EndnoteReference">
    <w:name w:val="endnote reference"/>
    <w:basedOn w:val="DefaultParagraphFont"/>
    <w:rsid w:val="004C7183"/>
    <w:rPr>
      <w:vertAlign w:val="superscript"/>
    </w:rPr>
  </w:style>
  <w:style w:type="character" w:customStyle="1" w:styleId="CommentTextChar">
    <w:name w:val="Comment Text Char"/>
    <w:basedOn w:val="DefaultParagraphFont"/>
    <w:link w:val="CommentText"/>
    <w:semiHidden/>
    <w:rsid w:val="008C2A33"/>
    <w:rPr>
      <w:szCs w:val="24"/>
    </w:rPr>
  </w:style>
  <w:style w:type="paragraph" w:customStyle="1" w:styleId="BoxSpaceAbove">
    <w:name w:val="Box Space Above"/>
    <w:basedOn w:val="BodyText"/>
    <w:rsid w:val="00572557"/>
    <w:pPr>
      <w:keepNext/>
      <w:spacing w:before="360" w:line="80" w:lineRule="exact"/>
      <w:jc w:val="left"/>
    </w:pPr>
  </w:style>
  <w:style w:type="paragraph" w:customStyle="1" w:styleId="BoxSpaceBelow">
    <w:name w:val="Box Space Below"/>
    <w:basedOn w:val="Box"/>
    <w:rsid w:val="00572557"/>
    <w:pPr>
      <w:keepNext w:val="0"/>
      <w:spacing w:before="60" w:after="60" w:line="80" w:lineRule="exact"/>
    </w:pPr>
    <w:rPr>
      <w:sz w:val="14"/>
    </w:rPr>
  </w:style>
  <w:style w:type="paragraph" w:customStyle="1" w:styleId="DHSBulletText">
    <w:name w:val="DHS Bullet Text"/>
    <w:basedOn w:val="Normal"/>
    <w:rsid w:val="00B77B55"/>
    <w:pPr>
      <w:numPr>
        <w:numId w:val="21"/>
      </w:numPr>
      <w:spacing w:after="200" w:line="276" w:lineRule="auto"/>
    </w:pPr>
    <w:rPr>
      <w:rFonts w:asciiTheme="minorHAnsi" w:eastAsiaTheme="minorHAnsi" w:hAnsiTheme="minorHAnsi" w:cstheme="minorBidi"/>
      <w:sz w:val="22"/>
      <w:szCs w:val="22"/>
    </w:rPr>
  </w:style>
  <w:style w:type="character" w:customStyle="1" w:styleId="s2">
    <w:name w:val="s2"/>
    <w:basedOn w:val="DefaultParagraphFont"/>
    <w:rsid w:val="008875A6"/>
  </w:style>
  <w:style w:type="paragraph" w:customStyle="1" w:styleId="KeyPointsListBullet">
    <w:name w:val="Key Points List Bullet"/>
    <w:basedOn w:val="Normal"/>
    <w:qFormat/>
    <w:rsid w:val="00572557"/>
    <w:pPr>
      <w:keepNext/>
      <w:numPr>
        <w:numId w:val="22"/>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72557"/>
    <w:pPr>
      <w:numPr>
        <w:numId w:val="23"/>
      </w:numPr>
      <w:ind w:left="568" w:hanging="284"/>
    </w:pPr>
  </w:style>
  <w:style w:type="paragraph" w:customStyle="1" w:styleId="InformationRequestTitle">
    <w:name w:val="Information Request Title"/>
    <w:basedOn w:val="FindingTitle"/>
    <w:next w:val="InformationRequest"/>
    <w:rsid w:val="00572557"/>
    <w:rPr>
      <w:i/>
    </w:rPr>
  </w:style>
  <w:style w:type="paragraph" w:customStyle="1" w:styleId="Space">
    <w:name w:val="Space"/>
    <w:basedOn w:val="Normal"/>
    <w:rsid w:val="00572557"/>
    <w:pPr>
      <w:keepNext/>
      <w:spacing w:line="120" w:lineRule="exact"/>
      <w:jc w:val="both"/>
    </w:pPr>
    <w:rPr>
      <w:rFonts w:ascii="Arial" w:hAnsi="Arial"/>
      <w:sz w:val="20"/>
      <w:szCs w:val="20"/>
    </w:rPr>
  </w:style>
  <w:style w:type="paragraph" w:customStyle="1" w:styleId="Heading1nochapterno">
    <w:name w:val="Heading 1 (no chapter no.)"/>
    <w:basedOn w:val="Heading1"/>
    <w:rsid w:val="00572557"/>
    <w:pPr>
      <w:spacing w:before="0"/>
      <w:ind w:left="0" w:firstLine="0"/>
    </w:pPr>
  </w:style>
  <w:style w:type="paragraph" w:customStyle="1" w:styleId="Heading2nosectionno">
    <w:name w:val="Heading 2 (no section no.)"/>
    <w:basedOn w:val="Heading2"/>
    <w:rsid w:val="00572557"/>
    <w:pPr>
      <w:ind w:left="0" w:firstLine="0"/>
    </w:pPr>
  </w:style>
  <w:style w:type="character" w:customStyle="1" w:styleId="Heading5Char">
    <w:name w:val="Heading 5 Char"/>
    <w:basedOn w:val="DefaultParagraphFont"/>
    <w:link w:val="Heading5"/>
    <w:rsid w:val="00572557"/>
    <w:rPr>
      <w:rFonts w:ascii="Arial" w:hAnsi="Arial"/>
      <w:i/>
      <w:sz w:val="22"/>
    </w:rPr>
  </w:style>
  <w:style w:type="paragraph" w:customStyle="1" w:styleId="Figurespace">
    <w:name w:val="Figure space"/>
    <w:basedOn w:val="Box"/>
    <w:rsid w:val="00572557"/>
    <w:pPr>
      <w:spacing w:before="0" w:line="120" w:lineRule="exact"/>
    </w:pPr>
  </w:style>
  <w:style w:type="paragraph" w:customStyle="1" w:styleId="FooterDraftReport">
    <w:name w:val="FooterDraftReport"/>
    <w:basedOn w:val="Footer"/>
    <w:link w:val="FooterDraftReportChar"/>
    <w:rsid w:val="005725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72557"/>
    <w:rPr>
      <w:rFonts w:ascii="Arial" w:hAnsi="Arial"/>
      <w:caps/>
      <w:spacing w:val="-4"/>
      <w:sz w:val="16"/>
    </w:rPr>
  </w:style>
  <w:style w:type="character" w:customStyle="1" w:styleId="FooterDraftReportChar">
    <w:name w:val="FooterDraftReport Char"/>
    <w:basedOn w:val="FooterChar"/>
    <w:link w:val="FooterDraftReport"/>
    <w:rsid w:val="005725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72557"/>
    <w:rPr>
      <w:rFonts w:ascii="Arial" w:hAnsi="Arial"/>
      <w:b/>
      <w:sz w:val="26"/>
      <w:szCs w:val="26"/>
      <w:lang w:eastAsia="en-US"/>
    </w:rPr>
  </w:style>
  <w:style w:type="character" w:customStyle="1" w:styleId="Heading1Char">
    <w:name w:val="Heading 1 Char"/>
    <w:basedOn w:val="DefaultParagraphFont"/>
    <w:link w:val="Heading1"/>
    <w:rsid w:val="00EB3500"/>
    <w:rPr>
      <w:sz w:val="52"/>
    </w:rPr>
  </w:style>
  <w:style w:type="paragraph" w:customStyle="1" w:styleId="Heading1NotTOC">
    <w:name w:val="Heading 1 Not TOC"/>
    <w:basedOn w:val="Heading1"/>
    <w:next w:val="BodyText"/>
    <w:rsid w:val="00EB3500"/>
    <w:rPr>
      <w:kern w:val="28"/>
      <w:szCs w:val="26"/>
      <w:lang w:eastAsia="en-US"/>
    </w:rPr>
  </w:style>
  <w:style w:type="paragraph" w:styleId="ListParagraph">
    <w:name w:val="List Paragraph"/>
    <w:basedOn w:val="Normal"/>
    <w:uiPriority w:val="34"/>
    <w:qFormat/>
    <w:rsid w:val="006B01C5"/>
    <w:pPr>
      <w:ind w:left="720"/>
      <w:contextualSpacing/>
    </w:pPr>
  </w:style>
  <w:style w:type="character" w:customStyle="1" w:styleId="TableBulletChar">
    <w:name w:val="Table Bullet Char"/>
    <w:basedOn w:val="TableBodyTextChar"/>
    <w:link w:val="TableBullet"/>
    <w:rsid w:val="00F15B1D"/>
    <w:rPr>
      <w:rFonts w:ascii="Arial" w:hAnsi="Arial"/>
      <w:sz w:val="18"/>
    </w:rPr>
  </w:style>
  <w:style w:type="character" w:customStyle="1" w:styleId="BoxListBulletChar">
    <w:name w:val="Box List Bullet Char"/>
    <w:basedOn w:val="DefaultParagraphFont"/>
    <w:link w:val="BoxListBullet"/>
    <w:rsid w:val="007D22DB"/>
    <w:rPr>
      <w:rFonts w:ascii="Arial" w:hAnsi="Arial"/>
    </w:rPr>
  </w:style>
  <w:style w:type="paragraph" w:styleId="Revision">
    <w:name w:val="Revision"/>
    <w:hidden/>
    <w:uiPriority w:val="99"/>
    <w:semiHidden/>
    <w:rsid w:val="007F3A9C"/>
    <w:rPr>
      <w:sz w:val="24"/>
      <w:szCs w:val="24"/>
    </w:rPr>
  </w:style>
  <w:style w:type="character" w:customStyle="1" w:styleId="TableTitleChar">
    <w:name w:val="Table Title Char"/>
    <w:link w:val="TableTitle"/>
    <w:locked/>
    <w:rsid w:val="00BD4E8F"/>
    <w:rPr>
      <w:rFonts w:ascii="Arial" w:hAnsi="Arial"/>
      <w:b/>
      <w:sz w:val="24"/>
      <w:szCs w:val="24"/>
    </w:rPr>
  </w:style>
  <w:style w:type="character" w:customStyle="1" w:styleId="SourceChar">
    <w:name w:val="Source Char"/>
    <w:link w:val="Source"/>
    <w:rsid w:val="00BD4E8F"/>
    <w:rPr>
      <w:rFonts w:ascii="Arial" w:hAnsi="Arial"/>
      <w:sz w:val="18"/>
    </w:rPr>
  </w:style>
  <w:style w:type="character" w:customStyle="1" w:styleId="BoxChar">
    <w:name w:val="Box Char"/>
    <w:link w:val="Box"/>
    <w:rsid w:val="00BD4E8F"/>
    <w:rPr>
      <w:rFonts w:ascii="Arial" w:hAnsi="Arial"/>
    </w:rPr>
  </w:style>
  <w:style w:type="character" w:customStyle="1" w:styleId="Heading3Char">
    <w:name w:val="Heading 3 Char"/>
    <w:basedOn w:val="DefaultParagraphFont"/>
    <w:link w:val="Heading3"/>
    <w:rsid w:val="0065490B"/>
    <w:rPr>
      <w:rFonts w:ascii="Arial" w:hAnsi="Arial"/>
      <w:b/>
      <w:sz w:val="26"/>
    </w:rPr>
  </w:style>
  <w:style w:type="character" w:customStyle="1" w:styleId="Continuedintitle">
    <w:name w:val="Continued (in title)"/>
    <w:basedOn w:val="DefaultParagraphFont"/>
    <w:rsid w:val="00443258"/>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3701">
      <w:bodyDiv w:val="1"/>
      <w:marLeft w:val="0"/>
      <w:marRight w:val="0"/>
      <w:marTop w:val="0"/>
      <w:marBottom w:val="0"/>
      <w:divBdr>
        <w:top w:val="none" w:sz="0" w:space="0" w:color="auto"/>
        <w:left w:val="none" w:sz="0" w:space="0" w:color="auto"/>
        <w:bottom w:val="none" w:sz="0" w:space="0" w:color="auto"/>
        <w:right w:val="none" w:sz="0" w:space="0" w:color="auto"/>
      </w:divBdr>
    </w:div>
    <w:div w:id="107509071">
      <w:bodyDiv w:val="1"/>
      <w:marLeft w:val="0"/>
      <w:marRight w:val="0"/>
      <w:marTop w:val="0"/>
      <w:marBottom w:val="0"/>
      <w:divBdr>
        <w:top w:val="none" w:sz="0" w:space="0" w:color="auto"/>
        <w:left w:val="none" w:sz="0" w:space="0" w:color="auto"/>
        <w:bottom w:val="none" w:sz="0" w:space="0" w:color="auto"/>
        <w:right w:val="none" w:sz="0" w:space="0" w:color="auto"/>
      </w:divBdr>
    </w:div>
    <w:div w:id="110444542">
      <w:bodyDiv w:val="1"/>
      <w:marLeft w:val="0"/>
      <w:marRight w:val="0"/>
      <w:marTop w:val="0"/>
      <w:marBottom w:val="0"/>
      <w:divBdr>
        <w:top w:val="none" w:sz="0" w:space="0" w:color="auto"/>
        <w:left w:val="none" w:sz="0" w:space="0" w:color="auto"/>
        <w:bottom w:val="none" w:sz="0" w:space="0" w:color="auto"/>
        <w:right w:val="none" w:sz="0" w:space="0" w:color="auto"/>
      </w:divBdr>
    </w:div>
    <w:div w:id="475294566">
      <w:bodyDiv w:val="1"/>
      <w:marLeft w:val="0"/>
      <w:marRight w:val="0"/>
      <w:marTop w:val="0"/>
      <w:marBottom w:val="0"/>
      <w:divBdr>
        <w:top w:val="none" w:sz="0" w:space="0" w:color="auto"/>
        <w:left w:val="none" w:sz="0" w:space="0" w:color="auto"/>
        <w:bottom w:val="none" w:sz="0" w:space="0" w:color="auto"/>
        <w:right w:val="none" w:sz="0" w:space="0" w:color="auto"/>
      </w:divBdr>
    </w:div>
    <w:div w:id="652179379">
      <w:bodyDiv w:val="1"/>
      <w:marLeft w:val="0"/>
      <w:marRight w:val="0"/>
      <w:marTop w:val="0"/>
      <w:marBottom w:val="0"/>
      <w:divBdr>
        <w:top w:val="none" w:sz="0" w:space="0" w:color="auto"/>
        <w:left w:val="none" w:sz="0" w:space="0" w:color="auto"/>
        <w:bottom w:val="none" w:sz="0" w:space="0" w:color="auto"/>
        <w:right w:val="none" w:sz="0" w:space="0" w:color="auto"/>
      </w:divBdr>
    </w:div>
    <w:div w:id="670913753">
      <w:bodyDiv w:val="1"/>
      <w:marLeft w:val="0"/>
      <w:marRight w:val="0"/>
      <w:marTop w:val="0"/>
      <w:marBottom w:val="0"/>
      <w:divBdr>
        <w:top w:val="none" w:sz="0" w:space="0" w:color="auto"/>
        <w:left w:val="none" w:sz="0" w:space="0" w:color="auto"/>
        <w:bottom w:val="none" w:sz="0" w:space="0" w:color="auto"/>
        <w:right w:val="none" w:sz="0" w:space="0" w:color="auto"/>
      </w:divBdr>
    </w:div>
    <w:div w:id="795561868">
      <w:bodyDiv w:val="1"/>
      <w:marLeft w:val="0"/>
      <w:marRight w:val="0"/>
      <w:marTop w:val="0"/>
      <w:marBottom w:val="0"/>
      <w:divBdr>
        <w:top w:val="none" w:sz="0" w:space="0" w:color="auto"/>
        <w:left w:val="none" w:sz="0" w:space="0" w:color="auto"/>
        <w:bottom w:val="none" w:sz="0" w:space="0" w:color="auto"/>
        <w:right w:val="none" w:sz="0" w:space="0" w:color="auto"/>
      </w:divBdr>
    </w:div>
    <w:div w:id="843398504">
      <w:bodyDiv w:val="1"/>
      <w:marLeft w:val="0"/>
      <w:marRight w:val="0"/>
      <w:marTop w:val="0"/>
      <w:marBottom w:val="0"/>
      <w:divBdr>
        <w:top w:val="none" w:sz="0" w:space="0" w:color="auto"/>
        <w:left w:val="none" w:sz="0" w:space="0" w:color="auto"/>
        <w:bottom w:val="none" w:sz="0" w:space="0" w:color="auto"/>
        <w:right w:val="none" w:sz="0" w:space="0" w:color="auto"/>
      </w:divBdr>
    </w:div>
    <w:div w:id="855728601">
      <w:bodyDiv w:val="1"/>
      <w:marLeft w:val="0"/>
      <w:marRight w:val="0"/>
      <w:marTop w:val="0"/>
      <w:marBottom w:val="0"/>
      <w:divBdr>
        <w:top w:val="none" w:sz="0" w:space="0" w:color="auto"/>
        <w:left w:val="none" w:sz="0" w:space="0" w:color="auto"/>
        <w:bottom w:val="none" w:sz="0" w:space="0" w:color="auto"/>
        <w:right w:val="none" w:sz="0" w:space="0" w:color="auto"/>
      </w:divBdr>
    </w:div>
    <w:div w:id="862595191">
      <w:bodyDiv w:val="1"/>
      <w:marLeft w:val="0"/>
      <w:marRight w:val="0"/>
      <w:marTop w:val="0"/>
      <w:marBottom w:val="0"/>
      <w:divBdr>
        <w:top w:val="none" w:sz="0" w:space="0" w:color="auto"/>
        <w:left w:val="none" w:sz="0" w:space="0" w:color="auto"/>
        <w:bottom w:val="none" w:sz="0" w:space="0" w:color="auto"/>
        <w:right w:val="none" w:sz="0" w:space="0" w:color="auto"/>
      </w:divBdr>
    </w:div>
    <w:div w:id="867794051">
      <w:bodyDiv w:val="1"/>
      <w:marLeft w:val="0"/>
      <w:marRight w:val="0"/>
      <w:marTop w:val="0"/>
      <w:marBottom w:val="0"/>
      <w:divBdr>
        <w:top w:val="none" w:sz="0" w:space="0" w:color="auto"/>
        <w:left w:val="none" w:sz="0" w:space="0" w:color="auto"/>
        <w:bottom w:val="none" w:sz="0" w:space="0" w:color="auto"/>
        <w:right w:val="none" w:sz="0" w:space="0" w:color="auto"/>
      </w:divBdr>
    </w:div>
    <w:div w:id="1037661686">
      <w:bodyDiv w:val="1"/>
      <w:marLeft w:val="0"/>
      <w:marRight w:val="0"/>
      <w:marTop w:val="0"/>
      <w:marBottom w:val="0"/>
      <w:divBdr>
        <w:top w:val="none" w:sz="0" w:space="0" w:color="auto"/>
        <w:left w:val="none" w:sz="0" w:space="0" w:color="auto"/>
        <w:bottom w:val="none" w:sz="0" w:space="0" w:color="auto"/>
        <w:right w:val="none" w:sz="0" w:space="0" w:color="auto"/>
      </w:divBdr>
    </w:div>
    <w:div w:id="1127433710">
      <w:bodyDiv w:val="1"/>
      <w:marLeft w:val="0"/>
      <w:marRight w:val="0"/>
      <w:marTop w:val="0"/>
      <w:marBottom w:val="0"/>
      <w:divBdr>
        <w:top w:val="none" w:sz="0" w:space="0" w:color="auto"/>
        <w:left w:val="none" w:sz="0" w:space="0" w:color="auto"/>
        <w:bottom w:val="none" w:sz="0" w:space="0" w:color="auto"/>
        <w:right w:val="none" w:sz="0" w:space="0" w:color="auto"/>
      </w:divBdr>
    </w:div>
    <w:div w:id="1130053491">
      <w:bodyDiv w:val="1"/>
      <w:marLeft w:val="0"/>
      <w:marRight w:val="0"/>
      <w:marTop w:val="0"/>
      <w:marBottom w:val="0"/>
      <w:divBdr>
        <w:top w:val="none" w:sz="0" w:space="0" w:color="auto"/>
        <w:left w:val="none" w:sz="0" w:space="0" w:color="auto"/>
        <w:bottom w:val="none" w:sz="0" w:space="0" w:color="auto"/>
        <w:right w:val="none" w:sz="0" w:space="0" w:color="auto"/>
      </w:divBdr>
    </w:div>
    <w:div w:id="1141582687">
      <w:bodyDiv w:val="1"/>
      <w:marLeft w:val="0"/>
      <w:marRight w:val="0"/>
      <w:marTop w:val="0"/>
      <w:marBottom w:val="0"/>
      <w:divBdr>
        <w:top w:val="none" w:sz="0" w:space="0" w:color="auto"/>
        <w:left w:val="none" w:sz="0" w:space="0" w:color="auto"/>
        <w:bottom w:val="none" w:sz="0" w:space="0" w:color="auto"/>
        <w:right w:val="none" w:sz="0" w:space="0" w:color="auto"/>
      </w:divBdr>
    </w:div>
    <w:div w:id="1226838188">
      <w:bodyDiv w:val="1"/>
      <w:marLeft w:val="0"/>
      <w:marRight w:val="0"/>
      <w:marTop w:val="0"/>
      <w:marBottom w:val="0"/>
      <w:divBdr>
        <w:top w:val="none" w:sz="0" w:space="0" w:color="auto"/>
        <w:left w:val="none" w:sz="0" w:space="0" w:color="auto"/>
        <w:bottom w:val="none" w:sz="0" w:space="0" w:color="auto"/>
        <w:right w:val="none" w:sz="0" w:space="0" w:color="auto"/>
      </w:divBdr>
    </w:div>
    <w:div w:id="1233196948">
      <w:bodyDiv w:val="1"/>
      <w:marLeft w:val="0"/>
      <w:marRight w:val="0"/>
      <w:marTop w:val="0"/>
      <w:marBottom w:val="0"/>
      <w:divBdr>
        <w:top w:val="none" w:sz="0" w:space="0" w:color="auto"/>
        <w:left w:val="none" w:sz="0" w:space="0" w:color="auto"/>
        <w:bottom w:val="none" w:sz="0" w:space="0" w:color="auto"/>
        <w:right w:val="none" w:sz="0" w:space="0" w:color="auto"/>
      </w:divBdr>
    </w:div>
    <w:div w:id="1236167482">
      <w:bodyDiv w:val="1"/>
      <w:marLeft w:val="0"/>
      <w:marRight w:val="0"/>
      <w:marTop w:val="0"/>
      <w:marBottom w:val="0"/>
      <w:divBdr>
        <w:top w:val="none" w:sz="0" w:space="0" w:color="auto"/>
        <w:left w:val="none" w:sz="0" w:space="0" w:color="auto"/>
        <w:bottom w:val="none" w:sz="0" w:space="0" w:color="auto"/>
        <w:right w:val="none" w:sz="0" w:space="0" w:color="auto"/>
      </w:divBdr>
      <w:divsChild>
        <w:div w:id="362170702">
          <w:marLeft w:val="0"/>
          <w:marRight w:val="0"/>
          <w:marTop w:val="0"/>
          <w:marBottom w:val="0"/>
          <w:divBdr>
            <w:top w:val="none" w:sz="0" w:space="0" w:color="auto"/>
            <w:left w:val="none" w:sz="0" w:space="0" w:color="auto"/>
            <w:bottom w:val="none" w:sz="0" w:space="0" w:color="auto"/>
            <w:right w:val="none" w:sz="0" w:space="0" w:color="auto"/>
          </w:divBdr>
          <w:divsChild>
            <w:div w:id="6533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53794">
      <w:bodyDiv w:val="1"/>
      <w:marLeft w:val="0"/>
      <w:marRight w:val="0"/>
      <w:marTop w:val="0"/>
      <w:marBottom w:val="0"/>
      <w:divBdr>
        <w:top w:val="none" w:sz="0" w:space="0" w:color="auto"/>
        <w:left w:val="none" w:sz="0" w:space="0" w:color="auto"/>
        <w:bottom w:val="none" w:sz="0" w:space="0" w:color="auto"/>
        <w:right w:val="none" w:sz="0" w:space="0" w:color="auto"/>
      </w:divBdr>
    </w:div>
    <w:div w:id="1376931840">
      <w:bodyDiv w:val="1"/>
      <w:marLeft w:val="0"/>
      <w:marRight w:val="0"/>
      <w:marTop w:val="0"/>
      <w:marBottom w:val="0"/>
      <w:divBdr>
        <w:top w:val="none" w:sz="0" w:space="0" w:color="auto"/>
        <w:left w:val="none" w:sz="0" w:space="0" w:color="auto"/>
        <w:bottom w:val="none" w:sz="0" w:space="0" w:color="auto"/>
        <w:right w:val="none" w:sz="0" w:space="0" w:color="auto"/>
      </w:divBdr>
    </w:div>
    <w:div w:id="1565680489">
      <w:bodyDiv w:val="1"/>
      <w:marLeft w:val="0"/>
      <w:marRight w:val="0"/>
      <w:marTop w:val="0"/>
      <w:marBottom w:val="0"/>
      <w:divBdr>
        <w:top w:val="none" w:sz="0" w:space="0" w:color="auto"/>
        <w:left w:val="none" w:sz="0" w:space="0" w:color="auto"/>
        <w:bottom w:val="none" w:sz="0" w:space="0" w:color="auto"/>
        <w:right w:val="none" w:sz="0" w:space="0" w:color="auto"/>
      </w:divBdr>
    </w:div>
    <w:div w:id="1603801193">
      <w:bodyDiv w:val="1"/>
      <w:marLeft w:val="0"/>
      <w:marRight w:val="0"/>
      <w:marTop w:val="0"/>
      <w:marBottom w:val="0"/>
      <w:divBdr>
        <w:top w:val="none" w:sz="0" w:space="0" w:color="auto"/>
        <w:left w:val="none" w:sz="0" w:space="0" w:color="auto"/>
        <w:bottom w:val="none" w:sz="0" w:space="0" w:color="auto"/>
        <w:right w:val="none" w:sz="0" w:space="0" w:color="auto"/>
      </w:divBdr>
    </w:div>
    <w:div w:id="1631670262">
      <w:bodyDiv w:val="1"/>
      <w:marLeft w:val="0"/>
      <w:marRight w:val="0"/>
      <w:marTop w:val="0"/>
      <w:marBottom w:val="0"/>
      <w:divBdr>
        <w:top w:val="none" w:sz="0" w:space="0" w:color="auto"/>
        <w:left w:val="none" w:sz="0" w:space="0" w:color="auto"/>
        <w:bottom w:val="none" w:sz="0" w:space="0" w:color="auto"/>
        <w:right w:val="none" w:sz="0" w:space="0" w:color="auto"/>
      </w:divBdr>
    </w:div>
    <w:div w:id="1787775822">
      <w:bodyDiv w:val="1"/>
      <w:marLeft w:val="0"/>
      <w:marRight w:val="0"/>
      <w:marTop w:val="0"/>
      <w:marBottom w:val="0"/>
      <w:divBdr>
        <w:top w:val="none" w:sz="0" w:space="0" w:color="auto"/>
        <w:left w:val="none" w:sz="0" w:space="0" w:color="auto"/>
        <w:bottom w:val="none" w:sz="0" w:space="0" w:color="auto"/>
        <w:right w:val="none" w:sz="0" w:space="0" w:color="auto"/>
      </w:divBdr>
    </w:div>
    <w:div w:id="1885169696">
      <w:bodyDiv w:val="1"/>
      <w:marLeft w:val="0"/>
      <w:marRight w:val="0"/>
      <w:marTop w:val="0"/>
      <w:marBottom w:val="0"/>
      <w:divBdr>
        <w:top w:val="none" w:sz="0" w:space="0" w:color="auto"/>
        <w:left w:val="none" w:sz="0" w:space="0" w:color="auto"/>
        <w:bottom w:val="none" w:sz="0" w:space="0" w:color="auto"/>
        <w:right w:val="none" w:sz="0" w:space="0" w:color="auto"/>
      </w:divBdr>
    </w:div>
    <w:div w:id="1911192078">
      <w:bodyDiv w:val="1"/>
      <w:marLeft w:val="0"/>
      <w:marRight w:val="0"/>
      <w:marTop w:val="0"/>
      <w:marBottom w:val="0"/>
      <w:divBdr>
        <w:top w:val="none" w:sz="0" w:space="0" w:color="auto"/>
        <w:left w:val="none" w:sz="0" w:space="0" w:color="auto"/>
        <w:bottom w:val="none" w:sz="0" w:space="0" w:color="auto"/>
        <w:right w:val="none" w:sz="0" w:space="0" w:color="auto"/>
      </w:divBdr>
    </w:div>
    <w:div w:id="2040542203">
      <w:bodyDiv w:val="1"/>
      <w:marLeft w:val="0"/>
      <w:marRight w:val="0"/>
      <w:marTop w:val="0"/>
      <w:marBottom w:val="0"/>
      <w:divBdr>
        <w:top w:val="none" w:sz="0" w:space="0" w:color="auto"/>
        <w:left w:val="none" w:sz="0" w:space="0" w:color="auto"/>
        <w:bottom w:val="none" w:sz="0" w:space="0" w:color="auto"/>
        <w:right w:val="none" w:sz="0" w:space="0" w:color="auto"/>
      </w:divBdr>
    </w:div>
    <w:div w:id="20431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3%20Housing%20&amp;%20homelessness\02%20Report\03%20Data\00%202017%20Report\02%20Charts\2017%20RoGS%20Housing%20chapter%20charts.xlsm"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'Data CH'!$A$5</c:f>
              <c:strCache>
                <c:ptCount val="1"/>
                <c:pt idx="0">
                  <c:v>2011-12</c:v>
                </c:pt>
              </c:strCache>
            </c:strRef>
          </c:tx>
          <c:spPr>
            <a:solidFill>
              <a:srgbClr val="78A22F"/>
            </a:solidFill>
            <a:ln>
              <a:solidFill>
                <a:srgbClr val="78A22F"/>
              </a:solidFill>
            </a:ln>
          </c:spPr>
          <c:invertIfNegative val="0"/>
          <c:cat>
            <c:strRef>
              <c:f>'Data CH'!$B$4:$J$4</c:f>
              <c:strCache>
                <c:ptCount val="9"/>
                <c:pt idx="0">
                  <c:v>NSW</c:v>
                </c:pt>
                <c:pt idx="1">
                  <c:v>Vic</c:v>
                </c:pt>
                <c:pt idx="2">
                  <c:v>Qld</c:v>
                </c:pt>
                <c:pt idx="3">
                  <c:v>WA</c:v>
                </c:pt>
                <c:pt idx="4">
                  <c:v>SA</c:v>
                </c:pt>
                <c:pt idx="5">
                  <c:v>Tas</c:v>
                </c:pt>
                <c:pt idx="6">
                  <c:v>ACT</c:v>
                </c:pt>
                <c:pt idx="7">
                  <c:v>NT</c:v>
                </c:pt>
                <c:pt idx="8">
                  <c:v>Total</c:v>
                </c:pt>
              </c:strCache>
            </c:strRef>
          </c:cat>
          <c:val>
            <c:numRef>
              <c:f>'Data CH'!$B$5:$J$5</c:f>
              <c:numCache>
                <c:formatCode>0.0</c:formatCode>
                <c:ptCount val="9"/>
                <c:pt idx="0">
                  <c:v>71.263751006171006</c:v>
                </c:pt>
                <c:pt idx="1">
                  <c:v>50.7</c:v>
                </c:pt>
                <c:pt idx="2">
                  <c:v>57.980582524272002</c:v>
                </c:pt>
                <c:pt idx="3">
                  <c:v>47.37</c:v>
                </c:pt>
                <c:pt idx="4">
                  <c:v>73.87</c:v>
                </c:pt>
                <c:pt idx="5">
                  <c:v>67.650000000000006</c:v>
                </c:pt>
                <c:pt idx="6">
                  <c:v>61.45</c:v>
                </c:pt>
                <c:pt idx="7">
                  <c:v>0</c:v>
                </c:pt>
                <c:pt idx="8">
                  <c:v>60.311863344302999</c:v>
                </c:pt>
              </c:numCache>
            </c:numRef>
          </c:val>
        </c:ser>
        <c:ser>
          <c:idx val="1"/>
          <c:order val="1"/>
          <c:tx>
            <c:strRef>
              <c:f>'Data CH'!$A$6</c:f>
              <c:strCache>
                <c:ptCount val="1"/>
                <c:pt idx="0">
                  <c:v>2012-13</c:v>
                </c:pt>
              </c:strCache>
            </c:strRef>
          </c:tx>
          <c:spPr>
            <a:solidFill>
              <a:srgbClr val="78A22F"/>
            </a:solidFill>
            <a:ln>
              <a:solidFill>
                <a:srgbClr val="78A22F"/>
              </a:solidFill>
            </a:ln>
          </c:spPr>
          <c:invertIfNegative val="0"/>
          <c:cat>
            <c:strRef>
              <c:f>'Data CH'!$B$4:$J$4</c:f>
              <c:strCache>
                <c:ptCount val="9"/>
                <c:pt idx="0">
                  <c:v>NSW</c:v>
                </c:pt>
                <c:pt idx="1">
                  <c:v>Vic</c:v>
                </c:pt>
                <c:pt idx="2">
                  <c:v>Qld</c:v>
                </c:pt>
                <c:pt idx="3">
                  <c:v>WA</c:v>
                </c:pt>
                <c:pt idx="4">
                  <c:v>SA</c:v>
                </c:pt>
                <c:pt idx="5">
                  <c:v>Tas</c:v>
                </c:pt>
                <c:pt idx="6">
                  <c:v>ACT</c:v>
                </c:pt>
                <c:pt idx="7">
                  <c:v>NT</c:v>
                </c:pt>
                <c:pt idx="8">
                  <c:v>Total</c:v>
                </c:pt>
              </c:strCache>
            </c:strRef>
          </c:cat>
          <c:val>
            <c:numRef>
              <c:f>'Data CH'!$B$6:$J$6</c:f>
              <c:numCache>
                <c:formatCode>0.0</c:formatCode>
                <c:ptCount val="9"/>
                <c:pt idx="0">
                  <c:v>70.3</c:v>
                </c:pt>
                <c:pt idx="1">
                  <c:v>49.6</c:v>
                </c:pt>
                <c:pt idx="2">
                  <c:v>75.610687022901004</c:v>
                </c:pt>
                <c:pt idx="3">
                  <c:v>53.41</c:v>
                </c:pt>
                <c:pt idx="4">
                  <c:v>77.42</c:v>
                </c:pt>
                <c:pt idx="5">
                  <c:v>56.28</c:v>
                </c:pt>
                <c:pt idx="6">
                  <c:v>45.96</c:v>
                </c:pt>
                <c:pt idx="7">
                  <c:v>0</c:v>
                </c:pt>
                <c:pt idx="8">
                  <c:v>62.862336171434002</c:v>
                </c:pt>
              </c:numCache>
            </c:numRef>
          </c:val>
        </c:ser>
        <c:ser>
          <c:idx val="2"/>
          <c:order val="2"/>
          <c:tx>
            <c:strRef>
              <c:f>'Data CH'!$A$7</c:f>
              <c:strCache>
                <c:ptCount val="1"/>
                <c:pt idx="0">
                  <c:v>2013-14</c:v>
                </c:pt>
              </c:strCache>
            </c:strRef>
          </c:tx>
          <c:spPr>
            <a:solidFill>
              <a:srgbClr val="78A22F"/>
            </a:solidFill>
            <a:ln>
              <a:solidFill>
                <a:srgbClr val="78A22F"/>
              </a:solidFill>
            </a:ln>
          </c:spPr>
          <c:invertIfNegative val="0"/>
          <c:cat>
            <c:strRef>
              <c:f>'Data CH'!$B$4:$J$4</c:f>
              <c:strCache>
                <c:ptCount val="9"/>
                <c:pt idx="0">
                  <c:v>NSW</c:v>
                </c:pt>
                <c:pt idx="1">
                  <c:v>Vic</c:v>
                </c:pt>
                <c:pt idx="2">
                  <c:v>Qld</c:v>
                </c:pt>
                <c:pt idx="3">
                  <c:v>WA</c:v>
                </c:pt>
                <c:pt idx="4">
                  <c:v>SA</c:v>
                </c:pt>
                <c:pt idx="5">
                  <c:v>Tas</c:v>
                </c:pt>
                <c:pt idx="6">
                  <c:v>ACT</c:v>
                </c:pt>
                <c:pt idx="7">
                  <c:v>NT</c:v>
                </c:pt>
                <c:pt idx="8">
                  <c:v>Total</c:v>
                </c:pt>
              </c:strCache>
            </c:strRef>
          </c:cat>
          <c:val>
            <c:numRef>
              <c:f>'Data CH'!$B$7:$J$7</c:f>
              <c:numCache>
                <c:formatCode>0.0</c:formatCode>
                <c:ptCount val="9"/>
                <c:pt idx="0">
                  <c:v>61.6</c:v>
                </c:pt>
                <c:pt idx="1">
                  <c:v>49.81</c:v>
                </c:pt>
                <c:pt idx="2">
                  <c:v>67.014925399999996</c:v>
                </c:pt>
                <c:pt idx="3">
                  <c:v>50.85</c:v>
                </c:pt>
                <c:pt idx="4">
                  <c:v>55.61</c:v>
                </c:pt>
                <c:pt idx="5">
                  <c:v>72.3</c:v>
                </c:pt>
                <c:pt idx="6">
                  <c:v>48.214285699999998</c:v>
                </c:pt>
                <c:pt idx="7">
                  <c:v>0</c:v>
                </c:pt>
                <c:pt idx="8">
                  <c:v>58.73</c:v>
                </c:pt>
              </c:numCache>
            </c:numRef>
          </c:val>
        </c:ser>
        <c:ser>
          <c:idx val="3"/>
          <c:order val="3"/>
          <c:tx>
            <c:strRef>
              <c:f>'Data CH'!$A$8</c:f>
              <c:strCache>
                <c:ptCount val="1"/>
                <c:pt idx="0">
                  <c:v>2014-15</c:v>
                </c:pt>
              </c:strCache>
            </c:strRef>
          </c:tx>
          <c:spPr>
            <a:solidFill>
              <a:srgbClr val="78A22F"/>
            </a:solidFill>
            <a:ln>
              <a:solidFill>
                <a:srgbClr val="78A22F"/>
              </a:solidFill>
            </a:ln>
          </c:spPr>
          <c:invertIfNegative val="0"/>
          <c:cat>
            <c:strRef>
              <c:f>'Data CH'!$B$4:$J$4</c:f>
              <c:strCache>
                <c:ptCount val="9"/>
                <c:pt idx="0">
                  <c:v>NSW</c:v>
                </c:pt>
                <c:pt idx="1">
                  <c:v>Vic</c:v>
                </c:pt>
                <c:pt idx="2">
                  <c:v>Qld</c:v>
                </c:pt>
                <c:pt idx="3">
                  <c:v>WA</c:v>
                </c:pt>
                <c:pt idx="4">
                  <c:v>SA</c:v>
                </c:pt>
                <c:pt idx="5">
                  <c:v>Tas</c:v>
                </c:pt>
                <c:pt idx="6">
                  <c:v>ACT</c:v>
                </c:pt>
                <c:pt idx="7">
                  <c:v>NT</c:v>
                </c:pt>
                <c:pt idx="8">
                  <c:v>Total</c:v>
                </c:pt>
              </c:strCache>
            </c:strRef>
          </c:cat>
          <c:val>
            <c:numRef>
              <c:f>'Data CH'!$B$8:$J$8</c:f>
              <c:numCache>
                <c:formatCode>0.0</c:formatCode>
                <c:ptCount val="9"/>
                <c:pt idx="0">
                  <c:v>57.7</c:v>
                </c:pt>
                <c:pt idx="1">
                  <c:v>46.7</c:v>
                </c:pt>
                <c:pt idx="2">
                  <c:v>62.7</c:v>
                </c:pt>
                <c:pt idx="3">
                  <c:v>49.4</c:v>
                </c:pt>
                <c:pt idx="4">
                  <c:v>60.5</c:v>
                </c:pt>
                <c:pt idx="5">
                  <c:v>67.5</c:v>
                </c:pt>
                <c:pt idx="6">
                  <c:v>61.5</c:v>
                </c:pt>
                <c:pt idx="7">
                  <c:v>0</c:v>
                </c:pt>
                <c:pt idx="8">
                  <c:v>56.9</c:v>
                </c:pt>
              </c:numCache>
            </c:numRef>
          </c:val>
        </c:ser>
        <c:ser>
          <c:idx val="4"/>
          <c:order val="4"/>
          <c:tx>
            <c:strRef>
              <c:f>'Data CH'!$A$9</c:f>
              <c:strCache>
                <c:ptCount val="1"/>
                <c:pt idx="0">
                  <c:v>2015-16</c:v>
                </c:pt>
              </c:strCache>
            </c:strRef>
          </c:tx>
          <c:spPr>
            <a:solidFill>
              <a:srgbClr val="265A9A"/>
            </a:solidFill>
            <a:ln>
              <a:solidFill>
                <a:srgbClr val="265A9A"/>
              </a:solidFill>
            </a:ln>
          </c:spPr>
          <c:invertIfNegative val="0"/>
          <c:cat>
            <c:strRef>
              <c:f>'Data CH'!$B$4:$J$4</c:f>
              <c:strCache>
                <c:ptCount val="9"/>
                <c:pt idx="0">
                  <c:v>NSW</c:v>
                </c:pt>
                <c:pt idx="1">
                  <c:v>Vic</c:v>
                </c:pt>
                <c:pt idx="2">
                  <c:v>Qld</c:v>
                </c:pt>
                <c:pt idx="3">
                  <c:v>WA</c:v>
                </c:pt>
                <c:pt idx="4">
                  <c:v>SA</c:v>
                </c:pt>
                <c:pt idx="5">
                  <c:v>Tas</c:v>
                </c:pt>
                <c:pt idx="6">
                  <c:v>ACT</c:v>
                </c:pt>
                <c:pt idx="7">
                  <c:v>NT</c:v>
                </c:pt>
                <c:pt idx="8">
                  <c:v>Total</c:v>
                </c:pt>
              </c:strCache>
            </c:strRef>
          </c:cat>
          <c:val>
            <c:numRef>
              <c:f>'Data CH'!$B$9:$J$9</c:f>
              <c:numCache>
                <c:formatCode>0.0</c:formatCode>
                <c:ptCount val="9"/>
                <c:pt idx="0">
                  <c:v>64.8</c:v>
                </c:pt>
                <c:pt idx="1">
                  <c:v>49.1</c:v>
                </c:pt>
                <c:pt idx="2">
                  <c:v>68.099999999999994</c:v>
                </c:pt>
                <c:pt idx="3">
                  <c:v>48.9</c:v>
                </c:pt>
                <c:pt idx="4">
                  <c:v>52.1</c:v>
                </c:pt>
                <c:pt idx="5">
                  <c:v>79.900000000000006</c:v>
                </c:pt>
                <c:pt idx="6">
                  <c:v>52.4</c:v>
                </c:pt>
                <c:pt idx="7">
                  <c:v>0</c:v>
                </c:pt>
                <c:pt idx="8">
                  <c:v>59.4</c:v>
                </c:pt>
              </c:numCache>
            </c:numRef>
          </c:val>
        </c:ser>
        <c:dLbls>
          <c:showLegendKey val="0"/>
          <c:showVal val="0"/>
          <c:showCatName val="0"/>
          <c:showSerName val="0"/>
          <c:showPercent val="0"/>
          <c:showBubbleSize val="0"/>
        </c:dLbls>
        <c:gapWidth val="150"/>
        <c:axId val="151452672"/>
        <c:axId val="151458560"/>
      </c:barChart>
      <c:catAx>
        <c:axId val="151452672"/>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51458560"/>
        <c:crosses val="autoZero"/>
        <c:auto val="1"/>
        <c:lblAlgn val="ctr"/>
        <c:lblOffset val="100"/>
        <c:noMultiLvlLbl val="0"/>
      </c:catAx>
      <c:valAx>
        <c:axId val="151458560"/>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51452672"/>
        <c:crosses val="autoZero"/>
        <c:crossBetween val="between"/>
        <c:majorUnit val="20"/>
        <c:minorUnit val="2"/>
      </c:valAx>
      <c:spPr>
        <a:noFill/>
        <a:ln>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6C7A7-33B8-4495-9D1B-10EE5791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411</TotalTime>
  <Pages>32</Pages>
  <Words>8609</Words>
  <Characters>48337</Characters>
  <Application>Microsoft Office Word</Application>
  <DocSecurity>0</DocSecurity>
  <Lines>1222</Lines>
  <Paragraphs>624</Paragraphs>
  <ScaleCrop>false</ScaleCrop>
  <HeadingPairs>
    <vt:vector size="2" baseType="variant">
      <vt:variant>
        <vt:lpstr>Title</vt:lpstr>
      </vt:variant>
      <vt:variant>
        <vt:i4>1</vt:i4>
      </vt:variant>
    </vt:vector>
  </HeadingPairs>
  <TitlesOfParts>
    <vt:vector size="1" baseType="lpstr">
      <vt:lpstr>Chapter 18 Housing - Report on Government Services 2017</vt:lpstr>
    </vt:vector>
  </TitlesOfParts>
  <Company>Productivity Commission</Company>
  <LinksUpToDate>false</LinksUpToDate>
  <CharactersWithSpaces>56723</CharactersWithSpaces>
  <SharedDoc>false</SharedDoc>
  <HLinks>
    <vt:vector size="450" baseType="variant">
      <vt:variant>
        <vt:i4>655418</vt:i4>
      </vt:variant>
      <vt:variant>
        <vt:i4>573</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570</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567</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564</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561</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558</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555</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552</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549</vt:i4>
      </vt:variant>
      <vt:variant>
        <vt:i4>0</vt:i4>
      </vt:variant>
      <vt:variant>
        <vt:i4>5</vt:i4>
      </vt:variant>
      <vt:variant>
        <vt:lpwstr>C:\Users\svassiliou\AppData\Local\Microsoft\Windows\Temporary Internet Files\Content.MSO\FDCE1A96.xlsm</vt:lpwstr>
      </vt:variant>
      <vt:variant>
        <vt:lpwstr>RANGE!A1</vt:lpwstr>
      </vt:variant>
      <vt:variant>
        <vt:i4>655418</vt:i4>
      </vt:variant>
      <vt:variant>
        <vt:i4>546</vt:i4>
      </vt:variant>
      <vt:variant>
        <vt:i4>0</vt:i4>
      </vt:variant>
      <vt:variant>
        <vt:i4>5</vt:i4>
      </vt:variant>
      <vt:variant>
        <vt:lpwstr>C:\Users\svassiliou\AppData\Local\Microsoft\Windows\Temporary Internet Files\Content.MSO\FDCE1A96.xlsm</vt:lpwstr>
      </vt:variant>
      <vt:variant>
        <vt:lpwstr>RANGE!A1</vt:lpwstr>
      </vt:variant>
      <vt:variant>
        <vt:i4>4980775</vt:i4>
      </vt:variant>
      <vt:variant>
        <vt:i4>543</vt:i4>
      </vt:variant>
      <vt:variant>
        <vt:i4>0</vt:i4>
      </vt:variant>
      <vt:variant>
        <vt:i4>5</vt:i4>
      </vt:variant>
      <vt:variant>
        <vt:lpwstr>C:\Users\svassiliou\AppData\Local\Microsoft\Windows\Temporary Internet Files\Content.MSO\FDCE1A96.xlsm</vt:lpwstr>
      </vt:variant>
      <vt:variant>
        <vt:lpwstr>'Table 16A.56'!A1</vt:lpwstr>
      </vt:variant>
      <vt:variant>
        <vt:i4>4980772</vt:i4>
      </vt:variant>
      <vt:variant>
        <vt:i4>540</vt:i4>
      </vt:variant>
      <vt:variant>
        <vt:i4>0</vt:i4>
      </vt:variant>
      <vt:variant>
        <vt:i4>5</vt:i4>
      </vt:variant>
      <vt:variant>
        <vt:lpwstr>C:\Users\svassiliou\AppData\Local\Microsoft\Windows\Temporary Internet Files\Content.MSO\FDCE1A96.xlsm</vt:lpwstr>
      </vt:variant>
      <vt:variant>
        <vt:lpwstr>'Table 16A.55'!A1</vt:lpwstr>
      </vt:variant>
      <vt:variant>
        <vt:i4>4980773</vt:i4>
      </vt:variant>
      <vt:variant>
        <vt:i4>537</vt:i4>
      </vt:variant>
      <vt:variant>
        <vt:i4>0</vt:i4>
      </vt:variant>
      <vt:variant>
        <vt:i4>5</vt:i4>
      </vt:variant>
      <vt:variant>
        <vt:lpwstr>C:\Users\svassiliou\AppData\Local\Microsoft\Windows\Temporary Internet Files\Content.MSO\FDCE1A96.xlsm</vt:lpwstr>
      </vt:variant>
      <vt:variant>
        <vt:lpwstr>'Table 16A.54'!A1</vt:lpwstr>
      </vt:variant>
      <vt:variant>
        <vt:i4>4980770</vt:i4>
      </vt:variant>
      <vt:variant>
        <vt:i4>534</vt:i4>
      </vt:variant>
      <vt:variant>
        <vt:i4>0</vt:i4>
      </vt:variant>
      <vt:variant>
        <vt:i4>5</vt:i4>
      </vt:variant>
      <vt:variant>
        <vt:lpwstr>C:\Users\svassiliou\AppData\Local\Microsoft\Windows\Temporary Internet Files\Content.MSO\FDCE1A96.xlsm</vt:lpwstr>
      </vt:variant>
      <vt:variant>
        <vt:lpwstr>'Table 16A.53'!A1</vt:lpwstr>
      </vt:variant>
      <vt:variant>
        <vt:i4>4980771</vt:i4>
      </vt:variant>
      <vt:variant>
        <vt:i4>531</vt:i4>
      </vt:variant>
      <vt:variant>
        <vt:i4>0</vt:i4>
      </vt:variant>
      <vt:variant>
        <vt:i4>5</vt:i4>
      </vt:variant>
      <vt:variant>
        <vt:lpwstr>C:\Users\svassiliou\AppData\Local\Microsoft\Windows\Temporary Internet Files\Content.MSO\FDCE1A96.xlsm</vt:lpwstr>
      </vt:variant>
      <vt:variant>
        <vt:lpwstr>'Table 16A.52'!A1</vt:lpwstr>
      </vt:variant>
      <vt:variant>
        <vt:i4>4980768</vt:i4>
      </vt:variant>
      <vt:variant>
        <vt:i4>528</vt:i4>
      </vt:variant>
      <vt:variant>
        <vt:i4>0</vt:i4>
      </vt:variant>
      <vt:variant>
        <vt:i4>5</vt:i4>
      </vt:variant>
      <vt:variant>
        <vt:lpwstr>C:\Users\svassiliou\AppData\Local\Microsoft\Windows\Temporary Internet Files\Content.MSO\FDCE1A96.xlsm</vt:lpwstr>
      </vt:variant>
      <vt:variant>
        <vt:lpwstr>'Table 16A.51'!A1</vt:lpwstr>
      </vt:variant>
      <vt:variant>
        <vt:i4>4980769</vt:i4>
      </vt:variant>
      <vt:variant>
        <vt:i4>525</vt:i4>
      </vt:variant>
      <vt:variant>
        <vt:i4>0</vt:i4>
      </vt:variant>
      <vt:variant>
        <vt:i4>5</vt:i4>
      </vt:variant>
      <vt:variant>
        <vt:lpwstr>C:\Users\svassiliou\AppData\Local\Microsoft\Windows\Temporary Internet Files\Content.MSO\FDCE1A96.xlsm</vt:lpwstr>
      </vt:variant>
      <vt:variant>
        <vt:lpwstr>'Table 16A.50'!A1</vt:lpwstr>
      </vt:variant>
      <vt:variant>
        <vt:i4>5046312</vt:i4>
      </vt:variant>
      <vt:variant>
        <vt:i4>522</vt:i4>
      </vt:variant>
      <vt:variant>
        <vt:i4>0</vt:i4>
      </vt:variant>
      <vt:variant>
        <vt:i4>5</vt:i4>
      </vt:variant>
      <vt:variant>
        <vt:lpwstr>C:\Users\svassiliou\AppData\Local\Microsoft\Windows\Temporary Internet Files\Content.MSO\FDCE1A96.xlsm</vt:lpwstr>
      </vt:variant>
      <vt:variant>
        <vt:lpwstr>'Table 16A.49'!A1</vt:lpwstr>
      </vt:variant>
      <vt:variant>
        <vt:i4>5046313</vt:i4>
      </vt:variant>
      <vt:variant>
        <vt:i4>519</vt:i4>
      </vt:variant>
      <vt:variant>
        <vt:i4>0</vt:i4>
      </vt:variant>
      <vt:variant>
        <vt:i4>5</vt:i4>
      </vt:variant>
      <vt:variant>
        <vt:lpwstr>C:\Users\svassiliou\AppData\Local\Microsoft\Windows\Temporary Internet Files\Content.MSO\FDCE1A96.xlsm</vt:lpwstr>
      </vt:variant>
      <vt:variant>
        <vt:lpwstr>'Table 16A.48'!A1</vt:lpwstr>
      </vt:variant>
      <vt:variant>
        <vt:i4>5046310</vt:i4>
      </vt:variant>
      <vt:variant>
        <vt:i4>516</vt:i4>
      </vt:variant>
      <vt:variant>
        <vt:i4>0</vt:i4>
      </vt:variant>
      <vt:variant>
        <vt:i4>5</vt:i4>
      </vt:variant>
      <vt:variant>
        <vt:lpwstr>C:\Users\svassiliou\AppData\Local\Microsoft\Windows\Temporary Internet Files\Content.MSO\FDCE1A96.xlsm</vt:lpwstr>
      </vt:variant>
      <vt:variant>
        <vt:lpwstr>'Table 16A.47'!A1</vt:lpwstr>
      </vt:variant>
      <vt:variant>
        <vt:i4>5046311</vt:i4>
      </vt:variant>
      <vt:variant>
        <vt:i4>513</vt:i4>
      </vt:variant>
      <vt:variant>
        <vt:i4>0</vt:i4>
      </vt:variant>
      <vt:variant>
        <vt:i4>5</vt:i4>
      </vt:variant>
      <vt:variant>
        <vt:lpwstr>C:\Users\svassiliou\AppData\Local\Microsoft\Windows\Temporary Internet Files\Content.MSO\FDCE1A96.xlsm</vt:lpwstr>
      </vt:variant>
      <vt:variant>
        <vt:lpwstr>'Table 16A.46'!A1</vt:lpwstr>
      </vt:variant>
      <vt:variant>
        <vt:i4>5046308</vt:i4>
      </vt:variant>
      <vt:variant>
        <vt:i4>510</vt:i4>
      </vt:variant>
      <vt:variant>
        <vt:i4>0</vt:i4>
      </vt:variant>
      <vt:variant>
        <vt:i4>5</vt:i4>
      </vt:variant>
      <vt:variant>
        <vt:lpwstr>C:\Users\svassiliou\AppData\Local\Microsoft\Windows\Temporary Internet Files\Content.MSO\FDCE1A96.xlsm</vt:lpwstr>
      </vt:variant>
      <vt:variant>
        <vt:lpwstr>'Table 16A.45'!A1</vt:lpwstr>
      </vt:variant>
      <vt:variant>
        <vt:i4>5046309</vt:i4>
      </vt:variant>
      <vt:variant>
        <vt:i4>507</vt:i4>
      </vt:variant>
      <vt:variant>
        <vt:i4>0</vt:i4>
      </vt:variant>
      <vt:variant>
        <vt:i4>5</vt:i4>
      </vt:variant>
      <vt:variant>
        <vt:lpwstr>C:\Users\svassiliou\AppData\Local\Microsoft\Windows\Temporary Internet Files\Content.MSO\FDCE1A96.xlsm</vt:lpwstr>
      </vt:variant>
      <vt:variant>
        <vt:lpwstr>'Table 16A.44'!A1</vt:lpwstr>
      </vt:variant>
      <vt:variant>
        <vt:i4>5046306</vt:i4>
      </vt:variant>
      <vt:variant>
        <vt:i4>504</vt:i4>
      </vt:variant>
      <vt:variant>
        <vt:i4>0</vt:i4>
      </vt:variant>
      <vt:variant>
        <vt:i4>5</vt:i4>
      </vt:variant>
      <vt:variant>
        <vt:lpwstr>C:\Users\svassiliou\AppData\Local\Microsoft\Windows\Temporary Internet Files\Content.MSO\FDCE1A96.xlsm</vt:lpwstr>
      </vt:variant>
      <vt:variant>
        <vt:lpwstr>'Table 16A.43'!A1</vt:lpwstr>
      </vt:variant>
      <vt:variant>
        <vt:i4>5046307</vt:i4>
      </vt:variant>
      <vt:variant>
        <vt:i4>501</vt:i4>
      </vt:variant>
      <vt:variant>
        <vt:i4>0</vt:i4>
      </vt:variant>
      <vt:variant>
        <vt:i4>5</vt:i4>
      </vt:variant>
      <vt:variant>
        <vt:lpwstr>C:\Users\svassiliou\AppData\Local\Microsoft\Windows\Temporary Internet Files\Content.MSO\FDCE1A96.xlsm</vt:lpwstr>
      </vt:variant>
      <vt:variant>
        <vt:lpwstr>'Table 16A.42'!A1</vt:lpwstr>
      </vt:variant>
      <vt:variant>
        <vt:i4>5046304</vt:i4>
      </vt:variant>
      <vt:variant>
        <vt:i4>498</vt:i4>
      </vt:variant>
      <vt:variant>
        <vt:i4>0</vt:i4>
      </vt:variant>
      <vt:variant>
        <vt:i4>5</vt:i4>
      </vt:variant>
      <vt:variant>
        <vt:lpwstr>C:\Users\svassiliou\AppData\Local\Microsoft\Windows\Temporary Internet Files\Content.MSO\FDCE1A96.xlsm</vt:lpwstr>
      </vt:variant>
      <vt:variant>
        <vt:lpwstr>'Table 16A.41'!A1</vt:lpwstr>
      </vt:variant>
      <vt:variant>
        <vt:i4>5046305</vt:i4>
      </vt:variant>
      <vt:variant>
        <vt:i4>495</vt:i4>
      </vt:variant>
      <vt:variant>
        <vt:i4>0</vt:i4>
      </vt:variant>
      <vt:variant>
        <vt:i4>5</vt:i4>
      </vt:variant>
      <vt:variant>
        <vt:lpwstr>C:\Users\svassiliou\AppData\Local\Microsoft\Windows\Temporary Internet Files\Content.MSO\FDCE1A96.xlsm</vt:lpwstr>
      </vt:variant>
      <vt:variant>
        <vt:lpwstr>'Table 16A.40'!A1</vt:lpwstr>
      </vt:variant>
      <vt:variant>
        <vt:i4>4849704</vt:i4>
      </vt:variant>
      <vt:variant>
        <vt:i4>492</vt:i4>
      </vt:variant>
      <vt:variant>
        <vt:i4>0</vt:i4>
      </vt:variant>
      <vt:variant>
        <vt:i4>5</vt:i4>
      </vt:variant>
      <vt:variant>
        <vt:lpwstr>C:\Users\svassiliou\AppData\Local\Microsoft\Windows\Temporary Internet Files\Content.MSO\FDCE1A96.xlsm</vt:lpwstr>
      </vt:variant>
      <vt:variant>
        <vt:lpwstr>'Table 16A.39'!A1</vt:lpwstr>
      </vt:variant>
      <vt:variant>
        <vt:i4>4849705</vt:i4>
      </vt:variant>
      <vt:variant>
        <vt:i4>489</vt:i4>
      </vt:variant>
      <vt:variant>
        <vt:i4>0</vt:i4>
      </vt:variant>
      <vt:variant>
        <vt:i4>5</vt:i4>
      </vt:variant>
      <vt:variant>
        <vt:lpwstr>C:\Users\svassiliou\AppData\Local\Microsoft\Windows\Temporary Internet Files\Content.MSO\FDCE1A96.xlsm</vt:lpwstr>
      </vt:variant>
      <vt:variant>
        <vt:lpwstr>'Table 16A.38'!A1</vt:lpwstr>
      </vt:variant>
      <vt:variant>
        <vt:i4>4849702</vt:i4>
      </vt:variant>
      <vt:variant>
        <vt:i4>486</vt:i4>
      </vt:variant>
      <vt:variant>
        <vt:i4>0</vt:i4>
      </vt:variant>
      <vt:variant>
        <vt:i4>5</vt:i4>
      </vt:variant>
      <vt:variant>
        <vt:lpwstr>C:\Users\svassiliou\AppData\Local\Microsoft\Windows\Temporary Internet Files\Content.MSO\FDCE1A96.xlsm</vt:lpwstr>
      </vt:variant>
      <vt:variant>
        <vt:lpwstr>'Table 16A.37'!A1</vt:lpwstr>
      </vt:variant>
      <vt:variant>
        <vt:i4>4849703</vt:i4>
      </vt:variant>
      <vt:variant>
        <vt:i4>483</vt:i4>
      </vt:variant>
      <vt:variant>
        <vt:i4>0</vt:i4>
      </vt:variant>
      <vt:variant>
        <vt:i4>5</vt:i4>
      </vt:variant>
      <vt:variant>
        <vt:lpwstr>C:\Users\svassiliou\AppData\Local\Microsoft\Windows\Temporary Internet Files\Content.MSO\FDCE1A96.xlsm</vt:lpwstr>
      </vt:variant>
      <vt:variant>
        <vt:lpwstr>'Table 16A.36'!A1</vt:lpwstr>
      </vt:variant>
      <vt:variant>
        <vt:i4>4849700</vt:i4>
      </vt:variant>
      <vt:variant>
        <vt:i4>480</vt:i4>
      </vt:variant>
      <vt:variant>
        <vt:i4>0</vt:i4>
      </vt:variant>
      <vt:variant>
        <vt:i4>5</vt:i4>
      </vt:variant>
      <vt:variant>
        <vt:lpwstr>C:\Users\svassiliou\AppData\Local\Microsoft\Windows\Temporary Internet Files\Content.MSO\FDCE1A96.xlsm</vt:lpwstr>
      </vt:variant>
      <vt:variant>
        <vt:lpwstr>'Table 16A.35'!A1</vt:lpwstr>
      </vt:variant>
      <vt:variant>
        <vt:i4>4849701</vt:i4>
      </vt:variant>
      <vt:variant>
        <vt:i4>477</vt:i4>
      </vt:variant>
      <vt:variant>
        <vt:i4>0</vt:i4>
      </vt:variant>
      <vt:variant>
        <vt:i4>5</vt:i4>
      </vt:variant>
      <vt:variant>
        <vt:lpwstr>C:\Users\svassiliou\AppData\Local\Microsoft\Windows\Temporary Internet Files\Content.MSO\FDCE1A96.xlsm</vt:lpwstr>
      </vt:variant>
      <vt:variant>
        <vt:lpwstr>'Table 16A.34'!A1</vt:lpwstr>
      </vt:variant>
      <vt:variant>
        <vt:i4>4849698</vt:i4>
      </vt:variant>
      <vt:variant>
        <vt:i4>474</vt:i4>
      </vt:variant>
      <vt:variant>
        <vt:i4>0</vt:i4>
      </vt:variant>
      <vt:variant>
        <vt:i4>5</vt:i4>
      </vt:variant>
      <vt:variant>
        <vt:lpwstr>C:\Users\svassiliou\AppData\Local\Microsoft\Windows\Temporary Internet Files\Content.MSO\FDCE1A96.xlsm</vt:lpwstr>
      </vt:variant>
      <vt:variant>
        <vt:lpwstr>'Table 16A.33'!A1</vt:lpwstr>
      </vt:variant>
      <vt:variant>
        <vt:i4>4849699</vt:i4>
      </vt:variant>
      <vt:variant>
        <vt:i4>471</vt:i4>
      </vt:variant>
      <vt:variant>
        <vt:i4>0</vt:i4>
      </vt:variant>
      <vt:variant>
        <vt:i4>5</vt:i4>
      </vt:variant>
      <vt:variant>
        <vt:lpwstr>C:\Users\svassiliou\AppData\Local\Microsoft\Windows\Temporary Internet Files\Content.MSO\FDCE1A96.xlsm</vt:lpwstr>
      </vt:variant>
      <vt:variant>
        <vt:lpwstr>'Table 16A.32'!A1</vt:lpwstr>
      </vt:variant>
      <vt:variant>
        <vt:i4>4849696</vt:i4>
      </vt:variant>
      <vt:variant>
        <vt:i4>468</vt:i4>
      </vt:variant>
      <vt:variant>
        <vt:i4>0</vt:i4>
      </vt:variant>
      <vt:variant>
        <vt:i4>5</vt:i4>
      </vt:variant>
      <vt:variant>
        <vt:lpwstr>C:\Users\svassiliou\AppData\Local\Microsoft\Windows\Temporary Internet Files\Content.MSO\FDCE1A96.xlsm</vt:lpwstr>
      </vt:variant>
      <vt:variant>
        <vt:lpwstr>'Table 16A.31'!A1</vt:lpwstr>
      </vt:variant>
      <vt:variant>
        <vt:i4>4849697</vt:i4>
      </vt:variant>
      <vt:variant>
        <vt:i4>465</vt:i4>
      </vt:variant>
      <vt:variant>
        <vt:i4>0</vt:i4>
      </vt:variant>
      <vt:variant>
        <vt:i4>5</vt:i4>
      </vt:variant>
      <vt:variant>
        <vt:lpwstr>C:\Users\svassiliou\AppData\Local\Microsoft\Windows\Temporary Internet Files\Content.MSO\FDCE1A96.xlsm</vt:lpwstr>
      </vt:variant>
      <vt:variant>
        <vt:lpwstr>'Table 16A.30'!A1</vt:lpwstr>
      </vt:variant>
      <vt:variant>
        <vt:i4>4915240</vt:i4>
      </vt:variant>
      <vt:variant>
        <vt:i4>462</vt:i4>
      </vt:variant>
      <vt:variant>
        <vt:i4>0</vt:i4>
      </vt:variant>
      <vt:variant>
        <vt:i4>5</vt:i4>
      </vt:variant>
      <vt:variant>
        <vt:lpwstr>C:\Users\svassiliou\AppData\Local\Microsoft\Windows\Temporary Internet Files\Content.MSO\FDCE1A96.xlsm</vt:lpwstr>
      </vt:variant>
      <vt:variant>
        <vt:lpwstr>'Table 16A.29'!A1</vt:lpwstr>
      </vt:variant>
      <vt:variant>
        <vt:i4>4915241</vt:i4>
      </vt:variant>
      <vt:variant>
        <vt:i4>459</vt:i4>
      </vt:variant>
      <vt:variant>
        <vt:i4>0</vt:i4>
      </vt:variant>
      <vt:variant>
        <vt:i4>5</vt:i4>
      </vt:variant>
      <vt:variant>
        <vt:lpwstr>C:\Users\svassiliou\AppData\Local\Microsoft\Windows\Temporary Internet Files\Content.MSO\FDCE1A96.xlsm</vt:lpwstr>
      </vt:variant>
      <vt:variant>
        <vt:lpwstr>'Table 16A.28'!A1</vt:lpwstr>
      </vt:variant>
      <vt:variant>
        <vt:i4>4915238</vt:i4>
      </vt:variant>
      <vt:variant>
        <vt:i4>456</vt:i4>
      </vt:variant>
      <vt:variant>
        <vt:i4>0</vt:i4>
      </vt:variant>
      <vt:variant>
        <vt:i4>5</vt:i4>
      </vt:variant>
      <vt:variant>
        <vt:lpwstr>C:\Users\svassiliou\AppData\Local\Microsoft\Windows\Temporary Internet Files\Content.MSO\FDCE1A96.xlsm</vt:lpwstr>
      </vt:variant>
      <vt:variant>
        <vt:lpwstr>'Table 16A.27'!A1</vt:lpwstr>
      </vt:variant>
      <vt:variant>
        <vt:i4>4915239</vt:i4>
      </vt:variant>
      <vt:variant>
        <vt:i4>453</vt:i4>
      </vt:variant>
      <vt:variant>
        <vt:i4>0</vt:i4>
      </vt:variant>
      <vt:variant>
        <vt:i4>5</vt:i4>
      </vt:variant>
      <vt:variant>
        <vt:lpwstr>C:\Users\svassiliou\AppData\Local\Microsoft\Windows\Temporary Internet Files\Content.MSO\FDCE1A96.xlsm</vt:lpwstr>
      </vt:variant>
      <vt:variant>
        <vt:lpwstr>'Table 16A.26'!A1</vt:lpwstr>
      </vt:variant>
      <vt:variant>
        <vt:i4>4915236</vt:i4>
      </vt:variant>
      <vt:variant>
        <vt:i4>450</vt:i4>
      </vt:variant>
      <vt:variant>
        <vt:i4>0</vt:i4>
      </vt:variant>
      <vt:variant>
        <vt:i4>5</vt:i4>
      </vt:variant>
      <vt:variant>
        <vt:lpwstr>C:\Users\svassiliou\AppData\Local\Microsoft\Windows\Temporary Internet Files\Content.MSO\FDCE1A96.xlsm</vt:lpwstr>
      </vt:variant>
      <vt:variant>
        <vt:lpwstr>'Table 16A.25'!A1</vt:lpwstr>
      </vt:variant>
      <vt:variant>
        <vt:i4>4915237</vt:i4>
      </vt:variant>
      <vt:variant>
        <vt:i4>447</vt:i4>
      </vt:variant>
      <vt:variant>
        <vt:i4>0</vt:i4>
      </vt:variant>
      <vt:variant>
        <vt:i4>5</vt:i4>
      </vt:variant>
      <vt:variant>
        <vt:lpwstr>C:\Users\svassiliou\AppData\Local\Microsoft\Windows\Temporary Internet Files\Content.MSO\FDCE1A96.xlsm</vt:lpwstr>
      </vt:variant>
      <vt:variant>
        <vt:lpwstr>'Table 16A.24'!A1</vt:lpwstr>
      </vt:variant>
      <vt:variant>
        <vt:i4>4915234</vt:i4>
      </vt:variant>
      <vt:variant>
        <vt:i4>444</vt:i4>
      </vt:variant>
      <vt:variant>
        <vt:i4>0</vt:i4>
      </vt:variant>
      <vt:variant>
        <vt:i4>5</vt:i4>
      </vt:variant>
      <vt:variant>
        <vt:lpwstr>C:\Users\svassiliou\AppData\Local\Microsoft\Windows\Temporary Internet Files\Content.MSO\FDCE1A96.xlsm</vt:lpwstr>
      </vt:variant>
      <vt:variant>
        <vt:lpwstr>'Table 16A.23'!A1</vt:lpwstr>
      </vt:variant>
      <vt:variant>
        <vt:i4>4915235</vt:i4>
      </vt:variant>
      <vt:variant>
        <vt:i4>441</vt:i4>
      </vt:variant>
      <vt:variant>
        <vt:i4>0</vt:i4>
      </vt:variant>
      <vt:variant>
        <vt:i4>5</vt:i4>
      </vt:variant>
      <vt:variant>
        <vt:lpwstr>C:\Users\svassiliou\AppData\Local\Microsoft\Windows\Temporary Internet Files\Content.MSO\FDCE1A96.xlsm</vt:lpwstr>
      </vt:variant>
      <vt:variant>
        <vt:lpwstr>'Table 16A.22'!A1</vt:lpwstr>
      </vt:variant>
      <vt:variant>
        <vt:i4>4915232</vt:i4>
      </vt:variant>
      <vt:variant>
        <vt:i4>438</vt:i4>
      </vt:variant>
      <vt:variant>
        <vt:i4>0</vt:i4>
      </vt:variant>
      <vt:variant>
        <vt:i4>5</vt:i4>
      </vt:variant>
      <vt:variant>
        <vt:lpwstr>C:\Users\svassiliou\AppData\Local\Microsoft\Windows\Temporary Internet Files\Content.MSO\FDCE1A96.xlsm</vt:lpwstr>
      </vt:variant>
      <vt:variant>
        <vt:lpwstr>'Table 16A.21'!A1</vt:lpwstr>
      </vt:variant>
      <vt:variant>
        <vt:i4>4915233</vt:i4>
      </vt:variant>
      <vt:variant>
        <vt:i4>435</vt:i4>
      </vt:variant>
      <vt:variant>
        <vt:i4>0</vt:i4>
      </vt:variant>
      <vt:variant>
        <vt:i4>5</vt:i4>
      </vt:variant>
      <vt:variant>
        <vt:lpwstr>C:\Users\svassiliou\AppData\Local\Microsoft\Windows\Temporary Internet Files\Content.MSO\FDCE1A96.xlsm</vt:lpwstr>
      </vt:variant>
      <vt:variant>
        <vt:lpwstr>'Table 16A.20'!A1</vt:lpwstr>
      </vt:variant>
      <vt:variant>
        <vt:i4>4718632</vt:i4>
      </vt:variant>
      <vt:variant>
        <vt:i4>432</vt:i4>
      </vt:variant>
      <vt:variant>
        <vt:i4>0</vt:i4>
      </vt:variant>
      <vt:variant>
        <vt:i4>5</vt:i4>
      </vt:variant>
      <vt:variant>
        <vt:lpwstr>C:\Users\svassiliou\AppData\Local\Microsoft\Windows\Temporary Internet Files\Content.MSO\FDCE1A96.xlsm</vt:lpwstr>
      </vt:variant>
      <vt:variant>
        <vt:lpwstr>'Table 16A.19'!A1</vt:lpwstr>
      </vt:variant>
      <vt:variant>
        <vt:i4>4718633</vt:i4>
      </vt:variant>
      <vt:variant>
        <vt:i4>429</vt:i4>
      </vt:variant>
      <vt:variant>
        <vt:i4>0</vt:i4>
      </vt:variant>
      <vt:variant>
        <vt:i4>5</vt:i4>
      </vt:variant>
      <vt:variant>
        <vt:lpwstr>C:\Users\svassiliou\AppData\Local\Microsoft\Windows\Temporary Internet Files\Content.MSO\FDCE1A96.xlsm</vt:lpwstr>
      </vt:variant>
      <vt:variant>
        <vt:lpwstr>'Table 16A.18'!A1</vt:lpwstr>
      </vt:variant>
      <vt:variant>
        <vt:i4>4718630</vt:i4>
      </vt:variant>
      <vt:variant>
        <vt:i4>426</vt:i4>
      </vt:variant>
      <vt:variant>
        <vt:i4>0</vt:i4>
      </vt:variant>
      <vt:variant>
        <vt:i4>5</vt:i4>
      </vt:variant>
      <vt:variant>
        <vt:lpwstr>C:\Users\svassiliou\AppData\Local\Microsoft\Windows\Temporary Internet Files\Content.MSO\FDCE1A96.xlsm</vt:lpwstr>
      </vt:variant>
      <vt:variant>
        <vt:lpwstr>'Table 16A.17'!A1</vt:lpwstr>
      </vt:variant>
      <vt:variant>
        <vt:i4>4718631</vt:i4>
      </vt:variant>
      <vt:variant>
        <vt:i4>423</vt:i4>
      </vt:variant>
      <vt:variant>
        <vt:i4>0</vt:i4>
      </vt:variant>
      <vt:variant>
        <vt:i4>5</vt:i4>
      </vt:variant>
      <vt:variant>
        <vt:lpwstr>C:\Users\svassiliou\AppData\Local\Microsoft\Windows\Temporary Internet Files\Content.MSO\FDCE1A96.xlsm</vt:lpwstr>
      </vt:variant>
      <vt:variant>
        <vt:lpwstr>'Table 16A.16'!A1</vt:lpwstr>
      </vt:variant>
      <vt:variant>
        <vt:i4>4718628</vt:i4>
      </vt:variant>
      <vt:variant>
        <vt:i4>420</vt:i4>
      </vt:variant>
      <vt:variant>
        <vt:i4>0</vt:i4>
      </vt:variant>
      <vt:variant>
        <vt:i4>5</vt:i4>
      </vt:variant>
      <vt:variant>
        <vt:lpwstr>C:\Users\svassiliou\AppData\Local\Microsoft\Windows\Temporary Internet Files\Content.MSO\FDCE1A96.xlsm</vt:lpwstr>
      </vt:variant>
      <vt:variant>
        <vt:lpwstr>'Table 16A.15'!A1</vt:lpwstr>
      </vt:variant>
      <vt:variant>
        <vt:i4>4718629</vt:i4>
      </vt:variant>
      <vt:variant>
        <vt:i4>417</vt:i4>
      </vt:variant>
      <vt:variant>
        <vt:i4>0</vt:i4>
      </vt:variant>
      <vt:variant>
        <vt:i4>5</vt:i4>
      </vt:variant>
      <vt:variant>
        <vt:lpwstr>C:\Users\svassiliou\AppData\Local\Microsoft\Windows\Temporary Internet Files\Content.MSO\FDCE1A96.xlsm</vt:lpwstr>
      </vt:variant>
      <vt:variant>
        <vt:lpwstr>'Table 16A.14'!A1</vt:lpwstr>
      </vt:variant>
      <vt:variant>
        <vt:i4>4718626</vt:i4>
      </vt:variant>
      <vt:variant>
        <vt:i4>414</vt:i4>
      </vt:variant>
      <vt:variant>
        <vt:i4>0</vt:i4>
      </vt:variant>
      <vt:variant>
        <vt:i4>5</vt:i4>
      </vt:variant>
      <vt:variant>
        <vt:lpwstr>C:\Users\svassiliou\AppData\Local\Microsoft\Windows\Temporary Internet Files\Content.MSO\FDCE1A96.xlsm</vt:lpwstr>
      </vt:variant>
      <vt:variant>
        <vt:lpwstr>'Table 16A.13'!A1</vt:lpwstr>
      </vt:variant>
      <vt:variant>
        <vt:i4>4718627</vt:i4>
      </vt:variant>
      <vt:variant>
        <vt:i4>411</vt:i4>
      </vt:variant>
      <vt:variant>
        <vt:i4>0</vt:i4>
      </vt:variant>
      <vt:variant>
        <vt:i4>5</vt:i4>
      </vt:variant>
      <vt:variant>
        <vt:lpwstr>C:\Users\svassiliou\AppData\Local\Microsoft\Windows\Temporary Internet Files\Content.MSO\FDCE1A96.xlsm</vt:lpwstr>
      </vt:variant>
      <vt:variant>
        <vt:lpwstr>'Table 16A.12'!A1</vt:lpwstr>
      </vt:variant>
      <vt:variant>
        <vt:i4>4718624</vt:i4>
      </vt:variant>
      <vt:variant>
        <vt:i4>408</vt:i4>
      </vt:variant>
      <vt:variant>
        <vt:i4>0</vt:i4>
      </vt:variant>
      <vt:variant>
        <vt:i4>5</vt:i4>
      </vt:variant>
      <vt:variant>
        <vt:lpwstr>C:\Users\svassiliou\AppData\Local\Microsoft\Windows\Temporary Internet Files\Content.MSO\FDCE1A96.xlsm</vt:lpwstr>
      </vt:variant>
      <vt:variant>
        <vt:lpwstr>'Table 16A.11'!A1</vt:lpwstr>
      </vt:variant>
      <vt:variant>
        <vt:i4>4718625</vt:i4>
      </vt:variant>
      <vt:variant>
        <vt:i4>405</vt:i4>
      </vt:variant>
      <vt:variant>
        <vt:i4>0</vt:i4>
      </vt:variant>
      <vt:variant>
        <vt:i4>5</vt:i4>
      </vt:variant>
      <vt:variant>
        <vt:lpwstr>C:\Users\svassiliou\AppData\Local\Microsoft\Windows\Temporary Internet Files\Content.MSO\FDCE1A96.xlsm</vt:lpwstr>
      </vt:variant>
      <vt:variant>
        <vt:lpwstr>'Table 16A.10'!A1</vt:lpwstr>
      </vt:variant>
      <vt:variant>
        <vt:i4>1441910</vt:i4>
      </vt:variant>
      <vt:variant>
        <vt:i4>402</vt:i4>
      </vt:variant>
      <vt:variant>
        <vt:i4>0</vt:i4>
      </vt:variant>
      <vt:variant>
        <vt:i4>5</vt:i4>
      </vt:variant>
      <vt:variant>
        <vt:lpwstr>C:\Users\svassiliou\AppData\Local\Microsoft\Windows\Temporary Internet Files\Content.MSO\FDCE1A96.xlsm</vt:lpwstr>
      </vt:variant>
      <vt:variant>
        <vt:lpwstr>'Table 16A.9'!A1</vt:lpwstr>
      </vt:variant>
      <vt:variant>
        <vt:i4>1507446</vt:i4>
      </vt:variant>
      <vt:variant>
        <vt:i4>399</vt:i4>
      </vt:variant>
      <vt:variant>
        <vt:i4>0</vt:i4>
      </vt:variant>
      <vt:variant>
        <vt:i4>5</vt:i4>
      </vt:variant>
      <vt:variant>
        <vt:lpwstr>C:\Users\svassiliou\AppData\Local\Microsoft\Windows\Temporary Internet Files\Content.MSO\FDCE1A96.xlsm</vt:lpwstr>
      </vt:variant>
      <vt:variant>
        <vt:lpwstr>'Table 16A.8'!A1</vt:lpwstr>
      </vt:variant>
      <vt:variant>
        <vt:i4>1572982</vt:i4>
      </vt:variant>
      <vt:variant>
        <vt:i4>396</vt:i4>
      </vt:variant>
      <vt:variant>
        <vt:i4>0</vt:i4>
      </vt:variant>
      <vt:variant>
        <vt:i4>5</vt:i4>
      </vt:variant>
      <vt:variant>
        <vt:lpwstr>C:\Users\svassiliou\AppData\Local\Microsoft\Windows\Temporary Internet Files\Content.MSO\FDCE1A96.xlsm</vt:lpwstr>
      </vt:variant>
      <vt:variant>
        <vt:lpwstr>'Table 16A.7'!A1</vt:lpwstr>
      </vt:variant>
      <vt:variant>
        <vt:i4>1638518</vt:i4>
      </vt:variant>
      <vt:variant>
        <vt:i4>393</vt:i4>
      </vt:variant>
      <vt:variant>
        <vt:i4>0</vt:i4>
      </vt:variant>
      <vt:variant>
        <vt:i4>5</vt:i4>
      </vt:variant>
      <vt:variant>
        <vt:lpwstr>C:\Users\svassiliou\AppData\Local\Microsoft\Windows\Temporary Internet Files\Content.MSO\FDCE1A96.xlsm</vt:lpwstr>
      </vt:variant>
      <vt:variant>
        <vt:lpwstr>'Table 16A.6'!A1</vt:lpwstr>
      </vt:variant>
      <vt:variant>
        <vt:i4>1704054</vt:i4>
      </vt:variant>
      <vt:variant>
        <vt:i4>390</vt:i4>
      </vt:variant>
      <vt:variant>
        <vt:i4>0</vt:i4>
      </vt:variant>
      <vt:variant>
        <vt:i4>5</vt:i4>
      </vt:variant>
      <vt:variant>
        <vt:lpwstr>C:\Users\svassiliou\AppData\Local\Microsoft\Windows\Temporary Internet Files\Content.MSO\FDCE1A96.xlsm</vt:lpwstr>
      </vt:variant>
      <vt:variant>
        <vt:lpwstr>'Table 16A.5'!A1</vt:lpwstr>
      </vt:variant>
      <vt:variant>
        <vt:i4>1769590</vt:i4>
      </vt:variant>
      <vt:variant>
        <vt:i4>387</vt:i4>
      </vt:variant>
      <vt:variant>
        <vt:i4>0</vt:i4>
      </vt:variant>
      <vt:variant>
        <vt:i4>5</vt:i4>
      </vt:variant>
      <vt:variant>
        <vt:lpwstr>C:\Users\svassiliou\AppData\Local\Microsoft\Windows\Temporary Internet Files\Content.MSO\FDCE1A96.xlsm</vt:lpwstr>
      </vt:variant>
      <vt:variant>
        <vt:lpwstr>'Table 16A.4'!A1</vt:lpwstr>
      </vt:variant>
      <vt:variant>
        <vt:i4>1835126</vt:i4>
      </vt:variant>
      <vt:variant>
        <vt:i4>384</vt:i4>
      </vt:variant>
      <vt:variant>
        <vt:i4>0</vt:i4>
      </vt:variant>
      <vt:variant>
        <vt:i4>5</vt:i4>
      </vt:variant>
      <vt:variant>
        <vt:lpwstr>C:\Users\svassiliou\AppData\Local\Microsoft\Windows\Temporary Internet Files\Content.MSO\FDCE1A96.xlsm</vt:lpwstr>
      </vt:variant>
      <vt:variant>
        <vt:lpwstr>'Table 16A.3'!A1</vt:lpwstr>
      </vt:variant>
      <vt:variant>
        <vt:i4>1900662</vt:i4>
      </vt:variant>
      <vt:variant>
        <vt:i4>381</vt:i4>
      </vt:variant>
      <vt:variant>
        <vt:i4>0</vt:i4>
      </vt:variant>
      <vt:variant>
        <vt:i4>5</vt:i4>
      </vt:variant>
      <vt:variant>
        <vt:lpwstr>C:\Users\svassiliou\AppData\Local\Microsoft\Windows\Temporary Internet Files\Content.MSO\FDCE1A96.xlsm</vt:lpwstr>
      </vt:variant>
      <vt:variant>
        <vt:lpwstr>'Table 16A.2'!A1</vt:lpwstr>
      </vt:variant>
      <vt:variant>
        <vt:i4>1966198</vt:i4>
      </vt:variant>
      <vt:variant>
        <vt:i4>378</vt:i4>
      </vt:variant>
      <vt:variant>
        <vt:i4>0</vt:i4>
      </vt:variant>
      <vt:variant>
        <vt:i4>5</vt:i4>
      </vt:variant>
      <vt:variant>
        <vt:lpwstr>C:\Users\svassiliou\AppData\Local\Microsoft\Windows\Temporary Internet Files\Content.MSO\FDCE1A96.xlsm</vt:lpwstr>
      </vt:variant>
      <vt:variant>
        <vt:lpwstr>'Table 16A.1'!A1</vt:lpwstr>
      </vt:variant>
      <vt:variant>
        <vt:i4>5636127</vt:i4>
      </vt:variant>
      <vt:variant>
        <vt:i4>375</vt:i4>
      </vt:variant>
      <vt:variant>
        <vt:i4>0</vt:i4>
      </vt:variant>
      <vt:variant>
        <vt:i4>5</vt:i4>
      </vt:variant>
      <vt:variant>
        <vt:lpwstr>http://www.pc.gov.au/gsp</vt:lpwstr>
      </vt:variant>
      <vt:variant>
        <vt:lpwstr/>
      </vt:variant>
      <vt:variant>
        <vt:i4>1048629</vt:i4>
      </vt:variant>
      <vt:variant>
        <vt:i4>44</vt:i4>
      </vt:variant>
      <vt:variant>
        <vt:i4>0</vt:i4>
      </vt:variant>
      <vt:variant>
        <vt:i4>5</vt:i4>
      </vt:variant>
      <vt:variant>
        <vt:lpwstr/>
      </vt:variant>
      <vt:variant>
        <vt:lpwstr>_Toc314211354</vt:lpwstr>
      </vt:variant>
      <vt:variant>
        <vt:i4>1048629</vt:i4>
      </vt:variant>
      <vt:variant>
        <vt:i4>38</vt:i4>
      </vt:variant>
      <vt:variant>
        <vt:i4>0</vt:i4>
      </vt:variant>
      <vt:variant>
        <vt:i4>5</vt:i4>
      </vt:variant>
      <vt:variant>
        <vt:lpwstr/>
      </vt:variant>
      <vt:variant>
        <vt:lpwstr>_Toc314211353</vt:lpwstr>
      </vt:variant>
      <vt:variant>
        <vt:i4>1048629</vt:i4>
      </vt:variant>
      <vt:variant>
        <vt:i4>32</vt:i4>
      </vt:variant>
      <vt:variant>
        <vt:i4>0</vt:i4>
      </vt:variant>
      <vt:variant>
        <vt:i4>5</vt:i4>
      </vt:variant>
      <vt:variant>
        <vt:lpwstr/>
      </vt:variant>
      <vt:variant>
        <vt:lpwstr>_Toc314211352</vt:lpwstr>
      </vt:variant>
      <vt:variant>
        <vt:i4>1048629</vt:i4>
      </vt:variant>
      <vt:variant>
        <vt:i4>26</vt:i4>
      </vt:variant>
      <vt:variant>
        <vt:i4>0</vt:i4>
      </vt:variant>
      <vt:variant>
        <vt:i4>5</vt:i4>
      </vt:variant>
      <vt:variant>
        <vt:lpwstr/>
      </vt:variant>
      <vt:variant>
        <vt:lpwstr>_Toc314211351</vt:lpwstr>
      </vt:variant>
      <vt:variant>
        <vt:i4>1048629</vt:i4>
      </vt:variant>
      <vt:variant>
        <vt:i4>20</vt:i4>
      </vt:variant>
      <vt:variant>
        <vt:i4>0</vt:i4>
      </vt:variant>
      <vt:variant>
        <vt:i4>5</vt:i4>
      </vt:variant>
      <vt:variant>
        <vt:lpwstr/>
      </vt:variant>
      <vt:variant>
        <vt:lpwstr>_Toc314211350</vt:lpwstr>
      </vt:variant>
      <vt:variant>
        <vt:i4>1114165</vt:i4>
      </vt:variant>
      <vt:variant>
        <vt:i4>14</vt:i4>
      </vt:variant>
      <vt:variant>
        <vt:i4>0</vt:i4>
      </vt:variant>
      <vt:variant>
        <vt:i4>5</vt:i4>
      </vt:variant>
      <vt:variant>
        <vt:lpwstr/>
      </vt:variant>
      <vt:variant>
        <vt:lpwstr>_Toc314211349</vt:lpwstr>
      </vt:variant>
      <vt:variant>
        <vt:i4>1114165</vt:i4>
      </vt:variant>
      <vt:variant>
        <vt:i4>8</vt:i4>
      </vt:variant>
      <vt:variant>
        <vt:i4>0</vt:i4>
      </vt:variant>
      <vt:variant>
        <vt:i4>5</vt:i4>
      </vt:variant>
      <vt:variant>
        <vt:lpwstr/>
      </vt:variant>
      <vt:variant>
        <vt:lpwstr>_Toc314211348</vt:lpwstr>
      </vt:variant>
      <vt:variant>
        <vt:i4>1114165</vt:i4>
      </vt:variant>
      <vt:variant>
        <vt:i4>2</vt:i4>
      </vt:variant>
      <vt:variant>
        <vt:i4>0</vt:i4>
      </vt:variant>
      <vt:variant>
        <vt:i4>5</vt:i4>
      </vt:variant>
      <vt:variant>
        <vt:lpwstr/>
      </vt:variant>
      <vt:variant>
        <vt:lpwstr>_Toc314211347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Housing - Report on Government Services 2017</dc:title>
  <dc:creator>Steering Committee for the Review of Government Service Provision</dc:creator>
  <cp:lastModifiedBy>Frech, Tanya</cp:lastModifiedBy>
  <cp:revision>70</cp:revision>
  <cp:lastPrinted>2016-12-22T00:52:00Z</cp:lastPrinted>
  <dcterms:created xsi:type="dcterms:W3CDTF">2016-11-28T00:01:00Z</dcterms:created>
  <dcterms:modified xsi:type="dcterms:W3CDTF">2016-12-22T00:52:00Z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