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191C5" w14:textId="0C605ED1" w:rsidR="00061391" w:rsidRDefault="00A64223" w:rsidP="00036F39">
      <w:pPr>
        <w:pStyle w:val="Heading1"/>
      </w:pPr>
      <w:bookmarkStart w:id="0" w:name="ChapterNumber"/>
      <w:bookmarkStart w:id="1" w:name="_Toc338082263"/>
      <w:bookmarkStart w:id="2" w:name="_Toc340063209"/>
      <w:bookmarkStart w:id="3" w:name="_Toc401156652"/>
      <w:bookmarkStart w:id="4" w:name="_Toc430790758"/>
      <w:bookmarkStart w:id="5" w:name="_Toc458687988"/>
      <w:bookmarkStart w:id="6" w:name="_Toc21937635"/>
      <w:r>
        <w:t>7</w:t>
      </w:r>
      <w:bookmarkEnd w:id="0"/>
      <w:r>
        <w:tab/>
      </w:r>
      <w:bookmarkStart w:id="7" w:name="ChapterTitle"/>
      <w:r w:rsidRPr="00036F39">
        <w:t>Cour</w:t>
      </w:r>
      <w:bookmarkEnd w:id="7"/>
      <w:r w:rsidR="00A52D66" w:rsidRPr="00036F39">
        <w:t>ts</w:t>
      </w:r>
      <w:bookmarkEnd w:id="1"/>
      <w:bookmarkEnd w:id="2"/>
      <w:bookmarkEnd w:id="3"/>
      <w:bookmarkEnd w:id="4"/>
      <w:bookmarkEnd w:id="5"/>
      <w:r w:rsidR="00AB3DFE">
        <w:t xml:space="preserve"> interpretative material</w:t>
      </w:r>
      <w:bookmarkEnd w:id="6"/>
    </w:p>
    <w:bookmarkStart w:id="8" w:name="begin" w:displacedByCustomXml="next"/>
    <w:bookmarkEnd w:id="8" w:displacedByCustomXml="next"/>
    <w:bookmarkStart w:id="9" w:name="_Toc458687989" w:displacedByCustomXml="next"/>
    <w:sdt>
      <w:sdtPr>
        <w:rPr>
          <w:kern w:val="28"/>
          <w:sz w:val="52"/>
        </w:rPr>
        <w:id w:val="1592502604"/>
        <w:docPartObj>
          <w:docPartGallery w:val="Table of Contents"/>
          <w:docPartUnique/>
        </w:docPartObj>
      </w:sdtPr>
      <w:sdtEndPr>
        <w:rPr>
          <w:kern w:val="0"/>
          <w:sz w:val="26"/>
        </w:rPr>
      </w:sdtEndPr>
      <w:sdtContent>
        <w:p w14:paraId="64D6B7D9" w14:textId="75D6E76E" w:rsidR="00C9560F" w:rsidRDefault="00C9560F">
          <w:pPr>
            <w:pStyle w:val="TOC1"/>
            <w:rPr>
              <w:rFonts w:asciiTheme="minorHAnsi" w:eastAsiaTheme="minorEastAsia" w:hAnsiTheme="minorHAnsi" w:cstheme="minorBidi"/>
              <w:b w:val="0"/>
              <w:noProof/>
              <w:sz w:val="22"/>
              <w:szCs w:val="22"/>
              <w:lang w:eastAsia="en-AU"/>
            </w:rPr>
          </w:pPr>
          <w:r>
            <w:rPr>
              <w:noProof/>
            </w:rPr>
            <w:t>7</w:t>
          </w:r>
          <w:r>
            <w:rPr>
              <w:rFonts w:asciiTheme="minorHAnsi" w:eastAsiaTheme="minorEastAsia" w:hAnsiTheme="minorHAnsi" w:cstheme="minorBidi"/>
              <w:b w:val="0"/>
              <w:noProof/>
              <w:sz w:val="22"/>
              <w:szCs w:val="22"/>
              <w:lang w:eastAsia="en-AU"/>
            </w:rPr>
            <w:tab/>
          </w:r>
          <w:r>
            <w:rPr>
              <w:noProof/>
            </w:rPr>
            <w:t>Courts interpretative material</w:t>
          </w:r>
          <w:r>
            <w:rPr>
              <w:noProof/>
            </w:rPr>
            <w:tab/>
          </w:r>
          <w:r w:rsidR="00243723">
            <w:rPr>
              <w:noProof/>
            </w:rPr>
            <w:t>7.</w:t>
          </w:r>
          <w:r w:rsidR="00FD7300">
            <w:rPr>
              <w:noProof/>
            </w:rPr>
            <w:t>1</w:t>
          </w:r>
        </w:p>
        <w:p w14:paraId="1C57E450" w14:textId="5A04E432" w:rsidR="00C9560F" w:rsidRDefault="00C9560F">
          <w:pPr>
            <w:pStyle w:val="TOC2"/>
            <w:rPr>
              <w:rFonts w:asciiTheme="minorHAnsi" w:eastAsiaTheme="minorEastAsia" w:hAnsiTheme="minorHAnsi" w:cstheme="minorBidi"/>
              <w:noProof/>
              <w:sz w:val="22"/>
              <w:szCs w:val="22"/>
              <w:lang w:eastAsia="en-AU"/>
            </w:rPr>
          </w:pPr>
          <w:r>
            <w:rPr>
              <w:noProof/>
            </w:rPr>
            <w:t>7.1 Context</w:t>
          </w:r>
          <w:r>
            <w:rPr>
              <w:noProof/>
            </w:rPr>
            <w:tab/>
          </w:r>
          <w:r w:rsidR="00243723">
            <w:rPr>
              <w:noProof/>
            </w:rPr>
            <w:t>7.</w:t>
          </w:r>
          <w:r w:rsidR="00FD7300">
            <w:rPr>
              <w:noProof/>
            </w:rPr>
            <w:t>2</w:t>
          </w:r>
        </w:p>
        <w:p w14:paraId="72DE9ACA" w14:textId="600D2D1B" w:rsidR="00C9560F" w:rsidRDefault="00C9560F">
          <w:pPr>
            <w:pStyle w:val="TOC2"/>
            <w:tabs>
              <w:tab w:val="left" w:pos="1134"/>
            </w:tabs>
            <w:rPr>
              <w:rFonts w:asciiTheme="minorHAnsi" w:eastAsiaTheme="minorEastAsia" w:hAnsiTheme="minorHAnsi" w:cstheme="minorBidi"/>
              <w:noProof/>
              <w:sz w:val="22"/>
              <w:szCs w:val="22"/>
              <w:lang w:eastAsia="en-AU"/>
            </w:rPr>
          </w:pPr>
          <w:r>
            <w:rPr>
              <w:noProof/>
            </w:rPr>
            <w:t>7.2</w:t>
          </w:r>
          <w:r>
            <w:rPr>
              <w:rFonts w:asciiTheme="minorHAnsi" w:eastAsiaTheme="minorEastAsia" w:hAnsiTheme="minorHAnsi" w:cstheme="minorBidi"/>
              <w:noProof/>
              <w:sz w:val="22"/>
              <w:szCs w:val="22"/>
              <w:lang w:eastAsia="en-AU"/>
            </w:rPr>
            <w:tab/>
          </w:r>
          <w:r>
            <w:rPr>
              <w:noProof/>
            </w:rPr>
            <w:t>Indicators</w:t>
          </w:r>
          <w:r>
            <w:rPr>
              <w:noProof/>
            </w:rPr>
            <w:tab/>
          </w:r>
          <w:r w:rsidR="00243723">
            <w:rPr>
              <w:noProof/>
            </w:rPr>
            <w:t>7.</w:t>
          </w:r>
          <w:r w:rsidR="00FD7300">
            <w:rPr>
              <w:noProof/>
            </w:rPr>
            <w:t>10</w:t>
          </w:r>
        </w:p>
        <w:p w14:paraId="60E52D65" w14:textId="2D9B2CA7" w:rsidR="00C9560F" w:rsidRDefault="00C9560F">
          <w:pPr>
            <w:pStyle w:val="TOC3"/>
            <w:rPr>
              <w:rFonts w:asciiTheme="minorHAnsi" w:eastAsiaTheme="minorEastAsia" w:hAnsiTheme="minorHAnsi" w:cstheme="minorBidi"/>
              <w:noProof/>
              <w:sz w:val="22"/>
              <w:szCs w:val="22"/>
              <w:lang w:eastAsia="en-AU"/>
            </w:rPr>
          </w:pPr>
          <w:r>
            <w:rPr>
              <w:noProof/>
            </w:rPr>
            <w:t>Outputs</w:t>
          </w:r>
          <w:r>
            <w:rPr>
              <w:noProof/>
            </w:rPr>
            <w:tab/>
          </w:r>
          <w:r w:rsidR="00243723">
            <w:rPr>
              <w:noProof/>
            </w:rPr>
            <w:t>7.</w:t>
          </w:r>
          <w:r w:rsidR="00FD7300">
            <w:rPr>
              <w:noProof/>
            </w:rPr>
            <w:t>10</w:t>
          </w:r>
        </w:p>
        <w:p w14:paraId="530B58D4" w14:textId="38D6C01B" w:rsidR="00C9560F" w:rsidRDefault="00C9560F">
          <w:pPr>
            <w:pStyle w:val="TOC3"/>
            <w:rPr>
              <w:rFonts w:asciiTheme="minorHAnsi" w:eastAsiaTheme="minorEastAsia" w:hAnsiTheme="minorHAnsi" w:cstheme="minorBidi"/>
              <w:noProof/>
              <w:sz w:val="22"/>
              <w:szCs w:val="22"/>
              <w:lang w:eastAsia="en-AU"/>
            </w:rPr>
          </w:pPr>
          <w:r>
            <w:rPr>
              <w:noProof/>
            </w:rPr>
            <w:t>Equity</w:t>
          </w:r>
          <w:r>
            <w:rPr>
              <w:noProof/>
            </w:rPr>
            <w:tab/>
          </w:r>
        </w:p>
        <w:p w14:paraId="755B8E63" w14:textId="4971BA8B" w:rsidR="00C9560F" w:rsidRDefault="00C9560F">
          <w:pPr>
            <w:pStyle w:val="TOC4"/>
            <w:rPr>
              <w:rFonts w:asciiTheme="minorHAnsi" w:eastAsiaTheme="minorEastAsia" w:hAnsiTheme="minorHAnsi" w:cstheme="minorBidi"/>
              <w:noProof/>
              <w:sz w:val="22"/>
              <w:szCs w:val="22"/>
              <w:lang w:eastAsia="en-AU"/>
            </w:rPr>
          </w:pPr>
          <w:r>
            <w:rPr>
              <w:noProof/>
            </w:rPr>
            <w:t>Access — Interpreter services</w:t>
          </w:r>
          <w:r>
            <w:rPr>
              <w:noProof/>
            </w:rPr>
            <w:tab/>
          </w:r>
          <w:r w:rsidR="00243723">
            <w:rPr>
              <w:noProof/>
            </w:rPr>
            <w:t>7.</w:t>
          </w:r>
          <w:r w:rsidR="00FD7300">
            <w:rPr>
              <w:noProof/>
            </w:rPr>
            <w:t>10</w:t>
          </w:r>
        </w:p>
        <w:p w14:paraId="54724FD8" w14:textId="3BF6CD14" w:rsidR="00C9560F" w:rsidRDefault="00C9560F">
          <w:pPr>
            <w:pStyle w:val="TOC3"/>
            <w:rPr>
              <w:rFonts w:asciiTheme="minorHAnsi" w:eastAsiaTheme="minorEastAsia" w:hAnsiTheme="minorHAnsi" w:cstheme="minorBidi"/>
              <w:noProof/>
              <w:sz w:val="22"/>
              <w:szCs w:val="22"/>
              <w:lang w:eastAsia="en-AU"/>
            </w:rPr>
          </w:pPr>
          <w:r>
            <w:rPr>
              <w:noProof/>
            </w:rPr>
            <w:t>Effectiveness</w:t>
          </w:r>
          <w:r>
            <w:rPr>
              <w:noProof/>
            </w:rPr>
            <w:tab/>
          </w:r>
        </w:p>
        <w:p w14:paraId="406DF041" w14:textId="5529BBEA" w:rsidR="00C9560F" w:rsidRDefault="00C9560F">
          <w:pPr>
            <w:pStyle w:val="TOC4"/>
            <w:rPr>
              <w:rFonts w:asciiTheme="minorHAnsi" w:eastAsiaTheme="minorEastAsia" w:hAnsiTheme="minorHAnsi" w:cstheme="minorBidi"/>
              <w:noProof/>
              <w:sz w:val="22"/>
              <w:szCs w:val="22"/>
              <w:lang w:eastAsia="en-AU"/>
            </w:rPr>
          </w:pPr>
          <w:r>
            <w:rPr>
              <w:noProof/>
            </w:rPr>
            <w:t>Access — Judicial officers</w:t>
          </w:r>
          <w:r>
            <w:rPr>
              <w:noProof/>
            </w:rPr>
            <w:tab/>
          </w:r>
          <w:r w:rsidR="00243723">
            <w:rPr>
              <w:noProof/>
            </w:rPr>
            <w:t>7.</w:t>
          </w:r>
          <w:r w:rsidR="00FD7300">
            <w:rPr>
              <w:noProof/>
            </w:rPr>
            <w:t>11</w:t>
          </w:r>
        </w:p>
        <w:p w14:paraId="54A6BED6" w14:textId="5C9403EA" w:rsidR="00C9560F" w:rsidRDefault="00C9560F">
          <w:pPr>
            <w:pStyle w:val="TOC4"/>
            <w:rPr>
              <w:rFonts w:asciiTheme="minorHAnsi" w:eastAsiaTheme="minorEastAsia" w:hAnsiTheme="minorHAnsi" w:cstheme="minorBidi"/>
              <w:noProof/>
              <w:sz w:val="22"/>
              <w:szCs w:val="22"/>
              <w:lang w:eastAsia="en-AU"/>
            </w:rPr>
          </w:pPr>
          <w:r>
            <w:rPr>
              <w:noProof/>
            </w:rPr>
            <w:t>Access — Backlog</w:t>
          </w:r>
          <w:r>
            <w:rPr>
              <w:noProof/>
            </w:rPr>
            <w:tab/>
          </w:r>
          <w:r w:rsidR="00243723">
            <w:rPr>
              <w:noProof/>
            </w:rPr>
            <w:t>7.</w:t>
          </w:r>
          <w:r w:rsidR="001C1AC3">
            <w:rPr>
              <w:noProof/>
            </w:rPr>
            <w:t>1</w:t>
          </w:r>
          <w:r w:rsidR="006C1814">
            <w:rPr>
              <w:noProof/>
            </w:rPr>
            <w:t>2</w:t>
          </w:r>
        </w:p>
        <w:p w14:paraId="1BF3EDB0" w14:textId="7F9B74B6" w:rsidR="00C9560F" w:rsidRDefault="00C9560F">
          <w:pPr>
            <w:pStyle w:val="TOC4"/>
            <w:rPr>
              <w:rFonts w:asciiTheme="minorHAnsi" w:eastAsiaTheme="minorEastAsia" w:hAnsiTheme="minorHAnsi" w:cstheme="minorBidi"/>
              <w:noProof/>
              <w:sz w:val="22"/>
              <w:szCs w:val="22"/>
              <w:lang w:eastAsia="en-AU"/>
            </w:rPr>
          </w:pPr>
          <w:r>
            <w:rPr>
              <w:noProof/>
            </w:rPr>
            <w:t>Access — On-time case processing</w:t>
          </w:r>
          <w:r>
            <w:rPr>
              <w:noProof/>
            </w:rPr>
            <w:tab/>
          </w:r>
          <w:r w:rsidR="00243723">
            <w:rPr>
              <w:noProof/>
            </w:rPr>
            <w:t>7.</w:t>
          </w:r>
          <w:r w:rsidR="001C1AC3">
            <w:rPr>
              <w:noProof/>
            </w:rPr>
            <w:t>14</w:t>
          </w:r>
        </w:p>
        <w:p w14:paraId="77F23986" w14:textId="29063568" w:rsidR="00C9560F" w:rsidRDefault="00C9560F">
          <w:pPr>
            <w:pStyle w:val="TOC4"/>
            <w:rPr>
              <w:rFonts w:asciiTheme="minorHAnsi" w:eastAsiaTheme="minorEastAsia" w:hAnsiTheme="minorHAnsi" w:cstheme="minorBidi"/>
              <w:noProof/>
              <w:sz w:val="22"/>
              <w:szCs w:val="22"/>
              <w:lang w:eastAsia="en-AU"/>
            </w:rPr>
          </w:pPr>
          <w:r>
            <w:rPr>
              <w:noProof/>
            </w:rPr>
            <w:t>Access — Attendance</w:t>
          </w:r>
          <w:r>
            <w:rPr>
              <w:noProof/>
            </w:rPr>
            <w:tab/>
          </w:r>
          <w:r w:rsidR="00243723">
            <w:rPr>
              <w:noProof/>
            </w:rPr>
            <w:t>7.</w:t>
          </w:r>
          <w:r w:rsidR="001C1AC3">
            <w:rPr>
              <w:noProof/>
            </w:rPr>
            <w:t>14</w:t>
          </w:r>
        </w:p>
        <w:p w14:paraId="2295B98D" w14:textId="4AFB66BD" w:rsidR="00C9560F" w:rsidRDefault="00C9560F">
          <w:pPr>
            <w:pStyle w:val="TOC4"/>
            <w:rPr>
              <w:rFonts w:asciiTheme="minorHAnsi" w:eastAsiaTheme="minorEastAsia" w:hAnsiTheme="minorHAnsi" w:cstheme="minorBidi"/>
              <w:noProof/>
              <w:sz w:val="22"/>
              <w:szCs w:val="22"/>
              <w:lang w:eastAsia="en-AU"/>
            </w:rPr>
          </w:pPr>
          <w:r>
            <w:rPr>
              <w:noProof/>
            </w:rPr>
            <w:t>Access — Clearance</w:t>
          </w:r>
          <w:r>
            <w:rPr>
              <w:noProof/>
            </w:rPr>
            <w:tab/>
          </w:r>
          <w:r w:rsidR="00243723">
            <w:rPr>
              <w:noProof/>
            </w:rPr>
            <w:t>7.</w:t>
          </w:r>
          <w:r w:rsidR="001C1AC3">
            <w:rPr>
              <w:noProof/>
            </w:rPr>
            <w:t>15</w:t>
          </w:r>
        </w:p>
        <w:p w14:paraId="64FC110A" w14:textId="7E348B7F" w:rsidR="00C9560F" w:rsidRDefault="00C9560F">
          <w:pPr>
            <w:pStyle w:val="TOC4"/>
            <w:rPr>
              <w:rFonts w:asciiTheme="minorHAnsi" w:eastAsiaTheme="minorEastAsia" w:hAnsiTheme="minorHAnsi" w:cstheme="minorBidi"/>
              <w:noProof/>
              <w:sz w:val="22"/>
              <w:szCs w:val="22"/>
              <w:lang w:eastAsia="en-AU"/>
            </w:rPr>
          </w:pPr>
          <w:r>
            <w:rPr>
              <w:noProof/>
            </w:rPr>
            <w:t>Access — Affordability — Fees paid by applicants</w:t>
          </w:r>
          <w:r>
            <w:rPr>
              <w:noProof/>
            </w:rPr>
            <w:tab/>
          </w:r>
          <w:r w:rsidR="00243723">
            <w:rPr>
              <w:noProof/>
            </w:rPr>
            <w:t>7.</w:t>
          </w:r>
          <w:r w:rsidR="001C1AC3">
            <w:rPr>
              <w:noProof/>
            </w:rPr>
            <w:t>16</w:t>
          </w:r>
        </w:p>
        <w:p w14:paraId="35269D07" w14:textId="756E12C5" w:rsidR="00C9560F" w:rsidRDefault="00C9560F">
          <w:pPr>
            <w:pStyle w:val="TOC4"/>
            <w:rPr>
              <w:rFonts w:asciiTheme="minorHAnsi" w:eastAsiaTheme="minorEastAsia" w:hAnsiTheme="minorHAnsi" w:cstheme="minorBidi"/>
              <w:noProof/>
              <w:sz w:val="22"/>
              <w:szCs w:val="22"/>
              <w:lang w:eastAsia="en-AU"/>
            </w:rPr>
          </w:pPr>
          <w:r>
            <w:rPr>
              <w:noProof/>
            </w:rPr>
            <w:t>Quality — Court file integrity</w:t>
          </w:r>
          <w:r>
            <w:rPr>
              <w:noProof/>
            </w:rPr>
            <w:tab/>
          </w:r>
          <w:r w:rsidR="00243723">
            <w:rPr>
              <w:noProof/>
            </w:rPr>
            <w:t>7.</w:t>
          </w:r>
          <w:r w:rsidR="001C1AC3">
            <w:rPr>
              <w:noProof/>
            </w:rPr>
            <w:t>17</w:t>
          </w:r>
        </w:p>
        <w:p w14:paraId="2562DAB4" w14:textId="2B05CD4A" w:rsidR="00C9560F" w:rsidRDefault="00C9560F">
          <w:pPr>
            <w:pStyle w:val="TOC3"/>
            <w:rPr>
              <w:rFonts w:asciiTheme="minorHAnsi" w:eastAsiaTheme="minorEastAsia" w:hAnsiTheme="minorHAnsi" w:cstheme="minorBidi"/>
              <w:noProof/>
              <w:sz w:val="22"/>
              <w:szCs w:val="22"/>
              <w:lang w:eastAsia="en-AU"/>
            </w:rPr>
          </w:pPr>
          <w:r>
            <w:rPr>
              <w:noProof/>
            </w:rPr>
            <w:t>Efficiency</w:t>
          </w:r>
          <w:r>
            <w:rPr>
              <w:noProof/>
            </w:rPr>
            <w:tab/>
          </w:r>
        </w:p>
        <w:p w14:paraId="5C6CF7F7" w14:textId="4D403822" w:rsidR="00C9560F" w:rsidRDefault="00C9560F">
          <w:pPr>
            <w:pStyle w:val="TOC4"/>
            <w:rPr>
              <w:rFonts w:asciiTheme="minorHAnsi" w:eastAsiaTheme="minorEastAsia" w:hAnsiTheme="minorHAnsi" w:cstheme="minorBidi"/>
              <w:noProof/>
              <w:sz w:val="22"/>
              <w:szCs w:val="22"/>
              <w:lang w:eastAsia="en-AU"/>
            </w:rPr>
          </w:pPr>
          <w:r>
            <w:rPr>
              <w:noProof/>
            </w:rPr>
            <w:t>Judicial officers per finalisation</w:t>
          </w:r>
          <w:r>
            <w:rPr>
              <w:noProof/>
            </w:rPr>
            <w:tab/>
          </w:r>
          <w:r w:rsidR="00243723">
            <w:rPr>
              <w:noProof/>
            </w:rPr>
            <w:t>7.</w:t>
          </w:r>
          <w:r w:rsidR="001C1AC3">
            <w:rPr>
              <w:noProof/>
            </w:rPr>
            <w:t>17</w:t>
          </w:r>
        </w:p>
        <w:p w14:paraId="5B71B0FF" w14:textId="5D05FBFF" w:rsidR="00C9560F" w:rsidRDefault="00C9560F">
          <w:pPr>
            <w:pStyle w:val="TOC4"/>
            <w:rPr>
              <w:rFonts w:asciiTheme="minorHAnsi" w:eastAsiaTheme="minorEastAsia" w:hAnsiTheme="minorHAnsi" w:cstheme="minorBidi"/>
              <w:noProof/>
              <w:sz w:val="22"/>
              <w:szCs w:val="22"/>
              <w:lang w:eastAsia="en-AU"/>
            </w:rPr>
          </w:pPr>
          <w:r>
            <w:rPr>
              <w:noProof/>
            </w:rPr>
            <w:t>Full time equivalent staff (FTE) per finalisation</w:t>
          </w:r>
          <w:r>
            <w:rPr>
              <w:noProof/>
            </w:rPr>
            <w:tab/>
          </w:r>
          <w:r w:rsidR="00243723">
            <w:rPr>
              <w:noProof/>
            </w:rPr>
            <w:t>7.</w:t>
          </w:r>
          <w:r w:rsidR="001C1AC3">
            <w:rPr>
              <w:noProof/>
            </w:rPr>
            <w:t>18</w:t>
          </w:r>
        </w:p>
        <w:p w14:paraId="33A0008D" w14:textId="20B56DB5" w:rsidR="00C9560F" w:rsidRDefault="00C9560F">
          <w:pPr>
            <w:pStyle w:val="TOC4"/>
            <w:rPr>
              <w:rFonts w:asciiTheme="minorHAnsi" w:eastAsiaTheme="minorEastAsia" w:hAnsiTheme="minorHAnsi" w:cstheme="minorBidi"/>
              <w:noProof/>
              <w:sz w:val="22"/>
              <w:szCs w:val="22"/>
              <w:lang w:eastAsia="en-AU"/>
            </w:rPr>
          </w:pPr>
          <w:r>
            <w:rPr>
              <w:noProof/>
            </w:rPr>
            <w:t>Cost per finalisation</w:t>
          </w:r>
          <w:r>
            <w:rPr>
              <w:noProof/>
            </w:rPr>
            <w:tab/>
          </w:r>
          <w:r w:rsidR="00243723">
            <w:rPr>
              <w:noProof/>
            </w:rPr>
            <w:t>7.</w:t>
          </w:r>
          <w:r w:rsidR="00C66A99">
            <w:rPr>
              <w:noProof/>
            </w:rPr>
            <w:t>18</w:t>
          </w:r>
        </w:p>
        <w:p w14:paraId="1C41F9DE" w14:textId="796CCBA2" w:rsidR="00C9560F" w:rsidRDefault="00C9560F">
          <w:pPr>
            <w:pStyle w:val="TOC3"/>
            <w:rPr>
              <w:rFonts w:asciiTheme="minorHAnsi" w:eastAsiaTheme="minorEastAsia" w:hAnsiTheme="minorHAnsi" w:cstheme="minorBidi"/>
              <w:noProof/>
              <w:sz w:val="22"/>
              <w:szCs w:val="22"/>
              <w:lang w:eastAsia="en-AU"/>
            </w:rPr>
          </w:pPr>
          <w:r>
            <w:rPr>
              <w:noProof/>
            </w:rPr>
            <w:t>Outcomes</w:t>
          </w:r>
          <w:r>
            <w:rPr>
              <w:noProof/>
            </w:rPr>
            <w:tab/>
          </w:r>
          <w:r w:rsidR="00243723">
            <w:rPr>
              <w:noProof/>
            </w:rPr>
            <w:t>7.</w:t>
          </w:r>
          <w:r w:rsidR="00FD7300">
            <w:rPr>
              <w:noProof/>
            </w:rPr>
            <w:t>1</w:t>
          </w:r>
          <w:r w:rsidR="003C0AE5">
            <w:rPr>
              <w:noProof/>
            </w:rPr>
            <w:t>9</w:t>
          </w:r>
        </w:p>
        <w:p w14:paraId="2A1B688E" w14:textId="012FED05" w:rsidR="00C9560F" w:rsidRDefault="00C9560F">
          <w:pPr>
            <w:pStyle w:val="TOC4"/>
            <w:rPr>
              <w:rFonts w:asciiTheme="minorHAnsi" w:eastAsiaTheme="minorEastAsia" w:hAnsiTheme="minorHAnsi" w:cstheme="minorBidi"/>
              <w:noProof/>
              <w:sz w:val="22"/>
              <w:szCs w:val="22"/>
              <w:lang w:eastAsia="en-AU"/>
            </w:rPr>
          </w:pPr>
          <w:r>
            <w:rPr>
              <w:noProof/>
            </w:rPr>
            <w:t>Perceptions of court integrity</w:t>
          </w:r>
          <w:r>
            <w:rPr>
              <w:noProof/>
            </w:rPr>
            <w:tab/>
          </w:r>
          <w:r w:rsidR="00243723">
            <w:rPr>
              <w:noProof/>
            </w:rPr>
            <w:t>7.</w:t>
          </w:r>
          <w:r w:rsidR="00FD7300">
            <w:rPr>
              <w:noProof/>
            </w:rPr>
            <w:t>1</w:t>
          </w:r>
          <w:r w:rsidR="00834EF1">
            <w:rPr>
              <w:noProof/>
            </w:rPr>
            <w:t>9</w:t>
          </w:r>
        </w:p>
        <w:p w14:paraId="7886DE2F" w14:textId="5CC99644" w:rsidR="00C9560F" w:rsidRDefault="00C9560F">
          <w:pPr>
            <w:pStyle w:val="TOC3"/>
            <w:rPr>
              <w:rFonts w:asciiTheme="minorHAnsi" w:eastAsiaTheme="minorEastAsia" w:hAnsiTheme="minorHAnsi" w:cstheme="minorBidi"/>
              <w:noProof/>
              <w:sz w:val="22"/>
              <w:szCs w:val="22"/>
              <w:lang w:eastAsia="en-AU"/>
            </w:rPr>
          </w:pPr>
          <w:r>
            <w:rPr>
              <w:noProof/>
            </w:rPr>
            <w:t xml:space="preserve">7.3 </w:t>
          </w:r>
          <w:r w:rsidR="00720965">
            <w:rPr>
              <w:noProof/>
            </w:rPr>
            <w:t xml:space="preserve">   </w:t>
          </w:r>
          <w:r>
            <w:rPr>
              <w:noProof/>
            </w:rPr>
            <w:t>Homicide and related offences — selected indicators</w:t>
          </w:r>
          <w:r>
            <w:rPr>
              <w:noProof/>
            </w:rPr>
            <w:tab/>
          </w:r>
          <w:r w:rsidR="00243723">
            <w:rPr>
              <w:noProof/>
            </w:rPr>
            <w:t>7.</w:t>
          </w:r>
          <w:r w:rsidR="00C66A99">
            <w:rPr>
              <w:noProof/>
            </w:rPr>
            <w:t>20</w:t>
          </w:r>
        </w:p>
        <w:p w14:paraId="69069FAB" w14:textId="6F8EB5EE" w:rsidR="00C9560F" w:rsidRDefault="00C9560F">
          <w:pPr>
            <w:pStyle w:val="TOC2"/>
            <w:tabs>
              <w:tab w:val="left" w:pos="1134"/>
            </w:tabs>
            <w:rPr>
              <w:rFonts w:asciiTheme="minorHAnsi" w:eastAsiaTheme="minorEastAsia" w:hAnsiTheme="minorHAnsi" w:cstheme="minorBidi"/>
              <w:noProof/>
              <w:sz w:val="22"/>
              <w:szCs w:val="22"/>
              <w:lang w:eastAsia="en-AU"/>
            </w:rPr>
          </w:pPr>
          <w:r>
            <w:rPr>
              <w:noProof/>
            </w:rPr>
            <w:t>7.4</w:t>
          </w:r>
          <w:r>
            <w:rPr>
              <w:rFonts w:asciiTheme="minorHAnsi" w:eastAsiaTheme="minorEastAsia" w:hAnsiTheme="minorHAnsi" w:cstheme="minorBidi"/>
              <w:noProof/>
              <w:sz w:val="22"/>
              <w:szCs w:val="22"/>
              <w:lang w:eastAsia="en-AU"/>
            </w:rPr>
            <w:tab/>
          </w:r>
          <w:r>
            <w:rPr>
              <w:noProof/>
            </w:rPr>
            <w:t>Definitions of key terms</w:t>
          </w:r>
          <w:r>
            <w:rPr>
              <w:noProof/>
            </w:rPr>
            <w:tab/>
          </w:r>
          <w:r w:rsidR="00243723">
            <w:rPr>
              <w:noProof/>
            </w:rPr>
            <w:t>7.</w:t>
          </w:r>
          <w:r w:rsidR="00E26962">
            <w:rPr>
              <w:noProof/>
            </w:rPr>
            <w:t>22</w:t>
          </w:r>
        </w:p>
        <w:p w14:paraId="3A123307" w14:textId="1F90C04C" w:rsidR="00C9560F" w:rsidRPr="001F5D40" w:rsidRDefault="0054490A" w:rsidP="00C9560F">
          <w:pPr>
            <w:pStyle w:val="TOC1"/>
          </w:pPr>
        </w:p>
      </w:sdtContent>
    </w:sdt>
    <w:p w14:paraId="56848178" w14:textId="211EEA60" w:rsidR="001F5D40" w:rsidRPr="001F5D40" w:rsidRDefault="001F5D40" w:rsidP="001F5D40">
      <w:pPr>
        <w:pStyle w:val="BodyText"/>
      </w:pPr>
      <w:r w:rsidRPr="001F5D40">
        <w:t xml:space="preserve">The </w:t>
      </w:r>
      <w:r>
        <w:t>Courts</w:t>
      </w:r>
      <w:r w:rsidRPr="001F5D40">
        <w:t xml:space="preserve"> interpretative material is supporting material and includes explanations of why indicators have been chosen, and wherever possible, a link to the stated objectives of the service. It includes indicator definitions, technical details defining how the indicator is measured and guidance on how the indicator is to be interpreted, including caveats and the indicator’s completeness and comparability status.</w:t>
      </w:r>
    </w:p>
    <w:p w14:paraId="3467B030" w14:textId="1FD66F53" w:rsidR="001F5D40" w:rsidRPr="000D6F72" w:rsidRDefault="001F5D40" w:rsidP="004A2A61">
      <w:pPr>
        <w:jc w:val="both"/>
        <w:rPr>
          <w:sz w:val="22"/>
          <w:szCs w:val="22"/>
        </w:rPr>
      </w:pPr>
      <w:r w:rsidRPr="001F5D40">
        <w:lastRenderedPageBreak/>
        <w:t xml:space="preserve">Further information on the Report on Government Services including other reported service areas, the glossary and list of abbreviations is available at </w:t>
      </w:r>
      <w:r w:rsidR="000D6F72" w:rsidRPr="001F5D40">
        <w:t>https://www.pc.gov.au/research/ongoing/report on government services.</w:t>
      </w:r>
    </w:p>
    <w:p w14:paraId="1AE5F311" w14:textId="65948877" w:rsidR="00D36CDF" w:rsidRDefault="00D36CDF" w:rsidP="00D36CDF">
      <w:pPr>
        <w:pStyle w:val="Heading2"/>
      </w:pPr>
      <w:bookmarkStart w:id="10" w:name="_Toc18405552"/>
      <w:bookmarkStart w:id="11" w:name="_Toc21937636"/>
      <w:r>
        <w:t>7.1 Context</w:t>
      </w:r>
      <w:bookmarkEnd w:id="10"/>
      <w:bookmarkEnd w:id="11"/>
    </w:p>
    <w:p w14:paraId="46017A11" w14:textId="1C75B8A9" w:rsidR="00D36CDF" w:rsidRDefault="00D36CD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36CDF" w14:paraId="4B077A04" w14:textId="77777777" w:rsidTr="00FA7F1F">
        <w:trPr>
          <w:tblHeader/>
        </w:trPr>
        <w:tc>
          <w:tcPr>
            <w:tcW w:w="5000" w:type="pct"/>
            <w:tcBorders>
              <w:top w:val="single" w:sz="6" w:space="0" w:color="78A22F"/>
              <w:left w:val="nil"/>
              <w:bottom w:val="nil"/>
              <w:right w:val="nil"/>
            </w:tcBorders>
            <w:shd w:val="clear" w:color="auto" w:fill="F2F2F2"/>
          </w:tcPr>
          <w:p w14:paraId="41B4AAC1" w14:textId="00878A79" w:rsidR="00D36CDF" w:rsidRDefault="00D36CDF">
            <w:pPr>
              <w:pStyle w:val="BoxTitle"/>
            </w:pPr>
            <w:r>
              <w:rPr>
                <w:b w:val="0"/>
              </w:rPr>
              <w:t xml:space="preserve">Box </w:t>
            </w:r>
            <w:r w:rsidR="000A1506">
              <w:rPr>
                <w:b w:val="0"/>
              </w:rPr>
              <w:t>7.</w:t>
            </w:r>
            <w:r w:rsidR="00F57240">
              <w:rPr>
                <w:b w:val="0"/>
                <w:noProof/>
              </w:rPr>
              <w:t>1</w:t>
            </w:r>
            <w:r>
              <w:tab/>
              <w:t>Supreme court jurisdictions across states and territories</w:t>
            </w:r>
          </w:p>
        </w:tc>
      </w:tr>
      <w:tr w:rsidR="00D36CDF" w14:paraId="62007FC9" w14:textId="77777777" w:rsidTr="00FA7F1F">
        <w:tc>
          <w:tcPr>
            <w:tcW w:w="5000" w:type="pct"/>
            <w:tcBorders>
              <w:top w:val="nil"/>
              <w:left w:val="nil"/>
              <w:bottom w:val="nil"/>
              <w:right w:val="nil"/>
            </w:tcBorders>
            <w:shd w:val="clear" w:color="auto" w:fill="F2F2F2"/>
          </w:tcPr>
          <w:p w14:paraId="78E0C55D" w14:textId="4DE36750" w:rsidR="00D36CDF" w:rsidRPr="00D36CDF" w:rsidRDefault="00D36CDF" w:rsidP="00FA7F1F">
            <w:pPr>
              <w:pStyle w:val="Box"/>
              <w:rPr>
                <w:b/>
              </w:rPr>
            </w:pPr>
            <w:r w:rsidRPr="00D36CDF">
              <w:rPr>
                <w:b/>
              </w:rPr>
              <w:t>Criminal courts</w:t>
            </w:r>
          </w:p>
        </w:tc>
      </w:tr>
      <w:tr w:rsidR="00D36CDF" w14:paraId="1DDE5F04" w14:textId="77777777" w:rsidTr="00FA7F1F">
        <w:tc>
          <w:tcPr>
            <w:tcW w:w="5000" w:type="pct"/>
            <w:tcBorders>
              <w:top w:val="nil"/>
              <w:left w:val="nil"/>
              <w:bottom w:val="nil"/>
              <w:right w:val="nil"/>
            </w:tcBorders>
            <w:shd w:val="clear" w:color="auto" w:fill="F2F2F2"/>
          </w:tcPr>
          <w:p w14:paraId="77088B8C" w14:textId="10033EEA" w:rsidR="00D36CDF" w:rsidRDefault="00D36CDF" w:rsidP="00FA7F1F">
            <w:pPr>
              <w:pStyle w:val="Box"/>
            </w:pPr>
            <w:r w:rsidRPr="00D36CDF">
              <w:t>All State and Territory supreme courts have jurisdiction over similar criminal matters such as murder, treason and certain serious drug offences, but significant differences exist in this court level across the states and territories:</w:t>
            </w:r>
          </w:p>
        </w:tc>
      </w:tr>
      <w:tr w:rsidR="00D36CDF" w14:paraId="4C01D8A5" w14:textId="77777777" w:rsidTr="00FA7F1F">
        <w:tc>
          <w:tcPr>
            <w:tcW w:w="5000" w:type="pct"/>
            <w:tcBorders>
              <w:top w:val="nil"/>
              <w:left w:val="nil"/>
              <w:bottom w:val="nil"/>
              <w:right w:val="nil"/>
            </w:tcBorders>
            <w:shd w:val="clear" w:color="auto" w:fill="F2F2F2"/>
          </w:tcPr>
          <w:p w14:paraId="01B355B0" w14:textId="23DE444A" w:rsidR="00D36CDF" w:rsidRDefault="003376FD" w:rsidP="00D36CDF">
            <w:pPr>
              <w:pStyle w:val="Box"/>
            </w:pPr>
            <w:r>
              <w:t>—</w:t>
            </w:r>
            <w:r w:rsidR="00D36CDF">
              <w:t xml:space="preserve"> District/county courts do </w:t>
            </w:r>
            <w:r>
              <w:t>not operate in Tasmania, the Australian Capital Territory</w:t>
            </w:r>
            <w:r w:rsidR="00D36CDF">
              <w:t xml:space="preserve"> and the N</w:t>
            </w:r>
            <w:r>
              <w:t xml:space="preserve">orthern </w:t>
            </w:r>
            <w:r w:rsidR="00D36CDF">
              <w:t>T</w:t>
            </w:r>
            <w:r>
              <w:t>erritory</w:t>
            </w:r>
            <w:r w:rsidR="00D36CDF">
              <w:t>, so in this state and these territories the supreme courts generally exercise a jurisdiction equal to that of both the supreme and district/county courts in other states.</w:t>
            </w:r>
          </w:p>
          <w:p w14:paraId="6CFFA90C" w14:textId="7243B4F5" w:rsidR="00D36CDF" w:rsidRDefault="003376FD" w:rsidP="00D36CDF">
            <w:pPr>
              <w:pStyle w:val="Box"/>
            </w:pPr>
            <w:r>
              <w:t>—</w:t>
            </w:r>
            <w:r w:rsidR="00D36CDF">
              <w:t xml:space="preserve"> The Queensland Supreme Court deals with </w:t>
            </w:r>
            <w:proofErr w:type="gramStart"/>
            <w:r w:rsidR="00D36CDF">
              <w:t>a number of</w:t>
            </w:r>
            <w:proofErr w:type="gramEnd"/>
            <w:r w:rsidR="00D36CDF">
              <w:t xml:space="preserve"> drug matters, which supreme courts in other states and territories do not hear.</w:t>
            </w:r>
          </w:p>
          <w:p w14:paraId="67B2C9B6" w14:textId="01450054" w:rsidR="00D36CDF" w:rsidRDefault="003376FD" w:rsidP="00D36CDF">
            <w:pPr>
              <w:pStyle w:val="Box"/>
            </w:pPr>
            <w:r>
              <w:t xml:space="preserve">— </w:t>
            </w:r>
            <w:r w:rsidR="002D3F26">
              <w:t xml:space="preserve"> </w:t>
            </w:r>
            <w:r>
              <w:t>In the New South Wales</w:t>
            </w:r>
            <w:r w:rsidR="00D36CDF">
              <w:t xml:space="preserve"> Supreme Court, almost all indictments are for offences of murder and manslaughter, whereas the range of indictments routinely presented in most other states and territories is broader.</w:t>
            </w:r>
          </w:p>
          <w:p w14:paraId="2D44CABF" w14:textId="7333A0B0" w:rsidR="00B000AB" w:rsidRPr="00B000AB" w:rsidRDefault="00B000AB" w:rsidP="00B000AB">
            <w:pPr>
              <w:pStyle w:val="Box"/>
            </w:pPr>
            <w:r w:rsidRPr="00AB24B2">
              <w:t xml:space="preserve">—  In the Western Australian Supreme Court, with the introduction of the </w:t>
            </w:r>
            <w:r w:rsidRPr="00AB24B2">
              <w:rPr>
                <w:i/>
              </w:rPr>
              <w:t>Court Jurisdiction Legislation Amendment Act 2018</w:t>
            </w:r>
            <w:r w:rsidRPr="00AB24B2">
              <w:t xml:space="preserve"> which came into effect on 1 January 2019, the </w:t>
            </w:r>
            <w:proofErr w:type="gramStart"/>
            <w:r w:rsidRPr="00AB24B2">
              <w:t>Court  predominantly</w:t>
            </w:r>
            <w:proofErr w:type="gramEnd"/>
            <w:r w:rsidRPr="00AB24B2">
              <w:t xml:space="preserve"> deal</w:t>
            </w:r>
            <w:r w:rsidR="00A02E44">
              <w:t>s</w:t>
            </w:r>
            <w:r w:rsidRPr="00AB24B2">
              <w:t xml:space="preserve"> with the most serious offences such as homicide and related offences, and serious breaches of Commonwealth drug enforcement laws.</w:t>
            </w:r>
            <w:r>
              <w:t xml:space="preserve"> </w:t>
            </w:r>
          </w:p>
          <w:p w14:paraId="6A4AA0A5" w14:textId="36959B23" w:rsidR="00D36CDF" w:rsidRDefault="00D36CDF" w:rsidP="00D36CDF">
            <w:pPr>
              <w:pStyle w:val="Box"/>
            </w:pPr>
            <w:r>
              <w:t xml:space="preserve">All State and Territory supreme courts hear appeals, but the number and </w:t>
            </w:r>
            <w:r w:rsidR="003376FD">
              <w:t>type of appeals vary because New South Wales</w:t>
            </w:r>
            <w:r>
              <w:t>, Victoria and Queensland also hear some appeals in their district/county courts.</w:t>
            </w:r>
          </w:p>
        </w:tc>
      </w:tr>
      <w:tr w:rsidR="00D36CDF" w14:paraId="0B2C2259" w14:textId="77777777" w:rsidTr="00FA7F1F">
        <w:tc>
          <w:tcPr>
            <w:tcW w:w="5000" w:type="pct"/>
            <w:tcBorders>
              <w:top w:val="nil"/>
              <w:left w:val="nil"/>
              <w:bottom w:val="nil"/>
              <w:right w:val="nil"/>
            </w:tcBorders>
            <w:shd w:val="clear" w:color="auto" w:fill="F2F2F2"/>
          </w:tcPr>
          <w:p w14:paraId="3E70DF1D" w14:textId="5BEB2270" w:rsidR="00D36CDF" w:rsidRPr="00C22008" w:rsidRDefault="00C22008" w:rsidP="00FA7F1F">
            <w:pPr>
              <w:pStyle w:val="Box"/>
              <w:rPr>
                <w:b/>
              </w:rPr>
            </w:pPr>
            <w:r>
              <w:rPr>
                <w:b/>
              </w:rPr>
              <w:t>Civil courts</w:t>
            </w:r>
          </w:p>
        </w:tc>
      </w:tr>
      <w:tr w:rsidR="00C22008" w14:paraId="722A67F4" w14:textId="77777777" w:rsidTr="00FA7F1F">
        <w:tc>
          <w:tcPr>
            <w:tcW w:w="5000" w:type="pct"/>
            <w:tcBorders>
              <w:top w:val="nil"/>
              <w:left w:val="nil"/>
              <w:bottom w:val="nil"/>
              <w:right w:val="nil"/>
            </w:tcBorders>
            <w:shd w:val="clear" w:color="auto" w:fill="F2F2F2"/>
          </w:tcPr>
          <w:p w14:paraId="61E85FB1" w14:textId="77777777" w:rsidR="00C22008" w:rsidRDefault="00C22008" w:rsidP="00425D7A">
            <w:pPr>
              <w:pStyle w:val="Box"/>
              <w:spacing w:before="80"/>
            </w:pPr>
            <w:r>
              <w:t>All supreme courts deal with appeals and probate applications and have an unlimited jurisdiction on claims but:</w:t>
            </w:r>
          </w:p>
          <w:p w14:paraId="6CC7E8F2" w14:textId="286FB4DF" w:rsidR="00C22008" w:rsidRDefault="003376FD" w:rsidP="00425D7A">
            <w:pPr>
              <w:pStyle w:val="Box"/>
              <w:spacing w:before="80"/>
            </w:pPr>
            <w:r>
              <w:t>New South Wales</w:t>
            </w:r>
            <w:r w:rsidR="00C22008">
              <w:t xml:space="preserve"> usually deals with complex cases, all claims over $750 000 (except claims related to motor vehicle accidents or worker's compensation) and various other civil matters.</w:t>
            </w:r>
          </w:p>
          <w:p w14:paraId="5F4CDAAF" w14:textId="18D5C27D" w:rsidR="00C22008" w:rsidRDefault="00C22008" w:rsidP="00425D7A">
            <w:pPr>
              <w:pStyle w:val="Box"/>
              <w:spacing w:before="80"/>
            </w:pPr>
            <w:r>
              <w:t>Victoria</w:t>
            </w:r>
            <w:r w:rsidR="00AD4B29">
              <w:t xml:space="preserve"> deals with </w:t>
            </w:r>
            <w:r w:rsidR="00AD4B29" w:rsidRPr="00AB24B2">
              <w:t>complex cases, high value claims and various other civil matters</w:t>
            </w:r>
            <w:r w:rsidRPr="00AB24B2">
              <w:t>.</w:t>
            </w:r>
          </w:p>
          <w:p w14:paraId="7DC849E3" w14:textId="6E055D55" w:rsidR="00C22008" w:rsidRDefault="00C22008" w:rsidP="00425D7A">
            <w:pPr>
              <w:pStyle w:val="Box"/>
              <w:spacing w:before="80"/>
            </w:pPr>
            <w:r>
              <w:t>Queensland deals with claims over $750 000 and administrative law matters.</w:t>
            </w:r>
          </w:p>
          <w:p w14:paraId="0ED38175" w14:textId="3127E540" w:rsidR="00C22008" w:rsidRDefault="003376FD" w:rsidP="00425D7A">
            <w:pPr>
              <w:pStyle w:val="Box"/>
              <w:spacing w:before="80"/>
            </w:pPr>
            <w:r>
              <w:t>Western Australia</w:t>
            </w:r>
            <w:r w:rsidR="00C22008">
              <w:t xml:space="preserve"> usually deals with claims over $750 000.</w:t>
            </w:r>
          </w:p>
          <w:p w14:paraId="7CC13565" w14:textId="3AECFC73" w:rsidR="00C22008" w:rsidRDefault="003376FD" w:rsidP="00425D7A">
            <w:pPr>
              <w:pStyle w:val="Box"/>
              <w:spacing w:before="80"/>
            </w:pPr>
            <w:r>
              <w:t>South Australia</w:t>
            </w:r>
            <w:r w:rsidR="00C22008">
              <w:t xml:space="preserve"> exercises its unlimited jurisdiction for general and personal injury matters.</w:t>
            </w:r>
          </w:p>
          <w:p w14:paraId="41531BE0" w14:textId="77777777" w:rsidR="00C22008" w:rsidRDefault="00C22008" w:rsidP="00425D7A">
            <w:pPr>
              <w:pStyle w:val="Box"/>
              <w:spacing w:before="80"/>
            </w:pPr>
            <w:r>
              <w:t>Tasmania usually deals with claims over $50 000.</w:t>
            </w:r>
          </w:p>
          <w:p w14:paraId="2A64B1BF" w14:textId="26CA865C" w:rsidR="00C22008" w:rsidRDefault="00D751B8" w:rsidP="00425D7A">
            <w:pPr>
              <w:pStyle w:val="Box"/>
              <w:spacing w:before="80"/>
            </w:pPr>
            <w:r>
              <w:t xml:space="preserve">The </w:t>
            </w:r>
            <w:r w:rsidR="003376FD">
              <w:t>Australian Capital Territory</w:t>
            </w:r>
            <w:r w:rsidR="00C22008">
              <w:t xml:space="preserve"> usually deals with claims over $250 000.</w:t>
            </w:r>
          </w:p>
          <w:p w14:paraId="2E32E93C" w14:textId="1DF649AB" w:rsidR="00C22008" w:rsidRDefault="00D751B8" w:rsidP="00425D7A">
            <w:pPr>
              <w:pStyle w:val="Box"/>
              <w:spacing w:before="80"/>
            </w:pPr>
            <w:r>
              <w:t xml:space="preserve">The </w:t>
            </w:r>
            <w:r w:rsidR="003376FD">
              <w:t>Northern Territory</w:t>
            </w:r>
            <w:r w:rsidR="00C22008">
              <w:t xml:space="preserve"> also deals with mental health, family law and </w:t>
            </w:r>
            <w:r w:rsidR="00C22008" w:rsidRPr="00C22008">
              <w:rPr>
                <w:i/>
              </w:rPr>
              <w:t>Coroners Act 1993</w:t>
            </w:r>
            <w:r w:rsidR="00C22008">
              <w:t xml:space="preserve"> applications.</w:t>
            </w:r>
          </w:p>
        </w:tc>
      </w:tr>
      <w:tr w:rsidR="00D36CDF" w14:paraId="70D3DE23" w14:textId="77777777" w:rsidTr="00FA7F1F">
        <w:tc>
          <w:tcPr>
            <w:tcW w:w="5000" w:type="pct"/>
            <w:tcBorders>
              <w:top w:val="nil"/>
              <w:left w:val="nil"/>
              <w:bottom w:val="nil"/>
              <w:right w:val="nil"/>
            </w:tcBorders>
            <w:shd w:val="clear" w:color="auto" w:fill="F2F2F2"/>
          </w:tcPr>
          <w:p w14:paraId="48333DBA" w14:textId="6AD8447D" w:rsidR="00D36CDF" w:rsidRDefault="00AE73A1" w:rsidP="00AE73A1">
            <w:pPr>
              <w:pStyle w:val="BoxSource"/>
              <w:keepLines w:val="0"/>
            </w:pPr>
            <w:r>
              <w:rPr>
                <w:i/>
              </w:rPr>
              <w:t>Source</w:t>
            </w:r>
            <w:r w:rsidR="00D36CDF" w:rsidRPr="00167F06">
              <w:t xml:space="preserve">: </w:t>
            </w:r>
            <w:r>
              <w:t>Australian, State and Territory court administration authorities and departments</w:t>
            </w:r>
            <w:r w:rsidR="00D36CDF">
              <w:t>.</w:t>
            </w:r>
          </w:p>
        </w:tc>
      </w:tr>
      <w:tr w:rsidR="00D36CDF" w14:paraId="4602429F" w14:textId="77777777" w:rsidTr="00FA7F1F">
        <w:tc>
          <w:tcPr>
            <w:tcW w:w="5000" w:type="pct"/>
            <w:tcBorders>
              <w:top w:val="nil"/>
              <w:left w:val="nil"/>
              <w:bottom w:val="single" w:sz="6" w:space="0" w:color="78A22F"/>
              <w:right w:val="nil"/>
            </w:tcBorders>
            <w:shd w:val="clear" w:color="auto" w:fill="F2F2F2"/>
          </w:tcPr>
          <w:p w14:paraId="0AFDCF31" w14:textId="77777777" w:rsidR="00D36CDF" w:rsidRDefault="00D36CDF" w:rsidP="00C22008">
            <w:pPr>
              <w:pStyle w:val="Box"/>
              <w:keepNext w:val="0"/>
              <w:spacing w:before="0" w:line="120" w:lineRule="exact"/>
            </w:pPr>
          </w:p>
        </w:tc>
      </w:tr>
      <w:tr w:rsidR="00D36CDF" w:rsidRPr="000863A5" w14:paraId="4B7EDB47" w14:textId="77777777" w:rsidTr="00FA7F1F">
        <w:tc>
          <w:tcPr>
            <w:tcW w:w="5000" w:type="pct"/>
            <w:tcBorders>
              <w:top w:val="single" w:sz="6" w:space="0" w:color="78A22F"/>
              <w:left w:val="nil"/>
              <w:bottom w:val="nil"/>
              <w:right w:val="nil"/>
            </w:tcBorders>
          </w:tcPr>
          <w:p w14:paraId="5FC2B3F6" w14:textId="6B39DFC4" w:rsidR="00D36CDF" w:rsidRPr="00626D32" w:rsidRDefault="00D36CDF" w:rsidP="00FA7F1F">
            <w:pPr>
              <w:pStyle w:val="BoxSpaceBelow"/>
            </w:pPr>
            <w:bookmarkStart w:id="12" w:name="_GoBack"/>
            <w:bookmarkEnd w:id="12"/>
          </w:p>
        </w:tc>
      </w:tr>
    </w:tbl>
    <w:p w14:paraId="3CEA3F52" w14:textId="0E7D23CE" w:rsidR="007F34A1" w:rsidRDefault="007F34A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F34A1" w14:paraId="75D589EA" w14:textId="77777777" w:rsidTr="00FA7F1F">
        <w:trPr>
          <w:tblHeader/>
        </w:trPr>
        <w:tc>
          <w:tcPr>
            <w:tcW w:w="5000" w:type="pct"/>
            <w:tcBorders>
              <w:top w:val="single" w:sz="6" w:space="0" w:color="78A22F"/>
              <w:left w:val="nil"/>
              <w:bottom w:val="nil"/>
              <w:right w:val="nil"/>
            </w:tcBorders>
            <w:shd w:val="clear" w:color="auto" w:fill="F2F2F2"/>
          </w:tcPr>
          <w:p w14:paraId="018C1385" w14:textId="45F88055" w:rsidR="007F34A1" w:rsidRDefault="007F34A1">
            <w:pPr>
              <w:pStyle w:val="BoxTitle"/>
            </w:pPr>
            <w:r>
              <w:rPr>
                <w:b w:val="0"/>
              </w:rPr>
              <w:t xml:space="preserve">Box </w:t>
            </w:r>
            <w:r w:rsidR="000A1506">
              <w:rPr>
                <w:b w:val="0"/>
              </w:rPr>
              <w:t>7.</w:t>
            </w:r>
            <w:r w:rsidR="00F57240">
              <w:rPr>
                <w:b w:val="0"/>
                <w:noProof/>
              </w:rPr>
              <w:t>2</w:t>
            </w:r>
            <w:r>
              <w:tab/>
            </w:r>
            <w:r w:rsidRPr="007F34A1">
              <w:t>District/county court jurisdictions across states and territories</w:t>
            </w:r>
          </w:p>
        </w:tc>
      </w:tr>
      <w:tr w:rsidR="007F34A1" w14:paraId="7D10133B" w14:textId="77777777" w:rsidTr="00FA7F1F">
        <w:tc>
          <w:tcPr>
            <w:tcW w:w="5000" w:type="pct"/>
            <w:tcBorders>
              <w:top w:val="nil"/>
              <w:left w:val="nil"/>
              <w:bottom w:val="nil"/>
              <w:right w:val="nil"/>
            </w:tcBorders>
            <w:shd w:val="clear" w:color="auto" w:fill="F2F2F2"/>
          </w:tcPr>
          <w:p w14:paraId="1C18C37B" w14:textId="3DDD6A4C" w:rsidR="007F34A1" w:rsidRDefault="007F34A1" w:rsidP="00FA7F1F">
            <w:pPr>
              <w:pStyle w:val="Box"/>
            </w:pPr>
            <w:r>
              <w:t>There are no district/co</w:t>
            </w:r>
            <w:r w:rsidR="002D3F26">
              <w:t>unty courts in Tasmania, the Australian Capital Territory</w:t>
            </w:r>
            <w:r>
              <w:t xml:space="preserve"> or the Northern Territory.</w:t>
            </w:r>
          </w:p>
        </w:tc>
      </w:tr>
      <w:tr w:rsidR="007F34A1" w14:paraId="16C41D37" w14:textId="77777777" w:rsidTr="00FA7F1F">
        <w:tc>
          <w:tcPr>
            <w:tcW w:w="5000" w:type="pct"/>
            <w:tcBorders>
              <w:top w:val="nil"/>
              <w:left w:val="nil"/>
              <w:bottom w:val="nil"/>
              <w:right w:val="nil"/>
            </w:tcBorders>
            <w:shd w:val="clear" w:color="auto" w:fill="F2F2F2"/>
          </w:tcPr>
          <w:p w14:paraId="55757987" w14:textId="326B4D7C" w:rsidR="007F34A1" w:rsidRPr="00050E01" w:rsidRDefault="00050E01" w:rsidP="00FA7F1F">
            <w:pPr>
              <w:pStyle w:val="Box"/>
              <w:rPr>
                <w:b/>
              </w:rPr>
            </w:pPr>
            <w:r>
              <w:rPr>
                <w:b/>
              </w:rPr>
              <w:t>Criminal courts</w:t>
            </w:r>
          </w:p>
        </w:tc>
      </w:tr>
      <w:tr w:rsidR="007F34A1" w14:paraId="7FE8D166" w14:textId="77777777" w:rsidTr="00FA7F1F">
        <w:tc>
          <w:tcPr>
            <w:tcW w:w="5000" w:type="pct"/>
            <w:tcBorders>
              <w:top w:val="nil"/>
              <w:left w:val="nil"/>
              <w:bottom w:val="nil"/>
              <w:right w:val="nil"/>
            </w:tcBorders>
            <w:shd w:val="clear" w:color="auto" w:fill="F2F2F2"/>
          </w:tcPr>
          <w:p w14:paraId="5DA0E11C" w14:textId="6272CBCC" w:rsidR="007F34A1" w:rsidRDefault="00050E01" w:rsidP="00FA7F1F">
            <w:pPr>
              <w:pStyle w:val="Box"/>
            </w:pPr>
            <w:r w:rsidRPr="00050E01">
              <w:t>The district/county courts have jurisdiction over indictable criminal matters (such as rape and armed robbery) except murder and treason, but differences exist among the states that have a district/county court. For example, appeals from magistrates' courts are heard in the district/county courts in N</w:t>
            </w:r>
            <w:r w:rsidR="003376FD">
              <w:t xml:space="preserve">ew </w:t>
            </w:r>
            <w:r w:rsidRPr="00050E01">
              <w:t>S</w:t>
            </w:r>
            <w:r w:rsidR="003376FD">
              <w:t xml:space="preserve">outh </w:t>
            </w:r>
            <w:r w:rsidRPr="00050E01">
              <w:t>W</w:t>
            </w:r>
            <w:r w:rsidR="003376FD">
              <w:t>ales</w:t>
            </w:r>
            <w:r w:rsidRPr="00050E01">
              <w:t>, Victor</w:t>
            </w:r>
            <w:r w:rsidR="003376FD">
              <w:t>ia and Queensland, but not in Western Australia</w:t>
            </w:r>
            <w:r w:rsidRPr="00050E01">
              <w:t xml:space="preserve"> and S</w:t>
            </w:r>
            <w:r w:rsidR="003376FD">
              <w:t xml:space="preserve">outh </w:t>
            </w:r>
            <w:r w:rsidRPr="00050E01">
              <w:t>A</w:t>
            </w:r>
            <w:r w:rsidR="003376FD">
              <w:t>ustralia</w:t>
            </w:r>
            <w:r w:rsidRPr="00050E01">
              <w:t>.</w:t>
            </w:r>
            <w:r w:rsidR="009A66F7">
              <w:t xml:space="preserve"> In the latter two states, all appeals from the magistrates’ court (criminal) go directly to the Supreme court.</w:t>
            </w:r>
            <w:r w:rsidRPr="00050E01">
              <w:t xml:space="preserve"> Briefly, the jurisdictions of the district/county courts are:</w:t>
            </w:r>
          </w:p>
        </w:tc>
      </w:tr>
      <w:tr w:rsidR="007F34A1" w14:paraId="75A5571B" w14:textId="77777777" w:rsidTr="00FA7F1F">
        <w:tc>
          <w:tcPr>
            <w:tcW w:w="5000" w:type="pct"/>
            <w:tcBorders>
              <w:top w:val="nil"/>
              <w:left w:val="nil"/>
              <w:bottom w:val="nil"/>
              <w:right w:val="nil"/>
            </w:tcBorders>
            <w:shd w:val="clear" w:color="auto" w:fill="F2F2F2"/>
          </w:tcPr>
          <w:p w14:paraId="670CEB22" w14:textId="685B53E1" w:rsidR="007F34A1" w:rsidRDefault="003376FD" w:rsidP="00FA7F1F">
            <w:pPr>
              <w:pStyle w:val="Box"/>
            </w:pPr>
            <w:r>
              <w:t>New South Wales: The</w:t>
            </w:r>
            <w:r w:rsidR="00050E01" w:rsidRPr="00050E01">
              <w:t xml:space="preserve"> District Court deals with most of the serious criminal cases that come bef</w:t>
            </w:r>
            <w:r w:rsidR="00D94D7E">
              <w:t>ore the courts</w:t>
            </w:r>
            <w:r w:rsidR="00050E01" w:rsidRPr="00050E01">
              <w:t>. It has responsibility for indictable criminal offences that are normally heard by a judge and jury, but on occasions by a judge alone. It does not deal with treason or murder.</w:t>
            </w:r>
          </w:p>
        </w:tc>
      </w:tr>
      <w:tr w:rsidR="007F34A1" w14:paraId="05C8B973" w14:textId="77777777" w:rsidTr="00FA7F1F">
        <w:tc>
          <w:tcPr>
            <w:tcW w:w="5000" w:type="pct"/>
            <w:tcBorders>
              <w:top w:val="nil"/>
              <w:left w:val="nil"/>
              <w:bottom w:val="nil"/>
              <w:right w:val="nil"/>
            </w:tcBorders>
            <w:shd w:val="clear" w:color="auto" w:fill="F2F2F2"/>
          </w:tcPr>
          <w:p w14:paraId="51DC26C8" w14:textId="1075CDD0" w:rsidR="007F34A1" w:rsidRDefault="00D94D7E" w:rsidP="00FA7F1F">
            <w:pPr>
              <w:pStyle w:val="Box"/>
            </w:pPr>
            <w:r>
              <w:t>Victoria: The</w:t>
            </w:r>
            <w:r w:rsidR="00050E01" w:rsidRPr="00050E01">
              <w:t xml:space="preserve"> County Court deals with all indictable offences, except the following which must be heard in the Supreme court: murder, attempted murder, child destruction, certain conspiracy charges, treason, and concealing an offence of treason. Examples of criminal offences heard in the County Court include drug trafficking, serious assaults, serious theft, rape and obtaining financial advantage by deception.</w:t>
            </w:r>
          </w:p>
        </w:tc>
      </w:tr>
      <w:tr w:rsidR="00050E01" w14:paraId="296FFA23" w14:textId="77777777" w:rsidTr="00FA7F1F">
        <w:tc>
          <w:tcPr>
            <w:tcW w:w="5000" w:type="pct"/>
            <w:tcBorders>
              <w:top w:val="nil"/>
              <w:left w:val="nil"/>
              <w:bottom w:val="nil"/>
              <w:right w:val="nil"/>
            </w:tcBorders>
            <w:shd w:val="clear" w:color="auto" w:fill="F2F2F2"/>
          </w:tcPr>
          <w:p w14:paraId="29367695" w14:textId="2EADB17B" w:rsidR="00050E01" w:rsidRPr="00AB24B2" w:rsidRDefault="00D94D7E" w:rsidP="00FA7F1F">
            <w:pPr>
              <w:pStyle w:val="Box"/>
            </w:pPr>
            <w:r w:rsidRPr="00AB24B2">
              <w:t xml:space="preserve">Queensland: The </w:t>
            </w:r>
            <w:r w:rsidR="00050E01" w:rsidRPr="00AB24B2">
              <w:t>District Court deals with more serious criminal offences than heard by the Magistrates' Court - for example, rape, armed robbery and fraud.</w:t>
            </w:r>
          </w:p>
        </w:tc>
      </w:tr>
      <w:tr w:rsidR="00050E01" w14:paraId="1B2CA730" w14:textId="77777777" w:rsidTr="00FA7F1F">
        <w:tc>
          <w:tcPr>
            <w:tcW w:w="5000" w:type="pct"/>
            <w:tcBorders>
              <w:top w:val="nil"/>
              <w:left w:val="nil"/>
              <w:bottom w:val="nil"/>
              <w:right w:val="nil"/>
            </w:tcBorders>
            <w:shd w:val="clear" w:color="auto" w:fill="F2F2F2"/>
          </w:tcPr>
          <w:p w14:paraId="5835989D" w14:textId="5094A328" w:rsidR="00050E01" w:rsidRPr="00AB24B2" w:rsidRDefault="00050E01" w:rsidP="00FD0561">
            <w:pPr>
              <w:pStyle w:val="Box"/>
            </w:pPr>
            <w:r w:rsidRPr="00AB24B2">
              <w:t>W</w:t>
            </w:r>
            <w:r w:rsidR="001B6E4F" w:rsidRPr="00AB24B2">
              <w:t xml:space="preserve">estern </w:t>
            </w:r>
            <w:r w:rsidRPr="00AB24B2">
              <w:t>A</w:t>
            </w:r>
            <w:r w:rsidR="001B6E4F" w:rsidRPr="00AB24B2">
              <w:t>ustralia</w:t>
            </w:r>
            <w:r w:rsidRPr="00AB24B2">
              <w:t>:</w:t>
            </w:r>
            <w:r w:rsidR="00164387">
              <w:t xml:space="preserve"> With the introduction of </w:t>
            </w:r>
            <w:r w:rsidR="00164387">
              <w:rPr>
                <w:i/>
                <w:iCs/>
              </w:rPr>
              <w:t>the Court Jurisdiction Legislation Amendment Act 2018,</w:t>
            </w:r>
            <w:r w:rsidR="00164387">
              <w:t xml:space="preserve"> which came into effect on 1 January 2019,  the District Court has had jurisdiction for all indictable offences (and therefore the ability to impose a range of life imprisonment sentences) except those related to Murder, Manslaughter, attempt to unlawfully kill, assisted suicide etc, and selected Commonwealth offences - these are dealt with by the Supreme Court.</w:t>
            </w:r>
          </w:p>
        </w:tc>
      </w:tr>
      <w:tr w:rsidR="00050E01" w14:paraId="029A73DA" w14:textId="77777777" w:rsidTr="00FA7F1F">
        <w:tc>
          <w:tcPr>
            <w:tcW w:w="5000" w:type="pct"/>
            <w:tcBorders>
              <w:top w:val="nil"/>
              <w:left w:val="nil"/>
              <w:bottom w:val="nil"/>
              <w:right w:val="nil"/>
            </w:tcBorders>
            <w:shd w:val="clear" w:color="auto" w:fill="F2F2F2"/>
          </w:tcPr>
          <w:p w14:paraId="26400F5F" w14:textId="59B9BF66" w:rsidR="00050E01" w:rsidRDefault="00050E01" w:rsidP="00D94D7E">
            <w:pPr>
              <w:pStyle w:val="Box"/>
            </w:pPr>
            <w:r w:rsidRPr="00050E01">
              <w:t>S</w:t>
            </w:r>
            <w:r w:rsidR="001B6E4F">
              <w:t xml:space="preserve">outh </w:t>
            </w:r>
            <w:r w:rsidRPr="00050E01">
              <w:t>A</w:t>
            </w:r>
            <w:r w:rsidR="001B6E4F">
              <w:t>ustralia</w:t>
            </w:r>
            <w:r w:rsidRPr="00050E01">
              <w:t>: The District Court is the principal trial court and has jurisdiction to try a charge of any offence except treason or murder or offences related to those charges. Almost all matters have been referred following a committal process in the Magistrates Court.</w:t>
            </w:r>
          </w:p>
        </w:tc>
      </w:tr>
      <w:tr w:rsidR="00050E01" w14:paraId="5920673E" w14:textId="77777777" w:rsidTr="00FA7F1F">
        <w:tc>
          <w:tcPr>
            <w:tcW w:w="5000" w:type="pct"/>
            <w:tcBorders>
              <w:top w:val="nil"/>
              <w:left w:val="nil"/>
              <w:bottom w:val="nil"/>
              <w:right w:val="nil"/>
            </w:tcBorders>
            <w:shd w:val="clear" w:color="auto" w:fill="F2F2F2"/>
          </w:tcPr>
          <w:p w14:paraId="13C71FEC" w14:textId="33EDF6C6" w:rsidR="00050E01" w:rsidRPr="00050E01" w:rsidRDefault="00050E01" w:rsidP="00FA7F1F">
            <w:pPr>
              <w:pStyle w:val="Box"/>
              <w:rPr>
                <w:b/>
              </w:rPr>
            </w:pPr>
            <w:r>
              <w:rPr>
                <w:b/>
              </w:rPr>
              <w:t>Civil courts</w:t>
            </w:r>
          </w:p>
        </w:tc>
      </w:tr>
      <w:tr w:rsidR="00050E01" w14:paraId="1FE31967" w14:textId="77777777" w:rsidTr="00FA7F1F">
        <w:tc>
          <w:tcPr>
            <w:tcW w:w="5000" w:type="pct"/>
            <w:tcBorders>
              <w:top w:val="nil"/>
              <w:left w:val="nil"/>
              <w:bottom w:val="nil"/>
              <w:right w:val="nil"/>
            </w:tcBorders>
            <w:shd w:val="clear" w:color="auto" w:fill="F2F2F2"/>
          </w:tcPr>
          <w:p w14:paraId="49E63744" w14:textId="5C6D7D82" w:rsidR="00050E01" w:rsidRDefault="00050E01" w:rsidP="00FA7F1F">
            <w:pPr>
              <w:pStyle w:val="Box"/>
            </w:pPr>
            <w:r w:rsidRPr="00050E01">
              <w:t>All district/county courts hear appeals and deal with the following types of cases:</w:t>
            </w:r>
          </w:p>
        </w:tc>
      </w:tr>
      <w:tr w:rsidR="00050E01" w14:paraId="5180F50C" w14:textId="77777777" w:rsidTr="00FA7F1F">
        <w:tc>
          <w:tcPr>
            <w:tcW w:w="5000" w:type="pct"/>
            <w:tcBorders>
              <w:top w:val="nil"/>
              <w:left w:val="nil"/>
              <w:bottom w:val="nil"/>
              <w:right w:val="nil"/>
            </w:tcBorders>
            <w:shd w:val="clear" w:color="auto" w:fill="F2F2F2"/>
          </w:tcPr>
          <w:p w14:paraId="7AC42308" w14:textId="15C0BEA5" w:rsidR="00050E01" w:rsidRDefault="0092792B" w:rsidP="00FA7F1F">
            <w:pPr>
              <w:pStyle w:val="Box"/>
            </w:pPr>
            <w:r>
              <w:t xml:space="preserve">New South </w:t>
            </w:r>
            <w:r w:rsidR="00050E01" w:rsidRPr="00050E01">
              <w:t>W</w:t>
            </w:r>
            <w:r>
              <w:t>ales</w:t>
            </w:r>
            <w:r w:rsidR="00050E01" w:rsidRPr="00050E01">
              <w:t xml:space="preserve">: claims up to $750 000 (or more if the </w:t>
            </w:r>
            <w:proofErr w:type="gramStart"/>
            <w:r w:rsidR="00050E01" w:rsidRPr="00050E01">
              <w:t>parties</w:t>
            </w:r>
            <w:proofErr w:type="gramEnd"/>
            <w:r w:rsidR="00050E01" w:rsidRPr="00050E01">
              <w:t xml:space="preserve"> consent) and has unlimited jurisdiction in motor accident injury claims.</w:t>
            </w:r>
          </w:p>
        </w:tc>
      </w:tr>
      <w:tr w:rsidR="00050E01" w14:paraId="3977D5A4" w14:textId="77777777" w:rsidTr="00FA7F1F">
        <w:tc>
          <w:tcPr>
            <w:tcW w:w="5000" w:type="pct"/>
            <w:tcBorders>
              <w:top w:val="nil"/>
              <w:left w:val="nil"/>
              <w:bottom w:val="nil"/>
              <w:right w:val="nil"/>
            </w:tcBorders>
            <w:shd w:val="clear" w:color="auto" w:fill="F2F2F2"/>
          </w:tcPr>
          <w:p w14:paraId="1BF24CC5" w14:textId="69F45C12" w:rsidR="00050E01" w:rsidRDefault="00050E01" w:rsidP="00C94CA0">
            <w:pPr>
              <w:pStyle w:val="Box"/>
            </w:pPr>
            <w:r w:rsidRPr="00050E01">
              <w:t xml:space="preserve">Victoria: appeals under the </w:t>
            </w:r>
            <w:r w:rsidR="00C94CA0">
              <w:t>Family Violence Protection</w:t>
            </w:r>
            <w:r w:rsidRPr="00050E01">
              <w:t xml:space="preserve"> Act </w:t>
            </w:r>
            <w:r w:rsidR="00C94CA0">
              <w:t>2008</w:t>
            </w:r>
            <w:r w:rsidRPr="00050E01">
              <w:t>, adoption matters and change-of-name applications. Has unlimited jurisdiction in both personal injury claims and other claims.</w:t>
            </w:r>
          </w:p>
        </w:tc>
      </w:tr>
      <w:tr w:rsidR="00050E01" w14:paraId="4A687E70" w14:textId="77777777" w:rsidTr="00FA7F1F">
        <w:tc>
          <w:tcPr>
            <w:tcW w:w="5000" w:type="pct"/>
            <w:tcBorders>
              <w:top w:val="nil"/>
              <w:left w:val="nil"/>
              <w:bottom w:val="nil"/>
              <w:right w:val="nil"/>
            </w:tcBorders>
            <w:shd w:val="clear" w:color="auto" w:fill="F2F2F2"/>
          </w:tcPr>
          <w:p w14:paraId="099C40A4" w14:textId="09F495A5" w:rsidR="00050E01" w:rsidRDefault="00050E01" w:rsidP="00050E01">
            <w:pPr>
              <w:pStyle w:val="Box"/>
            </w:pPr>
            <w:r w:rsidRPr="00050E01">
              <w:t>Queensland: claim</w:t>
            </w:r>
            <w:r>
              <w:t>s between $150 000 and $750 000.</w:t>
            </w:r>
          </w:p>
        </w:tc>
      </w:tr>
      <w:tr w:rsidR="00050E01" w14:paraId="1EF1ABE3" w14:textId="77777777" w:rsidTr="00FA7F1F">
        <w:tc>
          <w:tcPr>
            <w:tcW w:w="5000" w:type="pct"/>
            <w:tcBorders>
              <w:top w:val="nil"/>
              <w:left w:val="nil"/>
              <w:bottom w:val="nil"/>
              <w:right w:val="nil"/>
            </w:tcBorders>
            <w:shd w:val="clear" w:color="auto" w:fill="F2F2F2"/>
          </w:tcPr>
          <w:p w14:paraId="69D4ACAF" w14:textId="2364ED76" w:rsidR="00050E01" w:rsidRPr="00050E01" w:rsidRDefault="001B6E4F" w:rsidP="00050E01">
            <w:pPr>
              <w:pStyle w:val="Box"/>
            </w:pPr>
            <w:r w:rsidRPr="00050E01">
              <w:t>W</w:t>
            </w:r>
            <w:r>
              <w:t xml:space="preserve">estern </w:t>
            </w:r>
            <w:r w:rsidRPr="00050E01">
              <w:t>A</w:t>
            </w:r>
            <w:r>
              <w:t>ustralia</w:t>
            </w:r>
            <w:r w:rsidR="00050E01" w:rsidRPr="00050E01">
              <w:t>: claims up to $750 000 and unlimited claims for personal injuries and has exclusive jurisdiction for motor accident injury claims.</w:t>
            </w:r>
          </w:p>
        </w:tc>
      </w:tr>
      <w:tr w:rsidR="00050E01" w14:paraId="3A94E5B9" w14:textId="77777777" w:rsidTr="00FA7F1F">
        <w:tc>
          <w:tcPr>
            <w:tcW w:w="5000" w:type="pct"/>
            <w:tcBorders>
              <w:top w:val="nil"/>
              <w:left w:val="nil"/>
              <w:bottom w:val="nil"/>
              <w:right w:val="nil"/>
            </w:tcBorders>
            <w:shd w:val="clear" w:color="auto" w:fill="F2F2F2"/>
          </w:tcPr>
          <w:p w14:paraId="3AFA978E" w14:textId="26AAA045" w:rsidR="00050E01" w:rsidRPr="00050E01" w:rsidRDefault="001B6E4F" w:rsidP="00FA7F1F">
            <w:pPr>
              <w:pStyle w:val="Box"/>
            </w:pPr>
            <w:r w:rsidRPr="00050E01">
              <w:t>S</w:t>
            </w:r>
            <w:r>
              <w:t xml:space="preserve">outh </w:t>
            </w:r>
            <w:r w:rsidRPr="00050E01">
              <w:t>A</w:t>
            </w:r>
            <w:r>
              <w:t>ustralia</w:t>
            </w:r>
            <w:r w:rsidR="00050E01" w:rsidRPr="00050E01">
              <w:t>: unlimited claims for general and personal injury matters.</w:t>
            </w:r>
          </w:p>
        </w:tc>
      </w:tr>
      <w:tr w:rsidR="007F34A1" w14:paraId="6CA1652A" w14:textId="77777777" w:rsidTr="00FA7F1F">
        <w:tc>
          <w:tcPr>
            <w:tcW w:w="5000" w:type="pct"/>
            <w:tcBorders>
              <w:top w:val="nil"/>
              <w:left w:val="nil"/>
              <w:bottom w:val="nil"/>
              <w:right w:val="nil"/>
            </w:tcBorders>
            <w:shd w:val="clear" w:color="auto" w:fill="F2F2F2"/>
          </w:tcPr>
          <w:p w14:paraId="6CBEBE8F" w14:textId="1CE90446" w:rsidR="007F34A1" w:rsidRDefault="00050E01" w:rsidP="00FA7F1F">
            <w:pPr>
              <w:pStyle w:val="BoxSource"/>
            </w:pPr>
            <w:r>
              <w:rPr>
                <w:i/>
              </w:rPr>
              <w:t>Source</w:t>
            </w:r>
            <w:r w:rsidRPr="00167F06">
              <w:t xml:space="preserve">: </w:t>
            </w:r>
            <w:r>
              <w:t>Australian, State and Territory court administration authorities and departments.</w:t>
            </w:r>
          </w:p>
        </w:tc>
      </w:tr>
      <w:tr w:rsidR="007F34A1" w14:paraId="1872B050" w14:textId="77777777" w:rsidTr="00FA7F1F">
        <w:tc>
          <w:tcPr>
            <w:tcW w:w="5000" w:type="pct"/>
            <w:tcBorders>
              <w:top w:val="nil"/>
              <w:left w:val="nil"/>
              <w:bottom w:val="single" w:sz="6" w:space="0" w:color="78A22F"/>
              <w:right w:val="nil"/>
            </w:tcBorders>
            <w:shd w:val="clear" w:color="auto" w:fill="F2F2F2"/>
          </w:tcPr>
          <w:p w14:paraId="06B2E7C9" w14:textId="77777777" w:rsidR="007F34A1" w:rsidRDefault="007F34A1">
            <w:pPr>
              <w:pStyle w:val="Box"/>
              <w:spacing w:before="0" w:line="120" w:lineRule="exact"/>
            </w:pPr>
          </w:p>
        </w:tc>
      </w:tr>
      <w:tr w:rsidR="007F34A1" w:rsidRPr="000863A5" w14:paraId="4A2A4BD5" w14:textId="77777777" w:rsidTr="00FA7F1F">
        <w:tc>
          <w:tcPr>
            <w:tcW w:w="5000" w:type="pct"/>
            <w:tcBorders>
              <w:top w:val="single" w:sz="6" w:space="0" w:color="78A22F"/>
              <w:left w:val="nil"/>
              <w:bottom w:val="nil"/>
              <w:right w:val="nil"/>
            </w:tcBorders>
          </w:tcPr>
          <w:p w14:paraId="02E29993" w14:textId="71D35021" w:rsidR="007F34A1" w:rsidRPr="00626D32" w:rsidRDefault="007F34A1" w:rsidP="00FA7F1F">
            <w:pPr>
              <w:pStyle w:val="BoxSpaceBelow"/>
            </w:pPr>
          </w:p>
        </w:tc>
      </w:tr>
    </w:tbl>
    <w:p w14:paraId="065AAD0C" w14:textId="52B5E7F7" w:rsidR="009D1559" w:rsidRDefault="009D155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D1559" w14:paraId="1B0A3AD4" w14:textId="77777777" w:rsidTr="00FA7F1F">
        <w:trPr>
          <w:tblHeader/>
        </w:trPr>
        <w:tc>
          <w:tcPr>
            <w:tcW w:w="5000" w:type="pct"/>
            <w:tcBorders>
              <w:top w:val="single" w:sz="6" w:space="0" w:color="78A22F"/>
              <w:left w:val="nil"/>
              <w:bottom w:val="nil"/>
              <w:right w:val="nil"/>
            </w:tcBorders>
            <w:shd w:val="clear" w:color="auto" w:fill="F2F2F2"/>
          </w:tcPr>
          <w:p w14:paraId="5FAD6BB7" w14:textId="35B1D2B2" w:rsidR="009D1559" w:rsidRDefault="009D1559">
            <w:pPr>
              <w:pStyle w:val="BoxTitle"/>
            </w:pPr>
            <w:r>
              <w:rPr>
                <w:b w:val="0"/>
              </w:rPr>
              <w:t>Box 7.</w:t>
            </w:r>
            <w:r w:rsidR="00F57240">
              <w:rPr>
                <w:b w:val="0"/>
                <w:noProof/>
              </w:rPr>
              <w:t>3</w:t>
            </w:r>
            <w:r>
              <w:tab/>
              <w:t>Magistrates’ court jurisdictions across states and territories</w:t>
            </w:r>
          </w:p>
        </w:tc>
      </w:tr>
      <w:tr w:rsidR="009D1559" w14:paraId="21781AE1" w14:textId="77777777" w:rsidTr="00FA7F1F">
        <w:tc>
          <w:tcPr>
            <w:tcW w:w="5000" w:type="pct"/>
            <w:tcBorders>
              <w:top w:val="nil"/>
              <w:left w:val="nil"/>
              <w:bottom w:val="nil"/>
              <w:right w:val="nil"/>
            </w:tcBorders>
            <w:shd w:val="clear" w:color="auto" w:fill="F2F2F2"/>
          </w:tcPr>
          <w:p w14:paraId="727F8757" w14:textId="032487FD" w:rsidR="009D1559" w:rsidRPr="009D1559" w:rsidRDefault="009D1559" w:rsidP="00FA7F1F">
            <w:pPr>
              <w:pStyle w:val="Box"/>
              <w:rPr>
                <w:b/>
              </w:rPr>
            </w:pPr>
            <w:r>
              <w:rPr>
                <w:b/>
              </w:rPr>
              <w:t>Criminal courts</w:t>
            </w:r>
          </w:p>
        </w:tc>
      </w:tr>
      <w:tr w:rsidR="009D1559" w14:paraId="25703FB3" w14:textId="77777777" w:rsidTr="00FA7F1F">
        <w:tc>
          <w:tcPr>
            <w:tcW w:w="5000" w:type="pct"/>
            <w:tcBorders>
              <w:top w:val="nil"/>
              <w:left w:val="nil"/>
              <w:bottom w:val="nil"/>
              <w:right w:val="nil"/>
            </w:tcBorders>
            <w:shd w:val="clear" w:color="auto" w:fill="F2F2F2"/>
          </w:tcPr>
          <w:p w14:paraId="289CE0FE" w14:textId="38B7524E" w:rsidR="009D1559" w:rsidRDefault="002037BF" w:rsidP="00FA7F1F">
            <w:pPr>
              <w:pStyle w:val="Box"/>
            </w:pPr>
            <w:r>
              <w:t xml:space="preserve">New South </w:t>
            </w:r>
            <w:r w:rsidR="009D1559" w:rsidRPr="009D1559">
              <w:t>W</w:t>
            </w:r>
            <w:r>
              <w:t>ales</w:t>
            </w:r>
            <w:r w:rsidR="009D1559" w:rsidRPr="009D1559">
              <w:t>: deals summarily with matters with a maximum penalty of up to two years' imprisonment for a single offence, and up to five years' imprisonment for multiple offences, including some indictable offences.</w:t>
            </w:r>
          </w:p>
        </w:tc>
      </w:tr>
      <w:tr w:rsidR="009D1559" w14:paraId="72BCC9FB" w14:textId="77777777" w:rsidTr="00FA7F1F">
        <w:tc>
          <w:tcPr>
            <w:tcW w:w="5000" w:type="pct"/>
            <w:tcBorders>
              <w:top w:val="nil"/>
              <w:left w:val="nil"/>
              <w:bottom w:val="nil"/>
              <w:right w:val="nil"/>
            </w:tcBorders>
            <w:shd w:val="clear" w:color="auto" w:fill="F2F2F2"/>
          </w:tcPr>
          <w:p w14:paraId="1E1DA7D8" w14:textId="3CB880B7" w:rsidR="009D1559" w:rsidRDefault="009D1559" w:rsidP="00FA7F1F">
            <w:pPr>
              <w:pStyle w:val="Box"/>
            </w:pPr>
            <w:r w:rsidRPr="009D1559">
              <w:t>Victoria: deals with summary offences and determines some indictable offences summarily.</w:t>
            </w:r>
          </w:p>
        </w:tc>
      </w:tr>
      <w:tr w:rsidR="009D1559" w14:paraId="58CE7F9B" w14:textId="77777777" w:rsidTr="00FA7F1F">
        <w:tc>
          <w:tcPr>
            <w:tcW w:w="5000" w:type="pct"/>
            <w:tcBorders>
              <w:top w:val="nil"/>
              <w:left w:val="nil"/>
              <w:bottom w:val="nil"/>
              <w:right w:val="nil"/>
            </w:tcBorders>
            <w:shd w:val="clear" w:color="auto" w:fill="F2F2F2"/>
          </w:tcPr>
          <w:p w14:paraId="69ED89DB" w14:textId="68D109D6" w:rsidR="009D1559" w:rsidRDefault="009D1559" w:rsidP="00FA7F1F">
            <w:pPr>
              <w:pStyle w:val="Box"/>
            </w:pPr>
            <w:r w:rsidRPr="009D1559">
              <w:t>Queensland: deals with summary offences and determines summarily some indictable matters where the penalty imposed by this jurisdiction may be up to three years' imprisonment.</w:t>
            </w:r>
          </w:p>
        </w:tc>
      </w:tr>
      <w:tr w:rsidR="009D1559" w14:paraId="639AB6C1" w14:textId="77777777" w:rsidTr="00FA7F1F">
        <w:tc>
          <w:tcPr>
            <w:tcW w:w="5000" w:type="pct"/>
            <w:tcBorders>
              <w:top w:val="nil"/>
              <w:left w:val="nil"/>
              <w:bottom w:val="nil"/>
              <w:right w:val="nil"/>
            </w:tcBorders>
            <w:shd w:val="clear" w:color="auto" w:fill="F2F2F2"/>
          </w:tcPr>
          <w:p w14:paraId="44D612C4" w14:textId="64BA82E8" w:rsidR="009D1559" w:rsidRDefault="004228CB" w:rsidP="00FA7F1F">
            <w:pPr>
              <w:pStyle w:val="Box"/>
            </w:pPr>
            <w:r w:rsidRPr="00050E01">
              <w:t>W</w:t>
            </w:r>
            <w:r>
              <w:t xml:space="preserve">estern </w:t>
            </w:r>
            <w:r w:rsidRPr="00050E01">
              <w:t>A</w:t>
            </w:r>
            <w:r>
              <w:t>ustralia</w:t>
            </w:r>
            <w:r w:rsidR="009D1559" w:rsidRPr="009D1559">
              <w:t>: deals with summary offences and determines some indictable offences summarily.</w:t>
            </w:r>
          </w:p>
        </w:tc>
      </w:tr>
      <w:tr w:rsidR="009D1559" w14:paraId="59C1418F" w14:textId="77777777" w:rsidTr="00FA7F1F">
        <w:tc>
          <w:tcPr>
            <w:tcW w:w="5000" w:type="pct"/>
            <w:tcBorders>
              <w:top w:val="nil"/>
              <w:left w:val="nil"/>
              <w:bottom w:val="nil"/>
              <w:right w:val="nil"/>
            </w:tcBorders>
            <w:shd w:val="clear" w:color="auto" w:fill="F2F2F2"/>
          </w:tcPr>
          <w:p w14:paraId="636FF971" w14:textId="38D123B4" w:rsidR="009D1559" w:rsidRDefault="004228CB" w:rsidP="00FA7F1F">
            <w:pPr>
              <w:pStyle w:val="Box"/>
            </w:pPr>
            <w:r w:rsidRPr="00050E01">
              <w:t>S</w:t>
            </w:r>
            <w:r>
              <w:t xml:space="preserve">outh </w:t>
            </w:r>
            <w:r w:rsidRPr="00050E01">
              <w:t>A</w:t>
            </w:r>
            <w:r>
              <w:t>ustralia</w:t>
            </w:r>
            <w:r w:rsidR="009D1559" w:rsidRPr="009D1559">
              <w:t xml:space="preserve">: deals with matters with a maximum penalty of up to five years imprisonment for a single offence and 10 years imprisonment for multiple offences. Magistrates </w:t>
            </w:r>
            <w:proofErr w:type="gramStart"/>
            <w:r w:rsidR="009D1559" w:rsidRPr="009D1559">
              <w:t>are able to</w:t>
            </w:r>
            <w:proofErr w:type="gramEnd"/>
            <w:r w:rsidR="009D1559" w:rsidRPr="009D1559">
              <w:t xml:space="preserve"> sentence a defendant in relation to certain major indictable offences where the Director of Public Prosecutions</w:t>
            </w:r>
            <w:r w:rsidR="00D751B8">
              <w:t xml:space="preserve"> (DPP)</w:t>
            </w:r>
            <w:r w:rsidR="009D1559" w:rsidRPr="009D1559">
              <w:t xml:space="preserve"> and defence agree to the defendant being sentenced in the Magistrates Court.</w:t>
            </w:r>
          </w:p>
        </w:tc>
      </w:tr>
      <w:tr w:rsidR="009D1559" w14:paraId="61B5819D" w14:textId="77777777" w:rsidTr="00FA7F1F">
        <w:tc>
          <w:tcPr>
            <w:tcW w:w="5000" w:type="pct"/>
            <w:tcBorders>
              <w:top w:val="nil"/>
              <w:left w:val="nil"/>
              <w:bottom w:val="nil"/>
              <w:right w:val="nil"/>
            </w:tcBorders>
            <w:shd w:val="clear" w:color="auto" w:fill="F2F2F2"/>
          </w:tcPr>
          <w:p w14:paraId="61B46C8F" w14:textId="186198E7" w:rsidR="009D1559" w:rsidRDefault="009D1559" w:rsidP="009D1559">
            <w:pPr>
              <w:pStyle w:val="Box"/>
            </w:pPr>
            <w:r w:rsidRPr="009D1559">
              <w:t xml:space="preserve">Tasmania: deals with matters with a maximum penalty of up to two years imprisonment for a single offence and up to five years imprisonment for </w:t>
            </w:r>
            <w:r w:rsidR="00714705" w:rsidRPr="00154983">
              <w:t>a second or subsequent offence</w:t>
            </w:r>
            <w:r w:rsidRPr="009D1559">
              <w:t>. Also deals with some indictable offences summarily.</w:t>
            </w:r>
          </w:p>
        </w:tc>
      </w:tr>
      <w:tr w:rsidR="009D1559" w14:paraId="458788AA" w14:textId="77777777" w:rsidTr="00FA7F1F">
        <w:tc>
          <w:tcPr>
            <w:tcW w:w="5000" w:type="pct"/>
            <w:tcBorders>
              <w:top w:val="nil"/>
              <w:left w:val="nil"/>
              <w:bottom w:val="nil"/>
              <w:right w:val="nil"/>
            </w:tcBorders>
            <w:shd w:val="clear" w:color="auto" w:fill="F2F2F2"/>
          </w:tcPr>
          <w:p w14:paraId="576129A5" w14:textId="4DE023B9" w:rsidR="009D1559" w:rsidRDefault="002037BF" w:rsidP="00FA7F1F">
            <w:pPr>
              <w:pStyle w:val="Box"/>
            </w:pPr>
            <w:r>
              <w:t>Australian Capital Territory</w:t>
            </w:r>
            <w:r w:rsidR="009D1559" w:rsidRPr="009D1559">
              <w:t>: deals summarily with matters with a maximum penalty of up to two years imprisonment. With the DPP's consent, an offence punishable by imprisonment for longer than two years but up to five years. With a defendant's consent, matters with a maximum penalty of up to 14 years imprisonment where the offence relates to money or property (up to 10 years in other cases).</w:t>
            </w:r>
          </w:p>
        </w:tc>
      </w:tr>
      <w:tr w:rsidR="009D1559" w14:paraId="30394292" w14:textId="77777777" w:rsidTr="00FA7F1F">
        <w:tc>
          <w:tcPr>
            <w:tcW w:w="5000" w:type="pct"/>
            <w:tcBorders>
              <w:top w:val="nil"/>
              <w:left w:val="nil"/>
              <w:bottom w:val="nil"/>
              <w:right w:val="nil"/>
            </w:tcBorders>
            <w:shd w:val="clear" w:color="auto" w:fill="F2F2F2"/>
          </w:tcPr>
          <w:p w14:paraId="48E5BABA" w14:textId="5C796F7D" w:rsidR="009D1559" w:rsidRDefault="009D1559" w:rsidP="00FA7F1F">
            <w:pPr>
              <w:pStyle w:val="Box"/>
            </w:pPr>
            <w:r w:rsidRPr="009D1559">
              <w:t>N</w:t>
            </w:r>
            <w:r w:rsidR="004228CB">
              <w:t xml:space="preserve">orthern </w:t>
            </w:r>
            <w:r w:rsidRPr="009D1559">
              <w:t>T</w:t>
            </w:r>
            <w:r w:rsidR="004228CB">
              <w:t>erritory</w:t>
            </w:r>
            <w:r w:rsidRPr="009D1559">
              <w:t>: deals with some drug and fraud charges and matters with a maximum penalty of up to 10 years imprisonment (or 10</w:t>
            </w:r>
            <w:r w:rsidR="00D751B8">
              <w:t>–</w:t>
            </w:r>
            <w:r w:rsidRPr="009D1559">
              <w:t>14 years imprisonment if the accused consents).</w:t>
            </w:r>
          </w:p>
        </w:tc>
      </w:tr>
      <w:tr w:rsidR="009D1559" w14:paraId="4F54E3AD" w14:textId="77777777" w:rsidTr="00FA7F1F">
        <w:tc>
          <w:tcPr>
            <w:tcW w:w="5000" w:type="pct"/>
            <w:tcBorders>
              <w:top w:val="nil"/>
              <w:left w:val="nil"/>
              <w:bottom w:val="nil"/>
              <w:right w:val="nil"/>
            </w:tcBorders>
            <w:shd w:val="clear" w:color="auto" w:fill="F2F2F2"/>
          </w:tcPr>
          <w:p w14:paraId="2126248C" w14:textId="00F9D292" w:rsidR="009D1559" w:rsidRPr="009D1559" w:rsidRDefault="009D1559" w:rsidP="009D1559">
            <w:pPr>
              <w:pStyle w:val="Box"/>
              <w:rPr>
                <w:b/>
              </w:rPr>
            </w:pPr>
            <w:r>
              <w:rPr>
                <w:b/>
              </w:rPr>
              <w:t>Civil courts</w:t>
            </w:r>
          </w:p>
        </w:tc>
      </w:tr>
      <w:tr w:rsidR="009D1559" w14:paraId="0B31A184" w14:textId="77777777" w:rsidTr="00FA7F1F">
        <w:tc>
          <w:tcPr>
            <w:tcW w:w="5000" w:type="pct"/>
            <w:tcBorders>
              <w:top w:val="nil"/>
              <w:left w:val="nil"/>
              <w:bottom w:val="nil"/>
              <w:right w:val="nil"/>
            </w:tcBorders>
            <w:shd w:val="clear" w:color="auto" w:fill="F2F2F2"/>
          </w:tcPr>
          <w:p w14:paraId="0F6AB1BF" w14:textId="7BBE6879" w:rsidR="009D1559" w:rsidRDefault="002037BF" w:rsidP="00FA7F1F">
            <w:pPr>
              <w:pStyle w:val="Box"/>
            </w:pPr>
            <w:r>
              <w:t xml:space="preserve">New South </w:t>
            </w:r>
            <w:r w:rsidR="009803A5" w:rsidRPr="009803A5">
              <w:t>W</w:t>
            </w:r>
            <w:r>
              <w:t>ales</w:t>
            </w:r>
            <w:r w:rsidR="009803A5" w:rsidRPr="009803A5">
              <w:t xml:space="preserve">: deals with small claims up to $10 000 and general division claims </w:t>
            </w:r>
            <w:r>
              <w:t>up to $100 </w:t>
            </w:r>
            <w:r w:rsidR="009803A5" w:rsidRPr="009803A5">
              <w:t>000, as well as family law matters.</w:t>
            </w:r>
          </w:p>
        </w:tc>
      </w:tr>
      <w:tr w:rsidR="009D1559" w14:paraId="3ABFE761" w14:textId="77777777" w:rsidTr="00FA7F1F">
        <w:tc>
          <w:tcPr>
            <w:tcW w:w="5000" w:type="pct"/>
            <w:tcBorders>
              <w:top w:val="nil"/>
              <w:left w:val="nil"/>
              <w:bottom w:val="nil"/>
              <w:right w:val="nil"/>
            </w:tcBorders>
            <w:shd w:val="clear" w:color="auto" w:fill="F2F2F2"/>
          </w:tcPr>
          <w:p w14:paraId="53C153FD" w14:textId="44565798" w:rsidR="009D1559" w:rsidRDefault="009803A5" w:rsidP="00FA7F1F">
            <w:pPr>
              <w:pStyle w:val="Box"/>
            </w:pPr>
            <w:r w:rsidRPr="009803A5">
              <w:t xml:space="preserve">Victoria: deals with claims up to $100 000 for monetary damages, and applications for equitable relief and applications under the </w:t>
            </w:r>
            <w:r w:rsidRPr="001E59E3">
              <w:rPr>
                <w:i/>
              </w:rPr>
              <w:t>Family Violence Protection Act 2008</w:t>
            </w:r>
            <w:r w:rsidRPr="009803A5">
              <w:t xml:space="preserve"> and </w:t>
            </w:r>
            <w:r w:rsidRPr="001E59E3">
              <w:rPr>
                <w:i/>
              </w:rPr>
              <w:t>Personal Safety Intervention Orders Act 2010</w:t>
            </w:r>
            <w:r w:rsidRPr="009803A5">
              <w:t>.</w:t>
            </w:r>
          </w:p>
        </w:tc>
      </w:tr>
      <w:tr w:rsidR="009D1559" w14:paraId="5328B83A" w14:textId="77777777" w:rsidTr="00FA7F1F">
        <w:tc>
          <w:tcPr>
            <w:tcW w:w="5000" w:type="pct"/>
            <w:tcBorders>
              <w:top w:val="nil"/>
              <w:left w:val="nil"/>
              <w:bottom w:val="nil"/>
              <w:right w:val="nil"/>
            </w:tcBorders>
            <w:shd w:val="clear" w:color="auto" w:fill="F2F2F2"/>
          </w:tcPr>
          <w:p w14:paraId="29B3008C" w14:textId="27A1E4C5" w:rsidR="009D1559" w:rsidRDefault="009803A5" w:rsidP="00D751B8">
            <w:pPr>
              <w:pStyle w:val="Box"/>
            </w:pPr>
            <w:r w:rsidRPr="009803A5">
              <w:t>Queensland: deals with claims up to $150 000. Since 1 November 2010 minor civil disputes are lodged with the Queensland Civil and Administrative Tribunal (QCAT).</w:t>
            </w:r>
          </w:p>
        </w:tc>
      </w:tr>
      <w:tr w:rsidR="009803A5" w14:paraId="748A4047" w14:textId="77777777" w:rsidTr="00FA7F1F">
        <w:tc>
          <w:tcPr>
            <w:tcW w:w="5000" w:type="pct"/>
            <w:tcBorders>
              <w:top w:val="nil"/>
              <w:left w:val="nil"/>
              <w:bottom w:val="nil"/>
              <w:right w:val="nil"/>
            </w:tcBorders>
            <w:shd w:val="clear" w:color="auto" w:fill="F2F2F2"/>
          </w:tcPr>
          <w:p w14:paraId="7505A4A5" w14:textId="01EE5B43" w:rsidR="009803A5" w:rsidRDefault="004228CB" w:rsidP="00FA7F1F">
            <w:pPr>
              <w:pStyle w:val="Box"/>
            </w:pPr>
            <w:r w:rsidRPr="00050E01">
              <w:t>W</w:t>
            </w:r>
            <w:r>
              <w:t xml:space="preserve">estern </w:t>
            </w:r>
            <w:r w:rsidRPr="00050E01">
              <w:t>A</w:t>
            </w:r>
            <w:r>
              <w:t>ustralia</w:t>
            </w:r>
            <w:r w:rsidR="009803A5" w:rsidRPr="009803A5">
              <w:t>: deals with claims for debt recovery and damages (not personal injury) up to $75</w:t>
            </w:r>
            <w:r w:rsidR="00D751B8">
              <w:t> </w:t>
            </w:r>
            <w:r w:rsidR="009803A5" w:rsidRPr="009803A5">
              <w:t>000, minor cases up to $10 000, residential tenancy applications for monies up to $10 000, residential tenancy disputes and restraining orders.</w:t>
            </w:r>
          </w:p>
        </w:tc>
      </w:tr>
      <w:tr w:rsidR="009803A5" w14:paraId="48D6688A" w14:textId="77777777" w:rsidTr="00EA06E3">
        <w:tc>
          <w:tcPr>
            <w:tcW w:w="5000" w:type="pct"/>
            <w:tcBorders>
              <w:top w:val="nil"/>
              <w:left w:val="nil"/>
              <w:bottom w:val="nil"/>
              <w:right w:val="nil"/>
            </w:tcBorders>
            <w:shd w:val="clear" w:color="auto" w:fill="F2F2F2"/>
          </w:tcPr>
          <w:p w14:paraId="47DB72F8" w14:textId="2AFDAD5E" w:rsidR="009803A5" w:rsidRDefault="004228CB" w:rsidP="00CE3859">
            <w:pPr>
              <w:pStyle w:val="Box"/>
              <w:keepNext w:val="0"/>
            </w:pPr>
            <w:r w:rsidRPr="00050E01">
              <w:t>S</w:t>
            </w:r>
            <w:r>
              <w:t xml:space="preserve">outh </w:t>
            </w:r>
            <w:r w:rsidRPr="00050E01">
              <w:t>A</w:t>
            </w:r>
            <w:r>
              <w:t>ustralia</w:t>
            </w:r>
            <w:r w:rsidR="009803A5" w:rsidRPr="009803A5">
              <w:t>: [from 1 August 2016] deals with minor civil claims up to $12 000, and all other claims including commercial cases and personal injury claims up to $100 000.</w:t>
            </w:r>
          </w:p>
        </w:tc>
      </w:tr>
      <w:tr w:rsidR="009803A5" w14:paraId="2AC68AAC" w14:textId="77777777" w:rsidTr="00EA06E3">
        <w:tc>
          <w:tcPr>
            <w:tcW w:w="5000" w:type="pct"/>
            <w:tcBorders>
              <w:top w:val="nil"/>
              <w:left w:val="nil"/>
              <w:bottom w:val="single" w:sz="4" w:space="0" w:color="78A22F" w:themeColor="accent1"/>
              <w:right w:val="nil"/>
            </w:tcBorders>
            <w:shd w:val="clear" w:color="auto" w:fill="F2F2F2"/>
          </w:tcPr>
          <w:p w14:paraId="01DD8867" w14:textId="5DED30DB" w:rsidR="00CE3859" w:rsidRPr="00CE3859" w:rsidRDefault="00234E1E" w:rsidP="00CE3859">
            <w:pPr>
              <w:pStyle w:val="Box"/>
              <w:keepNext w:val="0"/>
              <w:spacing w:before="0"/>
              <w:jc w:val="right"/>
              <w:rPr>
                <w:sz w:val="18"/>
                <w:szCs w:val="18"/>
              </w:rPr>
            </w:pPr>
            <w:r w:rsidRPr="00CE3859">
              <w:rPr>
                <w:sz w:val="18"/>
                <w:szCs w:val="18"/>
              </w:rPr>
              <w:t xml:space="preserve"> </w:t>
            </w:r>
            <w:r w:rsidR="00CE3859" w:rsidRPr="00CE3859">
              <w:rPr>
                <w:sz w:val="18"/>
                <w:szCs w:val="18"/>
              </w:rPr>
              <w:t>(continued next page)</w:t>
            </w:r>
          </w:p>
        </w:tc>
      </w:tr>
      <w:tr w:rsidR="009D1559" w:rsidRPr="000863A5" w14:paraId="36910CF9" w14:textId="77777777" w:rsidTr="00EA06E3">
        <w:tc>
          <w:tcPr>
            <w:tcW w:w="5000" w:type="pct"/>
            <w:tcBorders>
              <w:top w:val="single" w:sz="4" w:space="0" w:color="78A22F" w:themeColor="accent1"/>
              <w:left w:val="nil"/>
              <w:bottom w:val="nil"/>
              <w:right w:val="nil"/>
            </w:tcBorders>
          </w:tcPr>
          <w:p w14:paraId="24DC6811" w14:textId="77777777" w:rsidR="00CE3859" w:rsidRPr="00626D32" w:rsidRDefault="00CE3859" w:rsidP="00CE3859">
            <w:pPr>
              <w:pStyle w:val="BoxSpaceBelow"/>
            </w:pPr>
          </w:p>
        </w:tc>
      </w:tr>
    </w:tbl>
    <w:p w14:paraId="343A513B" w14:textId="2790D0D0" w:rsidR="00CE3859" w:rsidRDefault="00CE385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E3859" w14:paraId="2579BBC6" w14:textId="77777777" w:rsidTr="00FA7F1F">
        <w:trPr>
          <w:tblHeader/>
        </w:trPr>
        <w:tc>
          <w:tcPr>
            <w:tcW w:w="5000" w:type="pct"/>
            <w:tcBorders>
              <w:top w:val="single" w:sz="6" w:space="0" w:color="78A22F"/>
              <w:left w:val="nil"/>
              <w:bottom w:val="nil"/>
              <w:right w:val="nil"/>
            </w:tcBorders>
            <w:shd w:val="clear" w:color="auto" w:fill="F2F2F2"/>
          </w:tcPr>
          <w:p w14:paraId="3C4B07DF" w14:textId="34D9CAD6" w:rsidR="00CE3859" w:rsidRDefault="00CE3859" w:rsidP="00CE3859">
            <w:pPr>
              <w:pStyle w:val="BoxTitle"/>
            </w:pPr>
            <w:r>
              <w:rPr>
                <w:b w:val="0"/>
              </w:rPr>
              <w:t>Box 7.3</w:t>
            </w:r>
            <w:r>
              <w:tab/>
            </w:r>
            <w:r w:rsidRPr="00403101">
              <w:rPr>
                <w:b w:val="0"/>
                <w:sz w:val="18"/>
                <w:szCs w:val="18"/>
              </w:rPr>
              <w:t>(continued)</w:t>
            </w:r>
          </w:p>
        </w:tc>
      </w:tr>
      <w:tr w:rsidR="00234E1E" w14:paraId="4EC56171" w14:textId="77777777" w:rsidTr="00FA7F1F">
        <w:tc>
          <w:tcPr>
            <w:tcW w:w="5000" w:type="pct"/>
            <w:tcBorders>
              <w:top w:val="nil"/>
              <w:left w:val="nil"/>
              <w:bottom w:val="nil"/>
              <w:right w:val="nil"/>
            </w:tcBorders>
            <w:shd w:val="clear" w:color="auto" w:fill="F2F2F2"/>
          </w:tcPr>
          <w:p w14:paraId="76C06A92" w14:textId="3AFA0546" w:rsidR="00234E1E" w:rsidRPr="004228CB" w:rsidRDefault="00234E1E" w:rsidP="00234E1E">
            <w:pPr>
              <w:pStyle w:val="Box"/>
              <w:keepNext w:val="0"/>
              <w:rPr>
                <w:rFonts w:cs="Arial"/>
                <w:bCs/>
              </w:rPr>
            </w:pPr>
            <w:r w:rsidRPr="009803A5">
              <w:t>Tasmania: deals with claims up to $50 000 (or more if both parties consent) for monetary damages and debt recovery, minor civil claims up to $5000, residential tenancy disputes, restraint orders and family violence orders.</w:t>
            </w:r>
          </w:p>
        </w:tc>
      </w:tr>
      <w:tr w:rsidR="00CE3859" w14:paraId="14DBD658" w14:textId="77777777" w:rsidTr="00FA7F1F">
        <w:tc>
          <w:tcPr>
            <w:tcW w:w="5000" w:type="pct"/>
            <w:tcBorders>
              <w:top w:val="nil"/>
              <w:left w:val="nil"/>
              <w:bottom w:val="nil"/>
              <w:right w:val="nil"/>
            </w:tcBorders>
            <w:shd w:val="clear" w:color="auto" w:fill="F2F2F2"/>
          </w:tcPr>
          <w:p w14:paraId="4A255287" w14:textId="302FBE5B" w:rsidR="00CE3859" w:rsidRDefault="002037BF" w:rsidP="00D751B8">
            <w:pPr>
              <w:pStyle w:val="Box"/>
              <w:keepNext w:val="0"/>
            </w:pPr>
            <w:r>
              <w:rPr>
                <w:rFonts w:cs="Arial"/>
                <w:bCs/>
              </w:rPr>
              <w:t>Australian Capital Territory</w:t>
            </w:r>
            <w:r w:rsidR="00CE3859">
              <w:rPr>
                <w:rFonts w:cs="Arial"/>
              </w:rPr>
              <w:t xml:space="preserve">: deals with claims between $25 000 and $250 000, </w:t>
            </w:r>
            <w:proofErr w:type="gramStart"/>
            <w:r w:rsidR="00CE3859">
              <w:rPr>
                <w:rFonts w:cs="Arial"/>
              </w:rPr>
              <w:t>victims</w:t>
            </w:r>
            <w:proofErr w:type="gramEnd"/>
            <w:r w:rsidR="00CE3859">
              <w:rPr>
                <w:rFonts w:cs="Arial"/>
              </w:rPr>
              <w:t xml:space="preserve"> financial assistance applications up to $50 000, matters under the </w:t>
            </w:r>
            <w:r w:rsidR="00CE3859">
              <w:rPr>
                <w:rFonts w:cs="Arial"/>
                <w:i/>
                <w:iCs/>
              </w:rPr>
              <w:t>Domestic Relationships Act 1994</w:t>
            </w:r>
            <w:r w:rsidR="00CE3859">
              <w:rPr>
                <w:rFonts w:cs="Arial"/>
              </w:rPr>
              <w:t xml:space="preserve"> and commercial leasing matters. </w:t>
            </w:r>
            <w:r w:rsidR="00D751B8">
              <w:rPr>
                <w:rFonts w:cs="Arial"/>
              </w:rPr>
              <w:t>U</w:t>
            </w:r>
            <w:r w:rsidR="00CE3859">
              <w:rPr>
                <w:rFonts w:cs="Arial"/>
              </w:rPr>
              <w:t>ntil December 2016, small claims up to $10</w:t>
            </w:r>
            <w:r>
              <w:rPr>
                <w:rFonts w:cs="Arial"/>
              </w:rPr>
              <w:t> </w:t>
            </w:r>
            <w:r w:rsidR="00CE3859">
              <w:rPr>
                <w:rFonts w:cs="Arial"/>
              </w:rPr>
              <w:t>000 were dealt with by the ACT Civil and Administrative Tribunal. From December 2016 the ACT Civil and Administrative Tribunal has</w:t>
            </w:r>
            <w:r>
              <w:rPr>
                <w:rFonts w:cs="Arial"/>
              </w:rPr>
              <w:t xml:space="preserve"> had</w:t>
            </w:r>
            <w:r w:rsidR="00CE3859">
              <w:rPr>
                <w:rFonts w:cs="Arial"/>
              </w:rPr>
              <w:t xml:space="preserve"> jurisdic</w:t>
            </w:r>
            <w:r>
              <w:rPr>
                <w:rFonts w:cs="Arial"/>
              </w:rPr>
              <w:t>tion for small claims up to $25 </w:t>
            </w:r>
            <w:r w:rsidR="00CE3859">
              <w:rPr>
                <w:rFonts w:cs="Arial"/>
              </w:rPr>
              <w:t>000.</w:t>
            </w:r>
          </w:p>
        </w:tc>
      </w:tr>
      <w:tr w:rsidR="00CE3859" w14:paraId="6FD7A5C5" w14:textId="77777777" w:rsidTr="00FA7F1F">
        <w:tc>
          <w:tcPr>
            <w:tcW w:w="5000" w:type="pct"/>
            <w:tcBorders>
              <w:top w:val="nil"/>
              <w:left w:val="nil"/>
              <w:bottom w:val="nil"/>
              <w:right w:val="nil"/>
            </w:tcBorders>
            <w:shd w:val="clear" w:color="auto" w:fill="F2F2F2"/>
          </w:tcPr>
          <w:p w14:paraId="769FE9C2" w14:textId="35F439AF" w:rsidR="00CE3859" w:rsidRDefault="00CE3859" w:rsidP="00CE3859">
            <w:pPr>
              <w:pStyle w:val="Box"/>
              <w:keepNext w:val="0"/>
            </w:pPr>
            <w:r>
              <w:t>Northern Territory: deals with claims up to $100 000 and workers compensation claims.</w:t>
            </w:r>
          </w:p>
        </w:tc>
      </w:tr>
      <w:tr w:rsidR="00CE3859" w14:paraId="23463EC9" w14:textId="77777777" w:rsidTr="00FA7F1F">
        <w:tc>
          <w:tcPr>
            <w:tcW w:w="5000" w:type="pct"/>
            <w:tcBorders>
              <w:top w:val="nil"/>
              <w:left w:val="nil"/>
              <w:bottom w:val="nil"/>
              <w:right w:val="nil"/>
            </w:tcBorders>
            <w:shd w:val="clear" w:color="auto" w:fill="F2F2F2"/>
          </w:tcPr>
          <w:p w14:paraId="50BAA484" w14:textId="16B3D44F" w:rsidR="00CE3859" w:rsidRDefault="00CE3859" w:rsidP="00CE3859">
            <w:pPr>
              <w:pStyle w:val="BoxSource"/>
              <w:keepLines w:val="0"/>
            </w:pPr>
            <w:r w:rsidRPr="00503502">
              <w:rPr>
                <w:i/>
                <w:szCs w:val="18"/>
              </w:rPr>
              <w:t>Source</w:t>
            </w:r>
            <w:r w:rsidRPr="00503502">
              <w:rPr>
                <w:szCs w:val="18"/>
              </w:rPr>
              <w:t>: Australian, State and Territory court administration authorities and departments.</w:t>
            </w:r>
          </w:p>
        </w:tc>
      </w:tr>
      <w:tr w:rsidR="00CE3859" w14:paraId="28224B24" w14:textId="77777777" w:rsidTr="00FA7F1F">
        <w:tc>
          <w:tcPr>
            <w:tcW w:w="5000" w:type="pct"/>
            <w:tcBorders>
              <w:top w:val="nil"/>
              <w:left w:val="nil"/>
              <w:bottom w:val="single" w:sz="6" w:space="0" w:color="78A22F"/>
              <w:right w:val="nil"/>
            </w:tcBorders>
            <w:shd w:val="clear" w:color="auto" w:fill="F2F2F2"/>
          </w:tcPr>
          <w:p w14:paraId="58E36EE6" w14:textId="77777777" w:rsidR="00CE3859" w:rsidRDefault="00CE3859" w:rsidP="00CE3859">
            <w:pPr>
              <w:pStyle w:val="Box"/>
              <w:keepNext w:val="0"/>
              <w:spacing w:before="0" w:line="120" w:lineRule="exact"/>
            </w:pPr>
          </w:p>
        </w:tc>
      </w:tr>
    </w:tbl>
    <w:p w14:paraId="69377219" w14:textId="77777777" w:rsidR="00CE3859" w:rsidRDefault="00CE385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86ABF" w14:paraId="143832BC" w14:textId="77777777" w:rsidTr="00FA7F1F">
        <w:trPr>
          <w:tblHeader/>
        </w:trPr>
        <w:tc>
          <w:tcPr>
            <w:tcW w:w="5000" w:type="pct"/>
            <w:tcBorders>
              <w:top w:val="single" w:sz="6" w:space="0" w:color="78A22F"/>
              <w:left w:val="nil"/>
              <w:bottom w:val="nil"/>
              <w:right w:val="nil"/>
            </w:tcBorders>
            <w:shd w:val="clear" w:color="auto" w:fill="F2F2F2"/>
          </w:tcPr>
          <w:p w14:paraId="03ACB8BF" w14:textId="56F5F58B" w:rsidR="00E86ABF" w:rsidRDefault="00E86ABF">
            <w:pPr>
              <w:pStyle w:val="BoxTitle"/>
            </w:pPr>
            <w:r>
              <w:rPr>
                <w:b w:val="0"/>
              </w:rPr>
              <w:t>Box 7.</w:t>
            </w:r>
            <w:r w:rsidR="00F57240">
              <w:rPr>
                <w:b w:val="0"/>
                <w:noProof/>
              </w:rPr>
              <w:t>4</w:t>
            </w:r>
            <w:r w:rsidR="00570224">
              <w:tab/>
              <w:t>State and territory court levels – specific elements</w:t>
            </w:r>
          </w:p>
        </w:tc>
      </w:tr>
      <w:tr w:rsidR="00E86ABF" w14:paraId="3457CBEA" w14:textId="77777777" w:rsidTr="00FA7F1F">
        <w:tc>
          <w:tcPr>
            <w:tcW w:w="5000" w:type="pct"/>
            <w:tcBorders>
              <w:top w:val="nil"/>
              <w:left w:val="nil"/>
              <w:bottom w:val="nil"/>
              <w:right w:val="nil"/>
            </w:tcBorders>
            <w:shd w:val="clear" w:color="auto" w:fill="F2F2F2"/>
          </w:tcPr>
          <w:p w14:paraId="4AFF0461" w14:textId="52DD6D26" w:rsidR="00E86ABF" w:rsidRDefault="00570224" w:rsidP="00570224">
            <w:pPr>
              <w:pStyle w:val="Box"/>
            </w:pPr>
            <w:r w:rsidRPr="00570224">
              <w:t>The data sets from the following areas are reported separately from their court level to improve comparability and understanding of the data presented.</w:t>
            </w:r>
          </w:p>
        </w:tc>
      </w:tr>
      <w:tr w:rsidR="00570224" w14:paraId="6A2500BF" w14:textId="77777777" w:rsidTr="00FA7F1F">
        <w:tc>
          <w:tcPr>
            <w:tcW w:w="5000" w:type="pct"/>
            <w:tcBorders>
              <w:top w:val="nil"/>
              <w:left w:val="nil"/>
              <w:bottom w:val="nil"/>
              <w:right w:val="nil"/>
            </w:tcBorders>
            <w:shd w:val="clear" w:color="auto" w:fill="F2F2F2"/>
          </w:tcPr>
          <w:p w14:paraId="1114E86B" w14:textId="6291734B" w:rsidR="00570224" w:rsidRPr="00570224" w:rsidRDefault="00570224" w:rsidP="00FA7F1F">
            <w:pPr>
              <w:pStyle w:val="Box"/>
              <w:rPr>
                <w:b/>
              </w:rPr>
            </w:pPr>
            <w:r>
              <w:rPr>
                <w:b/>
              </w:rPr>
              <w:t>Probate</w:t>
            </w:r>
          </w:p>
        </w:tc>
      </w:tr>
      <w:tr w:rsidR="00570224" w14:paraId="7757CF9A" w14:textId="77777777" w:rsidTr="00FA7F1F">
        <w:tc>
          <w:tcPr>
            <w:tcW w:w="5000" w:type="pct"/>
            <w:tcBorders>
              <w:top w:val="nil"/>
              <w:left w:val="nil"/>
              <w:bottom w:val="nil"/>
              <w:right w:val="nil"/>
            </w:tcBorders>
            <w:shd w:val="clear" w:color="auto" w:fill="F2F2F2"/>
          </w:tcPr>
          <w:p w14:paraId="7FA2B745" w14:textId="77777777" w:rsidR="00570224" w:rsidRDefault="00570224" w:rsidP="00570224">
            <w:pPr>
              <w:pStyle w:val="Box"/>
            </w:pPr>
            <w:r>
              <w:t>In all states and territories, probate issues are heard in supreme courts and encompass applications for the appointment of an executor or administrator to the estate of a deceased person. The two most common types of application are:</w:t>
            </w:r>
          </w:p>
          <w:p w14:paraId="491C410A" w14:textId="7B7E32CA" w:rsidR="00570224" w:rsidRDefault="00570224" w:rsidP="0023043F">
            <w:pPr>
              <w:pStyle w:val="BoxListBullet"/>
            </w:pPr>
            <w:r>
              <w:t>where the executor nominated by a will applies to have the will proved</w:t>
            </w:r>
          </w:p>
          <w:p w14:paraId="52A33289" w14:textId="336F6865" w:rsidR="00570224" w:rsidRDefault="00570224" w:rsidP="0023043F">
            <w:pPr>
              <w:pStyle w:val="BoxListBullet"/>
            </w:pPr>
            <w:r>
              <w:t>where the deceased was intestate (died without a will) and a person applies for letters of administration to be entitled to administer the estate.</w:t>
            </w:r>
          </w:p>
          <w:p w14:paraId="59D681A4" w14:textId="2C1A15DB" w:rsidR="00570224" w:rsidRPr="00570224" w:rsidRDefault="00570224" w:rsidP="00570224">
            <w:pPr>
              <w:pStyle w:val="Box"/>
              <w:rPr>
                <w:b/>
              </w:rPr>
            </w:pPr>
            <w:r>
              <w:rPr>
                <w:b/>
              </w:rPr>
              <w:t>Children’s courts</w:t>
            </w:r>
          </w:p>
          <w:p w14:paraId="5F843586" w14:textId="3A7FCBCD" w:rsidR="00570224" w:rsidRDefault="00570224" w:rsidP="00570224">
            <w:pPr>
              <w:pStyle w:val="Box"/>
            </w:pPr>
            <w:r>
              <w:t xml:space="preserve">Children's Courts are specialist jurisdiction courts which sit within </w:t>
            </w:r>
            <w:r w:rsidR="00D751B8">
              <w:t>m</w:t>
            </w:r>
            <w:r>
              <w:t>agistrates' courts. Depending on the State or Territory legislation, children's courts may hear both criminal and civil matters. These courts in the main deal with summary proceedings, however some jurisdictions have the power to also hear indictable matters.</w:t>
            </w:r>
          </w:p>
          <w:p w14:paraId="038F96FC" w14:textId="2B6157AC" w:rsidR="00570224" w:rsidRDefault="00570224" w:rsidP="00570224">
            <w:pPr>
              <w:pStyle w:val="Box"/>
            </w:pPr>
            <w:r>
              <w:t xml:space="preserve">Children's courts deal with complaints of offences alleged to have been committed by young people. In all states and territories, children aged under 10 years cannot be charged with a criminal offence. People aged under 18 years at the time the offence was committed are considered a child or juvenile in all states and territories. In February 2018, the </w:t>
            </w:r>
            <w:r w:rsidRPr="004C0C91">
              <w:rPr>
                <w:i/>
              </w:rPr>
              <w:t>Youth Justice and Other Legislation (Inclusion of 17-year-old Persons) Amendment Act 2016</w:t>
            </w:r>
            <w:r>
              <w:t xml:space="preserve"> commenced in Queensland, increasing the age that a person can be charged as an adult from 17 to 18 years. This </w:t>
            </w:r>
            <w:r w:rsidR="00D751B8">
              <w:t xml:space="preserve">brought </w:t>
            </w:r>
            <w:r>
              <w:t>Queensland in line with all other Australian states and territories.</w:t>
            </w:r>
          </w:p>
          <w:p w14:paraId="1538628C" w14:textId="47926FF0" w:rsidR="00570224" w:rsidRDefault="00570224" w:rsidP="00570224">
            <w:pPr>
              <w:pStyle w:val="Box"/>
            </w:pPr>
            <w:r>
              <w:t xml:space="preserve">Children's courts may also hear matters where a child has been seriously abused or neglected. In these instances, the court has jurisdiction to determine matters relating to the child's care and protection. </w:t>
            </w:r>
            <w:proofErr w:type="gramStart"/>
            <w:r>
              <w:t>The majority of</w:t>
            </w:r>
            <w:proofErr w:type="gramEnd"/>
            <w:r>
              <w:t xml:space="preserve"> matters heard in the civil jurisdiction of children's courts are care and protection orders</w:t>
            </w:r>
            <w:r w:rsidR="005F48E7">
              <w:t>,</w:t>
            </w:r>
            <w:r>
              <w:t xml:space="preserve"> although some jurisdictions also hear matters such as applications for intervention orders. In Tasmania, child protection matters are lodged in the criminal registry.</w:t>
            </w:r>
          </w:p>
          <w:p w14:paraId="2F2952E7" w14:textId="76236D32" w:rsidR="00570224" w:rsidRPr="00570224" w:rsidRDefault="00570224" w:rsidP="00570224">
            <w:pPr>
              <w:pStyle w:val="Box"/>
              <w:rPr>
                <w:b/>
              </w:rPr>
            </w:pPr>
            <w:r>
              <w:rPr>
                <w:b/>
              </w:rPr>
              <w:t>Coroners’ courts</w:t>
            </w:r>
          </w:p>
          <w:p w14:paraId="4F4DD100" w14:textId="31418368" w:rsidR="00570224" w:rsidRDefault="00570224" w:rsidP="005F48E7">
            <w:pPr>
              <w:pStyle w:val="Box"/>
            </w:pPr>
            <w:r w:rsidRPr="00570224">
              <w:t xml:space="preserve">In all states and territories, coroners' courts (which generally operate under the auspices of State and Territory magistrates' courts) inquire into the cause of sudden and/or unexpected reported deaths. The definition of a reported death differs across states and territories, but generally includes deaths for which the cause is violent, suspicious or unknown. All coronial jurisdictions investigate deaths in accordance with their respective Coroners Act. Each Act defines what constitutes a 'reportable death' to determine which deaths must be investigated by a </w:t>
            </w:r>
            <w:r w:rsidR="005F48E7">
              <w:t>c</w:t>
            </w:r>
            <w:r w:rsidRPr="00570224">
              <w:t xml:space="preserve">oroner. In some states and territories, the coroner has the power to commit for hearing, while in others the coroner is prohibited from making any finding of criminal or civil liability (but may refer the matter to the </w:t>
            </w:r>
            <w:r w:rsidR="005F48E7">
              <w:t>DPP</w:t>
            </w:r>
            <w:r w:rsidRPr="00570224">
              <w:t>). Suspicious fires are generally within the jurisdictio</w:t>
            </w:r>
            <w:r w:rsidR="00C43769">
              <w:t>n of the coroners' courts in New South Wales, Victoria, Tasmania and the Australian Capital Territory</w:t>
            </w:r>
            <w:r w:rsidRPr="00570224">
              <w:t xml:space="preserve"> but not in the other states and territories. In 2015-16</w:t>
            </w:r>
            <w:r w:rsidR="005F48E7">
              <w:t>,</w:t>
            </w:r>
            <w:r w:rsidRPr="00570224">
              <w:t xml:space="preserve"> the scope of fires captured by the ACT Coroners' Act changed which has resulted in a substantial reduction in the number of fires re</w:t>
            </w:r>
            <w:r w:rsidR="00C43769">
              <w:t xml:space="preserve">ported to the </w:t>
            </w:r>
            <w:r w:rsidR="005F48E7">
              <w:t>c</w:t>
            </w:r>
            <w:r w:rsidR="00C43769">
              <w:t>oroner in the Australian Capital Territory</w:t>
            </w:r>
            <w:r w:rsidRPr="00570224">
              <w:t>.</w:t>
            </w:r>
          </w:p>
        </w:tc>
      </w:tr>
      <w:tr w:rsidR="00570224" w14:paraId="37549D78" w14:textId="77777777" w:rsidTr="00FA7F1F">
        <w:tc>
          <w:tcPr>
            <w:tcW w:w="5000" w:type="pct"/>
            <w:tcBorders>
              <w:top w:val="nil"/>
              <w:left w:val="nil"/>
              <w:bottom w:val="nil"/>
              <w:right w:val="nil"/>
            </w:tcBorders>
            <w:shd w:val="clear" w:color="auto" w:fill="F2F2F2"/>
          </w:tcPr>
          <w:p w14:paraId="4B23CBF7" w14:textId="292ED206" w:rsidR="00570224" w:rsidRPr="00503502" w:rsidRDefault="008E5AE8" w:rsidP="00FA7F1F">
            <w:pPr>
              <w:pStyle w:val="Box"/>
              <w:rPr>
                <w:sz w:val="18"/>
                <w:szCs w:val="18"/>
              </w:rPr>
            </w:pPr>
            <w:r w:rsidRPr="00503502">
              <w:rPr>
                <w:i/>
                <w:sz w:val="18"/>
                <w:szCs w:val="18"/>
              </w:rPr>
              <w:t>Source</w:t>
            </w:r>
            <w:r w:rsidRPr="00503502">
              <w:rPr>
                <w:sz w:val="18"/>
                <w:szCs w:val="18"/>
              </w:rPr>
              <w:t>: Australian, State and Territory court administration authorities and departments.</w:t>
            </w:r>
          </w:p>
        </w:tc>
      </w:tr>
      <w:tr w:rsidR="00E86ABF" w14:paraId="2476981F" w14:textId="77777777" w:rsidTr="00FA7F1F">
        <w:tc>
          <w:tcPr>
            <w:tcW w:w="5000" w:type="pct"/>
            <w:tcBorders>
              <w:top w:val="nil"/>
              <w:left w:val="nil"/>
              <w:bottom w:val="single" w:sz="6" w:space="0" w:color="78A22F"/>
              <w:right w:val="nil"/>
            </w:tcBorders>
            <w:shd w:val="clear" w:color="auto" w:fill="F2F2F2"/>
          </w:tcPr>
          <w:p w14:paraId="45FD60C7" w14:textId="77777777" w:rsidR="00E86ABF" w:rsidRDefault="00E86ABF">
            <w:pPr>
              <w:pStyle w:val="Box"/>
              <w:spacing w:before="0" w:line="120" w:lineRule="exact"/>
            </w:pPr>
          </w:p>
        </w:tc>
      </w:tr>
      <w:tr w:rsidR="00E86ABF" w:rsidRPr="000863A5" w14:paraId="1FBDDC14" w14:textId="77777777" w:rsidTr="00FA7F1F">
        <w:tc>
          <w:tcPr>
            <w:tcW w:w="5000" w:type="pct"/>
            <w:tcBorders>
              <w:top w:val="single" w:sz="6" w:space="0" w:color="78A22F"/>
              <w:left w:val="nil"/>
              <w:bottom w:val="nil"/>
              <w:right w:val="nil"/>
            </w:tcBorders>
          </w:tcPr>
          <w:p w14:paraId="74B6B154" w14:textId="79A78C7B" w:rsidR="00E86ABF" w:rsidRPr="00626D32" w:rsidRDefault="00E86ABF" w:rsidP="00FA7F1F">
            <w:pPr>
              <w:pStyle w:val="BoxSpaceBelow"/>
            </w:pPr>
          </w:p>
        </w:tc>
      </w:tr>
    </w:tbl>
    <w:p w14:paraId="6881570E" w14:textId="2BC5517B" w:rsidR="007E02D2" w:rsidRDefault="007E02D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E02D2" w14:paraId="2115436E" w14:textId="77777777" w:rsidTr="00FA7F1F">
        <w:trPr>
          <w:tblHeader/>
        </w:trPr>
        <w:tc>
          <w:tcPr>
            <w:tcW w:w="5000" w:type="pct"/>
            <w:tcBorders>
              <w:top w:val="single" w:sz="6" w:space="0" w:color="78A22F"/>
              <w:left w:val="nil"/>
              <w:bottom w:val="nil"/>
              <w:right w:val="nil"/>
            </w:tcBorders>
            <w:shd w:val="clear" w:color="auto" w:fill="F2F2F2"/>
          </w:tcPr>
          <w:p w14:paraId="44F5B45E" w14:textId="248BB4D2" w:rsidR="007E02D2" w:rsidRDefault="007E02D2">
            <w:pPr>
              <w:pStyle w:val="BoxTitle"/>
            </w:pPr>
            <w:r>
              <w:rPr>
                <w:b w:val="0"/>
              </w:rPr>
              <w:t>Box 7.</w:t>
            </w:r>
            <w:r w:rsidR="00F57240">
              <w:rPr>
                <w:b w:val="0"/>
                <w:noProof/>
              </w:rPr>
              <w:t>5</w:t>
            </w:r>
            <w:r>
              <w:tab/>
              <w:t>Australian government courts</w:t>
            </w:r>
          </w:p>
        </w:tc>
      </w:tr>
      <w:tr w:rsidR="007E02D2" w14:paraId="768EDDAE" w14:textId="77777777" w:rsidTr="00FA7F1F">
        <w:tc>
          <w:tcPr>
            <w:tcW w:w="5000" w:type="pct"/>
            <w:tcBorders>
              <w:top w:val="nil"/>
              <w:left w:val="nil"/>
              <w:bottom w:val="nil"/>
              <w:right w:val="nil"/>
            </w:tcBorders>
            <w:shd w:val="clear" w:color="auto" w:fill="F2F2F2"/>
          </w:tcPr>
          <w:p w14:paraId="47C89F2A" w14:textId="7FF65CE7" w:rsidR="007E02D2" w:rsidRDefault="007E02D2" w:rsidP="007E02D2">
            <w:pPr>
              <w:pStyle w:val="Box"/>
            </w:pPr>
            <w:r w:rsidRPr="007E02D2">
              <w:t xml:space="preserve">The Federal Court of Australia, the Family Court of Australia and the Federal Circuit Court of Australia are, for the purposes of the </w:t>
            </w:r>
            <w:r w:rsidRPr="000931FE">
              <w:rPr>
                <w:i/>
              </w:rPr>
              <w:t>Public Governance, Performance and Accountability Act 2013</w:t>
            </w:r>
            <w:r w:rsidRPr="007E02D2">
              <w:t>, a single listed entity known as the Federal Court of Australia.</w:t>
            </w:r>
          </w:p>
        </w:tc>
      </w:tr>
      <w:tr w:rsidR="007E02D2" w14:paraId="644A432E" w14:textId="77777777" w:rsidTr="00FA7F1F">
        <w:tc>
          <w:tcPr>
            <w:tcW w:w="5000" w:type="pct"/>
            <w:tcBorders>
              <w:top w:val="nil"/>
              <w:left w:val="nil"/>
              <w:bottom w:val="nil"/>
              <w:right w:val="nil"/>
            </w:tcBorders>
            <w:shd w:val="clear" w:color="auto" w:fill="F2F2F2"/>
          </w:tcPr>
          <w:p w14:paraId="33307020" w14:textId="16936D13" w:rsidR="007E02D2" w:rsidRPr="007E02D2" w:rsidRDefault="007E02D2" w:rsidP="00FA7F1F">
            <w:pPr>
              <w:pStyle w:val="Box"/>
              <w:rPr>
                <w:b/>
              </w:rPr>
            </w:pPr>
            <w:r>
              <w:rPr>
                <w:b/>
              </w:rPr>
              <w:t>Federal Court of Australia</w:t>
            </w:r>
          </w:p>
        </w:tc>
      </w:tr>
      <w:tr w:rsidR="007E02D2" w14:paraId="3EBE6D73" w14:textId="77777777" w:rsidTr="00FA7F1F">
        <w:tc>
          <w:tcPr>
            <w:tcW w:w="5000" w:type="pct"/>
            <w:tcBorders>
              <w:top w:val="nil"/>
              <w:left w:val="nil"/>
              <w:bottom w:val="nil"/>
              <w:right w:val="nil"/>
            </w:tcBorders>
            <w:shd w:val="clear" w:color="auto" w:fill="F2F2F2"/>
          </w:tcPr>
          <w:p w14:paraId="0F54B1D3" w14:textId="0A5B5E00" w:rsidR="007E02D2" w:rsidRDefault="007E02D2" w:rsidP="007E02D2">
            <w:pPr>
              <w:pStyle w:val="Box"/>
            </w:pPr>
            <w:r>
              <w:t xml:space="preserve">The Federal Court has jurisdiction to hear and determine any civil matter arising under laws made by the Federal Parliament, as well as any matter arising under the Constitution or involving its interpretation. The Federal Court also has original jurisdiction in respect of specific subject matter conferred by </w:t>
            </w:r>
            <w:r w:rsidR="00BF5E1F" w:rsidRPr="00AB24B2">
              <w:t>240</w:t>
            </w:r>
            <w:r w:rsidR="00BF5E1F">
              <w:t xml:space="preserve"> </w:t>
            </w:r>
            <w:r>
              <w:t>statutes of the Federal Parliament.</w:t>
            </w:r>
            <w:r w:rsidR="005F48E7">
              <w:t xml:space="preserve"> It sits in all capital cities on a continuous basis and elsewhere in Australia from time to time.</w:t>
            </w:r>
          </w:p>
          <w:p w14:paraId="2F9FEE59" w14:textId="77777777" w:rsidR="007E02D2" w:rsidRDefault="007E02D2" w:rsidP="007E02D2">
            <w:pPr>
              <w:pStyle w:val="Box"/>
            </w:pPr>
            <w:r>
              <w:t xml:space="preserve">The Federal Court has a substantial and diverse appellate jurisdiction. It hears appeals from decisions of single judges of the Federal Court, decisions of the Federal Circuit Court in non-family law matters, decisions of the Supreme Court of Norfolk Island and </w:t>
            </w:r>
            <w:proofErr w:type="gramStart"/>
            <w:r>
              <w:t>particular decisions</w:t>
            </w:r>
            <w:proofErr w:type="gramEnd"/>
            <w:r>
              <w:t xml:space="preserve"> of State and Territory supreme courts exercising federal jurisdiction.</w:t>
            </w:r>
          </w:p>
          <w:p w14:paraId="70F694FC" w14:textId="0BC1145B" w:rsidR="007E02D2" w:rsidRDefault="007E02D2" w:rsidP="005F48E7">
            <w:pPr>
              <w:pStyle w:val="Box"/>
            </w:pPr>
            <w:r>
              <w:t xml:space="preserve">The Federal Court has the power to exercise indictable criminal jurisdiction for serious cartel offences under the </w:t>
            </w:r>
            <w:r w:rsidRPr="000931FE">
              <w:rPr>
                <w:i/>
              </w:rPr>
              <w:t>Competition and Consumer Act 2010</w:t>
            </w:r>
            <w:r>
              <w:t xml:space="preserve"> (formerly the Trade Practices Act). The Federal Court also exercises a very small summary criminal jurisdiction, but the cases are not separately counted. There are so few cases, these would not make a material difference by being included in the civil case totals.</w:t>
            </w:r>
          </w:p>
        </w:tc>
      </w:tr>
      <w:tr w:rsidR="007E02D2" w14:paraId="4791EB2E" w14:textId="77777777" w:rsidTr="00FA7F1F">
        <w:tc>
          <w:tcPr>
            <w:tcW w:w="5000" w:type="pct"/>
            <w:tcBorders>
              <w:top w:val="nil"/>
              <w:left w:val="nil"/>
              <w:bottom w:val="nil"/>
              <w:right w:val="nil"/>
            </w:tcBorders>
            <w:shd w:val="clear" w:color="auto" w:fill="F2F2F2"/>
          </w:tcPr>
          <w:p w14:paraId="195AB301" w14:textId="3F72F3E3" w:rsidR="007E02D2" w:rsidRPr="00D82F97" w:rsidRDefault="00D82F97" w:rsidP="00FA7F1F">
            <w:pPr>
              <w:pStyle w:val="Box"/>
              <w:rPr>
                <w:b/>
              </w:rPr>
            </w:pPr>
            <w:r>
              <w:rPr>
                <w:b/>
              </w:rPr>
              <w:t>Family Court of Australia and the Family Court of Western Australia</w:t>
            </w:r>
          </w:p>
        </w:tc>
      </w:tr>
      <w:tr w:rsidR="007E02D2" w14:paraId="6006D3C8" w14:textId="77777777" w:rsidTr="00FA7F1F">
        <w:tc>
          <w:tcPr>
            <w:tcW w:w="5000" w:type="pct"/>
            <w:tcBorders>
              <w:top w:val="nil"/>
              <w:left w:val="nil"/>
              <w:bottom w:val="nil"/>
              <w:right w:val="nil"/>
            </w:tcBorders>
            <w:shd w:val="clear" w:color="auto" w:fill="F2F2F2"/>
          </w:tcPr>
          <w:p w14:paraId="1FBAE599" w14:textId="25C7FDE9" w:rsidR="007E02D2" w:rsidRDefault="00D82F97">
            <w:pPr>
              <w:pStyle w:val="Box"/>
            </w:pPr>
            <w:r>
              <w:t>The Family Court of Australia has jurisdiction in all states and territories except Western Australia (which has its own family court). It has jurisdiction to deal with matrimonial cases and associated responsibilities, including divorce proceedings</w:t>
            </w:r>
            <w:r w:rsidR="005F48E7">
              <w:t xml:space="preserve"> (noting that under direction, almost all divorce applications (except in WA) are lodged with the Federal Circuit Court)</w:t>
            </w:r>
            <w:r>
              <w:t xml:space="preserve">, financial issues and children’s matters such as who the children will live with, spend time with and communicate with, as well as other specific issues relating to parental responsibilities. It can also deal with ex nuptial cases involving children’s </w:t>
            </w:r>
            <w:r w:rsidRPr="00AB24B2">
              <w:t>matters.</w:t>
            </w:r>
            <w:r w:rsidR="00584B98" w:rsidRPr="00AB24B2">
              <w:t xml:space="preserve"> </w:t>
            </w:r>
            <w:r w:rsidR="00584B98" w:rsidRPr="00AB24B2">
              <w:rPr>
                <w:rFonts w:cs="Arial"/>
              </w:rPr>
              <w:t>The Appeal Division of the Family Court of Australia hears all appeals from the trial division of the Family Court of Australia, Family Court of Western Australia and the Federal Circuit Court of Australia in relation to family law.</w:t>
            </w:r>
          </w:p>
        </w:tc>
      </w:tr>
      <w:tr w:rsidR="007E02D2" w14:paraId="2CA3428F" w14:textId="77777777" w:rsidTr="00EA06E3">
        <w:tc>
          <w:tcPr>
            <w:tcW w:w="5000" w:type="pct"/>
            <w:tcBorders>
              <w:top w:val="nil"/>
              <w:left w:val="nil"/>
              <w:bottom w:val="nil"/>
              <w:right w:val="nil"/>
            </w:tcBorders>
            <w:shd w:val="clear" w:color="auto" w:fill="F2F2F2"/>
          </w:tcPr>
          <w:p w14:paraId="30C91123" w14:textId="44526A84" w:rsidR="007E02D2" w:rsidRPr="00424FC1" w:rsidRDefault="00424FC1" w:rsidP="00FA7F1F">
            <w:pPr>
              <w:pStyle w:val="Box"/>
              <w:rPr>
                <w:b/>
              </w:rPr>
            </w:pPr>
            <w:r w:rsidRPr="00424FC1">
              <w:rPr>
                <w:b/>
              </w:rPr>
              <w:t>Federal Circuit Court of Australia (formerly the Federal Magistrates Court of Australia)</w:t>
            </w:r>
          </w:p>
        </w:tc>
      </w:tr>
      <w:tr w:rsidR="007E02D2" w14:paraId="5B0A7D7A" w14:textId="77777777" w:rsidTr="00EA06E3">
        <w:tc>
          <w:tcPr>
            <w:tcW w:w="5000" w:type="pct"/>
            <w:tcBorders>
              <w:top w:val="nil"/>
              <w:left w:val="nil"/>
              <w:bottom w:val="single" w:sz="4" w:space="0" w:color="78A22F" w:themeColor="accent1"/>
              <w:right w:val="nil"/>
            </w:tcBorders>
            <w:shd w:val="clear" w:color="auto" w:fill="F2F2F2"/>
          </w:tcPr>
          <w:p w14:paraId="314ABAD5" w14:textId="0E327F42" w:rsidR="00EC1F0D" w:rsidRDefault="00424FC1" w:rsidP="00EC1F0D">
            <w:pPr>
              <w:pStyle w:val="Box"/>
              <w:keepNext w:val="0"/>
            </w:pPr>
            <w:r>
              <w:t xml:space="preserve">The Federal Magistrates </w:t>
            </w:r>
            <w:r w:rsidR="00CD07D8">
              <w:t xml:space="preserve">Court </w:t>
            </w:r>
            <w:r>
              <w:t xml:space="preserve">was established to provide a simpler and more accessible service for litigants, and to ease the workloads of both the Federal Court and the Family Court of Australia. As a result of legislative amendments which recognise the work and status of the Court, the Federal Magistrates Court of Australia was renamed the Federal Circuit Court of Australia on 12 April 2013. The inclusion of the word ‘circuit’ to the name of the court highlights the importance of the Court’s circuit work in regional areas and its broad Commonwealth jurisdiction in both family law and general federal law. </w:t>
            </w:r>
          </w:p>
          <w:p w14:paraId="5E0AAFE3" w14:textId="08B8C7F5" w:rsidR="007E02D2" w:rsidRDefault="00EC1F0D" w:rsidP="00EC1F0D">
            <w:pPr>
              <w:pStyle w:val="Box"/>
              <w:jc w:val="right"/>
            </w:pPr>
            <w:r w:rsidRPr="00CE3859">
              <w:rPr>
                <w:sz w:val="18"/>
                <w:szCs w:val="18"/>
              </w:rPr>
              <w:t>(continued next page)</w:t>
            </w:r>
          </w:p>
        </w:tc>
      </w:tr>
    </w:tbl>
    <w:p w14:paraId="4ACF1143" w14:textId="4BD3ACD5" w:rsidR="00EC1F0D" w:rsidRDefault="00EC1F0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1F0D" w14:paraId="21B47686" w14:textId="77777777" w:rsidTr="00FA7F1F">
        <w:trPr>
          <w:tblHeader/>
        </w:trPr>
        <w:tc>
          <w:tcPr>
            <w:tcW w:w="5000" w:type="pct"/>
            <w:tcBorders>
              <w:top w:val="single" w:sz="6" w:space="0" w:color="78A22F"/>
              <w:left w:val="nil"/>
              <w:bottom w:val="nil"/>
              <w:right w:val="nil"/>
            </w:tcBorders>
            <w:shd w:val="clear" w:color="auto" w:fill="F2F2F2"/>
          </w:tcPr>
          <w:p w14:paraId="04D60618" w14:textId="18289514" w:rsidR="00EC1F0D" w:rsidRDefault="00EC1F0D" w:rsidP="00EC1F0D">
            <w:pPr>
              <w:pStyle w:val="BoxTitle"/>
            </w:pPr>
            <w:r>
              <w:rPr>
                <w:b w:val="0"/>
              </w:rPr>
              <w:t>Box 7.5</w:t>
            </w:r>
            <w:r>
              <w:tab/>
            </w:r>
            <w:r w:rsidRPr="00403101">
              <w:rPr>
                <w:b w:val="0"/>
                <w:sz w:val="18"/>
                <w:szCs w:val="18"/>
              </w:rPr>
              <w:t>(continued)</w:t>
            </w:r>
          </w:p>
        </w:tc>
      </w:tr>
      <w:tr w:rsidR="00E03913" w14:paraId="74A865D4" w14:textId="77777777" w:rsidTr="00FA7F1F">
        <w:tc>
          <w:tcPr>
            <w:tcW w:w="5000" w:type="pct"/>
            <w:tcBorders>
              <w:top w:val="nil"/>
              <w:left w:val="nil"/>
              <w:bottom w:val="nil"/>
              <w:right w:val="nil"/>
            </w:tcBorders>
            <w:shd w:val="clear" w:color="auto" w:fill="F2F2F2"/>
          </w:tcPr>
          <w:p w14:paraId="43D59B02" w14:textId="2A2BED39" w:rsidR="00E03913" w:rsidRPr="00AB24B2" w:rsidRDefault="00E03913" w:rsidP="00FA7F1F">
            <w:pPr>
              <w:pStyle w:val="Box"/>
            </w:pPr>
            <w:r w:rsidRPr="00AB24B2">
              <w:t xml:space="preserve">The jurisdiction, status and arrangements under which the Court operates have not changed. Its jurisdiction includes family law and child support, administrative law, admiralty, anti-terrorism, bankruptcy, copyright, human rights, </w:t>
            </w:r>
            <w:r w:rsidR="00CD07D8" w:rsidRPr="00AB24B2">
              <w:t xml:space="preserve">industrial, </w:t>
            </w:r>
            <w:r w:rsidRPr="00AB24B2">
              <w:t>migration, privacy and trade practices. State and Territory courts also continue to do some work in these areas.</w:t>
            </w:r>
          </w:p>
        </w:tc>
      </w:tr>
      <w:tr w:rsidR="00EC1F0D" w14:paraId="1493237E" w14:textId="77777777" w:rsidTr="00FA7F1F">
        <w:tc>
          <w:tcPr>
            <w:tcW w:w="5000" w:type="pct"/>
            <w:tcBorders>
              <w:top w:val="nil"/>
              <w:left w:val="nil"/>
              <w:bottom w:val="nil"/>
              <w:right w:val="nil"/>
            </w:tcBorders>
            <w:shd w:val="clear" w:color="auto" w:fill="F2F2F2"/>
          </w:tcPr>
          <w:p w14:paraId="2333C82D" w14:textId="22161EF6" w:rsidR="00EC1F0D" w:rsidRPr="00AB24B2" w:rsidRDefault="00EC1F0D" w:rsidP="00FA7F1F">
            <w:pPr>
              <w:pStyle w:val="Box"/>
            </w:pPr>
            <w:r w:rsidRPr="00AB24B2">
              <w:t xml:space="preserve">The Federal Circuit Court has concurrent jurisdiction in almost all family law matters with the Family Court and in some significant areas of general federal law with the Federal Court. The intention is for the latter two courts to focus on more complex legal matters. The Federal Circuit Court hears most first instance judicial reviews of migration matters. In trade practices matters it can award damages up to $750 000. </w:t>
            </w:r>
            <w:r w:rsidR="00CD07D8" w:rsidRPr="00AB24B2">
              <w:rPr>
                <w:rFonts w:cs="Arial"/>
              </w:rPr>
              <w:t>The Federal Circuit Court hears most of the final family law cases. In family law matters its jurisdiction is shared with the Family Court, except that only the Family Court can consider adoption disputes and applications concerning the nullity and validity of marriages. By arrangement, only the Family Court deals with parenting issues under The Hague Convention. Otherwise, the Federal Circuit Court has jurisdiction to hear any matter transferred to it by either the Federal Court or the Family Court.</w:t>
            </w:r>
          </w:p>
        </w:tc>
      </w:tr>
      <w:tr w:rsidR="00EC1F0D" w14:paraId="0C4CF671" w14:textId="77777777" w:rsidTr="00FA7F1F">
        <w:tc>
          <w:tcPr>
            <w:tcW w:w="5000" w:type="pct"/>
            <w:tcBorders>
              <w:top w:val="nil"/>
              <w:left w:val="nil"/>
              <w:bottom w:val="nil"/>
              <w:right w:val="nil"/>
            </w:tcBorders>
            <w:shd w:val="clear" w:color="auto" w:fill="F2F2F2"/>
          </w:tcPr>
          <w:p w14:paraId="6BC554A4" w14:textId="330863AB" w:rsidR="00EC1F0D" w:rsidRDefault="00EC1F0D" w:rsidP="00FA7F1F">
            <w:pPr>
              <w:pStyle w:val="BoxSource"/>
            </w:pPr>
            <w:r w:rsidRPr="00503502">
              <w:rPr>
                <w:i/>
                <w:szCs w:val="18"/>
              </w:rPr>
              <w:t>Source</w:t>
            </w:r>
            <w:r w:rsidRPr="00503502">
              <w:rPr>
                <w:szCs w:val="18"/>
              </w:rPr>
              <w:t>: Australian, State and Territory court administration authorities and departments.</w:t>
            </w:r>
          </w:p>
        </w:tc>
      </w:tr>
      <w:tr w:rsidR="00EC1F0D" w14:paraId="5EC28F4D" w14:textId="77777777" w:rsidTr="00FA7F1F">
        <w:tc>
          <w:tcPr>
            <w:tcW w:w="5000" w:type="pct"/>
            <w:tcBorders>
              <w:top w:val="nil"/>
              <w:left w:val="nil"/>
              <w:bottom w:val="single" w:sz="6" w:space="0" w:color="78A22F"/>
              <w:right w:val="nil"/>
            </w:tcBorders>
            <w:shd w:val="clear" w:color="auto" w:fill="F2F2F2"/>
          </w:tcPr>
          <w:p w14:paraId="7F96FF06" w14:textId="77777777" w:rsidR="00EC1F0D" w:rsidRDefault="00EC1F0D">
            <w:pPr>
              <w:pStyle w:val="Box"/>
              <w:spacing w:before="0" w:line="120" w:lineRule="exact"/>
            </w:pPr>
          </w:p>
        </w:tc>
      </w:tr>
      <w:tr w:rsidR="00EC1F0D" w:rsidRPr="000863A5" w14:paraId="4DDE31EC" w14:textId="77777777" w:rsidTr="00FA7F1F">
        <w:tc>
          <w:tcPr>
            <w:tcW w:w="5000" w:type="pct"/>
            <w:tcBorders>
              <w:top w:val="single" w:sz="6" w:space="0" w:color="78A22F"/>
              <w:left w:val="nil"/>
              <w:bottom w:val="nil"/>
              <w:right w:val="nil"/>
            </w:tcBorders>
          </w:tcPr>
          <w:p w14:paraId="69005C34" w14:textId="129A365B" w:rsidR="00EC1F0D" w:rsidRPr="00626D32" w:rsidRDefault="00EC1F0D" w:rsidP="00FA7F1F">
            <w:pPr>
              <w:pStyle w:val="BoxSpaceBelow"/>
            </w:pPr>
          </w:p>
        </w:tc>
      </w:tr>
    </w:tbl>
    <w:p w14:paraId="76EBB015" w14:textId="32ACB868" w:rsidR="00EC1F0D" w:rsidRDefault="008A5F3A" w:rsidP="001F5D40">
      <w:pPr>
        <w:pStyle w:val="BodyText"/>
      </w:pPr>
      <w:r>
        <w:t xml:space="preserve">Information on the manner in which court </w:t>
      </w:r>
      <w:proofErr w:type="gramStart"/>
      <w:r>
        <w:t>authorities</w:t>
      </w:r>
      <w:proofErr w:type="gramEnd"/>
      <w:r w:rsidR="007B6803">
        <w:t xml:space="preserve"> value and treat</w:t>
      </w:r>
      <w:r>
        <w:t xml:space="preserve"> assets is provided in table 7.1.</w:t>
      </w:r>
    </w:p>
    <w:p w14:paraId="20D456FC" w14:textId="77777777" w:rsidR="00EC1F0D" w:rsidRDefault="00EC1F0D" w:rsidP="001F5D40">
      <w:pPr>
        <w:pStyle w:val="BodyText"/>
      </w:pPr>
    </w:p>
    <w:p w14:paraId="0542F583" w14:textId="77777777" w:rsidR="00EC1F0D" w:rsidRDefault="00EC1F0D" w:rsidP="001F5D40">
      <w:pPr>
        <w:pStyle w:val="BodyText"/>
        <w:sectPr w:rsidR="00EC1F0D" w:rsidSect="00041735">
          <w:headerReference w:type="even" r:id="rId8"/>
          <w:headerReference w:type="default" r:id="rId9"/>
          <w:footerReference w:type="even" r:id="rId10"/>
          <w:footerReference w:type="default" r:id="rId11"/>
          <w:pgSz w:w="11907" w:h="16840" w:code="9"/>
          <w:pgMar w:top="1984" w:right="1304" w:bottom="1247" w:left="1814" w:header="1701" w:footer="397" w:gutter="0"/>
          <w:pgNumType w:start="1" w:chapStyle="1" w:chapSep="period"/>
          <w:cols w:space="720"/>
          <w:docGrid w:linePitch="326"/>
        </w:sectPr>
      </w:pPr>
    </w:p>
    <w:p w14:paraId="23750060" w14:textId="412405C5" w:rsidR="00F8527F" w:rsidRDefault="00F8527F" w:rsidP="00F95739">
      <w:pPr>
        <w:pStyle w:val="BoxSpaceAbove"/>
        <w:spacing w:before="12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F8527F" w14:paraId="19C56769" w14:textId="77777777" w:rsidTr="00FA7F1F">
        <w:trPr>
          <w:tblHeader/>
        </w:trPr>
        <w:tc>
          <w:tcPr>
            <w:tcW w:w="5000" w:type="pct"/>
            <w:tcBorders>
              <w:top w:val="single" w:sz="6" w:space="0" w:color="78A22F"/>
              <w:left w:val="nil"/>
              <w:bottom w:val="nil"/>
              <w:right w:val="nil"/>
            </w:tcBorders>
            <w:shd w:val="clear" w:color="auto" w:fill="auto"/>
          </w:tcPr>
          <w:p w14:paraId="33C14D76" w14:textId="6822BFE5" w:rsidR="00F8527F" w:rsidRPr="00784A05" w:rsidRDefault="00F8527F" w:rsidP="00F8527F">
            <w:pPr>
              <w:pStyle w:val="TableTitle"/>
            </w:pPr>
            <w:r>
              <w:rPr>
                <w:b w:val="0"/>
              </w:rPr>
              <w:t xml:space="preserve">Table </w:t>
            </w:r>
            <w:r w:rsidR="00EE168A">
              <w:rPr>
                <w:b w:val="0"/>
              </w:rPr>
              <w:t>7.</w:t>
            </w:r>
            <w:r w:rsidR="00F57240">
              <w:rPr>
                <w:b w:val="0"/>
                <w:noProof/>
              </w:rPr>
              <w:t>1</w:t>
            </w:r>
            <w:r>
              <w:tab/>
              <w:t>Treatment of assets by court authorities</w:t>
            </w:r>
          </w:p>
        </w:tc>
      </w:tr>
      <w:tr w:rsidR="00F8527F" w14:paraId="06A02CC9" w14:textId="77777777" w:rsidTr="00FA7F1F">
        <w:tc>
          <w:tcPr>
            <w:tcW w:w="5000" w:type="pct"/>
            <w:tcBorders>
              <w:top w:val="nil"/>
              <w:left w:val="nil"/>
              <w:bottom w:val="nil"/>
              <w:right w:val="nil"/>
            </w:tcBorders>
            <w:shd w:val="clear" w:color="auto" w:fill="auto"/>
          </w:tcPr>
          <w:tbl>
            <w:tblPr>
              <w:tblW w:w="13463" w:type="dxa"/>
              <w:tblCellMar>
                <w:top w:w="28" w:type="dxa"/>
                <w:left w:w="0" w:type="dxa"/>
                <w:right w:w="0" w:type="dxa"/>
              </w:tblCellMar>
              <w:tblLook w:val="0000" w:firstRow="0" w:lastRow="0" w:firstColumn="0" w:lastColumn="0" w:noHBand="0" w:noVBand="0"/>
            </w:tblPr>
            <w:tblGrid>
              <w:gridCol w:w="1240"/>
              <w:gridCol w:w="1240"/>
              <w:gridCol w:w="1061"/>
              <w:gridCol w:w="1045"/>
              <w:gridCol w:w="1080"/>
              <w:gridCol w:w="996"/>
              <w:gridCol w:w="913"/>
              <w:gridCol w:w="910"/>
              <w:gridCol w:w="910"/>
              <w:gridCol w:w="910"/>
              <w:gridCol w:w="910"/>
              <w:gridCol w:w="1058"/>
              <w:gridCol w:w="1190"/>
            </w:tblGrid>
            <w:tr w:rsidR="001D26B1" w14:paraId="1E491949" w14:textId="77777777" w:rsidTr="00FF6947">
              <w:trPr>
                <w:tblHeader/>
              </w:trPr>
              <w:tc>
                <w:tcPr>
                  <w:tcW w:w="461" w:type="pct"/>
                  <w:tcBorders>
                    <w:top w:val="single" w:sz="6" w:space="0" w:color="BFBFBF"/>
                    <w:bottom w:val="single" w:sz="6" w:space="0" w:color="BFBFBF"/>
                  </w:tcBorders>
                  <w:shd w:val="clear" w:color="auto" w:fill="auto"/>
                  <w:tcMar>
                    <w:top w:w="28" w:type="dxa"/>
                  </w:tcMar>
                </w:tcPr>
                <w:p w14:paraId="451CDBD2" w14:textId="77777777" w:rsidR="00F8527F" w:rsidRDefault="00F8527F" w:rsidP="00FA7F1F">
                  <w:pPr>
                    <w:pStyle w:val="TableColumnHeading"/>
                    <w:jc w:val="left"/>
                  </w:pPr>
                </w:p>
              </w:tc>
              <w:tc>
                <w:tcPr>
                  <w:tcW w:w="461" w:type="pct"/>
                  <w:tcBorders>
                    <w:top w:val="single" w:sz="6" w:space="0" w:color="BFBFBF"/>
                    <w:bottom w:val="single" w:sz="6" w:space="0" w:color="BFBFBF"/>
                  </w:tcBorders>
                </w:tcPr>
                <w:p w14:paraId="49445A03" w14:textId="77777777" w:rsidR="00F8527F" w:rsidRDefault="00F8527F" w:rsidP="00FA7F1F">
                  <w:pPr>
                    <w:pStyle w:val="TableColumnHeading"/>
                  </w:pPr>
                </w:p>
              </w:tc>
              <w:tc>
                <w:tcPr>
                  <w:tcW w:w="394" w:type="pct"/>
                  <w:tcBorders>
                    <w:top w:val="single" w:sz="6" w:space="0" w:color="BFBFBF"/>
                    <w:bottom w:val="single" w:sz="6" w:space="0" w:color="BFBFBF"/>
                  </w:tcBorders>
                </w:tcPr>
                <w:p w14:paraId="6E4A0C58" w14:textId="212ACD1C" w:rsidR="00F8527F" w:rsidRDefault="00F8527F" w:rsidP="00F8527F">
                  <w:pPr>
                    <w:pStyle w:val="TableColumnHeading"/>
                    <w:jc w:val="center"/>
                  </w:pPr>
                  <w:r>
                    <w:t>Federal Court of Australia</w:t>
                  </w:r>
                </w:p>
              </w:tc>
              <w:tc>
                <w:tcPr>
                  <w:tcW w:w="388" w:type="pct"/>
                  <w:tcBorders>
                    <w:top w:val="single" w:sz="6" w:space="0" w:color="BFBFBF"/>
                    <w:bottom w:val="single" w:sz="6" w:space="0" w:color="BFBFBF"/>
                  </w:tcBorders>
                </w:tcPr>
                <w:p w14:paraId="18A7AAE1" w14:textId="086593D7" w:rsidR="00F8527F" w:rsidRDefault="00F8527F" w:rsidP="00F8527F">
                  <w:pPr>
                    <w:pStyle w:val="TableColumnHeading"/>
                    <w:jc w:val="center"/>
                  </w:pPr>
                  <w:r>
                    <w:t>Federal Circuit Court</w:t>
                  </w:r>
                </w:p>
              </w:tc>
              <w:tc>
                <w:tcPr>
                  <w:tcW w:w="401" w:type="pct"/>
                  <w:tcBorders>
                    <w:top w:val="single" w:sz="6" w:space="0" w:color="BFBFBF"/>
                    <w:bottom w:val="single" w:sz="6" w:space="0" w:color="BFBFBF"/>
                  </w:tcBorders>
                </w:tcPr>
                <w:p w14:paraId="67130D3D" w14:textId="1C62BF00" w:rsidR="00F8527F" w:rsidRDefault="00F8527F" w:rsidP="00F8527F">
                  <w:pPr>
                    <w:pStyle w:val="TableColumnHeading"/>
                    <w:jc w:val="center"/>
                  </w:pPr>
                  <w:r>
                    <w:t>Family Court of Australia</w:t>
                  </w:r>
                </w:p>
              </w:tc>
              <w:tc>
                <w:tcPr>
                  <w:tcW w:w="370" w:type="pct"/>
                  <w:tcBorders>
                    <w:top w:val="single" w:sz="6" w:space="0" w:color="BFBFBF"/>
                    <w:bottom w:val="single" w:sz="6" w:space="0" w:color="BFBFBF"/>
                  </w:tcBorders>
                </w:tcPr>
                <w:p w14:paraId="020B5F83" w14:textId="77777777" w:rsidR="00F8527F" w:rsidRDefault="00F8527F" w:rsidP="00F8527F">
                  <w:pPr>
                    <w:pStyle w:val="TableColumnHeading"/>
                    <w:jc w:val="center"/>
                  </w:pPr>
                </w:p>
                <w:p w14:paraId="5C9C4C91" w14:textId="708A5C06" w:rsidR="00F8527F" w:rsidRDefault="00F8527F" w:rsidP="00F8527F">
                  <w:pPr>
                    <w:pStyle w:val="TableColumnHeading"/>
                    <w:jc w:val="center"/>
                  </w:pPr>
                  <w:r>
                    <w:t>NSW</w:t>
                  </w:r>
                  <w:r w:rsidR="004A7C59">
                    <w:t xml:space="preserve"> </w:t>
                  </w:r>
                  <w:r w:rsidR="004A7C59" w:rsidRPr="00EB69BF">
                    <w:rPr>
                      <w:i w:val="0"/>
                    </w:rPr>
                    <w:t>(a)</w:t>
                  </w:r>
                </w:p>
              </w:tc>
              <w:tc>
                <w:tcPr>
                  <w:tcW w:w="339" w:type="pct"/>
                  <w:tcBorders>
                    <w:top w:val="single" w:sz="6" w:space="0" w:color="BFBFBF"/>
                    <w:bottom w:val="single" w:sz="6" w:space="0" w:color="BFBFBF"/>
                  </w:tcBorders>
                </w:tcPr>
                <w:p w14:paraId="081CB62E" w14:textId="77777777" w:rsidR="00F8527F" w:rsidRDefault="00F8527F" w:rsidP="00F8527F">
                  <w:pPr>
                    <w:pStyle w:val="TableColumnHeading"/>
                    <w:jc w:val="center"/>
                  </w:pPr>
                </w:p>
                <w:p w14:paraId="705C674C" w14:textId="46C1F63A" w:rsidR="00F8527F" w:rsidRDefault="00F8527F" w:rsidP="00F8527F">
                  <w:pPr>
                    <w:pStyle w:val="TableColumnHeading"/>
                    <w:jc w:val="center"/>
                  </w:pPr>
                  <w:r>
                    <w:t>Vic</w:t>
                  </w:r>
                </w:p>
              </w:tc>
              <w:tc>
                <w:tcPr>
                  <w:tcW w:w="338" w:type="pct"/>
                  <w:tcBorders>
                    <w:top w:val="single" w:sz="6" w:space="0" w:color="BFBFBF"/>
                    <w:bottom w:val="single" w:sz="6" w:space="0" w:color="BFBFBF"/>
                  </w:tcBorders>
                </w:tcPr>
                <w:p w14:paraId="1A0FF56D" w14:textId="77777777" w:rsidR="00F8527F" w:rsidRDefault="00F8527F" w:rsidP="00F8527F">
                  <w:pPr>
                    <w:pStyle w:val="TableColumnHeading"/>
                    <w:jc w:val="center"/>
                  </w:pPr>
                </w:p>
                <w:p w14:paraId="5BD0DA90" w14:textId="58A7A31C" w:rsidR="00F8527F" w:rsidRDefault="00F8527F" w:rsidP="00F8527F">
                  <w:pPr>
                    <w:pStyle w:val="TableColumnHeading"/>
                    <w:jc w:val="center"/>
                  </w:pPr>
                  <w:r>
                    <w:t>Qld</w:t>
                  </w:r>
                  <w:r w:rsidR="004A7C59">
                    <w:t xml:space="preserve"> </w:t>
                  </w:r>
                  <w:r w:rsidR="004A7C59" w:rsidRPr="00EB69BF">
                    <w:rPr>
                      <w:i w:val="0"/>
                    </w:rPr>
                    <w:t>(b)</w:t>
                  </w:r>
                </w:p>
              </w:tc>
              <w:tc>
                <w:tcPr>
                  <w:tcW w:w="338" w:type="pct"/>
                  <w:tcBorders>
                    <w:top w:val="single" w:sz="6" w:space="0" w:color="BFBFBF"/>
                    <w:bottom w:val="single" w:sz="6" w:space="0" w:color="BFBFBF"/>
                  </w:tcBorders>
                </w:tcPr>
                <w:p w14:paraId="3D5B9942" w14:textId="77777777" w:rsidR="00F8527F" w:rsidRDefault="00F8527F" w:rsidP="00F8527F">
                  <w:pPr>
                    <w:pStyle w:val="TableColumnHeading"/>
                    <w:jc w:val="center"/>
                  </w:pPr>
                </w:p>
                <w:p w14:paraId="1228F594" w14:textId="7E134374" w:rsidR="00F8527F" w:rsidRDefault="00F8527F" w:rsidP="00F8527F">
                  <w:pPr>
                    <w:pStyle w:val="TableColumnHeading"/>
                    <w:jc w:val="center"/>
                  </w:pPr>
                  <w:r>
                    <w:t>WA</w:t>
                  </w:r>
                </w:p>
              </w:tc>
              <w:tc>
                <w:tcPr>
                  <w:tcW w:w="338" w:type="pct"/>
                  <w:tcBorders>
                    <w:top w:val="single" w:sz="6" w:space="0" w:color="BFBFBF"/>
                    <w:bottom w:val="single" w:sz="6" w:space="0" w:color="BFBFBF"/>
                  </w:tcBorders>
                </w:tcPr>
                <w:p w14:paraId="440FA81C" w14:textId="77777777" w:rsidR="00F8527F" w:rsidRDefault="00F8527F" w:rsidP="00F8527F">
                  <w:pPr>
                    <w:pStyle w:val="TableColumnHeading"/>
                    <w:jc w:val="center"/>
                  </w:pPr>
                </w:p>
                <w:p w14:paraId="6C7890D8" w14:textId="06DC9295" w:rsidR="00F8527F" w:rsidRDefault="00F8527F" w:rsidP="00F8527F">
                  <w:pPr>
                    <w:pStyle w:val="TableColumnHeading"/>
                    <w:jc w:val="center"/>
                  </w:pPr>
                  <w:r>
                    <w:t>SA</w:t>
                  </w:r>
                </w:p>
              </w:tc>
              <w:tc>
                <w:tcPr>
                  <w:tcW w:w="338" w:type="pct"/>
                  <w:tcBorders>
                    <w:top w:val="single" w:sz="6" w:space="0" w:color="BFBFBF"/>
                    <w:bottom w:val="single" w:sz="6" w:space="0" w:color="BFBFBF"/>
                  </w:tcBorders>
                </w:tcPr>
                <w:p w14:paraId="56F015BA" w14:textId="77777777" w:rsidR="00F8527F" w:rsidRDefault="00F8527F" w:rsidP="00F8527F">
                  <w:pPr>
                    <w:pStyle w:val="TableColumnHeading"/>
                    <w:jc w:val="center"/>
                  </w:pPr>
                </w:p>
                <w:p w14:paraId="74173251" w14:textId="6424695B" w:rsidR="00F8527F" w:rsidRDefault="00F8527F" w:rsidP="00F8527F">
                  <w:pPr>
                    <w:pStyle w:val="TableColumnHeading"/>
                    <w:jc w:val="center"/>
                  </w:pPr>
                  <w:r>
                    <w:t>Tas</w:t>
                  </w:r>
                </w:p>
              </w:tc>
              <w:tc>
                <w:tcPr>
                  <w:tcW w:w="393" w:type="pct"/>
                  <w:tcBorders>
                    <w:top w:val="single" w:sz="6" w:space="0" w:color="BFBFBF"/>
                    <w:bottom w:val="single" w:sz="6" w:space="0" w:color="BFBFBF"/>
                  </w:tcBorders>
                </w:tcPr>
                <w:p w14:paraId="56CA990D" w14:textId="77777777" w:rsidR="0015094F" w:rsidRDefault="0015094F" w:rsidP="00F8527F">
                  <w:pPr>
                    <w:pStyle w:val="TableColumnHeading"/>
                    <w:jc w:val="center"/>
                  </w:pPr>
                </w:p>
                <w:p w14:paraId="7F29D55C" w14:textId="5492C99F" w:rsidR="00F8527F" w:rsidRDefault="00F8527F" w:rsidP="00F8527F">
                  <w:pPr>
                    <w:pStyle w:val="TableColumnHeading"/>
                    <w:jc w:val="center"/>
                  </w:pPr>
                  <w:r>
                    <w:t>ACT</w:t>
                  </w:r>
                </w:p>
              </w:tc>
              <w:tc>
                <w:tcPr>
                  <w:tcW w:w="442" w:type="pct"/>
                  <w:tcBorders>
                    <w:top w:val="single" w:sz="6" w:space="0" w:color="BFBFBF"/>
                    <w:bottom w:val="single" w:sz="6" w:space="0" w:color="BFBFBF"/>
                  </w:tcBorders>
                  <w:shd w:val="clear" w:color="auto" w:fill="auto"/>
                  <w:tcMar>
                    <w:top w:w="28" w:type="dxa"/>
                  </w:tcMar>
                </w:tcPr>
                <w:p w14:paraId="0ED46E59" w14:textId="77777777" w:rsidR="0015094F" w:rsidRDefault="0015094F" w:rsidP="00F8527F">
                  <w:pPr>
                    <w:pStyle w:val="TableColumnHeading"/>
                    <w:jc w:val="center"/>
                  </w:pPr>
                </w:p>
                <w:p w14:paraId="02EB34F8" w14:textId="046F6796" w:rsidR="00F8527F" w:rsidRDefault="00F8527F" w:rsidP="00F8527F">
                  <w:pPr>
                    <w:pStyle w:val="TableColumnHeading"/>
                    <w:jc w:val="center"/>
                  </w:pPr>
                  <w:r>
                    <w:t>NT</w:t>
                  </w:r>
                </w:p>
              </w:tc>
            </w:tr>
            <w:tr w:rsidR="001D26B1" w:rsidRPr="001D26B1" w14:paraId="6C12B43E" w14:textId="77777777" w:rsidTr="00FF6947">
              <w:tc>
                <w:tcPr>
                  <w:tcW w:w="461" w:type="pct"/>
                  <w:tcBorders>
                    <w:top w:val="single" w:sz="6" w:space="0" w:color="BFBFBF"/>
                  </w:tcBorders>
                </w:tcPr>
                <w:p w14:paraId="755BCD99" w14:textId="502374F5" w:rsidR="00DF5DE8" w:rsidRPr="001D26B1" w:rsidRDefault="00DF5DE8" w:rsidP="00DF5DE8">
                  <w:pPr>
                    <w:pStyle w:val="TableUnitsRow"/>
                    <w:jc w:val="left"/>
                    <w:rPr>
                      <w:szCs w:val="18"/>
                    </w:rPr>
                  </w:pPr>
                  <w:r w:rsidRPr="001D26B1">
                    <w:rPr>
                      <w:szCs w:val="18"/>
                    </w:rPr>
                    <w:t>Revaluation</w:t>
                  </w:r>
                </w:p>
              </w:tc>
              <w:tc>
                <w:tcPr>
                  <w:tcW w:w="461" w:type="pct"/>
                  <w:tcBorders>
                    <w:top w:val="single" w:sz="6" w:space="0" w:color="BFBFBF"/>
                  </w:tcBorders>
                </w:tcPr>
                <w:p w14:paraId="0B138604" w14:textId="033E1B22" w:rsidR="00DF5DE8" w:rsidRPr="001D26B1" w:rsidRDefault="00DF5DE8" w:rsidP="00DF5DE8">
                  <w:pPr>
                    <w:pStyle w:val="TableUnitsRow"/>
                    <w:rPr>
                      <w:szCs w:val="18"/>
                    </w:rPr>
                  </w:pPr>
                  <w:r w:rsidRPr="001D26B1">
                    <w:rPr>
                      <w:szCs w:val="18"/>
                    </w:rPr>
                    <w:t>Land</w:t>
                  </w:r>
                </w:p>
              </w:tc>
              <w:tc>
                <w:tcPr>
                  <w:tcW w:w="394" w:type="pct"/>
                  <w:tcBorders>
                    <w:top w:val="single" w:sz="6" w:space="0" w:color="BFBFBF"/>
                  </w:tcBorders>
                </w:tcPr>
                <w:p w14:paraId="0B43A1ED" w14:textId="17AD2C2C" w:rsidR="00DF5DE8" w:rsidRPr="001D26B1" w:rsidRDefault="00DF5DE8" w:rsidP="00DF5DE8">
                  <w:pPr>
                    <w:pStyle w:val="TableUnitsRow"/>
                    <w:rPr>
                      <w:szCs w:val="18"/>
                    </w:rPr>
                  </w:pPr>
                  <w:proofErr w:type="spellStart"/>
                  <w:r w:rsidRPr="001D26B1">
                    <w:rPr>
                      <w:szCs w:val="18"/>
                    </w:rPr>
                    <w:t>na</w:t>
                  </w:r>
                  <w:proofErr w:type="spellEnd"/>
                </w:p>
              </w:tc>
              <w:tc>
                <w:tcPr>
                  <w:tcW w:w="388" w:type="pct"/>
                  <w:tcBorders>
                    <w:top w:val="single" w:sz="6" w:space="0" w:color="BFBFBF"/>
                  </w:tcBorders>
                </w:tcPr>
                <w:p w14:paraId="5B3C2EA8" w14:textId="03B99F03" w:rsidR="00DF5DE8" w:rsidRPr="00AB24B2" w:rsidRDefault="00091950" w:rsidP="00DF5DE8">
                  <w:pPr>
                    <w:pStyle w:val="TableUnitsRow"/>
                    <w:rPr>
                      <w:szCs w:val="18"/>
                    </w:rPr>
                  </w:pPr>
                  <w:proofErr w:type="spellStart"/>
                  <w:r w:rsidRPr="00AB24B2">
                    <w:rPr>
                      <w:szCs w:val="18"/>
                    </w:rPr>
                    <w:t>na</w:t>
                  </w:r>
                  <w:proofErr w:type="spellEnd"/>
                </w:p>
              </w:tc>
              <w:tc>
                <w:tcPr>
                  <w:tcW w:w="401" w:type="pct"/>
                  <w:tcBorders>
                    <w:top w:val="single" w:sz="6" w:space="0" w:color="BFBFBF"/>
                  </w:tcBorders>
                </w:tcPr>
                <w:p w14:paraId="67ED456D" w14:textId="1EEB0D77" w:rsidR="00DF5DE8" w:rsidRPr="00AB24B2" w:rsidRDefault="00091950" w:rsidP="00DF5DE8">
                  <w:pPr>
                    <w:pStyle w:val="TableUnitsRow"/>
                    <w:rPr>
                      <w:szCs w:val="18"/>
                    </w:rPr>
                  </w:pPr>
                  <w:proofErr w:type="spellStart"/>
                  <w:r w:rsidRPr="00AB24B2">
                    <w:rPr>
                      <w:szCs w:val="18"/>
                    </w:rPr>
                    <w:t>na</w:t>
                  </w:r>
                  <w:proofErr w:type="spellEnd"/>
                </w:p>
              </w:tc>
              <w:tc>
                <w:tcPr>
                  <w:tcW w:w="370" w:type="pct"/>
                  <w:tcBorders>
                    <w:top w:val="single" w:sz="6" w:space="0" w:color="BFBFBF"/>
                  </w:tcBorders>
                </w:tcPr>
                <w:p w14:paraId="6AA98506" w14:textId="1197C417" w:rsidR="00DF5DE8" w:rsidRPr="001D26B1" w:rsidRDefault="00DF5DE8" w:rsidP="00DF5DE8">
                  <w:pPr>
                    <w:pStyle w:val="TableUnitsRow"/>
                    <w:rPr>
                      <w:szCs w:val="18"/>
                    </w:rPr>
                  </w:pPr>
                  <w:r w:rsidRPr="001D26B1">
                    <w:rPr>
                      <w:szCs w:val="18"/>
                    </w:rPr>
                    <w:t>Fair value</w:t>
                  </w:r>
                </w:p>
              </w:tc>
              <w:tc>
                <w:tcPr>
                  <w:tcW w:w="339" w:type="pct"/>
                  <w:tcBorders>
                    <w:top w:val="single" w:sz="6" w:space="0" w:color="BFBFBF"/>
                  </w:tcBorders>
                </w:tcPr>
                <w:p w14:paraId="5BED0C53" w14:textId="762BB6EC" w:rsidR="00DF5DE8" w:rsidRPr="001D26B1" w:rsidRDefault="00DF5DE8" w:rsidP="00DF5DE8">
                  <w:pPr>
                    <w:pStyle w:val="TableUnitsRow"/>
                    <w:rPr>
                      <w:szCs w:val="18"/>
                    </w:rPr>
                  </w:pPr>
                  <w:proofErr w:type="spellStart"/>
                  <w:r w:rsidRPr="001D26B1">
                    <w:rPr>
                      <w:szCs w:val="18"/>
                    </w:rPr>
                    <w:t>na</w:t>
                  </w:r>
                  <w:proofErr w:type="spellEnd"/>
                </w:p>
              </w:tc>
              <w:tc>
                <w:tcPr>
                  <w:tcW w:w="338" w:type="pct"/>
                  <w:tcBorders>
                    <w:top w:val="single" w:sz="6" w:space="0" w:color="BFBFBF"/>
                  </w:tcBorders>
                </w:tcPr>
                <w:p w14:paraId="040EC4BA" w14:textId="0AA7F2A5" w:rsidR="00DF5DE8" w:rsidRPr="001D26B1" w:rsidRDefault="00DF5DE8" w:rsidP="00DF5DE8">
                  <w:pPr>
                    <w:pStyle w:val="TableUnitsRow"/>
                    <w:rPr>
                      <w:szCs w:val="18"/>
                    </w:rPr>
                  </w:pPr>
                  <w:r w:rsidRPr="001D26B1">
                    <w:rPr>
                      <w:szCs w:val="18"/>
                    </w:rPr>
                    <w:t>..</w:t>
                  </w:r>
                </w:p>
              </w:tc>
              <w:tc>
                <w:tcPr>
                  <w:tcW w:w="338" w:type="pct"/>
                  <w:tcBorders>
                    <w:top w:val="single" w:sz="6" w:space="0" w:color="BFBFBF"/>
                  </w:tcBorders>
                </w:tcPr>
                <w:p w14:paraId="6E877250" w14:textId="33593BEC" w:rsidR="00DF5DE8" w:rsidRPr="001D26B1" w:rsidRDefault="00DF5DE8" w:rsidP="00DF5DE8">
                  <w:pPr>
                    <w:pStyle w:val="TableUnitsRow"/>
                    <w:rPr>
                      <w:szCs w:val="18"/>
                    </w:rPr>
                  </w:pPr>
                  <w:r w:rsidRPr="001D26B1">
                    <w:rPr>
                      <w:szCs w:val="18"/>
                    </w:rPr>
                    <w:t>Market</w:t>
                  </w:r>
                </w:p>
              </w:tc>
              <w:tc>
                <w:tcPr>
                  <w:tcW w:w="338" w:type="pct"/>
                  <w:tcBorders>
                    <w:top w:val="single" w:sz="6" w:space="0" w:color="BFBFBF"/>
                  </w:tcBorders>
                </w:tcPr>
                <w:p w14:paraId="52865A21" w14:textId="16107FE3" w:rsidR="00DF5DE8" w:rsidRPr="001D26B1" w:rsidRDefault="00DF5DE8" w:rsidP="00DF5DE8">
                  <w:pPr>
                    <w:pStyle w:val="TableUnitsRow"/>
                    <w:rPr>
                      <w:szCs w:val="18"/>
                    </w:rPr>
                  </w:pPr>
                  <w:r w:rsidRPr="001D26B1">
                    <w:rPr>
                      <w:szCs w:val="18"/>
                    </w:rPr>
                    <w:t>Fair value</w:t>
                  </w:r>
                </w:p>
              </w:tc>
              <w:tc>
                <w:tcPr>
                  <w:tcW w:w="338" w:type="pct"/>
                  <w:tcBorders>
                    <w:top w:val="single" w:sz="6" w:space="0" w:color="BFBFBF"/>
                  </w:tcBorders>
                </w:tcPr>
                <w:p w14:paraId="3FB90C58" w14:textId="19E7257B" w:rsidR="00DF5DE8" w:rsidRPr="001D26B1" w:rsidRDefault="00DF5DE8" w:rsidP="00DF5DE8">
                  <w:pPr>
                    <w:pStyle w:val="TableUnitsRow"/>
                    <w:rPr>
                      <w:szCs w:val="18"/>
                    </w:rPr>
                  </w:pPr>
                  <w:r w:rsidRPr="001D26B1">
                    <w:rPr>
                      <w:szCs w:val="18"/>
                    </w:rPr>
                    <w:t>Fair value</w:t>
                  </w:r>
                </w:p>
              </w:tc>
              <w:tc>
                <w:tcPr>
                  <w:tcW w:w="393" w:type="pct"/>
                  <w:tcBorders>
                    <w:top w:val="single" w:sz="6" w:space="0" w:color="BFBFBF"/>
                  </w:tcBorders>
                </w:tcPr>
                <w:p w14:paraId="5DEB5CBE" w14:textId="3150C813" w:rsidR="00DF5DE8" w:rsidRPr="001D26B1" w:rsidRDefault="00DF5DE8" w:rsidP="00DF5DE8">
                  <w:pPr>
                    <w:pStyle w:val="TableUnitsRow"/>
                    <w:rPr>
                      <w:szCs w:val="18"/>
                    </w:rPr>
                  </w:pPr>
                  <w:r w:rsidRPr="001D26B1">
                    <w:rPr>
                      <w:szCs w:val="18"/>
                    </w:rPr>
                    <w:t>Fair value</w:t>
                  </w:r>
                </w:p>
              </w:tc>
              <w:tc>
                <w:tcPr>
                  <w:tcW w:w="442" w:type="pct"/>
                  <w:tcBorders>
                    <w:top w:val="single" w:sz="6" w:space="0" w:color="BFBFBF"/>
                  </w:tcBorders>
                </w:tcPr>
                <w:p w14:paraId="2951D019" w14:textId="52777C00" w:rsidR="00DF5DE8" w:rsidRPr="001D26B1" w:rsidRDefault="00DF5DE8" w:rsidP="00DF5DE8">
                  <w:pPr>
                    <w:pStyle w:val="TableUnitsRow"/>
                    <w:rPr>
                      <w:szCs w:val="18"/>
                    </w:rPr>
                  </w:pPr>
                  <w:r w:rsidRPr="001D26B1">
                    <w:rPr>
                      <w:szCs w:val="18"/>
                    </w:rPr>
                    <w:t>Fair value</w:t>
                  </w:r>
                </w:p>
              </w:tc>
            </w:tr>
            <w:tr w:rsidR="001D26B1" w:rsidRPr="001D26B1" w14:paraId="41B90541" w14:textId="77777777" w:rsidTr="00FF6947">
              <w:tc>
                <w:tcPr>
                  <w:tcW w:w="461" w:type="pct"/>
                </w:tcPr>
                <w:p w14:paraId="2499AC8E" w14:textId="0AF878EA" w:rsidR="00DF5DE8" w:rsidRPr="001D26B1" w:rsidRDefault="00DF5DE8" w:rsidP="00DF5DE8">
                  <w:pPr>
                    <w:pStyle w:val="TableBodyText"/>
                    <w:jc w:val="left"/>
                    <w:rPr>
                      <w:szCs w:val="18"/>
                    </w:rPr>
                  </w:pPr>
                  <w:r w:rsidRPr="001D26B1">
                    <w:rPr>
                      <w:szCs w:val="18"/>
                    </w:rPr>
                    <w:t>method</w:t>
                  </w:r>
                </w:p>
              </w:tc>
              <w:tc>
                <w:tcPr>
                  <w:tcW w:w="461" w:type="pct"/>
                </w:tcPr>
                <w:p w14:paraId="7FC5C029" w14:textId="39BC5B4F" w:rsidR="00DF5DE8" w:rsidRPr="001D26B1" w:rsidRDefault="00DF5DE8" w:rsidP="00DF5DE8">
                  <w:pPr>
                    <w:pStyle w:val="TableBodyText"/>
                    <w:rPr>
                      <w:szCs w:val="18"/>
                    </w:rPr>
                  </w:pPr>
                  <w:r w:rsidRPr="001D26B1">
                    <w:rPr>
                      <w:szCs w:val="18"/>
                    </w:rPr>
                    <w:t>Buildings</w:t>
                  </w:r>
                </w:p>
              </w:tc>
              <w:tc>
                <w:tcPr>
                  <w:tcW w:w="394" w:type="pct"/>
                </w:tcPr>
                <w:p w14:paraId="0C287627" w14:textId="7BC06C2E" w:rsidR="00DF5DE8" w:rsidRPr="001D26B1" w:rsidRDefault="00DF5DE8" w:rsidP="00DF5DE8">
                  <w:pPr>
                    <w:pStyle w:val="TableBodyText"/>
                    <w:rPr>
                      <w:szCs w:val="18"/>
                    </w:rPr>
                  </w:pPr>
                  <w:r w:rsidRPr="001D26B1">
                    <w:rPr>
                      <w:szCs w:val="18"/>
                    </w:rPr>
                    <w:t>Fair value</w:t>
                  </w:r>
                </w:p>
              </w:tc>
              <w:tc>
                <w:tcPr>
                  <w:tcW w:w="388" w:type="pct"/>
                </w:tcPr>
                <w:p w14:paraId="0162EE4E" w14:textId="08904AEC" w:rsidR="00DF5DE8" w:rsidRPr="00AB24B2" w:rsidRDefault="00DF5DE8" w:rsidP="00DF5DE8">
                  <w:pPr>
                    <w:pStyle w:val="TableBodyText"/>
                    <w:rPr>
                      <w:szCs w:val="18"/>
                    </w:rPr>
                  </w:pPr>
                  <w:r w:rsidRPr="00AB24B2">
                    <w:rPr>
                      <w:szCs w:val="18"/>
                    </w:rPr>
                    <w:t>Fair value</w:t>
                  </w:r>
                </w:p>
              </w:tc>
              <w:tc>
                <w:tcPr>
                  <w:tcW w:w="401" w:type="pct"/>
                </w:tcPr>
                <w:p w14:paraId="0F8559F5" w14:textId="10675E81" w:rsidR="00DF5DE8" w:rsidRPr="00AB24B2" w:rsidRDefault="00DF5DE8" w:rsidP="00DF5DE8">
                  <w:pPr>
                    <w:pStyle w:val="TableBodyText"/>
                    <w:rPr>
                      <w:szCs w:val="18"/>
                    </w:rPr>
                  </w:pPr>
                  <w:r w:rsidRPr="00AB24B2">
                    <w:rPr>
                      <w:szCs w:val="18"/>
                    </w:rPr>
                    <w:t>Fair value</w:t>
                  </w:r>
                </w:p>
              </w:tc>
              <w:tc>
                <w:tcPr>
                  <w:tcW w:w="370" w:type="pct"/>
                </w:tcPr>
                <w:p w14:paraId="1E3AD76F" w14:textId="064A66CC" w:rsidR="00DF5DE8" w:rsidRPr="001D26B1" w:rsidRDefault="00DF5DE8" w:rsidP="00DF5DE8">
                  <w:pPr>
                    <w:pStyle w:val="TableBodyText"/>
                    <w:rPr>
                      <w:szCs w:val="18"/>
                    </w:rPr>
                  </w:pPr>
                  <w:r w:rsidRPr="001D26B1">
                    <w:rPr>
                      <w:szCs w:val="18"/>
                    </w:rPr>
                    <w:t>Fair value</w:t>
                  </w:r>
                </w:p>
              </w:tc>
              <w:tc>
                <w:tcPr>
                  <w:tcW w:w="339" w:type="pct"/>
                </w:tcPr>
                <w:p w14:paraId="59521A80" w14:textId="4B790214" w:rsidR="00DF5DE8" w:rsidRPr="001D26B1" w:rsidRDefault="00DF5DE8" w:rsidP="00DF5DE8">
                  <w:pPr>
                    <w:pStyle w:val="TableBodyText"/>
                    <w:rPr>
                      <w:szCs w:val="18"/>
                    </w:rPr>
                  </w:pPr>
                  <w:proofErr w:type="spellStart"/>
                  <w:r w:rsidRPr="001D26B1">
                    <w:rPr>
                      <w:szCs w:val="18"/>
                    </w:rPr>
                    <w:t>na</w:t>
                  </w:r>
                  <w:proofErr w:type="spellEnd"/>
                </w:p>
              </w:tc>
              <w:tc>
                <w:tcPr>
                  <w:tcW w:w="338" w:type="pct"/>
                </w:tcPr>
                <w:p w14:paraId="51D59E6D" w14:textId="65B15DFA" w:rsidR="00DF5DE8" w:rsidRPr="001D26B1" w:rsidRDefault="00DF5DE8" w:rsidP="00DF5DE8">
                  <w:pPr>
                    <w:pStyle w:val="TableBodyText"/>
                    <w:rPr>
                      <w:szCs w:val="18"/>
                    </w:rPr>
                  </w:pPr>
                  <w:r w:rsidRPr="001D26B1">
                    <w:rPr>
                      <w:szCs w:val="18"/>
                    </w:rPr>
                    <w:t>..</w:t>
                  </w:r>
                </w:p>
              </w:tc>
              <w:tc>
                <w:tcPr>
                  <w:tcW w:w="338" w:type="pct"/>
                </w:tcPr>
                <w:p w14:paraId="7CE27CF7" w14:textId="06EC613A" w:rsidR="00DF5DE8" w:rsidRPr="001D26B1" w:rsidRDefault="00DF5DE8" w:rsidP="00DF5DE8">
                  <w:pPr>
                    <w:pStyle w:val="TableBodyText"/>
                    <w:rPr>
                      <w:szCs w:val="18"/>
                    </w:rPr>
                  </w:pPr>
                  <w:r w:rsidRPr="001D26B1">
                    <w:rPr>
                      <w:szCs w:val="18"/>
                    </w:rPr>
                    <w:t>Market</w:t>
                  </w:r>
                </w:p>
              </w:tc>
              <w:tc>
                <w:tcPr>
                  <w:tcW w:w="338" w:type="pct"/>
                </w:tcPr>
                <w:p w14:paraId="37019C32" w14:textId="1206EF8D" w:rsidR="00DF5DE8" w:rsidRPr="001D26B1" w:rsidRDefault="00DF5DE8" w:rsidP="00DF5DE8">
                  <w:pPr>
                    <w:pStyle w:val="TableBodyText"/>
                    <w:rPr>
                      <w:szCs w:val="18"/>
                    </w:rPr>
                  </w:pPr>
                  <w:r w:rsidRPr="001D26B1">
                    <w:rPr>
                      <w:szCs w:val="18"/>
                    </w:rPr>
                    <w:t>Fair value</w:t>
                  </w:r>
                </w:p>
              </w:tc>
              <w:tc>
                <w:tcPr>
                  <w:tcW w:w="338" w:type="pct"/>
                </w:tcPr>
                <w:p w14:paraId="6937BDBA" w14:textId="5395A18B" w:rsidR="00DF5DE8" w:rsidRPr="001D26B1" w:rsidRDefault="00DF5DE8" w:rsidP="00DF5DE8">
                  <w:pPr>
                    <w:pStyle w:val="TableBodyText"/>
                    <w:rPr>
                      <w:szCs w:val="18"/>
                    </w:rPr>
                  </w:pPr>
                  <w:r w:rsidRPr="001D26B1">
                    <w:rPr>
                      <w:szCs w:val="18"/>
                    </w:rPr>
                    <w:t>Fair value</w:t>
                  </w:r>
                </w:p>
              </w:tc>
              <w:tc>
                <w:tcPr>
                  <w:tcW w:w="393" w:type="pct"/>
                </w:tcPr>
                <w:p w14:paraId="367D8B25" w14:textId="03184A56" w:rsidR="00DF5DE8" w:rsidRPr="001D26B1" w:rsidRDefault="00DF5DE8" w:rsidP="00DF5DE8">
                  <w:pPr>
                    <w:pStyle w:val="TableBodyText"/>
                    <w:rPr>
                      <w:szCs w:val="18"/>
                    </w:rPr>
                  </w:pPr>
                  <w:r w:rsidRPr="001D26B1">
                    <w:rPr>
                      <w:szCs w:val="18"/>
                    </w:rPr>
                    <w:t>Fair value</w:t>
                  </w:r>
                </w:p>
              </w:tc>
              <w:tc>
                <w:tcPr>
                  <w:tcW w:w="442" w:type="pct"/>
                </w:tcPr>
                <w:p w14:paraId="094FCFD4" w14:textId="4CDCEBE8" w:rsidR="00DF5DE8" w:rsidRPr="001D26B1" w:rsidRDefault="00DF5DE8" w:rsidP="00DF5DE8">
                  <w:pPr>
                    <w:pStyle w:val="TableBodyText"/>
                    <w:rPr>
                      <w:szCs w:val="18"/>
                    </w:rPr>
                  </w:pPr>
                  <w:r w:rsidRPr="001D26B1">
                    <w:rPr>
                      <w:szCs w:val="18"/>
                    </w:rPr>
                    <w:t>Fair value</w:t>
                  </w:r>
                </w:p>
              </w:tc>
            </w:tr>
            <w:tr w:rsidR="001D26B1" w:rsidRPr="001D26B1" w14:paraId="41C58B16" w14:textId="77777777" w:rsidTr="00FF6947">
              <w:tc>
                <w:tcPr>
                  <w:tcW w:w="461" w:type="pct"/>
                  <w:shd w:val="clear" w:color="auto" w:fill="auto"/>
                </w:tcPr>
                <w:p w14:paraId="720B69A6" w14:textId="77777777" w:rsidR="00DF5DE8" w:rsidRPr="001D26B1" w:rsidRDefault="00DF5DE8" w:rsidP="00DF5DE8">
                  <w:pPr>
                    <w:pStyle w:val="TableBodyText"/>
                    <w:jc w:val="left"/>
                    <w:rPr>
                      <w:szCs w:val="18"/>
                    </w:rPr>
                  </w:pPr>
                </w:p>
              </w:tc>
              <w:tc>
                <w:tcPr>
                  <w:tcW w:w="461" w:type="pct"/>
                </w:tcPr>
                <w:p w14:paraId="5BBFE839" w14:textId="6813C927" w:rsidR="00DF5DE8" w:rsidRPr="001D26B1" w:rsidRDefault="00DF5DE8" w:rsidP="00DF5DE8">
                  <w:pPr>
                    <w:pStyle w:val="TableBodyText"/>
                    <w:rPr>
                      <w:szCs w:val="18"/>
                    </w:rPr>
                  </w:pPr>
                  <w:r w:rsidRPr="001D26B1">
                    <w:rPr>
                      <w:szCs w:val="18"/>
                    </w:rPr>
                    <w:t>Other assets</w:t>
                  </w:r>
                </w:p>
              </w:tc>
              <w:tc>
                <w:tcPr>
                  <w:tcW w:w="394" w:type="pct"/>
                </w:tcPr>
                <w:p w14:paraId="2469E782" w14:textId="716BC3E0" w:rsidR="00DF5DE8" w:rsidRPr="001D26B1" w:rsidRDefault="00DF5DE8" w:rsidP="00DF5DE8">
                  <w:pPr>
                    <w:pStyle w:val="TableBodyText"/>
                    <w:rPr>
                      <w:szCs w:val="18"/>
                    </w:rPr>
                  </w:pPr>
                  <w:r w:rsidRPr="001D26B1">
                    <w:rPr>
                      <w:szCs w:val="18"/>
                    </w:rPr>
                    <w:t>Fair value</w:t>
                  </w:r>
                </w:p>
              </w:tc>
              <w:tc>
                <w:tcPr>
                  <w:tcW w:w="388" w:type="pct"/>
                </w:tcPr>
                <w:p w14:paraId="448A0D52" w14:textId="2296FDDA" w:rsidR="00DF5DE8" w:rsidRPr="00AB24B2" w:rsidRDefault="00DF5DE8" w:rsidP="00DF5DE8">
                  <w:pPr>
                    <w:pStyle w:val="TableBodyText"/>
                    <w:rPr>
                      <w:szCs w:val="18"/>
                    </w:rPr>
                  </w:pPr>
                  <w:r w:rsidRPr="00AB24B2">
                    <w:rPr>
                      <w:szCs w:val="18"/>
                    </w:rPr>
                    <w:t>Fair value</w:t>
                  </w:r>
                </w:p>
              </w:tc>
              <w:tc>
                <w:tcPr>
                  <w:tcW w:w="401" w:type="pct"/>
                </w:tcPr>
                <w:p w14:paraId="5E0B02C4" w14:textId="68A14018" w:rsidR="00DF5DE8" w:rsidRPr="00AB24B2" w:rsidRDefault="00DF5DE8" w:rsidP="00DF5DE8">
                  <w:pPr>
                    <w:pStyle w:val="TableBodyText"/>
                    <w:rPr>
                      <w:szCs w:val="18"/>
                    </w:rPr>
                  </w:pPr>
                  <w:r w:rsidRPr="00AB24B2">
                    <w:rPr>
                      <w:szCs w:val="18"/>
                    </w:rPr>
                    <w:t>Fair value</w:t>
                  </w:r>
                </w:p>
              </w:tc>
              <w:tc>
                <w:tcPr>
                  <w:tcW w:w="370" w:type="pct"/>
                </w:tcPr>
                <w:p w14:paraId="688415EE" w14:textId="6F565BAD" w:rsidR="00DF5DE8" w:rsidRPr="001D26B1" w:rsidRDefault="00DF5DE8" w:rsidP="00DF5DE8">
                  <w:pPr>
                    <w:pStyle w:val="TableBodyText"/>
                    <w:rPr>
                      <w:szCs w:val="18"/>
                    </w:rPr>
                  </w:pPr>
                  <w:r w:rsidRPr="001D26B1">
                    <w:rPr>
                      <w:szCs w:val="18"/>
                    </w:rPr>
                    <w:t>Fair value</w:t>
                  </w:r>
                </w:p>
              </w:tc>
              <w:tc>
                <w:tcPr>
                  <w:tcW w:w="339" w:type="pct"/>
                </w:tcPr>
                <w:p w14:paraId="5F861FE2" w14:textId="7C51A84E" w:rsidR="00DF5DE8" w:rsidRPr="001D26B1" w:rsidRDefault="00DF5DE8" w:rsidP="00DF5DE8">
                  <w:pPr>
                    <w:pStyle w:val="TableBodyText"/>
                    <w:rPr>
                      <w:szCs w:val="18"/>
                    </w:rPr>
                  </w:pPr>
                  <w:proofErr w:type="spellStart"/>
                  <w:r w:rsidRPr="001D26B1">
                    <w:rPr>
                      <w:szCs w:val="18"/>
                    </w:rPr>
                    <w:t>na</w:t>
                  </w:r>
                  <w:proofErr w:type="spellEnd"/>
                </w:p>
              </w:tc>
              <w:tc>
                <w:tcPr>
                  <w:tcW w:w="338" w:type="pct"/>
                </w:tcPr>
                <w:p w14:paraId="23192F77" w14:textId="12DC4F19" w:rsidR="00DF5DE8" w:rsidRPr="001D26B1" w:rsidRDefault="00DF5DE8" w:rsidP="00DF5DE8">
                  <w:pPr>
                    <w:pStyle w:val="TableBodyText"/>
                    <w:rPr>
                      <w:szCs w:val="18"/>
                    </w:rPr>
                  </w:pPr>
                  <w:r w:rsidRPr="001D26B1">
                    <w:rPr>
                      <w:szCs w:val="18"/>
                    </w:rPr>
                    <w:t>..</w:t>
                  </w:r>
                </w:p>
              </w:tc>
              <w:tc>
                <w:tcPr>
                  <w:tcW w:w="338" w:type="pct"/>
                </w:tcPr>
                <w:p w14:paraId="308631A3" w14:textId="2CBEF0E0" w:rsidR="00DF5DE8" w:rsidRPr="001D26B1" w:rsidRDefault="00DF5DE8" w:rsidP="00DF5DE8">
                  <w:pPr>
                    <w:pStyle w:val="TableBodyText"/>
                    <w:rPr>
                      <w:szCs w:val="18"/>
                    </w:rPr>
                  </w:pPr>
                  <w:r w:rsidRPr="001D26B1">
                    <w:rPr>
                      <w:szCs w:val="18"/>
                    </w:rPr>
                    <w:t>..</w:t>
                  </w:r>
                </w:p>
              </w:tc>
              <w:tc>
                <w:tcPr>
                  <w:tcW w:w="338" w:type="pct"/>
                </w:tcPr>
                <w:p w14:paraId="3B71C637" w14:textId="2F209DA9" w:rsidR="00DF5DE8" w:rsidRPr="001D26B1" w:rsidRDefault="00DF5DE8" w:rsidP="00DF5DE8">
                  <w:pPr>
                    <w:pStyle w:val="TableBodyText"/>
                    <w:rPr>
                      <w:szCs w:val="18"/>
                    </w:rPr>
                  </w:pPr>
                  <w:r w:rsidRPr="001D26B1">
                    <w:rPr>
                      <w:szCs w:val="18"/>
                    </w:rPr>
                    <w:t>Fair value</w:t>
                  </w:r>
                </w:p>
              </w:tc>
              <w:tc>
                <w:tcPr>
                  <w:tcW w:w="338" w:type="pct"/>
                </w:tcPr>
                <w:p w14:paraId="4B7BFE60" w14:textId="2E6344BD" w:rsidR="00DF5DE8" w:rsidRPr="001D26B1" w:rsidRDefault="00DF5DE8" w:rsidP="00DF5DE8">
                  <w:pPr>
                    <w:pStyle w:val="TableBodyText"/>
                    <w:rPr>
                      <w:szCs w:val="18"/>
                    </w:rPr>
                  </w:pPr>
                  <w:r w:rsidRPr="001D26B1">
                    <w:rPr>
                      <w:szCs w:val="18"/>
                    </w:rPr>
                    <w:t>Fair value</w:t>
                  </w:r>
                </w:p>
              </w:tc>
              <w:tc>
                <w:tcPr>
                  <w:tcW w:w="393" w:type="pct"/>
                </w:tcPr>
                <w:p w14:paraId="3AE0F9BE" w14:textId="55E87904" w:rsidR="00DF5DE8" w:rsidRPr="001D26B1" w:rsidRDefault="00DF5DE8" w:rsidP="00DF5DE8">
                  <w:pPr>
                    <w:pStyle w:val="TableBodyText"/>
                    <w:rPr>
                      <w:szCs w:val="18"/>
                    </w:rPr>
                  </w:pPr>
                  <w:r w:rsidRPr="001D26B1">
                    <w:rPr>
                      <w:szCs w:val="18"/>
                    </w:rPr>
                    <w:t>Fair value</w:t>
                  </w:r>
                </w:p>
              </w:tc>
              <w:tc>
                <w:tcPr>
                  <w:tcW w:w="442" w:type="pct"/>
                  <w:shd w:val="clear" w:color="auto" w:fill="auto"/>
                </w:tcPr>
                <w:p w14:paraId="63D9D25A" w14:textId="5253104D" w:rsidR="00DF5DE8" w:rsidRPr="001D26B1" w:rsidRDefault="00DF5DE8" w:rsidP="00DF5DE8">
                  <w:pPr>
                    <w:pStyle w:val="TableBodyText"/>
                    <w:rPr>
                      <w:szCs w:val="18"/>
                    </w:rPr>
                  </w:pPr>
                  <w:r w:rsidRPr="001D26B1">
                    <w:rPr>
                      <w:szCs w:val="18"/>
                    </w:rPr>
                    <w:t>Fair value</w:t>
                  </w:r>
                </w:p>
              </w:tc>
            </w:tr>
            <w:tr w:rsidR="001D26B1" w:rsidRPr="001D26B1" w14:paraId="6BD8A41A" w14:textId="77777777" w:rsidTr="00FF6947">
              <w:tc>
                <w:tcPr>
                  <w:tcW w:w="461" w:type="pct"/>
                  <w:shd w:val="clear" w:color="auto" w:fill="auto"/>
                </w:tcPr>
                <w:p w14:paraId="098C4180" w14:textId="7EAA0BE4" w:rsidR="00D9665D" w:rsidRPr="001D26B1" w:rsidRDefault="00D9665D" w:rsidP="00DF5DE8">
                  <w:pPr>
                    <w:pStyle w:val="TableBodyText"/>
                    <w:jc w:val="left"/>
                    <w:rPr>
                      <w:szCs w:val="18"/>
                    </w:rPr>
                  </w:pPr>
                  <w:r w:rsidRPr="001D26B1">
                    <w:rPr>
                      <w:szCs w:val="18"/>
                    </w:rPr>
                    <w:t>Frequency of revaluations</w:t>
                  </w:r>
                </w:p>
              </w:tc>
              <w:tc>
                <w:tcPr>
                  <w:tcW w:w="461" w:type="pct"/>
                </w:tcPr>
                <w:p w14:paraId="1E73FC35" w14:textId="77777777" w:rsidR="00D9665D" w:rsidRPr="001D26B1" w:rsidRDefault="00D9665D" w:rsidP="00DF5DE8">
                  <w:pPr>
                    <w:pStyle w:val="TableBodyText"/>
                    <w:rPr>
                      <w:szCs w:val="18"/>
                    </w:rPr>
                  </w:pPr>
                  <w:r w:rsidRPr="001D26B1">
                    <w:rPr>
                      <w:szCs w:val="18"/>
                    </w:rPr>
                    <w:t>Land</w:t>
                  </w:r>
                  <w:r w:rsidRPr="001D26B1">
                    <w:rPr>
                      <w:szCs w:val="18"/>
                    </w:rPr>
                    <w:br/>
                    <w:t>Buildings</w:t>
                  </w:r>
                </w:p>
                <w:p w14:paraId="64B97229" w14:textId="76684C9B" w:rsidR="00D9665D" w:rsidRPr="001D26B1" w:rsidRDefault="00D9665D" w:rsidP="00DF5DE8">
                  <w:pPr>
                    <w:pStyle w:val="TableBodyText"/>
                    <w:rPr>
                      <w:szCs w:val="18"/>
                    </w:rPr>
                  </w:pPr>
                  <w:r w:rsidRPr="001D26B1">
                    <w:rPr>
                      <w:szCs w:val="18"/>
                    </w:rPr>
                    <w:t>Other assets</w:t>
                  </w:r>
                </w:p>
              </w:tc>
              <w:tc>
                <w:tcPr>
                  <w:tcW w:w="394" w:type="pct"/>
                </w:tcPr>
                <w:p w14:paraId="1A4FC86D" w14:textId="7703671E" w:rsidR="00D9665D" w:rsidRPr="001D26B1" w:rsidRDefault="00D9665D" w:rsidP="00DF5DE8">
                  <w:pPr>
                    <w:pStyle w:val="TableBodyText"/>
                    <w:rPr>
                      <w:szCs w:val="18"/>
                    </w:rPr>
                  </w:pPr>
                  <w:r w:rsidRPr="001D26B1">
                    <w:rPr>
                      <w:szCs w:val="18"/>
                    </w:rPr>
                    <w:t xml:space="preserve">3 </w:t>
                  </w:r>
                  <w:proofErr w:type="spellStart"/>
                  <w:r w:rsidRPr="001D26B1">
                    <w:rPr>
                      <w:szCs w:val="18"/>
                    </w:rPr>
                    <w:t>yrs</w:t>
                  </w:r>
                  <w:proofErr w:type="spellEnd"/>
                </w:p>
                <w:p w14:paraId="000F6819" w14:textId="77777777" w:rsidR="00D9665D" w:rsidRPr="001D26B1" w:rsidRDefault="00D9665D" w:rsidP="00DF5DE8">
                  <w:pPr>
                    <w:pStyle w:val="TableBodyText"/>
                    <w:rPr>
                      <w:szCs w:val="18"/>
                    </w:rPr>
                  </w:pPr>
                </w:p>
                <w:p w14:paraId="395D849C" w14:textId="44487D96" w:rsidR="00D9665D" w:rsidRPr="001D26B1" w:rsidRDefault="00D9665D" w:rsidP="00DF5DE8">
                  <w:pPr>
                    <w:pStyle w:val="TableBodyText"/>
                    <w:rPr>
                      <w:szCs w:val="18"/>
                    </w:rPr>
                  </w:pPr>
                  <w:r w:rsidRPr="001D26B1">
                    <w:rPr>
                      <w:szCs w:val="18"/>
                    </w:rPr>
                    <w:t xml:space="preserve">3 </w:t>
                  </w:r>
                  <w:proofErr w:type="spellStart"/>
                  <w:r w:rsidRPr="001D26B1">
                    <w:rPr>
                      <w:szCs w:val="18"/>
                    </w:rPr>
                    <w:t>yrs</w:t>
                  </w:r>
                  <w:proofErr w:type="spellEnd"/>
                </w:p>
              </w:tc>
              <w:tc>
                <w:tcPr>
                  <w:tcW w:w="789" w:type="pct"/>
                  <w:gridSpan w:val="2"/>
                </w:tcPr>
                <w:p w14:paraId="2C06CBDE" w14:textId="77777777" w:rsidR="00D9665D" w:rsidRPr="00AB24B2" w:rsidRDefault="00091950" w:rsidP="00D9665D">
                  <w:pPr>
                    <w:pStyle w:val="TableBodyText"/>
                    <w:ind w:left="214"/>
                    <w:jc w:val="center"/>
                    <w:rPr>
                      <w:szCs w:val="18"/>
                    </w:rPr>
                  </w:pPr>
                  <w:r w:rsidRPr="00AB24B2">
                    <w:rPr>
                      <w:szCs w:val="18"/>
                    </w:rPr>
                    <w:t xml:space="preserve">3 </w:t>
                  </w:r>
                  <w:proofErr w:type="spellStart"/>
                  <w:r w:rsidRPr="00AB24B2">
                    <w:rPr>
                      <w:szCs w:val="18"/>
                    </w:rPr>
                    <w:t>yrs</w:t>
                  </w:r>
                  <w:proofErr w:type="spellEnd"/>
                </w:p>
                <w:p w14:paraId="4EC30F57" w14:textId="77777777" w:rsidR="00091950" w:rsidRPr="00AB24B2" w:rsidRDefault="00091950" w:rsidP="00D9665D">
                  <w:pPr>
                    <w:pStyle w:val="TableBodyText"/>
                    <w:ind w:left="214"/>
                    <w:jc w:val="center"/>
                    <w:rPr>
                      <w:szCs w:val="18"/>
                    </w:rPr>
                  </w:pPr>
                </w:p>
                <w:p w14:paraId="651473CF" w14:textId="2C305B8B" w:rsidR="00091950" w:rsidRPr="00AB24B2" w:rsidRDefault="00091950" w:rsidP="00D9665D">
                  <w:pPr>
                    <w:pStyle w:val="TableBodyText"/>
                    <w:ind w:left="214"/>
                    <w:jc w:val="center"/>
                    <w:rPr>
                      <w:szCs w:val="18"/>
                    </w:rPr>
                  </w:pPr>
                  <w:r w:rsidRPr="00AB24B2">
                    <w:rPr>
                      <w:szCs w:val="18"/>
                    </w:rPr>
                    <w:t xml:space="preserve">3 </w:t>
                  </w:r>
                  <w:proofErr w:type="spellStart"/>
                  <w:r w:rsidRPr="00AB24B2">
                    <w:rPr>
                      <w:szCs w:val="18"/>
                    </w:rPr>
                    <w:t>yrs</w:t>
                  </w:r>
                  <w:proofErr w:type="spellEnd"/>
                </w:p>
              </w:tc>
              <w:tc>
                <w:tcPr>
                  <w:tcW w:w="370" w:type="pct"/>
                </w:tcPr>
                <w:p w14:paraId="5897D066" w14:textId="77777777" w:rsidR="00D9665D" w:rsidRPr="001D26B1" w:rsidRDefault="00D9665D" w:rsidP="00DF5DE8">
                  <w:pPr>
                    <w:pStyle w:val="TableBodyText"/>
                    <w:rPr>
                      <w:szCs w:val="18"/>
                    </w:rPr>
                  </w:pPr>
                  <w:r w:rsidRPr="001D26B1">
                    <w:rPr>
                      <w:szCs w:val="18"/>
                    </w:rPr>
                    <w:t xml:space="preserve">5 </w:t>
                  </w:r>
                  <w:proofErr w:type="spellStart"/>
                  <w:r w:rsidRPr="001D26B1">
                    <w:rPr>
                      <w:szCs w:val="18"/>
                    </w:rPr>
                    <w:t>yrs</w:t>
                  </w:r>
                  <w:proofErr w:type="spellEnd"/>
                </w:p>
                <w:p w14:paraId="6B632795" w14:textId="77777777" w:rsidR="00D9665D" w:rsidRPr="001D26B1" w:rsidRDefault="00D9665D" w:rsidP="00DF5DE8">
                  <w:pPr>
                    <w:pStyle w:val="TableBodyText"/>
                    <w:rPr>
                      <w:szCs w:val="18"/>
                    </w:rPr>
                  </w:pPr>
                </w:p>
                <w:p w14:paraId="5CABB2B3" w14:textId="55F27105" w:rsidR="00D9665D" w:rsidRPr="001D26B1" w:rsidRDefault="00D9665D" w:rsidP="00DF5DE8">
                  <w:pPr>
                    <w:pStyle w:val="TableBodyText"/>
                    <w:rPr>
                      <w:szCs w:val="18"/>
                    </w:rPr>
                  </w:pPr>
                  <w:r w:rsidRPr="001D26B1">
                    <w:rPr>
                      <w:szCs w:val="18"/>
                    </w:rPr>
                    <w:t>..</w:t>
                  </w:r>
                </w:p>
              </w:tc>
              <w:tc>
                <w:tcPr>
                  <w:tcW w:w="339" w:type="pct"/>
                </w:tcPr>
                <w:p w14:paraId="50E6AA40" w14:textId="77777777" w:rsidR="00D9665D" w:rsidRPr="001D26B1" w:rsidRDefault="00D9665D" w:rsidP="00DF5DE8">
                  <w:pPr>
                    <w:pStyle w:val="TableBodyText"/>
                    <w:rPr>
                      <w:szCs w:val="18"/>
                    </w:rPr>
                  </w:pPr>
                  <w:r w:rsidRPr="001D26B1">
                    <w:rPr>
                      <w:szCs w:val="18"/>
                    </w:rPr>
                    <w:t xml:space="preserve">5 </w:t>
                  </w:r>
                  <w:proofErr w:type="spellStart"/>
                  <w:r w:rsidRPr="001D26B1">
                    <w:rPr>
                      <w:szCs w:val="18"/>
                    </w:rPr>
                    <w:t>yrs</w:t>
                  </w:r>
                  <w:proofErr w:type="spellEnd"/>
                </w:p>
                <w:p w14:paraId="6E303AE3" w14:textId="77777777" w:rsidR="00D9665D" w:rsidRPr="001D26B1" w:rsidRDefault="00D9665D" w:rsidP="00DF5DE8">
                  <w:pPr>
                    <w:pStyle w:val="TableBodyText"/>
                    <w:rPr>
                      <w:szCs w:val="18"/>
                    </w:rPr>
                  </w:pPr>
                </w:p>
                <w:p w14:paraId="41F36973" w14:textId="4B50152B" w:rsidR="00D9665D" w:rsidRPr="001D26B1" w:rsidRDefault="00D9665D" w:rsidP="00DF5DE8">
                  <w:pPr>
                    <w:pStyle w:val="TableBodyText"/>
                    <w:rPr>
                      <w:szCs w:val="18"/>
                    </w:rPr>
                  </w:pPr>
                  <w:r w:rsidRPr="001D26B1">
                    <w:rPr>
                      <w:szCs w:val="18"/>
                    </w:rPr>
                    <w:t>..</w:t>
                  </w:r>
                </w:p>
              </w:tc>
              <w:tc>
                <w:tcPr>
                  <w:tcW w:w="338" w:type="pct"/>
                </w:tcPr>
                <w:p w14:paraId="5A48F274" w14:textId="77777777" w:rsidR="00D9665D" w:rsidRPr="001D26B1" w:rsidRDefault="00D9665D" w:rsidP="00DF5DE8">
                  <w:pPr>
                    <w:pStyle w:val="TableBodyText"/>
                    <w:rPr>
                      <w:szCs w:val="18"/>
                    </w:rPr>
                  </w:pPr>
                  <w:r w:rsidRPr="001D26B1">
                    <w:rPr>
                      <w:szCs w:val="18"/>
                    </w:rPr>
                    <w:t xml:space="preserve">5 </w:t>
                  </w:r>
                  <w:proofErr w:type="spellStart"/>
                  <w:r w:rsidRPr="001D26B1">
                    <w:rPr>
                      <w:szCs w:val="18"/>
                    </w:rPr>
                    <w:t>yrs</w:t>
                  </w:r>
                  <w:proofErr w:type="spellEnd"/>
                </w:p>
                <w:p w14:paraId="1DDFD86F" w14:textId="77777777" w:rsidR="00D9665D" w:rsidRPr="001D26B1" w:rsidRDefault="00D9665D" w:rsidP="00DF5DE8">
                  <w:pPr>
                    <w:pStyle w:val="TableBodyText"/>
                    <w:rPr>
                      <w:szCs w:val="18"/>
                    </w:rPr>
                  </w:pPr>
                </w:p>
                <w:p w14:paraId="32213440" w14:textId="447DC858" w:rsidR="00D9665D" w:rsidRPr="001D26B1" w:rsidRDefault="00D9665D" w:rsidP="00DF5DE8">
                  <w:pPr>
                    <w:pStyle w:val="TableBodyText"/>
                    <w:rPr>
                      <w:szCs w:val="18"/>
                    </w:rPr>
                  </w:pPr>
                  <w:r w:rsidRPr="001D26B1">
                    <w:rPr>
                      <w:szCs w:val="18"/>
                    </w:rPr>
                    <w:t>..</w:t>
                  </w:r>
                </w:p>
              </w:tc>
              <w:tc>
                <w:tcPr>
                  <w:tcW w:w="338" w:type="pct"/>
                </w:tcPr>
                <w:p w14:paraId="287BA825" w14:textId="51F778BD" w:rsidR="00D9665D" w:rsidRPr="001D26B1" w:rsidRDefault="00D9665D" w:rsidP="00DF5DE8">
                  <w:pPr>
                    <w:pStyle w:val="TableBodyText"/>
                    <w:rPr>
                      <w:szCs w:val="18"/>
                    </w:rPr>
                  </w:pPr>
                  <w:proofErr w:type="spellStart"/>
                  <w:r w:rsidRPr="001D26B1">
                    <w:rPr>
                      <w:szCs w:val="18"/>
                    </w:rPr>
                    <w:t>na</w:t>
                  </w:r>
                  <w:proofErr w:type="spellEnd"/>
                </w:p>
                <w:p w14:paraId="127871E0" w14:textId="77777777" w:rsidR="00D9665D" w:rsidRPr="001D26B1" w:rsidRDefault="00D9665D" w:rsidP="00DF5DE8">
                  <w:pPr>
                    <w:pStyle w:val="TableBodyText"/>
                    <w:rPr>
                      <w:szCs w:val="18"/>
                    </w:rPr>
                  </w:pPr>
                </w:p>
                <w:p w14:paraId="3EDE3C10" w14:textId="31B54AE2" w:rsidR="00D9665D" w:rsidRPr="001D26B1" w:rsidRDefault="00D9665D" w:rsidP="00DF5DE8">
                  <w:pPr>
                    <w:pStyle w:val="TableBodyText"/>
                    <w:rPr>
                      <w:szCs w:val="18"/>
                    </w:rPr>
                  </w:pPr>
                  <w:proofErr w:type="spellStart"/>
                  <w:r w:rsidRPr="001D26B1">
                    <w:rPr>
                      <w:szCs w:val="18"/>
                    </w:rPr>
                    <w:t>na</w:t>
                  </w:r>
                  <w:proofErr w:type="spellEnd"/>
                </w:p>
              </w:tc>
              <w:tc>
                <w:tcPr>
                  <w:tcW w:w="338" w:type="pct"/>
                </w:tcPr>
                <w:p w14:paraId="59A10EF2" w14:textId="3726B52E" w:rsidR="00D9665D" w:rsidRPr="00AB24B2" w:rsidRDefault="00B93589" w:rsidP="00DF5DE8">
                  <w:pPr>
                    <w:pStyle w:val="TableBodyText"/>
                    <w:rPr>
                      <w:szCs w:val="18"/>
                    </w:rPr>
                  </w:pPr>
                  <w:r w:rsidRPr="00AB24B2">
                    <w:rPr>
                      <w:szCs w:val="18"/>
                    </w:rPr>
                    <w:t>6</w:t>
                  </w:r>
                  <w:r w:rsidR="00D9665D" w:rsidRPr="00AB24B2">
                    <w:rPr>
                      <w:szCs w:val="18"/>
                    </w:rPr>
                    <w:t xml:space="preserve"> </w:t>
                  </w:r>
                  <w:proofErr w:type="spellStart"/>
                  <w:r w:rsidR="00D9665D" w:rsidRPr="00AB24B2">
                    <w:rPr>
                      <w:szCs w:val="18"/>
                    </w:rPr>
                    <w:t>yrs</w:t>
                  </w:r>
                  <w:proofErr w:type="spellEnd"/>
                </w:p>
                <w:p w14:paraId="0EAAD197" w14:textId="77777777" w:rsidR="00D9665D" w:rsidRPr="00AB24B2" w:rsidRDefault="00D9665D" w:rsidP="00DF5DE8">
                  <w:pPr>
                    <w:pStyle w:val="TableBodyText"/>
                    <w:rPr>
                      <w:szCs w:val="18"/>
                    </w:rPr>
                  </w:pPr>
                </w:p>
                <w:p w14:paraId="6EB31038" w14:textId="52D4D853" w:rsidR="00D9665D" w:rsidRPr="00AB24B2" w:rsidRDefault="00B93589" w:rsidP="00DF5DE8">
                  <w:pPr>
                    <w:pStyle w:val="TableBodyText"/>
                    <w:rPr>
                      <w:szCs w:val="18"/>
                    </w:rPr>
                  </w:pPr>
                  <w:proofErr w:type="spellStart"/>
                  <w:r w:rsidRPr="00AB24B2">
                    <w:rPr>
                      <w:szCs w:val="18"/>
                    </w:rPr>
                    <w:t>na</w:t>
                  </w:r>
                  <w:proofErr w:type="spellEnd"/>
                </w:p>
              </w:tc>
              <w:tc>
                <w:tcPr>
                  <w:tcW w:w="338" w:type="pct"/>
                </w:tcPr>
                <w:p w14:paraId="455F0537" w14:textId="77777777" w:rsidR="00D9665D" w:rsidRPr="00AB24B2" w:rsidRDefault="00D9665D" w:rsidP="00DF5DE8">
                  <w:pPr>
                    <w:pStyle w:val="TableBodyText"/>
                    <w:rPr>
                      <w:szCs w:val="18"/>
                    </w:rPr>
                  </w:pPr>
                  <w:r w:rsidRPr="00AB24B2">
                    <w:rPr>
                      <w:szCs w:val="18"/>
                    </w:rPr>
                    <w:t xml:space="preserve">5 </w:t>
                  </w:r>
                  <w:proofErr w:type="spellStart"/>
                  <w:r w:rsidRPr="00AB24B2">
                    <w:rPr>
                      <w:szCs w:val="18"/>
                    </w:rPr>
                    <w:t>yrs</w:t>
                  </w:r>
                  <w:proofErr w:type="spellEnd"/>
                </w:p>
                <w:p w14:paraId="1F0E666E" w14:textId="77777777" w:rsidR="00D9665D" w:rsidRPr="00AB24B2" w:rsidRDefault="00D9665D" w:rsidP="00DF5DE8">
                  <w:pPr>
                    <w:pStyle w:val="TableBodyText"/>
                    <w:rPr>
                      <w:szCs w:val="18"/>
                    </w:rPr>
                  </w:pPr>
                </w:p>
                <w:p w14:paraId="66822F73" w14:textId="067C4143" w:rsidR="00D9665D" w:rsidRPr="00AB24B2" w:rsidRDefault="00D9665D" w:rsidP="00DF5DE8">
                  <w:pPr>
                    <w:pStyle w:val="TableBodyText"/>
                    <w:rPr>
                      <w:szCs w:val="18"/>
                    </w:rPr>
                  </w:pPr>
                  <w:r w:rsidRPr="00AB24B2">
                    <w:rPr>
                      <w:szCs w:val="18"/>
                    </w:rPr>
                    <w:t xml:space="preserve">5 </w:t>
                  </w:r>
                  <w:proofErr w:type="spellStart"/>
                  <w:r w:rsidRPr="00AB24B2">
                    <w:rPr>
                      <w:szCs w:val="18"/>
                    </w:rPr>
                    <w:t>yrs</w:t>
                  </w:r>
                  <w:proofErr w:type="spellEnd"/>
                </w:p>
              </w:tc>
              <w:tc>
                <w:tcPr>
                  <w:tcW w:w="393" w:type="pct"/>
                </w:tcPr>
                <w:p w14:paraId="67E05CC3" w14:textId="77777777" w:rsidR="00D9665D" w:rsidRPr="001D26B1" w:rsidRDefault="00D9665D" w:rsidP="00DF5DE8">
                  <w:pPr>
                    <w:pStyle w:val="TableBodyText"/>
                    <w:rPr>
                      <w:szCs w:val="18"/>
                    </w:rPr>
                  </w:pPr>
                  <w:r w:rsidRPr="001D26B1">
                    <w:rPr>
                      <w:szCs w:val="18"/>
                    </w:rPr>
                    <w:t xml:space="preserve">3 </w:t>
                  </w:r>
                  <w:proofErr w:type="spellStart"/>
                  <w:r w:rsidRPr="001D26B1">
                    <w:rPr>
                      <w:szCs w:val="18"/>
                    </w:rPr>
                    <w:t>yrs</w:t>
                  </w:r>
                  <w:proofErr w:type="spellEnd"/>
                </w:p>
                <w:p w14:paraId="3E4F9737" w14:textId="77777777" w:rsidR="00D9665D" w:rsidRPr="001D26B1" w:rsidRDefault="00D9665D" w:rsidP="00DF5DE8">
                  <w:pPr>
                    <w:pStyle w:val="TableBodyText"/>
                    <w:rPr>
                      <w:szCs w:val="18"/>
                    </w:rPr>
                  </w:pPr>
                </w:p>
                <w:p w14:paraId="2B633967" w14:textId="0E68DCCB" w:rsidR="00D9665D" w:rsidRPr="001D26B1" w:rsidRDefault="00D9665D" w:rsidP="00DF5DE8">
                  <w:pPr>
                    <w:pStyle w:val="TableBodyText"/>
                    <w:rPr>
                      <w:szCs w:val="18"/>
                    </w:rPr>
                  </w:pPr>
                  <w:r w:rsidRPr="001D26B1">
                    <w:rPr>
                      <w:szCs w:val="18"/>
                    </w:rPr>
                    <w:t xml:space="preserve">3 </w:t>
                  </w:r>
                  <w:proofErr w:type="spellStart"/>
                  <w:r w:rsidRPr="001D26B1">
                    <w:rPr>
                      <w:szCs w:val="18"/>
                    </w:rPr>
                    <w:t>yrs</w:t>
                  </w:r>
                  <w:proofErr w:type="spellEnd"/>
                </w:p>
              </w:tc>
              <w:tc>
                <w:tcPr>
                  <w:tcW w:w="442" w:type="pct"/>
                  <w:shd w:val="clear" w:color="auto" w:fill="auto"/>
                </w:tcPr>
                <w:p w14:paraId="189DEA1B" w14:textId="1EC40BC2" w:rsidR="00D9665D" w:rsidRPr="001D26B1" w:rsidRDefault="00D9665D" w:rsidP="00DF5DE8">
                  <w:pPr>
                    <w:pStyle w:val="TableBodyText"/>
                    <w:rPr>
                      <w:szCs w:val="18"/>
                    </w:rPr>
                  </w:pPr>
                  <w:proofErr w:type="gramStart"/>
                  <w:r w:rsidRPr="001D26B1">
                    <w:rPr>
                      <w:szCs w:val="18"/>
                    </w:rPr>
                    <w:t>Sufficient</w:t>
                  </w:r>
                  <w:proofErr w:type="gramEnd"/>
                  <w:r w:rsidRPr="001D26B1">
                    <w:rPr>
                      <w:szCs w:val="18"/>
                    </w:rPr>
                    <w:t xml:space="preserve"> regularity to avoid material misstatement</w:t>
                  </w:r>
                </w:p>
              </w:tc>
            </w:tr>
            <w:tr w:rsidR="001D26B1" w:rsidRPr="001D26B1" w14:paraId="213C50B1" w14:textId="77777777" w:rsidTr="00FF6947">
              <w:tc>
                <w:tcPr>
                  <w:tcW w:w="461" w:type="pct"/>
                  <w:shd w:val="clear" w:color="auto" w:fill="auto"/>
                </w:tcPr>
                <w:p w14:paraId="50B931EE" w14:textId="57FF74D1" w:rsidR="00234637" w:rsidRPr="001D26B1" w:rsidRDefault="00234637" w:rsidP="00234637">
                  <w:pPr>
                    <w:pStyle w:val="TableBodyText"/>
                    <w:jc w:val="left"/>
                    <w:rPr>
                      <w:szCs w:val="18"/>
                    </w:rPr>
                  </w:pPr>
                  <w:r w:rsidRPr="001D26B1">
                    <w:rPr>
                      <w:szCs w:val="18"/>
                    </w:rPr>
                    <w:t>Useful asset</w:t>
                  </w:r>
                </w:p>
              </w:tc>
              <w:tc>
                <w:tcPr>
                  <w:tcW w:w="461" w:type="pct"/>
                </w:tcPr>
                <w:p w14:paraId="6BBD6707" w14:textId="1C8A59ED" w:rsidR="00234637" w:rsidRPr="001D26B1" w:rsidRDefault="00234637" w:rsidP="00234637">
                  <w:pPr>
                    <w:pStyle w:val="TableBodyText"/>
                    <w:rPr>
                      <w:szCs w:val="18"/>
                    </w:rPr>
                  </w:pPr>
                  <w:r w:rsidRPr="001D26B1">
                    <w:rPr>
                      <w:szCs w:val="18"/>
                    </w:rPr>
                    <w:t>Buildings</w:t>
                  </w:r>
                </w:p>
              </w:tc>
              <w:tc>
                <w:tcPr>
                  <w:tcW w:w="394" w:type="pct"/>
                </w:tcPr>
                <w:p w14:paraId="5C266323" w14:textId="18EC6AAE" w:rsidR="00234637" w:rsidRPr="001D26B1" w:rsidRDefault="00234637" w:rsidP="00234637">
                  <w:pPr>
                    <w:pStyle w:val="TableBodyText"/>
                    <w:rPr>
                      <w:szCs w:val="18"/>
                    </w:rPr>
                  </w:pPr>
                  <w:proofErr w:type="spellStart"/>
                  <w:r w:rsidRPr="001D26B1">
                    <w:rPr>
                      <w:szCs w:val="18"/>
                    </w:rPr>
                    <w:t>na</w:t>
                  </w:r>
                  <w:proofErr w:type="spellEnd"/>
                </w:p>
              </w:tc>
              <w:tc>
                <w:tcPr>
                  <w:tcW w:w="388" w:type="pct"/>
                </w:tcPr>
                <w:p w14:paraId="47B62F9F" w14:textId="0081DC6B" w:rsidR="00234637" w:rsidRPr="00AB24B2" w:rsidRDefault="00234637" w:rsidP="00234637">
                  <w:pPr>
                    <w:pStyle w:val="TableBodyText"/>
                    <w:rPr>
                      <w:szCs w:val="18"/>
                    </w:rPr>
                  </w:pPr>
                  <w:proofErr w:type="spellStart"/>
                  <w:r w:rsidRPr="00AB24B2">
                    <w:rPr>
                      <w:szCs w:val="18"/>
                    </w:rPr>
                    <w:t>na</w:t>
                  </w:r>
                  <w:proofErr w:type="spellEnd"/>
                </w:p>
              </w:tc>
              <w:tc>
                <w:tcPr>
                  <w:tcW w:w="401" w:type="pct"/>
                </w:tcPr>
                <w:p w14:paraId="334DD4E8" w14:textId="10F1AD25" w:rsidR="00234637" w:rsidRPr="00AB24B2" w:rsidRDefault="00234637" w:rsidP="00234637">
                  <w:pPr>
                    <w:pStyle w:val="TableBodyText"/>
                    <w:rPr>
                      <w:szCs w:val="18"/>
                    </w:rPr>
                  </w:pPr>
                  <w:proofErr w:type="spellStart"/>
                  <w:r w:rsidRPr="00AB24B2">
                    <w:rPr>
                      <w:szCs w:val="18"/>
                    </w:rPr>
                    <w:t>na</w:t>
                  </w:r>
                  <w:proofErr w:type="spellEnd"/>
                </w:p>
              </w:tc>
              <w:tc>
                <w:tcPr>
                  <w:tcW w:w="370" w:type="pct"/>
                </w:tcPr>
                <w:p w14:paraId="4BEDA292" w14:textId="77777777" w:rsidR="00234637" w:rsidRPr="001D26B1" w:rsidRDefault="00234637" w:rsidP="00234637">
                  <w:pPr>
                    <w:pStyle w:val="TableBodyText"/>
                    <w:rPr>
                      <w:szCs w:val="18"/>
                    </w:rPr>
                  </w:pPr>
                </w:p>
              </w:tc>
              <w:tc>
                <w:tcPr>
                  <w:tcW w:w="339" w:type="pct"/>
                </w:tcPr>
                <w:p w14:paraId="76829028" w14:textId="77777777" w:rsidR="00234637" w:rsidRPr="001D26B1" w:rsidRDefault="00234637" w:rsidP="00234637">
                  <w:pPr>
                    <w:pStyle w:val="TableBodyText"/>
                    <w:rPr>
                      <w:szCs w:val="18"/>
                    </w:rPr>
                  </w:pPr>
                </w:p>
              </w:tc>
              <w:tc>
                <w:tcPr>
                  <w:tcW w:w="338" w:type="pct"/>
                </w:tcPr>
                <w:p w14:paraId="09E13590" w14:textId="77777777" w:rsidR="00234637" w:rsidRPr="001D26B1" w:rsidRDefault="00234637" w:rsidP="00234637">
                  <w:pPr>
                    <w:pStyle w:val="TableBodyText"/>
                    <w:rPr>
                      <w:szCs w:val="18"/>
                    </w:rPr>
                  </w:pPr>
                </w:p>
              </w:tc>
              <w:tc>
                <w:tcPr>
                  <w:tcW w:w="338" w:type="pct"/>
                </w:tcPr>
                <w:p w14:paraId="1FD07F80" w14:textId="77777777" w:rsidR="00234637" w:rsidRPr="001D26B1" w:rsidRDefault="00234637" w:rsidP="00234637">
                  <w:pPr>
                    <w:pStyle w:val="TableBodyText"/>
                    <w:rPr>
                      <w:szCs w:val="18"/>
                    </w:rPr>
                  </w:pPr>
                </w:p>
              </w:tc>
              <w:tc>
                <w:tcPr>
                  <w:tcW w:w="338" w:type="pct"/>
                </w:tcPr>
                <w:p w14:paraId="1CB80F18" w14:textId="77777777" w:rsidR="00234637" w:rsidRPr="00AB24B2" w:rsidRDefault="00234637" w:rsidP="00234637">
                  <w:pPr>
                    <w:pStyle w:val="TableBodyText"/>
                    <w:rPr>
                      <w:szCs w:val="18"/>
                    </w:rPr>
                  </w:pPr>
                </w:p>
              </w:tc>
              <w:tc>
                <w:tcPr>
                  <w:tcW w:w="338" w:type="pct"/>
                </w:tcPr>
                <w:p w14:paraId="5C27CB08" w14:textId="77777777" w:rsidR="00234637" w:rsidRPr="00AB24B2" w:rsidRDefault="00234637" w:rsidP="00234637">
                  <w:pPr>
                    <w:pStyle w:val="TableBodyText"/>
                    <w:rPr>
                      <w:szCs w:val="18"/>
                    </w:rPr>
                  </w:pPr>
                </w:p>
              </w:tc>
              <w:tc>
                <w:tcPr>
                  <w:tcW w:w="393" w:type="pct"/>
                </w:tcPr>
                <w:p w14:paraId="7DA4DE66" w14:textId="77777777" w:rsidR="00234637" w:rsidRPr="001D26B1" w:rsidRDefault="00234637" w:rsidP="00234637">
                  <w:pPr>
                    <w:pStyle w:val="TableBodyText"/>
                    <w:rPr>
                      <w:szCs w:val="18"/>
                    </w:rPr>
                  </w:pPr>
                </w:p>
              </w:tc>
              <w:tc>
                <w:tcPr>
                  <w:tcW w:w="442" w:type="pct"/>
                  <w:shd w:val="clear" w:color="auto" w:fill="auto"/>
                </w:tcPr>
                <w:p w14:paraId="38F4EFDB" w14:textId="77777777" w:rsidR="00234637" w:rsidRPr="001D26B1" w:rsidRDefault="00234637" w:rsidP="00234637">
                  <w:pPr>
                    <w:pStyle w:val="TableBodyText"/>
                    <w:rPr>
                      <w:szCs w:val="18"/>
                    </w:rPr>
                  </w:pPr>
                </w:p>
              </w:tc>
            </w:tr>
            <w:tr w:rsidR="001D26B1" w:rsidRPr="001D26B1" w14:paraId="6EDE354C" w14:textId="77777777" w:rsidTr="00FF6947">
              <w:tc>
                <w:tcPr>
                  <w:tcW w:w="461" w:type="pct"/>
                  <w:shd w:val="clear" w:color="auto" w:fill="auto"/>
                </w:tcPr>
                <w:p w14:paraId="659ABD47" w14:textId="7ADAE814" w:rsidR="002C7979" w:rsidRPr="001D26B1" w:rsidRDefault="004A7C59" w:rsidP="002C7979">
                  <w:pPr>
                    <w:pStyle w:val="TableBodyText"/>
                    <w:jc w:val="left"/>
                    <w:rPr>
                      <w:szCs w:val="18"/>
                    </w:rPr>
                  </w:pPr>
                  <w:r w:rsidRPr="001D26B1">
                    <w:rPr>
                      <w:szCs w:val="18"/>
                    </w:rPr>
                    <w:t>L</w:t>
                  </w:r>
                  <w:r w:rsidR="002C7979" w:rsidRPr="001D26B1">
                    <w:rPr>
                      <w:szCs w:val="18"/>
                    </w:rPr>
                    <w:t>ives</w:t>
                  </w:r>
                  <w:r w:rsidRPr="001D26B1">
                    <w:rPr>
                      <w:szCs w:val="18"/>
                    </w:rPr>
                    <w:t xml:space="preserve"> (c)</w:t>
                  </w:r>
                </w:p>
              </w:tc>
              <w:tc>
                <w:tcPr>
                  <w:tcW w:w="461" w:type="pct"/>
                </w:tcPr>
                <w:p w14:paraId="7C5C4BB8" w14:textId="6BA9EADA" w:rsidR="002C7979" w:rsidRPr="001D26B1" w:rsidRDefault="002C7979" w:rsidP="002C7979">
                  <w:pPr>
                    <w:pStyle w:val="TableBodyText"/>
                    <w:rPr>
                      <w:szCs w:val="18"/>
                    </w:rPr>
                  </w:pPr>
                  <w:r w:rsidRPr="001D26B1">
                    <w:rPr>
                      <w:szCs w:val="18"/>
                    </w:rPr>
                    <w:t>General equipment</w:t>
                  </w:r>
                </w:p>
              </w:tc>
              <w:tc>
                <w:tcPr>
                  <w:tcW w:w="394" w:type="pct"/>
                </w:tcPr>
                <w:p w14:paraId="7BD1C681" w14:textId="2156122E" w:rsidR="002C7979" w:rsidRPr="001D26B1" w:rsidRDefault="002C7979" w:rsidP="002C7979">
                  <w:pPr>
                    <w:pStyle w:val="TableBodyText"/>
                    <w:rPr>
                      <w:szCs w:val="18"/>
                    </w:rPr>
                  </w:pPr>
                  <w:r w:rsidRPr="001D26B1">
                    <w:rPr>
                      <w:szCs w:val="18"/>
                    </w:rPr>
                    <w:t xml:space="preserve">4-10 </w:t>
                  </w:r>
                  <w:proofErr w:type="spellStart"/>
                  <w:r w:rsidRPr="001D26B1">
                    <w:rPr>
                      <w:szCs w:val="18"/>
                    </w:rPr>
                    <w:t>yrs</w:t>
                  </w:r>
                  <w:proofErr w:type="spellEnd"/>
                </w:p>
              </w:tc>
              <w:tc>
                <w:tcPr>
                  <w:tcW w:w="388" w:type="pct"/>
                </w:tcPr>
                <w:p w14:paraId="39B93C06" w14:textId="0B5D8281" w:rsidR="002C7979" w:rsidRPr="00AB24B2" w:rsidRDefault="00AD4E83" w:rsidP="002C7979">
                  <w:pPr>
                    <w:pStyle w:val="TableBodyText"/>
                    <w:rPr>
                      <w:szCs w:val="18"/>
                    </w:rPr>
                  </w:pPr>
                  <w:r w:rsidRPr="00AB24B2">
                    <w:rPr>
                      <w:szCs w:val="18"/>
                    </w:rPr>
                    <w:t>4-10</w:t>
                  </w:r>
                  <w:r w:rsidR="002C7979" w:rsidRPr="00AB24B2">
                    <w:rPr>
                      <w:szCs w:val="18"/>
                    </w:rPr>
                    <w:t xml:space="preserve"> </w:t>
                  </w:r>
                  <w:proofErr w:type="spellStart"/>
                  <w:r w:rsidR="002C7979" w:rsidRPr="00AB24B2">
                    <w:rPr>
                      <w:szCs w:val="18"/>
                    </w:rPr>
                    <w:t>yrs</w:t>
                  </w:r>
                  <w:proofErr w:type="spellEnd"/>
                </w:p>
              </w:tc>
              <w:tc>
                <w:tcPr>
                  <w:tcW w:w="401" w:type="pct"/>
                </w:tcPr>
                <w:p w14:paraId="12408115" w14:textId="6AD68BDA" w:rsidR="002C7979" w:rsidRPr="00AB24B2" w:rsidRDefault="00AD4E83" w:rsidP="002C7979">
                  <w:pPr>
                    <w:pStyle w:val="TableBodyText"/>
                    <w:rPr>
                      <w:szCs w:val="18"/>
                    </w:rPr>
                  </w:pPr>
                  <w:r w:rsidRPr="00AB24B2">
                    <w:rPr>
                      <w:szCs w:val="18"/>
                    </w:rPr>
                    <w:t>4</w:t>
                  </w:r>
                  <w:r w:rsidR="002C7979" w:rsidRPr="00AB24B2">
                    <w:rPr>
                      <w:szCs w:val="18"/>
                    </w:rPr>
                    <w:t xml:space="preserve">-10 </w:t>
                  </w:r>
                  <w:proofErr w:type="spellStart"/>
                  <w:r w:rsidR="002C7979" w:rsidRPr="00AB24B2">
                    <w:rPr>
                      <w:szCs w:val="18"/>
                    </w:rPr>
                    <w:t>yrs</w:t>
                  </w:r>
                  <w:proofErr w:type="spellEnd"/>
                </w:p>
              </w:tc>
              <w:tc>
                <w:tcPr>
                  <w:tcW w:w="370" w:type="pct"/>
                </w:tcPr>
                <w:p w14:paraId="4FA4C05F" w14:textId="6DFD27DC" w:rsidR="002C7979" w:rsidRPr="001D26B1" w:rsidRDefault="002C7979" w:rsidP="002C7979">
                  <w:pPr>
                    <w:pStyle w:val="TableBodyText"/>
                    <w:rPr>
                      <w:szCs w:val="18"/>
                    </w:rPr>
                  </w:pPr>
                  <w:r w:rsidRPr="001D26B1">
                    <w:rPr>
                      <w:szCs w:val="18"/>
                    </w:rPr>
                    <w:t xml:space="preserve">4-10 </w:t>
                  </w:r>
                  <w:proofErr w:type="spellStart"/>
                  <w:r w:rsidRPr="001D26B1">
                    <w:rPr>
                      <w:szCs w:val="18"/>
                    </w:rPr>
                    <w:t>yrs</w:t>
                  </w:r>
                  <w:proofErr w:type="spellEnd"/>
                </w:p>
              </w:tc>
              <w:tc>
                <w:tcPr>
                  <w:tcW w:w="339" w:type="pct"/>
                </w:tcPr>
                <w:p w14:paraId="7E74C9C2" w14:textId="2490085B" w:rsidR="002C7979" w:rsidRPr="001D26B1" w:rsidRDefault="002C7979" w:rsidP="002C7979">
                  <w:pPr>
                    <w:pStyle w:val="TableBodyText"/>
                    <w:rPr>
                      <w:szCs w:val="18"/>
                    </w:rPr>
                  </w:pPr>
                  <w:r w:rsidRPr="001D26B1">
                    <w:rPr>
                      <w:szCs w:val="18"/>
                    </w:rPr>
                    <w:t xml:space="preserve">5-10 </w:t>
                  </w:r>
                  <w:proofErr w:type="spellStart"/>
                  <w:r w:rsidRPr="001D26B1">
                    <w:rPr>
                      <w:szCs w:val="18"/>
                    </w:rPr>
                    <w:t>yrs</w:t>
                  </w:r>
                  <w:proofErr w:type="spellEnd"/>
                </w:p>
              </w:tc>
              <w:tc>
                <w:tcPr>
                  <w:tcW w:w="338" w:type="pct"/>
                </w:tcPr>
                <w:p w14:paraId="616D2218" w14:textId="0D4322EF" w:rsidR="002C7979" w:rsidRPr="001D26B1" w:rsidRDefault="002C7979" w:rsidP="002C7979">
                  <w:pPr>
                    <w:pStyle w:val="TableBodyText"/>
                    <w:rPr>
                      <w:szCs w:val="18"/>
                    </w:rPr>
                  </w:pPr>
                  <w:r w:rsidRPr="001D26B1">
                    <w:rPr>
                      <w:szCs w:val="18"/>
                    </w:rPr>
                    <w:t xml:space="preserve">3-7 </w:t>
                  </w:r>
                  <w:proofErr w:type="spellStart"/>
                  <w:r w:rsidRPr="001D26B1">
                    <w:rPr>
                      <w:szCs w:val="18"/>
                    </w:rPr>
                    <w:t>yrs</w:t>
                  </w:r>
                  <w:proofErr w:type="spellEnd"/>
                </w:p>
              </w:tc>
              <w:tc>
                <w:tcPr>
                  <w:tcW w:w="338" w:type="pct"/>
                </w:tcPr>
                <w:p w14:paraId="32C1CE0F" w14:textId="0F016D61" w:rsidR="002C7979" w:rsidRPr="001D26B1" w:rsidRDefault="002C7979" w:rsidP="002C7979">
                  <w:pPr>
                    <w:pStyle w:val="TableBodyText"/>
                    <w:rPr>
                      <w:szCs w:val="18"/>
                    </w:rPr>
                  </w:pPr>
                  <w:r w:rsidRPr="001D26B1">
                    <w:rPr>
                      <w:szCs w:val="18"/>
                    </w:rPr>
                    <w:t xml:space="preserve">5-10 </w:t>
                  </w:r>
                  <w:proofErr w:type="spellStart"/>
                  <w:r w:rsidRPr="001D26B1">
                    <w:rPr>
                      <w:szCs w:val="18"/>
                    </w:rPr>
                    <w:t>yrs</w:t>
                  </w:r>
                  <w:proofErr w:type="spellEnd"/>
                </w:p>
              </w:tc>
              <w:tc>
                <w:tcPr>
                  <w:tcW w:w="338" w:type="pct"/>
                </w:tcPr>
                <w:p w14:paraId="500AD909" w14:textId="2D0E8E11" w:rsidR="002C7979" w:rsidRPr="00AB24B2" w:rsidRDefault="00B93589" w:rsidP="002C7979">
                  <w:pPr>
                    <w:pStyle w:val="TableBodyText"/>
                    <w:rPr>
                      <w:szCs w:val="18"/>
                    </w:rPr>
                  </w:pPr>
                  <w:r w:rsidRPr="00AB24B2">
                    <w:rPr>
                      <w:szCs w:val="18"/>
                    </w:rPr>
                    <w:t>5-54</w:t>
                  </w:r>
                  <w:r w:rsidR="002C7979" w:rsidRPr="00AB24B2">
                    <w:rPr>
                      <w:szCs w:val="18"/>
                    </w:rPr>
                    <w:t xml:space="preserve"> </w:t>
                  </w:r>
                  <w:proofErr w:type="spellStart"/>
                  <w:r w:rsidR="002C7979" w:rsidRPr="00AB24B2">
                    <w:rPr>
                      <w:szCs w:val="18"/>
                    </w:rPr>
                    <w:t>yrs</w:t>
                  </w:r>
                  <w:proofErr w:type="spellEnd"/>
                </w:p>
              </w:tc>
              <w:tc>
                <w:tcPr>
                  <w:tcW w:w="338" w:type="pct"/>
                </w:tcPr>
                <w:p w14:paraId="4B3501F7" w14:textId="4A097182" w:rsidR="002C7979" w:rsidRPr="00AB24B2" w:rsidRDefault="002C7979" w:rsidP="002C7979">
                  <w:pPr>
                    <w:pStyle w:val="TableBodyText"/>
                    <w:rPr>
                      <w:szCs w:val="18"/>
                    </w:rPr>
                  </w:pPr>
                  <w:r w:rsidRPr="00AB24B2">
                    <w:rPr>
                      <w:szCs w:val="18"/>
                    </w:rPr>
                    <w:t xml:space="preserve">5-20 </w:t>
                  </w:r>
                  <w:proofErr w:type="spellStart"/>
                  <w:r w:rsidRPr="00AB24B2">
                    <w:rPr>
                      <w:szCs w:val="18"/>
                    </w:rPr>
                    <w:t>yrs</w:t>
                  </w:r>
                  <w:proofErr w:type="spellEnd"/>
                </w:p>
              </w:tc>
              <w:tc>
                <w:tcPr>
                  <w:tcW w:w="393" w:type="pct"/>
                </w:tcPr>
                <w:p w14:paraId="4B993673" w14:textId="21ADED97" w:rsidR="002C7979" w:rsidRPr="001D26B1" w:rsidRDefault="002C7979" w:rsidP="002C7979">
                  <w:pPr>
                    <w:pStyle w:val="TableBodyText"/>
                    <w:rPr>
                      <w:szCs w:val="18"/>
                    </w:rPr>
                  </w:pPr>
                  <w:r w:rsidRPr="001D26B1">
                    <w:rPr>
                      <w:szCs w:val="18"/>
                    </w:rPr>
                    <w:t xml:space="preserve">3-20 </w:t>
                  </w:r>
                  <w:proofErr w:type="spellStart"/>
                  <w:r w:rsidRPr="001D26B1">
                    <w:rPr>
                      <w:szCs w:val="18"/>
                    </w:rPr>
                    <w:t>yrs</w:t>
                  </w:r>
                  <w:proofErr w:type="spellEnd"/>
                </w:p>
              </w:tc>
              <w:tc>
                <w:tcPr>
                  <w:tcW w:w="442" w:type="pct"/>
                  <w:shd w:val="clear" w:color="auto" w:fill="auto"/>
                </w:tcPr>
                <w:p w14:paraId="4FCAABD3" w14:textId="3B44E69F" w:rsidR="002C7979" w:rsidRPr="001D26B1" w:rsidRDefault="002C7979" w:rsidP="002C7979">
                  <w:pPr>
                    <w:pStyle w:val="TableBodyText"/>
                    <w:rPr>
                      <w:szCs w:val="18"/>
                    </w:rPr>
                  </w:pPr>
                  <w:r w:rsidRPr="001D26B1">
                    <w:rPr>
                      <w:szCs w:val="18"/>
                    </w:rPr>
                    <w:t xml:space="preserve">5-10 </w:t>
                  </w:r>
                  <w:proofErr w:type="spellStart"/>
                  <w:r w:rsidRPr="001D26B1">
                    <w:rPr>
                      <w:szCs w:val="18"/>
                    </w:rPr>
                    <w:t>yrs</w:t>
                  </w:r>
                  <w:proofErr w:type="spellEnd"/>
                </w:p>
              </w:tc>
            </w:tr>
            <w:tr w:rsidR="001D26B1" w:rsidRPr="001D26B1" w14:paraId="48934810" w14:textId="77777777" w:rsidTr="00FF6947">
              <w:tc>
                <w:tcPr>
                  <w:tcW w:w="461" w:type="pct"/>
                  <w:shd w:val="clear" w:color="auto" w:fill="auto"/>
                </w:tcPr>
                <w:p w14:paraId="2D02EE55" w14:textId="77777777" w:rsidR="002C7979" w:rsidRPr="001D26B1" w:rsidRDefault="002C7979" w:rsidP="002C7979">
                  <w:pPr>
                    <w:pStyle w:val="TableBodyText"/>
                    <w:jc w:val="left"/>
                    <w:rPr>
                      <w:szCs w:val="18"/>
                    </w:rPr>
                  </w:pPr>
                </w:p>
              </w:tc>
              <w:tc>
                <w:tcPr>
                  <w:tcW w:w="461" w:type="pct"/>
                </w:tcPr>
                <w:p w14:paraId="647DEB00" w14:textId="7B09CCA1" w:rsidR="002C7979" w:rsidRPr="001D26B1" w:rsidRDefault="002C7979" w:rsidP="002C7979">
                  <w:pPr>
                    <w:pStyle w:val="TableBodyText"/>
                    <w:rPr>
                      <w:szCs w:val="18"/>
                    </w:rPr>
                  </w:pPr>
                  <w:r w:rsidRPr="001D26B1">
                    <w:rPr>
                      <w:szCs w:val="18"/>
                    </w:rPr>
                    <w:t>IT</w:t>
                  </w:r>
                </w:p>
              </w:tc>
              <w:tc>
                <w:tcPr>
                  <w:tcW w:w="394" w:type="pct"/>
                </w:tcPr>
                <w:p w14:paraId="4DAD3AB6" w14:textId="2B971AE2" w:rsidR="002C7979" w:rsidRPr="00AB24B2" w:rsidRDefault="00AD4E83" w:rsidP="002C7979">
                  <w:pPr>
                    <w:pStyle w:val="TableBodyText"/>
                    <w:rPr>
                      <w:szCs w:val="18"/>
                    </w:rPr>
                  </w:pPr>
                  <w:r w:rsidRPr="00AB24B2">
                    <w:rPr>
                      <w:szCs w:val="18"/>
                    </w:rPr>
                    <w:t>3-5</w:t>
                  </w:r>
                  <w:r w:rsidR="002C7979" w:rsidRPr="00AB24B2">
                    <w:rPr>
                      <w:szCs w:val="18"/>
                    </w:rPr>
                    <w:t xml:space="preserve"> </w:t>
                  </w:r>
                  <w:proofErr w:type="spellStart"/>
                  <w:r w:rsidR="002C7979" w:rsidRPr="00AB24B2">
                    <w:rPr>
                      <w:szCs w:val="18"/>
                    </w:rPr>
                    <w:t>yrs</w:t>
                  </w:r>
                  <w:proofErr w:type="spellEnd"/>
                </w:p>
              </w:tc>
              <w:tc>
                <w:tcPr>
                  <w:tcW w:w="388" w:type="pct"/>
                </w:tcPr>
                <w:p w14:paraId="09B23E8C" w14:textId="1F8AC644" w:rsidR="002C7979" w:rsidRPr="00AB24B2" w:rsidRDefault="00E856DB" w:rsidP="002C7979">
                  <w:pPr>
                    <w:pStyle w:val="TableBodyText"/>
                    <w:rPr>
                      <w:szCs w:val="18"/>
                    </w:rPr>
                  </w:pPr>
                  <w:r w:rsidRPr="00AB24B2">
                    <w:rPr>
                      <w:szCs w:val="18"/>
                    </w:rPr>
                    <w:t xml:space="preserve">3-5 </w:t>
                  </w:r>
                  <w:proofErr w:type="spellStart"/>
                  <w:r w:rsidRPr="00AB24B2">
                    <w:rPr>
                      <w:szCs w:val="18"/>
                    </w:rPr>
                    <w:t>yrs</w:t>
                  </w:r>
                  <w:proofErr w:type="spellEnd"/>
                </w:p>
              </w:tc>
              <w:tc>
                <w:tcPr>
                  <w:tcW w:w="401" w:type="pct"/>
                </w:tcPr>
                <w:p w14:paraId="16163FF4" w14:textId="0C3DA2A1" w:rsidR="002C7979" w:rsidRPr="00AB24B2" w:rsidRDefault="00E856DB" w:rsidP="002C7979">
                  <w:pPr>
                    <w:pStyle w:val="TableBodyText"/>
                    <w:rPr>
                      <w:szCs w:val="18"/>
                    </w:rPr>
                  </w:pPr>
                  <w:r w:rsidRPr="00AB24B2">
                    <w:rPr>
                      <w:szCs w:val="18"/>
                    </w:rPr>
                    <w:t xml:space="preserve">3-5 </w:t>
                  </w:r>
                  <w:proofErr w:type="spellStart"/>
                  <w:r w:rsidRPr="00AB24B2">
                    <w:rPr>
                      <w:szCs w:val="18"/>
                    </w:rPr>
                    <w:t>yrs</w:t>
                  </w:r>
                  <w:proofErr w:type="spellEnd"/>
                </w:p>
              </w:tc>
              <w:tc>
                <w:tcPr>
                  <w:tcW w:w="370" w:type="pct"/>
                </w:tcPr>
                <w:p w14:paraId="6EA024DE" w14:textId="244EEB71" w:rsidR="002C7979" w:rsidRPr="001D26B1" w:rsidRDefault="00711EFE" w:rsidP="00711EFE">
                  <w:pPr>
                    <w:pStyle w:val="TableBodyText"/>
                    <w:rPr>
                      <w:szCs w:val="18"/>
                    </w:rPr>
                  </w:pPr>
                  <w:r w:rsidRPr="001D26B1">
                    <w:rPr>
                      <w:szCs w:val="18"/>
                    </w:rPr>
                    <w:t>3</w:t>
                  </w:r>
                  <w:r w:rsidR="002C7979" w:rsidRPr="001D26B1">
                    <w:rPr>
                      <w:szCs w:val="18"/>
                    </w:rPr>
                    <w:t>-</w:t>
                  </w:r>
                  <w:r w:rsidRPr="001D26B1">
                    <w:rPr>
                      <w:szCs w:val="18"/>
                    </w:rPr>
                    <w:t>4</w:t>
                  </w:r>
                  <w:r w:rsidR="002C7979" w:rsidRPr="001D26B1">
                    <w:rPr>
                      <w:szCs w:val="18"/>
                    </w:rPr>
                    <w:t xml:space="preserve"> </w:t>
                  </w:r>
                  <w:proofErr w:type="spellStart"/>
                  <w:r w:rsidR="002C7979" w:rsidRPr="001D26B1">
                    <w:rPr>
                      <w:szCs w:val="18"/>
                    </w:rPr>
                    <w:t>yrs</w:t>
                  </w:r>
                  <w:proofErr w:type="spellEnd"/>
                </w:p>
              </w:tc>
              <w:tc>
                <w:tcPr>
                  <w:tcW w:w="339" w:type="pct"/>
                </w:tcPr>
                <w:p w14:paraId="10B33F74" w14:textId="622A6810" w:rsidR="002C7979" w:rsidRPr="001D26B1" w:rsidRDefault="00711EFE" w:rsidP="00711EFE">
                  <w:pPr>
                    <w:pStyle w:val="TableBodyText"/>
                    <w:rPr>
                      <w:szCs w:val="18"/>
                    </w:rPr>
                  </w:pPr>
                  <w:r w:rsidRPr="001D26B1">
                    <w:rPr>
                      <w:szCs w:val="18"/>
                    </w:rPr>
                    <w:t>3</w:t>
                  </w:r>
                  <w:r w:rsidR="002C7979" w:rsidRPr="001D26B1">
                    <w:rPr>
                      <w:szCs w:val="18"/>
                    </w:rPr>
                    <w:t>-</w:t>
                  </w:r>
                  <w:r w:rsidRPr="001D26B1">
                    <w:rPr>
                      <w:szCs w:val="18"/>
                    </w:rPr>
                    <w:t>5</w:t>
                  </w:r>
                  <w:r w:rsidR="002C7979" w:rsidRPr="001D26B1">
                    <w:rPr>
                      <w:szCs w:val="18"/>
                    </w:rPr>
                    <w:t xml:space="preserve"> </w:t>
                  </w:r>
                  <w:proofErr w:type="spellStart"/>
                  <w:r w:rsidR="002C7979" w:rsidRPr="001D26B1">
                    <w:rPr>
                      <w:szCs w:val="18"/>
                    </w:rPr>
                    <w:t>yrs</w:t>
                  </w:r>
                  <w:proofErr w:type="spellEnd"/>
                </w:p>
              </w:tc>
              <w:tc>
                <w:tcPr>
                  <w:tcW w:w="338" w:type="pct"/>
                </w:tcPr>
                <w:p w14:paraId="479600B5" w14:textId="50604330" w:rsidR="002C7979" w:rsidRPr="001D26B1" w:rsidRDefault="00711EFE" w:rsidP="00711EFE">
                  <w:pPr>
                    <w:pStyle w:val="TableBodyText"/>
                    <w:rPr>
                      <w:szCs w:val="18"/>
                    </w:rPr>
                  </w:pPr>
                  <w:r w:rsidRPr="001D26B1">
                    <w:rPr>
                      <w:szCs w:val="18"/>
                    </w:rPr>
                    <w:t>3</w:t>
                  </w:r>
                  <w:r w:rsidR="002C7979" w:rsidRPr="001D26B1">
                    <w:rPr>
                      <w:szCs w:val="18"/>
                    </w:rPr>
                    <w:t>-</w:t>
                  </w:r>
                  <w:r w:rsidRPr="001D26B1">
                    <w:rPr>
                      <w:szCs w:val="18"/>
                    </w:rPr>
                    <w:t>4</w:t>
                  </w:r>
                  <w:r w:rsidR="002C7979" w:rsidRPr="001D26B1">
                    <w:rPr>
                      <w:szCs w:val="18"/>
                    </w:rPr>
                    <w:t xml:space="preserve"> </w:t>
                  </w:r>
                  <w:proofErr w:type="spellStart"/>
                  <w:r w:rsidR="002C7979" w:rsidRPr="001D26B1">
                    <w:rPr>
                      <w:szCs w:val="18"/>
                    </w:rPr>
                    <w:t>yrs</w:t>
                  </w:r>
                  <w:proofErr w:type="spellEnd"/>
                </w:p>
              </w:tc>
              <w:tc>
                <w:tcPr>
                  <w:tcW w:w="338" w:type="pct"/>
                </w:tcPr>
                <w:p w14:paraId="60A6091A" w14:textId="3A0AE645" w:rsidR="002C7979" w:rsidRPr="001D26B1" w:rsidRDefault="00711EFE" w:rsidP="002C7979">
                  <w:pPr>
                    <w:pStyle w:val="TableBodyText"/>
                    <w:rPr>
                      <w:szCs w:val="18"/>
                    </w:rPr>
                  </w:pPr>
                  <w:r w:rsidRPr="001D26B1">
                    <w:rPr>
                      <w:szCs w:val="18"/>
                    </w:rPr>
                    <w:t>3</w:t>
                  </w:r>
                  <w:r w:rsidR="002C7979" w:rsidRPr="001D26B1">
                    <w:rPr>
                      <w:szCs w:val="18"/>
                    </w:rPr>
                    <w:t xml:space="preserve">-10 </w:t>
                  </w:r>
                  <w:proofErr w:type="spellStart"/>
                  <w:r w:rsidR="002C7979" w:rsidRPr="001D26B1">
                    <w:rPr>
                      <w:szCs w:val="18"/>
                    </w:rPr>
                    <w:t>yrs</w:t>
                  </w:r>
                  <w:proofErr w:type="spellEnd"/>
                </w:p>
              </w:tc>
              <w:tc>
                <w:tcPr>
                  <w:tcW w:w="338" w:type="pct"/>
                </w:tcPr>
                <w:p w14:paraId="5CB8131E" w14:textId="157786E8" w:rsidR="002C7979" w:rsidRPr="00AB24B2" w:rsidRDefault="00711EFE" w:rsidP="00711EFE">
                  <w:pPr>
                    <w:pStyle w:val="TableBodyText"/>
                    <w:rPr>
                      <w:szCs w:val="18"/>
                    </w:rPr>
                  </w:pPr>
                  <w:r w:rsidRPr="00AB24B2">
                    <w:rPr>
                      <w:szCs w:val="18"/>
                    </w:rPr>
                    <w:t>3</w:t>
                  </w:r>
                  <w:r w:rsidR="002C7979" w:rsidRPr="00AB24B2">
                    <w:rPr>
                      <w:szCs w:val="18"/>
                    </w:rPr>
                    <w:t>-</w:t>
                  </w:r>
                  <w:r w:rsidRPr="00AB24B2">
                    <w:rPr>
                      <w:szCs w:val="18"/>
                    </w:rPr>
                    <w:t>25</w:t>
                  </w:r>
                  <w:r w:rsidR="002C7979" w:rsidRPr="00AB24B2">
                    <w:rPr>
                      <w:szCs w:val="18"/>
                    </w:rPr>
                    <w:t xml:space="preserve"> </w:t>
                  </w:r>
                  <w:proofErr w:type="spellStart"/>
                  <w:r w:rsidR="002C7979" w:rsidRPr="00AB24B2">
                    <w:rPr>
                      <w:szCs w:val="18"/>
                    </w:rPr>
                    <w:t>yrs</w:t>
                  </w:r>
                  <w:proofErr w:type="spellEnd"/>
                </w:p>
              </w:tc>
              <w:tc>
                <w:tcPr>
                  <w:tcW w:w="338" w:type="pct"/>
                </w:tcPr>
                <w:p w14:paraId="1CC25C96" w14:textId="10017F0D" w:rsidR="002C7979" w:rsidRPr="00AB24B2" w:rsidRDefault="00711EFE" w:rsidP="002C7979">
                  <w:pPr>
                    <w:pStyle w:val="TableBodyText"/>
                    <w:rPr>
                      <w:szCs w:val="18"/>
                    </w:rPr>
                  </w:pPr>
                  <w:proofErr w:type="spellStart"/>
                  <w:r w:rsidRPr="00AB24B2">
                    <w:rPr>
                      <w:szCs w:val="18"/>
                    </w:rPr>
                    <w:t>na</w:t>
                  </w:r>
                  <w:proofErr w:type="spellEnd"/>
                </w:p>
              </w:tc>
              <w:tc>
                <w:tcPr>
                  <w:tcW w:w="393" w:type="pct"/>
                </w:tcPr>
                <w:p w14:paraId="6766B58A" w14:textId="4EDC7048" w:rsidR="002C7979" w:rsidRPr="001D26B1" w:rsidRDefault="00711EFE" w:rsidP="002C7979">
                  <w:pPr>
                    <w:pStyle w:val="TableBodyText"/>
                    <w:rPr>
                      <w:szCs w:val="18"/>
                    </w:rPr>
                  </w:pPr>
                  <w:r w:rsidRPr="001D26B1">
                    <w:rPr>
                      <w:szCs w:val="18"/>
                    </w:rPr>
                    <w:t>4-5</w:t>
                  </w:r>
                  <w:r w:rsidR="002C7979" w:rsidRPr="001D26B1">
                    <w:rPr>
                      <w:szCs w:val="18"/>
                    </w:rPr>
                    <w:t xml:space="preserve"> </w:t>
                  </w:r>
                  <w:proofErr w:type="spellStart"/>
                  <w:r w:rsidR="002C7979" w:rsidRPr="001D26B1">
                    <w:rPr>
                      <w:szCs w:val="18"/>
                    </w:rPr>
                    <w:t>yrs</w:t>
                  </w:r>
                  <w:proofErr w:type="spellEnd"/>
                </w:p>
              </w:tc>
              <w:tc>
                <w:tcPr>
                  <w:tcW w:w="442" w:type="pct"/>
                  <w:shd w:val="clear" w:color="auto" w:fill="auto"/>
                </w:tcPr>
                <w:p w14:paraId="6A4F612C" w14:textId="4D39A819" w:rsidR="002C7979" w:rsidRPr="001D26B1" w:rsidRDefault="00711EFE" w:rsidP="00711EFE">
                  <w:pPr>
                    <w:pStyle w:val="TableBodyText"/>
                    <w:rPr>
                      <w:szCs w:val="18"/>
                    </w:rPr>
                  </w:pPr>
                  <w:r w:rsidRPr="001D26B1">
                    <w:rPr>
                      <w:szCs w:val="18"/>
                    </w:rPr>
                    <w:t>3</w:t>
                  </w:r>
                  <w:r w:rsidR="002C7979" w:rsidRPr="001D26B1">
                    <w:rPr>
                      <w:szCs w:val="18"/>
                    </w:rPr>
                    <w:t>-</w:t>
                  </w:r>
                  <w:r w:rsidRPr="001D26B1">
                    <w:rPr>
                      <w:szCs w:val="18"/>
                    </w:rPr>
                    <w:t>6</w:t>
                  </w:r>
                  <w:r w:rsidR="002C7979" w:rsidRPr="001D26B1">
                    <w:rPr>
                      <w:szCs w:val="18"/>
                    </w:rPr>
                    <w:t xml:space="preserve"> </w:t>
                  </w:r>
                  <w:proofErr w:type="spellStart"/>
                  <w:r w:rsidR="002C7979" w:rsidRPr="001D26B1">
                    <w:rPr>
                      <w:szCs w:val="18"/>
                    </w:rPr>
                    <w:t>yrs</w:t>
                  </w:r>
                  <w:proofErr w:type="spellEnd"/>
                </w:p>
              </w:tc>
            </w:tr>
            <w:tr w:rsidR="001D26B1" w:rsidRPr="001D26B1" w14:paraId="2A232977" w14:textId="77777777" w:rsidTr="00FF6947">
              <w:tc>
                <w:tcPr>
                  <w:tcW w:w="461" w:type="pct"/>
                  <w:shd w:val="clear" w:color="auto" w:fill="auto"/>
                </w:tcPr>
                <w:p w14:paraId="354A4536" w14:textId="77777777" w:rsidR="002C7979" w:rsidRPr="001D26B1" w:rsidRDefault="002C7979" w:rsidP="002C7979">
                  <w:pPr>
                    <w:pStyle w:val="TableBodyText"/>
                    <w:jc w:val="left"/>
                    <w:rPr>
                      <w:szCs w:val="18"/>
                    </w:rPr>
                  </w:pPr>
                </w:p>
              </w:tc>
              <w:tc>
                <w:tcPr>
                  <w:tcW w:w="461" w:type="pct"/>
                </w:tcPr>
                <w:p w14:paraId="7D4E04C7" w14:textId="713FFF10" w:rsidR="002C7979" w:rsidRPr="001D26B1" w:rsidRDefault="002C7979" w:rsidP="002C7979">
                  <w:pPr>
                    <w:pStyle w:val="TableBodyText"/>
                    <w:rPr>
                      <w:szCs w:val="18"/>
                    </w:rPr>
                  </w:pPr>
                  <w:r w:rsidRPr="001D26B1">
                    <w:rPr>
                      <w:szCs w:val="18"/>
                    </w:rPr>
                    <w:t>Office equipment</w:t>
                  </w:r>
                </w:p>
              </w:tc>
              <w:tc>
                <w:tcPr>
                  <w:tcW w:w="394" w:type="pct"/>
                </w:tcPr>
                <w:p w14:paraId="351A302B" w14:textId="12638750" w:rsidR="002C7979" w:rsidRPr="00AB24B2" w:rsidRDefault="00AD4E83" w:rsidP="002C7979">
                  <w:pPr>
                    <w:pStyle w:val="TableBodyText"/>
                    <w:rPr>
                      <w:szCs w:val="18"/>
                    </w:rPr>
                  </w:pPr>
                  <w:r w:rsidRPr="00AB24B2">
                    <w:rPr>
                      <w:szCs w:val="18"/>
                    </w:rPr>
                    <w:t>4-</w:t>
                  </w:r>
                  <w:r w:rsidR="00711EFE" w:rsidRPr="00AB24B2">
                    <w:rPr>
                      <w:szCs w:val="18"/>
                    </w:rPr>
                    <w:t>8</w:t>
                  </w:r>
                  <w:r w:rsidR="002C7979" w:rsidRPr="00AB24B2">
                    <w:rPr>
                      <w:szCs w:val="18"/>
                    </w:rPr>
                    <w:t xml:space="preserve"> </w:t>
                  </w:r>
                  <w:proofErr w:type="spellStart"/>
                  <w:r w:rsidR="002C7979" w:rsidRPr="00AB24B2">
                    <w:rPr>
                      <w:szCs w:val="18"/>
                    </w:rPr>
                    <w:t>yrs</w:t>
                  </w:r>
                  <w:proofErr w:type="spellEnd"/>
                </w:p>
              </w:tc>
              <w:tc>
                <w:tcPr>
                  <w:tcW w:w="388" w:type="pct"/>
                </w:tcPr>
                <w:p w14:paraId="48B6AE6C" w14:textId="697F3BCB" w:rsidR="002C7979" w:rsidRPr="00AB24B2" w:rsidRDefault="00711EFE" w:rsidP="002C7979">
                  <w:pPr>
                    <w:pStyle w:val="TableBodyText"/>
                    <w:rPr>
                      <w:szCs w:val="18"/>
                    </w:rPr>
                  </w:pPr>
                  <w:r w:rsidRPr="00AB24B2">
                    <w:rPr>
                      <w:szCs w:val="18"/>
                    </w:rPr>
                    <w:t>4-8</w:t>
                  </w:r>
                  <w:r w:rsidR="002C7979" w:rsidRPr="00AB24B2">
                    <w:rPr>
                      <w:szCs w:val="18"/>
                    </w:rPr>
                    <w:t xml:space="preserve"> </w:t>
                  </w:r>
                  <w:proofErr w:type="spellStart"/>
                  <w:r w:rsidR="002C7979" w:rsidRPr="00AB24B2">
                    <w:rPr>
                      <w:szCs w:val="18"/>
                    </w:rPr>
                    <w:t>yrs</w:t>
                  </w:r>
                  <w:proofErr w:type="spellEnd"/>
                </w:p>
              </w:tc>
              <w:tc>
                <w:tcPr>
                  <w:tcW w:w="401" w:type="pct"/>
                </w:tcPr>
                <w:p w14:paraId="234E460B" w14:textId="01EFF03E" w:rsidR="002C7979" w:rsidRPr="00AB24B2" w:rsidRDefault="00E856DB" w:rsidP="002C7979">
                  <w:pPr>
                    <w:pStyle w:val="TableBodyText"/>
                    <w:rPr>
                      <w:szCs w:val="18"/>
                    </w:rPr>
                  </w:pPr>
                  <w:r w:rsidRPr="00AB24B2">
                    <w:rPr>
                      <w:szCs w:val="18"/>
                    </w:rPr>
                    <w:t xml:space="preserve">4-8 </w:t>
                  </w:r>
                  <w:proofErr w:type="spellStart"/>
                  <w:r w:rsidRPr="00AB24B2">
                    <w:rPr>
                      <w:szCs w:val="18"/>
                    </w:rPr>
                    <w:t>yrs</w:t>
                  </w:r>
                  <w:proofErr w:type="spellEnd"/>
                </w:p>
              </w:tc>
              <w:tc>
                <w:tcPr>
                  <w:tcW w:w="370" w:type="pct"/>
                </w:tcPr>
                <w:p w14:paraId="0CE1E18D" w14:textId="714DA386" w:rsidR="002C7979" w:rsidRPr="001D26B1" w:rsidRDefault="002C7979" w:rsidP="002C7979">
                  <w:pPr>
                    <w:pStyle w:val="TableBodyText"/>
                    <w:rPr>
                      <w:szCs w:val="18"/>
                    </w:rPr>
                  </w:pPr>
                  <w:r w:rsidRPr="001D26B1">
                    <w:rPr>
                      <w:szCs w:val="18"/>
                    </w:rPr>
                    <w:t xml:space="preserve">4-10 </w:t>
                  </w:r>
                  <w:proofErr w:type="spellStart"/>
                  <w:r w:rsidRPr="001D26B1">
                    <w:rPr>
                      <w:szCs w:val="18"/>
                    </w:rPr>
                    <w:t>yrs</w:t>
                  </w:r>
                  <w:proofErr w:type="spellEnd"/>
                </w:p>
              </w:tc>
              <w:tc>
                <w:tcPr>
                  <w:tcW w:w="339" w:type="pct"/>
                </w:tcPr>
                <w:p w14:paraId="5096919F" w14:textId="0FE70808" w:rsidR="002C7979" w:rsidRPr="001D26B1" w:rsidRDefault="002C7979" w:rsidP="002C7979">
                  <w:pPr>
                    <w:pStyle w:val="TableBodyText"/>
                    <w:rPr>
                      <w:szCs w:val="18"/>
                    </w:rPr>
                  </w:pPr>
                  <w:r w:rsidRPr="001D26B1">
                    <w:rPr>
                      <w:szCs w:val="18"/>
                    </w:rPr>
                    <w:t xml:space="preserve">10 </w:t>
                  </w:r>
                  <w:proofErr w:type="spellStart"/>
                  <w:r w:rsidRPr="001D26B1">
                    <w:rPr>
                      <w:szCs w:val="18"/>
                    </w:rPr>
                    <w:t>yrs</w:t>
                  </w:r>
                  <w:proofErr w:type="spellEnd"/>
                </w:p>
              </w:tc>
              <w:tc>
                <w:tcPr>
                  <w:tcW w:w="338" w:type="pct"/>
                </w:tcPr>
                <w:p w14:paraId="3B5D71D4" w14:textId="407E61E4" w:rsidR="002C7979" w:rsidRPr="001D26B1" w:rsidRDefault="00711EFE" w:rsidP="002C7979">
                  <w:pPr>
                    <w:pStyle w:val="TableBodyText"/>
                    <w:rPr>
                      <w:szCs w:val="18"/>
                    </w:rPr>
                  </w:pPr>
                  <w:r w:rsidRPr="001D26B1">
                    <w:rPr>
                      <w:szCs w:val="18"/>
                    </w:rPr>
                    <w:t>3-5</w:t>
                  </w:r>
                  <w:r w:rsidR="002C7979" w:rsidRPr="001D26B1">
                    <w:rPr>
                      <w:szCs w:val="18"/>
                    </w:rPr>
                    <w:t xml:space="preserve"> </w:t>
                  </w:r>
                  <w:proofErr w:type="spellStart"/>
                  <w:r w:rsidR="002C7979" w:rsidRPr="001D26B1">
                    <w:rPr>
                      <w:szCs w:val="18"/>
                    </w:rPr>
                    <w:t>yrs</w:t>
                  </w:r>
                  <w:proofErr w:type="spellEnd"/>
                </w:p>
              </w:tc>
              <w:tc>
                <w:tcPr>
                  <w:tcW w:w="338" w:type="pct"/>
                </w:tcPr>
                <w:p w14:paraId="0AE4AF88" w14:textId="503AEFB6" w:rsidR="002C7979" w:rsidRPr="001D26B1" w:rsidRDefault="00711EFE" w:rsidP="002C7979">
                  <w:pPr>
                    <w:pStyle w:val="TableBodyText"/>
                    <w:rPr>
                      <w:szCs w:val="18"/>
                    </w:rPr>
                  </w:pPr>
                  <w:r w:rsidRPr="001D26B1">
                    <w:rPr>
                      <w:szCs w:val="18"/>
                    </w:rPr>
                    <w:t>5</w:t>
                  </w:r>
                  <w:r w:rsidR="002C7979" w:rsidRPr="001D26B1">
                    <w:rPr>
                      <w:szCs w:val="18"/>
                    </w:rPr>
                    <w:t xml:space="preserve">-10 </w:t>
                  </w:r>
                  <w:proofErr w:type="spellStart"/>
                  <w:r w:rsidR="002C7979" w:rsidRPr="001D26B1">
                    <w:rPr>
                      <w:szCs w:val="18"/>
                    </w:rPr>
                    <w:t>yrs</w:t>
                  </w:r>
                  <w:proofErr w:type="spellEnd"/>
                </w:p>
              </w:tc>
              <w:tc>
                <w:tcPr>
                  <w:tcW w:w="338" w:type="pct"/>
                </w:tcPr>
                <w:p w14:paraId="022E9BE6" w14:textId="5EB00EEF" w:rsidR="002C7979" w:rsidRPr="001D26B1" w:rsidRDefault="00711EFE" w:rsidP="002C7979">
                  <w:pPr>
                    <w:pStyle w:val="TableBodyText"/>
                    <w:rPr>
                      <w:szCs w:val="18"/>
                    </w:rPr>
                  </w:pPr>
                  <w:r w:rsidRPr="001D26B1">
                    <w:rPr>
                      <w:szCs w:val="18"/>
                    </w:rPr>
                    <w:t>3-25</w:t>
                  </w:r>
                  <w:r w:rsidR="002C7979" w:rsidRPr="001D26B1">
                    <w:rPr>
                      <w:szCs w:val="18"/>
                    </w:rPr>
                    <w:t xml:space="preserve"> </w:t>
                  </w:r>
                  <w:proofErr w:type="spellStart"/>
                  <w:r w:rsidR="002C7979" w:rsidRPr="001D26B1">
                    <w:rPr>
                      <w:szCs w:val="18"/>
                    </w:rPr>
                    <w:t>yrs</w:t>
                  </w:r>
                  <w:proofErr w:type="spellEnd"/>
                </w:p>
              </w:tc>
              <w:tc>
                <w:tcPr>
                  <w:tcW w:w="338" w:type="pct"/>
                </w:tcPr>
                <w:p w14:paraId="511F6F77" w14:textId="52FE81A2" w:rsidR="002C7979" w:rsidRPr="001D26B1" w:rsidRDefault="00711EFE" w:rsidP="002C7979">
                  <w:pPr>
                    <w:pStyle w:val="TableBodyText"/>
                    <w:rPr>
                      <w:szCs w:val="18"/>
                    </w:rPr>
                  </w:pPr>
                  <w:proofErr w:type="spellStart"/>
                  <w:r w:rsidRPr="001D26B1">
                    <w:rPr>
                      <w:szCs w:val="18"/>
                    </w:rPr>
                    <w:t>na</w:t>
                  </w:r>
                  <w:proofErr w:type="spellEnd"/>
                </w:p>
              </w:tc>
              <w:tc>
                <w:tcPr>
                  <w:tcW w:w="393" w:type="pct"/>
                </w:tcPr>
                <w:p w14:paraId="3E0408D1" w14:textId="5F565566" w:rsidR="002C7979" w:rsidRPr="001D26B1" w:rsidRDefault="00711EFE" w:rsidP="002C7979">
                  <w:pPr>
                    <w:pStyle w:val="TableBodyText"/>
                    <w:rPr>
                      <w:szCs w:val="18"/>
                    </w:rPr>
                  </w:pPr>
                  <w:r w:rsidRPr="001D26B1">
                    <w:rPr>
                      <w:szCs w:val="18"/>
                    </w:rPr>
                    <w:t>3-20</w:t>
                  </w:r>
                  <w:r w:rsidR="002C7979" w:rsidRPr="001D26B1">
                    <w:rPr>
                      <w:szCs w:val="18"/>
                    </w:rPr>
                    <w:t xml:space="preserve"> </w:t>
                  </w:r>
                  <w:proofErr w:type="spellStart"/>
                  <w:r w:rsidR="002C7979" w:rsidRPr="001D26B1">
                    <w:rPr>
                      <w:szCs w:val="18"/>
                    </w:rPr>
                    <w:t>yrs</w:t>
                  </w:r>
                  <w:proofErr w:type="spellEnd"/>
                </w:p>
              </w:tc>
              <w:tc>
                <w:tcPr>
                  <w:tcW w:w="442" w:type="pct"/>
                  <w:shd w:val="clear" w:color="auto" w:fill="auto"/>
                </w:tcPr>
                <w:p w14:paraId="3BD30993" w14:textId="06B799D1" w:rsidR="002C7979" w:rsidRPr="001D26B1" w:rsidRDefault="00711EFE" w:rsidP="002C7979">
                  <w:pPr>
                    <w:pStyle w:val="TableBodyText"/>
                    <w:rPr>
                      <w:szCs w:val="18"/>
                    </w:rPr>
                  </w:pPr>
                  <w:r w:rsidRPr="001D26B1">
                    <w:rPr>
                      <w:szCs w:val="18"/>
                    </w:rPr>
                    <w:t>5</w:t>
                  </w:r>
                  <w:r w:rsidR="002C7979" w:rsidRPr="001D26B1">
                    <w:rPr>
                      <w:szCs w:val="18"/>
                    </w:rPr>
                    <w:t xml:space="preserve">-10 </w:t>
                  </w:r>
                  <w:proofErr w:type="spellStart"/>
                  <w:r w:rsidR="002C7979" w:rsidRPr="001D26B1">
                    <w:rPr>
                      <w:szCs w:val="18"/>
                    </w:rPr>
                    <w:t>yrs</w:t>
                  </w:r>
                  <w:proofErr w:type="spellEnd"/>
                </w:p>
              </w:tc>
            </w:tr>
            <w:tr w:rsidR="001D26B1" w:rsidRPr="001D26B1" w14:paraId="1FC038A9" w14:textId="77777777" w:rsidTr="00FF6947">
              <w:tc>
                <w:tcPr>
                  <w:tcW w:w="461" w:type="pct"/>
                  <w:shd w:val="clear" w:color="auto" w:fill="auto"/>
                </w:tcPr>
                <w:p w14:paraId="360D1F7D" w14:textId="77777777" w:rsidR="00234637" w:rsidRPr="001D26B1" w:rsidRDefault="00234637" w:rsidP="00234637">
                  <w:pPr>
                    <w:pStyle w:val="TableBodyText"/>
                    <w:jc w:val="left"/>
                    <w:rPr>
                      <w:szCs w:val="18"/>
                    </w:rPr>
                  </w:pPr>
                </w:p>
              </w:tc>
              <w:tc>
                <w:tcPr>
                  <w:tcW w:w="461" w:type="pct"/>
                </w:tcPr>
                <w:p w14:paraId="307DBBDA" w14:textId="6133FA0A" w:rsidR="00234637" w:rsidRPr="001D26B1" w:rsidRDefault="00234637" w:rsidP="00234637">
                  <w:pPr>
                    <w:pStyle w:val="TableBodyText"/>
                    <w:rPr>
                      <w:szCs w:val="18"/>
                    </w:rPr>
                  </w:pPr>
                  <w:r w:rsidRPr="001D26B1">
                    <w:rPr>
                      <w:szCs w:val="18"/>
                    </w:rPr>
                    <w:t>Vehicles</w:t>
                  </w:r>
                </w:p>
              </w:tc>
              <w:tc>
                <w:tcPr>
                  <w:tcW w:w="394" w:type="pct"/>
                </w:tcPr>
                <w:p w14:paraId="629C71EF" w14:textId="1CB1CFB6" w:rsidR="00234637" w:rsidRPr="00AB24B2" w:rsidRDefault="00234637" w:rsidP="00234637">
                  <w:pPr>
                    <w:pStyle w:val="TableBodyText"/>
                    <w:rPr>
                      <w:szCs w:val="18"/>
                    </w:rPr>
                  </w:pPr>
                  <w:proofErr w:type="spellStart"/>
                  <w:r w:rsidRPr="00AB24B2">
                    <w:rPr>
                      <w:szCs w:val="18"/>
                    </w:rPr>
                    <w:t>na</w:t>
                  </w:r>
                  <w:proofErr w:type="spellEnd"/>
                </w:p>
              </w:tc>
              <w:tc>
                <w:tcPr>
                  <w:tcW w:w="388" w:type="pct"/>
                </w:tcPr>
                <w:p w14:paraId="26CBD290" w14:textId="63ECB3C8" w:rsidR="00234637" w:rsidRPr="00AB24B2" w:rsidRDefault="00234637" w:rsidP="00234637">
                  <w:pPr>
                    <w:pStyle w:val="TableBodyText"/>
                    <w:rPr>
                      <w:szCs w:val="18"/>
                    </w:rPr>
                  </w:pPr>
                  <w:proofErr w:type="spellStart"/>
                  <w:r w:rsidRPr="00AB24B2">
                    <w:rPr>
                      <w:szCs w:val="18"/>
                    </w:rPr>
                    <w:t>na</w:t>
                  </w:r>
                  <w:proofErr w:type="spellEnd"/>
                </w:p>
              </w:tc>
              <w:tc>
                <w:tcPr>
                  <w:tcW w:w="401" w:type="pct"/>
                </w:tcPr>
                <w:p w14:paraId="7459B800" w14:textId="0AB9D993" w:rsidR="00234637" w:rsidRPr="00AB24B2" w:rsidRDefault="00234637" w:rsidP="00234637">
                  <w:pPr>
                    <w:pStyle w:val="TableBodyText"/>
                    <w:rPr>
                      <w:szCs w:val="18"/>
                    </w:rPr>
                  </w:pPr>
                  <w:proofErr w:type="spellStart"/>
                  <w:r w:rsidRPr="00AB24B2">
                    <w:rPr>
                      <w:szCs w:val="18"/>
                    </w:rPr>
                    <w:t>na</w:t>
                  </w:r>
                  <w:proofErr w:type="spellEnd"/>
                </w:p>
              </w:tc>
              <w:tc>
                <w:tcPr>
                  <w:tcW w:w="370" w:type="pct"/>
                </w:tcPr>
                <w:p w14:paraId="30F4C21A" w14:textId="16DC8EAF" w:rsidR="00234637" w:rsidRPr="001D26B1" w:rsidRDefault="00234637" w:rsidP="00234637">
                  <w:pPr>
                    <w:pStyle w:val="TableBodyText"/>
                    <w:rPr>
                      <w:szCs w:val="18"/>
                    </w:rPr>
                  </w:pPr>
                  <w:proofErr w:type="spellStart"/>
                  <w:r w:rsidRPr="001D26B1">
                    <w:rPr>
                      <w:szCs w:val="18"/>
                    </w:rPr>
                    <w:t>na</w:t>
                  </w:r>
                  <w:proofErr w:type="spellEnd"/>
                </w:p>
              </w:tc>
              <w:tc>
                <w:tcPr>
                  <w:tcW w:w="339" w:type="pct"/>
                </w:tcPr>
                <w:p w14:paraId="38C71AB7" w14:textId="71F16271" w:rsidR="00234637" w:rsidRPr="001D26B1" w:rsidRDefault="00A06A38" w:rsidP="00234637">
                  <w:pPr>
                    <w:pStyle w:val="TableBodyText"/>
                    <w:rPr>
                      <w:szCs w:val="18"/>
                    </w:rPr>
                  </w:pPr>
                  <w:r w:rsidRPr="001D26B1">
                    <w:rPr>
                      <w:szCs w:val="18"/>
                    </w:rPr>
                    <w:t xml:space="preserve">5 </w:t>
                  </w:r>
                  <w:proofErr w:type="spellStart"/>
                  <w:r w:rsidRPr="001D26B1">
                    <w:rPr>
                      <w:szCs w:val="18"/>
                    </w:rPr>
                    <w:t>yrs</w:t>
                  </w:r>
                  <w:proofErr w:type="spellEnd"/>
                </w:p>
              </w:tc>
              <w:tc>
                <w:tcPr>
                  <w:tcW w:w="338" w:type="pct"/>
                </w:tcPr>
                <w:p w14:paraId="4958ABF5" w14:textId="3FEC65EF" w:rsidR="00234637" w:rsidRPr="001D26B1" w:rsidRDefault="00234637" w:rsidP="00234637">
                  <w:pPr>
                    <w:pStyle w:val="TableBodyText"/>
                    <w:rPr>
                      <w:szCs w:val="18"/>
                    </w:rPr>
                  </w:pPr>
                  <w:proofErr w:type="spellStart"/>
                  <w:r w:rsidRPr="001D26B1">
                    <w:rPr>
                      <w:szCs w:val="18"/>
                    </w:rPr>
                    <w:t>na</w:t>
                  </w:r>
                  <w:proofErr w:type="spellEnd"/>
                </w:p>
              </w:tc>
              <w:tc>
                <w:tcPr>
                  <w:tcW w:w="338" w:type="pct"/>
                </w:tcPr>
                <w:p w14:paraId="69C9A8CC" w14:textId="0C1E847A" w:rsidR="00234637" w:rsidRPr="001D26B1" w:rsidRDefault="00A06A38" w:rsidP="00234637">
                  <w:pPr>
                    <w:pStyle w:val="TableBodyText"/>
                    <w:rPr>
                      <w:szCs w:val="18"/>
                    </w:rPr>
                  </w:pPr>
                  <w:r w:rsidRPr="001D26B1">
                    <w:rPr>
                      <w:szCs w:val="18"/>
                    </w:rPr>
                    <w:t xml:space="preserve">2-8 </w:t>
                  </w:r>
                  <w:proofErr w:type="spellStart"/>
                  <w:r w:rsidRPr="001D26B1">
                    <w:rPr>
                      <w:szCs w:val="18"/>
                    </w:rPr>
                    <w:t>yrs</w:t>
                  </w:r>
                  <w:proofErr w:type="spellEnd"/>
                </w:p>
              </w:tc>
              <w:tc>
                <w:tcPr>
                  <w:tcW w:w="338" w:type="pct"/>
                </w:tcPr>
                <w:p w14:paraId="785D8F4B" w14:textId="584DD215" w:rsidR="00234637" w:rsidRPr="001D26B1" w:rsidRDefault="00234637" w:rsidP="00234637">
                  <w:pPr>
                    <w:pStyle w:val="TableBodyText"/>
                    <w:rPr>
                      <w:szCs w:val="18"/>
                    </w:rPr>
                  </w:pPr>
                  <w:proofErr w:type="spellStart"/>
                  <w:r w:rsidRPr="001D26B1">
                    <w:rPr>
                      <w:szCs w:val="18"/>
                    </w:rPr>
                    <w:t>na</w:t>
                  </w:r>
                  <w:proofErr w:type="spellEnd"/>
                </w:p>
              </w:tc>
              <w:tc>
                <w:tcPr>
                  <w:tcW w:w="338" w:type="pct"/>
                </w:tcPr>
                <w:p w14:paraId="384F33BF" w14:textId="3C816258" w:rsidR="00234637" w:rsidRPr="001D26B1" w:rsidRDefault="00234637" w:rsidP="00234637">
                  <w:pPr>
                    <w:pStyle w:val="TableBodyText"/>
                    <w:rPr>
                      <w:szCs w:val="18"/>
                    </w:rPr>
                  </w:pPr>
                  <w:proofErr w:type="spellStart"/>
                  <w:r w:rsidRPr="001D26B1">
                    <w:rPr>
                      <w:szCs w:val="18"/>
                    </w:rPr>
                    <w:t>na</w:t>
                  </w:r>
                  <w:proofErr w:type="spellEnd"/>
                </w:p>
              </w:tc>
              <w:tc>
                <w:tcPr>
                  <w:tcW w:w="393" w:type="pct"/>
                </w:tcPr>
                <w:p w14:paraId="5180F7D5" w14:textId="4AA6A754" w:rsidR="00234637" w:rsidRPr="001D26B1" w:rsidRDefault="00234637" w:rsidP="00234637">
                  <w:pPr>
                    <w:pStyle w:val="TableBodyText"/>
                    <w:rPr>
                      <w:szCs w:val="18"/>
                    </w:rPr>
                  </w:pPr>
                  <w:proofErr w:type="spellStart"/>
                  <w:r w:rsidRPr="001D26B1">
                    <w:rPr>
                      <w:szCs w:val="18"/>
                    </w:rPr>
                    <w:t>na</w:t>
                  </w:r>
                  <w:proofErr w:type="spellEnd"/>
                </w:p>
              </w:tc>
              <w:tc>
                <w:tcPr>
                  <w:tcW w:w="442" w:type="pct"/>
                  <w:shd w:val="clear" w:color="auto" w:fill="auto"/>
                </w:tcPr>
                <w:p w14:paraId="5BB0913A" w14:textId="766E27CA" w:rsidR="00234637" w:rsidRPr="001D26B1" w:rsidRDefault="00234637" w:rsidP="00234637">
                  <w:pPr>
                    <w:pStyle w:val="TableBodyText"/>
                    <w:rPr>
                      <w:szCs w:val="18"/>
                    </w:rPr>
                  </w:pPr>
                  <w:proofErr w:type="spellStart"/>
                  <w:r w:rsidRPr="001D26B1">
                    <w:rPr>
                      <w:szCs w:val="18"/>
                    </w:rPr>
                    <w:t>na</w:t>
                  </w:r>
                  <w:proofErr w:type="spellEnd"/>
                </w:p>
              </w:tc>
            </w:tr>
            <w:tr w:rsidR="001D26B1" w:rsidRPr="001D26B1" w14:paraId="319F4DD1" w14:textId="77777777" w:rsidTr="00FF6947">
              <w:tc>
                <w:tcPr>
                  <w:tcW w:w="461" w:type="pct"/>
                  <w:shd w:val="clear" w:color="auto" w:fill="auto"/>
                </w:tcPr>
                <w:p w14:paraId="6F6D6548" w14:textId="77777777" w:rsidR="00A06A38" w:rsidRPr="001D26B1" w:rsidRDefault="00A06A38" w:rsidP="00A06A38">
                  <w:pPr>
                    <w:pStyle w:val="TableBodyText"/>
                    <w:jc w:val="left"/>
                    <w:rPr>
                      <w:szCs w:val="18"/>
                    </w:rPr>
                  </w:pPr>
                </w:p>
              </w:tc>
              <w:tc>
                <w:tcPr>
                  <w:tcW w:w="461" w:type="pct"/>
                </w:tcPr>
                <w:p w14:paraId="52D36A59" w14:textId="0EFC75B3" w:rsidR="00A06A38" w:rsidRPr="001D26B1" w:rsidRDefault="00A06A38" w:rsidP="00A06A38">
                  <w:pPr>
                    <w:pStyle w:val="TableBodyText"/>
                    <w:rPr>
                      <w:szCs w:val="18"/>
                    </w:rPr>
                  </w:pPr>
                  <w:r w:rsidRPr="001D26B1">
                    <w:rPr>
                      <w:szCs w:val="18"/>
                    </w:rPr>
                    <w:t>Library material</w:t>
                  </w:r>
                </w:p>
              </w:tc>
              <w:tc>
                <w:tcPr>
                  <w:tcW w:w="394" w:type="pct"/>
                </w:tcPr>
                <w:p w14:paraId="13A3C774" w14:textId="20AF0020" w:rsidR="00A06A38" w:rsidRPr="00AB24B2" w:rsidRDefault="00A06A38" w:rsidP="00A06A38">
                  <w:pPr>
                    <w:pStyle w:val="TableBodyText"/>
                    <w:rPr>
                      <w:szCs w:val="18"/>
                    </w:rPr>
                  </w:pPr>
                  <w:r w:rsidRPr="00AB24B2">
                    <w:rPr>
                      <w:szCs w:val="18"/>
                    </w:rPr>
                    <w:t xml:space="preserve">10-40 </w:t>
                  </w:r>
                  <w:proofErr w:type="spellStart"/>
                  <w:r w:rsidRPr="00AB24B2">
                    <w:rPr>
                      <w:szCs w:val="18"/>
                    </w:rPr>
                    <w:t>yrs</w:t>
                  </w:r>
                  <w:proofErr w:type="spellEnd"/>
                </w:p>
              </w:tc>
              <w:tc>
                <w:tcPr>
                  <w:tcW w:w="388" w:type="pct"/>
                </w:tcPr>
                <w:p w14:paraId="0D276EEE" w14:textId="55F10804" w:rsidR="00A06A38" w:rsidRPr="00AB24B2" w:rsidRDefault="00A06A38" w:rsidP="00A06A38">
                  <w:pPr>
                    <w:pStyle w:val="TableBodyText"/>
                    <w:rPr>
                      <w:szCs w:val="18"/>
                    </w:rPr>
                  </w:pPr>
                  <w:proofErr w:type="spellStart"/>
                  <w:r w:rsidRPr="00AB24B2">
                    <w:rPr>
                      <w:szCs w:val="18"/>
                    </w:rPr>
                    <w:t>na</w:t>
                  </w:r>
                  <w:proofErr w:type="spellEnd"/>
                </w:p>
              </w:tc>
              <w:tc>
                <w:tcPr>
                  <w:tcW w:w="401" w:type="pct"/>
                </w:tcPr>
                <w:p w14:paraId="3CD7665F" w14:textId="5549270F" w:rsidR="00A06A38" w:rsidRPr="00AB24B2" w:rsidRDefault="00AD4E83" w:rsidP="00A06A38">
                  <w:pPr>
                    <w:pStyle w:val="TableBodyText"/>
                    <w:rPr>
                      <w:szCs w:val="18"/>
                    </w:rPr>
                  </w:pPr>
                  <w:proofErr w:type="spellStart"/>
                  <w:r w:rsidRPr="00AB24B2">
                    <w:rPr>
                      <w:szCs w:val="18"/>
                    </w:rPr>
                    <w:t>na</w:t>
                  </w:r>
                  <w:proofErr w:type="spellEnd"/>
                </w:p>
              </w:tc>
              <w:tc>
                <w:tcPr>
                  <w:tcW w:w="370" w:type="pct"/>
                </w:tcPr>
                <w:p w14:paraId="2E7F100C" w14:textId="5441279F" w:rsidR="00A06A38" w:rsidRPr="001D26B1" w:rsidRDefault="00A06A38" w:rsidP="00A06A38">
                  <w:pPr>
                    <w:pStyle w:val="TableBodyText"/>
                    <w:rPr>
                      <w:szCs w:val="18"/>
                    </w:rPr>
                  </w:pPr>
                  <w:proofErr w:type="spellStart"/>
                  <w:r w:rsidRPr="001D26B1">
                    <w:rPr>
                      <w:szCs w:val="18"/>
                    </w:rPr>
                    <w:t>na</w:t>
                  </w:r>
                  <w:proofErr w:type="spellEnd"/>
                </w:p>
              </w:tc>
              <w:tc>
                <w:tcPr>
                  <w:tcW w:w="339" w:type="pct"/>
                </w:tcPr>
                <w:p w14:paraId="5B97656A" w14:textId="6299EFE7" w:rsidR="00A06A38" w:rsidRPr="001D26B1" w:rsidRDefault="00A06A38" w:rsidP="00A06A38">
                  <w:pPr>
                    <w:pStyle w:val="TableBodyText"/>
                    <w:rPr>
                      <w:szCs w:val="18"/>
                    </w:rPr>
                  </w:pPr>
                  <w:proofErr w:type="spellStart"/>
                  <w:r w:rsidRPr="001D26B1">
                    <w:rPr>
                      <w:szCs w:val="18"/>
                    </w:rPr>
                    <w:t>na</w:t>
                  </w:r>
                  <w:proofErr w:type="spellEnd"/>
                </w:p>
              </w:tc>
              <w:tc>
                <w:tcPr>
                  <w:tcW w:w="338" w:type="pct"/>
                </w:tcPr>
                <w:p w14:paraId="5A1A712B" w14:textId="18CF01C6" w:rsidR="00A06A38" w:rsidRPr="001D26B1" w:rsidRDefault="00A06A38" w:rsidP="00A06A38">
                  <w:pPr>
                    <w:pStyle w:val="TableBodyText"/>
                    <w:rPr>
                      <w:szCs w:val="18"/>
                    </w:rPr>
                  </w:pPr>
                  <w:r w:rsidRPr="001D26B1">
                    <w:rPr>
                      <w:szCs w:val="18"/>
                    </w:rPr>
                    <w:t>Infinite</w:t>
                  </w:r>
                </w:p>
              </w:tc>
              <w:tc>
                <w:tcPr>
                  <w:tcW w:w="338" w:type="pct"/>
                </w:tcPr>
                <w:p w14:paraId="43745A69" w14:textId="40CCDD13" w:rsidR="00A06A38" w:rsidRPr="001D26B1" w:rsidRDefault="00A06A38" w:rsidP="00A06A38">
                  <w:pPr>
                    <w:pStyle w:val="TableBodyText"/>
                    <w:rPr>
                      <w:szCs w:val="18"/>
                    </w:rPr>
                  </w:pPr>
                  <w:proofErr w:type="spellStart"/>
                  <w:r w:rsidRPr="001D26B1">
                    <w:rPr>
                      <w:szCs w:val="18"/>
                    </w:rPr>
                    <w:t>na</w:t>
                  </w:r>
                  <w:proofErr w:type="spellEnd"/>
                </w:p>
              </w:tc>
              <w:tc>
                <w:tcPr>
                  <w:tcW w:w="338" w:type="pct"/>
                </w:tcPr>
                <w:p w14:paraId="61BD352D" w14:textId="2FF399A2" w:rsidR="00A06A38" w:rsidRPr="001D26B1" w:rsidRDefault="00A06A38" w:rsidP="00A06A38">
                  <w:pPr>
                    <w:pStyle w:val="TableBodyText"/>
                    <w:rPr>
                      <w:szCs w:val="18"/>
                    </w:rPr>
                  </w:pPr>
                  <w:r w:rsidRPr="001D26B1">
                    <w:rPr>
                      <w:szCs w:val="18"/>
                    </w:rPr>
                    <w:t xml:space="preserve">25 </w:t>
                  </w:r>
                  <w:proofErr w:type="spellStart"/>
                  <w:r w:rsidRPr="001D26B1">
                    <w:rPr>
                      <w:szCs w:val="18"/>
                    </w:rPr>
                    <w:t>yrs</w:t>
                  </w:r>
                  <w:proofErr w:type="spellEnd"/>
                </w:p>
              </w:tc>
              <w:tc>
                <w:tcPr>
                  <w:tcW w:w="338" w:type="pct"/>
                </w:tcPr>
                <w:p w14:paraId="32ADE0AE" w14:textId="263A6048" w:rsidR="00A06A38" w:rsidRPr="001D26B1" w:rsidRDefault="00A06A38" w:rsidP="00A06A38">
                  <w:pPr>
                    <w:pStyle w:val="TableBodyText"/>
                    <w:rPr>
                      <w:szCs w:val="18"/>
                    </w:rPr>
                  </w:pPr>
                  <w:r w:rsidRPr="001D26B1">
                    <w:rPr>
                      <w:szCs w:val="18"/>
                    </w:rPr>
                    <w:t xml:space="preserve">20 </w:t>
                  </w:r>
                  <w:proofErr w:type="spellStart"/>
                  <w:r w:rsidRPr="001D26B1">
                    <w:rPr>
                      <w:szCs w:val="18"/>
                    </w:rPr>
                    <w:t>yrs</w:t>
                  </w:r>
                  <w:proofErr w:type="spellEnd"/>
                </w:p>
              </w:tc>
              <w:tc>
                <w:tcPr>
                  <w:tcW w:w="393" w:type="pct"/>
                </w:tcPr>
                <w:p w14:paraId="53914B2D" w14:textId="43C2399D" w:rsidR="00A06A38" w:rsidRPr="001D26B1" w:rsidRDefault="00A06A38" w:rsidP="00A06A38">
                  <w:pPr>
                    <w:pStyle w:val="TableBodyText"/>
                    <w:rPr>
                      <w:szCs w:val="18"/>
                    </w:rPr>
                  </w:pPr>
                  <w:r w:rsidRPr="001D26B1">
                    <w:rPr>
                      <w:szCs w:val="18"/>
                    </w:rPr>
                    <w:t xml:space="preserve">50 </w:t>
                  </w:r>
                  <w:proofErr w:type="spellStart"/>
                  <w:r w:rsidRPr="001D26B1">
                    <w:rPr>
                      <w:szCs w:val="18"/>
                    </w:rPr>
                    <w:t>yrs</w:t>
                  </w:r>
                  <w:proofErr w:type="spellEnd"/>
                </w:p>
              </w:tc>
              <w:tc>
                <w:tcPr>
                  <w:tcW w:w="442" w:type="pct"/>
                  <w:shd w:val="clear" w:color="auto" w:fill="auto"/>
                </w:tcPr>
                <w:p w14:paraId="07FDE0A2" w14:textId="3E0869BA" w:rsidR="00A06A38" w:rsidRPr="001D26B1" w:rsidRDefault="00A06A38" w:rsidP="00A06A38">
                  <w:pPr>
                    <w:pStyle w:val="TableBodyText"/>
                    <w:rPr>
                      <w:szCs w:val="18"/>
                    </w:rPr>
                  </w:pPr>
                  <w:proofErr w:type="spellStart"/>
                  <w:r w:rsidRPr="001D26B1">
                    <w:rPr>
                      <w:szCs w:val="18"/>
                    </w:rPr>
                    <w:t>na</w:t>
                  </w:r>
                  <w:proofErr w:type="spellEnd"/>
                </w:p>
              </w:tc>
            </w:tr>
            <w:tr w:rsidR="001D26B1" w:rsidRPr="001D26B1" w14:paraId="5A3B9DDC" w14:textId="77777777" w:rsidTr="00FF6947">
              <w:tc>
                <w:tcPr>
                  <w:tcW w:w="461" w:type="pct"/>
                  <w:shd w:val="clear" w:color="auto" w:fill="auto"/>
                </w:tcPr>
                <w:p w14:paraId="07F11055" w14:textId="73148A1B" w:rsidR="00033F39" w:rsidRPr="001D26B1" w:rsidRDefault="00033F39" w:rsidP="00033F39">
                  <w:pPr>
                    <w:pStyle w:val="TableBodyText"/>
                    <w:jc w:val="left"/>
                    <w:rPr>
                      <w:szCs w:val="18"/>
                    </w:rPr>
                  </w:pPr>
                  <w:r w:rsidRPr="001D26B1">
                    <w:rPr>
                      <w:szCs w:val="18"/>
                    </w:rPr>
                    <w:t xml:space="preserve">Capitalisation </w:t>
                  </w:r>
                </w:p>
              </w:tc>
              <w:tc>
                <w:tcPr>
                  <w:tcW w:w="461" w:type="pct"/>
                </w:tcPr>
                <w:p w14:paraId="460C43F3" w14:textId="30E67C5C" w:rsidR="00033F39" w:rsidRPr="001D26B1" w:rsidRDefault="00033F39" w:rsidP="00033F39">
                  <w:pPr>
                    <w:pStyle w:val="TableBodyText"/>
                    <w:rPr>
                      <w:szCs w:val="18"/>
                    </w:rPr>
                  </w:pPr>
                  <w:r w:rsidRPr="001D26B1">
                    <w:rPr>
                      <w:szCs w:val="18"/>
                    </w:rPr>
                    <w:t>Buildings</w:t>
                  </w:r>
                </w:p>
              </w:tc>
              <w:tc>
                <w:tcPr>
                  <w:tcW w:w="394" w:type="pct"/>
                </w:tcPr>
                <w:p w14:paraId="5F97AE85" w14:textId="54B51C68" w:rsidR="00033F39" w:rsidRPr="00AB24B2" w:rsidRDefault="00033F39" w:rsidP="00033F39">
                  <w:pPr>
                    <w:pStyle w:val="TableBodyText"/>
                    <w:rPr>
                      <w:szCs w:val="18"/>
                    </w:rPr>
                  </w:pPr>
                  <w:r w:rsidRPr="00AB24B2">
                    <w:rPr>
                      <w:szCs w:val="18"/>
                    </w:rPr>
                    <w:t>2 000</w:t>
                  </w:r>
                </w:p>
              </w:tc>
              <w:tc>
                <w:tcPr>
                  <w:tcW w:w="388" w:type="pct"/>
                </w:tcPr>
                <w:p w14:paraId="590F1E13" w14:textId="2A403482" w:rsidR="00033F39" w:rsidRPr="00AB24B2" w:rsidRDefault="00033F39" w:rsidP="00033F39">
                  <w:pPr>
                    <w:pStyle w:val="TableBodyText"/>
                    <w:rPr>
                      <w:szCs w:val="18"/>
                    </w:rPr>
                  </w:pPr>
                  <w:r w:rsidRPr="00AB24B2">
                    <w:rPr>
                      <w:szCs w:val="18"/>
                    </w:rPr>
                    <w:t>2 000</w:t>
                  </w:r>
                </w:p>
              </w:tc>
              <w:tc>
                <w:tcPr>
                  <w:tcW w:w="401" w:type="pct"/>
                </w:tcPr>
                <w:p w14:paraId="34019F1C" w14:textId="08B5E51B" w:rsidR="00033F39" w:rsidRPr="00AB24B2" w:rsidRDefault="00033F39" w:rsidP="00033F39">
                  <w:pPr>
                    <w:pStyle w:val="TableBodyText"/>
                    <w:rPr>
                      <w:szCs w:val="18"/>
                    </w:rPr>
                  </w:pPr>
                  <w:r w:rsidRPr="00AB24B2">
                    <w:rPr>
                      <w:szCs w:val="18"/>
                    </w:rPr>
                    <w:t>2 000</w:t>
                  </w:r>
                </w:p>
              </w:tc>
              <w:tc>
                <w:tcPr>
                  <w:tcW w:w="370" w:type="pct"/>
                </w:tcPr>
                <w:p w14:paraId="3D41D7B4" w14:textId="3D34F166" w:rsidR="00033F39" w:rsidRPr="001D26B1" w:rsidRDefault="00033F39" w:rsidP="00033F39">
                  <w:pPr>
                    <w:pStyle w:val="TableBodyText"/>
                    <w:rPr>
                      <w:szCs w:val="18"/>
                    </w:rPr>
                  </w:pPr>
                  <w:r w:rsidRPr="001D26B1">
                    <w:rPr>
                      <w:szCs w:val="18"/>
                    </w:rPr>
                    <w:t>3 000</w:t>
                  </w:r>
                </w:p>
              </w:tc>
              <w:tc>
                <w:tcPr>
                  <w:tcW w:w="339" w:type="pct"/>
                </w:tcPr>
                <w:p w14:paraId="21FCE8C3" w14:textId="3CE7EAB9" w:rsidR="00033F39" w:rsidRPr="001D26B1" w:rsidRDefault="00033F39" w:rsidP="00033F39">
                  <w:pPr>
                    <w:pStyle w:val="TableBodyText"/>
                    <w:rPr>
                      <w:szCs w:val="18"/>
                    </w:rPr>
                  </w:pPr>
                  <w:proofErr w:type="spellStart"/>
                  <w:r w:rsidRPr="001D26B1">
                    <w:rPr>
                      <w:szCs w:val="18"/>
                    </w:rPr>
                    <w:t>na</w:t>
                  </w:r>
                  <w:proofErr w:type="spellEnd"/>
                </w:p>
              </w:tc>
              <w:tc>
                <w:tcPr>
                  <w:tcW w:w="338" w:type="pct"/>
                </w:tcPr>
                <w:p w14:paraId="7E7A488B" w14:textId="6E543F0F" w:rsidR="00033F39" w:rsidRPr="001D26B1" w:rsidRDefault="00033F39" w:rsidP="00033F39">
                  <w:pPr>
                    <w:pStyle w:val="TableBodyText"/>
                    <w:rPr>
                      <w:szCs w:val="18"/>
                    </w:rPr>
                  </w:pPr>
                  <w:r w:rsidRPr="001D26B1">
                    <w:rPr>
                      <w:szCs w:val="18"/>
                    </w:rPr>
                    <w:t>10 000</w:t>
                  </w:r>
                </w:p>
              </w:tc>
              <w:tc>
                <w:tcPr>
                  <w:tcW w:w="338" w:type="pct"/>
                </w:tcPr>
                <w:p w14:paraId="343DF62E" w14:textId="03F16373" w:rsidR="00033F39" w:rsidRPr="001D26B1" w:rsidRDefault="00033F39" w:rsidP="00033F39">
                  <w:pPr>
                    <w:pStyle w:val="TableBodyText"/>
                    <w:rPr>
                      <w:szCs w:val="18"/>
                    </w:rPr>
                  </w:pPr>
                  <w:r w:rsidRPr="001D26B1">
                    <w:rPr>
                      <w:szCs w:val="18"/>
                    </w:rPr>
                    <w:t>1 000</w:t>
                  </w:r>
                </w:p>
              </w:tc>
              <w:tc>
                <w:tcPr>
                  <w:tcW w:w="338" w:type="pct"/>
                </w:tcPr>
                <w:p w14:paraId="481A1BF3" w14:textId="1045A400" w:rsidR="00033F39" w:rsidRPr="001D26B1" w:rsidRDefault="00033F39" w:rsidP="00033F39">
                  <w:pPr>
                    <w:pStyle w:val="TableBodyText"/>
                    <w:rPr>
                      <w:szCs w:val="18"/>
                    </w:rPr>
                  </w:pPr>
                  <w:r w:rsidRPr="001D26B1">
                    <w:rPr>
                      <w:szCs w:val="18"/>
                    </w:rPr>
                    <w:t>5 000</w:t>
                  </w:r>
                </w:p>
              </w:tc>
              <w:tc>
                <w:tcPr>
                  <w:tcW w:w="338" w:type="pct"/>
                </w:tcPr>
                <w:p w14:paraId="2CAF1FEE" w14:textId="7E6450A8" w:rsidR="00033F39" w:rsidRPr="002A4A9A" w:rsidRDefault="002A4A9A" w:rsidP="00033F39">
                  <w:pPr>
                    <w:pStyle w:val="TableBodyText"/>
                    <w:rPr>
                      <w:szCs w:val="18"/>
                      <w:highlight w:val="yellow"/>
                    </w:rPr>
                  </w:pPr>
                  <w:r w:rsidRPr="00154983">
                    <w:rPr>
                      <w:szCs w:val="18"/>
                    </w:rPr>
                    <w:t>10</w:t>
                  </w:r>
                  <w:r w:rsidR="00033F39" w:rsidRPr="00154983">
                    <w:rPr>
                      <w:szCs w:val="18"/>
                    </w:rPr>
                    <w:t xml:space="preserve"> 000</w:t>
                  </w:r>
                </w:p>
              </w:tc>
              <w:tc>
                <w:tcPr>
                  <w:tcW w:w="393" w:type="pct"/>
                </w:tcPr>
                <w:p w14:paraId="5568C174" w14:textId="616FCEB9" w:rsidR="00033F39" w:rsidRPr="001D26B1" w:rsidRDefault="00033F39" w:rsidP="00033F39">
                  <w:pPr>
                    <w:pStyle w:val="TableBodyText"/>
                    <w:rPr>
                      <w:szCs w:val="18"/>
                    </w:rPr>
                  </w:pPr>
                  <w:r w:rsidRPr="001D26B1">
                    <w:rPr>
                      <w:szCs w:val="18"/>
                    </w:rPr>
                    <w:t>5 000</w:t>
                  </w:r>
                </w:p>
              </w:tc>
              <w:tc>
                <w:tcPr>
                  <w:tcW w:w="442" w:type="pct"/>
                  <w:shd w:val="clear" w:color="auto" w:fill="auto"/>
                </w:tcPr>
                <w:p w14:paraId="2ED270BC" w14:textId="0E590B63" w:rsidR="00033F39" w:rsidRPr="001D26B1" w:rsidRDefault="00033F39" w:rsidP="00033F39">
                  <w:pPr>
                    <w:pStyle w:val="TableBodyText"/>
                    <w:rPr>
                      <w:szCs w:val="18"/>
                    </w:rPr>
                  </w:pPr>
                  <w:r w:rsidRPr="001D26B1">
                    <w:rPr>
                      <w:szCs w:val="18"/>
                    </w:rPr>
                    <w:t>5 000</w:t>
                  </w:r>
                </w:p>
              </w:tc>
            </w:tr>
            <w:tr w:rsidR="001D26B1" w:rsidRPr="001D26B1" w14:paraId="1FFE471B" w14:textId="77777777" w:rsidTr="00FF6947">
              <w:tc>
                <w:tcPr>
                  <w:tcW w:w="461" w:type="pct"/>
                  <w:shd w:val="clear" w:color="auto" w:fill="auto"/>
                </w:tcPr>
                <w:p w14:paraId="3DA94800" w14:textId="0A5E78A0" w:rsidR="00033F39" w:rsidRPr="001D26B1" w:rsidRDefault="00033F39" w:rsidP="00033F39">
                  <w:pPr>
                    <w:pStyle w:val="TableBodyText"/>
                    <w:jc w:val="left"/>
                    <w:rPr>
                      <w:szCs w:val="18"/>
                    </w:rPr>
                  </w:pPr>
                  <w:r w:rsidRPr="001D26B1">
                    <w:rPr>
                      <w:szCs w:val="18"/>
                    </w:rPr>
                    <w:t>threshold</w:t>
                  </w:r>
                </w:p>
              </w:tc>
              <w:tc>
                <w:tcPr>
                  <w:tcW w:w="461" w:type="pct"/>
                </w:tcPr>
                <w:p w14:paraId="223BFFAB" w14:textId="6FA1A4FC" w:rsidR="00033F39" w:rsidRPr="001D26B1" w:rsidRDefault="00033F39" w:rsidP="00033F39">
                  <w:pPr>
                    <w:pStyle w:val="TableBodyText"/>
                    <w:rPr>
                      <w:szCs w:val="18"/>
                    </w:rPr>
                  </w:pPr>
                  <w:r w:rsidRPr="001D26B1">
                    <w:rPr>
                      <w:szCs w:val="18"/>
                    </w:rPr>
                    <w:t>IT</w:t>
                  </w:r>
                </w:p>
              </w:tc>
              <w:tc>
                <w:tcPr>
                  <w:tcW w:w="394" w:type="pct"/>
                </w:tcPr>
                <w:p w14:paraId="72CC0A86" w14:textId="70D1EB47" w:rsidR="00033F39" w:rsidRPr="00AB24B2" w:rsidRDefault="00AD4E83" w:rsidP="00AD4E83">
                  <w:pPr>
                    <w:pStyle w:val="TableBodyText"/>
                    <w:rPr>
                      <w:szCs w:val="18"/>
                    </w:rPr>
                  </w:pPr>
                  <w:r w:rsidRPr="00AB24B2">
                    <w:rPr>
                      <w:szCs w:val="18"/>
                    </w:rPr>
                    <w:t>2</w:t>
                  </w:r>
                  <w:r w:rsidR="00033F39" w:rsidRPr="00AB24B2">
                    <w:rPr>
                      <w:szCs w:val="18"/>
                    </w:rPr>
                    <w:t xml:space="preserve"> </w:t>
                  </w:r>
                  <w:r w:rsidRPr="00AB24B2">
                    <w:rPr>
                      <w:szCs w:val="18"/>
                    </w:rPr>
                    <w:t>0</w:t>
                  </w:r>
                  <w:r w:rsidR="00033F39" w:rsidRPr="00AB24B2">
                    <w:rPr>
                      <w:szCs w:val="18"/>
                    </w:rPr>
                    <w:t>00</w:t>
                  </w:r>
                </w:p>
              </w:tc>
              <w:tc>
                <w:tcPr>
                  <w:tcW w:w="388" w:type="pct"/>
                </w:tcPr>
                <w:p w14:paraId="18BCBADB" w14:textId="7C2B3145" w:rsidR="00033F39" w:rsidRPr="001D26B1" w:rsidRDefault="00033F39" w:rsidP="00033F39">
                  <w:pPr>
                    <w:pStyle w:val="TableBodyText"/>
                    <w:rPr>
                      <w:szCs w:val="18"/>
                    </w:rPr>
                  </w:pPr>
                  <w:r w:rsidRPr="001D26B1">
                    <w:rPr>
                      <w:szCs w:val="18"/>
                    </w:rPr>
                    <w:t>2 000</w:t>
                  </w:r>
                </w:p>
              </w:tc>
              <w:tc>
                <w:tcPr>
                  <w:tcW w:w="401" w:type="pct"/>
                </w:tcPr>
                <w:p w14:paraId="1B5926EC" w14:textId="4522FE12" w:rsidR="00033F39" w:rsidRPr="001D26B1" w:rsidRDefault="00033F39" w:rsidP="00033F39">
                  <w:pPr>
                    <w:pStyle w:val="TableBodyText"/>
                    <w:rPr>
                      <w:szCs w:val="18"/>
                    </w:rPr>
                  </w:pPr>
                  <w:r w:rsidRPr="001D26B1">
                    <w:rPr>
                      <w:szCs w:val="18"/>
                    </w:rPr>
                    <w:t>2 000</w:t>
                  </w:r>
                </w:p>
              </w:tc>
              <w:tc>
                <w:tcPr>
                  <w:tcW w:w="370" w:type="pct"/>
                </w:tcPr>
                <w:p w14:paraId="4636EA86" w14:textId="574A3F51" w:rsidR="00033F39" w:rsidRPr="001D26B1" w:rsidRDefault="00033F39" w:rsidP="00033F39">
                  <w:pPr>
                    <w:pStyle w:val="TableBodyText"/>
                    <w:rPr>
                      <w:szCs w:val="18"/>
                    </w:rPr>
                  </w:pPr>
                  <w:r w:rsidRPr="001D26B1">
                    <w:rPr>
                      <w:szCs w:val="18"/>
                    </w:rPr>
                    <w:t>3 000</w:t>
                  </w:r>
                </w:p>
              </w:tc>
              <w:tc>
                <w:tcPr>
                  <w:tcW w:w="339" w:type="pct"/>
                </w:tcPr>
                <w:p w14:paraId="43CFF8C3" w14:textId="2824822A" w:rsidR="00033F39" w:rsidRPr="001D26B1" w:rsidRDefault="00033F39" w:rsidP="00033F39">
                  <w:pPr>
                    <w:pStyle w:val="TableBodyText"/>
                    <w:rPr>
                      <w:szCs w:val="18"/>
                    </w:rPr>
                  </w:pPr>
                  <w:proofErr w:type="spellStart"/>
                  <w:r w:rsidRPr="001D26B1">
                    <w:rPr>
                      <w:szCs w:val="18"/>
                    </w:rPr>
                    <w:t>na</w:t>
                  </w:r>
                  <w:proofErr w:type="spellEnd"/>
                </w:p>
              </w:tc>
              <w:tc>
                <w:tcPr>
                  <w:tcW w:w="338" w:type="pct"/>
                </w:tcPr>
                <w:p w14:paraId="1C8721C4" w14:textId="7F027C27" w:rsidR="00033F39" w:rsidRPr="001D26B1" w:rsidRDefault="00033F39" w:rsidP="00033F39">
                  <w:pPr>
                    <w:pStyle w:val="TableBodyText"/>
                    <w:rPr>
                      <w:szCs w:val="18"/>
                    </w:rPr>
                  </w:pPr>
                  <w:r w:rsidRPr="001D26B1">
                    <w:rPr>
                      <w:szCs w:val="18"/>
                    </w:rPr>
                    <w:t>5 000</w:t>
                  </w:r>
                </w:p>
              </w:tc>
              <w:tc>
                <w:tcPr>
                  <w:tcW w:w="338" w:type="pct"/>
                </w:tcPr>
                <w:p w14:paraId="07271647" w14:textId="794EAF22" w:rsidR="00033F39" w:rsidRPr="001D26B1" w:rsidRDefault="00033F39" w:rsidP="00033F39">
                  <w:pPr>
                    <w:pStyle w:val="TableBodyText"/>
                    <w:rPr>
                      <w:szCs w:val="18"/>
                    </w:rPr>
                  </w:pPr>
                  <w:r w:rsidRPr="001D26B1">
                    <w:rPr>
                      <w:szCs w:val="18"/>
                    </w:rPr>
                    <w:t>1 000</w:t>
                  </w:r>
                </w:p>
              </w:tc>
              <w:tc>
                <w:tcPr>
                  <w:tcW w:w="338" w:type="pct"/>
                </w:tcPr>
                <w:p w14:paraId="018E4C82" w14:textId="697A1BD6" w:rsidR="00033F39" w:rsidRPr="001D26B1" w:rsidRDefault="00033F39" w:rsidP="00033F39">
                  <w:pPr>
                    <w:pStyle w:val="TableBodyText"/>
                    <w:rPr>
                      <w:szCs w:val="18"/>
                    </w:rPr>
                  </w:pPr>
                  <w:r w:rsidRPr="001D26B1">
                    <w:rPr>
                      <w:szCs w:val="18"/>
                    </w:rPr>
                    <w:t>5 000</w:t>
                  </w:r>
                </w:p>
              </w:tc>
              <w:tc>
                <w:tcPr>
                  <w:tcW w:w="338" w:type="pct"/>
                </w:tcPr>
                <w:p w14:paraId="4B19B8DE" w14:textId="08AE0712" w:rsidR="00033F39" w:rsidRPr="002A4A9A" w:rsidRDefault="002A4A9A" w:rsidP="00033F39">
                  <w:pPr>
                    <w:pStyle w:val="TableBodyText"/>
                    <w:rPr>
                      <w:szCs w:val="18"/>
                      <w:highlight w:val="yellow"/>
                    </w:rPr>
                  </w:pPr>
                  <w:r w:rsidRPr="00154983">
                    <w:rPr>
                      <w:szCs w:val="18"/>
                    </w:rPr>
                    <w:t>10</w:t>
                  </w:r>
                  <w:r w:rsidR="00033F39" w:rsidRPr="00154983">
                    <w:rPr>
                      <w:szCs w:val="18"/>
                    </w:rPr>
                    <w:t xml:space="preserve"> 000</w:t>
                  </w:r>
                </w:p>
              </w:tc>
              <w:tc>
                <w:tcPr>
                  <w:tcW w:w="393" w:type="pct"/>
                </w:tcPr>
                <w:p w14:paraId="34D60BD8" w14:textId="03A667F3" w:rsidR="00033F39" w:rsidRPr="001D26B1" w:rsidRDefault="00033F39" w:rsidP="00033F39">
                  <w:pPr>
                    <w:pStyle w:val="TableBodyText"/>
                    <w:rPr>
                      <w:szCs w:val="18"/>
                    </w:rPr>
                  </w:pPr>
                  <w:r w:rsidRPr="001D26B1">
                    <w:rPr>
                      <w:szCs w:val="18"/>
                    </w:rPr>
                    <w:t>50 000 (d)</w:t>
                  </w:r>
                </w:p>
              </w:tc>
              <w:tc>
                <w:tcPr>
                  <w:tcW w:w="442" w:type="pct"/>
                  <w:shd w:val="clear" w:color="auto" w:fill="auto"/>
                </w:tcPr>
                <w:p w14:paraId="129131B1" w14:textId="0916A0A5" w:rsidR="00033F39" w:rsidRPr="001D26B1" w:rsidRDefault="00033F39" w:rsidP="00033F39">
                  <w:pPr>
                    <w:pStyle w:val="TableBodyText"/>
                    <w:rPr>
                      <w:szCs w:val="18"/>
                    </w:rPr>
                  </w:pPr>
                  <w:r w:rsidRPr="001D26B1">
                    <w:rPr>
                      <w:szCs w:val="18"/>
                    </w:rPr>
                    <w:t>5 000</w:t>
                  </w:r>
                </w:p>
              </w:tc>
            </w:tr>
            <w:tr w:rsidR="00FF6947" w:rsidRPr="001D26B1" w14:paraId="381957BE" w14:textId="77777777" w:rsidTr="00FF6947">
              <w:tc>
                <w:tcPr>
                  <w:tcW w:w="461" w:type="pct"/>
                  <w:shd w:val="clear" w:color="auto" w:fill="auto"/>
                </w:tcPr>
                <w:p w14:paraId="575A0E24" w14:textId="77777777" w:rsidR="00033F39" w:rsidRPr="001D26B1" w:rsidRDefault="00033F39" w:rsidP="00033F39">
                  <w:pPr>
                    <w:pStyle w:val="TableBodyText"/>
                    <w:jc w:val="left"/>
                    <w:rPr>
                      <w:szCs w:val="18"/>
                    </w:rPr>
                  </w:pPr>
                </w:p>
              </w:tc>
              <w:tc>
                <w:tcPr>
                  <w:tcW w:w="461" w:type="pct"/>
                </w:tcPr>
                <w:p w14:paraId="34DD50DF" w14:textId="754FB79F" w:rsidR="00033F39" w:rsidRPr="001D26B1" w:rsidRDefault="00033F39" w:rsidP="00033F39">
                  <w:pPr>
                    <w:pStyle w:val="TableBodyText"/>
                    <w:rPr>
                      <w:szCs w:val="18"/>
                    </w:rPr>
                  </w:pPr>
                  <w:r w:rsidRPr="001D26B1">
                    <w:rPr>
                      <w:szCs w:val="18"/>
                    </w:rPr>
                    <w:t>Other assets</w:t>
                  </w:r>
                </w:p>
              </w:tc>
              <w:tc>
                <w:tcPr>
                  <w:tcW w:w="394" w:type="pct"/>
                </w:tcPr>
                <w:p w14:paraId="29745407" w14:textId="58654418" w:rsidR="00033F39" w:rsidRPr="001D26B1" w:rsidRDefault="00033F39" w:rsidP="00033F39">
                  <w:pPr>
                    <w:pStyle w:val="TableBodyText"/>
                    <w:rPr>
                      <w:szCs w:val="18"/>
                    </w:rPr>
                  </w:pPr>
                  <w:r w:rsidRPr="001D26B1">
                    <w:rPr>
                      <w:szCs w:val="18"/>
                    </w:rPr>
                    <w:t>2 000</w:t>
                  </w:r>
                </w:p>
              </w:tc>
              <w:tc>
                <w:tcPr>
                  <w:tcW w:w="388" w:type="pct"/>
                </w:tcPr>
                <w:p w14:paraId="6EC8624A" w14:textId="200E204D" w:rsidR="00033F39" w:rsidRPr="001D26B1" w:rsidRDefault="00033F39" w:rsidP="00033F39">
                  <w:pPr>
                    <w:pStyle w:val="TableBodyText"/>
                    <w:rPr>
                      <w:szCs w:val="18"/>
                    </w:rPr>
                  </w:pPr>
                  <w:r w:rsidRPr="001D26B1">
                    <w:rPr>
                      <w:szCs w:val="18"/>
                    </w:rPr>
                    <w:t>2 000</w:t>
                  </w:r>
                </w:p>
              </w:tc>
              <w:tc>
                <w:tcPr>
                  <w:tcW w:w="401" w:type="pct"/>
                </w:tcPr>
                <w:p w14:paraId="186F913E" w14:textId="6A79DA65" w:rsidR="00033F39" w:rsidRPr="001D26B1" w:rsidRDefault="00033F39" w:rsidP="00033F39">
                  <w:pPr>
                    <w:pStyle w:val="TableBodyText"/>
                    <w:rPr>
                      <w:szCs w:val="18"/>
                    </w:rPr>
                  </w:pPr>
                  <w:r w:rsidRPr="001D26B1">
                    <w:rPr>
                      <w:szCs w:val="18"/>
                    </w:rPr>
                    <w:t>2 000</w:t>
                  </w:r>
                </w:p>
              </w:tc>
              <w:tc>
                <w:tcPr>
                  <w:tcW w:w="370" w:type="pct"/>
                </w:tcPr>
                <w:p w14:paraId="0B23C1C8" w14:textId="3BE4779A" w:rsidR="00033F39" w:rsidRPr="001D26B1" w:rsidRDefault="00033F39" w:rsidP="00033F39">
                  <w:pPr>
                    <w:pStyle w:val="TableBodyText"/>
                    <w:rPr>
                      <w:szCs w:val="18"/>
                    </w:rPr>
                  </w:pPr>
                  <w:r w:rsidRPr="001D26B1">
                    <w:rPr>
                      <w:szCs w:val="18"/>
                    </w:rPr>
                    <w:t>3 000</w:t>
                  </w:r>
                </w:p>
              </w:tc>
              <w:tc>
                <w:tcPr>
                  <w:tcW w:w="339" w:type="pct"/>
                </w:tcPr>
                <w:p w14:paraId="75CDC95B" w14:textId="27732B01" w:rsidR="00033F39" w:rsidRPr="001D26B1" w:rsidRDefault="00033F39" w:rsidP="00033F39">
                  <w:pPr>
                    <w:pStyle w:val="TableBodyText"/>
                    <w:rPr>
                      <w:szCs w:val="18"/>
                    </w:rPr>
                  </w:pPr>
                  <w:r w:rsidRPr="001D26B1">
                    <w:rPr>
                      <w:szCs w:val="18"/>
                    </w:rPr>
                    <w:t>5 000</w:t>
                  </w:r>
                </w:p>
              </w:tc>
              <w:tc>
                <w:tcPr>
                  <w:tcW w:w="338" w:type="pct"/>
                </w:tcPr>
                <w:p w14:paraId="72B28EA2" w14:textId="5710AFDC" w:rsidR="00033F39" w:rsidRPr="001D26B1" w:rsidRDefault="00033F39" w:rsidP="00033F39">
                  <w:pPr>
                    <w:pStyle w:val="TableBodyText"/>
                    <w:rPr>
                      <w:szCs w:val="18"/>
                    </w:rPr>
                  </w:pPr>
                  <w:r w:rsidRPr="001D26B1">
                    <w:rPr>
                      <w:szCs w:val="18"/>
                    </w:rPr>
                    <w:t>5 000</w:t>
                  </w:r>
                </w:p>
              </w:tc>
              <w:tc>
                <w:tcPr>
                  <w:tcW w:w="338" w:type="pct"/>
                </w:tcPr>
                <w:p w14:paraId="4716D051" w14:textId="5AA1A69B" w:rsidR="00033F39" w:rsidRPr="001D26B1" w:rsidRDefault="00033F39" w:rsidP="00033F39">
                  <w:pPr>
                    <w:pStyle w:val="TableBodyText"/>
                    <w:rPr>
                      <w:szCs w:val="18"/>
                    </w:rPr>
                  </w:pPr>
                  <w:r w:rsidRPr="001D26B1">
                    <w:rPr>
                      <w:szCs w:val="18"/>
                    </w:rPr>
                    <w:t>1 000</w:t>
                  </w:r>
                </w:p>
              </w:tc>
              <w:tc>
                <w:tcPr>
                  <w:tcW w:w="338" w:type="pct"/>
                </w:tcPr>
                <w:p w14:paraId="514289D1" w14:textId="0C8AD269" w:rsidR="00033F39" w:rsidRPr="001D26B1" w:rsidRDefault="00033F39" w:rsidP="00033F39">
                  <w:pPr>
                    <w:pStyle w:val="TableBodyText"/>
                    <w:rPr>
                      <w:szCs w:val="18"/>
                    </w:rPr>
                  </w:pPr>
                  <w:r w:rsidRPr="001D26B1">
                    <w:rPr>
                      <w:szCs w:val="18"/>
                    </w:rPr>
                    <w:t>5 000</w:t>
                  </w:r>
                </w:p>
              </w:tc>
              <w:tc>
                <w:tcPr>
                  <w:tcW w:w="338" w:type="pct"/>
                </w:tcPr>
                <w:p w14:paraId="00AE0154" w14:textId="2F329316" w:rsidR="00033F39" w:rsidRPr="002A4A9A" w:rsidRDefault="002A4A9A" w:rsidP="00033F39">
                  <w:pPr>
                    <w:pStyle w:val="TableBodyText"/>
                    <w:rPr>
                      <w:szCs w:val="18"/>
                      <w:highlight w:val="yellow"/>
                    </w:rPr>
                  </w:pPr>
                  <w:r w:rsidRPr="00154983">
                    <w:rPr>
                      <w:szCs w:val="18"/>
                    </w:rPr>
                    <w:t>10</w:t>
                  </w:r>
                  <w:r w:rsidR="00033F39" w:rsidRPr="00154983">
                    <w:rPr>
                      <w:szCs w:val="18"/>
                    </w:rPr>
                    <w:t xml:space="preserve"> 000</w:t>
                  </w:r>
                </w:p>
              </w:tc>
              <w:tc>
                <w:tcPr>
                  <w:tcW w:w="393" w:type="pct"/>
                </w:tcPr>
                <w:p w14:paraId="2E75A44C" w14:textId="3CC1BFEE" w:rsidR="00033F39" w:rsidRPr="001D26B1" w:rsidRDefault="00033F39" w:rsidP="00033F39">
                  <w:pPr>
                    <w:pStyle w:val="TableBodyText"/>
                    <w:rPr>
                      <w:szCs w:val="18"/>
                    </w:rPr>
                  </w:pPr>
                  <w:r w:rsidRPr="001D26B1">
                    <w:rPr>
                      <w:szCs w:val="18"/>
                    </w:rPr>
                    <w:t>5 000</w:t>
                  </w:r>
                </w:p>
              </w:tc>
              <w:tc>
                <w:tcPr>
                  <w:tcW w:w="442" w:type="pct"/>
                  <w:shd w:val="clear" w:color="auto" w:fill="auto"/>
                </w:tcPr>
                <w:p w14:paraId="722CB499" w14:textId="441D9EF3" w:rsidR="00033F39" w:rsidRPr="001D26B1" w:rsidRDefault="00033F39" w:rsidP="00033F39">
                  <w:pPr>
                    <w:pStyle w:val="TableBodyText"/>
                    <w:rPr>
                      <w:szCs w:val="18"/>
                    </w:rPr>
                  </w:pPr>
                  <w:r w:rsidRPr="001D26B1">
                    <w:rPr>
                      <w:szCs w:val="18"/>
                    </w:rPr>
                    <w:t>5 000</w:t>
                  </w:r>
                </w:p>
              </w:tc>
            </w:tr>
            <w:tr w:rsidR="001D26B1" w14:paraId="131EE4AA" w14:textId="77777777" w:rsidTr="00FF6947">
              <w:tc>
                <w:tcPr>
                  <w:tcW w:w="461" w:type="pct"/>
                  <w:tcBorders>
                    <w:bottom w:val="single" w:sz="6" w:space="0" w:color="BFBFBF"/>
                  </w:tcBorders>
                  <w:shd w:val="clear" w:color="auto" w:fill="auto"/>
                </w:tcPr>
                <w:p w14:paraId="218E5078" w14:textId="77777777" w:rsidR="00033F39" w:rsidRPr="00DF5DE8" w:rsidRDefault="00033F39" w:rsidP="00BB0E03">
                  <w:pPr>
                    <w:pStyle w:val="TableBodyText"/>
                    <w:spacing w:line="240" w:lineRule="auto"/>
                    <w:jc w:val="left"/>
                    <w:rPr>
                      <w:sz w:val="16"/>
                      <w:szCs w:val="16"/>
                    </w:rPr>
                  </w:pPr>
                </w:p>
              </w:tc>
              <w:tc>
                <w:tcPr>
                  <w:tcW w:w="461" w:type="pct"/>
                  <w:tcBorders>
                    <w:bottom w:val="single" w:sz="6" w:space="0" w:color="BFBFBF"/>
                  </w:tcBorders>
                </w:tcPr>
                <w:p w14:paraId="6BB1D279" w14:textId="77777777" w:rsidR="00033F39" w:rsidRPr="00DF5DE8" w:rsidRDefault="00033F39" w:rsidP="00033F39">
                  <w:pPr>
                    <w:pStyle w:val="TableBodyText"/>
                    <w:rPr>
                      <w:sz w:val="16"/>
                      <w:szCs w:val="16"/>
                    </w:rPr>
                  </w:pPr>
                </w:p>
              </w:tc>
              <w:tc>
                <w:tcPr>
                  <w:tcW w:w="394" w:type="pct"/>
                  <w:tcBorders>
                    <w:bottom w:val="single" w:sz="6" w:space="0" w:color="BFBFBF"/>
                  </w:tcBorders>
                </w:tcPr>
                <w:p w14:paraId="1FE465B8" w14:textId="77777777" w:rsidR="00033F39" w:rsidRPr="00DF5DE8" w:rsidRDefault="00033F39" w:rsidP="00033F39">
                  <w:pPr>
                    <w:pStyle w:val="TableBodyText"/>
                    <w:rPr>
                      <w:sz w:val="16"/>
                      <w:szCs w:val="16"/>
                    </w:rPr>
                  </w:pPr>
                </w:p>
              </w:tc>
              <w:tc>
                <w:tcPr>
                  <w:tcW w:w="388" w:type="pct"/>
                  <w:tcBorders>
                    <w:bottom w:val="single" w:sz="6" w:space="0" w:color="BFBFBF"/>
                  </w:tcBorders>
                </w:tcPr>
                <w:p w14:paraId="181EFDC4" w14:textId="77777777" w:rsidR="00033F39" w:rsidRPr="00DF5DE8" w:rsidRDefault="00033F39" w:rsidP="00033F39">
                  <w:pPr>
                    <w:pStyle w:val="TableBodyText"/>
                    <w:rPr>
                      <w:sz w:val="16"/>
                      <w:szCs w:val="16"/>
                    </w:rPr>
                  </w:pPr>
                </w:p>
              </w:tc>
              <w:tc>
                <w:tcPr>
                  <w:tcW w:w="401" w:type="pct"/>
                  <w:tcBorders>
                    <w:bottom w:val="single" w:sz="6" w:space="0" w:color="BFBFBF"/>
                  </w:tcBorders>
                </w:tcPr>
                <w:p w14:paraId="77FA0B56" w14:textId="77777777" w:rsidR="00033F39" w:rsidRPr="00DF5DE8" w:rsidRDefault="00033F39" w:rsidP="00033F39">
                  <w:pPr>
                    <w:pStyle w:val="TableBodyText"/>
                    <w:rPr>
                      <w:sz w:val="16"/>
                      <w:szCs w:val="16"/>
                    </w:rPr>
                  </w:pPr>
                </w:p>
              </w:tc>
              <w:tc>
                <w:tcPr>
                  <w:tcW w:w="370" w:type="pct"/>
                  <w:tcBorders>
                    <w:bottom w:val="single" w:sz="6" w:space="0" w:color="BFBFBF"/>
                  </w:tcBorders>
                </w:tcPr>
                <w:p w14:paraId="4E91D8DA" w14:textId="77777777" w:rsidR="00033F39" w:rsidRPr="00DF5DE8" w:rsidRDefault="00033F39" w:rsidP="00033F39">
                  <w:pPr>
                    <w:pStyle w:val="TableBodyText"/>
                    <w:rPr>
                      <w:sz w:val="16"/>
                      <w:szCs w:val="16"/>
                    </w:rPr>
                  </w:pPr>
                </w:p>
              </w:tc>
              <w:tc>
                <w:tcPr>
                  <w:tcW w:w="339" w:type="pct"/>
                  <w:tcBorders>
                    <w:bottom w:val="single" w:sz="6" w:space="0" w:color="BFBFBF"/>
                  </w:tcBorders>
                </w:tcPr>
                <w:p w14:paraId="4C3911B7" w14:textId="77777777" w:rsidR="00033F39" w:rsidRPr="00DF5DE8" w:rsidRDefault="00033F39" w:rsidP="00033F39">
                  <w:pPr>
                    <w:pStyle w:val="TableBodyText"/>
                    <w:rPr>
                      <w:sz w:val="16"/>
                      <w:szCs w:val="16"/>
                    </w:rPr>
                  </w:pPr>
                </w:p>
              </w:tc>
              <w:tc>
                <w:tcPr>
                  <w:tcW w:w="338" w:type="pct"/>
                  <w:tcBorders>
                    <w:bottom w:val="single" w:sz="6" w:space="0" w:color="BFBFBF"/>
                  </w:tcBorders>
                </w:tcPr>
                <w:p w14:paraId="4469703F" w14:textId="77777777" w:rsidR="00033F39" w:rsidRPr="00DF5DE8" w:rsidRDefault="00033F39" w:rsidP="00033F39">
                  <w:pPr>
                    <w:pStyle w:val="TableBodyText"/>
                    <w:rPr>
                      <w:sz w:val="16"/>
                      <w:szCs w:val="16"/>
                    </w:rPr>
                  </w:pPr>
                </w:p>
              </w:tc>
              <w:tc>
                <w:tcPr>
                  <w:tcW w:w="338" w:type="pct"/>
                  <w:tcBorders>
                    <w:bottom w:val="single" w:sz="6" w:space="0" w:color="BFBFBF"/>
                  </w:tcBorders>
                </w:tcPr>
                <w:p w14:paraId="1C0407C4" w14:textId="77777777" w:rsidR="00033F39" w:rsidRPr="00DF5DE8" w:rsidRDefault="00033F39" w:rsidP="00033F39">
                  <w:pPr>
                    <w:pStyle w:val="TableBodyText"/>
                    <w:rPr>
                      <w:sz w:val="16"/>
                      <w:szCs w:val="16"/>
                    </w:rPr>
                  </w:pPr>
                </w:p>
              </w:tc>
              <w:tc>
                <w:tcPr>
                  <w:tcW w:w="338" w:type="pct"/>
                  <w:tcBorders>
                    <w:bottom w:val="single" w:sz="6" w:space="0" w:color="BFBFBF"/>
                  </w:tcBorders>
                </w:tcPr>
                <w:p w14:paraId="61AAACBD" w14:textId="77777777" w:rsidR="00033F39" w:rsidRPr="00DF5DE8" w:rsidRDefault="00033F39" w:rsidP="00033F39">
                  <w:pPr>
                    <w:pStyle w:val="TableBodyText"/>
                    <w:rPr>
                      <w:sz w:val="16"/>
                      <w:szCs w:val="16"/>
                    </w:rPr>
                  </w:pPr>
                </w:p>
              </w:tc>
              <w:tc>
                <w:tcPr>
                  <w:tcW w:w="338" w:type="pct"/>
                  <w:tcBorders>
                    <w:bottom w:val="single" w:sz="6" w:space="0" w:color="BFBFBF"/>
                  </w:tcBorders>
                </w:tcPr>
                <w:p w14:paraId="6BB1B3E3" w14:textId="77777777" w:rsidR="00033F39" w:rsidRPr="00DF5DE8" w:rsidRDefault="00033F39" w:rsidP="00033F39">
                  <w:pPr>
                    <w:pStyle w:val="TableBodyText"/>
                    <w:rPr>
                      <w:sz w:val="16"/>
                      <w:szCs w:val="16"/>
                    </w:rPr>
                  </w:pPr>
                </w:p>
              </w:tc>
              <w:tc>
                <w:tcPr>
                  <w:tcW w:w="393" w:type="pct"/>
                  <w:tcBorders>
                    <w:bottom w:val="single" w:sz="6" w:space="0" w:color="BFBFBF"/>
                  </w:tcBorders>
                </w:tcPr>
                <w:p w14:paraId="1B4EF484" w14:textId="77777777" w:rsidR="00033F39" w:rsidRPr="00DF5DE8" w:rsidRDefault="00033F39" w:rsidP="00033F39">
                  <w:pPr>
                    <w:pStyle w:val="TableBodyText"/>
                    <w:rPr>
                      <w:sz w:val="16"/>
                      <w:szCs w:val="16"/>
                    </w:rPr>
                  </w:pPr>
                </w:p>
              </w:tc>
              <w:tc>
                <w:tcPr>
                  <w:tcW w:w="442" w:type="pct"/>
                  <w:tcBorders>
                    <w:bottom w:val="single" w:sz="6" w:space="0" w:color="BFBFBF"/>
                  </w:tcBorders>
                  <w:shd w:val="clear" w:color="auto" w:fill="auto"/>
                </w:tcPr>
                <w:p w14:paraId="3F0738E8" w14:textId="77777777" w:rsidR="00033F39" w:rsidRPr="00DF5DE8" w:rsidRDefault="00033F39" w:rsidP="00033F39">
                  <w:pPr>
                    <w:pStyle w:val="TableBodyText"/>
                    <w:rPr>
                      <w:sz w:val="16"/>
                      <w:szCs w:val="16"/>
                    </w:rPr>
                  </w:pPr>
                </w:p>
              </w:tc>
            </w:tr>
          </w:tbl>
          <w:p w14:paraId="5275A74E" w14:textId="77777777" w:rsidR="00F8527F" w:rsidRDefault="00F8527F" w:rsidP="00FA7F1F">
            <w:pPr>
              <w:pStyle w:val="Box"/>
            </w:pPr>
          </w:p>
        </w:tc>
      </w:tr>
      <w:tr w:rsidR="00F8527F" w14:paraId="1FA53274" w14:textId="77777777" w:rsidTr="00FA7F1F">
        <w:tc>
          <w:tcPr>
            <w:tcW w:w="5000" w:type="pct"/>
            <w:tcBorders>
              <w:top w:val="nil"/>
              <w:left w:val="nil"/>
              <w:bottom w:val="nil"/>
              <w:right w:val="nil"/>
            </w:tcBorders>
            <w:shd w:val="clear" w:color="auto" w:fill="auto"/>
          </w:tcPr>
          <w:p w14:paraId="49E2DF81" w14:textId="5508DEDC" w:rsidR="00F8527F" w:rsidRDefault="00F8527F" w:rsidP="00A863CB">
            <w:pPr>
              <w:pStyle w:val="Note"/>
              <w:rPr>
                <w:i/>
              </w:rPr>
            </w:pPr>
            <w:proofErr w:type="spellStart"/>
            <w:r w:rsidRPr="008E77FE">
              <w:rPr>
                <w:rStyle w:val="NoteLabel"/>
              </w:rPr>
              <w:t>a</w:t>
            </w:r>
            <w:proofErr w:type="spellEnd"/>
            <w:r w:rsidR="00A863CB">
              <w:t xml:space="preserve"> </w:t>
            </w:r>
            <w:proofErr w:type="gramStart"/>
            <w:r w:rsidR="00A863CB">
              <w:t>In</w:t>
            </w:r>
            <w:proofErr w:type="gramEnd"/>
            <w:r w:rsidR="00A863CB">
              <w:t xml:space="preserve"> NSW,</w:t>
            </w:r>
            <w:r w:rsidR="00A863CB" w:rsidRPr="00A863CB">
              <w:t xml:space="preserve"> </w:t>
            </w:r>
            <w:r w:rsidR="00A863CB">
              <w:t>l</w:t>
            </w:r>
            <w:r w:rsidR="00A863CB" w:rsidRPr="00A863CB">
              <w:t xml:space="preserve">and and buildings are revalued at least every five years. Property, plant and equipment are measured on an existing use basis, where there are no feasible alternative uses in the existing natural, legal, financial and socio-political environment. The </w:t>
            </w:r>
            <w:proofErr w:type="gramStart"/>
            <w:r w:rsidR="00A863CB" w:rsidRPr="00A863CB">
              <w:t>straight line</w:t>
            </w:r>
            <w:proofErr w:type="gramEnd"/>
            <w:r w:rsidR="00A863CB" w:rsidRPr="00A863CB">
              <w:t xml:space="preserve"> method of depreciation is used.</w:t>
            </w:r>
            <w:r>
              <w:t xml:space="preserve"> </w:t>
            </w:r>
            <w:r>
              <w:rPr>
                <w:rStyle w:val="NoteLabel"/>
              </w:rPr>
              <w:t>b</w:t>
            </w:r>
            <w:r w:rsidR="00A863CB">
              <w:t xml:space="preserve"> </w:t>
            </w:r>
            <w:r w:rsidR="00A863CB" w:rsidRPr="00A863CB">
              <w:t>In Queensland</w:t>
            </w:r>
            <w:r w:rsidR="00A863CB">
              <w:t>,</w:t>
            </w:r>
            <w:r w:rsidR="00A863CB" w:rsidRPr="00A863CB">
              <w:t xml:space="preserve"> non-current physical assets measured at Fair value are comprehensively revalued at least every five years with interim valuations, using appropriate indices, being otherwise performed on an annual basis where there has been a material variation in the index.</w:t>
            </w:r>
            <w:r w:rsidR="00A863CB">
              <w:t xml:space="preserve"> </w:t>
            </w:r>
            <w:r w:rsidR="00A863CB">
              <w:rPr>
                <w:rStyle w:val="NoteLabel"/>
              </w:rPr>
              <w:t>c</w:t>
            </w:r>
            <w:r w:rsidR="00A863CB">
              <w:t xml:space="preserve"> </w:t>
            </w:r>
            <w:r w:rsidR="00A863CB" w:rsidRPr="00A863CB">
              <w:t>Asset lives for some assets have been grouped with other classifications. For some jurisdictions, IT equipment includes software.</w:t>
            </w:r>
            <w:r w:rsidR="00A863CB">
              <w:t xml:space="preserve"> </w:t>
            </w:r>
            <w:r w:rsidR="00A863CB">
              <w:rPr>
                <w:rStyle w:val="NoteLabel"/>
              </w:rPr>
              <w:t>d</w:t>
            </w:r>
            <w:r w:rsidR="00A863CB">
              <w:t xml:space="preserve"> </w:t>
            </w:r>
            <w:proofErr w:type="gramStart"/>
            <w:r w:rsidR="00A863CB">
              <w:t>For</w:t>
            </w:r>
            <w:proofErr w:type="gramEnd"/>
            <w:r w:rsidR="00A863CB">
              <w:t xml:space="preserve"> software only.</w:t>
            </w:r>
            <w:r w:rsidR="00EA510B">
              <w:t xml:space="preserve"> </w:t>
            </w:r>
            <w:proofErr w:type="spellStart"/>
            <w:r w:rsidR="00EA510B" w:rsidRPr="005A68E9">
              <w:rPr>
                <w:b/>
              </w:rPr>
              <w:t>na</w:t>
            </w:r>
            <w:proofErr w:type="spellEnd"/>
            <w:r w:rsidR="00EA510B" w:rsidRPr="005A68E9">
              <w:rPr>
                <w:b/>
              </w:rPr>
              <w:t> </w:t>
            </w:r>
            <w:r w:rsidR="00EA510B" w:rsidRPr="005A68E9">
              <w:t>Not </w:t>
            </w:r>
            <w:proofErr w:type="gramStart"/>
            <w:r w:rsidR="00EA510B" w:rsidRPr="005A68E9">
              <w:t>available</w:t>
            </w:r>
            <w:r w:rsidR="00EA510B">
              <w:t>. ..</w:t>
            </w:r>
            <w:proofErr w:type="gramEnd"/>
            <w:r w:rsidR="00EA510B" w:rsidRPr="005A68E9">
              <w:rPr>
                <w:b/>
              </w:rPr>
              <w:t> </w:t>
            </w:r>
            <w:r w:rsidR="00EA510B" w:rsidRPr="00E92ADD">
              <w:t>Not</w:t>
            </w:r>
            <w:r w:rsidR="00EA510B" w:rsidRPr="005A68E9">
              <w:rPr>
                <w:b/>
              </w:rPr>
              <w:t> </w:t>
            </w:r>
            <w:r w:rsidR="00EA510B">
              <w:t>applicable.</w:t>
            </w:r>
          </w:p>
        </w:tc>
      </w:tr>
      <w:tr w:rsidR="00F8527F" w14:paraId="0C469A1D" w14:textId="77777777" w:rsidTr="00FA7F1F">
        <w:tc>
          <w:tcPr>
            <w:tcW w:w="5000" w:type="pct"/>
            <w:tcBorders>
              <w:top w:val="nil"/>
              <w:left w:val="nil"/>
              <w:bottom w:val="nil"/>
              <w:right w:val="nil"/>
            </w:tcBorders>
            <w:shd w:val="clear" w:color="auto" w:fill="auto"/>
          </w:tcPr>
          <w:p w14:paraId="1F8D56C6" w14:textId="32D08565" w:rsidR="00F8527F" w:rsidRDefault="00A863CB" w:rsidP="00FA7F1F">
            <w:pPr>
              <w:pStyle w:val="Source"/>
            </w:pPr>
            <w:r w:rsidRPr="00503502">
              <w:rPr>
                <w:i/>
                <w:szCs w:val="18"/>
              </w:rPr>
              <w:t>Source</w:t>
            </w:r>
            <w:r w:rsidRPr="00503502">
              <w:rPr>
                <w:szCs w:val="18"/>
              </w:rPr>
              <w:t>: Australian, State and Territory court administration authorities and departments</w:t>
            </w:r>
          </w:p>
        </w:tc>
      </w:tr>
      <w:tr w:rsidR="00F8527F" w14:paraId="1FF9B858" w14:textId="77777777" w:rsidTr="00FA7F1F">
        <w:tc>
          <w:tcPr>
            <w:tcW w:w="5000" w:type="pct"/>
            <w:tcBorders>
              <w:top w:val="nil"/>
              <w:left w:val="nil"/>
              <w:bottom w:val="single" w:sz="6" w:space="0" w:color="78A22F"/>
              <w:right w:val="nil"/>
            </w:tcBorders>
            <w:shd w:val="clear" w:color="auto" w:fill="auto"/>
          </w:tcPr>
          <w:p w14:paraId="0B92F626" w14:textId="77777777" w:rsidR="00F8527F" w:rsidRDefault="00F8527F" w:rsidP="00F95739">
            <w:pPr>
              <w:pStyle w:val="Box"/>
              <w:keepNext w:val="0"/>
              <w:spacing w:before="0" w:line="120" w:lineRule="exact"/>
            </w:pPr>
          </w:p>
        </w:tc>
      </w:tr>
      <w:tr w:rsidR="00F8527F" w:rsidRPr="000863A5" w14:paraId="0CAAA45F" w14:textId="77777777" w:rsidTr="00FA7F1F">
        <w:tc>
          <w:tcPr>
            <w:tcW w:w="5000" w:type="pct"/>
            <w:tcBorders>
              <w:top w:val="single" w:sz="6" w:space="0" w:color="78A22F"/>
              <w:left w:val="nil"/>
              <w:bottom w:val="nil"/>
              <w:right w:val="nil"/>
            </w:tcBorders>
          </w:tcPr>
          <w:p w14:paraId="4A21C5B6" w14:textId="2D60F954" w:rsidR="00F8527F" w:rsidRPr="00626D32" w:rsidRDefault="00F8527F" w:rsidP="00FA7F1F">
            <w:pPr>
              <w:pStyle w:val="BoxSpaceBelow"/>
            </w:pPr>
          </w:p>
        </w:tc>
      </w:tr>
    </w:tbl>
    <w:p w14:paraId="65B5A074" w14:textId="77777777" w:rsidR="00431D49" w:rsidRDefault="00431D49" w:rsidP="001F5D40">
      <w:pPr>
        <w:pStyle w:val="BodyText"/>
        <w:sectPr w:rsidR="00431D49" w:rsidSect="008076E1">
          <w:headerReference w:type="default" r:id="rId12"/>
          <w:footerReference w:type="default" r:id="rId13"/>
          <w:pgSz w:w="16840" w:h="11907" w:orient="landscape" w:code="9"/>
          <w:pgMar w:top="1418" w:right="1985" w:bottom="1304" w:left="1247" w:header="1418" w:footer="397" w:gutter="0"/>
          <w:pgNumType w:chapStyle="1" w:chapSep="period"/>
          <w:cols w:space="720"/>
          <w:docGrid w:linePitch="326"/>
        </w:sectPr>
      </w:pPr>
    </w:p>
    <w:p w14:paraId="08EAB36E" w14:textId="195709F4" w:rsidR="00D36CDF" w:rsidRPr="00D36CDF" w:rsidRDefault="00FA7F1F" w:rsidP="00B000AB">
      <w:pPr>
        <w:pStyle w:val="Heading2"/>
        <w:numPr>
          <w:ilvl w:val="1"/>
          <w:numId w:val="21"/>
        </w:numPr>
      </w:pPr>
      <w:bookmarkStart w:id="15" w:name="_Toc21937637"/>
      <w:bookmarkEnd w:id="9"/>
      <w:r>
        <w:lastRenderedPageBreak/>
        <w:t>I</w:t>
      </w:r>
      <w:r w:rsidR="001F5D40">
        <w:t>ndicators</w:t>
      </w:r>
      <w:bookmarkEnd w:id="15"/>
    </w:p>
    <w:p w14:paraId="6CFD4E0D" w14:textId="30496B0C" w:rsidR="00EE0823" w:rsidRDefault="0017225F" w:rsidP="005860D6">
      <w:pPr>
        <w:pStyle w:val="BodyText"/>
      </w:pPr>
      <w:r>
        <w:t>Dif</w:t>
      </w:r>
      <w:r w:rsidR="00920EEA">
        <w:t>ferent delivery</w:t>
      </w:r>
      <w:r w:rsidR="00014873">
        <w:t xml:space="preserve"> contexts,</w:t>
      </w:r>
      <w:r w:rsidR="00920EEA">
        <w:t xml:space="preserve"> locations, caseloads, case</w:t>
      </w:r>
      <w:r w:rsidR="00E802B7">
        <w:t xml:space="preserve"> </w:t>
      </w:r>
      <w:r>
        <w:t xml:space="preserve">mixes and government policies </w:t>
      </w:r>
      <w:r w:rsidR="00014873">
        <w:t>can</w:t>
      </w:r>
      <w:r>
        <w:t xml:space="preserve"> affect the equity, effectiveness and efficiency of court services. The allocation of cases to different courts also differs across states and territories and Australian courts. </w:t>
      </w:r>
    </w:p>
    <w:p w14:paraId="256F2040" w14:textId="08C4ECB9" w:rsidR="007B6A08" w:rsidRDefault="007B6A08" w:rsidP="0083061E">
      <w:pPr>
        <w:keepNext/>
        <w:spacing w:before="240" w:after="240" w:line="300" w:lineRule="atLeast"/>
        <w:jc w:val="both"/>
        <w:rPr>
          <w:szCs w:val="20"/>
        </w:rPr>
      </w:pPr>
      <w:r w:rsidRPr="000F6C4E">
        <w:rPr>
          <w:szCs w:val="20"/>
        </w:rPr>
        <w:t xml:space="preserve">The comparability of performance indicator </w:t>
      </w:r>
      <w:r w:rsidRPr="0031633A">
        <w:rPr>
          <w:szCs w:val="20"/>
        </w:rPr>
        <w:t xml:space="preserve">results </w:t>
      </w:r>
      <w:r w:rsidR="001F1EFB" w:rsidRPr="0031633A">
        <w:rPr>
          <w:szCs w:val="20"/>
        </w:rPr>
        <w:t xml:space="preserve">is </w:t>
      </w:r>
      <w:r w:rsidRPr="0031633A">
        <w:rPr>
          <w:szCs w:val="20"/>
        </w:rPr>
        <w:t xml:space="preserve">shaded </w:t>
      </w:r>
      <w:r w:rsidRPr="000F6C4E">
        <w:rPr>
          <w:szCs w:val="20"/>
        </w:rPr>
        <w:t xml:space="preserve">in indicator interpretation boxes, figures and </w:t>
      </w:r>
      <w:r w:rsidR="00C34A38">
        <w:rPr>
          <w:szCs w:val="20"/>
        </w:rPr>
        <w:t>data</w:t>
      </w:r>
      <w:r w:rsidRPr="000F6C4E">
        <w:rPr>
          <w:szCs w:val="20"/>
        </w:rPr>
        <w:t xml:space="preserve"> tables as follows:</w:t>
      </w:r>
    </w:p>
    <w:p w14:paraId="4D873D0B" w14:textId="77777777" w:rsidR="00C34A38" w:rsidRDefault="00C34A38" w:rsidP="00C34A38">
      <w:pPr>
        <w:pStyle w:val="BodyText"/>
      </w:pPr>
      <w:r w:rsidRPr="00FA2246">
        <w:rPr>
          <w:shd w:val="clear" w:color="auto" w:fill="F15A25"/>
        </w:rPr>
        <w:t xml:space="preserve">    </w:t>
      </w:r>
      <w:r>
        <w:t xml:space="preserve"> Data are comparable (subject to caveats) across jurisdictions and over time.</w:t>
      </w:r>
    </w:p>
    <w:p w14:paraId="583D9C79" w14:textId="77777777" w:rsidR="00C34A38" w:rsidRDefault="00C34A38" w:rsidP="00C34A38">
      <w:pPr>
        <w:pStyle w:val="BodyText"/>
      </w:pPr>
      <w:r w:rsidRPr="00057E12">
        <w:rPr>
          <w:shd w:val="clear" w:color="auto" w:fill="FCDED3"/>
        </w:rPr>
        <w:t xml:space="preserve">    </w:t>
      </w:r>
      <w:r>
        <w:t xml:space="preserve"> Data are either not comparable (subject to caveats) within jurisdictions over time or are not comparable across jurisdictions or both.</w:t>
      </w:r>
    </w:p>
    <w:p w14:paraId="4EA8A0C1" w14:textId="05BA3C18" w:rsidR="00C34A38" w:rsidRDefault="00C34A38" w:rsidP="00C34A38">
      <w:pPr>
        <w:pStyle w:val="BodyText"/>
      </w:pPr>
      <w:r>
        <w:t xml:space="preserve">The completeness of performance indicator results </w:t>
      </w:r>
      <w:r w:rsidR="001F1EFB" w:rsidRPr="0031633A">
        <w:t>is</w:t>
      </w:r>
      <w:r w:rsidR="001F1EFB">
        <w:t xml:space="preserve"> </w:t>
      </w:r>
      <w:r>
        <w:t>shaded in indicator interpretation boxes, figures and data tables as follows:</w:t>
      </w:r>
    </w:p>
    <w:p w14:paraId="362BDAF0" w14:textId="77777777" w:rsidR="00C34A38" w:rsidRDefault="00C34A38" w:rsidP="00C34A38">
      <w:pPr>
        <w:pStyle w:val="BodyText"/>
      </w:pPr>
      <w:r w:rsidRPr="00FA2246">
        <w:rPr>
          <w:shd w:val="clear" w:color="auto" w:fill="F15A25"/>
        </w:rPr>
        <w:t xml:space="preserve">    </w:t>
      </w:r>
      <w:r>
        <w:t xml:space="preserve"> Data are complete (subject to caveats) for the current reporting period. All required data are available for all jurisdictions.</w:t>
      </w:r>
    </w:p>
    <w:p w14:paraId="4B7B0653" w14:textId="77777777" w:rsidR="00C34A38" w:rsidRDefault="00C34A38" w:rsidP="00C34A38">
      <w:pPr>
        <w:pStyle w:val="BodyText"/>
      </w:pPr>
      <w:r w:rsidRPr="00057E12">
        <w:rPr>
          <w:shd w:val="clear" w:color="auto" w:fill="FCDED3"/>
        </w:rPr>
        <w:t xml:space="preserve">    </w:t>
      </w:r>
      <w:r>
        <w:t xml:space="preserve"> Data are incomplete for the current reporting period. At least some data were not available.</w:t>
      </w:r>
    </w:p>
    <w:p w14:paraId="6B7066F8" w14:textId="77777777" w:rsidR="0017225F" w:rsidRDefault="0017225F" w:rsidP="0017225F">
      <w:pPr>
        <w:pStyle w:val="Heading3"/>
      </w:pPr>
      <w:bookmarkStart w:id="16" w:name="_Toc21937638"/>
      <w:r>
        <w:t>Outputs</w:t>
      </w:r>
      <w:bookmarkEnd w:id="16"/>
    </w:p>
    <w:p w14:paraId="522B1E98" w14:textId="2118492F" w:rsidR="005956AA" w:rsidRDefault="007376A5" w:rsidP="005956AA">
      <w:pPr>
        <w:pStyle w:val="BodyText"/>
      </w:pPr>
      <w:r>
        <w:t>Outputs are the</w:t>
      </w:r>
      <w:r w:rsidR="00BC3D2E">
        <w:t xml:space="preserve"> actual</w:t>
      </w:r>
      <w:r w:rsidR="005956AA" w:rsidRPr="005956AA">
        <w:t xml:space="preserve"> services delivered </w:t>
      </w:r>
      <w:r w:rsidR="00BC3D2E">
        <w:t>(</w:t>
      </w:r>
      <w:r w:rsidR="005956AA" w:rsidRPr="005956AA">
        <w:t>while outcomes are the impact of these services on the status of an individual or group</w:t>
      </w:r>
      <w:r w:rsidR="00BC3D2E">
        <w:t>)</w:t>
      </w:r>
      <w:r w:rsidR="005956AA" w:rsidRPr="005956AA">
        <w:t xml:space="preserve"> (</w:t>
      </w:r>
      <w:r w:rsidR="005956AA" w:rsidRPr="00C419D7">
        <w:t xml:space="preserve">see </w:t>
      </w:r>
      <w:r w:rsidR="00BC3D2E">
        <w:t>section</w:t>
      </w:r>
      <w:r w:rsidR="0028704E" w:rsidRPr="00E22551">
        <w:t xml:space="preserve"> 1</w:t>
      </w:r>
      <w:r w:rsidR="005956AA" w:rsidRPr="005956AA">
        <w:t>).</w:t>
      </w:r>
      <w:r w:rsidR="00FF183E">
        <w:t xml:space="preserve"> </w:t>
      </w:r>
      <w:r w:rsidR="00FF183E" w:rsidRPr="009655C0">
        <w:t>Output information is also critical for equitable, efficient and effective management of government services.</w:t>
      </w:r>
    </w:p>
    <w:p w14:paraId="5B4199A3" w14:textId="77777777" w:rsidR="00766407" w:rsidRDefault="00766407" w:rsidP="00E802B7">
      <w:pPr>
        <w:pStyle w:val="Heading3"/>
      </w:pPr>
      <w:bookmarkStart w:id="17" w:name="_Toc21937639"/>
      <w:r>
        <w:t>Equity</w:t>
      </w:r>
      <w:bookmarkEnd w:id="17"/>
    </w:p>
    <w:p w14:paraId="6BBB2A6B" w14:textId="6AA4F51F" w:rsidR="00D673AC" w:rsidRDefault="00D673AC" w:rsidP="00D673AC">
      <w:pPr>
        <w:pStyle w:val="Heading4"/>
      </w:pPr>
      <w:bookmarkStart w:id="18" w:name="_Toc21937640"/>
      <w:r>
        <w:t>Access — Interpreter services</w:t>
      </w:r>
      <w:bookmarkEnd w:id="18"/>
    </w:p>
    <w:p w14:paraId="0A86A807" w14:textId="59F63A83" w:rsidR="00D673AC" w:rsidRPr="00330CAD" w:rsidRDefault="00D673AC" w:rsidP="00D673AC">
      <w:pPr>
        <w:pStyle w:val="BodyText"/>
      </w:pPr>
      <w:r>
        <w:t xml:space="preserve">‘Access to interpreter services’ is an indicator of government’s objective to provide court </w:t>
      </w:r>
      <w:r w:rsidR="00154BCA">
        <w:t>services in an equitable manner (box 7.</w:t>
      </w:r>
      <w:r w:rsidR="00E65AD4">
        <w:t>6</w:t>
      </w:r>
      <w:r w:rsidR="00154BCA">
        <w:t>)</w:t>
      </w:r>
      <w:r w:rsidR="00A10E63">
        <w:t>. One component of equity of access to court services in Australia is an ability to receive access to interpreter services for those who need assistance with understanding and communicating in the court</w:t>
      </w:r>
      <w:r w:rsidR="005D70F8">
        <w:t xml:space="preserve"> system.</w:t>
      </w:r>
    </w:p>
    <w:p w14:paraId="40653F89" w14:textId="455A5463" w:rsidR="0043593F" w:rsidRDefault="002A5E9D" w:rsidP="00025771">
      <w:pPr>
        <w:pStyle w:val="BoxSpaceAbove"/>
        <w:tabs>
          <w:tab w:val="left" w:pos="900"/>
          <w:tab w:val="left" w:pos="1575"/>
        </w:tabs>
      </w:pPr>
      <w:r>
        <w:lastRenderedPageBreak/>
        <w:tab/>
      </w:r>
      <w:r w:rsidR="00025771">
        <w:tab/>
      </w:r>
    </w:p>
    <w:p w14:paraId="2649B1F6" w14:textId="77777777" w:rsidR="002A5E9D" w:rsidRDefault="002A5E9D" w:rsidP="002A5E9D">
      <w:pPr>
        <w:pStyle w:val="BoxSpaceAbove"/>
        <w:tabs>
          <w:tab w:val="left" w:pos="900"/>
        </w:tabs>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3593F" w14:paraId="3B5E1E53" w14:textId="77777777" w:rsidTr="00403101">
        <w:tc>
          <w:tcPr>
            <w:tcW w:w="8789" w:type="dxa"/>
            <w:tcBorders>
              <w:top w:val="single" w:sz="6" w:space="0" w:color="78A22F"/>
              <w:left w:val="nil"/>
              <w:bottom w:val="nil"/>
              <w:right w:val="nil"/>
            </w:tcBorders>
            <w:shd w:val="clear" w:color="auto" w:fill="F2F2F2" w:themeFill="background1" w:themeFillShade="F2"/>
          </w:tcPr>
          <w:p w14:paraId="07434942" w14:textId="2489E482" w:rsidR="0043593F" w:rsidRDefault="0043593F" w:rsidP="002148FE">
            <w:pPr>
              <w:pStyle w:val="BoxTitle"/>
            </w:pPr>
            <w:r>
              <w:rPr>
                <w:b w:val="0"/>
              </w:rPr>
              <w:t xml:space="preserve">Box </w:t>
            </w:r>
            <w:bookmarkStart w:id="19" w:name="OLE_LINK10"/>
            <w:r w:rsidR="0080666C">
              <w:rPr>
                <w:b w:val="0"/>
              </w:rPr>
              <w:t>7.</w:t>
            </w:r>
            <w:bookmarkEnd w:id="19"/>
            <w:r w:rsidR="00E65AD4">
              <w:rPr>
                <w:b w:val="0"/>
              </w:rPr>
              <w:t>6</w:t>
            </w:r>
            <w:r w:rsidR="00D673AC">
              <w:tab/>
              <w:t>Access to interpreter services</w:t>
            </w:r>
          </w:p>
        </w:tc>
      </w:tr>
      <w:tr w:rsidR="0043593F" w14:paraId="3126DF38" w14:textId="77777777" w:rsidTr="00403101">
        <w:trPr>
          <w:cantSplit/>
        </w:trPr>
        <w:tc>
          <w:tcPr>
            <w:tcW w:w="8789" w:type="dxa"/>
            <w:tcBorders>
              <w:top w:val="nil"/>
              <w:left w:val="nil"/>
              <w:bottom w:val="nil"/>
              <w:right w:val="nil"/>
            </w:tcBorders>
            <w:shd w:val="clear" w:color="auto" w:fill="F2F2F2" w:themeFill="background1" w:themeFillShade="F2"/>
          </w:tcPr>
          <w:p w14:paraId="32BD0356" w14:textId="5BEE3C3B" w:rsidR="00143500" w:rsidRPr="00CD40C4" w:rsidRDefault="00BF0217" w:rsidP="00143500">
            <w:pPr>
              <w:pStyle w:val="Box"/>
            </w:pPr>
            <w:r w:rsidRPr="00CD40C4">
              <w:t>‘</w:t>
            </w:r>
            <w:r w:rsidR="00143500" w:rsidRPr="00CD40C4">
              <w:t>Access to interpreter services’ is defined as the</w:t>
            </w:r>
            <w:r w:rsidR="00CB399F" w:rsidRPr="00CD40C4">
              <w:t xml:space="preserve"> number of booking requests made for an interpreter in the courtroom where the interpreter attended</w:t>
            </w:r>
            <w:r w:rsidR="003642C1" w:rsidRPr="00CD40C4">
              <w:t>,</w:t>
            </w:r>
            <w:r w:rsidR="00CB399F" w:rsidRPr="00CD40C4">
              <w:t xml:space="preserve"> divided by the number of</w:t>
            </w:r>
            <w:r w:rsidR="00143500" w:rsidRPr="00CD40C4">
              <w:t xml:space="preserve"> booking requests made for an interpreter</w:t>
            </w:r>
            <w:r w:rsidR="00CB399F" w:rsidRPr="00CD40C4">
              <w:t xml:space="preserve"> in the courtroom, multiplied by 100</w:t>
            </w:r>
            <w:r w:rsidR="00143500" w:rsidRPr="00CD40C4">
              <w:t>.</w:t>
            </w:r>
          </w:p>
          <w:p w14:paraId="1835CE77" w14:textId="77777777" w:rsidR="00143500" w:rsidRPr="00CD40C4" w:rsidRDefault="00143500" w:rsidP="00143500">
            <w:pPr>
              <w:pStyle w:val="Box"/>
            </w:pPr>
            <w:r w:rsidRPr="00CD40C4">
              <w:t>As Australia’s population becomes increasingly diverse, there is a growing need to provide access to interpreters in the courtroom to accommodate the linguistic diversity of people coming before the courts. This is particularly the case for Aboriginal and Torres Strait Islander people, with more than 100 languages and dialects spoken by Aboriginal and Torres Strait Islander people in the Northern Territory (Hurst 2019, available on North Australian Aboriginal Justice Agency website).</w:t>
            </w:r>
          </w:p>
          <w:p w14:paraId="633E6500" w14:textId="77777777" w:rsidR="00143500" w:rsidRPr="00CD40C4" w:rsidRDefault="00143500" w:rsidP="00143500">
            <w:pPr>
              <w:pStyle w:val="Box"/>
            </w:pPr>
            <w:r w:rsidRPr="00CD40C4">
              <w:t xml:space="preserve">The ability of courts to provide interpreters to meet demand is heavily dependent upon the availability of suitable interpreters. Factors affecting the suitability of an interpreter for a </w:t>
            </w:r>
            <w:proofErr w:type="gramStart"/>
            <w:r w:rsidRPr="00CD40C4">
              <w:t>particular defendant</w:t>
            </w:r>
            <w:proofErr w:type="gramEnd"/>
            <w:r w:rsidRPr="00CD40C4">
              <w:t xml:space="preserve"> can include qualifications in the relevant language, cultural factors such as familiarity with community, and sex (Judicial Council on Cultural Diversity 2017).</w:t>
            </w:r>
          </w:p>
          <w:p w14:paraId="6BB58C8F" w14:textId="77777777" w:rsidR="00143500" w:rsidRPr="00CD40C4" w:rsidRDefault="00143500" w:rsidP="00143500">
            <w:pPr>
              <w:pStyle w:val="Box"/>
            </w:pPr>
            <w:r w:rsidRPr="00CD40C4">
              <w:t>Demand for interpreter services in the courtroom is likely to be greater than the availability of appropriate and qualified interpreters. This gap will vary across states and territories as the diversity of language composition of state and territory populations differs.</w:t>
            </w:r>
          </w:p>
          <w:p w14:paraId="2EDE48CE" w14:textId="5D89843D" w:rsidR="00143500" w:rsidRPr="00CD40C4" w:rsidRDefault="00143500" w:rsidP="00143500">
            <w:pPr>
              <w:pStyle w:val="Box"/>
            </w:pPr>
            <w:r w:rsidRPr="00CD40C4">
              <w:t xml:space="preserve">High or increasing </w:t>
            </w:r>
            <w:r w:rsidR="00CB399F" w:rsidRPr="00CD40C4">
              <w:t>proportions</w:t>
            </w:r>
            <w:r w:rsidRPr="00CD40C4">
              <w:t xml:space="preserve"> of booking requests where an interpreter attended are desirable.</w:t>
            </w:r>
          </w:p>
          <w:p w14:paraId="24BE3C95" w14:textId="7849C1FA" w:rsidR="0043593F" w:rsidRDefault="00143500" w:rsidP="00143500">
            <w:pPr>
              <w:pStyle w:val="Box"/>
            </w:pPr>
            <w:r w:rsidRPr="00CD40C4">
              <w:t xml:space="preserve">Data are not yet available for reporting against this indicator. Box 7A.1 provides a case study </w:t>
            </w:r>
            <w:r w:rsidR="00437807" w:rsidRPr="00CD40C4">
              <w:t xml:space="preserve">example </w:t>
            </w:r>
            <w:r w:rsidRPr="00CD40C4">
              <w:t xml:space="preserve">which shows </w:t>
            </w:r>
            <w:r w:rsidR="00D22F12" w:rsidRPr="00CD40C4">
              <w:t xml:space="preserve">2019-20 </w:t>
            </w:r>
            <w:r w:rsidRPr="00CD40C4">
              <w:t>pilot data for South Australian criminal courts</w:t>
            </w:r>
            <w:r w:rsidR="00D22F12" w:rsidRPr="00CD40C4">
              <w:t xml:space="preserve"> and the Tasmanian Supreme court (criminal)</w:t>
            </w:r>
            <w:r w:rsidRPr="00CD40C4">
              <w:t xml:space="preserve"> — this case study is presented to provide insights into the potential value of this measure when more courts become able to report.</w:t>
            </w:r>
          </w:p>
        </w:tc>
      </w:tr>
      <w:tr w:rsidR="0043593F" w14:paraId="43D13DA0" w14:textId="77777777" w:rsidTr="00403101">
        <w:trPr>
          <w:cantSplit/>
        </w:trPr>
        <w:tc>
          <w:tcPr>
            <w:tcW w:w="8789" w:type="dxa"/>
            <w:tcBorders>
              <w:top w:val="nil"/>
              <w:left w:val="nil"/>
              <w:bottom w:val="single" w:sz="6" w:space="0" w:color="78A22F"/>
              <w:right w:val="nil"/>
            </w:tcBorders>
            <w:shd w:val="clear" w:color="auto" w:fill="F2F2F2" w:themeFill="background1" w:themeFillShade="F2"/>
          </w:tcPr>
          <w:p w14:paraId="3B4E3EEF" w14:textId="77777777" w:rsidR="0043593F" w:rsidRDefault="0043593F" w:rsidP="00CA1C7C">
            <w:pPr>
              <w:pStyle w:val="Box"/>
              <w:spacing w:before="0" w:line="120" w:lineRule="exact"/>
            </w:pPr>
          </w:p>
        </w:tc>
      </w:tr>
      <w:tr w:rsidR="0043593F" w:rsidRPr="000863A5" w14:paraId="2C6CD370" w14:textId="77777777" w:rsidTr="00403101">
        <w:tc>
          <w:tcPr>
            <w:tcW w:w="8789" w:type="dxa"/>
            <w:tcBorders>
              <w:top w:val="single" w:sz="6" w:space="0" w:color="78A22F"/>
              <w:left w:val="nil"/>
              <w:bottom w:val="nil"/>
              <w:right w:val="nil"/>
            </w:tcBorders>
          </w:tcPr>
          <w:p w14:paraId="4D36050E" w14:textId="77777777" w:rsidR="0043593F" w:rsidRPr="00626D32" w:rsidRDefault="0043593F" w:rsidP="00CA1C7C">
            <w:pPr>
              <w:pStyle w:val="BoxSpaceBelow"/>
            </w:pPr>
          </w:p>
        </w:tc>
      </w:tr>
    </w:tbl>
    <w:p w14:paraId="65F831FF" w14:textId="77777777" w:rsidR="00CA1C7C" w:rsidRDefault="00CA1C7C" w:rsidP="00CA1C7C">
      <w:pPr>
        <w:pStyle w:val="Heading3"/>
      </w:pPr>
      <w:bookmarkStart w:id="20" w:name="_Toc21937641"/>
      <w:r>
        <w:t>Effectiveness</w:t>
      </w:r>
      <w:bookmarkEnd w:id="20"/>
    </w:p>
    <w:p w14:paraId="3AE2298F" w14:textId="2AB3ADF1" w:rsidR="009D3F9F" w:rsidRDefault="009D3F9F" w:rsidP="009D3F9F">
      <w:pPr>
        <w:pStyle w:val="Heading4"/>
      </w:pPr>
      <w:bookmarkStart w:id="21" w:name="_Toc21937642"/>
      <w:r>
        <w:t xml:space="preserve">Access — </w:t>
      </w:r>
      <w:r w:rsidR="00F658A9">
        <w:t>J</w:t>
      </w:r>
      <w:r>
        <w:t>udicial officers</w:t>
      </w:r>
      <w:bookmarkEnd w:id="21"/>
    </w:p>
    <w:p w14:paraId="1161357C" w14:textId="698EA0F2" w:rsidR="009D3F9F" w:rsidRDefault="009D3F9F" w:rsidP="009D3F9F">
      <w:pPr>
        <w:pStyle w:val="BodyText"/>
      </w:pPr>
      <w:r>
        <w:t xml:space="preserve">‘Judicial officers’ is an indicator of governments’ achievement against the objective of providing services that </w:t>
      </w:r>
      <w:r w:rsidR="00EF446D">
        <w:t>enable courts to be open,</w:t>
      </w:r>
      <w:r>
        <w:t xml:space="preserve"> accessible </w:t>
      </w:r>
      <w:r w:rsidR="00EF446D">
        <w:t>and affordable</w:t>
      </w:r>
      <w:r>
        <w:t>. This indicator relates access to the number of judicial officers available to deal with cases in rela</w:t>
      </w:r>
      <w:r w:rsidR="00A40AAD">
        <w:t>tion to population size (box 7.</w:t>
      </w:r>
      <w:r w:rsidR="00E65AD4">
        <w:t>7</w:t>
      </w:r>
      <w:r>
        <w:t>).</w:t>
      </w:r>
    </w:p>
    <w:p w14:paraId="6D0D3149" w14:textId="2A1B1F10" w:rsidR="00403101" w:rsidRDefault="0040310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03101" w14:paraId="6A654693" w14:textId="77777777" w:rsidTr="00403101">
        <w:trPr>
          <w:tblHeader/>
        </w:trPr>
        <w:tc>
          <w:tcPr>
            <w:tcW w:w="5000" w:type="pct"/>
            <w:tcBorders>
              <w:top w:val="single" w:sz="6" w:space="0" w:color="78A22F"/>
              <w:left w:val="nil"/>
              <w:bottom w:val="nil"/>
              <w:right w:val="nil"/>
            </w:tcBorders>
            <w:shd w:val="clear" w:color="auto" w:fill="F2F2F2"/>
          </w:tcPr>
          <w:p w14:paraId="2E28B2EF" w14:textId="126115C0" w:rsidR="00403101" w:rsidRDefault="00403101" w:rsidP="00403101">
            <w:pPr>
              <w:pStyle w:val="BoxTitle"/>
            </w:pPr>
            <w:r>
              <w:rPr>
                <w:b w:val="0"/>
              </w:rPr>
              <w:t>Box 7.</w:t>
            </w:r>
            <w:r w:rsidR="00E65AD4">
              <w:rPr>
                <w:b w:val="0"/>
              </w:rPr>
              <w:t>7</w:t>
            </w:r>
            <w:r>
              <w:tab/>
            </w:r>
            <w:r w:rsidRPr="00C6139C">
              <w:t>Judicial officers</w:t>
            </w:r>
          </w:p>
        </w:tc>
      </w:tr>
      <w:tr w:rsidR="00403101" w14:paraId="3005C4E8" w14:textId="77777777" w:rsidTr="00403101">
        <w:tc>
          <w:tcPr>
            <w:tcW w:w="5000" w:type="pct"/>
            <w:tcBorders>
              <w:top w:val="nil"/>
              <w:left w:val="nil"/>
              <w:bottom w:val="nil"/>
              <w:right w:val="nil"/>
            </w:tcBorders>
            <w:shd w:val="clear" w:color="auto" w:fill="F2F2F2"/>
          </w:tcPr>
          <w:p w14:paraId="3C3FEC8D" w14:textId="03AE3727" w:rsidR="00403101" w:rsidRPr="008278FA" w:rsidRDefault="00403101" w:rsidP="00403101">
            <w:pPr>
              <w:pStyle w:val="Box"/>
            </w:pPr>
            <w:r w:rsidRPr="0061449F">
              <w:t>‘</w:t>
            </w:r>
            <w:r w:rsidRPr="008278FA">
              <w:t xml:space="preserve">Judicial officers’ is defined as the number of full time equivalent </w:t>
            </w:r>
            <w:r w:rsidR="008537C1">
              <w:t xml:space="preserve">(FTE) </w:t>
            </w:r>
            <w:r w:rsidRPr="008278FA">
              <w:t xml:space="preserve">judicial officers divided by the relevant resident population, multiplied by 100 000.  </w:t>
            </w:r>
          </w:p>
          <w:p w14:paraId="7ED1F061" w14:textId="2AAA2BFF" w:rsidR="00403101" w:rsidRDefault="00403101" w:rsidP="00403101">
            <w:pPr>
              <w:pStyle w:val="Box"/>
            </w:pPr>
            <w:r w:rsidRPr="008278FA">
              <w:t xml:space="preserve">Judicial officers can make enforceable orders of the court. </w:t>
            </w:r>
            <w:r w:rsidR="005F5847">
              <w:t>For the purposes of this Report</w:t>
            </w:r>
            <w:r w:rsidRPr="008278FA">
              <w:t xml:space="preserve">, the definition of a judicial officer </w:t>
            </w:r>
            <w:proofErr w:type="gramStart"/>
            <w:r w:rsidRPr="008278FA">
              <w:t>includes:</w:t>
            </w:r>
            <w:proofErr w:type="gramEnd"/>
            <w:r w:rsidRPr="008278FA">
              <w:t xml:space="preserve"> judges; associate judges; magistrates; masters; coroners; judicial registrars; all other officers who, following argument and giving of evidence, make enforceable orders of the court. Where judicial officers have both judicial and non-judicial work, this refers to the proportion of time allocated to judicial work.</w:t>
            </w:r>
          </w:p>
          <w:p w14:paraId="15A6C7D1" w14:textId="77777777" w:rsidR="00403101" w:rsidRDefault="00403101" w:rsidP="00403101">
            <w:pPr>
              <w:pStyle w:val="Box"/>
            </w:pPr>
            <w:r>
              <w:t xml:space="preserve">A high or increasing proportion of judicial officers in the population indicates potentially greater access to the judicial system. </w:t>
            </w:r>
          </w:p>
          <w:p w14:paraId="4A5167BE" w14:textId="4F03B743" w:rsidR="00403101" w:rsidRDefault="00403101" w:rsidP="00403101">
            <w:pPr>
              <w:pStyle w:val="Box"/>
            </w:pPr>
            <w:r>
              <w:t>Factors such as geographical dispersion, judicial workload and population density are also important to consider when comparing figures concerning judicial officers.</w:t>
            </w:r>
          </w:p>
        </w:tc>
      </w:tr>
      <w:tr w:rsidR="001F06AC" w14:paraId="3E6BF623" w14:textId="77777777" w:rsidTr="00403101">
        <w:tc>
          <w:tcPr>
            <w:tcW w:w="5000" w:type="pct"/>
            <w:tcBorders>
              <w:top w:val="nil"/>
              <w:left w:val="nil"/>
              <w:bottom w:val="nil"/>
              <w:right w:val="nil"/>
            </w:tcBorders>
            <w:shd w:val="clear" w:color="auto" w:fill="F2F2F2"/>
          </w:tcPr>
          <w:p w14:paraId="4ECE7FD8" w14:textId="77777777" w:rsidR="001F06AC" w:rsidRDefault="001F06AC" w:rsidP="001F06AC">
            <w:pPr>
              <w:pStyle w:val="Box"/>
              <w:keepNext w:val="0"/>
            </w:pPr>
            <w:r>
              <w:t>Data reported for this indicator are:</w:t>
            </w:r>
          </w:p>
          <w:p w14:paraId="630B6738" w14:textId="77777777" w:rsidR="001F06AC" w:rsidRDefault="001F06AC" w:rsidP="001F06AC">
            <w:pPr>
              <w:pStyle w:val="BoxListBullet"/>
              <w:keepNext w:val="0"/>
              <w:numPr>
                <w:ilvl w:val="0"/>
                <w:numId w:val="0"/>
              </w:numPr>
              <w:ind w:left="284"/>
            </w:pPr>
            <w:r>
              <w:rPr>
                <w:color w:val="4F03B5"/>
                <w:shd w:val="clear" w:color="auto" w:fill="F15A25"/>
              </w:rPr>
              <w:t xml:space="preserve">    </w:t>
            </w:r>
            <w:r>
              <w:t xml:space="preserve"> </w:t>
            </w:r>
            <w:r w:rsidRPr="000D77DB">
              <w:t xml:space="preserve">comparable (subject to caveats) </w:t>
            </w:r>
            <w:r>
              <w:t xml:space="preserve">across </w:t>
            </w:r>
            <w:r w:rsidRPr="000D77DB">
              <w:t>jurisdictions</w:t>
            </w:r>
            <w:r>
              <w:t xml:space="preserve"> and over time.</w:t>
            </w:r>
          </w:p>
          <w:p w14:paraId="796BFA3D" w14:textId="458F35BB" w:rsidR="001F06AC" w:rsidRPr="0061449F" w:rsidRDefault="001F06AC" w:rsidP="001F06AC">
            <w:pPr>
              <w:pStyle w:val="BoxListBullet"/>
              <w:keepNext w:val="0"/>
              <w:numPr>
                <w:ilvl w:val="0"/>
                <w:numId w:val="0"/>
              </w:numPr>
              <w:ind w:left="284"/>
            </w:pPr>
            <w:r>
              <w:rPr>
                <w:color w:val="4F03B5"/>
                <w:shd w:val="clear" w:color="auto" w:fill="F15A25"/>
              </w:rPr>
              <w:t xml:space="preserve">    </w:t>
            </w:r>
            <w:r>
              <w:t xml:space="preserve"> c</w:t>
            </w:r>
            <w:r w:rsidRPr="000D77DB">
              <w:t>omplete</w:t>
            </w:r>
            <w:r>
              <w:t xml:space="preserve"> </w:t>
            </w:r>
            <w:r w:rsidRPr="000D77DB">
              <w:t>(subject to caveats) for the current reportin</w:t>
            </w:r>
            <w:r>
              <w:t>g period. All required 201</w:t>
            </w:r>
            <w:r w:rsidR="00672F0D">
              <w:t>9</w:t>
            </w:r>
            <w:r>
              <w:t>-</w:t>
            </w:r>
            <w:r w:rsidR="00672F0D">
              <w:t>20</w:t>
            </w:r>
            <w:r>
              <w:t xml:space="preserve"> </w:t>
            </w:r>
            <w:r w:rsidRPr="000D77DB">
              <w:t>data</w:t>
            </w:r>
            <w:r>
              <w:t xml:space="preserve"> are </w:t>
            </w:r>
            <w:r w:rsidRPr="000D77DB">
              <w:t>available for all jurisdictions</w:t>
            </w:r>
            <w:r>
              <w:t>.</w:t>
            </w:r>
          </w:p>
        </w:tc>
      </w:tr>
      <w:tr w:rsidR="00403101" w14:paraId="75974FCE" w14:textId="77777777" w:rsidTr="00403101">
        <w:tc>
          <w:tcPr>
            <w:tcW w:w="5000" w:type="pct"/>
            <w:tcBorders>
              <w:top w:val="nil"/>
              <w:left w:val="nil"/>
              <w:bottom w:val="single" w:sz="6" w:space="0" w:color="78A22F"/>
              <w:right w:val="nil"/>
            </w:tcBorders>
            <w:shd w:val="clear" w:color="auto" w:fill="F2F2F2"/>
          </w:tcPr>
          <w:p w14:paraId="51CB0BFA" w14:textId="77777777" w:rsidR="00403101" w:rsidRDefault="00403101">
            <w:pPr>
              <w:pStyle w:val="Box"/>
              <w:spacing w:before="0" w:line="120" w:lineRule="exact"/>
            </w:pPr>
          </w:p>
        </w:tc>
      </w:tr>
      <w:tr w:rsidR="00403101" w:rsidRPr="000863A5" w14:paraId="7815B158" w14:textId="77777777" w:rsidTr="00403101">
        <w:tc>
          <w:tcPr>
            <w:tcW w:w="5000" w:type="pct"/>
            <w:tcBorders>
              <w:top w:val="single" w:sz="6" w:space="0" w:color="78A22F"/>
              <w:left w:val="nil"/>
              <w:bottom w:val="nil"/>
              <w:right w:val="nil"/>
            </w:tcBorders>
          </w:tcPr>
          <w:p w14:paraId="48DD97CF" w14:textId="6D836880" w:rsidR="00403101" w:rsidRPr="00626D32" w:rsidRDefault="00403101" w:rsidP="00403101">
            <w:pPr>
              <w:pStyle w:val="BoxSpaceBelow"/>
            </w:pPr>
          </w:p>
        </w:tc>
      </w:tr>
    </w:tbl>
    <w:p w14:paraId="021A6416" w14:textId="23E87536" w:rsidR="00CA1C7C" w:rsidRDefault="00CA1C7C" w:rsidP="009B2BCE">
      <w:pPr>
        <w:pStyle w:val="Heading4"/>
        <w:keepNext w:val="0"/>
        <w:spacing w:before="360"/>
      </w:pPr>
      <w:bookmarkStart w:id="22" w:name="_Toc21937643"/>
      <w:r>
        <w:t xml:space="preserve">Access — </w:t>
      </w:r>
      <w:r w:rsidR="00F658A9">
        <w:t>B</w:t>
      </w:r>
      <w:r>
        <w:t>acklog</w:t>
      </w:r>
      <w:bookmarkEnd w:id="22"/>
    </w:p>
    <w:p w14:paraId="3BA9BDAA" w14:textId="77777777" w:rsidR="009B2BCE" w:rsidRDefault="00CA1C7C" w:rsidP="009B2BCE">
      <w:pPr>
        <w:pStyle w:val="BodyText"/>
        <w:spacing w:after="360"/>
      </w:pPr>
      <w:r>
        <w:t>‘Backlog’ is an indicator of governments’ achievement against the objective of processing matters in an expeditious and timely manner (box 7.</w:t>
      </w:r>
      <w:r w:rsidR="00E65AD4">
        <w:t>8</w:t>
      </w:r>
      <w:r>
        <w:t xml:space="preserve">). </w:t>
      </w:r>
    </w:p>
    <w:p w14:paraId="0EFBACC5" w14:textId="77777777" w:rsidR="00CA1C7C" w:rsidRDefault="00CA1C7C" w:rsidP="00CA1C7C">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CA1C7C" w14:paraId="257F4101" w14:textId="77777777" w:rsidTr="00403101">
        <w:tc>
          <w:tcPr>
            <w:tcW w:w="8789" w:type="dxa"/>
            <w:tcBorders>
              <w:top w:val="single" w:sz="6" w:space="0" w:color="78A22F"/>
              <w:left w:val="nil"/>
              <w:bottom w:val="nil"/>
              <w:right w:val="nil"/>
            </w:tcBorders>
            <w:shd w:val="clear" w:color="auto" w:fill="F2F2F2" w:themeFill="background1" w:themeFillShade="F2"/>
          </w:tcPr>
          <w:p w14:paraId="681FC2C0" w14:textId="29EB29F9" w:rsidR="00CA1C7C" w:rsidRDefault="00CA1C7C" w:rsidP="00F73838">
            <w:pPr>
              <w:pStyle w:val="BoxTitle"/>
            </w:pPr>
            <w:r>
              <w:rPr>
                <w:b w:val="0"/>
              </w:rPr>
              <w:t xml:space="preserve">Box </w:t>
            </w:r>
            <w:r w:rsidR="00A92721">
              <w:rPr>
                <w:b w:val="0"/>
              </w:rPr>
              <w:t>7.</w:t>
            </w:r>
            <w:r w:rsidR="00E65AD4">
              <w:rPr>
                <w:b w:val="0"/>
              </w:rPr>
              <w:t>8</w:t>
            </w:r>
            <w:r>
              <w:tab/>
            </w:r>
            <w:r w:rsidR="00F73838" w:rsidRPr="00B9314C">
              <w:t>Backlog</w:t>
            </w:r>
          </w:p>
        </w:tc>
      </w:tr>
      <w:tr w:rsidR="00F73838" w14:paraId="07A7A6F9" w14:textId="77777777" w:rsidTr="00403101">
        <w:trPr>
          <w:cantSplit/>
        </w:trPr>
        <w:tc>
          <w:tcPr>
            <w:tcW w:w="8789" w:type="dxa"/>
            <w:tcBorders>
              <w:top w:val="nil"/>
              <w:left w:val="nil"/>
              <w:bottom w:val="nil"/>
              <w:right w:val="nil"/>
            </w:tcBorders>
            <w:shd w:val="clear" w:color="auto" w:fill="F2F2F2" w:themeFill="background1" w:themeFillShade="F2"/>
          </w:tcPr>
          <w:p w14:paraId="08D25230" w14:textId="40A412A4" w:rsidR="00F73838" w:rsidRPr="00F53831" w:rsidRDefault="00F73838" w:rsidP="00CA1C7C">
            <w:pPr>
              <w:pStyle w:val="Box"/>
            </w:pPr>
            <w:r>
              <w:t xml:space="preserve">‘Backlog’ is a measure of the age of </w:t>
            </w:r>
            <w:r w:rsidRPr="00F53831">
              <w:t xml:space="preserve">a court’s active pending caseload at 30 June, against nominated time benchmarks. It is defined as the number of cases in the nominated age category as a </w:t>
            </w:r>
            <w:r w:rsidR="00B73AB9">
              <w:t>proportion</w:t>
            </w:r>
            <w:r w:rsidR="00B73AB9" w:rsidRPr="00F53831">
              <w:t xml:space="preserve"> </w:t>
            </w:r>
            <w:r w:rsidRPr="00F53831">
              <w:t>of the total pending caseload.</w:t>
            </w:r>
          </w:p>
        </w:tc>
      </w:tr>
      <w:tr w:rsidR="00CA1C7C" w14:paraId="304875A1" w14:textId="77777777" w:rsidTr="00403101">
        <w:trPr>
          <w:cantSplit/>
        </w:trPr>
        <w:tc>
          <w:tcPr>
            <w:tcW w:w="8789" w:type="dxa"/>
            <w:tcBorders>
              <w:top w:val="nil"/>
              <w:left w:val="nil"/>
              <w:bottom w:val="nil"/>
              <w:right w:val="nil"/>
            </w:tcBorders>
            <w:shd w:val="clear" w:color="auto" w:fill="F2F2F2" w:themeFill="background1" w:themeFillShade="F2"/>
          </w:tcPr>
          <w:p w14:paraId="40D688F5" w14:textId="6080F74B" w:rsidR="0083123C" w:rsidRDefault="0083123C" w:rsidP="00CA1C7C">
            <w:pPr>
              <w:pStyle w:val="Box"/>
            </w:pPr>
            <w:r w:rsidRPr="00F53831">
              <w:t>The following national benchmarks have been set.</w:t>
            </w:r>
          </w:p>
          <w:p w14:paraId="4FE87E34" w14:textId="77777777" w:rsidR="00CA1C7C" w:rsidRPr="00F53831" w:rsidRDefault="00CA1C7C" w:rsidP="00CA1C7C">
            <w:pPr>
              <w:pStyle w:val="Box"/>
            </w:pPr>
            <w:r w:rsidRPr="00F53831">
              <w:t>For the Federal Circuit Court, magistrates’ and children’s courts:</w:t>
            </w:r>
          </w:p>
          <w:p w14:paraId="253E7812" w14:textId="77777777" w:rsidR="00CA1C7C" w:rsidRPr="00F53831" w:rsidRDefault="00CA1C7C" w:rsidP="00CA1C7C">
            <w:pPr>
              <w:pStyle w:val="BoxListBullet"/>
            </w:pPr>
            <w:r w:rsidRPr="00F53831">
              <w:t xml:space="preserve">no more than 10 per cent of </w:t>
            </w:r>
            <w:proofErr w:type="spellStart"/>
            <w:r w:rsidRPr="00F53831">
              <w:t>lodgments</w:t>
            </w:r>
            <w:proofErr w:type="spellEnd"/>
            <w:r w:rsidRPr="00F53831">
              <w:t xml:space="preserve"> pending completion are to be more than 6 months old</w:t>
            </w:r>
          </w:p>
          <w:p w14:paraId="68910295" w14:textId="77777777" w:rsidR="00CA1C7C" w:rsidRPr="00F53831" w:rsidRDefault="00CA1C7C" w:rsidP="00CA1C7C">
            <w:pPr>
              <w:pStyle w:val="BoxListBullet"/>
            </w:pPr>
            <w:r w:rsidRPr="00F53831">
              <w:t xml:space="preserve">no </w:t>
            </w:r>
            <w:proofErr w:type="spellStart"/>
            <w:r w:rsidRPr="00F53831">
              <w:t>lodgments</w:t>
            </w:r>
            <w:proofErr w:type="spellEnd"/>
            <w:r w:rsidRPr="00F53831">
              <w:t xml:space="preserve"> pending completion are to be more than 12 months old.</w:t>
            </w:r>
          </w:p>
          <w:p w14:paraId="1E1D093D" w14:textId="77777777" w:rsidR="00CA1C7C" w:rsidRPr="00F53831" w:rsidRDefault="00CA1C7C" w:rsidP="00CA1C7C">
            <w:pPr>
              <w:pStyle w:val="Box"/>
            </w:pPr>
            <w:r w:rsidRPr="00F53831">
              <w:t>For Supreme courts, the Federal Court, district/county, family and coroners’ courts and all appeals:</w:t>
            </w:r>
          </w:p>
          <w:p w14:paraId="5AF82D58" w14:textId="77777777" w:rsidR="00CA1C7C" w:rsidRPr="00F53831" w:rsidRDefault="00CA1C7C" w:rsidP="00CA1C7C">
            <w:pPr>
              <w:pStyle w:val="BoxListBullet"/>
            </w:pPr>
            <w:r w:rsidRPr="00F53831">
              <w:t xml:space="preserve">no more than 10 per cent of </w:t>
            </w:r>
            <w:proofErr w:type="spellStart"/>
            <w:r w:rsidRPr="00F53831">
              <w:t>lodgments</w:t>
            </w:r>
            <w:proofErr w:type="spellEnd"/>
            <w:r w:rsidRPr="00F53831">
              <w:t xml:space="preserve"> pending completion are to be more than 12 months old</w:t>
            </w:r>
          </w:p>
          <w:p w14:paraId="7DF06E0B" w14:textId="77777777" w:rsidR="00CA1C7C" w:rsidRPr="00F53831" w:rsidRDefault="00CA1C7C" w:rsidP="00CA1C7C">
            <w:pPr>
              <w:pStyle w:val="BoxListBullet"/>
            </w:pPr>
            <w:r w:rsidRPr="00F53831">
              <w:t xml:space="preserve">no </w:t>
            </w:r>
            <w:proofErr w:type="spellStart"/>
            <w:r w:rsidRPr="00F53831">
              <w:t>lodgments</w:t>
            </w:r>
            <w:proofErr w:type="spellEnd"/>
            <w:r w:rsidRPr="00F53831">
              <w:t xml:space="preserve"> pending completion are to be more than 24 months old.</w:t>
            </w:r>
          </w:p>
          <w:p w14:paraId="778C6182" w14:textId="38F7047E" w:rsidR="00CB2F73" w:rsidRPr="00C70F90" w:rsidRDefault="00CB2F73" w:rsidP="00CA1C7C">
            <w:pPr>
              <w:pStyle w:val="Box"/>
            </w:pPr>
            <w:r w:rsidRPr="00C70F90">
              <w:t xml:space="preserve">In the criminal jurisdiction </w:t>
            </w:r>
            <w:proofErr w:type="spellStart"/>
            <w:r w:rsidRPr="00C70F90">
              <w:t>lodgments</w:t>
            </w:r>
            <w:proofErr w:type="spellEnd"/>
            <w:r w:rsidRPr="00C70F90">
              <w:t xml:space="preserve"> that have bench warrants associated with them have been excluded from the pending count. </w:t>
            </w:r>
            <w:r w:rsidR="00AE320C" w:rsidRPr="00C70F90">
              <w:t xml:space="preserve">In the civil jurisdiction </w:t>
            </w:r>
            <w:proofErr w:type="spellStart"/>
            <w:r w:rsidR="00AE320C" w:rsidRPr="00C70F90">
              <w:t>lodgments</w:t>
            </w:r>
            <w:proofErr w:type="spellEnd"/>
            <w:r w:rsidR="00AE320C" w:rsidRPr="00C70F90">
              <w:t xml:space="preserve"> that have not been acted upon in the last 12 months are deemed finalised and excluded from the pending count</w:t>
            </w:r>
            <w:r w:rsidR="002F7153" w:rsidRPr="00C70F90">
              <w:t xml:space="preserve"> (the deeming rule does not apply to appeal cases)</w:t>
            </w:r>
            <w:r w:rsidR="00AE320C" w:rsidRPr="00C70F90">
              <w:t>. Th</w:t>
            </w:r>
            <w:r w:rsidR="002F7153" w:rsidRPr="00C70F90">
              <w:t>ese exclusions</w:t>
            </w:r>
            <w:r w:rsidR="00AE320C" w:rsidRPr="00C70F90">
              <w:t xml:space="preserve"> </w:t>
            </w:r>
            <w:r w:rsidR="002F7153" w:rsidRPr="00C70F90">
              <w:t>are</w:t>
            </w:r>
            <w:r w:rsidR="00AE320C" w:rsidRPr="00C70F90">
              <w:t xml:space="preserve"> so that only those matters that are part of an active caseload are included in the pending count. Jurisdictions diverting from the national counting rule are footnoted.</w:t>
            </w:r>
          </w:p>
          <w:p w14:paraId="4AE96105" w14:textId="3EB894E4" w:rsidR="004D3CB9" w:rsidRDefault="004D3CB9" w:rsidP="00CA1C7C">
            <w:pPr>
              <w:pStyle w:val="Box"/>
            </w:pPr>
            <w:r w:rsidRPr="00C70F90">
              <w:t xml:space="preserve">Court backlog and timeliness of case processing can be affected by </w:t>
            </w:r>
            <w:proofErr w:type="gramStart"/>
            <w:r w:rsidRPr="00C70F90">
              <w:t>a number of</w:t>
            </w:r>
            <w:proofErr w:type="gramEnd"/>
            <w:r w:rsidRPr="00C70F90">
              <w:t xml:space="preserve"> factors</w:t>
            </w:r>
            <w:r w:rsidR="00B8044C" w:rsidRPr="00C70F90">
              <w:t>, some of which may not be due to court delay</w:t>
            </w:r>
            <w:r w:rsidRPr="00C70F90">
              <w:t xml:space="preserve">. In addition to changes in </w:t>
            </w:r>
            <w:proofErr w:type="spellStart"/>
            <w:r w:rsidRPr="00C70F90">
              <w:t>lodgment</w:t>
            </w:r>
            <w:proofErr w:type="spellEnd"/>
            <w:r w:rsidRPr="00C70F90">
              <w:t xml:space="preserve"> and finalisation numbers, </w:t>
            </w:r>
            <w:r w:rsidR="00B8044C" w:rsidRPr="00C70F90">
              <w:t>backlog</w:t>
            </w:r>
            <w:r w:rsidR="00FD1AE8" w:rsidRPr="00C70F90">
              <w:t xml:space="preserve"> in criminal courts</w:t>
            </w:r>
            <w:r w:rsidRPr="00C70F90">
              <w:t xml:space="preserve"> may be influenced by: (a) the complexity of cases, which may vary across court levels and across jurisdictions</w:t>
            </w:r>
            <w:r w:rsidR="006B4D02" w:rsidRPr="00C70F90">
              <w:t>;</w:t>
            </w:r>
            <w:r w:rsidRPr="00C70F90">
              <w:t xml:space="preserve"> (b) whether cases have become inactive or remain an active part of the court's workload</w:t>
            </w:r>
            <w:r w:rsidR="006B4D02" w:rsidRPr="00C70F90">
              <w:t>;</w:t>
            </w:r>
            <w:r w:rsidRPr="00C70F90">
              <w:t xml:space="preserve"> (c) cases which require finalisation in another court level</w:t>
            </w:r>
            <w:r w:rsidR="006B4D02" w:rsidRPr="00C70F90">
              <w:t>;</w:t>
            </w:r>
            <w:r w:rsidRPr="00C70F90">
              <w:t xml:space="preserve"> (d)</w:t>
            </w:r>
            <w:r w:rsidR="006B4D02" w:rsidRPr="00C70F90">
              <w:t> </w:t>
            </w:r>
            <w:r w:rsidRPr="00C70F90">
              <w:t>matters on interlocutory appeal</w:t>
            </w:r>
            <w:r w:rsidR="006B4D02" w:rsidRPr="00C70F90">
              <w:t>;</w:t>
            </w:r>
            <w:r w:rsidRPr="00C70F90">
              <w:t xml:space="preserve"> (e) cases delayed by related cases or co-accused</w:t>
            </w:r>
            <w:r w:rsidR="006B4D02" w:rsidRPr="00C70F90">
              <w:t xml:space="preserve">; </w:t>
            </w:r>
            <w:r w:rsidRPr="00C70F90">
              <w:t>(f)</w:t>
            </w:r>
            <w:r w:rsidR="006B4D02" w:rsidRPr="00C70F90">
              <w:t> </w:t>
            </w:r>
            <w:r w:rsidRPr="00C70F90">
              <w:t>unavailability of a witness</w:t>
            </w:r>
            <w:r w:rsidR="00B8044C" w:rsidRPr="00C70F90">
              <w:t xml:space="preserve"> or other participant</w:t>
            </w:r>
            <w:r w:rsidRPr="00C70F90">
              <w:t>.</w:t>
            </w:r>
            <w:r w:rsidR="00FD1AE8" w:rsidRPr="00C70F90">
              <w:t xml:space="preserve"> Backlog in civil matters may be influenced by: (a)</w:t>
            </w:r>
            <w:r w:rsidR="006B4D02" w:rsidRPr="00C70F90">
              <w:t xml:space="preserve"> </w:t>
            </w:r>
            <w:r w:rsidR="00FD1AE8" w:rsidRPr="00C70F90">
              <w:t>different case flow management practices across court levels and across jurisdictions</w:t>
            </w:r>
            <w:r w:rsidR="006B4D02" w:rsidRPr="00C70F90">
              <w:t>;</w:t>
            </w:r>
            <w:r w:rsidR="00FD1AE8" w:rsidRPr="00C70F90">
              <w:t xml:space="preserve"> (b)</w:t>
            </w:r>
            <w:r w:rsidR="006B4D02" w:rsidRPr="00C70F90">
              <w:t> </w:t>
            </w:r>
            <w:r w:rsidR="00FD1AE8" w:rsidRPr="00C70F90">
              <w:t>involvement of several related applications or issues that require judgements and decision by the court for a single case</w:t>
            </w:r>
            <w:r w:rsidR="006B4D02" w:rsidRPr="00C70F90">
              <w:t>;</w:t>
            </w:r>
            <w:r w:rsidR="00FD1AE8" w:rsidRPr="00C70F90">
              <w:t xml:space="preserve"> (c) matters which may be adjourned at the instigation of, and by the consent of, the parties which are outside the control of the court</w:t>
            </w:r>
            <w:r w:rsidR="006B4D02" w:rsidRPr="00C70F90">
              <w:t>;</w:t>
            </w:r>
            <w:r w:rsidR="00FD1AE8" w:rsidRPr="00C70F90">
              <w:t xml:space="preserve"> (d) the court employing case management or other dispute resolution processes (for example, mediation) as alternatives or prior to formal adjudication</w:t>
            </w:r>
            <w:r w:rsidR="006B4D02" w:rsidRPr="00C70F90">
              <w:t>;</w:t>
            </w:r>
            <w:r w:rsidR="00FD1AE8" w:rsidRPr="00C70F90">
              <w:t xml:space="preserve"> (e) family law matters determined to be 'on hold</w:t>
            </w:r>
            <w:r w:rsidR="00FD1AE8" w:rsidRPr="00154983">
              <w:t>'</w:t>
            </w:r>
            <w:r w:rsidR="00FD1AE8" w:rsidRPr="00FD1AE8">
              <w:t>.</w:t>
            </w:r>
          </w:p>
          <w:p w14:paraId="0BBA9D7A" w14:textId="6AD48F5A" w:rsidR="00CA1C7C" w:rsidRPr="00F53831" w:rsidRDefault="00CA1C7C" w:rsidP="00CA1C7C">
            <w:pPr>
              <w:pStyle w:val="Box"/>
            </w:pPr>
            <w:r w:rsidRPr="00F53831">
              <w:t xml:space="preserve">Performance relative to the </w:t>
            </w:r>
            <w:r w:rsidR="001E52A7" w:rsidRPr="00F53831">
              <w:t>benchmarks</w:t>
            </w:r>
            <w:r w:rsidRPr="00F53831">
              <w:t xml:space="preserve"> indicates effective management of caseloads and </w:t>
            </w:r>
            <w:r w:rsidR="00A71F34" w:rsidRPr="00F53831">
              <w:t>timeliness</w:t>
            </w:r>
            <w:r w:rsidRPr="00F53831">
              <w:t xml:space="preserve"> of court services.</w:t>
            </w:r>
          </w:p>
          <w:p w14:paraId="7739C258" w14:textId="77777777" w:rsidR="002453AC" w:rsidRDefault="002453AC" w:rsidP="002453AC">
            <w:pPr>
              <w:pStyle w:val="Box"/>
            </w:pPr>
            <w:r>
              <w:t>Data reported for this indicator are:</w:t>
            </w:r>
          </w:p>
          <w:p w14:paraId="7DE193EA" w14:textId="5559FDED" w:rsidR="002453AC" w:rsidRPr="000D77DB" w:rsidRDefault="002453AC" w:rsidP="00692825">
            <w:pPr>
              <w:pStyle w:val="BoxListBullet"/>
              <w:numPr>
                <w:ilvl w:val="0"/>
                <w:numId w:val="0"/>
              </w:numPr>
              <w:ind w:left="284"/>
            </w:pPr>
            <w:r>
              <w:rPr>
                <w:color w:val="4F03B5"/>
                <w:shd w:val="clear" w:color="auto" w:fill="F15A25"/>
              </w:rPr>
              <w:t xml:space="preserve">    </w:t>
            </w:r>
            <w:r>
              <w:t xml:space="preserve"> </w:t>
            </w:r>
            <w:r w:rsidRPr="000D77DB">
              <w:t xml:space="preserve">comparable (subject to caveats) </w:t>
            </w:r>
            <w:r>
              <w:t xml:space="preserve">across </w:t>
            </w:r>
            <w:r w:rsidRPr="000D77DB">
              <w:t>jurisdictions</w:t>
            </w:r>
            <w:r>
              <w:t xml:space="preserve"> and over time</w:t>
            </w:r>
            <w:r w:rsidR="00821931">
              <w:t>.</w:t>
            </w:r>
          </w:p>
          <w:p w14:paraId="2114A69C" w14:textId="6ACC3353" w:rsidR="00CA1C7C" w:rsidRPr="00FA56C1" w:rsidRDefault="002453AC" w:rsidP="00692825">
            <w:pPr>
              <w:pStyle w:val="BoxListBullet"/>
              <w:numPr>
                <w:ilvl w:val="0"/>
                <w:numId w:val="0"/>
              </w:numPr>
              <w:ind w:left="284"/>
            </w:pPr>
            <w:r>
              <w:rPr>
                <w:color w:val="4F03B5"/>
                <w:shd w:val="clear" w:color="auto" w:fill="F15A25"/>
              </w:rPr>
              <w:t xml:space="preserve">    </w:t>
            </w:r>
            <w:r>
              <w:t xml:space="preserve"> </w:t>
            </w:r>
            <w:r w:rsidRPr="000D77DB">
              <w:t>complete (subject to caveats) for the current reportin</w:t>
            </w:r>
            <w:r w:rsidR="001B0298">
              <w:t>g period. All required 201</w:t>
            </w:r>
            <w:r w:rsidR="00672F0D">
              <w:t>9</w:t>
            </w:r>
            <w:r w:rsidR="001B0298">
              <w:t>-</w:t>
            </w:r>
            <w:r w:rsidR="00672F0D">
              <w:t>20</w:t>
            </w:r>
            <w:r>
              <w:t xml:space="preserve"> </w:t>
            </w:r>
            <w:r w:rsidRPr="000D77DB">
              <w:t>data</w:t>
            </w:r>
            <w:r w:rsidR="00692825">
              <w:t xml:space="preserve"> </w:t>
            </w:r>
            <w:r>
              <w:t xml:space="preserve">are </w:t>
            </w:r>
            <w:r w:rsidRPr="000D77DB">
              <w:t>available for all jurisdictions</w:t>
            </w:r>
            <w:r>
              <w:t>.</w:t>
            </w:r>
          </w:p>
        </w:tc>
      </w:tr>
      <w:tr w:rsidR="00CA1C7C" w:rsidRPr="000863A5" w14:paraId="26FD3649" w14:textId="77777777" w:rsidTr="00403101">
        <w:tc>
          <w:tcPr>
            <w:tcW w:w="8789" w:type="dxa"/>
            <w:tcBorders>
              <w:top w:val="single" w:sz="6" w:space="0" w:color="78A22F"/>
              <w:left w:val="nil"/>
              <w:bottom w:val="nil"/>
              <w:right w:val="nil"/>
            </w:tcBorders>
          </w:tcPr>
          <w:p w14:paraId="66D57BDA" w14:textId="77777777" w:rsidR="00CA1C7C" w:rsidRPr="00626D32" w:rsidRDefault="00CA1C7C" w:rsidP="00CA1C7C">
            <w:pPr>
              <w:pStyle w:val="BoxSpaceBelow"/>
            </w:pPr>
          </w:p>
        </w:tc>
      </w:tr>
    </w:tbl>
    <w:p w14:paraId="099E1EF3" w14:textId="72F53EB9" w:rsidR="004B3774" w:rsidRPr="00C32CFE" w:rsidRDefault="00756ECB" w:rsidP="008560BF">
      <w:pPr>
        <w:pStyle w:val="Heading4"/>
        <w:spacing w:before="420"/>
      </w:pPr>
      <w:bookmarkStart w:id="23" w:name="_Toc21937644"/>
      <w:r>
        <w:lastRenderedPageBreak/>
        <w:t>Access — On-time case processing</w:t>
      </w:r>
      <w:bookmarkEnd w:id="23"/>
    </w:p>
    <w:p w14:paraId="121608A0" w14:textId="3E6303CB" w:rsidR="004B3774" w:rsidRDefault="00756ECB" w:rsidP="003C3FAD">
      <w:pPr>
        <w:pStyle w:val="BodyText"/>
        <w:keepNext/>
      </w:pPr>
      <w:r>
        <w:t>‘On-time case processing</w:t>
      </w:r>
      <w:r w:rsidR="004B3774" w:rsidRPr="00C32CFE">
        <w:t>’ is an indicator of governments’ achievement against the objective of processing matters in an expeditious and timely manner (box 7.</w:t>
      </w:r>
      <w:r w:rsidR="00E65AD4">
        <w:t>9</w:t>
      </w:r>
      <w:r w:rsidR="004B3774" w:rsidRPr="00C32CFE">
        <w:t xml:space="preserve">). </w:t>
      </w:r>
    </w:p>
    <w:p w14:paraId="48CD6926" w14:textId="5873A777" w:rsidR="008560BF" w:rsidRDefault="008560BF" w:rsidP="008560BF">
      <w:pPr>
        <w:pStyle w:val="BoxSpaceAbove"/>
        <w:spacing w:before="30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560BF" w14:paraId="5A0E0791" w14:textId="77777777" w:rsidTr="00CA3F79">
        <w:trPr>
          <w:tblHeader/>
        </w:trPr>
        <w:tc>
          <w:tcPr>
            <w:tcW w:w="5000" w:type="pct"/>
            <w:tcBorders>
              <w:top w:val="single" w:sz="6" w:space="0" w:color="78A22F"/>
              <w:left w:val="nil"/>
              <w:bottom w:val="nil"/>
              <w:right w:val="nil"/>
            </w:tcBorders>
            <w:shd w:val="clear" w:color="auto" w:fill="F2F2F2"/>
          </w:tcPr>
          <w:p w14:paraId="0B47BC43" w14:textId="45780FAA" w:rsidR="008560BF" w:rsidRDefault="00E65AD4" w:rsidP="003C3FAD">
            <w:pPr>
              <w:pStyle w:val="BoxTitle"/>
              <w:keepLines w:val="0"/>
            </w:pPr>
            <w:r>
              <w:rPr>
                <w:b w:val="0"/>
              </w:rPr>
              <w:t>Box 7.9</w:t>
            </w:r>
            <w:r w:rsidR="008560BF">
              <w:tab/>
            </w:r>
            <w:r w:rsidR="002B1789">
              <w:t>On-time case processing</w:t>
            </w:r>
          </w:p>
        </w:tc>
      </w:tr>
      <w:tr w:rsidR="008560BF" w14:paraId="63C82640" w14:textId="77777777" w:rsidTr="00CA3F79">
        <w:tc>
          <w:tcPr>
            <w:tcW w:w="5000" w:type="pct"/>
            <w:tcBorders>
              <w:top w:val="nil"/>
              <w:left w:val="nil"/>
              <w:bottom w:val="nil"/>
              <w:right w:val="nil"/>
            </w:tcBorders>
            <w:shd w:val="clear" w:color="auto" w:fill="F2F2F2"/>
          </w:tcPr>
          <w:p w14:paraId="7FB3A2E2" w14:textId="716BFFF5" w:rsidR="008560BF" w:rsidRDefault="008560BF" w:rsidP="003C3FAD">
            <w:pPr>
              <w:pStyle w:val="Box"/>
            </w:pPr>
            <w:r w:rsidRPr="00C32CFE">
              <w:t>‘</w:t>
            </w:r>
            <w:r w:rsidR="002B1789">
              <w:t>On-time case processing</w:t>
            </w:r>
            <w:r w:rsidRPr="00C32CFE">
              <w:t>’ is a measure of the age of cases which have been finalised in the financial year, against nominated time categories</w:t>
            </w:r>
            <w:r>
              <w:t>.</w:t>
            </w:r>
            <w:r w:rsidRPr="00C32CFE">
              <w:t xml:space="preserve"> It is defined as the number of </w:t>
            </w:r>
            <w:r>
              <w:t xml:space="preserve">finalised </w:t>
            </w:r>
            <w:r w:rsidRPr="00C32CFE">
              <w:t>cases</w:t>
            </w:r>
            <w:r>
              <w:t xml:space="preserve"> at each court level</w:t>
            </w:r>
            <w:r w:rsidRPr="00C32CFE">
              <w:t xml:space="preserve"> </w:t>
            </w:r>
            <w:r>
              <w:t xml:space="preserve">which </w:t>
            </w:r>
            <w:r w:rsidR="00886A89">
              <w:t>were finalised</w:t>
            </w:r>
            <w:r w:rsidR="002B1789">
              <w:t xml:space="preserve"> in less</w:t>
            </w:r>
            <w:r>
              <w:t xml:space="preserve"> than</w:t>
            </w:r>
            <w:r w:rsidR="002B1789">
              <w:t xml:space="preserve"> or equal to</w:t>
            </w:r>
            <w:r>
              <w:t xml:space="preserve"> 6, 12 or 24 months (dependent on court level), </w:t>
            </w:r>
            <w:r w:rsidRPr="00C32CFE">
              <w:t xml:space="preserve">as a </w:t>
            </w:r>
            <w:r w:rsidR="00B73AB9">
              <w:t>proportion</w:t>
            </w:r>
            <w:r w:rsidR="00B73AB9" w:rsidRPr="00C32CFE">
              <w:t xml:space="preserve"> </w:t>
            </w:r>
            <w:r w:rsidRPr="00C32CFE">
              <w:t>of the total cases finalised during the financial year.</w:t>
            </w:r>
          </w:p>
          <w:p w14:paraId="67452C7A" w14:textId="36D9F8B4" w:rsidR="008560BF" w:rsidRDefault="00886A89">
            <w:pPr>
              <w:pStyle w:val="Box"/>
            </w:pPr>
            <w:r>
              <w:t>Higher</w:t>
            </w:r>
            <w:r w:rsidR="008560BF">
              <w:t xml:space="preserve"> </w:t>
            </w:r>
            <w:r w:rsidR="00CB399F">
              <w:t xml:space="preserve">proportions </w:t>
            </w:r>
            <w:r w:rsidR="008560BF">
              <w:t>of cases finalised in these time categories</w:t>
            </w:r>
            <w:r w:rsidR="008560BF" w:rsidRPr="00C32CFE">
              <w:t xml:space="preserve"> indicates effective management of caseloads and timeliness of court services. The </w:t>
            </w:r>
            <w:r>
              <w:t>on-time case processing</w:t>
            </w:r>
            <w:r w:rsidR="008560BF" w:rsidRPr="00C32CFE">
              <w:t xml:space="preserve"> indicator should be considered in conjunct</w:t>
            </w:r>
            <w:r w:rsidR="008560BF">
              <w:t>ion with the backlog indicator.</w:t>
            </w:r>
          </w:p>
        </w:tc>
      </w:tr>
      <w:tr w:rsidR="003B2C7F" w14:paraId="5988C16F" w14:textId="77777777" w:rsidTr="00CA3F79">
        <w:tc>
          <w:tcPr>
            <w:tcW w:w="5000" w:type="pct"/>
            <w:tcBorders>
              <w:top w:val="nil"/>
              <w:left w:val="nil"/>
              <w:bottom w:val="nil"/>
              <w:right w:val="nil"/>
            </w:tcBorders>
            <w:shd w:val="clear" w:color="auto" w:fill="F2F2F2"/>
          </w:tcPr>
          <w:p w14:paraId="1857EB7A" w14:textId="4C64EBDD" w:rsidR="003B2C7F" w:rsidRPr="00C32CFE" w:rsidRDefault="003B2C7F" w:rsidP="003C3FAD">
            <w:pPr>
              <w:pStyle w:val="Box"/>
              <w:keepNext w:val="0"/>
            </w:pPr>
            <w:r w:rsidRPr="00C32CFE">
              <w:t xml:space="preserve">Time taken to process cases is not necessarily due to court delay. Some delays are caused by factors other than those related to the workload of the court (for example, a witness being unavailable). See </w:t>
            </w:r>
            <w:r w:rsidRPr="00AB24B2">
              <w:t>tables 7A.</w:t>
            </w:r>
            <w:r w:rsidR="005C14AE" w:rsidRPr="00AB24B2">
              <w:t>22</w:t>
            </w:r>
            <w:r w:rsidRPr="00AB24B2">
              <w:rPr>
                <w:color w:val="000000" w:themeColor="text1"/>
              </w:rPr>
              <w:t>–</w:t>
            </w:r>
            <w:r w:rsidR="005C14AE" w:rsidRPr="00AB24B2">
              <w:rPr>
                <w:color w:val="000000" w:themeColor="text1"/>
              </w:rPr>
              <w:t>23</w:t>
            </w:r>
            <w:r w:rsidRPr="00AB24B2">
              <w:t xml:space="preserve"> for</w:t>
            </w:r>
            <w:r w:rsidRPr="00C32CFE">
              <w:t xml:space="preserve"> further information about factors which can impact on delay.</w:t>
            </w:r>
          </w:p>
          <w:p w14:paraId="7FF15373" w14:textId="77777777" w:rsidR="003B2C7F" w:rsidRDefault="003B2C7F" w:rsidP="003C3FAD">
            <w:pPr>
              <w:pStyle w:val="Box"/>
              <w:keepNext w:val="0"/>
            </w:pPr>
            <w:r>
              <w:t>Data reported for this indicator are:</w:t>
            </w:r>
          </w:p>
          <w:p w14:paraId="59D421DB" w14:textId="77777777" w:rsidR="003B2C7F" w:rsidRDefault="003B2C7F" w:rsidP="003C3FAD">
            <w:pPr>
              <w:pStyle w:val="BoxListBullet"/>
              <w:keepNext w:val="0"/>
              <w:numPr>
                <w:ilvl w:val="0"/>
                <w:numId w:val="0"/>
              </w:numPr>
              <w:ind w:left="284"/>
            </w:pPr>
            <w:r>
              <w:rPr>
                <w:color w:val="4F03B5"/>
                <w:shd w:val="clear" w:color="auto" w:fill="F15A25"/>
              </w:rPr>
              <w:t xml:space="preserve">    </w:t>
            </w:r>
            <w:r>
              <w:t xml:space="preserve"> </w:t>
            </w:r>
            <w:r w:rsidRPr="000D77DB">
              <w:t xml:space="preserve">comparable (subject to caveats) </w:t>
            </w:r>
            <w:r>
              <w:t xml:space="preserve">across </w:t>
            </w:r>
            <w:r w:rsidRPr="000D77DB">
              <w:t>jurisdictions</w:t>
            </w:r>
            <w:r>
              <w:t xml:space="preserve"> and over time.</w:t>
            </w:r>
          </w:p>
          <w:p w14:paraId="6690BBFD" w14:textId="67714439" w:rsidR="003B2C7F" w:rsidRPr="00C32CFE" w:rsidRDefault="003B2C7F" w:rsidP="003C3FAD">
            <w:pPr>
              <w:pStyle w:val="BoxListBullet"/>
              <w:keepNext w:val="0"/>
              <w:numPr>
                <w:ilvl w:val="0"/>
                <w:numId w:val="0"/>
              </w:numPr>
              <w:ind w:left="284"/>
            </w:pPr>
            <w:r>
              <w:rPr>
                <w:color w:val="4F03B5"/>
                <w:shd w:val="clear" w:color="auto" w:fill="F15A25"/>
              </w:rPr>
              <w:t xml:space="preserve">    </w:t>
            </w:r>
            <w:r>
              <w:t xml:space="preserve"> </w:t>
            </w:r>
            <w:r w:rsidRPr="000D77DB">
              <w:t>complete (subject to caveats) for the current reportin</w:t>
            </w:r>
            <w:r>
              <w:t>g period. All require</w:t>
            </w:r>
            <w:r w:rsidR="001B0298">
              <w:t>d 201</w:t>
            </w:r>
            <w:r w:rsidR="00354F04">
              <w:t>9</w:t>
            </w:r>
            <w:r w:rsidR="001B0298">
              <w:t>-</w:t>
            </w:r>
            <w:r w:rsidR="00354F04">
              <w:t>20</w:t>
            </w:r>
            <w:r>
              <w:t xml:space="preserve"> </w:t>
            </w:r>
            <w:r w:rsidRPr="000D77DB">
              <w:t>data</w:t>
            </w:r>
            <w:r>
              <w:t xml:space="preserve"> are </w:t>
            </w:r>
            <w:r w:rsidRPr="000D77DB">
              <w:t>available for all jurisdictions</w:t>
            </w:r>
            <w:r>
              <w:t>.</w:t>
            </w:r>
          </w:p>
        </w:tc>
      </w:tr>
      <w:tr w:rsidR="008560BF" w14:paraId="18524906" w14:textId="77777777" w:rsidTr="00CA3F79">
        <w:tc>
          <w:tcPr>
            <w:tcW w:w="5000" w:type="pct"/>
            <w:tcBorders>
              <w:top w:val="nil"/>
              <w:left w:val="nil"/>
              <w:bottom w:val="single" w:sz="6" w:space="0" w:color="78A22F"/>
              <w:right w:val="nil"/>
            </w:tcBorders>
            <w:shd w:val="clear" w:color="auto" w:fill="F2F2F2"/>
          </w:tcPr>
          <w:p w14:paraId="4CA2B04D" w14:textId="77777777" w:rsidR="008560BF" w:rsidRDefault="008560BF">
            <w:pPr>
              <w:pStyle w:val="Box"/>
              <w:spacing w:before="0" w:line="120" w:lineRule="exact"/>
            </w:pPr>
          </w:p>
        </w:tc>
      </w:tr>
      <w:tr w:rsidR="008560BF" w:rsidRPr="000863A5" w14:paraId="46ED5AEE" w14:textId="77777777" w:rsidTr="00CA3F79">
        <w:tc>
          <w:tcPr>
            <w:tcW w:w="5000" w:type="pct"/>
            <w:tcBorders>
              <w:top w:val="single" w:sz="6" w:space="0" w:color="78A22F"/>
              <w:left w:val="nil"/>
              <w:bottom w:val="nil"/>
              <w:right w:val="nil"/>
            </w:tcBorders>
          </w:tcPr>
          <w:p w14:paraId="27C836DC" w14:textId="67EC5C04" w:rsidR="008560BF" w:rsidRPr="00626D32" w:rsidRDefault="008560BF" w:rsidP="008560BF">
            <w:pPr>
              <w:pStyle w:val="BoxSpaceBelow"/>
              <w:spacing w:before="0"/>
            </w:pPr>
          </w:p>
        </w:tc>
      </w:tr>
    </w:tbl>
    <w:p w14:paraId="7D669A86" w14:textId="59B6EB9E" w:rsidR="00C61FAB" w:rsidRDefault="0019481F" w:rsidP="00C61FAB">
      <w:pPr>
        <w:pStyle w:val="Heading4"/>
      </w:pPr>
      <w:bookmarkStart w:id="24" w:name="_Toc21937645"/>
      <w:r>
        <w:t>Access — A</w:t>
      </w:r>
      <w:r w:rsidR="00C61FAB">
        <w:t>ttendance</w:t>
      </w:r>
      <w:bookmarkEnd w:id="24"/>
    </w:p>
    <w:p w14:paraId="6443065B" w14:textId="09A43725" w:rsidR="00C61FAB" w:rsidRDefault="00C61FAB" w:rsidP="00C61FAB">
      <w:pPr>
        <w:pStyle w:val="BodyText"/>
      </w:pPr>
      <w:r w:rsidRPr="006455B1">
        <w:rPr>
          <w:rStyle w:val="BodyTextChar"/>
        </w:rPr>
        <w:t>‘Attendance’ is an indicator of governments’ achievement against the objective of</w:t>
      </w:r>
      <w:r w:rsidR="003C298E">
        <w:t xml:space="preserve"> processing matters</w:t>
      </w:r>
      <w:r>
        <w:t xml:space="preserve"> in a</w:t>
      </w:r>
      <w:r w:rsidR="003C298E">
        <w:t>n expeditious and</w:t>
      </w:r>
      <w:r w:rsidR="00F61437">
        <w:t xml:space="preserve"> timely manner (box 7.</w:t>
      </w:r>
      <w:r w:rsidR="00E65AD4">
        <w:t>10</w:t>
      </w:r>
      <w:r>
        <w:t xml:space="preserve">). </w:t>
      </w: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C61FAB" w14:paraId="560CBCBE" w14:textId="77777777" w:rsidTr="008560BF">
        <w:tc>
          <w:tcPr>
            <w:tcW w:w="8789" w:type="dxa"/>
            <w:tcBorders>
              <w:top w:val="single" w:sz="6" w:space="0" w:color="78A22F"/>
              <w:left w:val="nil"/>
              <w:bottom w:val="nil"/>
              <w:right w:val="nil"/>
            </w:tcBorders>
            <w:shd w:val="clear" w:color="auto" w:fill="F2F2F2" w:themeFill="background1" w:themeFillShade="F2"/>
          </w:tcPr>
          <w:p w14:paraId="133AE916" w14:textId="7B5E3742" w:rsidR="00C61FAB" w:rsidRDefault="00C61FAB" w:rsidP="00824B15">
            <w:pPr>
              <w:pStyle w:val="BoxTitle"/>
            </w:pPr>
            <w:r>
              <w:rPr>
                <w:b w:val="0"/>
              </w:rPr>
              <w:lastRenderedPageBreak/>
              <w:t xml:space="preserve">Box </w:t>
            </w:r>
            <w:r w:rsidR="00796A83">
              <w:rPr>
                <w:b w:val="0"/>
              </w:rPr>
              <w:t>7.</w:t>
            </w:r>
            <w:r w:rsidR="00E65AD4">
              <w:rPr>
                <w:b w:val="0"/>
              </w:rPr>
              <w:t>10</w:t>
            </w:r>
            <w:r>
              <w:tab/>
            </w:r>
            <w:r w:rsidRPr="00D35720">
              <w:t>Attendance</w:t>
            </w:r>
          </w:p>
        </w:tc>
      </w:tr>
      <w:tr w:rsidR="00C61FAB" w14:paraId="3948AD4E" w14:textId="77777777" w:rsidTr="008560BF">
        <w:trPr>
          <w:cantSplit/>
        </w:trPr>
        <w:tc>
          <w:tcPr>
            <w:tcW w:w="8789" w:type="dxa"/>
            <w:tcBorders>
              <w:top w:val="nil"/>
              <w:left w:val="nil"/>
              <w:bottom w:val="nil"/>
              <w:right w:val="nil"/>
            </w:tcBorders>
            <w:shd w:val="clear" w:color="auto" w:fill="F2F2F2" w:themeFill="background1" w:themeFillShade="F2"/>
          </w:tcPr>
          <w:p w14:paraId="41B1B75D" w14:textId="526B6915" w:rsidR="00C61FAB" w:rsidRDefault="00C61FAB" w:rsidP="00B53D55">
            <w:pPr>
              <w:pStyle w:val="Box"/>
            </w:pPr>
            <w:r>
              <w:t xml:space="preserve">‘Attendance’ is defined as the average number of attendances recorded (no matter when the attendance occurred) for those cases that were finalised during the year. The number of attendances is the number of times that </w:t>
            </w:r>
            <w:proofErr w:type="gramStart"/>
            <w:r>
              <w:t>parties</w:t>
            </w:r>
            <w:proofErr w:type="gramEnd"/>
            <w:r>
              <w:t xml:space="preserve"> or their representatives are required to be present in court to be heard by a judicial officer or mediator/arbitrator where binding orders can be made. The number includes appointments that are adjourned or rescheduled.</w:t>
            </w:r>
            <w:r w:rsidR="00C0715F">
              <w:t xml:space="preserve"> A court appearance extending over more than one day is counted as one attendance.</w:t>
            </w:r>
          </w:p>
          <w:p w14:paraId="59D44BAB" w14:textId="665D513B" w:rsidR="00C61FAB" w:rsidRDefault="00C61FAB" w:rsidP="00B53D55">
            <w:pPr>
              <w:pStyle w:val="Box"/>
            </w:pPr>
            <w:r>
              <w:t xml:space="preserve">Fewer attendances may suggest a more effective process. However, this should be balanced against the likelihood that the number of attendances will increase if rehabilitation or diversionary programs are used, or if intensive case management is used. </w:t>
            </w:r>
            <w:proofErr w:type="gramStart"/>
            <w:r>
              <w:t>Both of these</w:t>
            </w:r>
            <w:proofErr w:type="gramEnd"/>
            <w:r>
              <w:t xml:space="preserve"> paths are believed to improve the quality of outcomes</w:t>
            </w:r>
            <w:r w:rsidR="00AC780A">
              <w:t xml:space="preserve"> as</w:t>
            </w:r>
            <w:r>
              <w:t xml:space="preserve">: </w:t>
            </w:r>
          </w:p>
          <w:p w14:paraId="4067B3A4" w14:textId="77777777" w:rsidR="00C61FAB" w:rsidRDefault="00C61FAB" w:rsidP="00B53D55">
            <w:pPr>
              <w:pStyle w:val="BoxListBullet"/>
            </w:pPr>
            <w:r>
              <w:t>rehabilitation and diversionary programs aim to provide therapeutic benefits for the offenders, and benefits of reduced recidivism for the community</w:t>
            </w:r>
          </w:p>
          <w:p w14:paraId="65637038" w14:textId="77777777" w:rsidR="00C61FAB" w:rsidRDefault="00C61FAB" w:rsidP="00B53D55">
            <w:pPr>
              <w:pStyle w:val="BoxListBullet"/>
            </w:pPr>
            <w:r>
              <w:t>intensive case management is believed to maximise the prospects of settlement (and thereby reduce the litigant’s costs, the number of cases queuing for hearing, and the flow of work on to appellate courts); alternatively, it can narrow the issues for trial (thus shortening trial time and also reducing costs and the queuing time for other cases waiting for hearing).</w:t>
            </w:r>
          </w:p>
          <w:p w14:paraId="32D505C9" w14:textId="77777777" w:rsidR="00CF1A6D" w:rsidRDefault="00CF1A6D" w:rsidP="00B53D55">
            <w:pPr>
              <w:pStyle w:val="BoxListBullet"/>
              <w:numPr>
                <w:ilvl w:val="0"/>
                <w:numId w:val="0"/>
              </w:numPr>
            </w:pPr>
            <w:r w:rsidRPr="009A766B">
              <w:t>Alternative Dispute Reso</w:t>
            </w:r>
            <w:r>
              <w:t>lution (ADR) can resolve some types of</w:t>
            </w:r>
            <w:r w:rsidRPr="009A766B">
              <w:t xml:space="preserve"> matters out of court and thereby reduce the need for judicial hearings. Accordingly, differences </w:t>
            </w:r>
            <w:r>
              <w:t>across jurisdictions</w:t>
            </w:r>
            <w:r w:rsidRPr="009A766B">
              <w:t xml:space="preserve"> in the availability and use of ADR can affect the comparability of the attendance indicator.</w:t>
            </w:r>
          </w:p>
          <w:p w14:paraId="314BCA02" w14:textId="77777777" w:rsidR="00C61FAB" w:rsidRDefault="00C61FAB" w:rsidP="00B53D55">
            <w:pPr>
              <w:pStyle w:val="BoxListBullet"/>
              <w:numPr>
                <w:ilvl w:val="0"/>
                <w:numId w:val="0"/>
              </w:numPr>
            </w:pPr>
            <w:r>
              <w:t>Data reported for this indicator are:</w:t>
            </w:r>
          </w:p>
          <w:p w14:paraId="2CD5B662" w14:textId="03B3F437" w:rsidR="00A26D69" w:rsidRPr="00A26D69" w:rsidRDefault="00BB72F7" w:rsidP="00692825">
            <w:pPr>
              <w:pStyle w:val="BoxListBullet"/>
              <w:numPr>
                <w:ilvl w:val="0"/>
                <w:numId w:val="0"/>
              </w:numPr>
              <w:ind w:left="284"/>
              <w:rPr>
                <w:rFonts w:asciiTheme="minorHAnsi" w:hAnsiTheme="minorHAnsi" w:cstheme="minorHAnsi"/>
              </w:rPr>
            </w:pPr>
            <w:r w:rsidRPr="00246D17">
              <w:rPr>
                <w:color w:val="4F03B5"/>
                <w:shd w:val="clear" w:color="auto" w:fill="FCDED3"/>
              </w:rPr>
              <w:t xml:space="preserve">    </w:t>
            </w:r>
            <w:r>
              <w:t xml:space="preserve"> </w:t>
            </w:r>
            <w:r w:rsidR="00EE1744" w:rsidRPr="00A26D69">
              <w:rPr>
                <w:rFonts w:asciiTheme="minorHAnsi" w:hAnsiTheme="minorHAnsi" w:cstheme="minorHAnsi"/>
              </w:rPr>
              <w:t>not comparable</w:t>
            </w:r>
            <w:r w:rsidR="00EE1744">
              <w:rPr>
                <w:rFonts w:asciiTheme="minorHAnsi" w:hAnsiTheme="minorHAnsi" w:cstheme="minorHAnsi"/>
              </w:rPr>
              <w:t xml:space="preserve"> </w:t>
            </w:r>
            <w:r w:rsidR="00EE1744" w:rsidRPr="00A26D69">
              <w:rPr>
                <w:rFonts w:asciiTheme="minorHAnsi" w:hAnsiTheme="minorHAnsi" w:cstheme="minorHAnsi"/>
              </w:rPr>
              <w:t>across jurisdictions</w:t>
            </w:r>
            <w:r w:rsidR="00EE1744">
              <w:rPr>
                <w:rFonts w:asciiTheme="minorHAnsi" w:hAnsiTheme="minorHAnsi" w:cstheme="minorHAnsi"/>
              </w:rPr>
              <w:t>, but are</w:t>
            </w:r>
            <w:r w:rsidR="00EE1744" w:rsidRPr="000D77DB">
              <w:t xml:space="preserve"> </w:t>
            </w:r>
            <w:r w:rsidR="00A26D69" w:rsidRPr="000D77DB">
              <w:t xml:space="preserve">comparable (subject to caveats) </w:t>
            </w:r>
            <w:r w:rsidR="00D92349">
              <w:t>within</w:t>
            </w:r>
            <w:r w:rsidR="00A26D69">
              <w:t xml:space="preserve"> </w:t>
            </w:r>
            <w:r w:rsidR="00A26D69" w:rsidRPr="000D77DB">
              <w:t>jurisdictions</w:t>
            </w:r>
            <w:r w:rsidR="00A26D69">
              <w:t xml:space="preserve"> over </w:t>
            </w:r>
            <w:r w:rsidR="00EE1744">
              <w:rPr>
                <w:rFonts w:asciiTheme="minorHAnsi" w:hAnsiTheme="minorHAnsi" w:cstheme="minorHAnsi"/>
              </w:rPr>
              <w:t>time</w:t>
            </w:r>
          </w:p>
          <w:p w14:paraId="5F64DC10" w14:textId="61A79258" w:rsidR="00C61FAB" w:rsidRDefault="00BB72F7" w:rsidP="00461EEE">
            <w:pPr>
              <w:pStyle w:val="BoxListBullet"/>
              <w:numPr>
                <w:ilvl w:val="0"/>
                <w:numId w:val="0"/>
              </w:numPr>
              <w:ind w:left="284"/>
            </w:pPr>
            <w:r w:rsidRPr="00246D17">
              <w:rPr>
                <w:color w:val="4F03B5"/>
                <w:shd w:val="clear" w:color="auto" w:fill="FCDED3"/>
              </w:rPr>
              <w:t xml:space="preserve">    </w:t>
            </w:r>
            <w:r>
              <w:t xml:space="preserve"> </w:t>
            </w:r>
            <w:r w:rsidR="00A26D69">
              <w:t>in</w:t>
            </w:r>
            <w:r w:rsidR="00A26D69" w:rsidRPr="000D77DB">
              <w:t xml:space="preserve">complete </w:t>
            </w:r>
            <w:r w:rsidR="00A26D69" w:rsidRPr="00CC40E3">
              <w:t xml:space="preserve">for the current reporting period. </w:t>
            </w:r>
            <w:r>
              <w:t>All r</w:t>
            </w:r>
            <w:r w:rsidR="00A26D69" w:rsidRPr="008958EE">
              <w:t>equired</w:t>
            </w:r>
            <w:r w:rsidR="00461EEE">
              <w:t xml:space="preserve"> 201</w:t>
            </w:r>
            <w:r w:rsidR="001D1040">
              <w:t>9</w:t>
            </w:r>
            <w:r w:rsidR="00461EEE">
              <w:t>-</w:t>
            </w:r>
            <w:r w:rsidR="001D1040">
              <w:t>20</w:t>
            </w:r>
            <w:r w:rsidR="00A26D69" w:rsidRPr="008958EE">
              <w:t xml:space="preserve"> </w:t>
            </w:r>
            <w:r>
              <w:t>d</w:t>
            </w:r>
            <w:r w:rsidR="00A26D69" w:rsidRPr="008958EE">
              <w:t>ata were not available for</w:t>
            </w:r>
            <w:r w:rsidR="00692825">
              <w:t xml:space="preserve"> </w:t>
            </w:r>
            <w:r w:rsidR="00461EEE">
              <w:t>the NSW Supreme court and were not provided by</w:t>
            </w:r>
            <w:r w:rsidR="00A26D69" w:rsidRPr="008958EE">
              <w:t xml:space="preserve"> the Victorian Supreme court.</w:t>
            </w:r>
            <w:r w:rsidR="00A26D69" w:rsidRPr="000D77DB">
              <w:t xml:space="preserve"> </w:t>
            </w:r>
          </w:p>
          <w:p w14:paraId="420E4A64" w14:textId="3D843400" w:rsidR="00F026D8" w:rsidRPr="00A26D69" w:rsidRDefault="00F026D8" w:rsidP="00F026D8">
            <w:pPr>
              <w:pStyle w:val="BoxListBullet"/>
              <w:numPr>
                <w:ilvl w:val="0"/>
                <w:numId w:val="0"/>
              </w:numPr>
              <w:spacing w:before="0" w:line="240" w:lineRule="auto"/>
              <w:ind w:left="284"/>
              <w:rPr>
                <w:szCs w:val="22"/>
              </w:rPr>
            </w:pPr>
          </w:p>
        </w:tc>
      </w:tr>
      <w:tr w:rsidR="00C61FAB" w:rsidRPr="000863A5" w14:paraId="4917EB7D" w14:textId="77777777" w:rsidTr="008560BF">
        <w:tc>
          <w:tcPr>
            <w:tcW w:w="8789" w:type="dxa"/>
            <w:tcBorders>
              <w:top w:val="single" w:sz="6" w:space="0" w:color="78A22F"/>
              <w:left w:val="nil"/>
              <w:bottom w:val="nil"/>
              <w:right w:val="nil"/>
            </w:tcBorders>
          </w:tcPr>
          <w:p w14:paraId="342D4E0C" w14:textId="77777777" w:rsidR="00C61FAB" w:rsidRPr="00626D32" w:rsidRDefault="00C61FAB" w:rsidP="00B53D55">
            <w:pPr>
              <w:pStyle w:val="BoxSpaceBelow"/>
            </w:pPr>
          </w:p>
        </w:tc>
      </w:tr>
    </w:tbl>
    <w:p w14:paraId="3F712CA6" w14:textId="38201A31" w:rsidR="00D93502" w:rsidRDefault="00D93502" w:rsidP="002D3194">
      <w:pPr>
        <w:pStyle w:val="Heading4"/>
        <w:spacing w:before="280" w:after="80"/>
      </w:pPr>
      <w:bookmarkStart w:id="25" w:name="_Toc21937646"/>
      <w:r>
        <w:t xml:space="preserve">Access — </w:t>
      </w:r>
      <w:r w:rsidR="0019481F">
        <w:t>C</w:t>
      </w:r>
      <w:r>
        <w:t>learance</w:t>
      </w:r>
      <w:bookmarkEnd w:id="25"/>
    </w:p>
    <w:p w14:paraId="73CAA043" w14:textId="4C74BD98" w:rsidR="00D93502" w:rsidRDefault="00D93502" w:rsidP="007360E2">
      <w:pPr>
        <w:pStyle w:val="BodyText"/>
        <w:spacing w:after="300"/>
      </w:pPr>
      <w:r>
        <w:t xml:space="preserve">‘Clearance’ </w:t>
      </w:r>
      <w:r w:rsidRPr="00F66BA3">
        <w:t>is an indicator</w:t>
      </w:r>
      <w:r>
        <w:t xml:space="preserve"> of governments’ achievement against the objective of</w:t>
      </w:r>
      <w:r w:rsidR="00D04412">
        <w:t xml:space="preserve"> processing matters in an expeditious and timely manner</w:t>
      </w:r>
      <w:r>
        <w:t xml:space="preserve"> (box 7.</w:t>
      </w:r>
      <w:r w:rsidR="00E65AD4">
        <w:t>11</w:t>
      </w:r>
      <w:r>
        <w:t xml:space="preserve">). </w:t>
      </w:r>
    </w:p>
    <w:p w14:paraId="00F0A2B5" w14:textId="6EBF334C" w:rsidR="008560BF" w:rsidRDefault="008560B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560BF" w14:paraId="24B8FE7D" w14:textId="77777777" w:rsidTr="008560BF">
        <w:trPr>
          <w:tblHeader/>
        </w:trPr>
        <w:tc>
          <w:tcPr>
            <w:tcW w:w="5000" w:type="pct"/>
            <w:tcBorders>
              <w:top w:val="single" w:sz="6" w:space="0" w:color="78A22F"/>
              <w:left w:val="nil"/>
              <w:bottom w:val="nil"/>
              <w:right w:val="nil"/>
            </w:tcBorders>
            <w:shd w:val="clear" w:color="auto" w:fill="F2F2F2"/>
          </w:tcPr>
          <w:p w14:paraId="2A9EAF54" w14:textId="7AFDF4B8" w:rsidR="008560BF" w:rsidRDefault="00E65AD4" w:rsidP="008560BF">
            <w:pPr>
              <w:pStyle w:val="BoxTitle"/>
            </w:pPr>
            <w:r>
              <w:rPr>
                <w:b w:val="0"/>
              </w:rPr>
              <w:t>Box 7.11</w:t>
            </w:r>
            <w:r w:rsidR="008560BF">
              <w:tab/>
            </w:r>
            <w:r w:rsidR="008560BF" w:rsidRPr="00923134">
              <w:t>Clearance</w:t>
            </w:r>
          </w:p>
        </w:tc>
      </w:tr>
      <w:tr w:rsidR="008560BF" w14:paraId="0C4FB795" w14:textId="77777777" w:rsidTr="008560BF">
        <w:tc>
          <w:tcPr>
            <w:tcW w:w="5000" w:type="pct"/>
            <w:tcBorders>
              <w:top w:val="nil"/>
              <w:left w:val="nil"/>
              <w:bottom w:val="nil"/>
              <w:right w:val="nil"/>
            </w:tcBorders>
            <w:shd w:val="clear" w:color="auto" w:fill="F2F2F2"/>
          </w:tcPr>
          <w:p w14:paraId="5F344659" w14:textId="35948DA2" w:rsidR="008560BF" w:rsidRDefault="008560BF" w:rsidP="00CA3F79">
            <w:pPr>
              <w:pStyle w:val="Box"/>
            </w:pPr>
            <w:r>
              <w:t xml:space="preserve">‘Clearance’ indicates whether a court’s pending caseload </w:t>
            </w:r>
            <w:r w:rsidRPr="00135FCD">
              <w:t>has</w:t>
            </w:r>
            <w:r>
              <w:t xml:space="preserve"> increased or decreased over the measurement period</w:t>
            </w:r>
            <w:r w:rsidRPr="00135FCD">
              <w:t>, by comparing the</w:t>
            </w:r>
            <w:r>
              <w:t xml:space="preserve"> volume of case </w:t>
            </w:r>
            <w:r w:rsidRPr="00135FCD">
              <w:t>finalisations and</w:t>
            </w:r>
            <w:r>
              <w:t xml:space="preserve"> case </w:t>
            </w:r>
            <w:proofErr w:type="spellStart"/>
            <w:r>
              <w:t>lodgments</w:t>
            </w:r>
            <w:proofErr w:type="spellEnd"/>
            <w:r>
              <w:t xml:space="preserve"> during the reporting period. It is measured by dividing the number of finalisations in the reporting period by the number of </w:t>
            </w:r>
            <w:proofErr w:type="spellStart"/>
            <w:r>
              <w:t>lodgments</w:t>
            </w:r>
            <w:proofErr w:type="spellEnd"/>
            <w:r>
              <w:t xml:space="preserve"> in the same period, multiplied by 100.</w:t>
            </w:r>
          </w:p>
          <w:p w14:paraId="135C225E" w14:textId="77777777" w:rsidR="008560BF" w:rsidRDefault="008560BF" w:rsidP="008560BF">
            <w:pPr>
              <w:pStyle w:val="Box"/>
              <w:keepNext w:val="0"/>
            </w:pPr>
            <w:r>
              <w:t>The following can assist in interpretation of this indicator:</w:t>
            </w:r>
          </w:p>
          <w:p w14:paraId="73EB287A" w14:textId="77777777" w:rsidR="008560BF" w:rsidRDefault="008560BF" w:rsidP="00CA3F79">
            <w:pPr>
              <w:pStyle w:val="BoxListBullet"/>
              <w:keepNext w:val="0"/>
            </w:pPr>
            <w:r>
              <w:t xml:space="preserve">a figure of 100 per cent indicates that, during the reporting period, the court finalised as many cases as were lodged, and the pending caseload should be </w:t>
            </w:r>
            <w:proofErr w:type="gramStart"/>
            <w:r>
              <w:t>similar to</w:t>
            </w:r>
            <w:proofErr w:type="gramEnd"/>
            <w:r>
              <w:t xml:space="preserve"> the pending caseload 12 months earlier</w:t>
            </w:r>
          </w:p>
          <w:p w14:paraId="15D90006" w14:textId="77777777" w:rsidR="00134ED3" w:rsidRDefault="00134ED3" w:rsidP="00134ED3">
            <w:pPr>
              <w:pStyle w:val="BoxListBullet"/>
              <w:keepNext w:val="0"/>
            </w:pPr>
            <w:r>
              <w:t>a figure greater than 100 per cent indicates that, during the reporting period, the court finalised more cases than were lodged, and the pending caseload should have decreased</w:t>
            </w:r>
          </w:p>
          <w:p w14:paraId="78B9A180" w14:textId="77777777" w:rsidR="00134ED3" w:rsidRDefault="00134ED3" w:rsidP="000D1CB5">
            <w:pPr>
              <w:pStyle w:val="BoxListBullet"/>
              <w:keepNext w:val="0"/>
            </w:pPr>
            <w:r>
              <w:t>a figure less than 100 per cent indicates that, during the reporting period, the court finalised fewer cases than were lodged, and the pending caseload should have increased.</w:t>
            </w:r>
          </w:p>
          <w:p w14:paraId="42780A18" w14:textId="1F0A3D85" w:rsidR="00C0148E" w:rsidRDefault="001C4F2A" w:rsidP="00C0148E">
            <w:pPr>
              <w:pStyle w:val="Box"/>
              <w:keepNext w:val="0"/>
            </w:pPr>
            <w:r w:rsidRPr="001B5F68">
              <w:t xml:space="preserve">Higher </w:t>
            </w:r>
            <w:r w:rsidR="00CB399F" w:rsidRPr="001B5F68">
              <w:t>or increasing proportions</w:t>
            </w:r>
            <w:r w:rsidRPr="001B5F68">
              <w:t xml:space="preserve"> of cases cleared indicates effective management of caseloads. However</w:t>
            </w:r>
            <w:r>
              <w:t xml:space="preserve"> t</w:t>
            </w:r>
            <w:r w:rsidR="00C0148E">
              <w:t xml:space="preserve">he clearance indicator can be affected by external factors (such as those causing changes in </w:t>
            </w:r>
            <w:proofErr w:type="spellStart"/>
            <w:r w:rsidR="00C0148E">
              <w:t>lodgment</w:t>
            </w:r>
            <w:proofErr w:type="spellEnd"/>
            <w:r w:rsidR="00C0148E">
              <w:t xml:space="preserve"> rates</w:t>
            </w:r>
            <w:r w:rsidR="00C0148E" w:rsidRPr="001B5F68">
              <w:t xml:space="preserve">), </w:t>
            </w:r>
            <w:r w:rsidR="00765382" w:rsidRPr="001B5F68">
              <w:t>an increase or decrease in the numbers of cases proceeding to a hearing or trial and the time required to finalise them</w:t>
            </w:r>
            <w:r w:rsidR="00765382">
              <w:t xml:space="preserve">, </w:t>
            </w:r>
            <w:r w:rsidR="00C0148E">
              <w:t xml:space="preserve">as well as by changes in a court’s case management practices. </w:t>
            </w:r>
            <w:r w:rsidR="00C0148E" w:rsidRPr="00DF2105">
              <w:t xml:space="preserve">Results for this indicator need to be interpreted within the context of changes in the volumes of </w:t>
            </w:r>
            <w:proofErr w:type="spellStart"/>
            <w:r w:rsidR="00C0148E" w:rsidRPr="00DF2105">
              <w:t>lodgments</w:t>
            </w:r>
            <w:proofErr w:type="spellEnd"/>
            <w:r w:rsidR="00C0148E" w:rsidRPr="00DF2105">
              <w:t>, finalisations and pending caseloads over time</w:t>
            </w:r>
            <w:r w:rsidR="00C0148E" w:rsidRPr="008244F7">
              <w:t>.</w:t>
            </w:r>
          </w:p>
          <w:p w14:paraId="1228014E" w14:textId="77777777" w:rsidR="00C0148E" w:rsidRDefault="00C0148E" w:rsidP="00C0148E">
            <w:pPr>
              <w:pStyle w:val="Box"/>
            </w:pPr>
            <w:r>
              <w:t>Data reported for this indicator are:</w:t>
            </w:r>
          </w:p>
          <w:p w14:paraId="23C6C4DC" w14:textId="77777777" w:rsidR="00C0148E" w:rsidRPr="000D77DB" w:rsidRDefault="00C0148E" w:rsidP="00C0148E">
            <w:pPr>
              <w:pStyle w:val="BoxListBullet"/>
              <w:numPr>
                <w:ilvl w:val="0"/>
                <w:numId w:val="0"/>
              </w:numPr>
              <w:ind w:left="284"/>
            </w:pPr>
            <w:r>
              <w:rPr>
                <w:color w:val="4F03B5"/>
                <w:shd w:val="clear" w:color="auto" w:fill="F15A25"/>
              </w:rPr>
              <w:t xml:space="preserve">    </w:t>
            </w:r>
            <w:r>
              <w:t xml:space="preserve"> </w:t>
            </w:r>
            <w:r w:rsidRPr="000D77DB">
              <w:t xml:space="preserve">comparable (subject to caveats) </w:t>
            </w:r>
            <w:r>
              <w:t xml:space="preserve">across </w:t>
            </w:r>
            <w:r w:rsidRPr="000D77DB">
              <w:t>jurisdictions</w:t>
            </w:r>
            <w:r>
              <w:t xml:space="preserve"> and over time.</w:t>
            </w:r>
          </w:p>
          <w:p w14:paraId="6807BFA3" w14:textId="51FEA4FC" w:rsidR="00C0148E" w:rsidRDefault="00C0148E" w:rsidP="005860D6">
            <w:pPr>
              <w:pStyle w:val="BoxListBullet"/>
              <w:keepNext w:val="0"/>
              <w:numPr>
                <w:ilvl w:val="0"/>
                <w:numId w:val="0"/>
              </w:numPr>
              <w:ind w:left="284"/>
            </w:pPr>
            <w:r>
              <w:rPr>
                <w:color w:val="4F03B5"/>
                <w:shd w:val="clear" w:color="auto" w:fill="F15A25"/>
              </w:rPr>
              <w:t xml:space="preserve">    </w:t>
            </w:r>
            <w:r>
              <w:t xml:space="preserve"> </w:t>
            </w:r>
            <w:r w:rsidRPr="000D77DB">
              <w:t>complete (subject to caveats) for the current reportin</w:t>
            </w:r>
            <w:r w:rsidR="001B0298">
              <w:t>g period. All required 201</w:t>
            </w:r>
            <w:r w:rsidR="005C65D8">
              <w:t>9</w:t>
            </w:r>
            <w:r w:rsidR="001B0298">
              <w:t>-</w:t>
            </w:r>
            <w:r w:rsidR="005C65D8">
              <w:t>20</w:t>
            </w:r>
            <w:r>
              <w:t xml:space="preserve"> </w:t>
            </w:r>
            <w:r w:rsidRPr="000D77DB">
              <w:t>data</w:t>
            </w:r>
            <w:r>
              <w:t xml:space="preserve"> are </w:t>
            </w:r>
            <w:r w:rsidRPr="000D77DB">
              <w:t>available for all jurisdictions</w:t>
            </w:r>
            <w:r>
              <w:t>.</w:t>
            </w:r>
          </w:p>
        </w:tc>
      </w:tr>
      <w:tr w:rsidR="008560BF" w14:paraId="7C07A5F6" w14:textId="77777777" w:rsidTr="00CA3F79">
        <w:tc>
          <w:tcPr>
            <w:tcW w:w="5000" w:type="pct"/>
            <w:tcBorders>
              <w:top w:val="nil"/>
              <w:left w:val="nil"/>
              <w:bottom w:val="single" w:sz="6" w:space="0" w:color="78A22F"/>
              <w:right w:val="nil"/>
            </w:tcBorders>
            <w:shd w:val="clear" w:color="auto" w:fill="F2F2F2"/>
          </w:tcPr>
          <w:p w14:paraId="1E6DF974" w14:textId="77777777" w:rsidR="008560BF" w:rsidRDefault="008560BF" w:rsidP="005860D6"/>
        </w:tc>
      </w:tr>
      <w:tr w:rsidR="008560BF" w:rsidRPr="000863A5" w14:paraId="055E0319" w14:textId="77777777" w:rsidTr="00CA3F79">
        <w:tc>
          <w:tcPr>
            <w:tcW w:w="5000" w:type="pct"/>
            <w:tcBorders>
              <w:top w:val="single" w:sz="6" w:space="0" w:color="78A22F"/>
              <w:left w:val="nil"/>
              <w:bottom w:val="nil"/>
              <w:right w:val="nil"/>
            </w:tcBorders>
          </w:tcPr>
          <w:p w14:paraId="4C76D1DE" w14:textId="3DE45A09" w:rsidR="008560BF" w:rsidRPr="00626D32" w:rsidRDefault="008560BF" w:rsidP="00CA3F79">
            <w:pPr>
              <w:pStyle w:val="BoxSpaceBelow"/>
            </w:pPr>
          </w:p>
        </w:tc>
      </w:tr>
    </w:tbl>
    <w:p w14:paraId="0AB76C0D" w14:textId="43610F5A" w:rsidR="0017225F" w:rsidRDefault="0019481F" w:rsidP="0017225F">
      <w:pPr>
        <w:pStyle w:val="Heading4"/>
      </w:pPr>
      <w:bookmarkStart w:id="26" w:name="_Toc21937647"/>
      <w:r>
        <w:t>Access — A</w:t>
      </w:r>
      <w:r w:rsidR="00CE53ED">
        <w:t xml:space="preserve">ffordability — </w:t>
      </w:r>
      <w:r>
        <w:t>F</w:t>
      </w:r>
      <w:r w:rsidR="0017225F">
        <w:t>ees paid by applicants</w:t>
      </w:r>
      <w:bookmarkEnd w:id="26"/>
    </w:p>
    <w:p w14:paraId="39B8DB88" w14:textId="1757CE01" w:rsidR="009D5E9A" w:rsidRDefault="00E622BC" w:rsidP="00F463FD">
      <w:pPr>
        <w:pStyle w:val="BodyText"/>
      </w:pPr>
      <w:r>
        <w:t>‘Fees paid by applicants’ is an indicator of governments’</w:t>
      </w:r>
      <w:r w:rsidR="008A3647">
        <w:t xml:space="preserve"> achievement against the</w:t>
      </w:r>
      <w:r>
        <w:t xml:space="preserve"> objective </w:t>
      </w:r>
      <w:r w:rsidR="008A3647">
        <w:t>of</w:t>
      </w:r>
      <w:r w:rsidR="008F62B4">
        <w:t xml:space="preserve"> </w:t>
      </w:r>
      <w:r w:rsidR="002F729B">
        <w:t xml:space="preserve">enabling courts to be open, accessible and affordable </w:t>
      </w:r>
      <w:r w:rsidR="00A573FF">
        <w:t>(box 7.</w:t>
      </w:r>
      <w:r w:rsidR="00E65AD4">
        <w:t>12</w:t>
      </w:r>
      <w:r w:rsidR="00A573FF">
        <w:t>)</w:t>
      </w:r>
      <w:r w:rsidR="007C0913">
        <w:t>.</w:t>
      </w:r>
      <w:r w:rsidR="00B12494">
        <w:t xml:space="preserve"> </w:t>
      </w:r>
    </w:p>
    <w:p w14:paraId="03CABBB7" w14:textId="77777777" w:rsidR="00B83572" w:rsidRDefault="00B83572">
      <w:pPr>
        <w:pStyle w:val="BoxSpaceAbove"/>
      </w:pPr>
    </w:p>
    <w:tbl>
      <w:tblPr>
        <w:tblW w:w="1757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gridCol w:w="8789"/>
      </w:tblGrid>
      <w:tr w:rsidR="00B83572" w14:paraId="16029C8E" w14:textId="77777777" w:rsidTr="00967A44">
        <w:trPr>
          <w:gridAfter w:val="1"/>
          <w:wAfter w:w="8789" w:type="dxa"/>
        </w:trPr>
        <w:tc>
          <w:tcPr>
            <w:tcW w:w="8789" w:type="dxa"/>
            <w:tcBorders>
              <w:top w:val="single" w:sz="6" w:space="0" w:color="78A22F"/>
              <w:left w:val="nil"/>
              <w:bottom w:val="nil"/>
              <w:right w:val="nil"/>
            </w:tcBorders>
            <w:shd w:val="clear" w:color="auto" w:fill="F2F2F2" w:themeFill="background1" w:themeFillShade="F2"/>
          </w:tcPr>
          <w:p w14:paraId="138FFDA7" w14:textId="0C5A9F68" w:rsidR="00B83572" w:rsidRDefault="00B83572" w:rsidP="00A722C4">
            <w:pPr>
              <w:pStyle w:val="BoxTitle"/>
              <w:rPr>
                <w:lang w:eastAsia="en-US"/>
              </w:rPr>
            </w:pPr>
            <w:r>
              <w:rPr>
                <w:b w:val="0"/>
              </w:rPr>
              <w:t>Box 7</w:t>
            </w:r>
            <w:r w:rsidR="000408FB">
              <w:rPr>
                <w:b w:val="0"/>
              </w:rPr>
              <w:t>.</w:t>
            </w:r>
            <w:r w:rsidR="00E65AD4">
              <w:rPr>
                <w:b w:val="0"/>
              </w:rPr>
              <w:t>12</w:t>
            </w:r>
            <w:r>
              <w:tab/>
            </w:r>
            <w:r w:rsidRPr="007F6EA4">
              <w:t>Fees paid by applicants</w:t>
            </w:r>
          </w:p>
        </w:tc>
      </w:tr>
      <w:tr w:rsidR="00967A44" w14:paraId="69064978" w14:textId="0C1DE32A" w:rsidTr="00967A44">
        <w:trPr>
          <w:cantSplit/>
        </w:trPr>
        <w:tc>
          <w:tcPr>
            <w:tcW w:w="8789" w:type="dxa"/>
            <w:tcBorders>
              <w:top w:val="nil"/>
              <w:left w:val="nil"/>
              <w:bottom w:val="nil"/>
              <w:right w:val="nil"/>
            </w:tcBorders>
            <w:shd w:val="clear" w:color="auto" w:fill="F2F2F2" w:themeFill="background1" w:themeFillShade="F2"/>
          </w:tcPr>
          <w:p w14:paraId="7D3C9F7E" w14:textId="56314AD4" w:rsidR="00967A44" w:rsidRPr="007608F7" w:rsidRDefault="00967A44" w:rsidP="00967A44">
            <w:pPr>
              <w:pStyle w:val="Box"/>
            </w:pPr>
            <w:r w:rsidRPr="007608F7">
              <w:t xml:space="preserve">‘Fees paid by applicants’ is defined as the average civil court fees paid per </w:t>
            </w:r>
            <w:proofErr w:type="spellStart"/>
            <w:r w:rsidRPr="007608F7">
              <w:t>lodgment</w:t>
            </w:r>
            <w:proofErr w:type="spellEnd"/>
            <w:r w:rsidRPr="007608F7">
              <w:t xml:space="preserve">. It is derived by dividing the total civil court fees collected (filing, sitting, hearing and deposition fees) by the number of civil </w:t>
            </w:r>
            <w:proofErr w:type="spellStart"/>
            <w:r w:rsidRPr="007608F7">
              <w:t>lodgments</w:t>
            </w:r>
            <w:proofErr w:type="spellEnd"/>
            <w:r w:rsidRPr="007608F7">
              <w:t xml:space="preserve"> in a year.</w:t>
            </w:r>
            <w:r w:rsidR="005F43E4">
              <w:t xml:space="preserve"> </w:t>
            </w:r>
            <w:r w:rsidR="005F43E4" w:rsidRPr="001B5F68">
              <w:t>Court fees exclude enforcement, transcript and mediation fees.</w:t>
            </w:r>
          </w:p>
          <w:p w14:paraId="19BF8F8D" w14:textId="77777777" w:rsidR="00967A44" w:rsidRDefault="00967A44" w:rsidP="00967A44">
            <w:pPr>
              <w:pStyle w:val="Box"/>
            </w:pPr>
            <w:r w:rsidRPr="007608F7">
              <w:t>Providing court service quality is held constant, lower court fees help keep courts accessible.</w:t>
            </w:r>
          </w:p>
          <w:p w14:paraId="00F5B13E" w14:textId="77777777" w:rsidR="00967A44" w:rsidRDefault="00967A44" w:rsidP="00967A44">
            <w:pPr>
              <w:pStyle w:val="Box"/>
            </w:pPr>
            <w:r>
              <w:t>Data reported for this indicator are:</w:t>
            </w:r>
          </w:p>
          <w:p w14:paraId="6C9D4A9F" w14:textId="03280958" w:rsidR="00967A44" w:rsidRPr="000D77DB" w:rsidRDefault="00967A44" w:rsidP="00967A44">
            <w:pPr>
              <w:pStyle w:val="BoxListBullet"/>
              <w:numPr>
                <w:ilvl w:val="0"/>
                <w:numId w:val="0"/>
              </w:numPr>
              <w:ind w:left="284"/>
            </w:pPr>
            <w:r>
              <w:rPr>
                <w:color w:val="4F03B5"/>
                <w:shd w:val="clear" w:color="auto" w:fill="F15A25"/>
              </w:rPr>
              <w:t xml:space="preserve">    </w:t>
            </w:r>
            <w:r>
              <w:t xml:space="preserve"> </w:t>
            </w:r>
            <w:r w:rsidRPr="000D77DB">
              <w:t xml:space="preserve">comparable (subject to caveats) </w:t>
            </w:r>
            <w:r>
              <w:t xml:space="preserve">across </w:t>
            </w:r>
            <w:r w:rsidRPr="000D77DB">
              <w:t>jurisdictions</w:t>
            </w:r>
            <w:r>
              <w:t xml:space="preserve"> and over time.</w:t>
            </w:r>
          </w:p>
          <w:p w14:paraId="00E19463" w14:textId="370EC4D4" w:rsidR="00967A44" w:rsidRPr="00BC6432" w:rsidRDefault="00967A44" w:rsidP="00967A44">
            <w:pPr>
              <w:pStyle w:val="BoxListBullet"/>
              <w:numPr>
                <w:ilvl w:val="0"/>
                <w:numId w:val="0"/>
              </w:numPr>
              <w:ind w:left="284"/>
            </w:pPr>
            <w:r>
              <w:rPr>
                <w:color w:val="4F03B5"/>
                <w:shd w:val="clear" w:color="auto" w:fill="F15A25"/>
              </w:rPr>
              <w:t xml:space="preserve">    </w:t>
            </w:r>
            <w:r>
              <w:t xml:space="preserve"> </w:t>
            </w:r>
            <w:r w:rsidRPr="000D77DB">
              <w:t>complete (subject to caveats) for the current reportin</w:t>
            </w:r>
            <w:r w:rsidR="001B0298">
              <w:t>g period. All required 201</w:t>
            </w:r>
            <w:r w:rsidR="00BA56A1">
              <w:t>9</w:t>
            </w:r>
            <w:r w:rsidR="001B0298">
              <w:t>-</w:t>
            </w:r>
            <w:r w:rsidR="00BA56A1">
              <w:t>20</w:t>
            </w:r>
            <w:r>
              <w:t xml:space="preserve"> </w:t>
            </w:r>
            <w:r w:rsidRPr="000D77DB">
              <w:t>data</w:t>
            </w:r>
            <w:r>
              <w:t xml:space="preserve"> are </w:t>
            </w:r>
            <w:r w:rsidRPr="000D77DB">
              <w:t>available for all jurisdictions</w:t>
            </w:r>
            <w:r>
              <w:t>.</w:t>
            </w:r>
          </w:p>
        </w:tc>
        <w:tc>
          <w:tcPr>
            <w:tcW w:w="8789" w:type="dxa"/>
          </w:tcPr>
          <w:p w14:paraId="71A07D73" w14:textId="77777777" w:rsidR="00967A44" w:rsidRDefault="00967A44" w:rsidP="00967A44"/>
        </w:tc>
      </w:tr>
      <w:tr w:rsidR="00967A44" w14:paraId="6392B440" w14:textId="77777777" w:rsidTr="00967A44">
        <w:trPr>
          <w:gridAfter w:val="1"/>
          <w:wAfter w:w="8789" w:type="dxa"/>
        </w:trPr>
        <w:tc>
          <w:tcPr>
            <w:tcW w:w="8789" w:type="dxa"/>
            <w:tcBorders>
              <w:top w:val="nil"/>
              <w:left w:val="nil"/>
              <w:bottom w:val="single" w:sz="6" w:space="0" w:color="78A22F"/>
              <w:right w:val="nil"/>
            </w:tcBorders>
            <w:shd w:val="clear" w:color="auto" w:fill="F2F2F2"/>
          </w:tcPr>
          <w:p w14:paraId="51DE98A4" w14:textId="77777777" w:rsidR="00967A44" w:rsidRDefault="00967A44" w:rsidP="007547E9">
            <w:pPr>
              <w:pStyle w:val="Box"/>
              <w:spacing w:before="0" w:line="120" w:lineRule="exact"/>
            </w:pPr>
          </w:p>
        </w:tc>
      </w:tr>
      <w:tr w:rsidR="00967A44" w:rsidRPr="000863A5" w14:paraId="1AAEE6DC" w14:textId="77777777" w:rsidTr="00967A44">
        <w:trPr>
          <w:gridAfter w:val="1"/>
          <w:wAfter w:w="8789" w:type="dxa"/>
        </w:trPr>
        <w:tc>
          <w:tcPr>
            <w:tcW w:w="8789" w:type="dxa"/>
            <w:tcBorders>
              <w:top w:val="single" w:sz="6" w:space="0" w:color="78A22F"/>
              <w:left w:val="nil"/>
              <w:bottom w:val="nil"/>
              <w:right w:val="nil"/>
            </w:tcBorders>
          </w:tcPr>
          <w:p w14:paraId="313D6094" w14:textId="77777777" w:rsidR="00967A44" w:rsidRPr="00626D32" w:rsidRDefault="00967A44" w:rsidP="00967A44">
            <w:pPr>
              <w:pStyle w:val="BoxSpaceBelow"/>
            </w:pPr>
          </w:p>
        </w:tc>
      </w:tr>
    </w:tbl>
    <w:p w14:paraId="70933978" w14:textId="295A57FA" w:rsidR="00A22203" w:rsidRPr="00782F2A" w:rsidRDefault="00A22203" w:rsidP="00A22203">
      <w:pPr>
        <w:pStyle w:val="Heading4"/>
      </w:pPr>
      <w:bookmarkStart w:id="27" w:name="_Toc21937648"/>
      <w:r w:rsidRPr="00782F2A">
        <w:lastRenderedPageBreak/>
        <w:t>Quality — Court file integrity</w:t>
      </w:r>
      <w:bookmarkEnd w:id="27"/>
    </w:p>
    <w:p w14:paraId="5B10B24B" w14:textId="6474DDDC" w:rsidR="00A22203" w:rsidRPr="004334A7" w:rsidRDefault="00A22203" w:rsidP="00A22203">
      <w:pPr>
        <w:pStyle w:val="BodyText"/>
      </w:pPr>
      <w:r w:rsidRPr="004334A7">
        <w:t xml:space="preserve">‘Court file integrity’ is </w:t>
      </w:r>
      <w:r>
        <w:t xml:space="preserve">an indicator of governments’ objective to provide court services in a </w:t>
      </w:r>
      <w:proofErr w:type="gramStart"/>
      <w:r>
        <w:t>high quality</w:t>
      </w:r>
      <w:proofErr w:type="gramEnd"/>
      <w:r>
        <w:t xml:space="preserve"> manner </w:t>
      </w:r>
      <w:r w:rsidRPr="004334A7">
        <w:t>(box 7.</w:t>
      </w:r>
      <w:r w:rsidR="00E65AD4">
        <w:t>13</w:t>
      </w:r>
      <w:r w:rsidRPr="004334A7">
        <w:t>).</w:t>
      </w:r>
      <w:r>
        <w:t xml:space="preserve"> Accurate, complete and readily available court files and records are critical for effective case management and daily court operations.</w:t>
      </w:r>
    </w:p>
    <w:p w14:paraId="2A94D145" w14:textId="77777777" w:rsidR="00A22203" w:rsidRDefault="00A22203" w:rsidP="00A22203">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A22203" w14:paraId="2000BD88" w14:textId="77777777" w:rsidTr="00967A44">
        <w:tc>
          <w:tcPr>
            <w:tcW w:w="8789" w:type="dxa"/>
            <w:tcBorders>
              <w:top w:val="single" w:sz="6" w:space="0" w:color="78A22F"/>
              <w:left w:val="nil"/>
              <w:bottom w:val="nil"/>
              <w:right w:val="nil"/>
            </w:tcBorders>
            <w:shd w:val="clear" w:color="auto" w:fill="F2F2F2" w:themeFill="background1" w:themeFillShade="F2"/>
          </w:tcPr>
          <w:p w14:paraId="2A2D1EBB" w14:textId="22E8424F" w:rsidR="00A22203" w:rsidRDefault="00A22203" w:rsidP="00376F6C">
            <w:pPr>
              <w:pStyle w:val="BoxTitle"/>
              <w:rPr>
                <w:lang w:eastAsia="en-US"/>
              </w:rPr>
            </w:pPr>
            <w:r>
              <w:rPr>
                <w:b w:val="0"/>
              </w:rPr>
              <w:t>Box 7.</w:t>
            </w:r>
            <w:r w:rsidR="00E65AD4">
              <w:rPr>
                <w:b w:val="0"/>
              </w:rPr>
              <w:t>13</w:t>
            </w:r>
            <w:r>
              <w:tab/>
              <w:t>Court file integrity</w:t>
            </w:r>
          </w:p>
        </w:tc>
      </w:tr>
      <w:tr w:rsidR="00A22203" w14:paraId="632BE4C1" w14:textId="77777777" w:rsidTr="00967A44">
        <w:trPr>
          <w:cantSplit/>
        </w:trPr>
        <w:tc>
          <w:tcPr>
            <w:tcW w:w="8789" w:type="dxa"/>
            <w:tcBorders>
              <w:top w:val="nil"/>
              <w:left w:val="nil"/>
              <w:bottom w:val="nil"/>
              <w:right w:val="nil"/>
            </w:tcBorders>
            <w:shd w:val="clear" w:color="auto" w:fill="F2F2F2" w:themeFill="background1" w:themeFillShade="F2"/>
          </w:tcPr>
          <w:p w14:paraId="5773DCD4" w14:textId="77777777" w:rsidR="00A22203" w:rsidRDefault="00A22203" w:rsidP="003C4BB2">
            <w:pPr>
              <w:pStyle w:val="Box"/>
              <w:tabs>
                <w:tab w:val="left" w:pos="1020"/>
              </w:tabs>
              <w:spacing w:after="120"/>
            </w:pPr>
            <w:r>
              <w:t>‘Court file integrity’ is defined as the proportion of court files that are accessible, accurate and complete.</w:t>
            </w:r>
          </w:p>
          <w:p w14:paraId="12EB835D" w14:textId="77777777" w:rsidR="00A22203" w:rsidRDefault="00A22203" w:rsidP="003C4BB2">
            <w:pPr>
              <w:pStyle w:val="Box"/>
              <w:tabs>
                <w:tab w:val="left" w:pos="1020"/>
              </w:tabs>
              <w:spacing w:after="120"/>
            </w:pPr>
            <w:r>
              <w:t>High or increasing levels of court file integrity are desirable.</w:t>
            </w:r>
          </w:p>
          <w:p w14:paraId="701B5229" w14:textId="0EF46A30" w:rsidR="00967A44" w:rsidRPr="00B65A65" w:rsidRDefault="00A22203" w:rsidP="000D1CB5">
            <w:pPr>
              <w:pStyle w:val="Box"/>
              <w:tabs>
                <w:tab w:val="left" w:pos="1020"/>
              </w:tabs>
            </w:pPr>
            <w:r>
              <w:t>Data are not yet available for reporting against this indicator.</w:t>
            </w:r>
          </w:p>
        </w:tc>
      </w:tr>
      <w:tr w:rsidR="00967A44" w14:paraId="6A0DEAA0" w14:textId="77777777" w:rsidTr="00967A44">
        <w:tc>
          <w:tcPr>
            <w:tcW w:w="8789" w:type="dxa"/>
            <w:tcBorders>
              <w:top w:val="nil"/>
              <w:left w:val="nil"/>
              <w:bottom w:val="single" w:sz="6" w:space="0" w:color="78A22F"/>
              <w:right w:val="nil"/>
            </w:tcBorders>
            <w:shd w:val="clear" w:color="auto" w:fill="F2F2F2"/>
          </w:tcPr>
          <w:p w14:paraId="04E1EB56" w14:textId="77777777" w:rsidR="00967A44" w:rsidRDefault="00967A44" w:rsidP="007547E9">
            <w:pPr>
              <w:pStyle w:val="Box"/>
              <w:spacing w:before="0" w:line="120" w:lineRule="exact"/>
            </w:pPr>
          </w:p>
        </w:tc>
      </w:tr>
      <w:tr w:rsidR="00A22203" w:rsidRPr="000863A5" w14:paraId="118D8777" w14:textId="77777777" w:rsidTr="00967A44">
        <w:tc>
          <w:tcPr>
            <w:tcW w:w="8789" w:type="dxa"/>
            <w:tcBorders>
              <w:top w:val="single" w:sz="6" w:space="0" w:color="78A22F"/>
              <w:left w:val="nil"/>
              <w:bottom w:val="nil"/>
              <w:right w:val="nil"/>
            </w:tcBorders>
          </w:tcPr>
          <w:p w14:paraId="25F3B5AD" w14:textId="77777777" w:rsidR="00A22203" w:rsidRPr="00626D32" w:rsidRDefault="00A22203" w:rsidP="003C4BB2">
            <w:pPr>
              <w:pStyle w:val="BoxSpaceBelow"/>
            </w:pPr>
          </w:p>
        </w:tc>
      </w:tr>
    </w:tbl>
    <w:p w14:paraId="2CA05076" w14:textId="77777777" w:rsidR="00D45A15" w:rsidRDefault="00D45A15" w:rsidP="00D45A15">
      <w:pPr>
        <w:pStyle w:val="Heading3"/>
      </w:pPr>
      <w:bookmarkStart w:id="28" w:name="_Toc21937649"/>
      <w:r>
        <w:t>Efficiency</w:t>
      </w:r>
      <w:bookmarkEnd w:id="28"/>
    </w:p>
    <w:p w14:paraId="12472A77" w14:textId="77777777" w:rsidR="009B583E" w:rsidRPr="00001C9F" w:rsidRDefault="00FE1D68" w:rsidP="00FE3767">
      <w:pPr>
        <w:pStyle w:val="Heading4"/>
        <w:spacing w:before="240"/>
      </w:pPr>
      <w:bookmarkStart w:id="29" w:name="_Toc21937650"/>
      <w:r>
        <w:t>J</w:t>
      </w:r>
      <w:r w:rsidR="009B583E" w:rsidRPr="00584FFF">
        <w:t>udicial officers per finalisation</w:t>
      </w:r>
      <w:bookmarkEnd w:id="29"/>
    </w:p>
    <w:p w14:paraId="4F34C4DC" w14:textId="3B580CED" w:rsidR="009B583E" w:rsidRDefault="009B583E" w:rsidP="009B583E">
      <w:pPr>
        <w:pStyle w:val="BodyText"/>
      </w:pPr>
      <w:r w:rsidRPr="00584FFF">
        <w:t>‘Judicial offic</w:t>
      </w:r>
      <w:r w:rsidR="00572B9F" w:rsidRPr="00584FFF">
        <w:t>ers per finalisation’ is a</w:t>
      </w:r>
      <w:r w:rsidR="00E7400A">
        <w:t>n</w:t>
      </w:r>
      <w:r w:rsidR="0032403A" w:rsidRPr="00584FFF">
        <w:t xml:space="preserve"> </w:t>
      </w:r>
      <w:r w:rsidRPr="00584FFF">
        <w:t>indicator of governments’ achievement against the objective of providing court services in an efficient manner (box 7.1</w:t>
      </w:r>
      <w:r w:rsidR="00E65AD4">
        <w:t>4</w:t>
      </w:r>
      <w:r w:rsidRPr="00584FFF">
        <w:t xml:space="preserve">). </w:t>
      </w:r>
    </w:p>
    <w:p w14:paraId="36711D84" w14:textId="77777777" w:rsidR="000F45E1" w:rsidRDefault="000F45E1">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0F45E1" w14:paraId="2E812952" w14:textId="77777777" w:rsidTr="00B9240E">
        <w:tc>
          <w:tcPr>
            <w:tcW w:w="8789" w:type="dxa"/>
            <w:tcBorders>
              <w:top w:val="single" w:sz="6" w:space="0" w:color="78A22F"/>
              <w:left w:val="nil"/>
              <w:bottom w:val="nil"/>
              <w:right w:val="nil"/>
            </w:tcBorders>
            <w:shd w:val="clear" w:color="auto" w:fill="F2F2F2" w:themeFill="background1" w:themeFillShade="F2"/>
          </w:tcPr>
          <w:p w14:paraId="2C861284" w14:textId="357ED92D" w:rsidR="000F45E1" w:rsidRDefault="000F45E1" w:rsidP="00824B15">
            <w:pPr>
              <w:pStyle w:val="BoxTitle"/>
              <w:rPr>
                <w:lang w:eastAsia="en-US"/>
              </w:rPr>
            </w:pPr>
            <w:r>
              <w:rPr>
                <w:b w:val="0"/>
              </w:rPr>
              <w:t>Box 7</w:t>
            </w:r>
            <w:r w:rsidR="00C545A1">
              <w:rPr>
                <w:b w:val="0"/>
              </w:rPr>
              <w:t>.1</w:t>
            </w:r>
            <w:r w:rsidR="00E65AD4">
              <w:rPr>
                <w:b w:val="0"/>
              </w:rPr>
              <w:t>4</w:t>
            </w:r>
            <w:r>
              <w:tab/>
            </w:r>
            <w:r w:rsidRPr="00584FFF">
              <w:t>Judicial officers per finalisation</w:t>
            </w:r>
          </w:p>
        </w:tc>
      </w:tr>
      <w:tr w:rsidR="000F45E1" w14:paraId="54D3F7C3" w14:textId="77777777" w:rsidTr="00B9240E">
        <w:trPr>
          <w:cantSplit/>
        </w:trPr>
        <w:tc>
          <w:tcPr>
            <w:tcW w:w="8789" w:type="dxa"/>
            <w:tcBorders>
              <w:top w:val="nil"/>
              <w:left w:val="nil"/>
              <w:bottom w:val="nil"/>
              <w:right w:val="nil"/>
            </w:tcBorders>
            <w:shd w:val="clear" w:color="auto" w:fill="F2F2F2" w:themeFill="background1" w:themeFillShade="F2"/>
          </w:tcPr>
          <w:p w14:paraId="2C1B00B0" w14:textId="10BF74E4" w:rsidR="000F45E1" w:rsidRPr="00584FFF" w:rsidRDefault="000F45E1" w:rsidP="003551D9">
            <w:pPr>
              <w:pStyle w:val="Box"/>
            </w:pPr>
            <w:r w:rsidRPr="00584FFF">
              <w:t xml:space="preserve">‘Judicial officers per </w:t>
            </w:r>
            <w:r w:rsidRPr="001D1A82">
              <w:t xml:space="preserve">finalisation’ </w:t>
            </w:r>
            <w:r w:rsidRPr="00BD72D8">
              <w:t xml:space="preserve">is </w:t>
            </w:r>
            <w:r w:rsidRPr="00A848DB">
              <w:t xml:space="preserve">measured by dividing the number of full time equivalent judicial officers within each court </w:t>
            </w:r>
            <w:r w:rsidR="00E7400A" w:rsidRPr="00BD72D8">
              <w:t>lev</w:t>
            </w:r>
            <w:r w:rsidR="00A848DB">
              <w:t xml:space="preserve">el </w:t>
            </w:r>
            <w:r w:rsidRPr="00584FFF">
              <w:t xml:space="preserve">for the financial year by the total number of finalisations for the same </w:t>
            </w:r>
            <w:proofErr w:type="gramStart"/>
            <w:r w:rsidRPr="00584FFF">
              <w:t>period</w:t>
            </w:r>
            <w:r w:rsidR="00E7400A">
              <w:t>,</w:t>
            </w:r>
            <w:r w:rsidRPr="00584FFF">
              <w:t xml:space="preserve"> and</w:t>
            </w:r>
            <w:proofErr w:type="gramEnd"/>
            <w:r w:rsidRPr="00584FFF">
              <w:t xml:space="preserve"> multiplying by </w:t>
            </w:r>
            <w:r w:rsidRPr="001D1A82">
              <w:t>100</w:t>
            </w:r>
            <w:r w:rsidR="00531BE0">
              <w:t>0</w:t>
            </w:r>
            <w:r w:rsidRPr="00CF03D9">
              <w:t>.</w:t>
            </w:r>
            <w:r w:rsidRPr="00584FFF">
              <w:t xml:space="preserve"> </w:t>
            </w:r>
          </w:p>
          <w:p w14:paraId="22F627DF" w14:textId="0B6544BE" w:rsidR="000F45E1" w:rsidRPr="00584FFF" w:rsidRDefault="00760C7A" w:rsidP="003551D9">
            <w:pPr>
              <w:pStyle w:val="Box"/>
            </w:pPr>
            <w:r w:rsidRPr="001B5F68">
              <w:t>All else being equal, a low</w:t>
            </w:r>
            <w:r w:rsidR="00CB399F" w:rsidRPr="001B5F68">
              <w:t>er</w:t>
            </w:r>
            <w:r w:rsidRPr="001B5F68">
              <w:t xml:space="preserve"> or decreasing number of judicial officers per finalisation suggests greater efficiency. </w:t>
            </w:r>
            <w:proofErr w:type="gramStart"/>
            <w:r w:rsidRPr="001B5F68">
              <w:t>However</w:t>
            </w:r>
            <w:proofErr w:type="gramEnd"/>
            <w:r w:rsidRPr="001B5F68">
              <w:t xml:space="preserve"> efficiency data should be interpreted with caution</w:t>
            </w:r>
            <w:r w:rsidR="004D3760" w:rsidRPr="001B5F68">
              <w:t xml:space="preserve"> as data could also reflect under-resourcing</w:t>
            </w:r>
            <w:r w:rsidRPr="001B5F68">
              <w:t>.</w:t>
            </w:r>
            <w:r>
              <w:t xml:space="preserve"> </w:t>
            </w:r>
            <w:r w:rsidR="000F45E1" w:rsidRPr="00584FFF">
              <w:t xml:space="preserve">The following points need to be considered in interpreting </w:t>
            </w:r>
            <w:r w:rsidR="000F45E1" w:rsidRPr="00CF03D9">
              <w:t>the results</w:t>
            </w:r>
            <w:r w:rsidR="00E7400A" w:rsidRPr="00CF03D9">
              <w:t xml:space="preserve"> for this indicator</w:t>
            </w:r>
            <w:r w:rsidR="000F45E1" w:rsidRPr="00CF03D9">
              <w:t>:</w:t>
            </w:r>
          </w:p>
          <w:p w14:paraId="586457DF" w14:textId="77777777" w:rsidR="000F45E1" w:rsidRPr="00584FFF" w:rsidRDefault="000F45E1" w:rsidP="003551D9">
            <w:pPr>
              <w:pStyle w:val="BoxListBullet"/>
            </w:pPr>
            <w:r w:rsidRPr="00584FFF">
              <w:t>some finalisations take a short time and require few resources, whereas other finalisations may be resource intensive and involve complicated trials and interlocutory decisions</w:t>
            </w:r>
          </w:p>
          <w:p w14:paraId="1C8BF941" w14:textId="77777777" w:rsidR="000F45E1" w:rsidRDefault="000F45E1" w:rsidP="003551D9">
            <w:pPr>
              <w:pStyle w:val="BoxListBullet"/>
            </w:pPr>
            <w:r w:rsidRPr="00584FFF">
              <w:t>factors such as geographical dispersion, judicial workload and population density are important considerations when comparing figures on judicial officers</w:t>
            </w:r>
            <w:r w:rsidR="00E7400A">
              <w:t>.</w:t>
            </w:r>
          </w:p>
          <w:p w14:paraId="1EF4D1B6" w14:textId="77777777" w:rsidR="001C21B8" w:rsidRDefault="001C21B8" w:rsidP="001C21B8">
            <w:pPr>
              <w:pStyle w:val="Box"/>
            </w:pPr>
            <w:r>
              <w:t>Data reported for this indicator are:</w:t>
            </w:r>
          </w:p>
          <w:p w14:paraId="311E04DD" w14:textId="288FF817" w:rsidR="001C21B8" w:rsidRPr="000D77DB" w:rsidRDefault="001C21B8" w:rsidP="00A575D8">
            <w:pPr>
              <w:pStyle w:val="BoxListBullet"/>
              <w:numPr>
                <w:ilvl w:val="0"/>
                <w:numId w:val="0"/>
              </w:numPr>
              <w:ind w:left="284"/>
            </w:pPr>
            <w:r>
              <w:rPr>
                <w:color w:val="4F03B5"/>
                <w:shd w:val="clear" w:color="auto" w:fill="F15A25"/>
              </w:rPr>
              <w:t xml:space="preserve">    </w:t>
            </w:r>
            <w:r>
              <w:t xml:space="preserve"> </w:t>
            </w:r>
            <w:r w:rsidRPr="000D77DB">
              <w:t xml:space="preserve">comparable (subject to caveats) </w:t>
            </w:r>
            <w:r>
              <w:t xml:space="preserve">across </w:t>
            </w:r>
            <w:r w:rsidRPr="000D77DB">
              <w:t>jurisdictions</w:t>
            </w:r>
            <w:r>
              <w:t xml:space="preserve"> and over time</w:t>
            </w:r>
            <w:r w:rsidR="00821931">
              <w:t>.</w:t>
            </w:r>
          </w:p>
          <w:p w14:paraId="42871F99" w14:textId="7BA00F56" w:rsidR="00967A44" w:rsidRPr="00CE0130" w:rsidRDefault="001C21B8" w:rsidP="000D1CB5">
            <w:pPr>
              <w:pStyle w:val="BoxListBullet"/>
              <w:numPr>
                <w:ilvl w:val="0"/>
                <w:numId w:val="0"/>
              </w:numPr>
              <w:ind w:left="284"/>
            </w:pPr>
            <w:r>
              <w:rPr>
                <w:color w:val="4F03B5"/>
                <w:shd w:val="clear" w:color="auto" w:fill="F15A25"/>
              </w:rPr>
              <w:t xml:space="preserve">    </w:t>
            </w:r>
            <w:r>
              <w:t xml:space="preserve"> </w:t>
            </w:r>
            <w:r w:rsidRPr="000D77DB">
              <w:t>complete (subject to caveats) for the current reportin</w:t>
            </w:r>
            <w:r w:rsidR="001B0298">
              <w:t>g period. All required 201</w:t>
            </w:r>
            <w:r w:rsidR="00C50359">
              <w:t>9</w:t>
            </w:r>
            <w:r w:rsidR="001B0298">
              <w:t>-</w:t>
            </w:r>
            <w:r w:rsidR="00C50359">
              <w:t>20</w:t>
            </w:r>
            <w:r>
              <w:t xml:space="preserve"> </w:t>
            </w:r>
            <w:r w:rsidRPr="000D77DB">
              <w:t>data</w:t>
            </w:r>
            <w:r w:rsidR="00A575D8">
              <w:t xml:space="preserve"> </w:t>
            </w:r>
            <w:r>
              <w:t xml:space="preserve">are </w:t>
            </w:r>
            <w:r w:rsidRPr="000D77DB">
              <w:t>available for all jurisdictions</w:t>
            </w:r>
            <w:r>
              <w:t>.</w:t>
            </w:r>
          </w:p>
        </w:tc>
      </w:tr>
      <w:tr w:rsidR="00967A44" w14:paraId="133038F4" w14:textId="77777777" w:rsidTr="007547E9">
        <w:tc>
          <w:tcPr>
            <w:tcW w:w="8789" w:type="dxa"/>
            <w:tcBorders>
              <w:top w:val="nil"/>
              <w:left w:val="nil"/>
              <w:bottom w:val="single" w:sz="6" w:space="0" w:color="78A22F"/>
              <w:right w:val="nil"/>
            </w:tcBorders>
            <w:shd w:val="clear" w:color="auto" w:fill="F2F2F2"/>
          </w:tcPr>
          <w:p w14:paraId="1371E378" w14:textId="77777777" w:rsidR="00967A44" w:rsidRDefault="00967A44" w:rsidP="007547E9">
            <w:pPr>
              <w:pStyle w:val="Box"/>
              <w:spacing w:before="0" w:line="120" w:lineRule="exact"/>
            </w:pPr>
          </w:p>
        </w:tc>
      </w:tr>
      <w:tr w:rsidR="000F45E1" w:rsidRPr="000863A5" w14:paraId="1C1978E6" w14:textId="77777777" w:rsidTr="00B9240E">
        <w:tc>
          <w:tcPr>
            <w:tcW w:w="8789" w:type="dxa"/>
            <w:tcBorders>
              <w:top w:val="single" w:sz="6" w:space="0" w:color="78A22F"/>
              <w:left w:val="nil"/>
              <w:bottom w:val="nil"/>
              <w:right w:val="nil"/>
            </w:tcBorders>
          </w:tcPr>
          <w:p w14:paraId="62D4E31B" w14:textId="77777777" w:rsidR="000F45E1" w:rsidRPr="00626D32" w:rsidRDefault="000F45E1" w:rsidP="003551D9">
            <w:pPr>
              <w:pStyle w:val="BoxSpaceBelow"/>
            </w:pPr>
          </w:p>
        </w:tc>
      </w:tr>
    </w:tbl>
    <w:p w14:paraId="6DA0BBE4" w14:textId="77777777" w:rsidR="00974087" w:rsidRPr="00E75996" w:rsidRDefault="00AB47AC" w:rsidP="00F73838">
      <w:pPr>
        <w:pStyle w:val="Heading4"/>
      </w:pPr>
      <w:bookmarkStart w:id="30" w:name="_Toc21937651"/>
      <w:r>
        <w:lastRenderedPageBreak/>
        <w:t>F</w:t>
      </w:r>
      <w:r w:rsidR="00974087" w:rsidRPr="00584FFF">
        <w:t>ull time equivalent staff (FTE) per</w:t>
      </w:r>
      <w:r w:rsidR="0032403A" w:rsidRPr="00584FFF">
        <w:t xml:space="preserve"> </w:t>
      </w:r>
      <w:r w:rsidR="00974087" w:rsidRPr="00584FFF">
        <w:t>finalisation</w:t>
      </w:r>
      <w:bookmarkEnd w:id="30"/>
    </w:p>
    <w:p w14:paraId="4A55111D" w14:textId="63EC4602" w:rsidR="00974087" w:rsidRDefault="00974087" w:rsidP="00F73838">
      <w:pPr>
        <w:pStyle w:val="BodyText"/>
        <w:keepNext/>
      </w:pPr>
      <w:r w:rsidRPr="00584FFF">
        <w:t>‘F</w:t>
      </w:r>
      <w:r w:rsidR="00AB47AC">
        <w:t>TE</w:t>
      </w:r>
      <w:r w:rsidRPr="00584FFF">
        <w:t xml:space="preserve"> staff per</w:t>
      </w:r>
      <w:r w:rsidR="0032403A" w:rsidRPr="00584FFF">
        <w:t xml:space="preserve"> </w:t>
      </w:r>
      <w:r w:rsidRPr="00584FFF">
        <w:t>finalisation’ is</w:t>
      </w:r>
      <w:r w:rsidR="00572B9F" w:rsidRPr="00584FFF">
        <w:t xml:space="preserve"> a</w:t>
      </w:r>
      <w:r w:rsidR="00AB47AC">
        <w:t>n</w:t>
      </w:r>
      <w:r w:rsidRPr="00584FFF">
        <w:t xml:space="preserve"> indicator of governments’ achievement against the objective of providing court services in an efficient manner (box 7.1</w:t>
      </w:r>
      <w:r w:rsidR="00E65AD4">
        <w:t>5</w:t>
      </w:r>
      <w:r w:rsidRPr="00584FFF">
        <w:t xml:space="preserve">). </w:t>
      </w:r>
    </w:p>
    <w:p w14:paraId="3C7E65F8" w14:textId="77777777" w:rsidR="004224C3" w:rsidRDefault="004224C3">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4224C3" w14:paraId="124BB5A1" w14:textId="77777777" w:rsidTr="00B9240E">
        <w:tc>
          <w:tcPr>
            <w:tcW w:w="8789" w:type="dxa"/>
            <w:tcBorders>
              <w:top w:val="single" w:sz="6" w:space="0" w:color="78A22F"/>
              <w:left w:val="nil"/>
              <w:bottom w:val="nil"/>
              <w:right w:val="nil"/>
            </w:tcBorders>
            <w:shd w:val="clear" w:color="auto" w:fill="F2F2F2" w:themeFill="background1" w:themeFillShade="F2"/>
          </w:tcPr>
          <w:p w14:paraId="581AAC2A" w14:textId="35EF5B15" w:rsidR="004224C3" w:rsidRDefault="004224C3" w:rsidP="00824B15">
            <w:pPr>
              <w:pStyle w:val="BoxTitle"/>
            </w:pPr>
            <w:r>
              <w:rPr>
                <w:b w:val="0"/>
              </w:rPr>
              <w:t>Box 7</w:t>
            </w:r>
            <w:r w:rsidR="00676A2D">
              <w:rPr>
                <w:b w:val="0"/>
              </w:rPr>
              <w:t>.1</w:t>
            </w:r>
            <w:r w:rsidR="00E65AD4">
              <w:rPr>
                <w:b w:val="0"/>
              </w:rPr>
              <w:t>5</w:t>
            </w:r>
            <w:r w:rsidR="0074095E">
              <w:tab/>
            </w:r>
            <w:r w:rsidR="0074095E" w:rsidRPr="00584FFF">
              <w:t xml:space="preserve">Full time equivalent </w:t>
            </w:r>
            <w:r w:rsidR="00AB47AC">
              <w:t xml:space="preserve">(FTE) </w:t>
            </w:r>
            <w:r w:rsidR="0074095E" w:rsidRPr="00584FFF">
              <w:t>staff per finalisation</w:t>
            </w:r>
          </w:p>
        </w:tc>
      </w:tr>
      <w:tr w:rsidR="00260B59" w14:paraId="5C01E720" w14:textId="77777777" w:rsidTr="00B9240E">
        <w:trPr>
          <w:cantSplit/>
        </w:trPr>
        <w:tc>
          <w:tcPr>
            <w:tcW w:w="8789" w:type="dxa"/>
            <w:tcBorders>
              <w:top w:val="nil"/>
              <w:left w:val="nil"/>
              <w:bottom w:val="nil"/>
              <w:right w:val="nil"/>
            </w:tcBorders>
            <w:shd w:val="clear" w:color="auto" w:fill="F2F2F2" w:themeFill="background1" w:themeFillShade="F2"/>
          </w:tcPr>
          <w:p w14:paraId="7D83AA51" w14:textId="7E05982D" w:rsidR="00260B59" w:rsidRPr="00584FFF" w:rsidRDefault="00260B59" w:rsidP="003551D9">
            <w:pPr>
              <w:pStyle w:val="Box"/>
            </w:pPr>
            <w:r w:rsidRPr="00584FFF">
              <w:t>‘</w:t>
            </w:r>
            <w:r w:rsidRPr="00E37076">
              <w:t>F</w:t>
            </w:r>
            <w:r w:rsidR="00AB47AC" w:rsidRPr="00E37076">
              <w:t>TE</w:t>
            </w:r>
            <w:r w:rsidRPr="00E37076">
              <w:t xml:space="preserve"> staff per finalisation’ </w:t>
            </w:r>
            <w:r w:rsidR="008A2179" w:rsidRPr="00E37076">
              <w:t xml:space="preserve">is </w:t>
            </w:r>
            <w:r w:rsidRPr="00E37076">
              <w:t xml:space="preserve">measured by dividing the total number of </w:t>
            </w:r>
            <w:r w:rsidR="00AB47AC" w:rsidRPr="00E37076">
              <w:t>FTE</w:t>
            </w:r>
            <w:r w:rsidRPr="00E37076">
              <w:t xml:space="preserve"> staff employed by courts for the financial year by the total number of finalisations for the same </w:t>
            </w:r>
            <w:proofErr w:type="gramStart"/>
            <w:r w:rsidRPr="00E37076">
              <w:t>period</w:t>
            </w:r>
            <w:r w:rsidR="00AB47AC" w:rsidRPr="00E37076">
              <w:t>,</w:t>
            </w:r>
            <w:r w:rsidRPr="00E37076">
              <w:t xml:space="preserve"> and</w:t>
            </w:r>
            <w:proofErr w:type="gramEnd"/>
            <w:r w:rsidRPr="00E37076">
              <w:t xml:space="preserve"> multiplying by 100</w:t>
            </w:r>
            <w:r w:rsidR="004C455F">
              <w:t>0</w:t>
            </w:r>
            <w:r w:rsidRPr="00E37076">
              <w:t>.</w:t>
            </w:r>
            <w:r w:rsidRPr="00584FFF">
              <w:t xml:space="preserve"> </w:t>
            </w:r>
          </w:p>
          <w:p w14:paraId="3F29D48B" w14:textId="289E000B" w:rsidR="00260B59" w:rsidRPr="00855DF6" w:rsidRDefault="00260B59" w:rsidP="003551D9">
            <w:pPr>
              <w:pStyle w:val="Box"/>
            </w:pPr>
            <w:r w:rsidRPr="00855DF6">
              <w:t xml:space="preserve">FTE staff </w:t>
            </w:r>
            <w:r w:rsidR="000B4A4D" w:rsidRPr="00855DF6">
              <w:t>include</w:t>
            </w:r>
            <w:r w:rsidR="002815B1" w:rsidRPr="00855DF6">
              <w:t xml:space="preserve"> </w:t>
            </w:r>
            <w:r w:rsidR="000B4A4D" w:rsidRPr="00855DF6">
              <w:t>those</w:t>
            </w:r>
            <w:r w:rsidRPr="00855DF6">
              <w:t xml:space="preserve"> employed directly by court authorities or by umbrella and other departments</w:t>
            </w:r>
            <w:r w:rsidR="002815B1" w:rsidRPr="00855DF6">
              <w:t xml:space="preserve"> (see section 7.4 for further details).</w:t>
            </w:r>
          </w:p>
          <w:p w14:paraId="7E30D5B1" w14:textId="1BDD589C" w:rsidR="00260B59" w:rsidRPr="00AD4587" w:rsidRDefault="001B6627" w:rsidP="003551D9">
            <w:pPr>
              <w:pStyle w:val="Box"/>
            </w:pPr>
            <w:r w:rsidRPr="001B5F68">
              <w:t>All else being equal, a low</w:t>
            </w:r>
            <w:r w:rsidR="00CB399F" w:rsidRPr="001B5F68">
              <w:t>er</w:t>
            </w:r>
            <w:r w:rsidRPr="001B5F68">
              <w:t xml:space="preserve"> or decreasing number of </w:t>
            </w:r>
            <w:proofErr w:type="gramStart"/>
            <w:r w:rsidRPr="001B5F68">
              <w:t>full time</w:t>
            </w:r>
            <w:proofErr w:type="gramEnd"/>
            <w:r w:rsidRPr="001B5F68">
              <w:t xml:space="preserve"> equivalent staff per finalisation suggests greater efficiency. </w:t>
            </w:r>
            <w:proofErr w:type="gramStart"/>
            <w:r w:rsidRPr="001B5F68">
              <w:t>However</w:t>
            </w:r>
            <w:proofErr w:type="gramEnd"/>
            <w:r w:rsidRPr="001B5F68">
              <w:t xml:space="preserve"> efficiency data should be interpreted with caution</w:t>
            </w:r>
            <w:r w:rsidR="00533F62" w:rsidRPr="001B5F68">
              <w:t xml:space="preserve"> as data could also reflect under-resourcing</w:t>
            </w:r>
            <w:r w:rsidRPr="001B5F68">
              <w:t>.</w:t>
            </w:r>
            <w:r>
              <w:t xml:space="preserve"> </w:t>
            </w:r>
            <w:r w:rsidR="00260B59" w:rsidRPr="00855DF6">
              <w:t xml:space="preserve">The following points need to be considered in interpreting </w:t>
            </w:r>
            <w:r w:rsidR="00260B59" w:rsidRPr="00E37076">
              <w:t>the results</w:t>
            </w:r>
            <w:r w:rsidR="00AB47AC" w:rsidRPr="00E37076">
              <w:t xml:space="preserve"> for this indicator</w:t>
            </w:r>
            <w:r w:rsidR="00260B59" w:rsidRPr="00AD4587">
              <w:t>:</w:t>
            </w:r>
          </w:p>
          <w:p w14:paraId="3282D406" w14:textId="6BB37AF0" w:rsidR="00260B59" w:rsidRDefault="00260B59" w:rsidP="003551D9">
            <w:pPr>
              <w:pStyle w:val="BoxListBullet"/>
            </w:pPr>
            <w:r w:rsidRPr="00AD4587">
              <w:t>some finalisations take a short time and require few resources, whereas other finalisations may be resource intensive and involve complicated trials and interlocutory decisions</w:t>
            </w:r>
          </w:p>
          <w:p w14:paraId="5F8028F2" w14:textId="5AA03C88" w:rsidR="00533F62" w:rsidRPr="001B5F68" w:rsidRDefault="00533F62">
            <w:pPr>
              <w:pStyle w:val="BoxListBullet"/>
            </w:pPr>
            <w:r w:rsidRPr="001B5F68">
              <w:t xml:space="preserve">additional staff may sometimes be appointed </w:t>
            </w:r>
            <w:r w:rsidRPr="001B5F68">
              <w:rPr>
                <w:rFonts w:cs="Arial"/>
              </w:rPr>
              <w:t>to undertake project work (</w:t>
            </w:r>
            <w:proofErr w:type="spellStart"/>
            <w:r w:rsidRPr="001B5F68">
              <w:rPr>
                <w:rFonts w:cs="Arial"/>
              </w:rPr>
              <w:t>eg.</w:t>
            </w:r>
            <w:proofErr w:type="spellEnd"/>
            <w:r w:rsidRPr="001B5F68">
              <w:rPr>
                <w:rFonts w:cs="Arial"/>
              </w:rPr>
              <w:t xml:space="preserve"> ICT or new buildings) or deliver restorative justice approaches (like liaison officers) that do not directly contribute to the resolution of cases</w:t>
            </w:r>
          </w:p>
          <w:p w14:paraId="600CB33C" w14:textId="77777777" w:rsidR="00260B59" w:rsidRDefault="00260B59" w:rsidP="003551D9">
            <w:pPr>
              <w:pStyle w:val="BoxListBullet"/>
            </w:pPr>
            <w:r w:rsidRPr="00AD4587">
              <w:t>factors such as geographical dispersion, court workload and population density are important considerations when comparing figures on FTE staff</w:t>
            </w:r>
            <w:r w:rsidR="00AB47AC">
              <w:t>.</w:t>
            </w:r>
          </w:p>
          <w:p w14:paraId="68CD38B7" w14:textId="77777777" w:rsidR="001C21B8" w:rsidRDefault="001C21B8" w:rsidP="001C21B8">
            <w:pPr>
              <w:pStyle w:val="Box"/>
            </w:pPr>
            <w:r>
              <w:t>Data reported for this indicator are:</w:t>
            </w:r>
          </w:p>
          <w:p w14:paraId="2405A2BE" w14:textId="362D4E77" w:rsidR="001C21B8" w:rsidRPr="000D77DB" w:rsidRDefault="001C21B8" w:rsidP="00A575D8">
            <w:pPr>
              <w:pStyle w:val="BoxListBullet"/>
              <w:numPr>
                <w:ilvl w:val="0"/>
                <w:numId w:val="0"/>
              </w:numPr>
              <w:ind w:left="284"/>
            </w:pPr>
            <w:r>
              <w:rPr>
                <w:color w:val="4F03B5"/>
                <w:shd w:val="clear" w:color="auto" w:fill="F15A25"/>
              </w:rPr>
              <w:t xml:space="preserve">    </w:t>
            </w:r>
            <w:r>
              <w:t xml:space="preserve"> </w:t>
            </w:r>
            <w:r w:rsidRPr="000D77DB">
              <w:t xml:space="preserve">comparable (subject to caveats) </w:t>
            </w:r>
            <w:r>
              <w:t xml:space="preserve">across </w:t>
            </w:r>
            <w:r w:rsidRPr="000D77DB">
              <w:t>jurisdictions</w:t>
            </w:r>
            <w:r>
              <w:t xml:space="preserve"> and over time</w:t>
            </w:r>
            <w:r w:rsidR="00821931">
              <w:t>.</w:t>
            </w:r>
          </w:p>
          <w:p w14:paraId="18E9CA48" w14:textId="3469CE07" w:rsidR="00967A44" w:rsidRPr="00584FFF" w:rsidRDefault="001C21B8" w:rsidP="000D1CB5">
            <w:pPr>
              <w:pStyle w:val="BoxListBullet"/>
              <w:numPr>
                <w:ilvl w:val="0"/>
                <w:numId w:val="0"/>
              </w:numPr>
              <w:ind w:left="284"/>
            </w:pPr>
            <w:r>
              <w:rPr>
                <w:color w:val="4F03B5"/>
                <w:shd w:val="clear" w:color="auto" w:fill="F15A25"/>
              </w:rPr>
              <w:t xml:space="preserve">    </w:t>
            </w:r>
            <w:r>
              <w:t xml:space="preserve"> </w:t>
            </w:r>
            <w:r w:rsidRPr="000D77DB">
              <w:t>complete (subject to caveats) for the current reportin</w:t>
            </w:r>
            <w:r w:rsidR="001B0298">
              <w:t>g period. All required 201</w:t>
            </w:r>
            <w:r w:rsidR="00CD4030">
              <w:t>9</w:t>
            </w:r>
            <w:r w:rsidR="001B0298">
              <w:t>-</w:t>
            </w:r>
            <w:r w:rsidR="00CD4030">
              <w:t>20</w:t>
            </w:r>
            <w:r>
              <w:t xml:space="preserve"> </w:t>
            </w:r>
            <w:r w:rsidRPr="000D77DB">
              <w:t>data</w:t>
            </w:r>
            <w:r w:rsidR="00A575D8">
              <w:t xml:space="preserve"> </w:t>
            </w:r>
            <w:r>
              <w:t xml:space="preserve">are </w:t>
            </w:r>
            <w:r w:rsidRPr="000D77DB">
              <w:t>available for all jurisdictions</w:t>
            </w:r>
            <w:r>
              <w:t>.</w:t>
            </w:r>
          </w:p>
        </w:tc>
      </w:tr>
      <w:tr w:rsidR="00967A44" w14:paraId="7EC19BC3" w14:textId="77777777" w:rsidTr="007547E9">
        <w:tc>
          <w:tcPr>
            <w:tcW w:w="8789" w:type="dxa"/>
            <w:tcBorders>
              <w:top w:val="nil"/>
              <w:left w:val="nil"/>
              <w:bottom w:val="single" w:sz="6" w:space="0" w:color="78A22F"/>
              <w:right w:val="nil"/>
            </w:tcBorders>
            <w:shd w:val="clear" w:color="auto" w:fill="F2F2F2"/>
          </w:tcPr>
          <w:p w14:paraId="21DEE345" w14:textId="77777777" w:rsidR="00967A44" w:rsidRDefault="00967A44" w:rsidP="007547E9">
            <w:pPr>
              <w:pStyle w:val="Box"/>
              <w:spacing w:before="0" w:line="120" w:lineRule="exact"/>
            </w:pPr>
          </w:p>
        </w:tc>
      </w:tr>
      <w:tr w:rsidR="00260B59" w:rsidRPr="000863A5" w14:paraId="0CC71A24" w14:textId="77777777" w:rsidTr="00B9240E">
        <w:tc>
          <w:tcPr>
            <w:tcW w:w="8789" w:type="dxa"/>
            <w:tcBorders>
              <w:top w:val="single" w:sz="6" w:space="0" w:color="78A22F"/>
              <w:left w:val="nil"/>
              <w:bottom w:val="nil"/>
              <w:right w:val="nil"/>
            </w:tcBorders>
          </w:tcPr>
          <w:p w14:paraId="500C8E97" w14:textId="77777777" w:rsidR="00260B59" w:rsidRPr="00626D32" w:rsidRDefault="00260B59" w:rsidP="003551D9">
            <w:pPr>
              <w:pStyle w:val="BoxSpaceBelow"/>
            </w:pPr>
          </w:p>
        </w:tc>
      </w:tr>
    </w:tbl>
    <w:p w14:paraId="20E5FB4F" w14:textId="77777777" w:rsidR="00B61C2A" w:rsidRDefault="00AB47AC" w:rsidP="00B61C2A">
      <w:pPr>
        <w:pStyle w:val="Heading4"/>
      </w:pPr>
      <w:bookmarkStart w:id="31" w:name="_Toc21937652"/>
      <w:r>
        <w:t>C</w:t>
      </w:r>
      <w:r w:rsidR="00B61C2A">
        <w:t>ost per finalisation</w:t>
      </w:r>
      <w:bookmarkEnd w:id="31"/>
    </w:p>
    <w:p w14:paraId="31E6D2F4" w14:textId="415C407E" w:rsidR="00D85B36" w:rsidRDefault="00B468FA" w:rsidP="00622974">
      <w:pPr>
        <w:pStyle w:val="BodyText"/>
      </w:pPr>
      <w:r w:rsidRPr="00F36779">
        <w:t>‘</w:t>
      </w:r>
      <w:r w:rsidR="00B61C2A" w:rsidRPr="00F36779">
        <w:t>Cost per finalisation</w:t>
      </w:r>
      <w:r w:rsidRPr="00F36779">
        <w:t>’ is a</w:t>
      </w:r>
      <w:r w:rsidR="00AB47AC">
        <w:t>n</w:t>
      </w:r>
      <w:r w:rsidRPr="00F36779">
        <w:t xml:space="preserve"> indicator of governments’</w:t>
      </w:r>
      <w:r w:rsidR="00340CB9" w:rsidRPr="00F36779">
        <w:t xml:space="preserve"> achievement against the</w:t>
      </w:r>
      <w:r w:rsidRPr="00F36779">
        <w:t xml:space="preserve"> objective </w:t>
      </w:r>
      <w:r w:rsidR="00340CB9" w:rsidRPr="00F36779">
        <w:t xml:space="preserve">of </w:t>
      </w:r>
      <w:r w:rsidRPr="00F36779">
        <w:t>provid</w:t>
      </w:r>
      <w:r w:rsidR="00340CB9" w:rsidRPr="00F36779">
        <w:t>ing</w:t>
      </w:r>
      <w:r w:rsidRPr="00F36779">
        <w:t xml:space="preserve"> court services in an efficient</w:t>
      </w:r>
      <w:r w:rsidR="00B61C2A" w:rsidRPr="00F36779">
        <w:t xml:space="preserve"> </w:t>
      </w:r>
      <w:r w:rsidRPr="00F36779">
        <w:t>manner</w:t>
      </w:r>
      <w:r w:rsidR="00B61C2A" w:rsidRPr="00F36779">
        <w:t xml:space="preserve"> (</w:t>
      </w:r>
      <w:r w:rsidR="00A76A9C" w:rsidRPr="00F36779">
        <w:t>box 7</w:t>
      </w:r>
      <w:r w:rsidR="00572B9F" w:rsidRPr="00F36779">
        <w:t>.1</w:t>
      </w:r>
      <w:r w:rsidR="00E65AD4">
        <w:t>6</w:t>
      </w:r>
      <w:r w:rsidR="00B61C2A" w:rsidRPr="00F36779">
        <w:t xml:space="preserve">). </w:t>
      </w:r>
    </w:p>
    <w:p w14:paraId="7F379887" w14:textId="77777777" w:rsidR="000033A3" w:rsidRDefault="000033A3">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0033A3" w14:paraId="3AFCC74E" w14:textId="77777777" w:rsidTr="00B9240E">
        <w:tc>
          <w:tcPr>
            <w:tcW w:w="8789" w:type="dxa"/>
            <w:tcBorders>
              <w:top w:val="single" w:sz="6" w:space="0" w:color="78A22F"/>
              <w:left w:val="nil"/>
              <w:bottom w:val="nil"/>
              <w:right w:val="nil"/>
            </w:tcBorders>
            <w:shd w:val="clear" w:color="auto" w:fill="F2F2F2" w:themeFill="background1" w:themeFillShade="F2"/>
          </w:tcPr>
          <w:p w14:paraId="12E37499" w14:textId="634821D3" w:rsidR="000033A3" w:rsidRPr="000033A3" w:rsidRDefault="000033A3" w:rsidP="00824B15">
            <w:pPr>
              <w:pStyle w:val="BoxTitle"/>
              <w:rPr>
                <w:b w:val="0"/>
              </w:rPr>
            </w:pPr>
            <w:r>
              <w:rPr>
                <w:b w:val="0"/>
              </w:rPr>
              <w:t>Box 7</w:t>
            </w:r>
            <w:r w:rsidR="00DD2492">
              <w:rPr>
                <w:b w:val="0"/>
              </w:rPr>
              <w:t>.1</w:t>
            </w:r>
            <w:r w:rsidR="00E65AD4">
              <w:rPr>
                <w:b w:val="0"/>
              </w:rPr>
              <w:t>6</w:t>
            </w:r>
            <w:r>
              <w:tab/>
            </w:r>
            <w:r w:rsidRPr="00916E0D">
              <w:t>Cost per finalisation</w:t>
            </w:r>
          </w:p>
        </w:tc>
      </w:tr>
      <w:tr w:rsidR="000033A3" w14:paraId="624ABAD9" w14:textId="77777777" w:rsidTr="00B9240E">
        <w:trPr>
          <w:cantSplit/>
        </w:trPr>
        <w:tc>
          <w:tcPr>
            <w:tcW w:w="8789" w:type="dxa"/>
            <w:tcBorders>
              <w:top w:val="nil"/>
              <w:left w:val="nil"/>
              <w:bottom w:val="nil"/>
              <w:right w:val="nil"/>
            </w:tcBorders>
            <w:shd w:val="clear" w:color="auto" w:fill="F2F2F2" w:themeFill="background1" w:themeFillShade="F2"/>
          </w:tcPr>
          <w:p w14:paraId="0E76DE3F" w14:textId="77777777" w:rsidR="000033A3" w:rsidRPr="00F36779" w:rsidRDefault="000033A3" w:rsidP="003551D9">
            <w:pPr>
              <w:pStyle w:val="Box"/>
            </w:pPr>
            <w:r w:rsidRPr="00F36779">
              <w:t>‘Cost per finalisation’</w:t>
            </w:r>
            <w:r w:rsidRPr="00584FFF">
              <w:t xml:space="preserve"> is measured by dividing the total recurrent expenditure (gross and net</w:t>
            </w:r>
            <w:r w:rsidR="008A2A9B">
              <w:t xml:space="preserve"> – </w:t>
            </w:r>
            <w:r w:rsidR="008A2A9B" w:rsidRPr="003117D8">
              <w:t>excluding payroll tax</w:t>
            </w:r>
            <w:r w:rsidRPr="00584FFF">
              <w:t>)</w:t>
            </w:r>
            <w:r w:rsidRPr="00F36779">
              <w:t xml:space="preserve"> within each court for the financial year by the total number of finalisations for the same period. This indicator is not a measure of the actual cost per case. </w:t>
            </w:r>
          </w:p>
          <w:p w14:paraId="0138C160" w14:textId="742340F1" w:rsidR="000033A3" w:rsidRPr="007E5F31" w:rsidRDefault="005058A2" w:rsidP="003551D9">
            <w:pPr>
              <w:pStyle w:val="Box"/>
            </w:pPr>
            <w:r w:rsidRPr="001B5F68">
              <w:t xml:space="preserve">All else being equal, lower expenditure per finalisation suggests greater efficiency. </w:t>
            </w:r>
            <w:proofErr w:type="gramStart"/>
            <w:r w:rsidRPr="001B5F68">
              <w:t>However</w:t>
            </w:r>
            <w:proofErr w:type="gramEnd"/>
            <w:r w:rsidRPr="001B5F68">
              <w:t xml:space="preserve"> efficiency data should be interpreted with caution</w:t>
            </w:r>
            <w:r w:rsidR="00682C5F" w:rsidRPr="001B5F68">
              <w:t xml:space="preserve"> as data could also reflect under-resourcing</w:t>
            </w:r>
            <w:r w:rsidRPr="001B5F68">
              <w:t>.</w:t>
            </w:r>
            <w:r>
              <w:t xml:space="preserve"> </w:t>
            </w:r>
            <w:r w:rsidR="000033A3" w:rsidRPr="00F36779">
              <w:t xml:space="preserve">The following points need to be considered in </w:t>
            </w:r>
            <w:r w:rsidR="000033A3" w:rsidRPr="004551C5">
              <w:t xml:space="preserve">interpreting </w:t>
            </w:r>
            <w:r w:rsidR="00AB47AC" w:rsidRPr="004551C5">
              <w:t>the</w:t>
            </w:r>
            <w:r w:rsidR="000033A3" w:rsidRPr="004551C5">
              <w:t xml:space="preserve"> results</w:t>
            </w:r>
            <w:r w:rsidR="00AB47AC" w:rsidRPr="004551C5">
              <w:t xml:space="preserve"> for this indicator</w:t>
            </w:r>
            <w:r w:rsidR="000033A3" w:rsidRPr="004551C5">
              <w:t>:</w:t>
            </w:r>
          </w:p>
          <w:p w14:paraId="795F32F9" w14:textId="65CB636D" w:rsidR="000033A3" w:rsidRDefault="000033A3" w:rsidP="003551D9">
            <w:pPr>
              <w:pStyle w:val="BoxListBullet"/>
            </w:pPr>
            <w:r w:rsidRPr="00F36779">
              <w:t>some finalisations take a short time and require few resources, whereas other finalisations may be resource intensive and involve complicated trials and interlocutory decisions</w:t>
            </w:r>
          </w:p>
          <w:p w14:paraId="46B233A0" w14:textId="3FEC2B7A" w:rsidR="00682C5F" w:rsidRPr="001B5F68" w:rsidRDefault="00682C5F">
            <w:pPr>
              <w:pStyle w:val="BoxListBullet"/>
            </w:pPr>
            <w:r w:rsidRPr="001B5F68">
              <w:t xml:space="preserve">additional funding may sometimes be allocated </w:t>
            </w:r>
            <w:r w:rsidRPr="001B5F68">
              <w:rPr>
                <w:rFonts w:cs="Arial"/>
              </w:rPr>
              <w:t>to undertake project work (</w:t>
            </w:r>
            <w:proofErr w:type="spellStart"/>
            <w:r w:rsidRPr="001B5F68">
              <w:rPr>
                <w:rFonts w:cs="Arial"/>
              </w:rPr>
              <w:t>eg.</w:t>
            </w:r>
            <w:proofErr w:type="spellEnd"/>
            <w:r w:rsidRPr="001B5F68">
              <w:rPr>
                <w:rFonts w:cs="Arial"/>
              </w:rPr>
              <w:t xml:space="preserve"> ICT or new buildings) or deliver restorative justice approaches (like liaison officers) that do not directly contribute to the resolution of cases</w:t>
            </w:r>
          </w:p>
          <w:p w14:paraId="54337604" w14:textId="77777777" w:rsidR="000033A3" w:rsidRPr="007E5F31" w:rsidRDefault="000033A3" w:rsidP="003551D9">
            <w:pPr>
              <w:pStyle w:val="BoxListBullet"/>
            </w:pPr>
            <w:r w:rsidRPr="00F36779">
              <w:t>expenditure data may include arbitrary allocation between criminal and civil jurisdictions</w:t>
            </w:r>
          </w:p>
          <w:p w14:paraId="1195874D" w14:textId="4A8FD596" w:rsidR="006D4FB3" w:rsidRPr="0057190D" w:rsidRDefault="000033A3" w:rsidP="00871574">
            <w:pPr>
              <w:pStyle w:val="BoxListBullet"/>
            </w:pPr>
            <w:r w:rsidRPr="00F36779">
              <w:t>net expenditure is calculated by deducting income (court fees</w:t>
            </w:r>
            <w:r w:rsidR="005951BA">
              <w:t xml:space="preserve"> and other sources of revenue, excluding fines</w:t>
            </w:r>
            <w:r w:rsidRPr="00F36779">
              <w:t>) from total expenditure</w:t>
            </w:r>
            <w:r w:rsidR="008628E2">
              <w:t xml:space="preserve">, and for </w:t>
            </w:r>
            <w:r w:rsidR="006D4FB3" w:rsidRPr="0057190D">
              <w:t xml:space="preserve">civil courts is impacted by court fee relief and exemptions </w:t>
            </w:r>
          </w:p>
          <w:p w14:paraId="30745962" w14:textId="77777777" w:rsidR="000033A3" w:rsidRPr="007E5F31" w:rsidRDefault="000033A3" w:rsidP="003551D9">
            <w:pPr>
              <w:pStyle w:val="BoxListBullet"/>
            </w:pPr>
            <w:proofErr w:type="gramStart"/>
            <w:r w:rsidRPr="00F36779">
              <w:t>a number of</w:t>
            </w:r>
            <w:proofErr w:type="gramEnd"/>
            <w:r w:rsidRPr="00F36779">
              <w:t xml:space="preserve"> factors are beyond the control of jurisdictions, such as geographic dispersion, economies of scale and socioeconomic factors</w:t>
            </w:r>
            <w:r w:rsidR="00AB47AC">
              <w:t>.</w:t>
            </w:r>
          </w:p>
          <w:p w14:paraId="7A95D838" w14:textId="77777777" w:rsidR="000033A3" w:rsidRDefault="000033A3" w:rsidP="003551D9">
            <w:pPr>
              <w:pStyle w:val="BoxListBullet"/>
              <w:numPr>
                <w:ilvl w:val="0"/>
                <w:numId w:val="0"/>
              </w:numPr>
            </w:pPr>
            <w:r w:rsidRPr="00F36779">
              <w:t>Data reported for this indicator are</w:t>
            </w:r>
            <w:r>
              <w:t>:</w:t>
            </w:r>
            <w:r w:rsidRPr="00F36779">
              <w:t xml:space="preserve"> </w:t>
            </w:r>
          </w:p>
          <w:p w14:paraId="4AEBB938" w14:textId="7D346119" w:rsidR="00E1772B" w:rsidRPr="00E1772B" w:rsidRDefault="00DF72A6" w:rsidP="00A575D8">
            <w:pPr>
              <w:pStyle w:val="BoxListBullet"/>
              <w:numPr>
                <w:ilvl w:val="0"/>
                <w:numId w:val="0"/>
              </w:numPr>
              <w:ind w:left="284"/>
              <w:rPr>
                <w:rFonts w:asciiTheme="minorHAnsi" w:hAnsiTheme="minorHAnsi" w:cstheme="minorHAnsi"/>
              </w:rPr>
            </w:pPr>
            <w:r w:rsidRPr="00DF72A6">
              <w:rPr>
                <w:color w:val="4F03B5"/>
                <w:shd w:val="clear" w:color="auto" w:fill="FCDED3"/>
              </w:rPr>
              <w:t xml:space="preserve">    </w:t>
            </w:r>
            <w:r>
              <w:t xml:space="preserve"> </w:t>
            </w:r>
            <w:r w:rsidR="00C920F1" w:rsidRPr="00E1772B">
              <w:rPr>
                <w:rFonts w:asciiTheme="minorHAnsi" w:hAnsiTheme="minorHAnsi" w:cstheme="minorHAnsi"/>
              </w:rPr>
              <w:t>not comparable</w:t>
            </w:r>
            <w:r w:rsidR="00C920F1">
              <w:rPr>
                <w:rFonts w:asciiTheme="minorHAnsi" w:hAnsiTheme="minorHAnsi" w:cstheme="minorHAnsi"/>
              </w:rPr>
              <w:t xml:space="preserve"> </w:t>
            </w:r>
            <w:r w:rsidR="00C920F1" w:rsidRPr="00E1772B">
              <w:rPr>
                <w:rFonts w:asciiTheme="minorHAnsi" w:hAnsiTheme="minorHAnsi" w:cstheme="minorHAnsi"/>
              </w:rPr>
              <w:t xml:space="preserve">across </w:t>
            </w:r>
            <w:proofErr w:type="gramStart"/>
            <w:r w:rsidR="00C920F1" w:rsidRPr="00E1772B">
              <w:rPr>
                <w:rFonts w:asciiTheme="minorHAnsi" w:hAnsiTheme="minorHAnsi" w:cstheme="minorHAnsi"/>
              </w:rPr>
              <w:t>jurisdictions</w:t>
            </w:r>
            <w:r w:rsidR="00C920F1">
              <w:rPr>
                <w:rFonts w:asciiTheme="minorHAnsi" w:hAnsiTheme="minorHAnsi" w:cstheme="minorHAnsi"/>
              </w:rPr>
              <w:t>, but</w:t>
            </w:r>
            <w:proofErr w:type="gramEnd"/>
            <w:r w:rsidR="00C920F1">
              <w:rPr>
                <w:rFonts w:asciiTheme="minorHAnsi" w:hAnsiTheme="minorHAnsi" w:cstheme="minorHAnsi"/>
              </w:rPr>
              <w:t xml:space="preserve"> are</w:t>
            </w:r>
            <w:r w:rsidR="00C920F1" w:rsidRPr="000D77DB">
              <w:t xml:space="preserve"> </w:t>
            </w:r>
            <w:r w:rsidR="00E1772B" w:rsidRPr="000D77DB">
              <w:t xml:space="preserve">comparable (subject to caveats) </w:t>
            </w:r>
            <w:r w:rsidR="00E1772B">
              <w:t xml:space="preserve">within </w:t>
            </w:r>
            <w:r w:rsidR="00E1772B" w:rsidRPr="000D77DB">
              <w:t>jurisdictions</w:t>
            </w:r>
            <w:r w:rsidR="00E1772B">
              <w:t xml:space="preserve"> over </w:t>
            </w:r>
            <w:r w:rsidR="00C920F1">
              <w:rPr>
                <w:rFonts w:asciiTheme="minorHAnsi" w:hAnsiTheme="minorHAnsi" w:cstheme="minorHAnsi"/>
              </w:rPr>
              <w:t>time</w:t>
            </w:r>
            <w:r>
              <w:rPr>
                <w:rFonts w:asciiTheme="minorHAnsi" w:hAnsiTheme="minorHAnsi" w:cstheme="minorHAnsi"/>
              </w:rPr>
              <w:t>.</w:t>
            </w:r>
          </w:p>
          <w:p w14:paraId="25344BC0" w14:textId="355056EE" w:rsidR="00967A44" w:rsidRPr="00E1772B" w:rsidRDefault="00DF72A6" w:rsidP="0089625F">
            <w:pPr>
              <w:pStyle w:val="BoxListBullet"/>
              <w:numPr>
                <w:ilvl w:val="0"/>
                <w:numId w:val="0"/>
              </w:numPr>
              <w:ind w:left="284"/>
            </w:pPr>
            <w:r w:rsidRPr="00DF72A6">
              <w:rPr>
                <w:color w:val="4F03B5"/>
                <w:shd w:val="clear" w:color="auto" w:fill="F15A25"/>
              </w:rPr>
              <w:t xml:space="preserve">    </w:t>
            </w:r>
            <w:r>
              <w:t xml:space="preserve"> </w:t>
            </w:r>
            <w:r w:rsidR="00E1772B" w:rsidRPr="000D77DB">
              <w:t>complete (subject to caveats) for the current reportin</w:t>
            </w:r>
            <w:r w:rsidR="001B0298">
              <w:t>g period. All required 201</w:t>
            </w:r>
            <w:r w:rsidR="00CD4030">
              <w:t>9</w:t>
            </w:r>
            <w:r w:rsidR="001B0298">
              <w:t>-</w:t>
            </w:r>
            <w:r w:rsidR="00CD4030">
              <w:t>20</w:t>
            </w:r>
            <w:r w:rsidR="00E1772B">
              <w:t xml:space="preserve"> </w:t>
            </w:r>
            <w:r w:rsidR="00E1772B" w:rsidRPr="000D77DB">
              <w:t>data</w:t>
            </w:r>
            <w:r w:rsidR="00A575D8">
              <w:t xml:space="preserve"> </w:t>
            </w:r>
            <w:r w:rsidR="00E1772B">
              <w:t xml:space="preserve">are </w:t>
            </w:r>
            <w:r w:rsidR="00E1772B" w:rsidRPr="000D77DB">
              <w:t>available for all jurisdictions</w:t>
            </w:r>
            <w:r w:rsidR="00E1772B">
              <w:t>.</w:t>
            </w:r>
          </w:p>
        </w:tc>
      </w:tr>
      <w:tr w:rsidR="00967A44" w14:paraId="0189DA7D" w14:textId="77777777" w:rsidTr="007547E9">
        <w:tc>
          <w:tcPr>
            <w:tcW w:w="8789" w:type="dxa"/>
            <w:tcBorders>
              <w:top w:val="nil"/>
              <w:left w:val="nil"/>
              <w:bottom w:val="single" w:sz="6" w:space="0" w:color="78A22F"/>
              <w:right w:val="nil"/>
            </w:tcBorders>
            <w:shd w:val="clear" w:color="auto" w:fill="F2F2F2"/>
          </w:tcPr>
          <w:p w14:paraId="67B40DFF" w14:textId="77777777" w:rsidR="00967A44" w:rsidRDefault="00967A44" w:rsidP="007547E9">
            <w:pPr>
              <w:pStyle w:val="Box"/>
              <w:spacing w:before="0" w:line="120" w:lineRule="exact"/>
            </w:pPr>
          </w:p>
        </w:tc>
      </w:tr>
      <w:tr w:rsidR="000033A3" w:rsidRPr="000863A5" w14:paraId="55687E96" w14:textId="77777777" w:rsidTr="00B9240E">
        <w:tc>
          <w:tcPr>
            <w:tcW w:w="8789" w:type="dxa"/>
            <w:tcBorders>
              <w:top w:val="single" w:sz="6" w:space="0" w:color="78A22F"/>
              <w:left w:val="nil"/>
              <w:bottom w:val="nil"/>
              <w:right w:val="nil"/>
            </w:tcBorders>
          </w:tcPr>
          <w:p w14:paraId="67EEF637" w14:textId="77777777" w:rsidR="000033A3" w:rsidRPr="00626D32" w:rsidRDefault="000033A3" w:rsidP="003551D9">
            <w:pPr>
              <w:pStyle w:val="BoxSpaceBelow"/>
            </w:pPr>
          </w:p>
        </w:tc>
      </w:tr>
    </w:tbl>
    <w:p w14:paraId="73E68E3A" w14:textId="77777777" w:rsidR="00F166F5" w:rsidRDefault="00F166F5" w:rsidP="005E4E11">
      <w:pPr>
        <w:pStyle w:val="Heading3"/>
      </w:pPr>
      <w:bookmarkStart w:id="32" w:name="_Toc21937653"/>
      <w:r>
        <w:t>Outcomes</w:t>
      </w:r>
      <w:bookmarkEnd w:id="32"/>
    </w:p>
    <w:p w14:paraId="7F1DDEF2" w14:textId="462F57B0" w:rsidR="005C1E0E" w:rsidRDefault="005C1E0E" w:rsidP="005C1E0E">
      <w:pPr>
        <w:pStyle w:val="BodyText"/>
        <w:rPr>
          <w:szCs w:val="26"/>
        </w:rPr>
      </w:pPr>
      <w:r>
        <w:rPr>
          <w:szCs w:val="26"/>
        </w:rPr>
        <w:t>Outcomes are the impact of services on the status of an individual or group (while outputs are the actual services delivered) (see section 1).</w:t>
      </w:r>
    </w:p>
    <w:p w14:paraId="16ADECA2" w14:textId="77777777" w:rsidR="000426A1" w:rsidRPr="00E75996" w:rsidRDefault="000426A1" w:rsidP="000426A1">
      <w:pPr>
        <w:pStyle w:val="Heading4"/>
      </w:pPr>
      <w:bookmarkStart w:id="33" w:name="_Toc21937654"/>
      <w:r>
        <w:t>Perceptions of court integrity</w:t>
      </w:r>
      <w:bookmarkEnd w:id="33"/>
    </w:p>
    <w:p w14:paraId="6EEB2A59" w14:textId="6ADC08FD" w:rsidR="00573C2B" w:rsidRDefault="000426A1" w:rsidP="003D4B51">
      <w:pPr>
        <w:pStyle w:val="BodyText"/>
      </w:pPr>
      <w:r>
        <w:t>‘Perceptions of court integrity’ is an indicator of government’s objective to encourage public confidenc</w:t>
      </w:r>
      <w:r w:rsidR="00B749F3">
        <w:t>e and trust in the courts (</w:t>
      </w:r>
      <w:r w:rsidR="00BA7230">
        <w:t>b</w:t>
      </w:r>
      <w:r w:rsidR="00E65AD4">
        <w:t>ox 7.17</w:t>
      </w:r>
      <w:r w:rsidR="00573C2B" w:rsidRPr="00573C2B">
        <w:t xml:space="preserve">). </w:t>
      </w:r>
      <w:r w:rsidR="00B749F3">
        <w:t>Community confidence and trust in the fairness and equality of court processes and procedures is integral to a willingness to engage with courts and comply with court outcomes. High levels of perceived integrity of courts is an indicator of community confidence and trust that courts treat people fairly and appropriately and that court processes are administered in a consistent and unbiased manner.</w:t>
      </w:r>
    </w:p>
    <w:p w14:paraId="00FEC7FC" w14:textId="5CF049B8" w:rsidR="000426A1" w:rsidRDefault="000426A1" w:rsidP="000426A1">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0426A1" w14:paraId="54CB68CD" w14:textId="77777777" w:rsidTr="00B9240E">
        <w:tc>
          <w:tcPr>
            <w:tcW w:w="8789" w:type="dxa"/>
            <w:tcBorders>
              <w:top w:val="single" w:sz="6" w:space="0" w:color="78A22F"/>
              <w:left w:val="nil"/>
              <w:bottom w:val="nil"/>
              <w:right w:val="nil"/>
            </w:tcBorders>
            <w:shd w:val="clear" w:color="auto" w:fill="F2F2F2"/>
          </w:tcPr>
          <w:p w14:paraId="494AC744" w14:textId="6C2965A6" w:rsidR="000426A1" w:rsidRDefault="000426A1" w:rsidP="00B749F3">
            <w:pPr>
              <w:pStyle w:val="BoxTitle"/>
            </w:pPr>
            <w:r>
              <w:rPr>
                <w:b w:val="0"/>
              </w:rPr>
              <w:t xml:space="preserve">Box </w:t>
            </w:r>
            <w:r w:rsidR="00E65AD4">
              <w:rPr>
                <w:b w:val="0"/>
              </w:rPr>
              <w:t>7.17</w:t>
            </w:r>
            <w:r>
              <w:tab/>
              <w:t>Perceptions of court integrity</w:t>
            </w:r>
          </w:p>
        </w:tc>
      </w:tr>
      <w:tr w:rsidR="000426A1" w14:paraId="48B43709" w14:textId="77777777" w:rsidTr="00B9240E">
        <w:tc>
          <w:tcPr>
            <w:tcW w:w="8789" w:type="dxa"/>
            <w:tcBorders>
              <w:top w:val="nil"/>
              <w:left w:val="nil"/>
              <w:bottom w:val="nil"/>
              <w:right w:val="nil"/>
            </w:tcBorders>
            <w:shd w:val="clear" w:color="auto" w:fill="F2F2F2"/>
          </w:tcPr>
          <w:p w14:paraId="1A805166" w14:textId="77777777" w:rsidR="000426A1" w:rsidRDefault="000426A1" w:rsidP="00AC2754">
            <w:pPr>
              <w:pStyle w:val="Box"/>
            </w:pPr>
            <w:r>
              <w:t>‘Perceptions of court integrity’ is defined as the proportion of the community who believe that courts in Australia treat people fairly, equally and respectfully.</w:t>
            </w:r>
          </w:p>
          <w:p w14:paraId="47BF7020" w14:textId="77777777" w:rsidR="000426A1" w:rsidRDefault="000426A1" w:rsidP="00AC2754">
            <w:pPr>
              <w:pStyle w:val="Box"/>
            </w:pPr>
            <w:r>
              <w:t>High or increasing proportions of perceived court integrity are desirable.</w:t>
            </w:r>
          </w:p>
          <w:p w14:paraId="163D4CB3" w14:textId="77777777" w:rsidR="000426A1" w:rsidRDefault="000426A1" w:rsidP="00AC2754">
            <w:pPr>
              <w:pStyle w:val="Box"/>
            </w:pPr>
            <w:r>
              <w:t>Data are not yet available for reporting against this indicator.</w:t>
            </w:r>
          </w:p>
        </w:tc>
      </w:tr>
      <w:tr w:rsidR="000426A1" w14:paraId="33593734" w14:textId="77777777" w:rsidTr="00B9240E">
        <w:tc>
          <w:tcPr>
            <w:tcW w:w="8789" w:type="dxa"/>
            <w:tcBorders>
              <w:top w:val="nil"/>
              <w:left w:val="nil"/>
              <w:bottom w:val="single" w:sz="6" w:space="0" w:color="78A22F"/>
              <w:right w:val="nil"/>
            </w:tcBorders>
            <w:shd w:val="clear" w:color="auto" w:fill="F2F2F2"/>
          </w:tcPr>
          <w:p w14:paraId="44B01D1A" w14:textId="77777777" w:rsidR="000426A1" w:rsidRDefault="000426A1" w:rsidP="00AC2754">
            <w:pPr>
              <w:pStyle w:val="Box"/>
              <w:spacing w:before="0" w:line="120" w:lineRule="exact"/>
            </w:pPr>
          </w:p>
        </w:tc>
      </w:tr>
    </w:tbl>
    <w:p w14:paraId="00A787AF" w14:textId="09490791" w:rsidR="000426A1" w:rsidRDefault="000426A1" w:rsidP="000426A1">
      <w:pPr>
        <w:pStyle w:val="BoxSpaceAbove"/>
        <w:spacing w:before="0"/>
      </w:pPr>
    </w:p>
    <w:p w14:paraId="64BDA072" w14:textId="3C52B576" w:rsidR="005C1E0E" w:rsidRDefault="004A462E" w:rsidP="004A462E">
      <w:pPr>
        <w:pStyle w:val="Heading3"/>
      </w:pPr>
      <w:bookmarkStart w:id="34" w:name="_Toc21937655"/>
      <w:bookmarkStart w:id="35" w:name="_Toc340063215"/>
      <w:bookmarkStart w:id="36" w:name="_Toc458687992"/>
      <w:r>
        <w:t xml:space="preserve">7.3 </w:t>
      </w:r>
      <w:r w:rsidR="005C1E0E">
        <w:t xml:space="preserve">Homicide and related offences </w:t>
      </w:r>
      <w:r w:rsidR="005C1E0E" w:rsidRPr="00D93C46">
        <w:t>— selected indicators</w:t>
      </w:r>
      <w:bookmarkEnd w:id="34"/>
    </w:p>
    <w:p w14:paraId="59C12EB9" w14:textId="77777777" w:rsidR="005C1E0E" w:rsidRPr="00C4205E" w:rsidRDefault="005C1E0E" w:rsidP="005C1E0E">
      <w:pPr>
        <w:pStyle w:val="BodyText"/>
      </w:pPr>
      <w:r>
        <w:t>C</w:t>
      </w:r>
      <w:r w:rsidRPr="00C4205E">
        <w:t>ase</w:t>
      </w:r>
      <w:r>
        <w:t>-</w:t>
      </w:r>
      <w:r w:rsidRPr="00C4205E">
        <w:t>type ca</w:t>
      </w:r>
      <w:r>
        <w:t xml:space="preserve">n have a significant impact on </w:t>
      </w:r>
      <w:r w:rsidRPr="00C4205E">
        <w:t>performance against certain indicators – some case</w:t>
      </w:r>
      <w:r>
        <w:t>-</w:t>
      </w:r>
      <w:r w:rsidRPr="00C4205E">
        <w:t>types will inherently require more court time and judicial resources than other case types, which may impact o</w:t>
      </w:r>
      <w:r>
        <w:t xml:space="preserve">n backlog and clearance results. </w:t>
      </w:r>
      <w:r w:rsidRPr="00C4205E">
        <w:t xml:space="preserve">Aggregating performance across all case-types can mask differences in case composition between jurisdictions and court levels. </w:t>
      </w:r>
    </w:p>
    <w:p w14:paraId="632A4BF7" w14:textId="27FFA094" w:rsidR="005C1E0E" w:rsidRPr="008520CE" w:rsidRDefault="005C1E0E" w:rsidP="005C1E0E">
      <w:pPr>
        <w:pStyle w:val="BodyText"/>
      </w:pPr>
      <w:r w:rsidRPr="008520CE">
        <w:t xml:space="preserve">Homicide data have been selected to be presented by indicator in the </w:t>
      </w:r>
      <w:r w:rsidR="00DB6701">
        <w:t>section</w:t>
      </w:r>
      <w:r w:rsidRPr="008520CE">
        <w:t xml:space="preserve"> because of the serio</w:t>
      </w:r>
      <w:r w:rsidR="00E65AD4">
        <w:t>usness of the offence. Table 7.2</w:t>
      </w:r>
      <w:r w:rsidRPr="008520CE">
        <w:t xml:space="preserve"> presents indicator data for backlog, attendance and clearance results for homicide and related matters processed by the Supreme, District, Magistrates</w:t>
      </w:r>
      <w:r>
        <w:t>’</w:t>
      </w:r>
      <w:r w:rsidRPr="008520CE">
        <w:t xml:space="preserve"> and Children’s courts during 201</w:t>
      </w:r>
      <w:r w:rsidR="00CC1EE1">
        <w:t>9</w:t>
      </w:r>
      <w:r>
        <w:rPr>
          <w:color w:val="000000" w:themeColor="text1"/>
        </w:rPr>
        <w:t>-</w:t>
      </w:r>
      <w:r w:rsidR="00CC1EE1">
        <w:t>20</w:t>
      </w:r>
      <w:r w:rsidRPr="008520CE">
        <w:t xml:space="preserve">. Given that homicide-related </w:t>
      </w:r>
      <w:proofErr w:type="spellStart"/>
      <w:r w:rsidRPr="008520CE">
        <w:t>lodgments</w:t>
      </w:r>
      <w:proofErr w:type="spellEnd"/>
      <w:r w:rsidRPr="008520CE">
        <w:t xml:space="preserve"> are generally </w:t>
      </w:r>
      <w:proofErr w:type="gramStart"/>
      <w:r w:rsidRPr="008520CE">
        <w:t>small in number</w:t>
      </w:r>
      <w:proofErr w:type="gramEnd"/>
      <w:r w:rsidRPr="008520CE">
        <w:t xml:space="preserve">, percentages in the table should be interpreted with caution. </w:t>
      </w:r>
    </w:p>
    <w:p w14:paraId="68B13DFC" w14:textId="77777777" w:rsidR="005C1E0E" w:rsidRDefault="005C1E0E" w:rsidP="005C1E0E">
      <w:pPr>
        <w:pStyle w:val="BodyText"/>
      </w:pPr>
      <w:r w:rsidRPr="008520CE">
        <w:t xml:space="preserve">A </w:t>
      </w:r>
      <w:proofErr w:type="spellStart"/>
      <w:r w:rsidRPr="008520CE">
        <w:t>lodgment</w:t>
      </w:r>
      <w:proofErr w:type="spellEnd"/>
      <w:r w:rsidRPr="008520CE">
        <w:t xml:space="preserve"> for homicide is counted where any criminal matter initiated, commenced, lodged or filed in a </w:t>
      </w:r>
      <w:proofErr w:type="gramStart"/>
      <w:r w:rsidRPr="008520CE">
        <w:t>particular court</w:t>
      </w:r>
      <w:proofErr w:type="gramEnd"/>
      <w:r w:rsidRPr="008520CE">
        <w:t xml:space="preserve"> level includes a charge of murder, attempted murder, manslaughter or driving causing death. </w:t>
      </w:r>
      <w:proofErr w:type="spellStart"/>
      <w:r w:rsidRPr="008520CE">
        <w:t>Lodgments</w:t>
      </w:r>
      <w:proofErr w:type="spellEnd"/>
      <w:r w:rsidRPr="008520CE">
        <w:t xml:space="preserve"> are based on a count of defendants, not a count of charges (a defendant may have multiple charges) and are counted independently at each court level. The charge(s) against a defendant may change once a matter has been lodged in the courts and proceeds through the court process and the data do not reflect </w:t>
      </w:r>
      <w:proofErr w:type="gramStart"/>
      <w:r w:rsidRPr="008520CE">
        <w:t>whether or not</w:t>
      </w:r>
      <w:proofErr w:type="gramEnd"/>
      <w:r w:rsidRPr="008520CE">
        <w:t xml:space="preserve"> a defendant has been found guilty. </w:t>
      </w:r>
    </w:p>
    <w:p w14:paraId="149640BF" w14:textId="77777777" w:rsidR="005C1E0E" w:rsidRDefault="005C1E0E" w:rsidP="005C1E0E">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5C1E0E" w14:paraId="72E57655" w14:textId="77777777" w:rsidTr="009D7BD3">
        <w:tc>
          <w:tcPr>
            <w:tcW w:w="8789" w:type="dxa"/>
            <w:tcBorders>
              <w:top w:val="single" w:sz="6" w:space="0" w:color="78A22F" w:themeColor="accent1"/>
              <w:left w:val="nil"/>
              <w:bottom w:val="nil"/>
              <w:right w:val="nil"/>
            </w:tcBorders>
            <w:shd w:val="clear" w:color="auto" w:fill="auto"/>
          </w:tcPr>
          <w:p w14:paraId="633E94F5" w14:textId="2874B13C" w:rsidR="005C1E0E" w:rsidRPr="00784A05" w:rsidRDefault="00E65AD4" w:rsidP="00FA7F1F">
            <w:pPr>
              <w:pStyle w:val="TableTitle"/>
              <w:rPr>
                <w:lang w:eastAsia="en-US"/>
              </w:rPr>
            </w:pPr>
            <w:r>
              <w:rPr>
                <w:b w:val="0"/>
              </w:rPr>
              <w:t>Table 7.2</w:t>
            </w:r>
            <w:r w:rsidR="005C1E0E">
              <w:tab/>
              <w:t>Homicide and related offences</w:t>
            </w:r>
            <w:r w:rsidR="005C1E0E" w:rsidRPr="009B1B80">
              <w:t xml:space="preserve">, </w:t>
            </w:r>
            <w:r w:rsidR="005C1E0E" w:rsidRPr="002E130E">
              <w:t>201</w:t>
            </w:r>
            <w:r w:rsidR="001B4876" w:rsidRPr="002E130E">
              <w:t>9</w:t>
            </w:r>
            <w:r w:rsidR="005C1E0E" w:rsidRPr="002E130E">
              <w:t>-</w:t>
            </w:r>
            <w:r w:rsidR="001B4876" w:rsidRPr="002E130E">
              <w:t>20</w:t>
            </w:r>
            <w:r w:rsidR="005C1E0E" w:rsidRPr="002E130E">
              <w:rPr>
                <w:rStyle w:val="NoteLabel"/>
                <w:b/>
              </w:rPr>
              <w:t>a</w:t>
            </w:r>
          </w:p>
        </w:tc>
      </w:tr>
      <w:tr w:rsidR="005C1E0E" w14:paraId="2A3202FD" w14:textId="77777777" w:rsidTr="00174944">
        <w:trPr>
          <w:cantSplit/>
        </w:trPr>
        <w:tc>
          <w:tcPr>
            <w:tcW w:w="8789" w:type="dxa"/>
            <w:tcBorders>
              <w:top w:val="nil"/>
              <w:left w:val="nil"/>
              <w:bottom w:val="nil"/>
              <w:right w:val="nil"/>
            </w:tcBorders>
            <w:shd w:val="clear" w:color="auto" w:fill="auto"/>
          </w:tcPr>
          <w:tbl>
            <w:tblPr>
              <w:tblW w:w="8489" w:type="dxa"/>
              <w:tblLayout w:type="fixed"/>
              <w:tblCellMar>
                <w:left w:w="0" w:type="dxa"/>
                <w:right w:w="0" w:type="dxa"/>
              </w:tblCellMar>
              <w:tblLook w:val="0000" w:firstRow="0" w:lastRow="0" w:firstColumn="0" w:lastColumn="0" w:noHBand="0" w:noVBand="0"/>
            </w:tblPr>
            <w:tblGrid>
              <w:gridCol w:w="1681"/>
              <w:gridCol w:w="530"/>
              <w:gridCol w:w="985"/>
              <w:gridCol w:w="912"/>
              <w:gridCol w:w="789"/>
              <w:gridCol w:w="718"/>
              <w:gridCol w:w="718"/>
              <w:gridCol w:w="718"/>
              <w:gridCol w:w="718"/>
              <w:gridCol w:w="720"/>
            </w:tblGrid>
            <w:tr w:rsidR="00DB71D4" w:rsidRPr="00013DF9" w14:paraId="60197D16" w14:textId="77777777" w:rsidTr="00D751B8">
              <w:tc>
                <w:tcPr>
                  <w:tcW w:w="990" w:type="pct"/>
                  <w:tcBorders>
                    <w:top w:val="single" w:sz="6" w:space="0" w:color="BFBFBF"/>
                    <w:bottom w:val="single" w:sz="6" w:space="0" w:color="BFBFBF"/>
                  </w:tcBorders>
                  <w:shd w:val="clear" w:color="auto" w:fill="auto"/>
                </w:tcPr>
                <w:p w14:paraId="0E05FF2A" w14:textId="77777777" w:rsidR="00DB71D4" w:rsidRPr="00013DF9" w:rsidRDefault="00DB71D4" w:rsidP="00DB71D4">
                  <w:pPr>
                    <w:pStyle w:val="TableColumnHeading"/>
                    <w:ind w:left="0" w:right="28"/>
                    <w:jc w:val="left"/>
                  </w:pPr>
                </w:p>
              </w:tc>
              <w:tc>
                <w:tcPr>
                  <w:tcW w:w="312" w:type="pct"/>
                  <w:tcBorders>
                    <w:top w:val="single" w:sz="6" w:space="0" w:color="BFBFBF"/>
                    <w:bottom w:val="single" w:sz="6" w:space="0" w:color="BFBFBF"/>
                  </w:tcBorders>
                </w:tcPr>
                <w:p w14:paraId="171AACFA" w14:textId="77777777" w:rsidR="00DB71D4" w:rsidRPr="00013DF9" w:rsidRDefault="00DB71D4" w:rsidP="00DB71D4">
                  <w:pPr>
                    <w:pStyle w:val="TableColumnHeading"/>
                    <w:ind w:left="0" w:right="28"/>
                  </w:pPr>
                  <w:r>
                    <w:t>U</w:t>
                  </w:r>
                  <w:r w:rsidRPr="00013DF9">
                    <w:t>nit</w:t>
                  </w:r>
                </w:p>
              </w:tc>
              <w:tc>
                <w:tcPr>
                  <w:tcW w:w="580" w:type="pct"/>
                  <w:tcBorders>
                    <w:top w:val="single" w:sz="6" w:space="0" w:color="BFBFBF"/>
                    <w:bottom w:val="single" w:sz="6" w:space="0" w:color="BFBFBF"/>
                  </w:tcBorders>
                  <w:shd w:val="clear" w:color="auto" w:fill="auto"/>
                </w:tcPr>
                <w:p w14:paraId="756AA791" w14:textId="77777777" w:rsidR="00DB71D4" w:rsidRPr="00013DF9" w:rsidRDefault="00DB71D4" w:rsidP="00DB71D4">
                  <w:pPr>
                    <w:pStyle w:val="TableColumnHeading"/>
                    <w:ind w:left="0" w:right="28"/>
                  </w:pPr>
                  <w:r w:rsidRPr="00013DF9">
                    <w:t>NSW</w:t>
                  </w:r>
                </w:p>
              </w:tc>
              <w:tc>
                <w:tcPr>
                  <w:tcW w:w="537" w:type="pct"/>
                  <w:tcBorders>
                    <w:top w:val="single" w:sz="6" w:space="0" w:color="BFBFBF"/>
                    <w:bottom w:val="single" w:sz="6" w:space="0" w:color="BFBFBF"/>
                  </w:tcBorders>
                  <w:shd w:val="clear" w:color="auto" w:fill="auto"/>
                </w:tcPr>
                <w:p w14:paraId="17AB6116" w14:textId="77777777" w:rsidR="00DB71D4" w:rsidRPr="00013DF9" w:rsidRDefault="00DB71D4" w:rsidP="00DB71D4">
                  <w:pPr>
                    <w:pStyle w:val="TableColumnHeading"/>
                    <w:ind w:left="0" w:right="28"/>
                  </w:pPr>
                  <w:r w:rsidRPr="00013DF9">
                    <w:t>Vic</w:t>
                  </w:r>
                </w:p>
              </w:tc>
              <w:tc>
                <w:tcPr>
                  <w:tcW w:w="465" w:type="pct"/>
                  <w:tcBorders>
                    <w:top w:val="single" w:sz="6" w:space="0" w:color="BFBFBF"/>
                    <w:bottom w:val="single" w:sz="6" w:space="0" w:color="BFBFBF"/>
                  </w:tcBorders>
                  <w:shd w:val="clear" w:color="auto" w:fill="auto"/>
                </w:tcPr>
                <w:p w14:paraId="24B842C4" w14:textId="77777777" w:rsidR="00DB71D4" w:rsidRPr="00013DF9" w:rsidRDefault="00DB71D4" w:rsidP="00DB71D4">
                  <w:pPr>
                    <w:pStyle w:val="TableColumnHeading"/>
                    <w:ind w:left="0" w:right="28"/>
                  </w:pPr>
                  <w:r w:rsidRPr="00013DF9">
                    <w:t>Qld</w:t>
                  </w:r>
                  <w:r>
                    <w:t xml:space="preserve"> (b)</w:t>
                  </w:r>
                </w:p>
              </w:tc>
              <w:tc>
                <w:tcPr>
                  <w:tcW w:w="423" w:type="pct"/>
                  <w:tcBorders>
                    <w:top w:val="single" w:sz="6" w:space="0" w:color="BFBFBF"/>
                    <w:bottom w:val="single" w:sz="6" w:space="0" w:color="BFBFBF"/>
                  </w:tcBorders>
                  <w:shd w:val="clear" w:color="auto" w:fill="auto"/>
                </w:tcPr>
                <w:p w14:paraId="4BE60E67" w14:textId="77777777" w:rsidR="00DB71D4" w:rsidRPr="00013DF9" w:rsidRDefault="00DB71D4" w:rsidP="00DB71D4">
                  <w:pPr>
                    <w:pStyle w:val="TableColumnHeading"/>
                    <w:ind w:left="0" w:right="28"/>
                  </w:pPr>
                  <w:r w:rsidRPr="00013DF9">
                    <w:t>WA</w:t>
                  </w:r>
                </w:p>
              </w:tc>
              <w:tc>
                <w:tcPr>
                  <w:tcW w:w="423" w:type="pct"/>
                  <w:tcBorders>
                    <w:top w:val="single" w:sz="6" w:space="0" w:color="BFBFBF"/>
                    <w:bottom w:val="single" w:sz="6" w:space="0" w:color="BFBFBF"/>
                  </w:tcBorders>
                  <w:shd w:val="clear" w:color="auto" w:fill="auto"/>
                </w:tcPr>
                <w:p w14:paraId="53C35DE8" w14:textId="77777777" w:rsidR="00DB71D4" w:rsidRPr="00013DF9" w:rsidRDefault="00DB71D4" w:rsidP="00DB71D4">
                  <w:pPr>
                    <w:pStyle w:val="TableColumnHeading"/>
                    <w:ind w:left="0" w:right="28"/>
                  </w:pPr>
                  <w:r w:rsidRPr="00013DF9">
                    <w:t>SA</w:t>
                  </w:r>
                </w:p>
              </w:tc>
              <w:tc>
                <w:tcPr>
                  <w:tcW w:w="423" w:type="pct"/>
                  <w:tcBorders>
                    <w:top w:val="single" w:sz="6" w:space="0" w:color="BFBFBF"/>
                    <w:bottom w:val="single" w:sz="6" w:space="0" w:color="BFBFBF"/>
                  </w:tcBorders>
                  <w:shd w:val="clear" w:color="auto" w:fill="auto"/>
                </w:tcPr>
                <w:p w14:paraId="08F67AFB" w14:textId="77777777" w:rsidR="00DB71D4" w:rsidRPr="00013DF9" w:rsidRDefault="00DB71D4" w:rsidP="00DB71D4">
                  <w:pPr>
                    <w:pStyle w:val="TableColumnHeading"/>
                    <w:ind w:left="0" w:right="28"/>
                  </w:pPr>
                  <w:r w:rsidRPr="00013DF9">
                    <w:t>Tas</w:t>
                  </w:r>
                  <w:r>
                    <w:t xml:space="preserve"> (c)</w:t>
                  </w:r>
                </w:p>
              </w:tc>
              <w:tc>
                <w:tcPr>
                  <w:tcW w:w="423" w:type="pct"/>
                  <w:tcBorders>
                    <w:top w:val="single" w:sz="6" w:space="0" w:color="BFBFBF"/>
                    <w:bottom w:val="single" w:sz="6" w:space="0" w:color="BFBFBF"/>
                  </w:tcBorders>
                  <w:shd w:val="clear" w:color="auto" w:fill="auto"/>
                </w:tcPr>
                <w:p w14:paraId="72D89FA9" w14:textId="77777777" w:rsidR="00DB71D4" w:rsidRPr="00013DF9" w:rsidRDefault="00DB71D4" w:rsidP="00DB71D4">
                  <w:pPr>
                    <w:pStyle w:val="TableColumnHeading"/>
                    <w:ind w:left="0" w:right="28"/>
                  </w:pPr>
                  <w:r w:rsidRPr="00013DF9">
                    <w:t>ACT</w:t>
                  </w:r>
                </w:p>
              </w:tc>
              <w:tc>
                <w:tcPr>
                  <w:tcW w:w="424" w:type="pct"/>
                  <w:tcBorders>
                    <w:top w:val="single" w:sz="6" w:space="0" w:color="BFBFBF"/>
                    <w:bottom w:val="single" w:sz="6" w:space="0" w:color="BFBFBF"/>
                  </w:tcBorders>
                  <w:shd w:val="clear" w:color="auto" w:fill="auto"/>
                </w:tcPr>
                <w:p w14:paraId="7B72043C" w14:textId="77777777" w:rsidR="00DB71D4" w:rsidRPr="00013DF9" w:rsidRDefault="00DB71D4" w:rsidP="00DB71D4">
                  <w:pPr>
                    <w:pStyle w:val="TableColumnHeading"/>
                    <w:ind w:left="0" w:right="28"/>
                  </w:pPr>
                  <w:r w:rsidRPr="00013DF9">
                    <w:t>NT</w:t>
                  </w:r>
                </w:p>
              </w:tc>
            </w:tr>
            <w:tr w:rsidR="00DB71D4" w:rsidRPr="00013DF9" w14:paraId="61B12690" w14:textId="77777777" w:rsidTr="00D751B8">
              <w:tc>
                <w:tcPr>
                  <w:tcW w:w="5000" w:type="pct"/>
                  <w:gridSpan w:val="10"/>
                  <w:tcBorders>
                    <w:top w:val="single" w:sz="6" w:space="0" w:color="BFBFBF"/>
                  </w:tcBorders>
                </w:tcPr>
                <w:p w14:paraId="4CE0A89B" w14:textId="77777777" w:rsidR="00DB71D4" w:rsidRPr="00013DF9" w:rsidRDefault="00DB71D4" w:rsidP="00DB71D4">
                  <w:pPr>
                    <w:pStyle w:val="TableBodyText"/>
                    <w:spacing w:before="40"/>
                    <w:ind w:left="0" w:right="0"/>
                    <w:jc w:val="left"/>
                    <w:rPr>
                      <w:b/>
                    </w:rPr>
                  </w:pPr>
                  <w:r w:rsidRPr="00013DF9">
                    <w:rPr>
                      <w:b/>
                    </w:rPr>
                    <w:t>Supreme</w:t>
                  </w:r>
                </w:p>
              </w:tc>
            </w:tr>
            <w:tr w:rsidR="00DB71D4" w:rsidRPr="005651BA" w14:paraId="30B1F199" w14:textId="77777777" w:rsidTr="00D751B8">
              <w:tc>
                <w:tcPr>
                  <w:tcW w:w="990" w:type="pct"/>
                </w:tcPr>
                <w:p w14:paraId="64213D80" w14:textId="77777777" w:rsidR="00DB71D4" w:rsidRPr="00013DF9" w:rsidRDefault="00DB71D4" w:rsidP="00DB71D4">
                  <w:pPr>
                    <w:pStyle w:val="TableBodyText"/>
                    <w:jc w:val="left"/>
                    <w:rPr>
                      <w:szCs w:val="18"/>
                    </w:rPr>
                  </w:pPr>
                  <w:r w:rsidRPr="00013DF9">
                    <w:rPr>
                      <w:szCs w:val="18"/>
                    </w:rPr>
                    <w:t xml:space="preserve"> </w:t>
                  </w:r>
                  <w:proofErr w:type="spellStart"/>
                  <w:r w:rsidRPr="00013DF9">
                    <w:rPr>
                      <w:szCs w:val="18"/>
                    </w:rPr>
                    <w:t>Lodgments</w:t>
                  </w:r>
                  <w:proofErr w:type="spellEnd"/>
                </w:p>
              </w:tc>
              <w:tc>
                <w:tcPr>
                  <w:tcW w:w="312" w:type="pct"/>
                </w:tcPr>
                <w:p w14:paraId="6A413382" w14:textId="77777777" w:rsidR="00DB71D4" w:rsidRPr="00013DF9" w:rsidRDefault="00DB71D4" w:rsidP="00DB71D4">
                  <w:pPr>
                    <w:pStyle w:val="TableBodyText"/>
                    <w:ind w:left="0" w:right="28"/>
                    <w:rPr>
                      <w:szCs w:val="18"/>
                    </w:rPr>
                  </w:pPr>
                  <w:r>
                    <w:rPr>
                      <w:szCs w:val="18"/>
                    </w:rPr>
                    <w:t>no.</w:t>
                  </w:r>
                </w:p>
              </w:tc>
              <w:tc>
                <w:tcPr>
                  <w:tcW w:w="580" w:type="pct"/>
                </w:tcPr>
                <w:p w14:paraId="62620486" w14:textId="77777777" w:rsidR="00DB71D4" w:rsidRPr="00F54417" w:rsidRDefault="00DB71D4" w:rsidP="00DB71D4">
                  <w:pPr>
                    <w:pStyle w:val="TableBodyText"/>
                  </w:pPr>
                  <w:r w:rsidRPr="00F54417">
                    <w:t>69</w:t>
                  </w:r>
                </w:p>
              </w:tc>
              <w:tc>
                <w:tcPr>
                  <w:tcW w:w="537" w:type="pct"/>
                </w:tcPr>
                <w:p w14:paraId="65548402" w14:textId="77777777" w:rsidR="00DB71D4" w:rsidRPr="00F54417" w:rsidRDefault="00DB71D4" w:rsidP="00DB71D4">
                  <w:pPr>
                    <w:pStyle w:val="TableBodyText"/>
                  </w:pPr>
                  <w:r>
                    <w:t>66</w:t>
                  </w:r>
                </w:p>
              </w:tc>
              <w:tc>
                <w:tcPr>
                  <w:tcW w:w="465" w:type="pct"/>
                </w:tcPr>
                <w:p w14:paraId="7659402D" w14:textId="77777777" w:rsidR="00DB71D4" w:rsidRPr="00F54417" w:rsidRDefault="00DB71D4" w:rsidP="00DB71D4">
                  <w:pPr>
                    <w:pStyle w:val="TableBodyText"/>
                  </w:pPr>
                  <w:r>
                    <w:t>90</w:t>
                  </w:r>
                </w:p>
              </w:tc>
              <w:tc>
                <w:tcPr>
                  <w:tcW w:w="423" w:type="pct"/>
                </w:tcPr>
                <w:p w14:paraId="58FFFD6D" w14:textId="77777777" w:rsidR="00DB71D4" w:rsidRPr="00F54417" w:rsidRDefault="00DB71D4" w:rsidP="00DB71D4">
                  <w:pPr>
                    <w:pStyle w:val="TableBodyText"/>
                  </w:pPr>
                  <w:r>
                    <w:t>47</w:t>
                  </w:r>
                </w:p>
              </w:tc>
              <w:tc>
                <w:tcPr>
                  <w:tcW w:w="423" w:type="pct"/>
                </w:tcPr>
                <w:p w14:paraId="6FAA1AD5" w14:textId="77777777" w:rsidR="00DB71D4" w:rsidRPr="00F54417" w:rsidRDefault="00DB71D4" w:rsidP="00DB71D4">
                  <w:pPr>
                    <w:pStyle w:val="TableBodyText"/>
                  </w:pPr>
                  <w:r>
                    <w:t>33</w:t>
                  </w:r>
                </w:p>
              </w:tc>
              <w:tc>
                <w:tcPr>
                  <w:tcW w:w="423" w:type="pct"/>
                </w:tcPr>
                <w:p w14:paraId="6BD44E38" w14:textId="77777777" w:rsidR="00DB71D4" w:rsidRPr="00F54417" w:rsidRDefault="00DB71D4" w:rsidP="00DB71D4">
                  <w:pPr>
                    <w:pStyle w:val="TableBodyText"/>
                  </w:pPr>
                  <w:r>
                    <w:t>14</w:t>
                  </w:r>
                </w:p>
              </w:tc>
              <w:tc>
                <w:tcPr>
                  <w:tcW w:w="423" w:type="pct"/>
                </w:tcPr>
                <w:p w14:paraId="4AC9A976" w14:textId="77777777" w:rsidR="00DB71D4" w:rsidRPr="00F54417" w:rsidRDefault="00DB71D4" w:rsidP="00DB71D4">
                  <w:pPr>
                    <w:pStyle w:val="TableBodyText"/>
                  </w:pPr>
                  <w:r>
                    <w:t>7</w:t>
                  </w:r>
                </w:p>
              </w:tc>
              <w:tc>
                <w:tcPr>
                  <w:tcW w:w="424" w:type="pct"/>
                </w:tcPr>
                <w:p w14:paraId="3576FC18" w14:textId="77777777" w:rsidR="00DB71D4" w:rsidRPr="00F54417" w:rsidRDefault="00DB71D4" w:rsidP="00DB71D4">
                  <w:pPr>
                    <w:pStyle w:val="TableBodyText"/>
                  </w:pPr>
                  <w:r>
                    <w:t>10</w:t>
                  </w:r>
                </w:p>
              </w:tc>
            </w:tr>
            <w:tr w:rsidR="00DB71D4" w:rsidRPr="005651BA" w14:paraId="56E31721" w14:textId="77777777" w:rsidTr="00D751B8">
              <w:tc>
                <w:tcPr>
                  <w:tcW w:w="990" w:type="pct"/>
                </w:tcPr>
                <w:p w14:paraId="358E3BFF" w14:textId="77777777" w:rsidR="00DB71D4" w:rsidRPr="00013DF9" w:rsidRDefault="00DB71D4" w:rsidP="00DB71D4">
                  <w:pPr>
                    <w:pStyle w:val="TableBodyText"/>
                    <w:jc w:val="left"/>
                    <w:rPr>
                      <w:szCs w:val="18"/>
                    </w:rPr>
                  </w:pPr>
                  <w:r w:rsidRPr="00013DF9">
                    <w:rPr>
                      <w:szCs w:val="18"/>
                    </w:rPr>
                    <w:t xml:space="preserve"> Finalisations</w:t>
                  </w:r>
                </w:p>
              </w:tc>
              <w:tc>
                <w:tcPr>
                  <w:tcW w:w="312" w:type="pct"/>
                </w:tcPr>
                <w:p w14:paraId="2CA06F11" w14:textId="77777777" w:rsidR="00DB71D4" w:rsidRPr="00013DF9" w:rsidRDefault="00DB71D4" w:rsidP="00DB71D4">
                  <w:pPr>
                    <w:pStyle w:val="TableBodyText"/>
                    <w:ind w:left="0" w:right="28"/>
                    <w:rPr>
                      <w:szCs w:val="18"/>
                    </w:rPr>
                  </w:pPr>
                  <w:r>
                    <w:rPr>
                      <w:szCs w:val="18"/>
                    </w:rPr>
                    <w:t>no.</w:t>
                  </w:r>
                </w:p>
              </w:tc>
              <w:tc>
                <w:tcPr>
                  <w:tcW w:w="580" w:type="pct"/>
                </w:tcPr>
                <w:p w14:paraId="21D1B951" w14:textId="77777777" w:rsidR="00DB71D4" w:rsidRPr="00F54417" w:rsidRDefault="00DB71D4" w:rsidP="00DB71D4">
                  <w:pPr>
                    <w:pStyle w:val="TableBodyText"/>
                  </w:pPr>
                  <w:r>
                    <w:t>61</w:t>
                  </w:r>
                </w:p>
              </w:tc>
              <w:tc>
                <w:tcPr>
                  <w:tcW w:w="537" w:type="pct"/>
                </w:tcPr>
                <w:p w14:paraId="05BF1F9D" w14:textId="77777777" w:rsidR="00DB71D4" w:rsidRPr="00F54417" w:rsidRDefault="00DB71D4" w:rsidP="00DB71D4">
                  <w:pPr>
                    <w:pStyle w:val="TableBodyText"/>
                  </w:pPr>
                  <w:r>
                    <w:t>51</w:t>
                  </w:r>
                </w:p>
              </w:tc>
              <w:tc>
                <w:tcPr>
                  <w:tcW w:w="465" w:type="pct"/>
                </w:tcPr>
                <w:p w14:paraId="102C6C95" w14:textId="77777777" w:rsidR="00DB71D4" w:rsidRPr="00F54417" w:rsidRDefault="00DB71D4" w:rsidP="00DB71D4">
                  <w:pPr>
                    <w:pStyle w:val="TableBodyText"/>
                  </w:pPr>
                  <w:r>
                    <w:t>92</w:t>
                  </w:r>
                </w:p>
              </w:tc>
              <w:tc>
                <w:tcPr>
                  <w:tcW w:w="423" w:type="pct"/>
                </w:tcPr>
                <w:p w14:paraId="134E397E" w14:textId="77777777" w:rsidR="00DB71D4" w:rsidRPr="00F54417" w:rsidRDefault="00DB71D4" w:rsidP="00DB71D4">
                  <w:pPr>
                    <w:pStyle w:val="TableBodyText"/>
                  </w:pPr>
                  <w:r>
                    <w:t>25</w:t>
                  </w:r>
                </w:p>
              </w:tc>
              <w:tc>
                <w:tcPr>
                  <w:tcW w:w="423" w:type="pct"/>
                </w:tcPr>
                <w:p w14:paraId="3B005471" w14:textId="77777777" w:rsidR="00DB71D4" w:rsidRPr="00F54417" w:rsidRDefault="00DB71D4" w:rsidP="00DB71D4">
                  <w:pPr>
                    <w:pStyle w:val="TableBodyText"/>
                  </w:pPr>
                  <w:r>
                    <w:t>14</w:t>
                  </w:r>
                </w:p>
              </w:tc>
              <w:tc>
                <w:tcPr>
                  <w:tcW w:w="423" w:type="pct"/>
                </w:tcPr>
                <w:p w14:paraId="16B43956" w14:textId="77777777" w:rsidR="00DB71D4" w:rsidRPr="00F54417" w:rsidRDefault="00DB71D4" w:rsidP="00DB71D4">
                  <w:pPr>
                    <w:pStyle w:val="TableBodyText"/>
                  </w:pPr>
                  <w:r>
                    <w:t>11</w:t>
                  </w:r>
                </w:p>
              </w:tc>
              <w:tc>
                <w:tcPr>
                  <w:tcW w:w="423" w:type="pct"/>
                </w:tcPr>
                <w:p w14:paraId="1B085A42" w14:textId="77777777" w:rsidR="00DB71D4" w:rsidRPr="00F54417" w:rsidRDefault="00DB71D4" w:rsidP="00DB71D4">
                  <w:pPr>
                    <w:pStyle w:val="TableBodyText"/>
                  </w:pPr>
                  <w:r>
                    <w:t>5</w:t>
                  </w:r>
                </w:p>
              </w:tc>
              <w:tc>
                <w:tcPr>
                  <w:tcW w:w="424" w:type="pct"/>
                </w:tcPr>
                <w:p w14:paraId="2A7B4A6E" w14:textId="77777777" w:rsidR="00DB71D4" w:rsidRPr="00F54417" w:rsidRDefault="00DB71D4" w:rsidP="00DB71D4">
                  <w:pPr>
                    <w:pStyle w:val="TableBodyText"/>
                  </w:pPr>
                  <w:r>
                    <w:t>8</w:t>
                  </w:r>
                </w:p>
              </w:tc>
            </w:tr>
            <w:tr w:rsidR="00DB71D4" w:rsidRPr="005651BA" w14:paraId="776E368A" w14:textId="77777777" w:rsidTr="00D751B8">
              <w:tc>
                <w:tcPr>
                  <w:tcW w:w="990" w:type="pct"/>
                </w:tcPr>
                <w:p w14:paraId="60FB3D87" w14:textId="77777777" w:rsidR="00DB71D4" w:rsidRPr="00046ACB" w:rsidRDefault="00DB71D4" w:rsidP="00DB71D4">
                  <w:pPr>
                    <w:pStyle w:val="TableBodyText"/>
                    <w:jc w:val="left"/>
                  </w:pPr>
                  <w:r>
                    <w:t xml:space="preserve"> Pending</w:t>
                  </w:r>
                </w:p>
              </w:tc>
              <w:tc>
                <w:tcPr>
                  <w:tcW w:w="312" w:type="pct"/>
                </w:tcPr>
                <w:p w14:paraId="21745D81" w14:textId="77777777" w:rsidR="00DB71D4" w:rsidRPr="004B239F" w:rsidRDefault="00DB71D4" w:rsidP="00DB71D4">
                  <w:pPr>
                    <w:pStyle w:val="TableBodyText"/>
                    <w:ind w:left="0" w:right="28"/>
                    <w:rPr>
                      <w:szCs w:val="16"/>
                    </w:rPr>
                  </w:pPr>
                  <w:r w:rsidRPr="004B239F">
                    <w:rPr>
                      <w:szCs w:val="16"/>
                    </w:rPr>
                    <w:t>no.</w:t>
                  </w:r>
                </w:p>
              </w:tc>
              <w:tc>
                <w:tcPr>
                  <w:tcW w:w="580" w:type="pct"/>
                </w:tcPr>
                <w:p w14:paraId="0833E234" w14:textId="77777777" w:rsidR="00DB71D4" w:rsidRPr="00F54417" w:rsidRDefault="00DB71D4" w:rsidP="00DB71D4">
                  <w:pPr>
                    <w:pStyle w:val="TableBodyText"/>
                  </w:pPr>
                  <w:r>
                    <w:t>9</w:t>
                  </w:r>
                  <w:r w:rsidRPr="00F54417">
                    <w:t>6</w:t>
                  </w:r>
                </w:p>
              </w:tc>
              <w:tc>
                <w:tcPr>
                  <w:tcW w:w="537" w:type="pct"/>
                </w:tcPr>
                <w:p w14:paraId="49798B2E" w14:textId="77777777" w:rsidR="00DB71D4" w:rsidRPr="00F54417" w:rsidRDefault="00DB71D4" w:rsidP="00DB71D4">
                  <w:pPr>
                    <w:pStyle w:val="TableBodyText"/>
                  </w:pPr>
                  <w:r>
                    <w:t>72</w:t>
                  </w:r>
                </w:p>
              </w:tc>
              <w:tc>
                <w:tcPr>
                  <w:tcW w:w="465" w:type="pct"/>
                </w:tcPr>
                <w:p w14:paraId="56DD3695" w14:textId="77777777" w:rsidR="00DB71D4" w:rsidRPr="00F54417" w:rsidRDefault="00DB71D4" w:rsidP="00DB71D4">
                  <w:pPr>
                    <w:pStyle w:val="TableBodyText"/>
                  </w:pPr>
                  <w:r>
                    <w:t>74</w:t>
                  </w:r>
                </w:p>
              </w:tc>
              <w:tc>
                <w:tcPr>
                  <w:tcW w:w="423" w:type="pct"/>
                </w:tcPr>
                <w:p w14:paraId="7F83C7EB" w14:textId="77777777" w:rsidR="00DB71D4" w:rsidRPr="00F54417" w:rsidRDefault="00DB71D4" w:rsidP="00DB71D4">
                  <w:pPr>
                    <w:pStyle w:val="TableBodyText"/>
                  </w:pPr>
                  <w:r>
                    <w:t>63</w:t>
                  </w:r>
                </w:p>
              </w:tc>
              <w:tc>
                <w:tcPr>
                  <w:tcW w:w="423" w:type="pct"/>
                </w:tcPr>
                <w:p w14:paraId="7D9981BF" w14:textId="77777777" w:rsidR="00DB71D4" w:rsidRPr="00F54417" w:rsidRDefault="00DB71D4" w:rsidP="00DB71D4">
                  <w:pPr>
                    <w:pStyle w:val="TableBodyText"/>
                  </w:pPr>
                  <w:r>
                    <w:t>25</w:t>
                  </w:r>
                </w:p>
              </w:tc>
              <w:tc>
                <w:tcPr>
                  <w:tcW w:w="423" w:type="pct"/>
                </w:tcPr>
                <w:p w14:paraId="05137480" w14:textId="77777777" w:rsidR="00DB71D4" w:rsidRPr="00F54417" w:rsidRDefault="00DB71D4" w:rsidP="00DB71D4">
                  <w:pPr>
                    <w:pStyle w:val="TableBodyText"/>
                  </w:pPr>
                  <w:r>
                    <w:t>21</w:t>
                  </w:r>
                </w:p>
              </w:tc>
              <w:tc>
                <w:tcPr>
                  <w:tcW w:w="423" w:type="pct"/>
                </w:tcPr>
                <w:p w14:paraId="56690C92" w14:textId="77777777" w:rsidR="00DB71D4" w:rsidRPr="00F54417" w:rsidRDefault="00DB71D4" w:rsidP="00DB71D4">
                  <w:pPr>
                    <w:pStyle w:val="TableBodyText"/>
                  </w:pPr>
                  <w:r>
                    <w:t>15</w:t>
                  </w:r>
                </w:p>
              </w:tc>
              <w:tc>
                <w:tcPr>
                  <w:tcW w:w="424" w:type="pct"/>
                  <w:shd w:val="clear" w:color="auto" w:fill="auto"/>
                </w:tcPr>
                <w:p w14:paraId="17140E1D" w14:textId="77777777" w:rsidR="00DB71D4" w:rsidRPr="00F54417" w:rsidRDefault="00DB71D4" w:rsidP="00DB71D4">
                  <w:pPr>
                    <w:pStyle w:val="TableBodyText"/>
                  </w:pPr>
                  <w:r>
                    <w:t>11</w:t>
                  </w:r>
                </w:p>
              </w:tc>
            </w:tr>
            <w:tr w:rsidR="00DB71D4" w:rsidRPr="005651BA" w14:paraId="384DB99B" w14:textId="77777777" w:rsidTr="00D751B8">
              <w:tc>
                <w:tcPr>
                  <w:tcW w:w="990" w:type="pct"/>
                </w:tcPr>
                <w:p w14:paraId="5A2F3B53" w14:textId="77777777" w:rsidR="00DB71D4" w:rsidRPr="00013DF9" w:rsidRDefault="00DB71D4" w:rsidP="00DB71D4">
                  <w:pPr>
                    <w:pStyle w:val="TableBodyText"/>
                    <w:jc w:val="left"/>
                    <w:rPr>
                      <w:szCs w:val="18"/>
                    </w:rPr>
                  </w:pPr>
                  <w:r>
                    <w:rPr>
                      <w:szCs w:val="18"/>
                    </w:rPr>
                    <w:t xml:space="preserve"> Backlog &gt;12 </w:t>
                  </w:r>
                  <w:proofErr w:type="spellStart"/>
                  <w:r>
                    <w:rPr>
                      <w:szCs w:val="18"/>
                    </w:rPr>
                    <w:t>mths</w:t>
                  </w:r>
                  <w:proofErr w:type="spellEnd"/>
                </w:p>
              </w:tc>
              <w:tc>
                <w:tcPr>
                  <w:tcW w:w="312" w:type="pct"/>
                </w:tcPr>
                <w:p w14:paraId="6103CE45" w14:textId="77777777" w:rsidR="00DB71D4" w:rsidRPr="00013DF9" w:rsidRDefault="00DB71D4" w:rsidP="00DB71D4">
                  <w:pPr>
                    <w:pStyle w:val="TableBodyText"/>
                    <w:ind w:left="0" w:right="28"/>
                    <w:rPr>
                      <w:szCs w:val="18"/>
                    </w:rPr>
                  </w:pPr>
                  <w:r>
                    <w:rPr>
                      <w:szCs w:val="18"/>
                    </w:rPr>
                    <w:t>%</w:t>
                  </w:r>
                </w:p>
              </w:tc>
              <w:tc>
                <w:tcPr>
                  <w:tcW w:w="580" w:type="pct"/>
                </w:tcPr>
                <w:p w14:paraId="6A0D1537" w14:textId="77777777" w:rsidR="00DB71D4" w:rsidRPr="00F54417" w:rsidRDefault="00DB71D4" w:rsidP="00DB71D4">
                  <w:pPr>
                    <w:pStyle w:val="TableBodyText"/>
                  </w:pPr>
                  <w:r w:rsidRPr="00F54417">
                    <w:t>3</w:t>
                  </w:r>
                  <w:r>
                    <w:t>4</w:t>
                  </w:r>
                  <w:r w:rsidRPr="00F54417">
                    <w:t>.4</w:t>
                  </w:r>
                </w:p>
              </w:tc>
              <w:tc>
                <w:tcPr>
                  <w:tcW w:w="537" w:type="pct"/>
                </w:tcPr>
                <w:p w14:paraId="12F3CB41" w14:textId="77777777" w:rsidR="00DB71D4" w:rsidRPr="00F54417" w:rsidRDefault="00DB71D4" w:rsidP="00DB71D4">
                  <w:pPr>
                    <w:pStyle w:val="TableBodyText"/>
                  </w:pPr>
                  <w:r>
                    <w:t>19.4</w:t>
                  </w:r>
                </w:p>
              </w:tc>
              <w:tc>
                <w:tcPr>
                  <w:tcW w:w="465" w:type="pct"/>
                </w:tcPr>
                <w:p w14:paraId="2DC94226" w14:textId="77777777" w:rsidR="00DB71D4" w:rsidRPr="00F54417" w:rsidRDefault="00DB71D4" w:rsidP="00DB71D4">
                  <w:pPr>
                    <w:pStyle w:val="TableBodyText"/>
                  </w:pPr>
                  <w:r>
                    <w:t>25.7</w:t>
                  </w:r>
                </w:p>
              </w:tc>
              <w:tc>
                <w:tcPr>
                  <w:tcW w:w="423" w:type="pct"/>
                </w:tcPr>
                <w:p w14:paraId="1CFB74DD" w14:textId="77777777" w:rsidR="00DB71D4" w:rsidRPr="00F54417" w:rsidRDefault="00DB71D4" w:rsidP="00DB71D4">
                  <w:pPr>
                    <w:pStyle w:val="TableBodyText"/>
                  </w:pPr>
                  <w:r>
                    <w:t>31.7</w:t>
                  </w:r>
                </w:p>
              </w:tc>
              <w:tc>
                <w:tcPr>
                  <w:tcW w:w="423" w:type="pct"/>
                </w:tcPr>
                <w:p w14:paraId="75BEF994" w14:textId="77777777" w:rsidR="00DB71D4" w:rsidRPr="00F54417" w:rsidRDefault="00DB71D4" w:rsidP="00DB71D4">
                  <w:pPr>
                    <w:pStyle w:val="TableBodyText"/>
                  </w:pPr>
                  <w:r>
                    <w:t>12.0</w:t>
                  </w:r>
                </w:p>
              </w:tc>
              <w:tc>
                <w:tcPr>
                  <w:tcW w:w="423" w:type="pct"/>
                </w:tcPr>
                <w:p w14:paraId="3A79A4EB" w14:textId="77777777" w:rsidR="00DB71D4" w:rsidRPr="00F54417" w:rsidRDefault="00DB71D4" w:rsidP="00DB71D4">
                  <w:pPr>
                    <w:pStyle w:val="TableBodyText"/>
                  </w:pPr>
                  <w:r>
                    <w:t>47.6</w:t>
                  </w:r>
                </w:p>
              </w:tc>
              <w:tc>
                <w:tcPr>
                  <w:tcW w:w="423" w:type="pct"/>
                </w:tcPr>
                <w:p w14:paraId="67B8927A" w14:textId="77777777" w:rsidR="00DB71D4" w:rsidRPr="00F54417" w:rsidRDefault="00DB71D4" w:rsidP="00DB71D4">
                  <w:pPr>
                    <w:pStyle w:val="TableBodyText"/>
                  </w:pPr>
                  <w:r>
                    <w:t>53.3</w:t>
                  </w:r>
                </w:p>
              </w:tc>
              <w:tc>
                <w:tcPr>
                  <w:tcW w:w="424" w:type="pct"/>
                  <w:shd w:val="clear" w:color="auto" w:fill="auto"/>
                </w:tcPr>
                <w:p w14:paraId="2ED83A9F" w14:textId="77777777" w:rsidR="00DB71D4" w:rsidRPr="00F54417" w:rsidRDefault="00DB71D4" w:rsidP="00DB71D4">
                  <w:pPr>
                    <w:pStyle w:val="TableBodyText"/>
                  </w:pPr>
                  <w:r>
                    <w:t>18.2</w:t>
                  </w:r>
                </w:p>
              </w:tc>
            </w:tr>
            <w:tr w:rsidR="00DB71D4" w:rsidRPr="005651BA" w14:paraId="1AE2B8CE" w14:textId="77777777" w:rsidTr="00D751B8">
              <w:tc>
                <w:tcPr>
                  <w:tcW w:w="990" w:type="pct"/>
                </w:tcPr>
                <w:p w14:paraId="18D652F7" w14:textId="77777777" w:rsidR="00DB71D4" w:rsidRPr="00013DF9" w:rsidRDefault="00DB71D4" w:rsidP="00DB71D4">
                  <w:pPr>
                    <w:pStyle w:val="TableBodyText"/>
                    <w:jc w:val="left"/>
                    <w:rPr>
                      <w:szCs w:val="18"/>
                    </w:rPr>
                  </w:pPr>
                  <w:r>
                    <w:rPr>
                      <w:szCs w:val="18"/>
                    </w:rPr>
                    <w:t xml:space="preserve"> Backlog &gt;24 </w:t>
                  </w:r>
                  <w:proofErr w:type="spellStart"/>
                  <w:r>
                    <w:rPr>
                      <w:szCs w:val="18"/>
                    </w:rPr>
                    <w:t>mths</w:t>
                  </w:r>
                  <w:proofErr w:type="spellEnd"/>
                </w:p>
              </w:tc>
              <w:tc>
                <w:tcPr>
                  <w:tcW w:w="312" w:type="pct"/>
                </w:tcPr>
                <w:p w14:paraId="71399788" w14:textId="77777777" w:rsidR="00DB71D4" w:rsidRPr="00013DF9" w:rsidRDefault="00DB71D4" w:rsidP="00DB71D4">
                  <w:pPr>
                    <w:pStyle w:val="TableBodyText"/>
                    <w:ind w:left="0" w:right="28"/>
                    <w:rPr>
                      <w:szCs w:val="18"/>
                    </w:rPr>
                  </w:pPr>
                  <w:r>
                    <w:rPr>
                      <w:szCs w:val="18"/>
                    </w:rPr>
                    <w:t>%</w:t>
                  </w:r>
                </w:p>
              </w:tc>
              <w:tc>
                <w:tcPr>
                  <w:tcW w:w="580" w:type="pct"/>
                </w:tcPr>
                <w:p w14:paraId="49773963" w14:textId="77777777" w:rsidR="00DB71D4" w:rsidRPr="00F54417" w:rsidRDefault="00DB71D4" w:rsidP="00DB71D4">
                  <w:pPr>
                    <w:pStyle w:val="TableBodyText"/>
                  </w:pPr>
                  <w:r>
                    <w:t>7</w:t>
                  </w:r>
                  <w:r w:rsidRPr="00F54417">
                    <w:t>.</w:t>
                  </w:r>
                  <w:r>
                    <w:t>3</w:t>
                  </w:r>
                </w:p>
              </w:tc>
              <w:tc>
                <w:tcPr>
                  <w:tcW w:w="537" w:type="pct"/>
                </w:tcPr>
                <w:p w14:paraId="7DE163E7" w14:textId="77777777" w:rsidR="00DB71D4" w:rsidRPr="00F54417" w:rsidRDefault="00DB71D4" w:rsidP="00DB71D4">
                  <w:pPr>
                    <w:pStyle w:val="TableBodyText"/>
                  </w:pPr>
                  <w:r>
                    <w:t>6.9</w:t>
                  </w:r>
                </w:p>
              </w:tc>
              <w:tc>
                <w:tcPr>
                  <w:tcW w:w="465" w:type="pct"/>
                </w:tcPr>
                <w:p w14:paraId="4AC2860F" w14:textId="77777777" w:rsidR="00DB71D4" w:rsidRPr="00F54417" w:rsidRDefault="00DB71D4" w:rsidP="00DB71D4">
                  <w:pPr>
                    <w:pStyle w:val="TableBodyText"/>
                  </w:pPr>
                  <w:r w:rsidRPr="00F54417">
                    <w:t>–</w:t>
                  </w:r>
                </w:p>
              </w:tc>
              <w:tc>
                <w:tcPr>
                  <w:tcW w:w="423" w:type="pct"/>
                </w:tcPr>
                <w:p w14:paraId="239DD214" w14:textId="77777777" w:rsidR="00DB71D4" w:rsidRPr="00F54417" w:rsidRDefault="00DB71D4" w:rsidP="00DB71D4">
                  <w:pPr>
                    <w:pStyle w:val="TableBodyText"/>
                  </w:pPr>
                  <w:r>
                    <w:t>1.6</w:t>
                  </w:r>
                </w:p>
              </w:tc>
              <w:tc>
                <w:tcPr>
                  <w:tcW w:w="423" w:type="pct"/>
                </w:tcPr>
                <w:p w14:paraId="789120EE" w14:textId="77777777" w:rsidR="00DB71D4" w:rsidRPr="00F54417" w:rsidRDefault="00DB71D4" w:rsidP="00DB71D4">
                  <w:pPr>
                    <w:pStyle w:val="TableBodyText"/>
                  </w:pPr>
                  <w:r w:rsidRPr="00F54417">
                    <w:t>–</w:t>
                  </w:r>
                </w:p>
              </w:tc>
              <w:tc>
                <w:tcPr>
                  <w:tcW w:w="423" w:type="pct"/>
                </w:tcPr>
                <w:p w14:paraId="72A9383A" w14:textId="77777777" w:rsidR="00DB71D4" w:rsidRPr="00F54417" w:rsidRDefault="00DB71D4" w:rsidP="00DB71D4">
                  <w:pPr>
                    <w:pStyle w:val="TableBodyText"/>
                  </w:pPr>
                  <w:r>
                    <w:t>9.5</w:t>
                  </w:r>
                </w:p>
              </w:tc>
              <w:tc>
                <w:tcPr>
                  <w:tcW w:w="423" w:type="pct"/>
                </w:tcPr>
                <w:p w14:paraId="60DF0D51" w14:textId="77777777" w:rsidR="00DB71D4" w:rsidRPr="00F54417" w:rsidRDefault="00DB71D4" w:rsidP="00DB71D4">
                  <w:pPr>
                    <w:pStyle w:val="TableBodyText"/>
                  </w:pPr>
                  <w:r>
                    <w:t>6.7</w:t>
                  </w:r>
                </w:p>
              </w:tc>
              <w:tc>
                <w:tcPr>
                  <w:tcW w:w="424" w:type="pct"/>
                </w:tcPr>
                <w:p w14:paraId="680ECD31" w14:textId="77777777" w:rsidR="00DB71D4" w:rsidRPr="00F54417" w:rsidRDefault="00DB71D4" w:rsidP="00DB71D4">
                  <w:pPr>
                    <w:pStyle w:val="TableBodyText"/>
                  </w:pPr>
                  <w:r>
                    <w:t>–</w:t>
                  </w:r>
                </w:p>
              </w:tc>
            </w:tr>
            <w:tr w:rsidR="00DB71D4" w:rsidRPr="005651BA" w14:paraId="1B4C2A51" w14:textId="77777777" w:rsidTr="00D751B8">
              <w:tc>
                <w:tcPr>
                  <w:tcW w:w="990" w:type="pct"/>
                </w:tcPr>
                <w:p w14:paraId="06D86ED0" w14:textId="77777777" w:rsidR="00DB71D4" w:rsidRPr="00046ACB" w:rsidRDefault="00DB71D4" w:rsidP="00DB71D4">
                  <w:pPr>
                    <w:pStyle w:val="TableBodyText"/>
                    <w:jc w:val="left"/>
                  </w:pPr>
                  <w:r>
                    <w:t xml:space="preserve"> </w:t>
                  </w:r>
                  <w:r w:rsidRPr="00046ACB">
                    <w:t>Attendance</w:t>
                  </w:r>
                </w:p>
              </w:tc>
              <w:tc>
                <w:tcPr>
                  <w:tcW w:w="312" w:type="pct"/>
                </w:tcPr>
                <w:p w14:paraId="381FC8FA" w14:textId="77777777" w:rsidR="00DB71D4" w:rsidRPr="00013DF9" w:rsidRDefault="00DB71D4" w:rsidP="00DB71D4">
                  <w:pPr>
                    <w:pStyle w:val="TableBodyText"/>
                    <w:ind w:left="0" w:right="28"/>
                    <w:rPr>
                      <w:i/>
                      <w:szCs w:val="16"/>
                    </w:rPr>
                  </w:pPr>
                  <w:r>
                    <w:rPr>
                      <w:szCs w:val="16"/>
                    </w:rPr>
                    <w:t>n</w:t>
                  </w:r>
                  <w:r w:rsidRPr="008A7DD0">
                    <w:rPr>
                      <w:szCs w:val="16"/>
                    </w:rPr>
                    <w:t>o</w:t>
                  </w:r>
                  <w:r>
                    <w:rPr>
                      <w:i/>
                      <w:szCs w:val="16"/>
                    </w:rPr>
                    <w:t>.</w:t>
                  </w:r>
                </w:p>
              </w:tc>
              <w:tc>
                <w:tcPr>
                  <w:tcW w:w="580" w:type="pct"/>
                </w:tcPr>
                <w:p w14:paraId="366DE721" w14:textId="77777777" w:rsidR="00DB71D4" w:rsidRPr="00F54417" w:rsidRDefault="00DB71D4" w:rsidP="00DB71D4">
                  <w:pPr>
                    <w:pStyle w:val="TableBodyText"/>
                  </w:pPr>
                  <w:proofErr w:type="spellStart"/>
                  <w:r w:rsidRPr="00F54417">
                    <w:t>na</w:t>
                  </w:r>
                  <w:proofErr w:type="spellEnd"/>
                </w:p>
              </w:tc>
              <w:tc>
                <w:tcPr>
                  <w:tcW w:w="537" w:type="pct"/>
                </w:tcPr>
                <w:p w14:paraId="31489B54" w14:textId="77777777" w:rsidR="00DB71D4" w:rsidRPr="00F54417" w:rsidRDefault="00DB71D4" w:rsidP="00DB71D4">
                  <w:pPr>
                    <w:pStyle w:val="TableBodyText"/>
                  </w:pPr>
                  <w:proofErr w:type="spellStart"/>
                  <w:r w:rsidRPr="00F54417">
                    <w:t>na</w:t>
                  </w:r>
                  <w:proofErr w:type="spellEnd"/>
                </w:p>
              </w:tc>
              <w:tc>
                <w:tcPr>
                  <w:tcW w:w="465" w:type="pct"/>
                </w:tcPr>
                <w:p w14:paraId="497BC426" w14:textId="77777777" w:rsidR="00DB71D4" w:rsidRPr="00F54417" w:rsidRDefault="00DB71D4" w:rsidP="00DB71D4">
                  <w:pPr>
                    <w:pStyle w:val="TableBodyText"/>
                  </w:pPr>
                  <w:r>
                    <w:t>10.3</w:t>
                  </w:r>
                </w:p>
              </w:tc>
              <w:tc>
                <w:tcPr>
                  <w:tcW w:w="423" w:type="pct"/>
                </w:tcPr>
                <w:p w14:paraId="2C20CF75" w14:textId="77777777" w:rsidR="00DB71D4" w:rsidRPr="00F54417" w:rsidRDefault="00DB71D4" w:rsidP="00DB71D4">
                  <w:pPr>
                    <w:pStyle w:val="TableBodyText"/>
                  </w:pPr>
                  <w:r>
                    <w:t>7.2</w:t>
                  </w:r>
                </w:p>
              </w:tc>
              <w:tc>
                <w:tcPr>
                  <w:tcW w:w="423" w:type="pct"/>
                </w:tcPr>
                <w:p w14:paraId="01C37354" w14:textId="77777777" w:rsidR="00DB71D4" w:rsidRPr="00F54417" w:rsidRDefault="00DB71D4" w:rsidP="00DB71D4">
                  <w:pPr>
                    <w:pStyle w:val="TableBodyText"/>
                  </w:pPr>
                  <w:r>
                    <w:t>8.4</w:t>
                  </w:r>
                </w:p>
              </w:tc>
              <w:tc>
                <w:tcPr>
                  <w:tcW w:w="423" w:type="pct"/>
                </w:tcPr>
                <w:p w14:paraId="422C1D5B" w14:textId="77777777" w:rsidR="00DB71D4" w:rsidRPr="00F54417" w:rsidRDefault="00DB71D4" w:rsidP="00DB71D4">
                  <w:pPr>
                    <w:pStyle w:val="TableBodyText"/>
                  </w:pPr>
                  <w:r>
                    <w:t>25.5</w:t>
                  </w:r>
                </w:p>
              </w:tc>
              <w:tc>
                <w:tcPr>
                  <w:tcW w:w="423" w:type="pct"/>
                </w:tcPr>
                <w:p w14:paraId="316EFC9C" w14:textId="77777777" w:rsidR="00DB71D4" w:rsidRPr="00F54417" w:rsidRDefault="00DB71D4" w:rsidP="00DB71D4">
                  <w:pPr>
                    <w:pStyle w:val="TableBodyText"/>
                  </w:pPr>
                  <w:r>
                    <w:t>17.0</w:t>
                  </w:r>
                </w:p>
              </w:tc>
              <w:tc>
                <w:tcPr>
                  <w:tcW w:w="424" w:type="pct"/>
                </w:tcPr>
                <w:p w14:paraId="09DDC145" w14:textId="77777777" w:rsidR="00DB71D4" w:rsidRPr="00F54417" w:rsidRDefault="00DB71D4" w:rsidP="00DB71D4">
                  <w:pPr>
                    <w:pStyle w:val="TableBodyText"/>
                  </w:pPr>
                  <w:r>
                    <w:t>10.0</w:t>
                  </w:r>
                </w:p>
              </w:tc>
            </w:tr>
            <w:tr w:rsidR="00DB71D4" w:rsidRPr="005651BA" w14:paraId="22A20C0D" w14:textId="77777777" w:rsidTr="00D751B8">
              <w:tc>
                <w:tcPr>
                  <w:tcW w:w="990" w:type="pct"/>
                </w:tcPr>
                <w:p w14:paraId="54002C62" w14:textId="77777777" w:rsidR="00DB71D4" w:rsidRPr="00046ACB" w:rsidRDefault="00DB71D4" w:rsidP="00DB71D4">
                  <w:pPr>
                    <w:pStyle w:val="TableBodyText"/>
                    <w:jc w:val="left"/>
                  </w:pPr>
                  <w:r>
                    <w:t xml:space="preserve"> Clearance rate</w:t>
                  </w:r>
                </w:p>
              </w:tc>
              <w:tc>
                <w:tcPr>
                  <w:tcW w:w="312" w:type="pct"/>
                </w:tcPr>
                <w:p w14:paraId="25B385F8" w14:textId="77777777" w:rsidR="00DB71D4" w:rsidRPr="00C83D72" w:rsidRDefault="00DB71D4" w:rsidP="00DB71D4">
                  <w:pPr>
                    <w:pStyle w:val="TableBodyText"/>
                    <w:ind w:left="0" w:right="28"/>
                    <w:rPr>
                      <w:iCs/>
                      <w:szCs w:val="16"/>
                    </w:rPr>
                  </w:pPr>
                  <w:r w:rsidRPr="00C83D72">
                    <w:rPr>
                      <w:iCs/>
                      <w:szCs w:val="16"/>
                    </w:rPr>
                    <w:t>%</w:t>
                  </w:r>
                </w:p>
              </w:tc>
              <w:tc>
                <w:tcPr>
                  <w:tcW w:w="580" w:type="pct"/>
                </w:tcPr>
                <w:p w14:paraId="732730D1" w14:textId="77777777" w:rsidR="00DB71D4" w:rsidRPr="00F54417" w:rsidRDefault="00DB71D4" w:rsidP="00DB71D4">
                  <w:pPr>
                    <w:pStyle w:val="TableBodyText"/>
                  </w:pPr>
                  <w:r>
                    <w:t>88</w:t>
                  </w:r>
                  <w:r w:rsidRPr="00F54417">
                    <w:t>.</w:t>
                  </w:r>
                  <w:r>
                    <w:t>4</w:t>
                  </w:r>
                </w:p>
              </w:tc>
              <w:tc>
                <w:tcPr>
                  <w:tcW w:w="537" w:type="pct"/>
                </w:tcPr>
                <w:p w14:paraId="4188A4D5" w14:textId="77777777" w:rsidR="00DB71D4" w:rsidRPr="00F54417" w:rsidRDefault="00DB71D4" w:rsidP="00DB71D4">
                  <w:pPr>
                    <w:pStyle w:val="TableBodyText"/>
                  </w:pPr>
                  <w:r>
                    <w:t>77.3</w:t>
                  </w:r>
                </w:p>
              </w:tc>
              <w:tc>
                <w:tcPr>
                  <w:tcW w:w="465" w:type="pct"/>
                </w:tcPr>
                <w:p w14:paraId="3228503A" w14:textId="77777777" w:rsidR="00DB71D4" w:rsidRPr="00F54417" w:rsidRDefault="00DB71D4" w:rsidP="00DB71D4">
                  <w:pPr>
                    <w:pStyle w:val="TableBodyText"/>
                  </w:pPr>
                  <w:r>
                    <w:t>102.2</w:t>
                  </w:r>
                </w:p>
              </w:tc>
              <w:tc>
                <w:tcPr>
                  <w:tcW w:w="423" w:type="pct"/>
                </w:tcPr>
                <w:p w14:paraId="4F9A9A89" w14:textId="77777777" w:rsidR="00DB71D4" w:rsidRPr="00F54417" w:rsidRDefault="00DB71D4" w:rsidP="00DB71D4">
                  <w:pPr>
                    <w:pStyle w:val="TableBodyText"/>
                  </w:pPr>
                  <w:r>
                    <w:t>53.2</w:t>
                  </w:r>
                </w:p>
              </w:tc>
              <w:tc>
                <w:tcPr>
                  <w:tcW w:w="423" w:type="pct"/>
                </w:tcPr>
                <w:p w14:paraId="79274EF6" w14:textId="77777777" w:rsidR="00DB71D4" w:rsidRPr="00F54417" w:rsidRDefault="00DB71D4" w:rsidP="00DB71D4">
                  <w:pPr>
                    <w:pStyle w:val="TableBodyText"/>
                  </w:pPr>
                  <w:r>
                    <w:t>42.4</w:t>
                  </w:r>
                </w:p>
              </w:tc>
              <w:tc>
                <w:tcPr>
                  <w:tcW w:w="423" w:type="pct"/>
                </w:tcPr>
                <w:p w14:paraId="740D215C" w14:textId="77777777" w:rsidR="00DB71D4" w:rsidRPr="00F54417" w:rsidRDefault="00DB71D4" w:rsidP="00DB71D4">
                  <w:pPr>
                    <w:pStyle w:val="TableBodyText"/>
                  </w:pPr>
                  <w:r>
                    <w:t>78.6</w:t>
                  </w:r>
                </w:p>
              </w:tc>
              <w:tc>
                <w:tcPr>
                  <w:tcW w:w="423" w:type="pct"/>
                </w:tcPr>
                <w:p w14:paraId="36C5B923" w14:textId="77777777" w:rsidR="00DB71D4" w:rsidRPr="00F54417" w:rsidRDefault="00DB71D4" w:rsidP="00DB71D4">
                  <w:pPr>
                    <w:pStyle w:val="TableBodyText"/>
                  </w:pPr>
                  <w:r>
                    <w:t>71.4</w:t>
                  </w:r>
                </w:p>
              </w:tc>
              <w:tc>
                <w:tcPr>
                  <w:tcW w:w="424" w:type="pct"/>
                </w:tcPr>
                <w:p w14:paraId="5A5C5126" w14:textId="77777777" w:rsidR="00DB71D4" w:rsidRPr="00F54417" w:rsidRDefault="00DB71D4" w:rsidP="00DB71D4">
                  <w:pPr>
                    <w:pStyle w:val="TableBodyText"/>
                  </w:pPr>
                  <w:r>
                    <w:t>80.0</w:t>
                  </w:r>
                </w:p>
              </w:tc>
            </w:tr>
            <w:tr w:rsidR="00DB71D4" w:rsidRPr="00013DF9" w14:paraId="68EAB91B" w14:textId="77777777" w:rsidTr="00D751B8">
              <w:tc>
                <w:tcPr>
                  <w:tcW w:w="5000" w:type="pct"/>
                  <w:gridSpan w:val="10"/>
                </w:tcPr>
                <w:p w14:paraId="3DB5221E" w14:textId="77777777" w:rsidR="00DB71D4" w:rsidRPr="00F54417" w:rsidRDefault="00DB71D4" w:rsidP="00DB71D4">
                  <w:pPr>
                    <w:pStyle w:val="TableBodyText"/>
                    <w:jc w:val="left"/>
                    <w:rPr>
                      <w:b/>
                    </w:rPr>
                  </w:pPr>
                  <w:r w:rsidRPr="00F54417">
                    <w:rPr>
                      <w:b/>
                    </w:rPr>
                    <w:t>District/County</w:t>
                  </w:r>
                </w:p>
              </w:tc>
            </w:tr>
            <w:tr w:rsidR="00DB71D4" w:rsidRPr="0006049C" w14:paraId="460CD9BA" w14:textId="77777777" w:rsidTr="00D751B8">
              <w:tc>
                <w:tcPr>
                  <w:tcW w:w="990" w:type="pct"/>
                </w:tcPr>
                <w:p w14:paraId="0FCC2358" w14:textId="77777777" w:rsidR="00DB71D4" w:rsidRPr="00013DF9" w:rsidRDefault="00DB71D4" w:rsidP="00DB71D4">
                  <w:pPr>
                    <w:pStyle w:val="TableBodyText"/>
                    <w:jc w:val="left"/>
                    <w:rPr>
                      <w:szCs w:val="18"/>
                    </w:rPr>
                  </w:pPr>
                  <w:r w:rsidRPr="00013DF9">
                    <w:rPr>
                      <w:szCs w:val="18"/>
                    </w:rPr>
                    <w:t xml:space="preserve"> </w:t>
                  </w:r>
                  <w:proofErr w:type="spellStart"/>
                  <w:r w:rsidRPr="00013DF9">
                    <w:rPr>
                      <w:szCs w:val="18"/>
                    </w:rPr>
                    <w:t>Lodgments</w:t>
                  </w:r>
                  <w:proofErr w:type="spellEnd"/>
                </w:p>
              </w:tc>
              <w:tc>
                <w:tcPr>
                  <w:tcW w:w="312" w:type="pct"/>
                </w:tcPr>
                <w:p w14:paraId="257494FA" w14:textId="77777777" w:rsidR="00DB71D4" w:rsidRPr="00013DF9" w:rsidRDefault="00DB71D4" w:rsidP="00DB71D4">
                  <w:pPr>
                    <w:pStyle w:val="TableBodyText"/>
                    <w:ind w:left="0" w:right="28"/>
                    <w:rPr>
                      <w:szCs w:val="18"/>
                    </w:rPr>
                  </w:pPr>
                  <w:r>
                    <w:rPr>
                      <w:szCs w:val="18"/>
                    </w:rPr>
                    <w:t>no.</w:t>
                  </w:r>
                </w:p>
              </w:tc>
              <w:tc>
                <w:tcPr>
                  <w:tcW w:w="580" w:type="pct"/>
                </w:tcPr>
                <w:p w14:paraId="04840288" w14:textId="77777777" w:rsidR="00DB71D4" w:rsidRPr="00F54417" w:rsidRDefault="00DB71D4" w:rsidP="00DB71D4">
                  <w:pPr>
                    <w:pStyle w:val="TableBodyText"/>
                  </w:pPr>
                  <w:r>
                    <w:t>88</w:t>
                  </w:r>
                </w:p>
              </w:tc>
              <w:tc>
                <w:tcPr>
                  <w:tcW w:w="537" w:type="pct"/>
                </w:tcPr>
                <w:p w14:paraId="5761C85D" w14:textId="77777777" w:rsidR="00DB71D4" w:rsidRPr="00F54417" w:rsidRDefault="00DB71D4" w:rsidP="00DB71D4">
                  <w:pPr>
                    <w:pStyle w:val="TableBodyText"/>
                  </w:pPr>
                  <w:r>
                    <w:t>19</w:t>
                  </w:r>
                </w:p>
              </w:tc>
              <w:tc>
                <w:tcPr>
                  <w:tcW w:w="465" w:type="pct"/>
                </w:tcPr>
                <w:p w14:paraId="5D507106" w14:textId="77777777" w:rsidR="00DB71D4" w:rsidRPr="00F54417" w:rsidRDefault="00DB71D4" w:rsidP="00DB71D4">
                  <w:pPr>
                    <w:pStyle w:val="TableBodyText"/>
                  </w:pPr>
                  <w:r>
                    <w:t>2</w:t>
                  </w:r>
                </w:p>
              </w:tc>
              <w:tc>
                <w:tcPr>
                  <w:tcW w:w="423" w:type="pct"/>
                </w:tcPr>
                <w:p w14:paraId="720CD9D4" w14:textId="77777777" w:rsidR="00DB71D4" w:rsidRPr="00F54417" w:rsidRDefault="00DB71D4" w:rsidP="00DB71D4">
                  <w:pPr>
                    <w:pStyle w:val="TableBodyText"/>
                  </w:pPr>
                  <w:r>
                    <w:t>19</w:t>
                  </w:r>
                </w:p>
              </w:tc>
              <w:tc>
                <w:tcPr>
                  <w:tcW w:w="423" w:type="pct"/>
                </w:tcPr>
                <w:p w14:paraId="720D945F" w14:textId="77777777" w:rsidR="00DB71D4" w:rsidRPr="00F54417" w:rsidRDefault="00DB71D4" w:rsidP="00DB71D4">
                  <w:pPr>
                    <w:pStyle w:val="TableBodyText"/>
                  </w:pPr>
                  <w:r>
                    <w:t>18</w:t>
                  </w:r>
                </w:p>
              </w:tc>
              <w:tc>
                <w:tcPr>
                  <w:tcW w:w="423" w:type="pct"/>
                </w:tcPr>
                <w:p w14:paraId="0E01F22E" w14:textId="77777777" w:rsidR="00DB71D4" w:rsidRPr="00F54417" w:rsidRDefault="00DB71D4" w:rsidP="00DB71D4">
                  <w:pPr>
                    <w:pStyle w:val="TableBodyText"/>
                  </w:pPr>
                  <w:r w:rsidRPr="00F54417">
                    <w:t>..</w:t>
                  </w:r>
                </w:p>
              </w:tc>
              <w:tc>
                <w:tcPr>
                  <w:tcW w:w="423" w:type="pct"/>
                </w:tcPr>
                <w:p w14:paraId="7BB49750" w14:textId="77777777" w:rsidR="00DB71D4" w:rsidRPr="00F54417" w:rsidRDefault="00DB71D4" w:rsidP="00DB71D4">
                  <w:pPr>
                    <w:pStyle w:val="TableBodyText"/>
                  </w:pPr>
                  <w:r w:rsidRPr="00F54417">
                    <w:t>..</w:t>
                  </w:r>
                </w:p>
              </w:tc>
              <w:tc>
                <w:tcPr>
                  <w:tcW w:w="424" w:type="pct"/>
                </w:tcPr>
                <w:p w14:paraId="5A1DD8A3" w14:textId="77777777" w:rsidR="00DB71D4" w:rsidRPr="00F54417" w:rsidRDefault="00DB71D4" w:rsidP="00DB71D4">
                  <w:pPr>
                    <w:pStyle w:val="TableBodyText"/>
                  </w:pPr>
                  <w:r w:rsidRPr="00F54417">
                    <w:t>..</w:t>
                  </w:r>
                </w:p>
              </w:tc>
            </w:tr>
            <w:tr w:rsidR="00DB71D4" w:rsidRPr="0006049C" w14:paraId="7112E552" w14:textId="77777777" w:rsidTr="00D751B8">
              <w:tc>
                <w:tcPr>
                  <w:tcW w:w="990" w:type="pct"/>
                </w:tcPr>
                <w:p w14:paraId="76099FB7" w14:textId="77777777" w:rsidR="00DB71D4" w:rsidRPr="00013DF9" w:rsidRDefault="00DB71D4" w:rsidP="00DB71D4">
                  <w:pPr>
                    <w:pStyle w:val="TableBodyText"/>
                    <w:jc w:val="left"/>
                    <w:rPr>
                      <w:szCs w:val="18"/>
                    </w:rPr>
                  </w:pPr>
                  <w:r w:rsidRPr="00013DF9">
                    <w:rPr>
                      <w:szCs w:val="18"/>
                    </w:rPr>
                    <w:t xml:space="preserve"> Finalisations</w:t>
                  </w:r>
                </w:p>
              </w:tc>
              <w:tc>
                <w:tcPr>
                  <w:tcW w:w="312" w:type="pct"/>
                </w:tcPr>
                <w:p w14:paraId="6A4125F1" w14:textId="77777777" w:rsidR="00DB71D4" w:rsidRPr="00013DF9" w:rsidRDefault="00DB71D4" w:rsidP="00DB71D4">
                  <w:pPr>
                    <w:pStyle w:val="TableBodyText"/>
                    <w:ind w:left="0" w:right="28"/>
                    <w:rPr>
                      <w:szCs w:val="18"/>
                    </w:rPr>
                  </w:pPr>
                  <w:r>
                    <w:rPr>
                      <w:szCs w:val="18"/>
                    </w:rPr>
                    <w:t>no.</w:t>
                  </w:r>
                </w:p>
              </w:tc>
              <w:tc>
                <w:tcPr>
                  <w:tcW w:w="580" w:type="pct"/>
                </w:tcPr>
                <w:p w14:paraId="60596F22" w14:textId="77777777" w:rsidR="00DB71D4" w:rsidRPr="00F54417" w:rsidRDefault="00DB71D4" w:rsidP="00DB71D4">
                  <w:pPr>
                    <w:pStyle w:val="TableBodyText"/>
                  </w:pPr>
                  <w:r>
                    <w:t>91</w:t>
                  </w:r>
                </w:p>
              </w:tc>
              <w:tc>
                <w:tcPr>
                  <w:tcW w:w="537" w:type="pct"/>
                </w:tcPr>
                <w:p w14:paraId="62094A5C" w14:textId="77777777" w:rsidR="00DB71D4" w:rsidRPr="00F54417" w:rsidRDefault="00DB71D4" w:rsidP="00DB71D4">
                  <w:pPr>
                    <w:pStyle w:val="TableBodyText"/>
                  </w:pPr>
                  <w:r>
                    <w:t>51</w:t>
                  </w:r>
                </w:p>
              </w:tc>
              <w:tc>
                <w:tcPr>
                  <w:tcW w:w="465" w:type="pct"/>
                </w:tcPr>
                <w:p w14:paraId="1976918D" w14:textId="77777777" w:rsidR="00DB71D4" w:rsidRPr="00F54417" w:rsidRDefault="00DB71D4" w:rsidP="00DB71D4">
                  <w:pPr>
                    <w:pStyle w:val="TableBodyText"/>
                  </w:pPr>
                  <w:r>
                    <w:t>2</w:t>
                  </w:r>
                </w:p>
              </w:tc>
              <w:tc>
                <w:tcPr>
                  <w:tcW w:w="423" w:type="pct"/>
                </w:tcPr>
                <w:p w14:paraId="74BA97CD" w14:textId="77777777" w:rsidR="00DB71D4" w:rsidRPr="00F54417" w:rsidRDefault="00DB71D4" w:rsidP="00DB71D4">
                  <w:pPr>
                    <w:pStyle w:val="TableBodyText"/>
                  </w:pPr>
                  <w:r>
                    <w:t>19</w:t>
                  </w:r>
                </w:p>
              </w:tc>
              <w:tc>
                <w:tcPr>
                  <w:tcW w:w="423" w:type="pct"/>
                </w:tcPr>
                <w:p w14:paraId="355E7B8D" w14:textId="77777777" w:rsidR="00DB71D4" w:rsidRPr="00F54417" w:rsidRDefault="00DB71D4" w:rsidP="00DB71D4">
                  <w:pPr>
                    <w:pStyle w:val="TableBodyText"/>
                  </w:pPr>
                  <w:r>
                    <w:t>10</w:t>
                  </w:r>
                </w:p>
              </w:tc>
              <w:tc>
                <w:tcPr>
                  <w:tcW w:w="423" w:type="pct"/>
                </w:tcPr>
                <w:p w14:paraId="04B68F3E" w14:textId="77777777" w:rsidR="00DB71D4" w:rsidRPr="00F54417" w:rsidRDefault="00DB71D4" w:rsidP="00DB71D4">
                  <w:pPr>
                    <w:pStyle w:val="TableBodyText"/>
                  </w:pPr>
                  <w:r w:rsidRPr="00F54417">
                    <w:t>..</w:t>
                  </w:r>
                </w:p>
              </w:tc>
              <w:tc>
                <w:tcPr>
                  <w:tcW w:w="423" w:type="pct"/>
                </w:tcPr>
                <w:p w14:paraId="6AA1E7C8" w14:textId="77777777" w:rsidR="00DB71D4" w:rsidRPr="00F54417" w:rsidRDefault="00DB71D4" w:rsidP="00DB71D4">
                  <w:pPr>
                    <w:pStyle w:val="TableBodyText"/>
                  </w:pPr>
                  <w:r w:rsidRPr="00F54417">
                    <w:t>..</w:t>
                  </w:r>
                </w:p>
              </w:tc>
              <w:tc>
                <w:tcPr>
                  <w:tcW w:w="424" w:type="pct"/>
                </w:tcPr>
                <w:p w14:paraId="6045CE94" w14:textId="77777777" w:rsidR="00DB71D4" w:rsidRPr="00F54417" w:rsidRDefault="00DB71D4" w:rsidP="00DB71D4">
                  <w:pPr>
                    <w:pStyle w:val="TableBodyText"/>
                  </w:pPr>
                  <w:r w:rsidRPr="00F54417">
                    <w:t>..</w:t>
                  </w:r>
                </w:p>
              </w:tc>
            </w:tr>
            <w:tr w:rsidR="00DB71D4" w:rsidRPr="0006049C" w14:paraId="0E338472" w14:textId="77777777" w:rsidTr="00D751B8">
              <w:tc>
                <w:tcPr>
                  <w:tcW w:w="990" w:type="pct"/>
                </w:tcPr>
                <w:p w14:paraId="7CF467A8" w14:textId="77777777" w:rsidR="00DB71D4" w:rsidRPr="00046ACB" w:rsidRDefault="00DB71D4" w:rsidP="00DB71D4">
                  <w:pPr>
                    <w:pStyle w:val="TableBodyText"/>
                    <w:jc w:val="left"/>
                  </w:pPr>
                  <w:r>
                    <w:t xml:space="preserve"> Pending</w:t>
                  </w:r>
                </w:p>
              </w:tc>
              <w:tc>
                <w:tcPr>
                  <w:tcW w:w="312" w:type="pct"/>
                </w:tcPr>
                <w:p w14:paraId="47399563" w14:textId="77777777" w:rsidR="00DB71D4" w:rsidRPr="004B239F" w:rsidRDefault="00DB71D4" w:rsidP="00DB71D4">
                  <w:pPr>
                    <w:pStyle w:val="TableBodyText"/>
                    <w:ind w:left="0" w:right="28"/>
                    <w:rPr>
                      <w:szCs w:val="16"/>
                    </w:rPr>
                  </w:pPr>
                  <w:r w:rsidRPr="004B239F">
                    <w:rPr>
                      <w:szCs w:val="16"/>
                    </w:rPr>
                    <w:t>no.</w:t>
                  </w:r>
                </w:p>
              </w:tc>
              <w:tc>
                <w:tcPr>
                  <w:tcW w:w="580" w:type="pct"/>
                </w:tcPr>
                <w:p w14:paraId="0724CC76" w14:textId="77777777" w:rsidR="00DB71D4" w:rsidRPr="00F54417" w:rsidRDefault="00DB71D4" w:rsidP="00DB71D4">
                  <w:pPr>
                    <w:pStyle w:val="TableBodyText"/>
                  </w:pPr>
                  <w:r>
                    <w:t>92</w:t>
                  </w:r>
                </w:p>
              </w:tc>
              <w:tc>
                <w:tcPr>
                  <w:tcW w:w="537" w:type="pct"/>
                </w:tcPr>
                <w:p w14:paraId="29C48803" w14:textId="77777777" w:rsidR="00DB71D4" w:rsidRPr="00F54417" w:rsidRDefault="00DB71D4" w:rsidP="00DB71D4">
                  <w:pPr>
                    <w:pStyle w:val="TableBodyText"/>
                  </w:pPr>
                  <w:r>
                    <w:t>9</w:t>
                  </w:r>
                </w:p>
              </w:tc>
              <w:tc>
                <w:tcPr>
                  <w:tcW w:w="465" w:type="pct"/>
                </w:tcPr>
                <w:p w14:paraId="73A296F4" w14:textId="77777777" w:rsidR="00DB71D4" w:rsidRPr="00F54417" w:rsidRDefault="00DB71D4" w:rsidP="00DB71D4">
                  <w:pPr>
                    <w:pStyle w:val="TableBodyText"/>
                  </w:pPr>
                  <w:r w:rsidRPr="00F54417">
                    <w:t>–</w:t>
                  </w:r>
                </w:p>
              </w:tc>
              <w:tc>
                <w:tcPr>
                  <w:tcW w:w="423" w:type="pct"/>
                </w:tcPr>
                <w:p w14:paraId="3F8613DD" w14:textId="77777777" w:rsidR="00DB71D4" w:rsidRPr="00F54417" w:rsidRDefault="00DB71D4" w:rsidP="00DB71D4">
                  <w:pPr>
                    <w:pStyle w:val="TableBodyText"/>
                  </w:pPr>
                  <w:r>
                    <w:t>14</w:t>
                  </w:r>
                </w:p>
              </w:tc>
              <w:tc>
                <w:tcPr>
                  <w:tcW w:w="423" w:type="pct"/>
                </w:tcPr>
                <w:p w14:paraId="15B4DDA1" w14:textId="77777777" w:rsidR="00DB71D4" w:rsidRPr="00F54417" w:rsidRDefault="00DB71D4" w:rsidP="00DB71D4">
                  <w:pPr>
                    <w:pStyle w:val="TableBodyText"/>
                  </w:pPr>
                  <w:r>
                    <w:t>13</w:t>
                  </w:r>
                </w:p>
              </w:tc>
              <w:tc>
                <w:tcPr>
                  <w:tcW w:w="423" w:type="pct"/>
                </w:tcPr>
                <w:p w14:paraId="56A722E2" w14:textId="77777777" w:rsidR="00DB71D4" w:rsidRPr="00F54417" w:rsidRDefault="00DB71D4" w:rsidP="00DB71D4">
                  <w:pPr>
                    <w:pStyle w:val="TableBodyText"/>
                  </w:pPr>
                  <w:r w:rsidRPr="006074B1">
                    <w:t>..</w:t>
                  </w:r>
                </w:p>
              </w:tc>
              <w:tc>
                <w:tcPr>
                  <w:tcW w:w="423" w:type="pct"/>
                </w:tcPr>
                <w:p w14:paraId="64F2172F" w14:textId="77777777" w:rsidR="00DB71D4" w:rsidRPr="00F54417" w:rsidRDefault="00DB71D4" w:rsidP="00DB71D4">
                  <w:pPr>
                    <w:pStyle w:val="TableBodyText"/>
                  </w:pPr>
                  <w:r w:rsidRPr="006074B1">
                    <w:t>..</w:t>
                  </w:r>
                </w:p>
              </w:tc>
              <w:tc>
                <w:tcPr>
                  <w:tcW w:w="424" w:type="pct"/>
                </w:tcPr>
                <w:p w14:paraId="3670532C" w14:textId="77777777" w:rsidR="00DB71D4" w:rsidRPr="00F54417" w:rsidRDefault="00DB71D4" w:rsidP="00DB71D4">
                  <w:pPr>
                    <w:pStyle w:val="TableBodyText"/>
                  </w:pPr>
                  <w:r w:rsidRPr="006074B1">
                    <w:t>..</w:t>
                  </w:r>
                </w:p>
              </w:tc>
            </w:tr>
            <w:tr w:rsidR="00DB71D4" w:rsidRPr="0006049C" w14:paraId="57A6D3EB" w14:textId="77777777" w:rsidTr="00D751B8">
              <w:tc>
                <w:tcPr>
                  <w:tcW w:w="990" w:type="pct"/>
                </w:tcPr>
                <w:p w14:paraId="696CCB80" w14:textId="77777777" w:rsidR="00DB71D4" w:rsidRPr="00013DF9" w:rsidRDefault="00DB71D4" w:rsidP="00DB71D4">
                  <w:pPr>
                    <w:pStyle w:val="TableBodyText"/>
                    <w:jc w:val="left"/>
                    <w:rPr>
                      <w:szCs w:val="18"/>
                    </w:rPr>
                  </w:pPr>
                  <w:r>
                    <w:rPr>
                      <w:szCs w:val="18"/>
                    </w:rPr>
                    <w:t xml:space="preserve"> Backlog &gt;12 </w:t>
                  </w:r>
                  <w:proofErr w:type="spellStart"/>
                  <w:r>
                    <w:rPr>
                      <w:szCs w:val="18"/>
                    </w:rPr>
                    <w:t>mths</w:t>
                  </w:r>
                  <w:proofErr w:type="spellEnd"/>
                </w:p>
              </w:tc>
              <w:tc>
                <w:tcPr>
                  <w:tcW w:w="312" w:type="pct"/>
                </w:tcPr>
                <w:p w14:paraId="0DC7CF49" w14:textId="77777777" w:rsidR="00DB71D4" w:rsidRPr="00013DF9" w:rsidRDefault="00DB71D4" w:rsidP="00DB71D4">
                  <w:pPr>
                    <w:pStyle w:val="TableBodyText"/>
                    <w:ind w:left="0" w:right="28"/>
                    <w:rPr>
                      <w:szCs w:val="18"/>
                    </w:rPr>
                  </w:pPr>
                  <w:r>
                    <w:rPr>
                      <w:szCs w:val="18"/>
                    </w:rPr>
                    <w:t>%</w:t>
                  </w:r>
                </w:p>
              </w:tc>
              <w:tc>
                <w:tcPr>
                  <w:tcW w:w="580" w:type="pct"/>
                </w:tcPr>
                <w:p w14:paraId="4567D892" w14:textId="77777777" w:rsidR="00DB71D4" w:rsidRPr="00F54417" w:rsidRDefault="00DB71D4" w:rsidP="00DB71D4">
                  <w:pPr>
                    <w:pStyle w:val="TableBodyText"/>
                  </w:pPr>
                  <w:r>
                    <w:t>30.4</w:t>
                  </w:r>
                </w:p>
              </w:tc>
              <w:tc>
                <w:tcPr>
                  <w:tcW w:w="537" w:type="pct"/>
                </w:tcPr>
                <w:p w14:paraId="3BEC2398" w14:textId="77777777" w:rsidR="00DB71D4" w:rsidRPr="00F54417" w:rsidRDefault="00DB71D4" w:rsidP="00DB71D4">
                  <w:pPr>
                    <w:pStyle w:val="TableBodyText"/>
                  </w:pPr>
                  <w:r>
                    <w:t>33.3</w:t>
                  </w:r>
                </w:p>
              </w:tc>
              <w:tc>
                <w:tcPr>
                  <w:tcW w:w="465" w:type="pct"/>
                </w:tcPr>
                <w:p w14:paraId="6D1E4DCA" w14:textId="77777777" w:rsidR="00DB71D4" w:rsidRPr="00F54417" w:rsidRDefault="00DB71D4" w:rsidP="00DB71D4">
                  <w:pPr>
                    <w:pStyle w:val="TableBodyText"/>
                  </w:pPr>
                  <w:r w:rsidRPr="00F54417">
                    <w:t>..</w:t>
                  </w:r>
                </w:p>
              </w:tc>
              <w:tc>
                <w:tcPr>
                  <w:tcW w:w="423" w:type="pct"/>
                </w:tcPr>
                <w:p w14:paraId="3E9B3AD7" w14:textId="77777777" w:rsidR="00DB71D4" w:rsidRPr="00F54417" w:rsidRDefault="00DB71D4" w:rsidP="00DB71D4">
                  <w:pPr>
                    <w:pStyle w:val="TableBodyText"/>
                  </w:pPr>
                  <w:r>
                    <w:t>14.3</w:t>
                  </w:r>
                </w:p>
              </w:tc>
              <w:tc>
                <w:tcPr>
                  <w:tcW w:w="423" w:type="pct"/>
                </w:tcPr>
                <w:p w14:paraId="642D18B4" w14:textId="77777777" w:rsidR="00DB71D4" w:rsidRPr="00F54417" w:rsidRDefault="00DB71D4" w:rsidP="00DB71D4">
                  <w:pPr>
                    <w:pStyle w:val="TableBodyText"/>
                  </w:pPr>
                  <w:r>
                    <w:t>7.7</w:t>
                  </w:r>
                </w:p>
              </w:tc>
              <w:tc>
                <w:tcPr>
                  <w:tcW w:w="423" w:type="pct"/>
                </w:tcPr>
                <w:p w14:paraId="31199FFC" w14:textId="77777777" w:rsidR="00DB71D4" w:rsidRPr="00F54417" w:rsidRDefault="00DB71D4" w:rsidP="00DB71D4">
                  <w:pPr>
                    <w:pStyle w:val="TableBodyText"/>
                  </w:pPr>
                  <w:r w:rsidRPr="006074B1">
                    <w:t>..</w:t>
                  </w:r>
                </w:p>
              </w:tc>
              <w:tc>
                <w:tcPr>
                  <w:tcW w:w="423" w:type="pct"/>
                </w:tcPr>
                <w:p w14:paraId="3F1B6448" w14:textId="77777777" w:rsidR="00DB71D4" w:rsidRPr="00F54417" w:rsidRDefault="00DB71D4" w:rsidP="00DB71D4">
                  <w:pPr>
                    <w:pStyle w:val="TableBodyText"/>
                  </w:pPr>
                  <w:r w:rsidRPr="006074B1">
                    <w:t>..</w:t>
                  </w:r>
                </w:p>
              </w:tc>
              <w:tc>
                <w:tcPr>
                  <w:tcW w:w="424" w:type="pct"/>
                </w:tcPr>
                <w:p w14:paraId="18E300EA" w14:textId="77777777" w:rsidR="00DB71D4" w:rsidRPr="00F54417" w:rsidRDefault="00DB71D4" w:rsidP="00DB71D4">
                  <w:pPr>
                    <w:pStyle w:val="TableBodyText"/>
                  </w:pPr>
                  <w:r w:rsidRPr="006074B1">
                    <w:t>..</w:t>
                  </w:r>
                </w:p>
              </w:tc>
            </w:tr>
            <w:tr w:rsidR="00DB71D4" w:rsidRPr="0006049C" w14:paraId="62D814ED" w14:textId="77777777" w:rsidTr="00D751B8">
              <w:tc>
                <w:tcPr>
                  <w:tcW w:w="990" w:type="pct"/>
                </w:tcPr>
                <w:p w14:paraId="361CC014" w14:textId="77777777" w:rsidR="00DB71D4" w:rsidRPr="00013DF9" w:rsidRDefault="00DB71D4" w:rsidP="00DB71D4">
                  <w:pPr>
                    <w:pStyle w:val="TableBodyText"/>
                    <w:jc w:val="left"/>
                    <w:rPr>
                      <w:szCs w:val="18"/>
                    </w:rPr>
                  </w:pPr>
                  <w:r>
                    <w:rPr>
                      <w:szCs w:val="18"/>
                    </w:rPr>
                    <w:t xml:space="preserve"> Backlog &gt;24 </w:t>
                  </w:r>
                  <w:proofErr w:type="spellStart"/>
                  <w:r>
                    <w:rPr>
                      <w:szCs w:val="18"/>
                    </w:rPr>
                    <w:t>mths</w:t>
                  </w:r>
                  <w:proofErr w:type="spellEnd"/>
                </w:p>
              </w:tc>
              <w:tc>
                <w:tcPr>
                  <w:tcW w:w="312" w:type="pct"/>
                </w:tcPr>
                <w:p w14:paraId="080193B7" w14:textId="77777777" w:rsidR="00DB71D4" w:rsidRPr="00013DF9" w:rsidRDefault="00DB71D4" w:rsidP="00DB71D4">
                  <w:pPr>
                    <w:pStyle w:val="TableBodyText"/>
                    <w:ind w:left="0" w:right="28"/>
                    <w:rPr>
                      <w:szCs w:val="18"/>
                    </w:rPr>
                  </w:pPr>
                  <w:r>
                    <w:rPr>
                      <w:szCs w:val="18"/>
                    </w:rPr>
                    <w:t>%</w:t>
                  </w:r>
                </w:p>
              </w:tc>
              <w:tc>
                <w:tcPr>
                  <w:tcW w:w="580" w:type="pct"/>
                  <w:shd w:val="clear" w:color="auto" w:fill="auto"/>
                </w:tcPr>
                <w:p w14:paraId="3F8C7BCB" w14:textId="77777777" w:rsidR="00DB71D4" w:rsidRPr="00F54417" w:rsidRDefault="00DB71D4" w:rsidP="00DB71D4">
                  <w:pPr>
                    <w:pStyle w:val="TableBodyText"/>
                  </w:pPr>
                  <w:r>
                    <w:t>3.3</w:t>
                  </w:r>
                </w:p>
              </w:tc>
              <w:tc>
                <w:tcPr>
                  <w:tcW w:w="537" w:type="pct"/>
                </w:tcPr>
                <w:p w14:paraId="0B75E9F3" w14:textId="77777777" w:rsidR="00DB71D4" w:rsidRPr="00F54417" w:rsidRDefault="00DB71D4" w:rsidP="00DB71D4">
                  <w:pPr>
                    <w:pStyle w:val="TableBodyText"/>
                  </w:pPr>
                  <w:r>
                    <w:t>11.1</w:t>
                  </w:r>
                </w:p>
              </w:tc>
              <w:tc>
                <w:tcPr>
                  <w:tcW w:w="465" w:type="pct"/>
                </w:tcPr>
                <w:p w14:paraId="459CC287" w14:textId="77777777" w:rsidR="00DB71D4" w:rsidRPr="00F54417" w:rsidRDefault="00DB71D4" w:rsidP="00DB71D4">
                  <w:pPr>
                    <w:pStyle w:val="TableBodyText"/>
                  </w:pPr>
                  <w:r w:rsidRPr="00F54417">
                    <w:t>..</w:t>
                  </w:r>
                </w:p>
              </w:tc>
              <w:tc>
                <w:tcPr>
                  <w:tcW w:w="423" w:type="pct"/>
                </w:tcPr>
                <w:p w14:paraId="29DF982D" w14:textId="77777777" w:rsidR="00DB71D4" w:rsidRPr="00F54417" w:rsidRDefault="00DB71D4" w:rsidP="00DB71D4">
                  <w:pPr>
                    <w:pStyle w:val="TableBodyText"/>
                  </w:pPr>
                  <w:r w:rsidRPr="00F54417">
                    <w:t>–</w:t>
                  </w:r>
                </w:p>
              </w:tc>
              <w:tc>
                <w:tcPr>
                  <w:tcW w:w="423" w:type="pct"/>
                </w:tcPr>
                <w:p w14:paraId="01DDB5BE" w14:textId="77777777" w:rsidR="00DB71D4" w:rsidRPr="00F54417" w:rsidRDefault="00DB71D4" w:rsidP="00DB71D4">
                  <w:pPr>
                    <w:pStyle w:val="TableBodyText"/>
                  </w:pPr>
                  <w:r>
                    <w:t>7.7</w:t>
                  </w:r>
                </w:p>
              </w:tc>
              <w:tc>
                <w:tcPr>
                  <w:tcW w:w="423" w:type="pct"/>
                </w:tcPr>
                <w:p w14:paraId="3191E0C3" w14:textId="77777777" w:rsidR="00DB71D4" w:rsidRPr="00F54417" w:rsidRDefault="00DB71D4" w:rsidP="00DB71D4">
                  <w:pPr>
                    <w:pStyle w:val="TableBodyText"/>
                  </w:pPr>
                  <w:r w:rsidRPr="006074B1">
                    <w:t>..</w:t>
                  </w:r>
                </w:p>
              </w:tc>
              <w:tc>
                <w:tcPr>
                  <w:tcW w:w="423" w:type="pct"/>
                </w:tcPr>
                <w:p w14:paraId="44686F29" w14:textId="77777777" w:rsidR="00DB71D4" w:rsidRPr="00F54417" w:rsidRDefault="00DB71D4" w:rsidP="00DB71D4">
                  <w:pPr>
                    <w:pStyle w:val="TableBodyText"/>
                  </w:pPr>
                  <w:r w:rsidRPr="006074B1">
                    <w:t>..</w:t>
                  </w:r>
                </w:p>
              </w:tc>
              <w:tc>
                <w:tcPr>
                  <w:tcW w:w="424" w:type="pct"/>
                </w:tcPr>
                <w:p w14:paraId="757D4BF6" w14:textId="77777777" w:rsidR="00DB71D4" w:rsidRPr="00F54417" w:rsidRDefault="00DB71D4" w:rsidP="00DB71D4">
                  <w:pPr>
                    <w:pStyle w:val="TableBodyText"/>
                  </w:pPr>
                  <w:r w:rsidRPr="006074B1">
                    <w:t>..</w:t>
                  </w:r>
                </w:p>
              </w:tc>
            </w:tr>
            <w:tr w:rsidR="00DB71D4" w:rsidRPr="0006049C" w14:paraId="017C1D1A" w14:textId="77777777" w:rsidTr="00D751B8">
              <w:tc>
                <w:tcPr>
                  <w:tcW w:w="990" w:type="pct"/>
                </w:tcPr>
                <w:p w14:paraId="16A7ABFB" w14:textId="77777777" w:rsidR="00DB71D4" w:rsidRPr="00046ACB" w:rsidRDefault="00DB71D4" w:rsidP="00DB71D4">
                  <w:pPr>
                    <w:pStyle w:val="TableBodyText"/>
                    <w:jc w:val="left"/>
                  </w:pPr>
                  <w:r>
                    <w:t xml:space="preserve"> </w:t>
                  </w:r>
                  <w:r w:rsidRPr="00046ACB">
                    <w:t>Attendance</w:t>
                  </w:r>
                </w:p>
              </w:tc>
              <w:tc>
                <w:tcPr>
                  <w:tcW w:w="312" w:type="pct"/>
                </w:tcPr>
                <w:p w14:paraId="397D7488" w14:textId="77777777" w:rsidR="00DB71D4" w:rsidRPr="008A7DD0" w:rsidRDefault="00DB71D4" w:rsidP="00DB71D4">
                  <w:pPr>
                    <w:pStyle w:val="TableBodyText"/>
                    <w:ind w:left="0" w:right="28"/>
                    <w:rPr>
                      <w:szCs w:val="16"/>
                    </w:rPr>
                  </w:pPr>
                  <w:r>
                    <w:rPr>
                      <w:szCs w:val="16"/>
                    </w:rPr>
                    <w:t>n</w:t>
                  </w:r>
                  <w:r w:rsidRPr="008A7DD0">
                    <w:rPr>
                      <w:szCs w:val="16"/>
                    </w:rPr>
                    <w:t>o.</w:t>
                  </w:r>
                </w:p>
              </w:tc>
              <w:tc>
                <w:tcPr>
                  <w:tcW w:w="580" w:type="pct"/>
                  <w:shd w:val="clear" w:color="auto" w:fill="auto"/>
                </w:tcPr>
                <w:p w14:paraId="1CEC4FAA" w14:textId="77777777" w:rsidR="00DB71D4" w:rsidRPr="00F54417" w:rsidRDefault="00DB71D4" w:rsidP="00DB71D4">
                  <w:pPr>
                    <w:pStyle w:val="TableBodyText"/>
                  </w:pPr>
                  <w:r>
                    <w:t>9.0</w:t>
                  </w:r>
                </w:p>
              </w:tc>
              <w:tc>
                <w:tcPr>
                  <w:tcW w:w="537" w:type="pct"/>
                  <w:shd w:val="clear" w:color="auto" w:fill="auto"/>
                </w:tcPr>
                <w:p w14:paraId="30B8E076" w14:textId="77777777" w:rsidR="00DB71D4" w:rsidRPr="00F54417" w:rsidRDefault="00DB71D4" w:rsidP="00DB71D4">
                  <w:pPr>
                    <w:pStyle w:val="TableBodyText"/>
                  </w:pPr>
                  <w:r>
                    <w:t>8.7</w:t>
                  </w:r>
                </w:p>
              </w:tc>
              <w:tc>
                <w:tcPr>
                  <w:tcW w:w="465" w:type="pct"/>
                  <w:shd w:val="clear" w:color="auto" w:fill="auto"/>
                </w:tcPr>
                <w:p w14:paraId="3F87CF15" w14:textId="77777777" w:rsidR="00DB71D4" w:rsidRPr="00F54417" w:rsidRDefault="00DB71D4" w:rsidP="00DB71D4">
                  <w:pPr>
                    <w:pStyle w:val="TableBodyText"/>
                  </w:pPr>
                  <w:r w:rsidRPr="00703D5C">
                    <w:t>3.0</w:t>
                  </w:r>
                </w:p>
              </w:tc>
              <w:tc>
                <w:tcPr>
                  <w:tcW w:w="423" w:type="pct"/>
                  <w:shd w:val="clear" w:color="auto" w:fill="auto"/>
                </w:tcPr>
                <w:p w14:paraId="582025A7" w14:textId="77777777" w:rsidR="00DB71D4" w:rsidRPr="00F54417" w:rsidRDefault="00DB71D4" w:rsidP="00DB71D4">
                  <w:pPr>
                    <w:pStyle w:val="TableBodyText"/>
                  </w:pPr>
                  <w:r>
                    <w:t>4.9</w:t>
                  </w:r>
                </w:p>
              </w:tc>
              <w:tc>
                <w:tcPr>
                  <w:tcW w:w="423" w:type="pct"/>
                  <w:shd w:val="clear" w:color="auto" w:fill="auto"/>
                </w:tcPr>
                <w:p w14:paraId="64516D61" w14:textId="77777777" w:rsidR="00DB71D4" w:rsidRPr="00F54417" w:rsidRDefault="00DB71D4" w:rsidP="00DB71D4">
                  <w:pPr>
                    <w:pStyle w:val="TableBodyText"/>
                  </w:pPr>
                  <w:r>
                    <w:t>4.7</w:t>
                  </w:r>
                </w:p>
              </w:tc>
              <w:tc>
                <w:tcPr>
                  <w:tcW w:w="423" w:type="pct"/>
                </w:tcPr>
                <w:p w14:paraId="22DE09CB" w14:textId="77777777" w:rsidR="00DB71D4" w:rsidRPr="00F54417" w:rsidRDefault="00DB71D4" w:rsidP="00DB71D4">
                  <w:pPr>
                    <w:pStyle w:val="TableBodyText"/>
                  </w:pPr>
                  <w:r w:rsidRPr="006074B1">
                    <w:t>..</w:t>
                  </w:r>
                </w:p>
              </w:tc>
              <w:tc>
                <w:tcPr>
                  <w:tcW w:w="423" w:type="pct"/>
                </w:tcPr>
                <w:p w14:paraId="3B2A6545" w14:textId="77777777" w:rsidR="00DB71D4" w:rsidRPr="00F54417" w:rsidRDefault="00DB71D4" w:rsidP="00DB71D4">
                  <w:pPr>
                    <w:pStyle w:val="TableBodyText"/>
                  </w:pPr>
                  <w:r w:rsidRPr="006074B1">
                    <w:t>..</w:t>
                  </w:r>
                </w:p>
              </w:tc>
              <w:tc>
                <w:tcPr>
                  <w:tcW w:w="424" w:type="pct"/>
                </w:tcPr>
                <w:p w14:paraId="647BEE91" w14:textId="77777777" w:rsidR="00DB71D4" w:rsidRPr="00F54417" w:rsidRDefault="00DB71D4" w:rsidP="00DB71D4">
                  <w:pPr>
                    <w:pStyle w:val="TableBodyText"/>
                  </w:pPr>
                  <w:r w:rsidRPr="006074B1">
                    <w:t>..</w:t>
                  </w:r>
                </w:p>
              </w:tc>
            </w:tr>
            <w:tr w:rsidR="00DB71D4" w:rsidRPr="0006049C" w14:paraId="426CEED2" w14:textId="77777777" w:rsidTr="00D751B8">
              <w:trPr>
                <w:trHeight w:val="258"/>
              </w:trPr>
              <w:tc>
                <w:tcPr>
                  <w:tcW w:w="990" w:type="pct"/>
                </w:tcPr>
                <w:p w14:paraId="11751B8E" w14:textId="77777777" w:rsidR="00DB71D4" w:rsidRPr="00046ACB" w:rsidRDefault="00DB71D4" w:rsidP="00DB71D4">
                  <w:pPr>
                    <w:pStyle w:val="TableBodyText"/>
                    <w:jc w:val="left"/>
                  </w:pPr>
                  <w:r>
                    <w:t xml:space="preserve"> Clearance rate</w:t>
                  </w:r>
                </w:p>
              </w:tc>
              <w:tc>
                <w:tcPr>
                  <w:tcW w:w="312" w:type="pct"/>
                </w:tcPr>
                <w:p w14:paraId="54AED766" w14:textId="77777777" w:rsidR="00DB71D4" w:rsidRPr="00C83D72" w:rsidRDefault="00DB71D4" w:rsidP="00DB71D4">
                  <w:pPr>
                    <w:pStyle w:val="TableBodyText"/>
                    <w:ind w:left="0" w:right="28"/>
                    <w:rPr>
                      <w:iCs/>
                      <w:szCs w:val="16"/>
                    </w:rPr>
                  </w:pPr>
                  <w:r w:rsidRPr="00C83D72">
                    <w:rPr>
                      <w:iCs/>
                      <w:szCs w:val="16"/>
                    </w:rPr>
                    <w:t>%</w:t>
                  </w:r>
                </w:p>
              </w:tc>
              <w:tc>
                <w:tcPr>
                  <w:tcW w:w="580" w:type="pct"/>
                </w:tcPr>
                <w:p w14:paraId="528A4DF7" w14:textId="77777777" w:rsidR="00DB71D4" w:rsidRPr="00F54417" w:rsidRDefault="00DB71D4" w:rsidP="00DB71D4">
                  <w:pPr>
                    <w:pStyle w:val="TableBodyText"/>
                  </w:pPr>
                  <w:r>
                    <w:t>103.4</w:t>
                  </w:r>
                </w:p>
              </w:tc>
              <w:tc>
                <w:tcPr>
                  <w:tcW w:w="537" w:type="pct"/>
                </w:tcPr>
                <w:p w14:paraId="1EDDE016" w14:textId="77777777" w:rsidR="00DB71D4" w:rsidRPr="00F54417" w:rsidRDefault="00DB71D4" w:rsidP="00DB71D4">
                  <w:pPr>
                    <w:pStyle w:val="TableBodyText"/>
                  </w:pPr>
                  <w:r>
                    <w:t>268.4</w:t>
                  </w:r>
                </w:p>
              </w:tc>
              <w:tc>
                <w:tcPr>
                  <w:tcW w:w="465" w:type="pct"/>
                </w:tcPr>
                <w:p w14:paraId="40EA8049" w14:textId="77777777" w:rsidR="00DB71D4" w:rsidRPr="00F54417" w:rsidRDefault="00DB71D4" w:rsidP="00DB71D4">
                  <w:pPr>
                    <w:pStyle w:val="TableBodyText"/>
                  </w:pPr>
                  <w:r>
                    <w:t>100.0</w:t>
                  </w:r>
                </w:p>
              </w:tc>
              <w:tc>
                <w:tcPr>
                  <w:tcW w:w="423" w:type="pct"/>
                </w:tcPr>
                <w:p w14:paraId="7F48579E" w14:textId="77777777" w:rsidR="00DB71D4" w:rsidRPr="00F54417" w:rsidRDefault="00DB71D4" w:rsidP="00DB71D4">
                  <w:pPr>
                    <w:pStyle w:val="TableBodyText"/>
                  </w:pPr>
                  <w:r>
                    <w:t>100.0</w:t>
                  </w:r>
                </w:p>
              </w:tc>
              <w:tc>
                <w:tcPr>
                  <w:tcW w:w="423" w:type="pct"/>
                </w:tcPr>
                <w:p w14:paraId="15564635" w14:textId="77777777" w:rsidR="00DB71D4" w:rsidRPr="00F54417" w:rsidRDefault="00DB71D4" w:rsidP="00DB71D4">
                  <w:pPr>
                    <w:pStyle w:val="TableBodyText"/>
                  </w:pPr>
                  <w:r>
                    <w:t>55.6</w:t>
                  </w:r>
                </w:p>
              </w:tc>
              <w:tc>
                <w:tcPr>
                  <w:tcW w:w="423" w:type="pct"/>
                </w:tcPr>
                <w:p w14:paraId="29D011D5" w14:textId="77777777" w:rsidR="00DB71D4" w:rsidRPr="00F54417" w:rsidRDefault="00DB71D4" w:rsidP="00DB71D4">
                  <w:pPr>
                    <w:pStyle w:val="TableBodyText"/>
                  </w:pPr>
                  <w:r w:rsidRPr="00F54417">
                    <w:t>..</w:t>
                  </w:r>
                </w:p>
              </w:tc>
              <w:tc>
                <w:tcPr>
                  <w:tcW w:w="423" w:type="pct"/>
                </w:tcPr>
                <w:p w14:paraId="2E48E329" w14:textId="77777777" w:rsidR="00DB71D4" w:rsidRPr="00F54417" w:rsidRDefault="00DB71D4" w:rsidP="00DB71D4">
                  <w:pPr>
                    <w:pStyle w:val="TableBodyText"/>
                  </w:pPr>
                  <w:r w:rsidRPr="00F54417">
                    <w:t>..</w:t>
                  </w:r>
                </w:p>
              </w:tc>
              <w:tc>
                <w:tcPr>
                  <w:tcW w:w="424" w:type="pct"/>
                </w:tcPr>
                <w:p w14:paraId="3D3F5A03" w14:textId="77777777" w:rsidR="00DB71D4" w:rsidRPr="00F54417" w:rsidRDefault="00DB71D4" w:rsidP="00DB71D4">
                  <w:pPr>
                    <w:pStyle w:val="TableBodyText"/>
                  </w:pPr>
                  <w:r w:rsidRPr="00F54417">
                    <w:t>..</w:t>
                  </w:r>
                </w:p>
              </w:tc>
            </w:tr>
            <w:tr w:rsidR="00DB71D4" w:rsidRPr="00013DF9" w14:paraId="320D7D40" w14:textId="77777777" w:rsidTr="00D751B8">
              <w:tc>
                <w:tcPr>
                  <w:tcW w:w="5000" w:type="pct"/>
                  <w:gridSpan w:val="10"/>
                </w:tcPr>
                <w:p w14:paraId="6812BDF0" w14:textId="77777777" w:rsidR="00DB71D4" w:rsidRPr="00F54417" w:rsidRDefault="00DB71D4" w:rsidP="00DB71D4">
                  <w:pPr>
                    <w:pStyle w:val="TableBodyText"/>
                    <w:jc w:val="left"/>
                    <w:rPr>
                      <w:rStyle w:val="NoteLabel"/>
                      <w:b w:val="0"/>
                      <w:position w:val="0"/>
                    </w:rPr>
                  </w:pPr>
                  <w:r w:rsidRPr="00F54417">
                    <w:rPr>
                      <w:b/>
                    </w:rPr>
                    <w:t>Magistrates’</w:t>
                  </w:r>
                </w:p>
              </w:tc>
            </w:tr>
            <w:tr w:rsidR="00DB71D4" w:rsidRPr="00E11FC5" w14:paraId="6EF80E47" w14:textId="77777777" w:rsidTr="00D751B8">
              <w:tc>
                <w:tcPr>
                  <w:tcW w:w="990" w:type="pct"/>
                </w:tcPr>
                <w:p w14:paraId="4A8ACAA7" w14:textId="77777777" w:rsidR="00DB71D4" w:rsidRPr="00013DF9" w:rsidRDefault="00DB71D4" w:rsidP="00DB71D4">
                  <w:pPr>
                    <w:pStyle w:val="TableBodyText"/>
                    <w:jc w:val="left"/>
                    <w:rPr>
                      <w:szCs w:val="18"/>
                    </w:rPr>
                  </w:pPr>
                  <w:r w:rsidRPr="00013DF9">
                    <w:rPr>
                      <w:szCs w:val="18"/>
                    </w:rPr>
                    <w:t xml:space="preserve"> </w:t>
                  </w:r>
                  <w:proofErr w:type="spellStart"/>
                  <w:r w:rsidRPr="00013DF9">
                    <w:rPr>
                      <w:szCs w:val="18"/>
                    </w:rPr>
                    <w:t>Lodgments</w:t>
                  </w:r>
                  <w:proofErr w:type="spellEnd"/>
                </w:p>
              </w:tc>
              <w:tc>
                <w:tcPr>
                  <w:tcW w:w="312" w:type="pct"/>
                </w:tcPr>
                <w:p w14:paraId="498D50AB" w14:textId="77777777" w:rsidR="00DB71D4" w:rsidRPr="00013DF9" w:rsidRDefault="00DB71D4" w:rsidP="00DB71D4">
                  <w:pPr>
                    <w:pStyle w:val="TableBodyText"/>
                    <w:ind w:left="0" w:right="28"/>
                    <w:rPr>
                      <w:szCs w:val="18"/>
                    </w:rPr>
                  </w:pPr>
                  <w:r>
                    <w:rPr>
                      <w:szCs w:val="18"/>
                    </w:rPr>
                    <w:t>no.</w:t>
                  </w:r>
                </w:p>
              </w:tc>
              <w:tc>
                <w:tcPr>
                  <w:tcW w:w="580" w:type="pct"/>
                </w:tcPr>
                <w:p w14:paraId="4D5C8E75" w14:textId="77777777" w:rsidR="00DB71D4" w:rsidRPr="00F54417" w:rsidRDefault="00DB71D4" w:rsidP="00DB71D4">
                  <w:pPr>
                    <w:pStyle w:val="TableBodyText"/>
                  </w:pPr>
                  <w:r w:rsidRPr="00F54417">
                    <w:t>2</w:t>
                  </w:r>
                  <w:r>
                    <w:t>48</w:t>
                  </w:r>
                </w:p>
              </w:tc>
              <w:tc>
                <w:tcPr>
                  <w:tcW w:w="537" w:type="pct"/>
                </w:tcPr>
                <w:p w14:paraId="72D1EC47" w14:textId="77777777" w:rsidR="00DB71D4" w:rsidRPr="009E5732" w:rsidRDefault="00DB71D4" w:rsidP="00DB71D4">
                  <w:pPr>
                    <w:pStyle w:val="TableBodyText"/>
                  </w:pPr>
                  <w:r w:rsidRPr="009E5732">
                    <w:t>157</w:t>
                  </w:r>
                </w:p>
              </w:tc>
              <w:tc>
                <w:tcPr>
                  <w:tcW w:w="465" w:type="pct"/>
                </w:tcPr>
                <w:p w14:paraId="7A624E75" w14:textId="77777777" w:rsidR="00DB71D4" w:rsidRPr="00F54417" w:rsidRDefault="00DB71D4" w:rsidP="00DB71D4">
                  <w:pPr>
                    <w:pStyle w:val="TableBodyText"/>
                  </w:pPr>
                  <w:r w:rsidRPr="00F54417">
                    <w:t>1</w:t>
                  </w:r>
                  <w:r>
                    <w:t>11</w:t>
                  </w:r>
                </w:p>
              </w:tc>
              <w:tc>
                <w:tcPr>
                  <w:tcW w:w="423" w:type="pct"/>
                </w:tcPr>
                <w:p w14:paraId="2868E9A6" w14:textId="77777777" w:rsidR="00DB71D4" w:rsidRPr="00F54417" w:rsidRDefault="00DB71D4" w:rsidP="00DB71D4">
                  <w:pPr>
                    <w:pStyle w:val="TableBodyText"/>
                  </w:pPr>
                  <w:r>
                    <w:t>73</w:t>
                  </w:r>
                </w:p>
              </w:tc>
              <w:tc>
                <w:tcPr>
                  <w:tcW w:w="423" w:type="pct"/>
                </w:tcPr>
                <w:p w14:paraId="5BD8449E" w14:textId="77777777" w:rsidR="00DB71D4" w:rsidRPr="00F54417" w:rsidRDefault="00DB71D4" w:rsidP="00DB71D4">
                  <w:pPr>
                    <w:pStyle w:val="TableBodyText"/>
                  </w:pPr>
                  <w:r>
                    <w:t>79</w:t>
                  </w:r>
                </w:p>
              </w:tc>
              <w:tc>
                <w:tcPr>
                  <w:tcW w:w="423" w:type="pct"/>
                </w:tcPr>
                <w:p w14:paraId="12CD4DE6" w14:textId="77777777" w:rsidR="00DB71D4" w:rsidRPr="00F54417" w:rsidRDefault="00DB71D4" w:rsidP="00DB71D4">
                  <w:pPr>
                    <w:pStyle w:val="TableBodyText"/>
                  </w:pPr>
                  <w:r>
                    <w:t>13</w:t>
                  </w:r>
                </w:p>
              </w:tc>
              <w:tc>
                <w:tcPr>
                  <w:tcW w:w="423" w:type="pct"/>
                </w:tcPr>
                <w:p w14:paraId="693224A1" w14:textId="77777777" w:rsidR="00DB71D4" w:rsidRPr="00F54417" w:rsidRDefault="00DB71D4" w:rsidP="00DB71D4">
                  <w:pPr>
                    <w:pStyle w:val="TableBodyText"/>
                  </w:pPr>
                  <w:r>
                    <w:t>2</w:t>
                  </w:r>
                </w:p>
              </w:tc>
              <w:tc>
                <w:tcPr>
                  <w:tcW w:w="424" w:type="pct"/>
                </w:tcPr>
                <w:p w14:paraId="43B4178B" w14:textId="77777777" w:rsidR="00DB71D4" w:rsidRPr="00F54417" w:rsidRDefault="00DB71D4" w:rsidP="00DB71D4">
                  <w:pPr>
                    <w:pStyle w:val="TableBodyText"/>
                  </w:pPr>
                  <w:r w:rsidRPr="00F54417">
                    <w:t>1</w:t>
                  </w:r>
                  <w:r>
                    <w:t>6</w:t>
                  </w:r>
                </w:p>
              </w:tc>
            </w:tr>
            <w:tr w:rsidR="00DB71D4" w:rsidRPr="00E11FC5" w14:paraId="245BA5CC" w14:textId="77777777" w:rsidTr="00D751B8">
              <w:tc>
                <w:tcPr>
                  <w:tcW w:w="990" w:type="pct"/>
                </w:tcPr>
                <w:p w14:paraId="3D48B161" w14:textId="77777777" w:rsidR="00DB71D4" w:rsidRPr="00013DF9" w:rsidRDefault="00DB71D4" w:rsidP="00DB71D4">
                  <w:pPr>
                    <w:pStyle w:val="TableBodyText"/>
                    <w:jc w:val="left"/>
                    <w:rPr>
                      <w:szCs w:val="18"/>
                    </w:rPr>
                  </w:pPr>
                  <w:r w:rsidRPr="00013DF9">
                    <w:rPr>
                      <w:szCs w:val="18"/>
                    </w:rPr>
                    <w:t xml:space="preserve"> Finalisations</w:t>
                  </w:r>
                </w:p>
              </w:tc>
              <w:tc>
                <w:tcPr>
                  <w:tcW w:w="312" w:type="pct"/>
                </w:tcPr>
                <w:p w14:paraId="28C9AC2F" w14:textId="77777777" w:rsidR="00DB71D4" w:rsidRPr="00013DF9" w:rsidRDefault="00DB71D4" w:rsidP="00DB71D4">
                  <w:pPr>
                    <w:pStyle w:val="TableBodyText"/>
                    <w:ind w:left="0" w:right="28"/>
                    <w:rPr>
                      <w:szCs w:val="18"/>
                    </w:rPr>
                  </w:pPr>
                  <w:r>
                    <w:rPr>
                      <w:szCs w:val="18"/>
                    </w:rPr>
                    <w:t>no.</w:t>
                  </w:r>
                </w:p>
              </w:tc>
              <w:tc>
                <w:tcPr>
                  <w:tcW w:w="580" w:type="pct"/>
                </w:tcPr>
                <w:p w14:paraId="5BDF47A9" w14:textId="77777777" w:rsidR="00DB71D4" w:rsidRPr="00F54417" w:rsidRDefault="00DB71D4" w:rsidP="00DB71D4">
                  <w:pPr>
                    <w:pStyle w:val="TableBodyText"/>
                  </w:pPr>
                  <w:r>
                    <w:t>196</w:t>
                  </w:r>
                </w:p>
              </w:tc>
              <w:tc>
                <w:tcPr>
                  <w:tcW w:w="537" w:type="pct"/>
                </w:tcPr>
                <w:p w14:paraId="1FCD0E44" w14:textId="77777777" w:rsidR="00DB71D4" w:rsidRPr="009E5732" w:rsidRDefault="00DB71D4" w:rsidP="00DB71D4">
                  <w:pPr>
                    <w:pStyle w:val="TableBodyText"/>
                  </w:pPr>
                  <w:r w:rsidRPr="009E5732">
                    <w:t>73</w:t>
                  </w:r>
                </w:p>
              </w:tc>
              <w:tc>
                <w:tcPr>
                  <w:tcW w:w="465" w:type="pct"/>
                </w:tcPr>
                <w:p w14:paraId="18A90173" w14:textId="77777777" w:rsidR="00DB71D4" w:rsidRPr="00F54417" w:rsidRDefault="00DB71D4" w:rsidP="00DB71D4">
                  <w:pPr>
                    <w:pStyle w:val="TableBodyText"/>
                  </w:pPr>
                  <w:r w:rsidRPr="00F54417">
                    <w:t>10</w:t>
                  </w:r>
                  <w:r>
                    <w:t>3</w:t>
                  </w:r>
                </w:p>
              </w:tc>
              <w:tc>
                <w:tcPr>
                  <w:tcW w:w="423" w:type="pct"/>
                </w:tcPr>
                <w:p w14:paraId="26A95BD7" w14:textId="77777777" w:rsidR="00DB71D4" w:rsidRPr="00F54417" w:rsidRDefault="00DB71D4" w:rsidP="00DB71D4">
                  <w:pPr>
                    <w:pStyle w:val="TableBodyText"/>
                  </w:pPr>
                  <w:r>
                    <w:t>84</w:t>
                  </w:r>
                </w:p>
              </w:tc>
              <w:tc>
                <w:tcPr>
                  <w:tcW w:w="423" w:type="pct"/>
                </w:tcPr>
                <w:p w14:paraId="4A351063" w14:textId="77777777" w:rsidR="00DB71D4" w:rsidRPr="00F54417" w:rsidRDefault="00DB71D4" w:rsidP="00DB71D4">
                  <w:pPr>
                    <w:pStyle w:val="TableBodyText"/>
                  </w:pPr>
                  <w:r>
                    <w:t>82</w:t>
                  </w:r>
                </w:p>
              </w:tc>
              <w:tc>
                <w:tcPr>
                  <w:tcW w:w="423" w:type="pct"/>
                </w:tcPr>
                <w:p w14:paraId="70C2722A" w14:textId="77777777" w:rsidR="00DB71D4" w:rsidRPr="00F54417" w:rsidRDefault="00DB71D4" w:rsidP="00DB71D4">
                  <w:pPr>
                    <w:pStyle w:val="TableBodyText"/>
                  </w:pPr>
                  <w:r>
                    <w:t>11</w:t>
                  </w:r>
                </w:p>
              </w:tc>
              <w:tc>
                <w:tcPr>
                  <w:tcW w:w="423" w:type="pct"/>
                </w:tcPr>
                <w:p w14:paraId="6EA2AB0B" w14:textId="77777777" w:rsidR="00DB71D4" w:rsidRPr="00F54417" w:rsidRDefault="00DB71D4" w:rsidP="00DB71D4">
                  <w:pPr>
                    <w:pStyle w:val="TableBodyText"/>
                  </w:pPr>
                  <w:r>
                    <w:t>6</w:t>
                  </w:r>
                </w:p>
              </w:tc>
              <w:tc>
                <w:tcPr>
                  <w:tcW w:w="424" w:type="pct"/>
                </w:tcPr>
                <w:p w14:paraId="7188B383" w14:textId="77777777" w:rsidR="00DB71D4" w:rsidRPr="00F54417" w:rsidRDefault="00DB71D4" w:rsidP="00DB71D4">
                  <w:pPr>
                    <w:pStyle w:val="TableBodyText"/>
                  </w:pPr>
                  <w:r w:rsidRPr="00F54417">
                    <w:t>1</w:t>
                  </w:r>
                  <w:r>
                    <w:t>4</w:t>
                  </w:r>
                </w:p>
              </w:tc>
            </w:tr>
            <w:tr w:rsidR="00DB71D4" w:rsidRPr="00E11FC5" w14:paraId="682BE978" w14:textId="77777777" w:rsidTr="00D751B8">
              <w:tc>
                <w:tcPr>
                  <w:tcW w:w="990" w:type="pct"/>
                </w:tcPr>
                <w:p w14:paraId="6AF44AAA" w14:textId="77777777" w:rsidR="00DB71D4" w:rsidRPr="00046ACB" w:rsidRDefault="00DB71D4" w:rsidP="00DB71D4">
                  <w:pPr>
                    <w:pStyle w:val="TableBodyText"/>
                    <w:jc w:val="left"/>
                  </w:pPr>
                  <w:r>
                    <w:t xml:space="preserve"> Pending</w:t>
                  </w:r>
                </w:p>
              </w:tc>
              <w:tc>
                <w:tcPr>
                  <w:tcW w:w="312" w:type="pct"/>
                </w:tcPr>
                <w:p w14:paraId="38E14781" w14:textId="77777777" w:rsidR="00DB71D4" w:rsidRPr="004B239F" w:rsidRDefault="00DB71D4" w:rsidP="00DB71D4">
                  <w:pPr>
                    <w:pStyle w:val="TableBodyText"/>
                    <w:ind w:left="0" w:right="28"/>
                    <w:rPr>
                      <w:szCs w:val="16"/>
                    </w:rPr>
                  </w:pPr>
                  <w:r w:rsidRPr="004B239F">
                    <w:rPr>
                      <w:szCs w:val="16"/>
                    </w:rPr>
                    <w:t>no.</w:t>
                  </w:r>
                </w:p>
              </w:tc>
              <w:tc>
                <w:tcPr>
                  <w:tcW w:w="580" w:type="pct"/>
                </w:tcPr>
                <w:p w14:paraId="3581017F" w14:textId="77777777" w:rsidR="00DB71D4" w:rsidRPr="00F54417" w:rsidRDefault="00DB71D4" w:rsidP="00DB71D4">
                  <w:pPr>
                    <w:pStyle w:val="TableBodyText"/>
                  </w:pPr>
                  <w:r>
                    <w:t>254</w:t>
                  </w:r>
                </w:p>
              </w:tc>
              <w:tc>
                <w:tcPr>
                  <w:tcW w:w="537" w:type="pct"/>
                </w:tcPr>
                <w:p w14:paraId="3123329D" w14:textId="77777777" w:rsidR="00DB71D4" w:rsidRPr="00703D5C" w:rsidRDefault="00DB71D4" w:rsidP="00DB71D4">
                  <w:pPr>
                    <w:pStyle w:val="TableBodyText"/>
                  </w:pPr>
                  <w:r w:rsidRPr="00703D5C">
                    <w:t>97</w:t>
                  </w:r>
                </w:p>
              </w:tc>
              <w:tc>
                <w:tcPr>
                  <w:tcW w:w="465" w:type="pct"/>
                </w:tcPr>
                <w:p w14:paraId="2E5983D5" w14:textId="77777777" w:rsidR="00DB71D4" w:rsidRPr="00F54417" w:rsidRDefault="00DB71D4" w:rsidP="00DB71D4">
                  <w:pPr>
                    <w:pStyle w:val="TableBodyText"/>
                  </w:pPr>
                  <w:r>
                    <w:t>156</w:t>
                  </w:r>
                </w:p>
              </w:tc>
              <w:tc>
                <w:tcPr>
                  <w:tcW w:w="423" w:type="pct"/>
                </w:tcPr>
                <w:p w14:paraId="3B235134" w14:textId="77777777" w:rsidR="00DB71D4" w:rsidRPr="00F54417" w:rsidRDefault="00DB71D4" w:rsidP="00DB71D4">
                  <w:pPr>
                    <w:pStyle w:val="TableBodyText"/>
                  </w:pPr>
                  <w:r>
                    <w:t>41</w:t>
                  </w:r>
                </w:p>
              </w:tc>
              <w:tc>
                <w:tcPr>
                  <w:tcW w:w="423" w:type="pct"/>
                </w:tcPr>
                <w:p w14:paraId="54EF1507" w14:textId="77777777" w:rsidR="00DB71D4" w:rsidRPr="00F54417" w:rsidRDefault="00DB71D4" w:rsidP="00DB71D4">
                  <w:pPr>
                    <w:pStyle w:val="TableBodyText"/>
                  </w:pPr>
                  <w:r>
                    <w:t>36</w:t>
                  </w:r>
                </w:p>
              </w:tc>
              <w:tc>
                <w:tcPr>
                  <w:tcW w:w="423" w:type="pct"/>
                </w:tcPr>
                <w:p w14:paraId="73067EEA" w14:textId="77777777" w:rsidR="00DB71D4" w:rsidRPr="00F54417" w:rsidRDefault="00DB71D4" w:rsidP="00DB71D4">
                  <w:pPr>
                    <w:pStyle w:val="TableBodyText"/>
                  </w:pPr>
                  <w:r>
                    <w:t>3</w:t>
                  </w:r>
                </w:p>
              </w:tc>
              <w:tc>
                <w:tcPr>
                  <w:tcW w:w="423" w:type="pct"/>
                </w:tcPr>
                <w:p w14:paraId="5B3FBAE3" w14:textId="77777777" w:rsidR="00DB71D4" w:rsidRPr="00F54417" w:rsidRDefault="00DB71D4" w:rsidP="00DB71D4">
                  <w:pPr>
                    <w:pStyle w:val="TableBodyText"/>
                  </w:pPr>
                  <w:r>
                    <w:t>2</w:t>
                  </w:r>
                </w:p>
              </w:tc>
              <w:tc>
                <w:tcPr>
                  <w:tcW w:w="424" w:type="pct"/>
                </w:tcPr>
                <w:p w14:paraId="36F17540" w14:textId="77777777" w:rsidR="00DB71D4" w:rsidRPr="00F54417" w:rsidRDefault="00DB71D4" w:rsidP="00DB71D4">
                  <w:pPr>
                    <w:pStyle w:val="TableBodyText"/>
                  </w:pPr>
                  <w:r>
                    <w:t>9</w:t>
                  </w:r>
                </w:p>
              </w:tc>
            </w:tr>
            <w:tr w:rsidR="00DB71D4" w:rsidRPr="00E11FC5" w14:paraId="08DA99CA" w14:textId="77777777" w:rsidTr="00D751B8">
              <w:tc>
                <w:tcPr>
                  <w:tcW w:w="990" w:type="pct"/>
                </w:tcPr>
                <w:p w14:paraId="77A89CE6" w14:textId="77777777" w:rsidR="00DB71D4" w:rsidRPr="00013DF9" w:rsidRDefault="00DB71D4" w:rsidP="00DB71D4">
                  <w:pPr>
                    <w:pStyle w:val="TableBodyText"/>
                    <w:jc w:val="left"/>
                    <w:rPr>
                      <w:szCs w:val="18"/>
                    </w:rPr>
                  </w:pPr>
                  <w:r>
                    <w:rPr>
                      <w:szCs w:val="18"/>
                    </w:rPr>
                    <w:t xml:space="preserve"> Backlog &gt;6 </w:t>
                  </w:r>
                  <w:proofErr w:type="spellStart"/>
                  <w:r>
                    <w:rPr>
                      <w:szCs w:val="18"/>
                    </w:rPr>
                    <w:t>mths</w:t>
                  </w:r>
                  <w:proofErr w:type="spellEnd"/>
                </w:p>
              </w:tc>
              <w:tc>
                <w:tcPr>
                  <w:tcW w:w="312" w:type="pct"/>
                </w:tcPr>
                <w:p w14:paraId="1A980A82" w14:textId="2ED96630" w:rsidR="00DB71D4" w:rsidRPr="00013DF9" w:rsidRDefault="00C83D72" w:rsidP="00DB71D4">
                  <w:pPr>
                    <w:pStyle w:val="TableBodyText"/>
                    <w:ind w:left="0" w:right="28"/>
                    <w:rPr>
                      <w:szCs w:val="18"/>
                    </w:rPr>
                  </w:pPr>
                  <w:r w:rsidRPr="00C83D72">
                    <w:rPr>
                      <w:iCs/>
                      <w:szCs w:val="16"/>
                    </w:rPr>
                    <w:t>%</w:t>
                  </w:r>
                </w:p>
              </w:tc>
              <w:tc>
                <w:tcPr>
                  <w:tcW w:w="580" w:type="pct"/>
                </w:tcPr>
                <w:p w14:paraId="55D7E6E1" w14:textId="77777777" w:rsidR="00DB71D4" w:rsidRPr="00F54417" w:rsidRDefault="00DB71D4" w:rsidP="00DB71D4">
                  <w:pPr>
                    <w:pStyle w:val="TableBodyText"/>
                  </w:pPr>
                  <w:r>
                    <w:t>42.9</w:t>
                  </w:r>
                </w:p>
              </w:tc>
              <w:tc>
                <w:tcPr>
                  <w:tcW w:w="537" w:type="pct"/>
                </w:tcPr>
                <w:p w14:paraId="56C134C8" w14:textId="77777777" w:rsidR="00DB71D4" w:rsidRPr="00703D5C" w:rsidRDefault="00DB71D4" w:rsidP="00DB71D4">
                  <w:pPr>
                    <w:pStyle w:val="TableBodyText"/>
                  </w:pPr>
                  <w:r w:rsidRPr="00703D5C">
                    <w:t>59.8</w:t>
                  </w:r>
                </w:p>
              </w:tc>
              <w:tc>
                <w:tcPr>
                  <w:tcW w:w="465" w:type="pct"/>
                </w:tcPr>
                <w:p w14:paraId="4D12BDD6" w14:textId="77777777" w:rsidR="00DB71D4" w:rsidRPr="00F54417" w:rsidRDefault="00DB71D4" w:rsidP="00DB71D4">
                  <w:pPr>
                    <w:pStyle w:val="TableBodyText"/>
                  </w:pPr>
                  <w:r>
                    <w:t>67.3</w:t>
                  </w:r>
                </w:p>
              </w:tc>
              <w:tc>
                <w:tcPr>
                  <w:tcW w:w="423" w:type="pct"/>
                </w:tcPr>
                <w:p w14:paraId="6309AB22" w14:textId="77777777" w:rsidR="00DB71D4" w:rsidRPr="00F54417" w:rsidRDefault="00DB71D4" w:rsidP="00DB71D4">
                  <w:pPr>
                    <w:pStyle w:val="TableBodyText"/>
                  </w:pPr>
                  <w:r>
                    <w:t>29.3</w:t>
                  </w:r>
                </w:p>
              </w:tc>
              <w:tc>
                <w:tcPr>
                  <w:tcW w:w="423" w:type="pct"/>
                </w:tcPr>
                <w:p w14:paraId="04F722E1" w14:textId="77777777" w:rsidR="00DB71D4" w:rsidRPr="00F54417" w:rsidRDefault="00DB71D4" w:rsidP="00DB71D4">
                  <w:pPr>
                    <w:pStyle w:val="TableBodyText"/>
                  </w:pPr>
                  <w:r>
                    <w:t>41.7</w:t>
                  </w:r>
                </w:p>
              </w:tc>
              <w:tc>
                <w:tcPr>
                  <w:tcW w:w="423" w:type="pct"/>
                </w:tcPr>
                <w:p w14:paraId="1801B7F4" w14:textId="77777777" w:rsidR="00DB71D4" w:rsidRPr="00F54417" w:rsidRDefault="00DB71D4" w:rsidP="00DB71D4">
                  <w:pPr>
                    <w:pStyle w:val="TableBodyText"/>
                  </w:pPr>
                  <w:r>
                    <w:t>33.3</w:t>
                  </w:r>
                </w:p>
              </w:tc>
              <w:tc>
                <w:tcPr>
                  <w:tcW w:w="423" w:type="pct"/>
                </w:tcPr>
                <w:p w14:paraId="14FAD78C" w14:textId="77777777" w:rsidR="00DB71D4" w:rsidRPr="00F54417" w:rsidRDefault="00DB71D4" w:rsidP="00DB71D4">
                  <w:pPr>
                    <w:pStyle w:val="TableBodyText"/>
                  </w:pPr>
                  <w:r>
                    <w:t>50.0</w:t>
                  </w:r>
                </w:p>
              </w:tc>
              <w:tc>
                <w:tcPr>
                  <w:tcW w:w="424" w:type="pct"/>
                </w:tcPr>
                <w:p w14:paraId="762BC968" w14:textId="77777777" w:rsidR="00DB71D4" w:rsidRPr="00F54417" w:rsidRDefault="00DB71D4" w:rsidP="00DB71D4">
                  <w:pPr>
                    <w:pStyle w:val="TableBodyText"/>
                  </w:pPr>
                  <w:r>
                    <w:t>22.2</w:t>
                  </w:r>
                </w:p>
              </w:tc>
            </w:tr>
            <w:tr w:rsidR="00DB71D4" w:rsidRPr="00E11FC5" w14:paraId="68B82070" w14:textId="77777777" w:rsidTr="00D751B8">
              <w:tc>
                <w:tcPr>
                  <w:tcW w:w="990" w:type="pct"/>
                </w:tcPr>
                <w:p w14:paraId="454A895D" w14:textId="77777777" w:rsidR="00DB71D4" w:rsidRPr="00013DF9" w:rsidRDefault="00DB71D4" w:rsidP="00DB71D4">
                  <w:pPr>
                    <w:pStyle w:val="TableBodyText"/>
                    <w:jc w:val="left"/>
                    <w:rPr>
                      <w:szCs w:val="18"/>
                    </w:rPr>
                  </w:pPr>
                  <w:r>
                    <w:rPr>
                      <w:szCs w:val="18"/>
                    </w:rPr>
                    <w:t xml:space="preserve"> Backlog &gt;12 </w:t>
                  </w:r>
                  <w:proofErr w:type="spellStart"/>
                  <w:r>
                    <w:rPr>
                      <w:szCs w:val="18"/>
                    </w:rPr>
                    <w:t>mths</w:t>
                  </w:r>
                  <w:proofErr w:type="spellEnd"/>
                </w:p>
              </w:tc>
              <w:tc>
                <w:tcPr>
                  <w:tcW w:w="312" w:type="pct"/>
                </w:tcPr>
                <w:p w14:paraId="57848A5A" w14:textId="77777777" w:rsidR="00DB71D4" w:rsidRPr="00013DF9" w:rsidRDefault="00DB71D4" w:rsidP="00DB71D4">
                  <w:pPr>
                    <w:pStyle w:val="TableBodyText"/>
                    <w:ind w:left="0" w:right="28"/>
                    <w:rPr>
                      <w:szCs w:val="18"/>
                    </w:rPr>
                  </w:pPr>
                  <w:r>
                    <w:rPr>
                      <w:szCs w:val="18"/>
                    </w:rPr>
                    <w:t>%</w:t>
                  </w:r>
                </w:p>
              </w:tc>
              <w:tc>
                <w:tcPr>
                  <w:tcW w:w="580" w:type="pct"/>
                  <w:shd w:val="clear" w:color="auto" w:fill="auto"/>
                </w:tcPr>
                <w:p w14:paraId="12BC892C" w14:textId="77777777" w:rsidR="00DB71D4" w:rsidRPr="00F54417" w:rsidRDefault="00DB71D4" w:rsidP="00DB71D4">
                  <w:pPr>
                    <w:pStyle w:val="TableBodyText"/>
                  </w:pPr>
                  <w:r>
                    <w:t>8.7</w:t>
                  </w:r>
                </w:p>
              </w:tc>
              <w:tc>
                <w:tcPr>
                  <w:tcW w:w="537" w:type="pct"/>
                </w:tcPr>
                <w:p w14:paraId="65E714BB" w14:textId="77777777" w:rsidR="00DB71D4" w:rsidRPr="00703D5C" w:rsidRDefault="00DB71D4" w:rsidP="00DB71D4">
                  <w:pPr>
                    <w:pStyle w:val="TableBodyText"/>
                  </w:pPr>
                  <w:r w:rsidRPr="00703D5C">
                    <w:t>15.5</w:t>
                  </w:r>
                </w:p>
              </w:tc>
              <w:tc>
                <w:tcPr>
                  <w:tcW w:w="465" w:type="pct"/>
                </w:tcPr>
                <w:p w14:paraId="6D13292A" w14:textId="77777777" w:rsidR="00DB71D4" w:rsidRPr="00F54417" w:rsidRDefault="00DB71D4" w:rsidP="00DB71D4">
                  <w:pPr>
                    <w:pStyle w:val="TableBodyText"/>
                  </w:pPr>
                  <w:r>
                    <w:t>42.3</w:t>
                  </w:r>
                </w:p>
              </w:tc>
              <w:tc>
                <w:tcPr>
                  <w:tcW w:w="423" w:type="pct"/>
                </w:tcPr>
                <w:p w14:paraId="131F2B4B" w14:textId="77777777" w:rsidR="00DB71D4" w:rsidRPr="00F54417" w:rsidRDefault="00DB71D4" w:rsidP="00DB71D4">
                  <w:pPr>
                    <w:pStyle w:val="TableBodyText"/>
                  </w:pPr>
                  <w:r>
                    <w:t>2.4</w:t>
                  </w:r>
                </w:p>
              </w:tc>
              <w:tc>
                <w:tcPr>
                  <w:tcW w:w="423" w:type="pct"/>
                </w:tcPr>
                <w:p w14:paraId="2DCC999D" w14:textId="77777777" w:rsidR="00DB71D4" w:rsidRPr="00F54417" w:rsidRDefault="00DB71D4" w:rsidP="00DB71D4">
                  <w:pPr>
                    <w:pStyle w:val="TableBodyText"/>
                  </w:pPr>
                  <w:r>
                    <w:t>13.9</w:t>
                  </w:r>
                </w:p>
              </w:tc>
              <w:tc>
                <w:tcPr>
                  <w:tcW w:w="423" w:type="pct"/>
                </w:tcPr>
                <w:p w14:paraId="1D2DECCF" w14:textId="77777777" w:rsidR="00DB71D4" w:rsidRPr="00F54417" w:rsidRDefault="00DB71D4" w:rsidP="00DB71D4">
                  <w:pPr>
                    <w:pStyle w:val="TableBodyText"/>
                  </w:pPr>
                  <w:r>
                    <w:t>33.3</w:t>
                  </w:r>
                </w:p>
              </w:tc>
              <w:tc>
                <w:tcPr>
                  <w:tcW w:w="423" w:type="pct"/>
                </w:tcPr>
                <w:p w14:paraId="05E293B3" w14:textId="77777777" w:rsidR="00DB71D4" w:rsidRPr="00F54417" w:rsidRDefault="00DB71D4" w:rsidP="00DB71D4">
                  <w:pPr>
                    <w:pStyle w:val="TableBodyText"/>
                  </w:pPr>
                  <w:r>
                    <w:t>50.0</w:t>
                  </w:r>
                </w:p>
              </w:tc>
              <w:tc>
                <w:tcPr>
                  <w:tcW w:w="424" w:type="pct"/>
                </w:tcPr>
                <w:p w14:paraId="6048ECFA" w14:textId="77777777" w:rsidR="00DB71D4" w:rsidRPr="00F54417" w:rsidRDefault="00DB71D4" w:rsidP="00DB71D4">
                  <w:pPr>
                    <w:pStyle w:val="TableBodyText"/>
                  </w:pPr>
                  <w:r>
                    <w:t>–</w:t>
                  </w:r>
                </w:p>
              </w:tc>
            </w:tr>
            <w:tr w:rsidR="00DB71D4" w:rsidRPr="00E11FC5" w14:paraId="4A976455" w14:textId="77777777" w:rsidTr="00D751B8">
              <w:tc>
                <w:tcPr>
                  <w:tcW w:w="990" w:type="pct"/>
                </w:tcPr>
                <w:p w14:paraId="7AC15EEC" w14:textId="77777777" w:rsidR="00DB71D4" w:rsidRPr="00046ACB" w:rsidRDefault="00DB71D4" w:rsidP="00DB71D4">
                  <w:pPr>
                    <w:pStyle w:val="TableBodyText"/>
                    <w:jc w:val="left"/>
                  </w:pPr>
                  <w:r>
                    <w:t xml:space="preserve"> </w:t>
                  </w:r>
                  <w:r w:rsidRPr="00046ACB">
                    <w:t>Attendance</w:t>
                  </w:r>
                </w:p>
              </w:tc>
              <w:tc>
                <w:tcPr>
                  <w:tcW w:w="312" w:type="pct"/>
                </w:tcPr>
                <w:p w14:paraId="676375B3" w14:textId="77777777" w:rsidR="00DB71D4" w:rsidRPr="008A7DD0" w:rsidRDefault="00DB71D4" w:rsidP="00DB71D4">
                  <w:pPr>
                    <w:pStyle w:val="TableBodyText"/>
                    <w:ind w:left="0" w:right="28"/>
                    <w:rPr>
                      <w:szCs w:val="16"/>
                    </w:rPr>
                  </w:pPr>
                  <w:r>
                    <w:rPr>
                      <w:szCs w:val="16"/>
                    </w:rPr>
                    <w:t>n</w:t>
                  </w:r>
                  <w:r w:rsidRPr="008A7DD0">
                    <w:rPr>
                      <w:szCs w:val="16"/>
                    </w:rPr>
                    <w:t>o.</w:t>
                  </w:r>
                </w:p>
              </w:tc>
              <w:tc>
                <w:tcPr>
                  <w:tcW w:w="580" w:type="pct"/>
                  <w:shd w:val="clear" w:color="auto" w:fill="auto"/>
                </w:tcPr>
                <w:p w14:paraId="6DA73881" w14:textId="77777777" w:rsidR="00DB71D4" w:rsidRPr="00F54417" w:rsidRDefault="00DB71D4" w:rsidP="00DB71D4">
                  <w:pPr>
                    <w:pStyle w:val="TableBodyText"/>
                  </w:pPr>
                  <w:r>
                    <w:t>7.3</w:t>
                  </w:r>
                </w:p>
              </w:tc>
              <w:tc>
                <w:tcPr>
                  <w:tcW w:w="537" w:type="pct"/>
                </w:tcPr>
                <w:p w14:paraId="432F9CF5" w14:textId="77777777" w:rsidR="00DB71D4" w:rsidRPr="00703D5C" w:rsidRDefault="00DB71D4" w:rsidP="00DB71D4">
                  <w:pPr>
                    <w:pStyle w:val="TableBodyText"/>
                  </w:pPr>
                  <w:r w:rsidRPr="00703D5C">
                    <w:t>8.7</w:t>
                  </w:r>
                </w:p>
              </w:tc>
              <w:tc>
                <w:tcPr>
                  <w:tcW w:w="465" w:type="pct"/>
                </w:tcPr>
                <w:p w14:paraId="14A532A8" w14:textId="77777777" w:rsidR="00DB71D4" w:rsidRPr="00F54417" w:rsidRDefault="00DB71D4" w:rsidP="00DB71D4">
                  <w:pPr>
                    <w:pStyle w:val="TableBodyText"/>
                  </w:pPr>
                  <w:r>
                    <w:t>16.7</w:t>
                  </w:r>
                </w:p>
              </w:tc>
              <w:tc>
                <w:tcPr>
                  <w:tcW w:w="423" w:type="pct"/>
                </w:tcPr>
                <w:p w14:paraId="20950DBB" w14:textId="77777777" w:rsidR="00DB71D4" w:rsidRPr="00F54417" w:rsidRDefault="00DB71D4" w:rsidP="00DB71D4">
                  <w:pPr>
                    <w:pStyle w:val="TableBodyText"/>
                  </w:pPr>
                  <w:r>
                    <w:t>7.3</w:t>
                  </w:r>
                </w:p>
              </w:tc>
              <w:tc>
                <w:tcPr>
                  <w:tcW w:w="423" w:type="pct"/>
                </w:tcPr>
                <w:p w14:paraId="113C8957" w14:textId="77777777" w:rsidR="00DB71D4" w:rsidRPr="00F54417" w:rsidRDefault="00DB71D4" w:rsidP="00DB71D4">
                  <w:pPr>
                    <w:pStyle w:val="TableBodyText"/>
                  </w:pPr>
                  <w:r>
                    <w:t>4.9</w:t>
                  </w:r>
                </w:p>
              </w:tc>
              <w:tc>
                <w:tcPr>
                  <w:tcW w:w="423" w:type="pct"/>
                </w:tcPr>
                <w:p w14:paraId="5A6D903E" w14:textId="77777777" w:rsidR="00DB71D4" w:rsidRPr="00F54417" w:rsidRDefault="00DB71D4" w:rsidP="00DB71D4">
                  <w:pPr>
                    <w:pStyle w:val="TableBodyText"/>
                  </w:pPr>
                  <w:r>
                    <w:t>1.8</w:t>
                  </w:r>
                </w:p>
              </w:tc>
              <w:tc>
                <w:tcPr>
                  <w:tcW w:w="423" w:type="pct"/>
                </w:tcPr>
                <w:p w14:paraId="384378DC" w14:textId="77777777" w:rsidR="00DB71D4" w:rsidRPr="00F54417" w:rsidRDefault="00DB71D4" w:rsidP="00DB71D4">
                  <w:pPr>
                    <w:pStyle w:val="TableBodyText"/>
                  </w:pPr>
                  <w:r>
                    <w:t>5.3</w:t>
                  </w:r>
                </w:p>
              </w:tc>
              <w:tc>
                <w:tcPr>
                  <w:tcW w:w="424" w:type="pct"/>
                </w:tcPr>
                <w:p w14:paraId="0F805DB3" w14:textId="77777777" w:rsidR="00DB71D4" w:rsidRPr="00F54417" w:rsidRDefault="00DB71D4" w:rsidP="00DB71D4">
                  <w:pPr>
                    <w:pStyle w:val="TableBodyText"/>
                  </w:pPr>
                  <w:r>
                    <w:t>8.9</w:t>
                  </w:r>
                </w:p>
              </w:tc>
            </w:tr>
            <w:tr w:rsidR="00DB71D4" w:rsidRPr="00E11FC5" w14:paraId="1A367991" w14:textId="77777777" w:rsidTr="00D751B8">
              <w:tc>
                <w:tcPr>
                  <w:tcW w:w="990" w:type="pct"/>
                </w:tcPr>
                <w:p w14:paraId="2CF0F596" w14:textId="77777777" w:rsidR="00DB71D4" w:rsidRPr="00046ACB" w:rsidRDefault="00DB71D4" w:rsidP="00DB71D4">
                  <w:pPr>
                    <w:pStyle w:val="TableBodyText"/>
                    <w:jc w:val="left"/>
                  </w:pPr>
                  <w:r>
                    <w:t xml:space="preserve"> Clearance rate</w:t>
                  </w:r>
                </w:p>
              </w:tc>
              <w:tc>
                <w:tcPr>
                  <w:tcW w:w="312" w:type="pct"/>
                </w:tcPr>
                <w:p w14:paraId="330A33C4" w14:textId="77777777" w:rsidR="00DB71D4" w:rsidRPr="00CA0DB9" w:rsidRDefault="00DB71D4" w:rsidP="00DB71D4">
                  <w:pPr>
                    <w:pStyle w:val="TableBodyText"/>
                    <w:ind w:left="0" w:right="28"/>
                    <w:rPr>
                      <w:iCs/>
                      <w:szCs w:val="16"/>
                    </w:rPr>
                  </w:pPr>
                  <w:r w:rsidRPr="00CA0DB9">
                    <w:rPr>
                      <w:iCs/>
                      <w:szCs w:val="16"/>
                    </w:rPr>
                    <w:t>%</w:t>
                  </w:r>
                </w:p>
              </w:tc>
              <w:tc>
                <w:tcPr>
                  <w:tcW w:w="580" w:type="pct"/>
                </w:tcPr>
                <w:p w14:paraId="2970A97E" w14:textId="77777777" w:rsidR="00DB71D4" w:rsidRPr="00F54417" w:rsidRDefault="00DB71D4" w:rsidP="00DB71D4">
                  <w:pPr>
                    <w:pStyle w:val="TableBodyText"/>
                  </w:pPr>
                  <w:r>
                    <w:t>79.0</w:t>
                  </w:r>
                </w:p>
              </w:tc>
              <w:tc>
                <w:tcPr>
                  <w:tcW w:w="537" w:type="pct"/>
                </w:tcPr>
                <w:p w14:paraId="6222FE98" w14:textId="77777777" w:rsidR="00DB71D4" w:rsidRPr="00703D5C" w:rsidRDefault="00DB71D4" w:rsidP="00DB71D4">
                  <w:pPr>
                    <w:pStyle w:val="TableBodyText"/>
                  </w:pPr>
                  <w:r w:rsidRPr="00703D5C">
                    <w:t>46.5</w:t>
                  </w:r>
                </w:p>
              </w:tc>
              <w:tc>
                <w:tcPr>
                  <w:tcW w:w="465" w:type="pct"/>
                </w:tcPr>
                <w:p w14:paraId="738DF36B" w14:textId="77777777" w:rsidR="00DB71D4" w:rsidRPr="00F54417" w:rsidRDefault="00DB71D4" w:rsidP="00DB71D4">
                  <w:pPr>
                    <w:pStyle w:val="TableBodyText"/>
                  </w:pPr>
                  <w:r>
                    <w:t>92.8</w:t>
                  </w:r>
                </w:p>
              </w:tc>
              <w:tc>
                <w:tcPr>
                  <w:tcW w:w="423" w:type="pct"/>
                </w:tcPr>
                <w:p w14:paraId="27C046C9" w14:textId="77777777" w:rsidR="00DB71D4" w:rsidRPr="00F54417" w:rsidRDefault="00DB71D4" w:rsidP="00DB71D4">
                  <w:pPr>
                    <w:pStyle w:val="TableBodyText"/>
                  </w:pPr>
                  <w:r>
                    <w:t>115.1</w:t>
                  </w:r>
                </w:p>
              </w:tc>
              <w:tc>
                <w:tcPr>
                  <w:tcW w:w="423" w:type="pct"/>
                </w:tcPr>
                <w:p w14:paraId="16684AB0" w14:textId="77777777" w:rsidR="00DB71D4" w:rsidRPr="00F54417" w:rsidRDefault="00DB71D4" w:rsidP="00DB71D4">
                  <w:pPr>
                    <w:pStyle w:val="TableBodyText"/>
                  </w:pPr>
                  <w:r>
                    <w:t>103.8</w:t>
                  </w:r>
                </w:p>
              </w:tc>
              <w:tc>
                <w:tcPr>
                  <w:tcW w:w="423" w:type="pct"/>
                </w:tcPr>
                <w:p w14:paraId="3A060839" w14:textId="77777777" w:rsidR="00DB71D4" w:rsidRPr="00F54417" w:rsidRDefault="00DB71D4" w:rsidP="00DB71D4">
                  <w:pPr>
                    <w:pStyle w:val="TableBodyText"/>
                  </w:pPr>
                  <w:r>
                    <w:t>84.6</w:t>
                  </w:r>
                </w:p>
              </w:tc>
              <w:tc>
                <w:tcPr>
                  <w:tcW w:w="423" w:type="pct"/>
                </w:tcPr>
                <w:p w14:paraId="147634B9" w14:textId="77777777" w:rsidR="00DB71D4" w:rsidRPr="00F54417" w:rsidRDefault="00DB71D4" w:rsidP="00DB71D4">
                  <w:pPr>
                    <w:pStyle w:val="TableBodyText"/>
                  </w:pPr>
                  <w:r>
                    <w:t>300.0</w:t>
                  </w:r>
                </w:p>
              </w:tc>
              <w:tc>
                <w:tcPr>
                  <w:tcW w:w="424" w:type="pct"/>
                </w:tcPr>
                <w:p w14:paraId="15D151A9" w14:textId="77777777" w:rsidR="00DB71D4" w:rsidRPr="00F54417" w:rsidRDefault="00DB71D4" w:rsidP="00DB71D4">
                  <w:pPr>
                    <w:pStyle w:val="TableBodyText"/>
                  </w:pPr>
                  <w:r>
                    <w:t>87.5</w:t>
                  </w:r>
                </w:p>
              </w:tc>
            </w:tr>
            <w:tr w:rsidR="00DB71D4" w:rsidRPr="00013DF9" w14:paraId="296999A8" w14:textId="77777777" w:rsidTr="00D751B8">
              <w:tc>
                <w:tcPr>
                  <w:tcW w:w="5000" w:type="pct"/>
                  <w:gridSpan w:val="10"/>
                </w:tcPr>
                <w:p w14:paraId="36E279DB" w14:textId="77777777" w:rsidR="00DB71D4" w:rsidRPr="00F54417" w:rsidRDefault="00DB71D4" w:rsidP="00DB71D4">
                  <w:pPr>
                    <w:pStyle w:val="TableBodyText"/>
                    <w:jc w:val="left"/>
                    <w:rPr>
                      <w:rStyle w:val="NoteLabel"/>
                      <w:b w:val="0"/>
                      <w:position w:val="0"/>
                    </w:rPr>
                  </w:pPr>
                  <w:r w:rsidRPr="00F54417">
                    <w:rPr>
                      <w:b/>
                    </w:rPr>
                    <w:t>Children’s</w:t>
                  </w:r>
                </w:p>
              </w:tc>
            </w:tr>
            <w:tr w:rsidR="00DB71D4" w:rsidRPr="006165C4" w14:paraId="1548B1A1" w14:textId="77777777" w:rsidTr="00D751B8">
              <w:tc>
                <w:tcPr>
                  <w:tcW w:w="990" w:type="pct"/>
                </w:tcPr>
                <w:p w14:paraId="5338865D" w14:textId="77777777" w:rsidR="00DB71D4" w:rsidRPr="00013DF9" w:rsidRDefault="00DB71D4" w:rsidP="00DB71D4">
                  <w:pPr>
                    <w:pStyle w:val="TableBodyText"/>
                    <w:jc w:val="left"/>
                    <w:rPr>
                      <w:szCs w:val="18"/>
                    </w:rPr>
                  </w:pPr>
                  <w:r w:rsidRPr="00013DF9">
                    <w:rPr>
                      <w:szCs w:val="18"/>
                    </w:rPr>
                    <w:t xml:space="preserve"> </w:t>
                  </w:r>
                  <w:proofErr w:type="spellStart"/>
                  <w:r w:rsidRPr="00013DF9">
                    <w:rPr>
                      <w:szCs w:val="18"/>
                    </w:rPr>
                    <w:t>Lodgments</w:t>
                  </w:r>
                  <w:proofErr w:type="spellEnd"/>
                </w:p>
              </w:tc>
              <w:tc>
                <w:tcPr>
                  <w:tcW w:w="312" w:type="pct"/>
                </w:tcPr>
                <w:p w14:paraId="3A8790CD" w14:textId="77777777" w:rsidR="00DB71D4" w:rsidRPr="00013DF9" w:rsidRDefault="00DB71D4" w:rsidP="00DB71D4">
                  <w:pPr>
                    <w:pStyle w:val="TableBodyText"/>
                    <w:ind w:left="0" w:right="28"/>
                    <w:rPr>
                      <w:szCs w:val="18"/>
                    </w:rPr>
                  </w:pPr>
                  <w:r>
                    <w:rPr>
                      <w:szCs w:val="18"/>
                    </w:rPr>
                    <w:t>no.</w:t>
                  </w:r>
                </w:p>
              </w:tc>
              <w:tc>
                <w:tcPr>
                  <w:tcW w:w="580" w:type="pct"/>
                </w:tcPr>
                <w:p w14:paraId="7DCADB57" w14:textId="77777777" w:rsidR="00DB71D4" w:rsidRPr="00F54417" w:rsidRDefault="00DB71D4" w:rsidP="00DB71D4">
                  <w:pPr>
                    <w:pStyle w:val="TableBodyText"/>
                  </w:pPr>
                  <w:r w:rsidRPr="00F54417">
                    <w:t>1</w:t>
                  </w:r>
                  <w:r>
                    <w:t>7</w:t>
                  </w:r>
                </w:p>
              </w:tc>
              <w:tc>
                <w:tcPr>
                  <w:tcW w:w="537" w:type="pct"/>
                </w:tcPr>
                <w:p w14:paraId="6A4D94C2" w14:textId="77777777" w:rsidR="00DB71D4" w:rsidRPr="00F54417" w:rsidRDefault="00DB71D4" w:rsidP="00DB71D4">
                  <w:pPr>
                    <w:pStyle w:val="TableBodyText"/>
                  </w:pPr>
                  <w:r w:rsidRPr="00F54417">
                    <w:t>6</w:t>
                  </w:r>
                </w:p>
              </w:tc>
              <w:tc>
                <w:tcPr>
                  <w:tcW w:w="465" w:type="pct"/>
                </w:tcPr>
                <w:p w14:paraId="3D50D5EE" w14:textId="77777777" w:rsidR="00DB71D4" w:rsidRPr="00F54417" w:rsidRDefault="00DB71D4" w:rsidP="00DB71D4">
                  <w:pPr>
                    <w:pStyle w:val="TableBodyText"/>
                  </w:pPr>
                  <w:r>
                    <w:t>11</w:t>
                  </w:r>
                </w:p>
              </w:tc>
              <w:tc>
                <w:tcPr>
                  <w:tcW w:w="423" w:type="pct"/>
                </w:tcPr>
                <w:p w14:paraId="612BE42D" w14:textId="77777777" w:rsidR="00DB71D4" w:rsidRPr="00F54417" w:rsidRDefault="00DB71D4" w:rsidP="00DB71D4">
                  <w:pPr>
                    <w:pStyle w:val="TableBodyText"/>
                  </w:pPr>
                  <w:r>
                    <w:t>10</w:t>
                  </w:r>
                </w:p>
              </w:tc>
              <w:tc>
                <w:tcPr>
                  <w:tcW w:w="423" w:type="pct"/>
                </w:tcPr>
                <w:p w14:paraId="6BDD6E95" w14:textId="77777777" w:rsidR="00DB71D4" w:rsidRPr="00F54417" w:rsidRDefault="00DB71D4" w:rsidP="00DB71D4">
                  <w:pPr>
                    <w:pStyle w:val="TableBodyText"/>
                  </w:pPr>
                  <w:r w:rsidRPr="00F54417">
                    <w:t>–</w:t>
                  </w:r>
                </w:p>
              </w:tc>
              <w:tc>
                <w:tcPr>
                  <w:tcW w:w="423" w:type="pct"/>
                </w:tcPr>
                <w:p w14:paraId="28E83AF9" w14:textId="77777777" w:rsidR="00DB71D4" w:rsidRPr="00F54417" w:rsidRDefault="00DB71D4" w:rsidP="00DB71D4">
                  <w:pPr>
                    <w:pStyle w:val="TableBodyText"/>
                  </w:pPr>
                  <w:r>
                    <w:t>np</w:t>
                  </w:r>
                </w:p>
              </w:tc>
              <w:tc>
                <w:tcPr>
                  <w:tcW w:w="423" w:type="pct"/>
                </w:tcPr>
                <w:p w14:paraId="702B2B36" w14:textId="77777777" w:rsidR="00DB71D4" w:rsidRPr="00F54417" w:rsidRDefault="00DB71D4" w:rsidP="00DB71D4">
                  <w:pPr>
                    <w:pStyle w:val="TableBodyText"/>
                  </w:pPr>
                  <w:r w:rsidRPr="00F54417">
                    <w:t>–</w:t>
                  </w:r>
                </w:p>
              </w:tc>
              <w:tc>
                <w:tcPr>
                  <w:tcW w:w="424" w:type="pct"/>
                </w:tcPr>
                <w:p w14:paraId="43259EC5" w14:textId="77777777" w:rsidR="00DB71D4" w:rsidRPr="00F54417" w:rsidRDefault="00DB71D4" w:rsidP="00DB71D4">
                  <w:pPr>
                    <w:pStyle w:val="TableBodyText"/>
                  </w:pPr>
                  <w:r>
                    <w:t>4</w:t>
                  </w:r>
                </w:p>
              </w:tc>
            </w:tr>
            <w:tr w:rsidR="00DB71D4" w:rsidRPr="006165C4" w14:paraId="637A5B47" w14:textId="77777777" w:rsidTr="00D751B8">
              <w:tc>
                <w:tcPr>
                  <w:tcW w:w="990" w:type="pct"/>
                </w:tcPr>
                <w:p w14:paraId="20D31A99" w14:textId="77777777" w:rsidR="00DB71D4" w:rsidRPr="00013DF9" w:rsidRDefault="00DB71D4" w:rsidP="00DB71D4">
                  <w:pPr>
                    <w:pStyle w:val="TableBodyText"/>
                    <w:jc w:val="left"/>
                    <w:rPr>
                      <w:szCs w:val="18"/>
                    </w:rPr>
                  </w:pPr>
                  <w:r w:rsidRPr="00013DF9">
                    <w:rPr>
                      <w:szCs w:val="18"/>
                    </w:rPr>
                    <w:t xml:space="preserve"> Finalisations</w:t>
                  </w:r>
                </w:p>
              </w:tc>
              <w:tc>
                <w:tcPr>
                  <w:tcW w:w="312" w:type="pct"/>
                </w:tcPr>
                <w:p w14:paraId="5DB02065" w14:textId="77777777" w:rsidR="00DB71D4" w:rsidRPr="00013DF9" w:rsidRDefault="00DB71D4" w:rsidP="00DB71D4">
                  <w:pPr>
                    <w:pStyle w:val="TableBodyText"/>
                    <w:ind w:left="0" w:right="28"/>
                    <w:rPr>
                      <w:szCs w:val="18"/>
                    </w:rPr>
                  </w:pPr>
                  <w:r>
                    <w:rPr>
                      <w:szCs w:val="18"/>
                    </w:rPr>
                    <w:t>no.</w:t>
                  </w:r>
                </w:p>
              </w:tc>
              <w:tc>
                <w:tcPr>
                  <w:tcW w:w="580" w:type="pct"/>
                </w:tcPr>
                <w:p w14:paraId="48D7A11A" w14:textId="77777777" w:rsidR="00DB71D4" w:rsidRPr="00F54417" w:rsidRDefault="00DB71D4" w:rsidP="00DB71D4">
                  <w:pPr>
                    <w:pStyle w:val="TableBodyText"/>
                  </w:pPr>
                  <w:r w:rsidRPr="00F54417">
                    <w:t>8</w:t>
                  </w:r>
                </w:p>
              </w:tc>
              <w:tc>
                <w:tcPr>
                  <w:tcW w:w="537" w:type="pct"/>
                </w:tcPr>
                <w:p w14:paraId="134C3731" w14:textId="77777777" w:rsidR="00DB71D4" w:rsidRPr="00F54417" w:rsidRDefault="00DB71D4" w:rsidP="00DB71D4">
                  <w:pPr>
                    <w:pStyle w:val="TableBodyText"/>
                  </w:pPr>
                  <w:r>
                    <w:t>6</w:t>
                  </w:r>
                </w:p>
              </w:tc>
              <w:tc>
                <w:tcPr>
                  <w:tcW w:w="465" w:type="pct"/>
                </w:tcPr>
                <w:p w14:paraId="6DEE16FC" w14:textId="77777777" w:rsidR="00DB71D4" w:rsidRPr="00F54417" w:rsidRDefault="00DB71D4" w:rsidP="00DB71D4">
                  <w:pPr>
                    <w:pStyle w:val="TableBodyText"/>
                  </w:pPr>
                  <w:r>
                    <w:t>3</w:t>
                  </w:r>
                </w:p>
              </w:tc>
              <w:tc>
                <w:tcPr>
                  <w:tcW w:w="423" w:type="pct"/>
                </w:tcPr>
                <w:p w14:paraId="61F4A6A0" w14:textId="77777777" w:rsidR="00DB71D4" w:rsidRPr="00F54417" w:rsidRDefault="00DB71D4" w:rsidP="00DB71D4">
                  <w:pPr>
                    <w:pStyle w:val="TableBodyText"/>
                  </w:pPr>
                  <w:r>
                    <w:t>5</w:t>
                  </w:r>
                </w:p>
              </w:tc>
              <w:tc>
                <w:tcPr>
                  <w:tcW w:w="423" w:type="pct"/>
                </w:tcPr>
                <w:p w14:paraId="01A92351" w14:textId="77777777" w:rsidR="00DB71D4" w:rsidRPr="00F54417" w:rsidRDefault="00DB71D4" w:rsidP="00DB71D4">
                  <w:pPr>
                    <w:pStyle w:val="TableBodyText"/>
                  </w:pPr>
                  <w:r w:rsidRPr="004A1E84">
                    <w:t>–</w:t>
                  </w:r>
                </w:p>
              </w:tc>
              <w:tc>
                <w:tcPr>
                  <w:tcW w:w="423" w:type="pct"/>
                </w:tcPr>
                <w:p w14:paraId="50BC9013" w14:textId="77777777" w:rsidR="00DB71D4" w:rsidRPr="00F54417" w:rsidRDefault="00DB71D4" w:rsidP="00DB71D4">
                  <w:pPr>
                    <w:pStyle w:val="TableBodyText"/>
                  </w:pPr>
                  <w:r w:rsidRPr="00961481">
                    <w:t>np</w:t>
                  </w:r>
                </w:p>
              </w:tc>
              <w:tc>
                <w:tcPr>
                  <w:tcW w:w="423" w:type="pct"/>
                </w:tcPr>
                <w:p w14:paraId="6CF004D7" w14:textId="77777777" w:rsidR="00DB71D4" w:rsidRPr="00F54417" w:rsidRDefault="00DB71D4" w:rsidP="00DB71D4">
                  <w:pPr>
                    <w:pStyle w:val="TableBodyText"/>
                  </w:pPr>
                  <w:r>
                    <w:t>2</w:t>
                  </w:r>
                </w:p>
              </w:tc>
              <w:tc>
                <w:tcPr>
                  <w:tcW w:w="424" w:type="pct"/>
                </w:tcPr>
                <w:p w14:paraId="4EF68C8A" w14:textId="77777777" w:rsidR="00DB71D4" w:rsidRPr="00F54417" w:rsidRDefault="00DB71D4" w:rsidP="00DB71D4">
                  <w:pPr>
                    <w:pStyle w:val="TableBodyText"/>
                  </w:pPr>
                  <w:r>
                    <w:t>1</w:t>
                  </w:r>
                </w:p>
              </w:tc>
            </w:tr>
            <w:tr w:rsidR="00DB71D4" w14:paraId="727468E4" w14:textId="77777777" w:rsidTr="00D751B8">
              <w:tc>
                <w:tcPr>
                  <w:tcW w:w="990" w:type="pct"/>
                </w:tcPr>
                <w:p w14:paraId="680CA821" w14:textId="77777777" w:rsidR="00DB71D4" w:rsidRPr="00046ACB" w:rsidRDefault="00DB71D4" w:rsidP="00DB71D4">
                  <w:pPr>
                    <w:pStyle w:val="TableBodyText"/>
                    <w:jc w:val="left"/>
                  </w:pPr>
                  <w:r>
                    <w:t xml:space="preserve"> Pending</w:t>
                  </w:r>
                </w:p>
              </w:tc>
              <w:tc>
                <w:tcPr>
                  <w:tcW w:w="312" w:type="pct"/>
                </w:tcPr>
                <w:p w14:paraId="489AE510" w14:textId="77777777" w:rsidR="00DB71D4" w:rsidRPr="004B239F" w:rsidRDefault="00DB71D4" w:rsidP="00DB71D4">
                  <w:pPr>
                    <w:pStyle w:val="TableBodyText"/>
                    <w:ind w:left="0" w:right="28"/>
                    <w:rPr>
                      <w:szCs w:val="16"/>
                    </w:rPr>
                  </w:pPr>
                  <w:r w:rsidRPr="004B239F">
                    <w:rPr>
                      <w:szCs w:val="16"/>
                    </w:rPr>
                    <w:t>no.</w:t>
                  </w:r>
                </w:p>
              </w:tc>
              <w:tc>
                <w:tcPr>
                  <w:tcW w:w="580" w:type="pct"/>
                </w:tcPr>
                <w:p w14:paraId="79525FF0" w14:textId="77777777" w:rsidR="00DB71D4" w:rsidRPr="00F54417" w:rsidRDefault="00DB71D4" w:rsidP="00DB71D4">
                  <w:pPr>
                    <w:pStyle w:val="TableBodyText"/>
                  </w:pPr>
                  <w:r>
                    <w:t>16</w:t>
                  </w:r>
                </w:p>
              </w:tc>
              <w:tc>
                <w:tcPr>
                  <w:tcW w:w="537" w:type="pct"/>
                </w:tcPr>
                <w:p w14:paraId="6837852D" w14:textId="77777777" w:rsidR="00DB71D4" w:rsidRPr="00F54417" w:rsidRDefault="00DB71D4" w:rsidP="00DB71D4">
                  <w:pPr>
                    <w:pStyle w:val="TableBodyText"/>
                  </w:pPr>
                  <w:r>
                    <w:t>4</w:t>
                  </w:r>
                </w:p>
              </w:tc>
              <w:tc>
                <w:tcPr>
                  <w:tcW w:w="465" w:type="pct"/>
                </w:tcPr>
                <w:p w14:paraId="34FD0D74" w14:textId="77777777" w:rsidR="00DB71D4" w:rsidRPr="00F54417" w:rsidRDefault="00DB71D4" w:rsidP="00DB71D4">
                  <w:pPr>
                    <w:pStyle w:val="TableBodyText"/>
                  </w:pPr>
                  <w:r>
                    <w:t>10</w:t>
                  </w:r>
                </w:p>
              </w:tc>
              <w:tc>
                <w:tcPr>
                  <w:tcW w:w="423" w:type="pct"/>
                </w:tcPr>
                <w:p w14:paraId="6AF9E983" w14:textId="77777777" w:rsidR="00DB71D4" w:rsidRPr="00F54417" w:rsidRDefault="00DB71D4" w:rsidP="00DB71D4">
                  <w:pPr>
                    <w:pStyle w:val="TableBodyText"/>
                  </w:pPr>
                  <w:r>
                    <w:t>5</w:t>
                  </w:r>
                </w:p>
              </w:tc>
              <w:tc>
                <w:tcPr>
                  <w:tcW w:w="423" w:type="pct"/>
                </w:tcPr>
                <w:p w14:paraId="108046A5" w14:textId="77777777" w:rsidR="00DB71D4" w:rsidRPr="00F54417" w:rsidRDefault="00DB71D4" w:rsidP="00DB71D4">
                  <w:pPr>
                    <w:pStyle w:val="TableBodyText"/>
                  </w:pPr>
                  <w:r w:rsidRPr="004A1E84">
                    <w:t>–</w:t>
                  </w:r>
                </w:p>
              </w:tc>
              <w:tc>
                <w:tcPr>
                  <w:tcW w:w="423" w:type="pct"/>
                </w:tcPr>
                <w:p w14:paraId="2422EBC1" w14:textId="77777777" w:rsidR="00DB71D4" w:rsidRPr="00F54417" w:rsidRDefault="00DB71D4" w:rsidP="00DB71D4">
                  <w:pPr>
                    <w:pStyle w:val="TableBodyText"/>
                  </w:pPr>
                  <w:r w:rsidRPr="00961481">
                    <w:t>np</w:t>
                  </w:r>
                </w:p>
              </w:tc>
              <w:tc>
                <w:tcPr>
                  <w:tcW w:w="423" w:type="pct"/>
                </w:tcPr>
                <w:p w14:paraId="6ABB0D59" w14:textId="77777777" w:rsidR="00DB71D4" w:rsidRPr="00F54417" w:rsidRDefault="00DB71D4" w:rsidP="00DB71D4">
                  <w:pPr>
                    <w:pStyle w:val="TableBodyText"/>
                  </w:pPr>
                  <w:r w:rsidRPr="00F54417">
                    <w:t>–</w:t>
                  </w:r>
                </w:p>
              </w:tc>
              <w:tc>
                <w:tcPr>
                  <w:tcW w:w="424" w:type="pct"/>
                </w:tcPr>
                <w:p w14:paraId="24FBFF0D" w14:textId="77777777" w:rsidR="00DB71D4" w:rsidRPr="00F54417" w:rsidRDefault="00DB71D4" w:rsidP="00DB71D4">
                  <w:pPr>
                    <w:pStyle w:val="TableBodyText"/>
                  </w:pPr>
                  <w:r>
                    <w:t>1</w:t>
                  </w:r>
                </w:p>
              </w:tc>
            </w:tr>
            <w:tr w:rsidR="00DB71D4" w14:paraId="5A307EF0" w14:textId="77777777" w:rsidTr="00D751B8">
              <w:tc>
                <w:tcPr>
                  <w:tcW w:w="990" w:type="pct"/>
                </w:tcPr>
                <w:p w14:paraId="76E8E47E" w14:textId="77777777" w:rsidR="00DB71D4" w:rsidRPr="00013DF9" w:rsidRDefault="00DB71D4" w:rsidP="00DB71D4">
                  <w:pPr>
                    <w:pStyle w:val="TableBodyText"/>
                    <w:jc w:val="left"/>
                    <w:rPr>
                      <w:szCs w:val="18"/>
                    </w:rPr>
                  </w:pPr>
                  <w:r>
                    <w:rPr>
                      <w:szCs w:val="18"/>
                    </w:rPr>
                    <w:t xml:space="preserve"> Backlog &gt;6 </w:t>
                  </w:r>
                  <w:proofErr w:type="spellStart"/>
                  <w:r>
                    <w:rPr>
                      <w:szCs w:val="18"/>
                    </w:rPr>
                    <w:t>mths</w:t>
                  </w:r>
                  <w:proofErr w:type="spellEnd"/>
                </w:p>
              </w:tc>
              <w:tc>
                <w:tcPr>
                  <w:tcW w:w="312" w:type="pct"/>
                </w:tcPr>
                <w:p w14:paraId="5F92A4BE" w14:textId="77777777" w:rsidR="00DB71D4" w:rsidRPr="00013DF9" w:rsidRDefault="00DB71D4" w:rsidP="00DB71D4">
                  <w:pPr>
                    <w:pStyle w:val="TableBodyText"/>
                    <w:ind w:left="0" w:right="28"/>
                    <w:rPr>
                      <w:szCs w:val="18"/>
                    </w:rPr>
                  </w:pPr>
                  <w:r>
                    <w:rPr>
                      <w:szCs w:val="18"/>
                    </w:rPr>
                    <w:t>%</w:t>
                  </w:r>
                </w:p>
              </w:tc>
              <w:tc>
                <w:tcPr>
                  <w:tcW w:w="580" w:type="pct"/>
                </w:tcPr>
                <w:p w14:paraId="17C6E751" w14:textId="77777777" w:rsidR="00DB71D4" w:rsidRPr="00F54417" w:rsidRDefault="00DB71D4" w:rsidP="00DB71D4">
                  <w:pPr>
                    <w:pStyle w:val="TableBodyText"/>
                  </w:pPr>
                  <w:r>
                    <w:t>37.5</w:t>
                  </w:r>
                </w:p>
              </w:tc>
              <w:tc>
                <w:tcPr>
                  <w:tcW w:w="537" w:type="pct"/>
                </w:tcPr>
                <w:p w14:paraId="44A4BD2E" w14:textId="77777777" w:rsidR="00DB71D4" w:rsidRPr="00F54417" w:rsidRDefault="00DB71D4" w:rsidP="00DB71D4">
                  <w:pPr>
                    <w:pStyle w:val="TableBodyText"/>
                  </w:pPr>
                  <w:r>
                    <w:t>75.0</w:t>
                  </w:r>
                </w:p>
              </w:tc>
              <w:tc>
                <w:tcPr>
                  <w:tcW w:w="465" w:type="pct"/>
                </w:tcPr>
                <w:p w14:paraId="7EFA74BC" w14:textId="77777777" w:rsidR="00DB71D4" w:rsidRPr="00F54417" w:rsidRDefault="00DB71D4" w:rsidP="00DB71D4">
                  <w:pPr>
                    <w:pStyle w:val="TableBodyText"/>
                  </w:pPr>
                  <w:r>
                    <w:t>40.0</w:t>
                  </w:r>
                </w:p>
              </w:tc>
              <w:tc>
                <w:tcPr>
                  <w:tcW w:w="423" w:type="pct"/>
                </w:tcPr>
                <w:p w14:paraId="695D4722" w14:textId="77777777" w:rsidR="00DB71D4" w:rsidRPr="00F54417" w:rsidRDefault="00DB71D4" w:rsidP="00DB71D4">
                  <w:pPr>
                    <w:pStyle w:val="TableBodyText"/>
                  </w:pPr>
                  <w:r>
                    <w:t>–</w:t>
                  </w:r>
                </w:p>
              </w:tc>
              <w:tc>
                <w:tcPr>
                  <w:tcW w:w="423" w:type="pct"/>
                </w:tcPr>
                <w:p w14:paraId="3A7EC07D" w14:textId="77777777" w:rsidR="00DB71D4" w:rsidRPr="00F54417" w:rsidRDefault="00DB71D4" w:rsidP="00DB71D4">
                  <w:pPr>
                    <w:pStyle w:val="TableBodyText"/>
                  </w:pPr>
                  <w:r w:rsidRPr="00C45588">
                    <w:t>..</w:t>
                  </w:r>
                </w:p>
              </w:tc>
              <w:tc>
                <w:tcPr>
                  <w:tcW w:w="423" w:type="pct"/>
                </w:tcPr>
                <w:p w14:paraId="2BAB4CC9" w14:textId="77777777" w:rsidR="00DB71D4" w:rsidRPr="00F54417" w:rsidRDefault="00DB71D4" w:rsidP="00DB71D4">
                  <w:pPr>
                    <w:pStyle w:val="TableBodyText"/>
                  </w:pPr>
                  <w:r w:rsidRPr="00961481">
                    <w:t>np</w:t>
                  </w:r>
                </w:p>
              </w:tc>
              <w:tc>
                <w:tcPr>
                  <w:tcW w:w="423" w:type="pct"/>
                </w:tcPr>
                <w:p w14:paraId="65AD7889" w14:textId="77777777" w:rsidR="00DB71D4" w:rsidRPr="00F54417" w:rsidRDefault="00DB71D4" w:rsidP="00DB71D4">
                  <w:pPr>
                    <w:pStyle w:val="TableBodyText"/>
                  </w:pPr>
                  <w:r w:rsidRPr="00033D83">
                    <w:t>..</w:t>
                  </w:r>
                </w:p>
              </w:tc>
              <w:tc>
                <w:tcPr>
                  <w:tcW w:w="424" w:type="pct"/>
                </w:tcPr>
                <w:p w14:paraId="4AF5FE7B" w14:textId="77777777" w:rsidR="00DB71D4" w:rsidRPr="00F54417" w:rsidRDefault="00DB71D4" w:rsidP="00DB71D4">
                  <w:pPr>
                    <w:pStyle w:val="TableBodyText"/>
                  </w:pPr>
                  <w:r w:rsidRPr="00C42726">
                    <w:t>–</w:t>
                  </w:r>
                </w:p>
              </w:tc>
            </w:tr>
            <w:tr w:rsidR="00DB71D4" w:rsidRPr="00F701E8" w14:paraId="1197569F" w14:textId="77777777" w:rsidTr="00D751B8">
              <w:tc>
                <w:tcPr>
                  <w:tcW w:w="990" w:type="pct"/>
                </w:tcPr>
                <w:p w14:paraId="11829741" w14:textId="77777777" w:rsidR="00DB71D4" w:rsidRPr="00013DF9" w:rsidRDefault="00DB71D4" w:rsidP="00DB71D4">
                  <w:pPr>
                    <w:pStyle w:val="TableBodyText"/>
                    <w:jc w:val="left"/>
                    <w:rPr>
                      <w:szCs w:val="18"/>
                    </w:rPr>
                  </w:pPr>
                  <w:r>
                    <w:rPr>
                      <w:szCs w:val="18"/>
                    </w:rPr>
                    <w:t xml:space="preserve"> Backlog &gt;12 </w:t>
                  </w:r>
                  <w:proofErr w:type="spellStart"/>
                  <w:r>
                    <w:rPr>
                      <w:szCs w:val="18"/>
                    </w:rPr>
                    <w:t>mths</w:t>
                  </w:r>
                  <w:proofErr w:type="spellEnd"/>
                </w:p>
              </w:tc>
              <w:tc>
                <w:tcPr>
                  <w:tcW w:w="312" w:type="pct"/>
                </w:tcPr>
                <w:p w14:paraId="59F158D3" w14:textId="77777777" w:rsidR="00DB71D4" w:rsidRPr="00013DF9" w:rsidRDefault="00DB71D4" w:rsidP="00DB71D4">
                  <w:pPr>
                    <w:pStyle w:val="TableBodyText"/>
                    <w:ind w:left="0" w:right="28"/>
                    <w:rPr>
                      <w:szCs w:val="18"/>
                    </w:rPr>
                  </w:pPr>
                  <w:r>
                    <w:rPr>
                      <w:szCs w:val="18"/>
                    </w:rPr>
                    <w:t>%</w:t>
                  </w:r>
                </w:p>
              </w:tc>
              <w:tc>
                <w:tcPr>
                  <w:tcW w:w="580" w:type="pct"/>
                  <w:shd w:val="clear" w:color="auto" w:fill="auto"/>
                </w:tcPr>
                <w:p w14:paraId="1AE98A0B" w14:textId="77777777" w:rsidR="00DB71D4" w:rsidRPr="00F54417" w:rsidRDefault="00DB71D4" w:rsidP="00DB71D4">
                  <w:pPr>
                    <w:pStyle w:val="TableBodyText"/>
                  </w:pPr>
                  <w:r>
                    <w:t>12.5</w:t>
                  </w:r>
                </w:p>
              </w:tc>
              <w:tc>
                <w:tcPr>
                  <w:tcW w:w="537" w:type="pct"/>
                </w:tcPr>
                <w:p w14:paraId="0C619759" w14:textId="77777777" w:rsidR="00DB71D4" w:rsidRPr="00F54417" w:rsidRDefault="00DB71D4" w:rsidP="00DB71D4">
                  <w:pPr>
                    <w:pStyle w:val="TableBodyText"/>
                  </w:pPr>
                  <w:r w:rsidRPr="00F54417">
                    <w:t>–</w:t>
                  </w:r>
                </w:p>
              </w:tc>
              <w:tc>
                <w:tcPr>
                  <w:tcW w:w="465" w:type="pct"/>
                </w:tcPr>
                <w:p w14:paraId="16F7F286" w14:textId="77777777" w:rsidR="00DB71D4" w:rsidRPr="00F54417" w:rsidRDefault="00DB71D4" w:rsidP="00DB71D4">
                  <w:pPr>
                    <w:pStyle w:val="TableBodyText"/>
                  </w:pPr>
                  <w:r w:rsidRPr="00F54417">
                    <w:t>–</w:t>
                  </w:r>
                </w:p>
              </w:tc>
              <w:tc>
                <w:tcPr>
                  <w:tcW w:w="423" w:type="pct"/>
                </w:tcPr>
                <w:p w14:paraId="411FB334" w14:textId="77777777" w:rsidR="00DB71D4" w:rsidRPr="00F54417" w:rsidRDefault="00DB71D4" w:rsidP="00DB71D4">
                  <w:pPr>
                    <w:pStyle w:val="TableBodyText"/>
                  </w:pPr>
                  <w:r>
                    <w:t>–</w:t>
                  </w:r>
                </w:p>
              </w:tc>
              <w:tc>
                <w:tcPr>
                  <w:tcW w:w="423" w:type="pct"/>
                </w:tcPr>
                <w:p w14:paraId="782AB864" w14:textId="77777777" w:rsidR="00DB71D4" w:rsidRPr="00F54417" w:rsidRDefault="00DB71D4" w:rsidP="00DB71D4">
                  <w:pPr>
                    <w:pStyle w:val="TableBodyText"/>
                  </w:pPr>
                  <w:r w:rsidRPr="00C45588">
                    <w:t>..</w:t>
                  </w:r>
                </w:p>
              </w:tc>
              <w:tc>
                <w:tcPr>
                  <w:tcW w:w="423" w:type="pct"/>
                </w:tcPr>
                <w:p w14:paraId="19F0C0C1" w14:textId="77777777" w:rsidR="00DB71D4" w:rsidRPr="00F54417" w:rsidRDefault="00DB71D4" w:rsidP="00DB71D4">
                  <w:pPr>
                    <w:pStyle w:val="TableBodyText"/>
                  </w:pPr>
                  <w:r w:rsidRPr="00961481">
                    <w:t>np</w:t>
                  </w:r>
                </w:p>
              </w:tc>
              <w:tc>
                <w:tcPr>
                  <w:tcW w:w="423" w:type="pct"/>
                </w:tcPr>
                <w:p w14:paraId="441F594C" w14:textId="77777777" w:rsidR="00DB71D4" w:rsidRPr="00F54417" w:rsidRDefault="00DB71D4" w:rsidP="00DB71D4">
                  <w:pPr>
                    <w:pStyle w:val="TableBodyText"/>
                  </w:pPr>
                  <w:r w:rsidRPr="00033D83">
                    <w:t>..</w:t>
                  </w:r>
                </w:p>
              </w:tc>
              <w:tc>
                <w:tcPr>
                  <w:tcW w:w="424" w:type="pct"/>
                </w:tcPr>
                <w:p w14:paraId="01B18065" w14:textId="77777777" w:rsidR="00DB71D4" w:rsidRPr="00F54417" w:rsidRDefault="00DB71D4" w:rsidP="00DB71D4">
                  <w:pPr>
                    <w:pStyle w:val="TableBodyText"/>
                  </w:pPr>
                  <w:r w:rsidRPr="00C42726">
                    <w:t>–</w:t>
                  </w:r>
                </w:p>
              </w:tc>
            </w:tr>
            <w:tr w:rsidR="00DB71D4" w:rsidRPr="006165C4" w14:paraId="3AC43204" w14:textId="77777777" w:rsidTr="00D751B8">
              <w:tc>
                <w:tcPr>
                  <w:tcW w:w="990" w:type="pct"/>
                </w:tcPr>
                <w:p w14:paraId="75E2C084" w14:textId="77777777" w:rsidR="00DB71D4" w:rsidRPr="00046ACB" w:rsidRDefault="00DB71D4" w:rsidP="00DB71D4">
                  <w:pPr>
                    <w:pStyle w:val="TableBodyText"/>
                    <w:jc w:val="left"/>
                  </w:pPr>
                  <w:r>
                    <w:t xml:space="preserve"> </w:t>
                  </w:r>
                  <w:r w:rsidRPr="00046ACB">
                    <w:t>Attendance</w:t>
                  </w:r>
                </w:p>
              </w:tc>
              <w:tc>
                <w:tcPr>
                  <w:tcW w:w="312" w:type="pct"/>
                </w:tcPr>
                <w:p w14:paraId="170085FC" w14:textId="77777777" w:rsidR="00DB71D4" w:rsidRPr="008A7DD0" w:rsidRDefault="00DB71D4" w:rsidP="00DB71D4">
                  <w:pPr>
                    <w:pStyle w:val="TableBodyText"/>
                    <w:ind w:left="0" w:right="28"/>
                    <w:rPr>
                      <w:szCs w:val="16"/>
                    </w:rPr>
                  </w:pPr>
                  <w:r>
                    <w:rPr>
                      <w:szCs w:val="16"/>
                    </w:rPr>
                    <w:t>n</w:t>
                  </w:r>
                  <w:r w:rsidRPr="008A7DD0">
                    <w:rPr>
                      <w:szCs w:val="16"/>
                    </w:rPr>
                    <w:t>o.</w:t>
                  </w:r>
                </w:p>
              </w:tc>
              <w:tc>
                <w:tcPr>
                  <w:tcW w:w="580" w:type="pct"/>
                  <w:shd w:val="clear" w:color="auto" w:fill="auto"/>
                </w:tcPr>
                <w:p w14:paraId="0A20DC1B" w14:textId="77777777" w:rsidR="00DB71D4" w:rsidRPr="00F54417" w:rsidRDefault="00DB71D4" w:rsidP="00DB71D4">
                  <w:pPr>
                    <w:pStyle w:val="TableBodyText"/>
                  </w:pPr>
                  <w:r>
                    <w:t>9.3</w:t>
                  </w:r>
                </w:p>
              </w:tc>
              <w:tc>
                <w:tcPr>
                  <w:tcW w:w="537" w:type="pct"/>
                </w:tcPr>
                <w:p w14:paraId="29A8BD32" w14:textId="77777777" w:rsidR="00DB71D4" w:rsidRPr="00F54417" w:rsidRDefault="00DB71D4" w:rsidP="00DB71D4">
                  <w:pPr>
                    <w:pStyle w:val="TableBodyText"/>
                  </w:pPr>
                  <w:r>
                    <w:t>8.8</w:t>
                  </w:r>
                </w:p>
              </w:tc>
              <w:tc>
                <w:tcPr>
                  <w:tcW w:w="465" w:type="pct"/>
                </w:tcPr>
                <w:p w14:paraId="496EE248" w14:textId="77777777" w:rsidR="00DB71D4" w:rsidRPr="00F54417" w:rsidRDefault="00DB71D4" w:rsidP="00DB71D4">
                  <w:pPr>
                    <w:pStyle w:val="TableBodyText"/>
                  </w:pPr>
                  <w:r>
                    <w:t>17.7</w:t>
                  </w:r>
                </w:p>
              </w:tc>
              <w:tc>
                <w:tcPr>
                  <w:tcW w:w="423" w:type="pct"/>
                </w:tcPr>
                <w:p w14:paraId="3DEBCA0F" w14:textId="77777777" w:rsidR="00DB71D4" w:rsidRPr="00F54417" w:rsidRDefault="00DB71D4" w:rsidP="00DB71D4">
                  <w:pPr>
                    <w:pStyle w:val="TableBodyText"/>
                  </w:pPr>
                  <w:r>
                    <w:t>6.4</w:t>
                  </w:r>
                </w:p>
              </w:tc>
              <w:tc>
                <w:tcPr>
                  <w:tcW w:w="423" w:type="pct"/>
                </w:tcPr>
                <w:p w14:paraId="19B37C7D" w14:textId="77777777" w:rsidR="00DB71D4" w:rsidRPr="00F54417" w:rsidRDefault="00DB71D4" w:rsidP="00DB71D4">
                  <w:pPr>
                    <w:pStyle w:val="TableBodyText"/>
                  </w:pPr>
                  <w:r w:rsidRPr="00C45588">
                    <w:t>..</w:t>
                  </w:r>
                </w:p>
              </w:tc>
              <w:tc>
                <w:tcPr>
                  <w:tcW w:w="423" w:type="pct"/>
                </w:tcPr>
                <w:p w14:paraId="15BB957D" w14:textId="77777777" w:rsidR="00DB71D4" w:rsidRPr="00F54417" w:rsidRDefault="00DB71D4" w:rsidP="00DB71D4">
                  <w:pPr>
                    <w:pStyle w:val="TableBodyText"/>
                  </w:pPr>
                  <w:r w:rsidRPr="00961481">
                    <w:t>np</w:t>
                  </w:r>
                </w:p>
              </w:tc>
              <w:tc>
                <w:tcPr>
                  <w:tcW w:w="423" w:type="pct"/>
                </w:tcPr>
                <w:p w14:paraId="58629A3A" w14:textId="77777777" w:rsidR="00DB71D4" w:rsidRPr="00F54417" w:rsidRDefault="00DB71D4" w:rsidP="00DB71D4">
                  <w:pPr>
                    <w:pStyle w:val="TableBodyText"/>
                  </w:pPr>
                  <w:r>
                    <w:t>2.5</w:t>
                  </w:r>
                </w:p>
              </w:tc>
              <w:tc>
                <w:tcPr>
                  <w:tcW w:w="424" w:type="pct"/>
                </w:tcPr>
                <w:p w14:paraId="59C3774A" w14:textId="77777777" w:rsidR="00DB71D4" w:rsidRPr="00F54417" w:rsidRDefault="00DB71D4" w:rsidP="00DB71D4">
                  <w:pPr>
                    <w:pStyle w:val="TableBodyText"/>
                  </w:pPr>
                  <w:r>
                    <w:t>7.0</w:t>
                  </w:r>
                </w:p>
              </w:tc>
            </w:tr>
            <w:tr w:rsidR="00DB71D4" w:rsidRPr="006165C4" w14:paraId="5FAE0A5A" w14:textId="77777777" w:rsidTr="00D751B8">
              <w:tc>
                <w:tcPr>
                  <w:tcW w:w="990" w:type="pct"/>
                  <w:tcBorders>
                    <w:bottom w:val="single" w:sz="4" w:space="0" w:color="BFBFBF"/>
                  </w:tcBorders>
                </w:tcPr>
                <w:p w14:paraId="13BF9F05" w14:textId="77777777" w:rsidR="00DB71D4" w:rsidRPr="00046ACB" w:rsidRDefault="00DB71D4" w:rsidP="00DB71D4">
                  <w:pPr>
                    <w:pStyle w:val="TableBodyText"/>
                    <w:jc w:val="left"/>
                  </w:pPr>
                  <w:r>
                    <w:t xml:space="preserve"> Clearance rate</w:t>
                  </w:r>
                </w:p>
              </w:tc>
              <w:tc>
                <w:tcPr>
                  <w:tcW w:w="312" w:type="pct"/>
                  <w:tcBorders>
                    <w:bottom w:val="single" w:sz="4" w:space="0" w:color="BFBFBF"/>
                  </w:tcBorders>
                </w:tcPr>
                <w:p w14:paraId="394434F2" w14:textId="77777777" w:rsidR="00DB71D4" w:rsidRPr="00CA0DB9" w:rsidRDefault="00DB71D4" w:rsidP="00DB71D4">
                  <w:pPr>
                    <w:pStyle w:val="TableBodyText"/>
                    <w:ind w:left="0" w:right="28"/>
                    <w:rPr>
                      <w:iCs/>
                      <w:szCs w:val="16"/>
                    </w:rPr>
                  </w:pPr>
                  <w:r w:rsidRPr="00CA0DB9">
                    <w:rPr>
                      <w:iCs/>
                      <w:szCs w:val="16"/>
                    </w:rPr>
                    <w:t>%</w:t>
                  </w:r>
                </w:p>
              </w:tc>
              <w:tc>
                <w:tcPr>
                  <w:tcW w:w="580" w:type="pct"/>
                  <w:tcBorders>
                    <w:bottom w:val="single" w:sz="4" w:space="0" w:color="BFBFBF"/>
                  </w:tcBorders>
                </w:tcPr>
                <w:p w14:paraId="08AFEF40" w14:textId="77777777" w:rsidR="00DB71D4" w:rsidRPr="00F54417" w:rsidRDefault="00DB71D4" w:rsidP="00DB71D4">
                  <w:pPr>
                    <w:pStyle w:val="TableBodyText"/>
                  </w:pPr>
                  <w:r>
                    <w:t>47.1</w:t>
                  </w:r>
                </w:p>
              </w:tc>
              <w:tc>
                <w:tcPr>
                  <w:tcW w:w="537" w:type="pct"/>
                  <w:tcBorders>
                    <w:bottom w:val="single" w:sz="4" w:space="0" w:color="BFBFBF"/>
                  </w:tcBorders>
                </w:tcPr>
                <w:p w14:paraId="607A1ABA" w14:textId="77777777" w:rsidR="00DB71D4" w:rsidRPr="00F54417" w:rsidRDefault="00DB71D4" w:rsidP="00DB71D4">
                  <w:pPr>
                    <w:pStyle w:val="TableBodyText"/>
                  </w:pPr>
                  <w:r>
                    <w:t>100.0</w:t>
                  </w:r>
                </w:p>
              </w:tc>
              <w:tc>
                <w:tcPr>
                  <w:tcW w:w="465" w:type="pct"/>
                  <w:tcBorders>
                    <w:bottom w:val="single" w:sz="4" w:space="0" w:color="BFBFBF"/>
                  </w:tcBorders>
                </w:tcPr>
                <w:p w14:paraId="47603F6A" w14:textId="77777777" w:rsidR="00DB71D4" w:rsidRPr="00F54417" w:rsidRDefault="00DB71D4" w:rsidP="00DB71D4">
                  <w:pPr>
                    <w:pStyle w:val="TableBodyText"/>
                  </w:pPr>
                  <w:r>
                    <w:t>27.3</w:t>
                  </w:r>
                </w:p>
              </w:tc>
              <w:tc>
                <w:tcPr>
                  <w:tcW w:w="423" w:type="pct"/>
                  <w:tcBorders>
                    <w:bottom w:val="single" w:sz="4" w:space="0" w:color="BFBFBF"/>
                  </w:tcBorders>
                </w:tcPr>
                <w:p w14:paraId="526DAA49" w14:textId="77777777" w:rsidR="00DB71D4" w:rsidRPr="00F54417" w:rsidRDefault="00DB71D4" w:rsidP="00DB71D4">
                  <w:pPr>
                    <w:pStyle w:val="TableBodyText"/>
                  </w:pPr>
                  <w:r>
                    <w:t>50.0</w:t>
                  </w:r>
                </w:p>
              </w:tc>
              <w:tc>
                <w:tcPr>
                  <w:tcW w:w="423" w:type="pct"/>
                  <w:tcBorders>
                    <w:bottom w:val="single" w:sz="4" w:space="0" w:color="BFBFBF"/>
                  </w:tcBorders>
                </w:tcPr>
                <w:p w14:paraId="542A981F" w14:textId="77777777" w:rsidR="00DB71D4" w:rsidRPr="00F54417" w:rsidRDefault="00DB71D4" w:rsidP="00DB71D4">
                  <w:pPr>
                    <w:pStyle w:val="TableBodyText"/>
                  </w:pPr>
                  <w:r w:rsidRPr="00F54417">
                    <w:t>..</w:t>
                  </w:r>
                </w:p>
              </w:tc>
              <w:tc>
                <w:tcPr>
                  <w:tcW w:w="423" w:type="pct"/>
                  <w:tcBorders>
                    <w:bottom w:val="single" w:sz="4" w:space="0" w:color="BFBFBF"/>
                  </w:tcBorders>
                </w:tcPr>
                <w:p w14:paraId="011AC2CB" w14:textId="77777777" w:rsidR="00DB71D4" w:rsidRPr="00F54417" w:rsidRDefault="00DB71D4" w:rsidP="00DB71D4">
                  <w:pPr>
                    <w:pStyle w:val="TableBodyText"/>
                  </w:pPr>
                  <w:r w:rsidRPr="00961481">
                    <w:t>np</w:t>
                  </w:r>
                </w:p>
              </w:tc>
              <w:tc>
                <w:tcPr>
                  <w:tcW w:w="423" w:type="pct"/>
                  <w:tcBorders>
                    <w:bottom w:val="single" w:sz="4" w:space="0" w:color="BFBFBF"/>
                  </w:tcBorders>
                </w:tcPr>
                <w:p w14:paraId="7AAF9DF0" w14:textId="77777777" w:rsidR="00DB71D4" w:rsidRPr="00F54417" w:rsidRDefault="00DB71D4" w:rsidP="00DB71D4">
                  <w:pPr>
                    <w:pStyle w:val="TableBodyText"/>
                  </w:pPr>
                  <w:r>
                    <w:t>..</w:t>
                  </w:r>
                </w:p>
              </w:tc>
              <w:tc>
                <w:tcPr>
                  <w:tcW w:w="424" w:type="pct"/>
                  <w:tcBorders>
                    <w:bottom w:val="single" w:sz="4" w:space="0" w:color="BFBFBF"/>
                  </w:tcBorders>
                </w:tcPr>
                <w:p w14:paraId="3E4B093C" w14:textId="77777777" w:rsidR="00DB71D4" w:rsidRPr="00F54417" w:rsidRDefault="00DB71D4" w:rsidP="00DB71D4">
                  <w:pPr>
                    <w:pStyle w:val="TableBodyText"/>
                  </w:pPr>
                  <w:r>
                    <w:t>25.0</w:t>
                  </w:r>
                </w:p>
              </w:tc>
            </w:tr>
          </w:tbl>
          <w:p w14:paraId="66FD9B0C" w14:textId="77777777" w:rsidR="005C1E0E" w:rsidRDefault="005C1E0E" w:rsidP="00FA7F1F">
            <w:pPr>
              <w:pStyle w:val="Box"/>
            </w:pPr>
          </w:p>
        </w:tc>
      </w:tr>
      <w:tr w:rsidR="005C1E0E" w14:paraId="0BBDD4CD" w14:textId="77777777" w:rsidTr="009D7BD3">
        <w:trPr>
          <w:cantSplit/>
        </w:trPr>
        <w:tc>
          <w:tcPr>
            <w:tcW w:w="8789" w:type="dxa"/>
            <w:tcBorders>
              <w:top w:val="nil"/>
              <w:left w:val="nil"/>
              <w:bottom w:val="nil"/>
              <w:right w:val="nil"/>
            </w:tcBorders>
            <w:shd w:val="clear" w:color="auto" w:fill="auto"/>
          </w:tcPr>
          <w:p w14:paraId="5BA95F67" w14:textId="2D463AE3" w:rsidR="005C1E0E" w:rsidRDefault="005C1E0E" w:rsidP="005C3AB3">
            <w:pPr>
              <w:pStyle w:val="Source"/>
              <w:rPr>
                <w:i/>
              </w:rPr>
            </w:pPr>
            <w:r w:rsidRPr="007C1F92">
              <w:rPr>
                <w:rStyle w:val="NoteLabel"/>
              </w:rPr>
              <w:t>a</w:t>
            </w:r>
            <w:r>
              <w:rPr>
                <w:rStyle w:val="NoteLabel"/>
              </w:rPr>
              <w:t> </w:t>
            </w:r>
            <w:r>
              <w:t xml:space="preserve">Homicide and related offences’ </w:t>
            </w:r>
            <w:proofErr w:type="gramStart"/>
            <w:r>
              <w:t>is</w:t>
            </w:r>
            <w:proofErr w:type="gramEnd"/>
            <w:r>
              <w:t xml:space="preserve"> defined according to the Australian and New Zealand Standard Offence Classification (ANZSOC) coding and includes murder, attempted murder, manslaughter and driving causing death. </w:t>
            </w:r>
            <w:r>
              <w:rPr>
                <w:rStyle w:val="NoteLabel"/>
              </w:rPr>
              <w:t>b </w:t>
            </w:r>
            <w:r w:rsidRPr="00A74C13">
              <w:t>Data for Queensland do not include offences for dangerous driving causing death</w:t>
            </w:r>
            <w:r>
              <w:t>.</w:t>
            </w:r>
            <w:r w:rsidR="005C3AB3">
              <w:t xml:space="preserve"> </w:t>
            </w:r>
            <w:r w:rsidR="005C3AB3">
              <w:rPr>
                <w:rStyle w:val="NoteLabel"/>
              </w:rPr>
              <w:t>c </w:t>
            </w:r>
            <w:r w:rsidR="005C3AB3">
              <w:t>Homicide data for the Tasmanian children’s court are not published in order to minimise re</w:t>
            </w:r>
            <w:r w:rsidR="00E8510D">
              <w:t>-</w:t>
            </w:r>
            <w:r w:rsidR="005C3AB3">
              <w:t>identification risks due to the small number of homicide and related offences in this court.</w:t>
            </w:r>
            <w:r>
              <w:t xml:space="preserve"> </w:t>
            </w:r>
            <w:proofErr w:type="spellStart"/>
            <w:r>
              <w:rPr>
                <w:b/>
              </w:rPr>
              <w:t>na</w:t>
            </w:r>
            <w:proofErr w:type="spellEnd"/>
            <w:r>
              <w:rPr>
                <w:b/>
              </w:rPr>
              <w:t> </w:t>
            </w:r>
            <w:r w:rsidRPr="00E92ADD">
              <w:t>Not available</w:t>
            </w:r>
            <w:r>
              <w:t>.</w:t>
            </w:r>
            <w:r w:rsidR="00F823C8">
              <w:t xml:space="preserve"> </w:t>
            </w:r>
            <w:r w:rsidR="00F823C8" w:rsidRPr="00F823C8">
              <w:rPr>
                <w:b/>
              </w:rPr>
              <w:t>np</w:t>
            </w:r>
            <w:r w:rsidR="00F823C8">
              <w:t> Not </w:t>
            </w:r>
            <w:proofErr w:type="gramStart"/>
            <w:r w:rsidR="005C3AB3">
              <w:t>published.</w:t>
            </w:r>
            <w:r>
              <w:t xml:space="preserve"> </w:t>
            </w:r>
            <w:r w:rsidRPr="004B239F">
              <w:t>..</w:t>
            </w:r>
            <w:proofErr w:type="gramEnd"/>
            <w:r>
              <w:rPr>
                <w:b/>
              </w:rPr>
              <w:t> </w:t>
            </w:r>
            <w:r w:rsidRPr="00E92ADD">
              <w:t>Not</w:t>
            </w:r>
            <w:r>
              <w:t> applicable</w:t>
            </w:r>
            <w:r w:rsidRPr="0074069E">
              <w:t>.</w:t>
            </w:r>
            <w:r>
              <w:t xml:space="preserve"> – Nil or rounded to zero.</w:t>
            </w:r>
          </w:p>
        </w:tc>
      </w:tr>
      <w:tr w:rsidR="005C1E0E" w14:paraId="783FCE3A" w14:textId="77777777" w:rsidTr="009D7BD3">
        <w:trPr>
          <w:cantSplit/>
        </w:trPr>
        <w:tc>
          <w:tcPr>
            <w:tcW w:w="8789" w:type="dxa"/>
            <w:tcBorders>
              <w:top w:val="nil"/>
              <w:left w:val="nil"/>
              <w:bottom w:val="nil"/>
              <w:right w:val="nil"/>
            </w:tcBorders>
            <w:shd w:val="clear" w:color="auto" w:fill="auto"/>
          </w:tcPr>
          <w:p w14:paraId="0C9982E9" w14:textId="77777777" w:rsidR="005C1E0E" w:rsidRDefault="005C1E0E" w:rsidP="00FA7F1F">
            <w:pPr>
              <w:pStyle w:val="Source"/>
            </w:pPr>
            <w:r>
              <w:rPr>
                <w:i/>
              </w:rPr>
              <w:t>Source</w:t>
            </w:r>
            <w:r w:rsidRPr="00AF5D20">
              <w:t>:</w:t>
            </w:r>
            <w:r>
              <w:rPr>
                <w:i/>
              </w:rPr>
              <w:t xml:space="preserve"> </w:t>
            </w:r>
            <w:r>
              <w:t>Australian, State and Territory court authorities and departments (unpublished).</w:t>
            </w:r>
          </w:p>
        </w:tc>
      </w:tr>
      <w:tr w:rsidR="005C1E0E" w14:paraId="605686CB" w14:textId="77777777" w:rsidTr="009D7BD3">
        <w:trPr>
          <w:cantSplit/>
        </w:trPr>
        <w:tc>
          <w:tcPr>
            <w:tcW w:w="8789" w:type="dxa"/>
            <w:tcBorders>
              <w:top w:val="nil"/>
              <w:left w:val="nil"/>
              <w:bottom w:val="nil"/>
              <w:right w:val="nil"/>
            </w:tcBorders>
            <w:shd w:val="clear" w:color="auto" w:fill="auto"/>
          </w:tcPr>
          <w:p w14:paraId="42D78001" w14:textId="77777777" w:rsidR="005C1E0E" w:rsidRDefault="005C1E0E" w:rsidP="00FA7F1F">
            <w:pPr>
              <w:pStyle w:val="Figurespace"/>
              <w:rPr>
                <w:i/>
              </w:rPr>
            </w:pPr>
          </w:p>
        </w:tc>
      </w:tr>
      <w:tr w:rsidR="005C1E0E" w:rsidRPr="000863A5" w14:paraId="69660014" w14:textId="77777777" w:rsidTr="009D7BD3">
        <w:tc>
          <w:tcPr>
            <w:tcW w:w="8789" w:type="dxa"/>
            <w:tcBorders>
              <w:top w:val="single" w:sz="6" w:space="0" w:color="78A22F" w:themeColor="accent1"/>
              <w:left w:val="nil"/>
              <w:bottom w:val="nil"/>
              <w:right w:val="nil"/>
            </w:tcBorders>
          </w:tcPr>
          <w:p w14:paraId="727E112E" w14:textId="77777777" w:rsidR="005C1E0E" w:rsidRPr="00626D32" w:rsidRDefault="005C1E0E" w:rsidP="00FA7F1F">
            <w:pPr>
              <w:pStyle w:val="BoxSpaceBelow"/>
            </w:pPr>
          </w:p>
        </w:tc>
      </w:tr>
    </w:tbl>
    <w:p w14:paraId="775DCE3B" w14:textId="77777777" w:rsidR="005C1E0E" w:rsidRDefault="005C1E0E" w:rsidP="005860D6">
      <w:pPr>
        <w:pStyle w:val="Heading2"/>
        <w:keepNext w:val="0"/>
        <w:keepLines/>
        <w:widowControl w:val="0"/>
      </w:pPr>
    </w:p>
    <w:p w14:paraId="4C5EAB76" w14:textId="76032AC9" w:rsidR="005E4E11" w:rsidRDefault="005E4E11" w:rsidP="005860D6">
      <w:pPr>
        <w:pStyle w:val="Heading2"/>
        <w:keepLines/>
        <w:widowControl w:val="0"/>
      </w:pPr>
      <w:bookmarkStart w:id="37" w:name="_Toc21937656"/>
      <w:r>
        <w:lastRenderedPageBreak/>
        <w:t>7.</w:t>
      </w:r>
      <w:r w:rsidR="004A462E">
        <w:rPr>
          <w:noProof/>
        </w:rPr>
        <w:t>4</w:t>
      </w:r>
      <w:r w:rsidRPr="005E4E11">
        <w:tab/>
        <w:t>Definitions of key terms</w:t>
      </w:r>
      <w:bookmarkEnd w:id="35"/>
      <w:bookmarkEnd w:id="36"/>
      <w:bookmarkEnd w:id="37"/>
    </w:p>
    <w:tbl>
      <w:tblPr>
        <w:tblW w:w="8789" w:type="dxa"/>
        <w:tblLayout w:type="fixed"/>
        <w:tblCellMar>
          <w:left w:w="0" w:type="dxa"/>
          <w:right w:w="0" w:type="dxa"/>
        </w:tblCellMar>
        <w:tblLook w:val="0000" w:firstRow="0" w:lastRow="0" w:firstColumn="0" w:lastColumn="0" w:noHBand="0" w:noVBand="0"/>
      </w:tblPr>
      <w:tblGrid>
        <w:gridCol w:w="2552"/>
        <w:gridCol w:w="6237"/>
      </w:tblGrid>
      <w:tr w:rsidR="006D7F52" w14:paraId="7F90766E" w14:textId="77777777" w:rsidTr="00742A8F">
        <w:trPr>
          <w:cantSplit/>
        </w:trPr>
        <w:tc>
          <w:tcPr>
            <w:tcW w:w="2552" w:type="dxa"/>
          </w:tcPr>
          <w:p w14:paraId="66E4A681" w14:textId="77777777" w:rsidR="006D7F52" w:rsidRDefault="006D7F52" w:rsidP="005860D6">
            <w:pPr>
              <w:pStyle w:val="TableUnitsRow"/>
              <w:keepLines w:val="0"/>
              <w:widowControl w:val="0"/>
              <w:spacing w:before="60" w:after="60"/>
              <w:ind w:left="0"/>
              <w:jc w:val="left"/>
              <w:rPr>
                <w:b/>
              </w:rPr>
            </w:pPr>
          </w:p>
          <w:p w14:paraId="6CD49E7E" w14:textId="77777777" w:rsidR="006D7F52" w:rsidRPr="001A147A" w:rsidRDefault="006D7F52" w:rsidP="005860D6">
            <w:pPr>
              <w:pStyle w:val="TableUnitsRow"/>
              <w:keepLines w:val="0"/>
              <w:widowControl w:val="0"/>
              <w:spacing w:before="60" w:after="60"/>
              <w:ind w:left="0"/>
              <w:jc w:val="left"/>
              <w:rPr>
                <w:b/>
              </w:rPr>
            </w:pPr>
            <w:r w:rsidRPr="001A147A">
              <w:rPr>
                <w:b/>
              </w:rPr>
              <w:t>Active pending population</w:t>
            </w:r>
          </w:p>
        </w:tc>
        <w:tc>
          <w:tcPr>
            <w:tcW w:w="6237" w:type="dxa"/>
          </w:tcPr>
          <w:p w14:paraId="33D13CBD" w14:textId="77777777" w:rsidR="006D7F52" w:rsidRDefault="006D7F52" w:rsidP="005860D6">
            <w:pPr>
              <w:pStyle w:val="TableUnitsRow"/>
              <w:keepLines w:val="0"/>
              <w:widowControl w:val="0"/>
              <w:spacing w:before="60" w:after="60"/>
              <w:ind w:left="0" w:right="6"/>
              <w:jc w:val="left"/>
            </w:pPr>
          </w:p>
          <w:p w14:paraId="7D13E6F6" w14:textId="77777777" w:rsidR="006D7F52" w:rsidRPr="001A147A" w:rsidRDefault="006D7F52" w:rsidP="005860D6">
            <w:pPr>
              <w:pStyle w:val="TableUnitsRow"/>
              <w:keepLines w:val="0"/>
              <w:widowControl w:val="0"/>
              <w:spacing w:before="60" w:after="60"/>
              <w:ind w:left="0" w:right="6"/>
              <w:jc w:val="left"/>
            </w:pPr>
            <w:r w:rsidRPr="001A147A">
              <w:t xml:space="preserve">A </w:t>
            </w:r>
            <w:proofErr w:type="spellStart"/>
            <w:r>
              <w:t>lodgment</w:t>
            </w:r>
            <w:proofErr w:type="spellEnd"/>
            <w:r w:rsidRPr="001A147A">
              <w:t xml:space="preserve"> that is yet to be finalised but is part of the </w:t>
            </w:r>
            <w:r w:rsidR="00373082">
              <w:t xml:space="preserve">active </w:t>
            </w:r>
            <w:r w:rsidRPr="001A147A">
              <w:t>case man</w:t>
            </w:r>
            <w:r>
              <w:t>agement of court administrators.</w:t>
            </w:r>
          </w:p>
        </w:tc>
      </w:tr>
      <w:tr w:rsidR="006D7F52" w14:paraId="708FD744" w14:textId="77777777" w:rsidTr="00742A8F">
        <w:trPr>
          <w:cantSplit/>
        </w:trPr>
        <w:tc>
          <w:tcPr>
            <w:tcW w:w="2552" w:type="dxa"/>
          </w:tcPr>
          <w:p w14:paraId="7B244549" w14:textId="77777777" w:rsidR="006D7F52" w:rsidRPr="001A147A" w:rsidRDefault="006D7F52" w:rsidP="006563C0">
            <w:pPr>
              <w:pStyle w:val="TableBodyText"/>
              <w:keepNext w:val="0"/>
              <w:keepLines w:val="0"/>
              <w:widowControl w:val="0"/>
              <w:spacing w:before="60" w:after="60"/>
              <w:ind w:left="0"/>
              <w:jc w:val="left"/>
              <w:rPr>
                <w:b/>
              </w:rPr>
            </w:pPr>
            <w:r w:rsidRPr="001A147A">
              <w:rPr>
                <w:b/>
              </w:rPr>
              <w:t xml:space="preserve">Attendance </w:t>
            </w:r>
            <w:r>
              <w:rPr>
                <w:b/>
              </w:rPr>
              <w:t>i</w:t>
            </w:r>
            <w:r w:rsidRPr="001A147A">
              <w:rPr>
                <w:b/>
              </w:rPr>
              <w:t>ndicator</w:t>
            </w:r>
          </w:p>
        </w:tc>
        <w:tc>
          <w:tcPr>
            <w:tcW w:w="6237" w:type="dxa"/>
          </w:tcPr>
          <w:p w14:paraId="3982F8CE" w14:textId="6F27AFE7" w:rsidR="006D7F52" w:rsidRPr="001A147A" w:rsidRDefault="006D7F52" w:rsidP="006563C0">
            <w:pPr>
              <w:pStyle w:val="TableBodyText"/>
              <w:keepNext w:val="0"/>
              <w:keepLines w:val="0"/>
              <w:widowControl w:val="0"/>
              <w:spacing w:before="60" w:after="60"/>
              <w:ind w:left="0" w:right="6"/>
              <w:jc w:val="left"/>
            </w:pPr>
            <w:r w:rsidRPr="001A147A">
              <w:t>An attendance is defined as the number of times that par</w:t>
            </w:r>
            <w:r>
              <w:t>ties or their representatives a</w:t>
            </w:r>
            <w:r w:rsidRPr="001A147A">
              <w:t>re required to be present in court (including any appointment which is adjourned or rescheduled) for all finalised matters during the year. Th</w:t>
            </w:r>
            <w:r>
              <w:t>e actual attendance is one that</w:t>
            </w:r>
            <w:r w:rsidRPr="001A147A">
              <w:t xml:space="preserve"> is heard by a judicial </w:t>
            </w:r>
            <w:r>
              <w:t>officer or mediator/arbitrator.</w:t>
            </w:r>
          </w:p>
        </w:tc>
      </w:tr>
      <w:tr w:rsidR="006D7F52" w14:paraId="25AFB579" w14:textId="77777777" w:rsidTr="00742A8F">
        <w:trPr>
          <w:cantSplit/>
        </w:trPr>
        <w:tc>
          <w:tcPr>
            <w:tcW w:w="2552" w:type="dxa"/>
          </w:tcPr>
          <w:p w14:paraId="2AAA2331" w14:textId="77777777" w:rsidR="006D7F52" w:rsidRPr="001A147A" w:rsidRDefault="006D7F52" w:rsidP="006563C0">
            <w:pPr>
              <w:pStyle w:val="TableBodyText"/>
              <w:keepNext w:val="0"/>
              <w:keepLines w:val="0"/>
              <w:widowControl w:val="0"/>
              <w:spacing w:before="60" w:after="60"/>
              <w:ind w:left="0"/>
              <w:jc w:val="left"/>
              <w:rPr>
                <w:b/>
              </w:rPr>
            </w:pPr>
            <w:r w:rsidRPr="001A147A">
              <w:rPr>
                <w:b/>
              </w:rPr>
              <w:t>Case</w:t>
            </w:r>
          </w:p>
        </w:tc>
        <w:tc>
          <w:tcPr>
            <w:tcW w:w="6237" w:type="dxa"/>
          </w:tcPr>
          <w:p w14:paraId="5C14D156" w14:textId="77777777" w:rsidR="006D7F52" w:rsidRPr="001A147A" w:rsidRDefault="006D7F52" w:rsidP="006563C0">
            <w:pPr>
              <w:pStyle w:val="TableBodyText"/>
              <w:keepNext w:val="0"/>
              <w:keepLines w:val="0"/>
              <w:widowControl w:val="0"/>
              <w:spacing w:before="60" w:after="60"/>
              <w:ind w:left="0" w:right="6"/>
              <w:jc w:val="left"/>
            </w:pPr>
            <w:r w:rsidRPr="001A147A">
              <w:t>The measurement of workload in the civil jurisdiction. It is the issues, grievances or complaints that constitute a single and related series of disputes brought by an entity (or group of entities) against another entity (or group).</w:t>
            </w:r>
          </w:p>
        </w:tc>
      </w:tr>
      <w:tr w:rsidR="0007611E" w14:paraId="4169ABA5" w14:textId="77777777" w:rsidTr="00790878">
        <w:trPr>
          <w:cantSplit/>
        </w:trPr>
        <w:tc>
          <w:tcPr>
            <w:tcW w:w="2552" w:type="dxa"/>
            <w:shd w:val="clear" w:color="auto" w:fill="auto"/>
          </w:tcPr>
          <w:p w14:paraId="46CC7CEE" w14:textId="77777777" w:rsidR="0007611E" w:rsidRPr="001A147A" w:rsidRDefault="0007611E" w:rsidP="006563C0">
            <w:pPr>
              <w:pStyle w:val="TableBodyText"/>
              <w:keepNext w:val="0"/>
              <w:keepLines w:val="0"/>
              <w:widowControl w:val="0"/>
              <w:spacing w:before="60" w:after="60"/>
              <w:ind w:left="0"/>
              <w:jc w:val="left"/>
              <w:rPr>
                <w:b/>
              </w:rPr>
            </w:pPr>
            <w:r>
              <w:rPr>
                <w:b/>
              </w:rPr>
              <w:t>Comparability</w:t>
            </w:r>
          </w:p>
        </w:tc>
        <w:tc>
          <w:tcPr>
            <w:tcW w:w="6237" w:type="dxa"/>
            <w:shd w:val="clear" w:color="auto" w:fill="auto"/>
          </w:tcPr>
          <w:p w14:paraId="2DE1904D" w14:textId="77777777" w:rsidR="0007611E" w:rsidRDefault="00AB33DD" w:rsidP="006563C0">
            <w:pPr>
              <w:pStyle w:val="TableBodyText"/>
              <w:keepNext w:val="0"/>
              <w:keepLines w:val="0"/>
              <w:widowControl w:val="0"/>
              <w:spacing w:before="60" w:after="60"/>
              <w:ind w:left="0" w:right="6"/>
              <w:jc w:val="left"/>
            </w:pPr>
            <w:r>
              <w:t>Data are considered comparable if,</w:t>
            </w:r>
            <w:r w:rsidR="0007611E" w:rsidRPr="00CD50C4">
              <w:t xml:space="preserve"> (subject to caveats)</w:t>
            </w:r>
            <w:r>
              <w:t xml:space="preserve"> they</w:t>
            </w:r>
            <w:r w:rsidR="0007611E" w:rsidRPr="00CD50C4">
              <w:t xml:space="preserve"> can be used to inform an assessment of comparative performance. Typically, data are considered comparable when they are collected in the same way and in accordance with the same definitions. For comparable indicators or measures, significant differences in reported results allow an assessment of differences in performance, rather than being the result of anomalies in the data.</w:t>
            </w:r>
          </w:p>
        </w:tc>
      </w:tr>
      <w:tr w:rsidR="0007611E" w14:paraId="3EAA1890" w14:textId="77777777" w:rsidTr="00790878">
        <w:trPr>
          <w:cantSplit/>
        </w:trPr>
        <w:tc>
          <w:tcPr>
            <w:tcW w:w="2552" w:type="dxa"/>
            <w:shd w:val="clear" w:color="auto" w:fill="auto"/>
          </w:tcPr>
          <w:p w14:paraId="0DEAB256" w14:textId="77777777" w:rsidR="0007611E" w:rsidRDefault="0007611E" w:rsidP="006563C0">
            <w:pPr>
              <w:pStyle w:val="TableBodyText"/>
              <w:keepNext w:val="0"/>
              <w:keepLines w:val="0"/>
              <w:widowControl w:val="0"/>
              <w:spacing w:before="60" w:after="60"/>
              <w:ind w:left="0"/>
              <w:jc w:val="left"/>
              <w:rPr>
                <w:b/>
              </w:rPr>
            </w:pPr>
            <w:r>
              <w:rPr>
                <w:b/>
              </w:rPr>
              <w:t>Completeness</w:t>
            </w:r>
          </w:p>
        </w:tc>
        <w:tc>
          <w:tcPr>
            <w:tcW w:w="6237" w:type="dxa"/>
            <w:shd w:val="clear" w:color="auto" w:fill="auto"/>
          </w:tcPr>
          <w:p w14:paraId="7FC8351A" w14:textId="77777777" w:rsidR="0007611E" w:rsidRPr="00CD50C4" w:rsidRDefault="00AB33DD" w:rsidP="006563C0">
            <w:pPr>
              <w:pStyle w:val="TableBodyText"/>
              <w:keepNext w:val="0"/>
              <w:keepLines w:val="0"/>
              <w:widowControl w:val="0"/>
              <w:spacing w:before="60" w:after="60"/>
              <w:ind w:left="0" w:right="6"/>
              <w:jc w:val="left"/>
            </w:pPr>
            <w:r>
              <w:t>Data are considered complete</w:t>
            </w:r>
            <w:r w:rsidR="0007611E" w:rsidRPr="00CD50C4">
              <w:t xml:space="preserve"> if all required data are available for all jurisdictions that provide the service.</w:t>
            </w:r>
          </w:p>
        </w:tc>
      </w:tr>
      <w:tr w:rsidR="006D7F52" w14:paraId="22BF309D" w14:textId="77777777" w:rsidTr="00742A8F">
        <w:trPr>
          <w:cantSplit/>
        </w:trPr>
        <w:tc>
          <w:tcPr>
            <w:tcW w:w="2552" w:type="dxa"/>
          </w:tcPr>
          <w:p w14:paraId="1E7D185E" w14:textId="77777777" w:rsidR="006D7F52" w:rsidRPr="001A147A" w:rsidRDefault="006D7F52" w:rsidP="006563C0">
            <w:pPr>
              <w:pStyle w:val="TableBodyText"/>
              <w:keepNext w:val="0"/>
              <w:keepLines w:val="0"/>
              <w:widowControl w:val="0"/>
              <w:spacing w:before="60" w:after="60"/>
              <w:ind w:left="0"/>
              <w:jc w:val="left"/>
              <w:rPr>
                <w:b/>
              </w:rPr>
            </w:pPr>
            <w:r w:rsidRPr="001A147A">
              <w:rPr>
                <w:b/>
              </w:rPr>
              <w:t>Cost recovery</w:t>
            </w:r>
          </w:p>
        </w:tc>
        <w:tc>
          <w:tcPr>
            <w:tcW w:w="6237" w:type="dxa"/>
          </w:tcPr>
          <w:p w14:paraId="401C8FA3" w14:textId="642D3C8E" w:rsidR="006D7F52" w:rsidRPr="001A147A" w:rsidRDefault="00841F40" w:rsidP="006563C0">
            <w:pPr>
              <w:pStyle w:val="TableBodyText"/>
              <w:keepNext w:val="0"/>
              <w:keepLines w:val="0"/>
              <w:widowControl w:val="0"/>
              <w:spacing w:before="60" w:after="60"/>
              <w:ind w:left="0" w:right="6"/>
              <w:jc w:val="left"/>
            </w:pPr>
            <w:r>
              <w:t>The amount</w:t>
            </w:r>
            <w:r w:rsidR="006D7F52" w:rsidRPr="001A147A">
              <w:t xml:space="preserve"> of court fees</w:t>
            </w:r>
            <w:r>
              <w:t xml:space="preserve"> collected</w:t>
            </w:r>
            <w:r w:rsidR="006D7F52" w:rsidRPr="001A147A">
              <w:t xml:space="preserve"> divided by the </w:t>
            </w:r>
            <w:r>
              <w:t>amount</w:t>
            </w:r>
            <w:r w:rsidR="006D7F52" w:rsidRPr="001A147A">
              <w:t xml:space="preserve"> of court expenditure.</w:t>
            </w:r>
          </w:p>
        </w:tc>
      </w:tr>
      <w:tr w:rsidR="006D7F52" w14:paraId="4B3ED453" w14:textId="77777777" w:rsidTr="00742A8F">
        <w:trPr>
          <w:cantSplit/>
        </w:trPr>
        <w:tc>
          <w:tcPr>
            <w:tcW w:w="2552" w:type="dxa"/>
          </w:tcPr>
          <w:p w14:paraId="1BB8CD0E" w14:textId="77777777" w:rsidR="006D7F52" w:rsidRPr="001A147A" w:rsidRDefault="006D7F52" w:rsidP="006563C0">
            <w:pPr>
              <w:pStyle w:val="TableBodyText"/>
              <w:keepNext w:val="0"/>
              <w:keepLines w:val="0"/>
              <w:widowControl w:val="0"/>
              <w:spacing w:before="60" w:after="60"/>
              <w:ind w:left="0"/>
              <w:jc w:val="left"/>
              <w:rPr>
                <w:b/>
              </w:rPr>
            </w:pPr>
            <w:r w:rsidRPr="001A147A">
              <w:rPr>
                <w:b/>
              </w:rPr>
              <w:t>Court fees collected</w:t>
            </w:r>
          </w:p>
        </w:tc>
        <w:tc>
          <w:tcPr>
            <w:tcW w:w="6237" w:type="dxa"/>
          </w:tcPr>
          <w:p w14:paraId="1B9F59A5" w14:textId="77777777" w:rsidR="006D7F52" w:rsidRPr="001A147A" w:rsidRDefault="006D7F52" w:rsidP="006563C0">
            <w:pPr>
              <w:pStyle w:val="TableBodyText"/>
              <w:keepNext w:val="0"/>
              <w:keepLines w:val="0"/>
              <w:widowControl w:val="0"/>
              <w:spacing w:before="60" w:after="60"/>
              <w:ind w:left="0" w:right="6"/>
              <w:jc w:val="left"/>
            </w:pPr>
            <w:r w:rsidRPr="001A147A">
              <w:t xml:space="preserve">Total court income from fees charged in the civil jurisdiction. </w:t>
            </w:r>
            <w:r w:rsidR="008966E5">
              <w:t>Can i</w:t>
            </w:r>
            <w:r w:rsidRPr="001A147A">
              <w:t>nclude filing, sitting hearing and deposition fees, and excludes transcript fees.</w:t>
            </w:r>
          </w:p>
        </w:tc>
      </w:tr>
      <w:tr w:rsidR="006D7F52" w14:paraId="2CBA8027" w14:textId="77777777" w:rsidTr="00742A8F">
        <w:trPr>
          <w:cantSplit/>
        </w:trPr>
        <w:tc>
          <w:tcPr>
            <w:tcW w:w="2552" w:type="dxa"/>
          </w:tcPr>
          <w:p w14:paraId="446455A2" w14:textId="77777777" w:rsidR="006D7F52" w:rsidRPr="001A147A" w:rsidRDefault="006D7F52" w:rsidP="006563C0">
            <w:pPr>
              <w:pStyle w:val="TableBodyText"/>
              <w:keepNext w:val="0"/>
              <w:keepLines w:val="0"/>
              <w:widowControl w:val="0"/>
              <w:spacing w:before="60" w:after="60"/>
              <w:ind w:left="0"/>
              <w:jc w:val="left"/>
              <w:rPr>
                <w:b/>
              </w:rPr>
            </w:pPr>
            <w:r>
              <w:rPr>
                <w:b/>
              </w:rPr>
              <w:t>Electronic infringement and enforcement system</w:t>
            </w:r>
          </w:p>
        </w:tc>
        <w:tc>
          <w:tcPr>
            <w:tcW w:w="6237" w:type="dxa"/>
          </w:tcPr>
          <w:p w14:paraId="58360DC1" w14:textId="77777777" w:rsidR="006D7F52" w:rsidRPr="001A147A" w:rsidRDefault="006D7F52" w:rsidP="006563C0">
            <w:pPr>
              <w:pStyle w:val="TableBodyText"/>
              <w:keepNext w:val="0"/>
              <w:keepLines w:val="0"/>
              <w:widowControl w:val="0"/>
              <w:spacing w:before="60" w:after="60"/>
              <w:ind w:left="0" w:right="6"/>
              <w:jc w:val="left"/>
            </w:pPr>
            <w:r w:rsidRPr="001A147A">
              <w:t>A court with the capacity to produce enforceable orders against defendants (such as fines, licence cancellation and incarceration) and to process infringements, on-the-spot fines and summary offences.</w:t>
            </w:r>
          </w:p>
        </w:tc>
      </w:tr>
      <w:tr w:rsidR="006D7F52" w14:paraId="30E1599C" w14:textId="77777777" w:rsidTr="00742A8F">
        <w:trPr>
          <w:cantSplit/>
        </w:trPr>
        <w:tc>
          <w:tcPr>
            <w:tcW w:w="2552" w:type="dxa"/>
          </w:tcPr>
          <w:p w14:paraId="09D3263F" w14:textId="77777777" w:rsidR="006D7F52" w:rsidRPr="001A147A" w:rsidRDefault="006D7F52" w:rsidP="006563C0">
            <w:pPr>
              <w:pStyle w:val="TableBodyText"/>
              <w:keepNext w:val="0"/>
              <w:keepLines w:val="0"/>
              <w:widowControl w:val="0"/>
              <w:spacing w:before="40"/>
              <w:jc w:val="left"/>
              <w:rPr>
                <w:b/>
              </w:rPr>
            </w:pPr>
            <w:r w:rsidRPr="001A147A">
              <w:rPr>
                <w:b/>
              </w:rPr>
              <w:t>Excluded courts and tribunals</w:t>
            </w:r>
          </w:p>
        </w:tc>
        <w:tc>
          <w:tcPr>
            <w:tcW w:w="6237" w:type="dxa"/>
          </w:tcPr>
          <w:p w14:paraId="046EFCB5" w14:textId="77777777" w:rsidR="006D7F52" w:rsidRPr="001A147A" w:rsidRDefault="006D7F52" w:rsidP="006563C0">
            <w:pPr>
              <w:pStyle w:val="TableBodyText"/>
              <w:keepNext w:val="0"/>
              <w:keepLines w:val="0"/>
              <w:widowControl w:val="0"/>
              <w:spacing w:before="40"/>
              <w:ind w:right="6"/>
              <w:jc w:val="left"/>
            </w:pPr>
            <w:r>
              <w:t>This includes such bodies as g</w:t>
            </w:r>
            <w:r w:rsidRPr="001A147A">
              <w:t>uardianship boards, environment resources and development courts, and administrative appeals tribunals.</w:t>
            </w:r>
            <w:r>
              <w:t xml:space="preserve"> The types of excluded courts and tribunals vary among the states and territories.</w:t>
            </w:r>
          </w:p>
        </w:tc>
      </w:tr>
      <w:tr w:rsidR="00FD01B0" w14:paraId="78628C73" w14:textId="77777777" w:rsidTr="00742A8F">
        <w:trPr>
          <w:cantSplit/>
        </w:trPr>
        <w:tc>
          <w:tcPr>
            <w:tcW w:w="2552" w:type="dxa"/>
          </w:tcPr>
          <w:p w14:paraId="20CFE318" w14:textId="2823B2E9" w:rsidR="00FD01B0" w:rsidRPr="001A147A" w:rsidRDefault="00FD01B0" w:rsidP="006563C0">
            <w:pPr>
              <w:pStyle w:val="TableBodyText"/>
              <w:keepNext w:val="0"/>
              <w:keepLines w:val="0"/>
              <w:widowControl w:val="0"/>
              <w:spacing w:before="40"/>
              <w:jc w:val="left"/>
              <w:rPr>
                <w:b/>
              </w:rPr>
            </w:pPr>
            <w:r>
              <w:rPr>
                <w:b/>
              </w:rPr>
              <w:t>Finalisation</w:t>
            </w:r>
          </w:p>
        </w:tc>
        <w:tc>
          <w:tcPr>
            <w:tcW w:w="6237" w:type="dxa"/>
          </w:tcPr>
          <w:p w14:paraId="6247D27A" w14:textId="022F3488" w:rsidR="00FD01B0" w:rsidRDefault="003232EE" w:rsidP="006563C0">
            <w:pPr>
              <w:pStyle w:val="TableBodyText"/>
              <w:keepNext w:val="0"/>
              <w:keepLines w:val="0"/>
              <w:widowControl w:val="0"/>
              <w:spacing w:before="40"/>
              <w:ind w:right="6"/>
              <w:jc w:val="left"/>
            </w:pPr>
            <w:r>
              <w:t>The formal completion of a matter before the court. The date of finalisation in the criminal courts occurs when all charges against a defendant have been completed and the defendant ceases to be an active unit of work to be dealt with by the court. The date of finalisation in the civil courts occurs when all matters pertaining to a file cease to be an active unit of work for the court.</w:t>
            </w:r>
            <w:r w:rsidR="00604400">
              <w:t xml:space="preserve"> </w:t>
            </w:r>
            <w:r w:rsidR="00604400" w:rsidRPr="00604400">
              <w:t>In the civil jurisdiction, (with the exception of appeals heard in the Supreme and District courts, the Federal Court of Australia, and all matters finalised in the Family court of Australia), cases may be deemed finalised if there is no action on a file for more than 12 months.</w:t>
            </w:r>
          </w:p>
        </w:tc>
      </w:tr>
      <w:tr w:rsidR="000B4A4D" w:rsidRPr="003C1817" w14:paraId="2B4DA53E" w14:textId="77777777" w:rsidTr="008D0127">
        <w:trPr>
          <w:cantSplit/>
        </w:trPr>
        <w:tc>
          <w:tcPr>
            <w:tcW w:w="2552" w:type="dxa"/>
          </w:tcPr>
          <w:p w14:paraId="27941D65" w14:textId="374984AD" w:rsidR="000B4A4D" w:rsidRPr="00DF7337" w:rsidRDefault="00B473D5" w:rsidP="006563C0">
            <w:pPr>
              <w:pStyle w:val="TableBodyText"/>
              <w:keepNext w:val="0"/>
              <w:keepLines w:val="0"/>
              <w:widowControl w:val="0"/>
              <w:spacing w:before="40"/>
              <w:jc w:val="left"/>
              <w:rPr>
                <w:b/>
              </w:rPr>
            </w:pPr>
            <w:r w:rsidRPr="00DF7337">
              <w:rPr>
                <w:b/>
              </w:rPr>
              <w:t>FTE staff</w:t>
            </w:r>
          </w:p>
        </w:tc>
        <w:tc>
          <w:tcPr>
            <w:tcW w:w="6237" w:type="dxa"/>
          </w:tcPr>
          <w:p w14:paraId="41CBEA15" w14:textId="3E21B2FA" w:rsidR="000B4A4D" w:rsidRPr="00DF7337" w:rsidRDefault="00F07436" w:rsidP="006563C0">
            <w:pPr>
              <w:pStyle w:val="TableBodyText"/>
              <w:keepNext w:val="0"/>
              <w:keepLines w:val="0"/>
              <w:widowControl w:val="0"/>
              <w:spacing w:before="40"/>
              <w:ind w:right="6"/>
              <w:jc w:val="left"/>
            </w:pPr>
            <w:r>
              <w:t>Full time equivalent (</w:t>
            </w:r>
            <w:r w:rsidR="000B4A4D" w:rsidRPr="00DF7337">
              <w:t>FTE</w:t>
            </w:r>
            <w:r>
              <w:t>)</w:t>
            </w:r>
            <w:r w:rsidR="000B4A4D" w:rsidRPr="00DF7337">
              <w:t xml:space="preserve"> staff can include the following categories of staff employed directly by court authorities or by umbrella and other departments:</w:t>
            </w:r>
          </w:p>
          <w:p w14:paraId="46DFEEA9" w14:textId="77777777" w:rsidR="000B4A4D" w:rsidRPr="00DF7337" w:rsidRDefault="000B4A4D" w:rsidP="006563C0">
            <w:pPr>
              <w:pStyle w:val="TableBodyText"/>
              <w:keepNext w:val="0"/>
              <w:keepLines w:val="0"/>
              <w:widowControl w:val="0"/>
              <w:spacing w:before="40"/>
              <w:ind w:right="6"/>
              <w:jc w:val="left"/>
            </w:pPr>
            <w:r w:rsidRPr="00DF7337">
              <w:t>•</w:t>
            </w:r>
            <w:r w:rsidRPr="00DF7337">
              <w:tab/>
              <w:t>judicial officers, judicial support staff and registry court staff</w:t>
            </w:r>
          </w:p>
          <w:p w14:paraId="17D3AABB" w14:textId="18D96CF4" w:rsidR="000B4A4D" w:rsidRPr="00DF7337" w:rsidRDefault="000B4A4D" w:rsidP="006563C0">
            <w:pPr>
              <w:pStyle w:val="TableBodyText"/>
              <w:keepNext w:val="0"/>
              <w:keepLines w:val="0"/>
              <w:widowControl w:val="0"/>
              <w:spacing w:before="40"/>
              <w:ind w:right="6"/>
              <w:jc w:val="left"/>
            </w:pPr>
            <w:r w:rsidRPr="00DF7337">
              <w:t>•</w:t>
            </w:r>
            <w:r w:rsidRPr="00DF7337">
              <w:tab/>
              <w:t>court security</w:t>
            </w:r>
            <w:r w:rsidR="00D62BE1">
              <w:t xml:space="preserve">, bailiff </w:t>
            </w:r>
            <w:r w:rsidRPr="00DF7337">
              <w:t>and sheriff type staff</w:t>
            </w:r>
          </w:p>
          <w:p w14:paraId="2E49798A" w14:textId="77777777" w:rsidR="000B4A4D" w:rsidRPr="00DF7337" w:rsidRDefault="000B4A4D" w:rsidP="006563C0">
            <w:pPr>
              <w:pStyle w:val="TableBodyText"/>
              <w:keepNext w:val="0"/>
              <w:keepLines w:val="0"/>
              <w:widowControl w:val="0"/>
              <w:spacing w:before="40"/>
              <w:ind w:right="6"/>
              <w:jc w:val="left"/>
            </w:pPr>
            <w:r w:rsidRPr="00DF7337">
              <w:t>•</w:t>
            </w:r>
            <w:r w:rsidRPr="00DF7337">
              <w:tab/>
              <w:t>court reporters</w:t>
            </w:r>
          </w:p>
          <w:p w14:paraId="53C8600C" w14:textId="77777777" w:rsidR="000B4A4D" w:rsidRPr="00DF7337" w:rsidRDefault="000B4A4D" w:rsidP="006563C0">
            <w:pPr>
              <w:pStyle w:val="TableBodyText"/>
              <w:keepNext w:val="0"/>
              <w:keepLines w:val="0"/>
              <w:widowControl w:val="0"/>
              <w:spacing w:before="40"/>
              <w:ind w:right="6"/>
              <w:jc w:val="left"/>
            </w:pPr>
            <w:r w:rsidRPr="00DF7337">
              <w:t>•</w:t>
            </w:r>
            <w:r w:rsidRPr="00DF7337">
              <w:tab/>
              <w:t>library and information technology staff</w:t>
            </w:r>
          </w:p>
          <w:p w14:paraId="4919A00C" w14:textId="77777777" w:rsidR="000B4A4D" w:rsidRPr="00DF7337" w:rsidRDefault="000B4A4D" w:rsidP="006563C0">
            <w:pPr>
              <w:pStyle w:val="TableBodyText"/>
              <w:keepNext w:val="0"/>
              <w:keepLines w:val="0"/>
              <w:widowControl w:val="0"/>
              <w:spacing w:before="40"/>
              <w:ind w:right="6"/>
              <w:jc w:val="left"/>
            </w:pPr>
            <w:r w:rsidRPr="00DF7337">
              <w:t>•</w:t>
            </w:r>
            <w:r w:rsidRPr="00DF7337">
              <w:tab/>
              <w:t>counsellors, mediators and interpreters</w:t>
            </w:r>
          </w:p>
          <w:p w14:paraId="771DD794" w14:textId="77777777" w:rsidR="000B4A4D" w:rsidRPr="00DF7337" w:rsidRDefault="000B4A4D" w:rsidP="006563C0">
            <w:pPr>
              <w:pStyle w:val="TableBodyText"/>
              <w:keepNext w:val="0"/>
              <w:keepLines w:val="0"/>
              <w:widowControl w:val="0"/>
              <w:spacing w:before="40"/>
              <w:ind w:right="6"/>
              <w:jc w:val="left"/>
            </w:pPr>
            <w:r w:rsidRPr="00DF7337">
              <w:t>•</w:t>
            </w:r>
            <w:r w:rsidRPr="00DF7337">
              <w:tab/>
              <w:t>cleaning, gardening and maintenance staff</w:t>
            </w:r>
          </w:p>
          <w:p w14:paraId="4EE44632" w14:textId="77777777" w:rsidR="000B4A4D" w:rsidRPr="00DF7337" w:rsidRDefault="000B4A4D" w:rsidP="006563C0">
            <w:pPr>
              <w:pStyle w:val="TableBodyText"/>
              <w:keepNext w:val="0"/>
              <w:keepLines w:val="0"/>
              <w:widowControl w:val="0"/>
              <w:spacing w:before="40"/>
              <w:ind w:right="6"/>
              <w:jc w:val="left"/>
            </w:pPr>
            <w:r w:rsidRPr="00DF7337">
              <w:t>•</w:t>
            </w:r>
            <w:r w:rsidRPr="00DF7337">
              <w:tab/>
              <w:t>first line support staff and probate staff</w:t>
            </w:r>
          </w:p>
          <w:p w14:paraId="783884DA" w14:textId="2665C88D" w:rsidR="000B4A4D" w:rsidRPr="00DF7337" w:rsidRDefault="000B4A4D" w:rsidP="006563C0">
            <w:pPr>
              <w:pStyle w:val="TableBodyText"/>
              <w:keepNext w:val="0"/>
              <w:keepLines w:val="0"/>
              <w:widowControl w:val="0"/>
              <w:spacing w:before="40"/>
              <w:ind w:right="6"/>
              <w:jc w:val="left"/>
            </w:pPr>
            <w:r w:rsidRPr="00DF7337">
              <w:t>•</w:t>
            </w:r>
            <w:r w:rsidRPr="00DF7337">
              <w:tab/>
              <w:t>corporate administration staff and umbrella department staff.</w:t>
            </w:r>
          </w:p>
        </w:tc>
      </w:tr>
      <w:tr w:rsidR="006D7F52" w14:paraId="492C1790" w14:textId="77777777" w:rsidTr="00742A8F">
        <w:trPr>
          <w:cantSplit/>
        </w:trPr>
        <w:tc>
          <w:tcPr>
            <w:tcW w:w="2552" w:type="dxa"/>
          </w:tcPr>
          <w:p w14:paraId="6A19BB74" w14:textId="77777777" w:rsidR="006D7F52" w:rsidRPr="001A147A" w:rsidRDefault="006D7F52" w:rsidP="006563C0">
            <w:pPr>
              <w:pStyle w:val="TableBodyText"/>
              <w:keepNext w:val="0"/>
              <w:keepLines w:val="0"/>
              <w:widowControl w:val="0"/>
              <w:spacing w:before="40"/>
              <w:jc w:val="left"/>
              <w:rPr>
                <w:b/>
              </w:rPr>
            </w:pPr>
            <w:r w:rsidRPr="001A147A">
              <w:rPr>
                <w:b/>
              </w:rPr>
              <w:t>Income</w:t>
            </w:r>
          </w:p>
        </w:tc>
        <w:tc>
          <w:tcPr>
            <w:tcW w:w="6237" w:type="dxa"/>
          </w:tcPr>
          <w:p w14:paraId="78394C2B" w14:textId="77777777" w:rsidR="006D7F52" w:rsidRPr="001A147A" w:rsidRDefault="006D7F52" w:rsidP="006563C0">
            <w:pPr>
              <w:pStyle w:val="TableBodyText"/>
              <w:keepNext w:val="0"/>
              <w:keepLines w:val="0"/>
              <w:widowControl w:val="0"/>
              <w:spacing w:before="40"/>
              <w:ind w:right="6"/>
              <w:jc w:val="left"/>
            </w:pPr>
            <w:r w:rsidRPr="001A147A">
              <w:t>Income derived from court fees, library revenue, court reporting revenue, sheriff and bailiff revenue, probate revenue, mediation revenue, rental income and any other sources of revenue (excluding fines).</w:t>
            </w:r>
          </w:p>
        </w:tc>
      </w:tr>
      <w:tr w:rsidR="006D7F52" w14:paraId="5022184E" w14:textId="77777777" w:rsidTr="00742A8F">
        <w:trPr>
          <w:cantSplit/>
        </w:trPr>
        <w:tc>
          <w:tcPr>
            <w:tcW w:w="2552" w:type="dxa"/>
          </w:tcPr>
          <w:p w14:paraId="405BFCDF" w14:textId="77777777" w:rsidR="006D7F52" w:rsidRPr="001A147A" w:rsidRDefault="006D7F52" w:rsidP="006563C0">
            <w:pPr>
              <w:pStyle w:val="TableUnitsRow"/>
              <w:keepNext w:val="0"/>
              <w:keepLines w:val="0"/>
              <w:widowControl w:val="0"/>
              <w:jc w:val="left"/>
              <w:rPr>
                <w:b/>
              </w:rPr>
            </w:pPr>
            <w:r w:rsidRPr="001A147A">
              <w:rPr>
                <w:b/>
              </w:rPr>
              <w:lastRenderedPageBreak/>
              <w:t>Judicial officer</w:t>
            </w:r>
          </w:p>
        </w:tc>
        <w:tc>
          <w:tcPr>
            <w:tcW w:w="6237" w:type="dxa"/>
          </w:tcPr>
          <w:p w14:paraId="2400DCC4" w14:textId="77777777" w:rsidR="006D7F52" w:rsidRPr="001A147A" w:rsidRDefault="006D7F52" w:rsidP="006563C0">
            <w:pPr>
              <w:pStyle w:val="TableUnitsRow"/>
              <w:keepNext w:val="0"/>
              <w:keepLines w:val="0"/>
              <w:widowControl w:val="0"/>
              <w:ind w:right="6"/>
              <w:jc w:val="left"/>
            </w:pPr>
            <w:r w:rsidRPr="001A147A">
              <w:t xml:space="preserve">Judges, magistrates, masters, coroners, judicial registrars and all other officers who, following argument and giving of evidence, make enforceable orders of the court. The data are provided </w:t>
            </w:r>
            <w:proofErr w:type="gramStart"/>
            <w:r w:rsidRPr="001A147A">
              <w:t>on the basis of</w:t>
            </w:r>
            <w:proofErr w:type="gramEnd"/>
            <w:r w:rsidRPr="001A147A">
              <w:t xml:space="preserve"> the proportion of time spent on the judicial activity.</w:t>
            </w:r>
          </w:p>
        </w:tc>
      </w:tr>
      <w:tr w:rsidR="006D7F52" w14:paraId="6E718F28" w14:textId="77777777" w:rsidTr="00742DFE">
        <w:trPr>
          <w:cantSplit/>
        </w:trPr>
        <w:tc>
          <w:tcPr>
            <w:tcW w:w="2552" w:type="dxa"/>
          </w:tcPr>
          <w:p w14:paraId="1E2D0199" w14:textId="77777777" w:rsidR="006D7F52" w:rsidRPr="001A147A" w:rsidRDefault="006D7F52" w:rsidP="006563C0">
            <w:pPr>
              <w:pStyle w:val="TableBodyText"/>
              <w:keepNext w:val="0"/>
              <w:keepLines w:val="0"/>
              <w:widowControl w:val="0"/>
              <w:spacing w:before="40"/>
              <w:jc w:val="left"/>
              <w:rPr>
                <w:b/>
              </w:rPr>
            </w:pPr>
            <w:proofErr w:type="spellStart"/>
            <w:r>
              <w:rPr>
                <w:b/>
              </w:rPr>
              <w:t>Lodg</w:t>
            </w:r>
            <w:r w:rsidRPr="001A147A">
              <w:rPr>
                <w:b/>
              </w:rPr>
              <w:t>ment</w:t>
            </w:r>
            <w:proofErr w:type="spellEnd"/>
          </w:p>
        </w:tc>
        <w:tc>
          <w:tcPr>
            <w:tcW w:w="6237" w:type="dxa"/>
          </w:tcPr>
          <w:p w14:paraId="3FA31536" w14:textId="78E44A58" w:rsidR="006D7F52" w:rsidRPr="001A147A" w:rsidRDefault="006D7F52" w:rsidP="006563C0">
            <w:pPr>
              <w:pStyle w:val="TableBodyText"/>
              <w:keepNext w:val="0"/>
              <w:keepLines w:val="0"/>
              <w:widowControl w:val="0"/>
              <w:spacing w:before="40"/>
              <w:ind w:right="6"/>
              <w:jc w:val="left"/>
            </w:pPr>
            <w:r w:rsidRPr="001A147A">
              <w:t>The initiation or commencement of a matter before the court. The date of commencement is counted as the date of registration of a court matter.</w:t>
            </w:r>
            <w:r w:rsidR="00FE2D2A">
              <w:t xml:space="preserve"> </w:t>
            </w:r>
            <w:r w:rsidR="00FE2D2A" w:rsidRPr="00FE2D2A">
              <w:t xml:space="preserve">In the criminal </w:t>
            </w:r>
            <w:proofErr w:type="gramStart"/>
            <w:r w:rsidR="00FE2D2A" w:rsidRPr="00FE2D2A">
              <w:t>courts</w:t>
            </w:r>
            <w:proofErr w:type="gramEnd"/>
            <w:r w:rsidR="00FE2D2A" w:rsidRPr="00FE2D2A">
              <w:t xml:space="preserve"> </w:t>
            </w:r>
            <w:proofErr w:type="spellStart"/>
            <w:r w:rsidR="00FE2D2A" w:rsidRPr="00FE2D2A">
              <w:t>lodgment</w:t>
            </w:r>
            <w:proofErr w:type="spellEnd"/>
            <w:r w:rsidR="00FE2D2A" w:rsidRPr="00FE2D2A">
              <w:t xml:space="preserve"> counts are based on the number of defendants per case. Unless otherwise noted, matters excluded from the criminal court </w:t>
            </w:r>
            <w:proofErr w:type="spellStart"/>
            <w:r w:rsidR="00FE2D2A" w:rsidRPr="00FE2D2A">
              <w:t>lodgment</w:t>
            </w:r>
            <w:proofErr w:type="spellEnd"/>
            <w:r w:rsidR="00FE2D2A" w:rsidRPr="00FE2D2A">
              <w:t xml:space="preserve"> data in this collection are: any </w:t>
            </w:r>
            <w:proofErr w:type="spellStart"/>
            <w:r w:rsidR="00FE2D2A" w:rsidRPr="00FE2D2A">
              <w:t>lodgment</w:t>
            </w:r>
            <w:proofErr w:type="spellEnd"/>
            <w:r w:rsidR="00FE2D2A" w:rsidRPr="00FE2D2A">
              <w:t xml:space="preserve"> that does not have a defendant element (for example, applications for telephone taps), extraordinary driver's licence applications, bail procedures (including applications and review), directions, warrants, and secondary processes - for example, interlocutory matters, breaches of penalties (that is, bail, suspended sentences, probation).</w:t>
            </w:r>
            <w:r w:rsidR="00FE2D2A">
              <w:t xml:space="preserve"> In the civil courts, </w:t>
            </w:r>
            <w:proofErr w:type="spellStart"/>
            <w:r w:rsidR="00FE2D2A" w:rsidRPr="00FE2D2A">
              <w:t>lodgment</w:t>
            </w:r>
            <w:proofErr w:type="spellEnd"/>
            <w:r w:rsidR="00FE2D2A" w:rsidRPr="00FE2D2A">
              <w:t xml:space="preserve"> </w:t>
            </w:r>
            <w:r w:rsidR="00FE2D2A">
              <w:t>counts</w:t>
            </w:r>
            <w:r w:rsidR="00FE2D2A" w:rsidRPr="00FE2D2A">
              <w:t xml:space="preserve"> are based on: the number of cases (except in children's courts where, if more than one child can be involved in an application, the counting unit is the number of children involved), and the number of reported deaths (and, if relevant, reported fires) for coroners' courts. Unless otherwise noted, the following types of matters are excluded from the civil </w:t>
            </w:r>
            <w:proofErr w:type="spellStart"/>
            <w:r w:rsidR="00FE2D2A" w:rsidRPr="00FE2D2A">
              <w:t>lodgment</w:t>
            </w:r>
            <w:proofErr w:type="spellEnd"/>
            <w:r w:rsidR="00FE2D2A" w:rsidRPr="00FE2D2A">
              <w:t xml:space="preserve"> data reported in this collection: admissions matters (original applications to practice and mutual recognition matters), extraordinary drivers licence applications, cross-claims, directions, secondary processes - for example, interlocutory matters, breaches of penalties (that is, bail, suspended sentences, probation), and applications for default judgments (because the application is a secondary process).</w:t>
            </w:r>
          </w:p>
        </w:tc>
      </w:tr>
      <w:tr w:rsidR="006D7F52" w14:paraId="4BDD8435" w14:textId="77777777" w:rsidTr="00742DFE">
        <w:tc>
          <w:tcPr>
            <w:tcW w:w="2552" w:type="dxa"/>
          </w:tcPr>
          <w:p w14:paraId="158DE9DE" w14:textId="350C2E1D" w:rsidR="006D7F52" w:rsidRPr="001A147A" w:rsidRDefault="008A7504" w:rsidP="006563C0">
            <w:pPr>
              <w:pStyle w:val="TableBodyText"/>
              <w:keepNext w:val="0"/>
              <w:keepLines w:val="0"/>
              <w:widowControl w:val="0"/>
              <w:spacing w:before="40"/>
              <w:jc w:val="left"/>
              <w:rPr>
                <w:b/>
              </w:rPr>
            </w:pPr>
            <w:r>
              <w:rPr>
                <w:b/>
              </w:rPr>
              <w:t>Matter</w:t>
            </w:r>
          </w:p>
        </w:tc>
        <w:tc>
          <w:tcPr>
            <w:tcW w:w="6237" w:type="dxa"/>
          </w:tcPr>
          <w:p w14:paraId="0051B8B4" w14:textId="77777777" w:rsidR="006D7F52" w:rsidRPr="001A147A" w:rsidRDefault="006D7F52" w:rsidP="006563C0">
            <w:pPr>
              <w:pStyle w:val="TableBodyText"/>
              <w:keepNext w:val="0"/>
              <w:keepLines w:val="0"/>
              <w:widowControl w:val="0"/>
              <w:spacing w:before="40"/>
              <w:ind w:right="6"/>
              <w:jc w:val="left"/>
            </w:pPr>
            <w:r w:rsidRPr="001A147A">
              <w:rPr>
                <w:i/>
              </w:rPr>
              <w:t>Coronial matters</w:t>
            </w:r>
            <w:r w:rsidRPr="001A147A">
              <w:t>:</w:t>
            </w:r>
            <w:r w:rsidRPr="001A147A">
              <w:rPr>
                <w:i/>
              </w:rPr>
              <w:t xml:space="preserve"> </w:t>
            </w:r>
            <w:r w:rsidRPr="001A147A">
              <w:t>Deaths and fires reported to the coroner in each jurisdiction, including all reported deaths and fires regardless of whether the coroner held an inquest or inqui</w:t>
            </w:r>
            <w:r>
              <w:t>ry. Coronial jurisdictions can</w:t>
            </w:r>
            <w:r w:rsidRPr="001A147A">
              <w:t xml:space="preserve"> extend to </w:t>
            </w:r>
            <w:r>
              <w:t>the manner</w:t>
            </w:r>
            <w:r w:rsidRPr="001A147A">
              <w:t xml:space="preserve"> of </w:t>
            </w:r>
            <w:r>
              <w:t xml:space="preserve">the </w:t>
            </w:r>
            <w:r w:rsidRPr="001A147A">
              <w:t>death of a person who was killed; was found drowned; died a sudden death of which the cause is unknown; died under suspicious or unusual circumstances; died during or following the administration of an operation of a medical, surgical, dental, diagnostic or like nature; died in a prison remand centre or lockup; or died under circumstances that (in the opinion of the Attorney-General) require that the cause of death be more clearly ascertained.</w:t>
            </w:r>
          </w:p>
          <w:p w14:paraId="5A2776B4" w14:textId="43EFDCF8" w:rsidR="006D7F52" w:rsidRPr="001A147A" w:rsidRDefault="006D7F52" w:rsidP="000C43C2">
            <w:pPr>
              <w:pStyle w:val="TableBodyText"/>
              <w:keepNext w:val="0"/>
              <w:keepLines w:val="0"/>
              <w:widowControl w:val="0"/>
              <w:pBdr>
                <w:left w:val="single" w:sz="4" w:space="4" w:color="auto"/>
              </w:pBdr>
              <w:spacing w:before="40"/>
              <w:ind w:right="6"/>
              <w:jc w:val="left"/>
            </w:pPr>
            <w:r w:rsidRPr="001A147A">
              <w:rPr>
                <w:i/>
              </w:rPr>
              <w:t>Criminal matters</w:t>
            </w:r>
            <w:r w:rsidRPr="001A147A">
              <w:t>: Matters brought to the court by a government prosecuting agency, which is generally the Director of Public Prosecutions but could also be the Attorney-General, the police, local coun</w:t>
            </w:r>
            <w:r>
              <w:t>cils</w:t>
            </w:r>
            <w:r w:rsidR="00036364">
              <w:t>,</w:t>
            </w:r>
            <w:r>
              <w:t xml:space="preserve"> </w:t>
            </w:r>
            <w:r w:rsidRPr="001A147A">
              <w:t>traffic camera branches</w:t>
            </w:r>
            <w:r w:rsidR="00036364">
              <w:t xml:space="preserve"> </w:t>
            </w:r>
            <w:r w:rsidR="00036364" w:rsidRPr="00742DFE">
              <w:t>or other government agencies</w:t>
            </w:r>
            <w:r w:rsidRPr="00742DFE">
              <w:t>.</w:t>
            </w:r>
          </w:p>
          <w:p w14:paraId="3701C2C4" w14:textId="77777777" w:rsidR="006D7F52" w:rsidRDefault="006D7F52" w:rsidP="006563C0">
            <w:pPr>
              <w:pStyle w:val="TableBodyText"/>
              <w:keepNext w:val="0"/>
              <w:keepLines w:val="0"/>
              <w:widowControl w:val="0"/>
              <w:spacing w:before="40"/>
              <w:ind w:right="6"/>
              <w:jc w:val="left"/>
            </w:pPr>
            <w:r w:rsidRPr="001A147A">
              <w:rPr>
                <w:i/>
              </w:rPr>
              <w:t>Civil matters</w:t>
            </w:r>
            <w:r w:rsidRPr="001A147A">
              <w:t>: Matters brought before the court by individuals or organisations against another party, such as small claims and residential tenancies, as well as matters dealt with by the appeal</w:t>
            </w:r>
            <w:r>
              <w:t xml:space="preserve"> court jurisdiction.</w:t>
            </w:r>
          </w:p>
          <w:p w14:paraId="5999A63A" w14:textId="77777777" w:rsidR="006D7F52" w:rsidRPr="001A147A" w:rsidRDefault="006D7F52" w:rsidP="006563C0">
            <w:pPr>
              <w:pStyle w:val="TableUnitsRow"/>
              <w:keepNext w:val="0"/>
              <w:keepLines w:val="0"/>
              <w:widowControl w:val="0"/>
              <w:ind w:right="6"/>
              <w:jc w:val="left"/>
            </w:pPr>
            <w:r w:rsidRPr="001A147A">
              <w:rPr>
                <w:i/>
              </w:rPr>
              <w:t>Excluded matters</w:t>
            </w:r>
            <w:r w:rsidRPr="001A147A">
              <w:t>:</w:t>
            </w:r>
            <w:r w:rsidRPr="001A147A">
              <w:rPr>
                <w:i/>
              </w:rPr>
              <w:t xml:space="preserve"> </w:t>
            </w:r>
            <w:r w:rsidRPr="001A147A">
              <w:t>Extraordinary driver’s licence applications; any application on a pending dispute; applications for bail directions or judgment; secondary processes (for example, applications for default judgments); interlocutory matters; investigation/examination summonses; firearms appeals; escort agents’ licensing appeals; pastoral lands appeals; local government tribunals; police promotions appeals; applications appealing the decisions of workers compensation review officers.</w:t>
            </w:r>
          </w:p>
          <w:p w14:paraId="768AF4C8" w14:textId="77777777" w:rsidR="006D7F52" w:rsidRPr="001A147A" w:rsidRDefault="006D7F52" w:rsidP="006563C0">
            <w:pPr>
              <w:pStyle w:val="TableBodyText"/>
              <w:keepNext w:val="0"/>
              <w:keepLines w:val="0"/>
              <w:widowControl w:val="0"/>
              <w:spacing w:before="40"/>
              <w:ind w:right="6"/>
              <w:jc w:val="left"/>
            </w:pPr>
            <w:r w:rsidRPr="001A147A">
              <w:rPr>
                <w:i/>
              </w:rPr>
              <w:t>Probate</w:t>
            </w:r>
            <w:r w:rsidR="00A00E44">
              <w:rPr>
                <w:i/>
              </w:rPr>
              <w:t xml:space="preserve"> matters</w:t>
            </w:r>
            <w:r w:rsidRPr="001A147A">
              <w:t>: Matters such as applications for the appointment of an executor or administrator to the estate of a deceased person.</w:t>
            </w:r>
          </w:p>
        </w:tc>
      </w:tr>
      <w:tr w:rsidR="006D7F52" w14:paraId="7302AAF7" w14:textId="77777777" w:rsidTr="00742A8F">
        <w:trPr>
          <w:cantSplit/>
        </w:trPr>
        <w:tc>
          <w:tcPr>
            <w:tcW w:w="2552" w:type="dxa"/>
          </w:tcPr>
          <w:p w14:paraId="4FCF0CB8" w14:textId="77777777" w:rsidR="006D7F52" w:rsidRPr="001A147A" w:rsidRDefault="006D7F52" w:rsidP="006563C0">
            <w:pPr>
              <w:pStyle w:val="TableBodyText"/>
              <w:keepNext w:val="0"/>
              <w:keepLines w:val="0"/>
              <w:widowControl w:val="0"/>
              <w:spacing w:before="40"/>
              <w:jc w:val="left"/>
              <w:rPr>
                <w:b/>
              </w:rPr>
            </w:pPr>
            <w:r w:rsidRPr="001A147A">
              <w:rPr>
                <w:b/>
              </w:rPr>
              <w:t>Real expenditure</w:t>
            </w:r>
          </w:p>
        </w:tc>
        <w:tc>
          <w:tcPr>
            <w:tcW w:w="6237" w:type="dxa"/>
          </w:tcPr>
          <w:p w14:paraId="5527CD7A" w14:textId="54873BF2" w:rsidR="000364F1" w:rsidRPr="001A147A" w:rsidRDefault="006D7F52" w:rsidP="00FA7F1F">
            <w:pPr>
              <w:pStyle w:val="TableBodyText"/>
              <w:keepNext w:val="0"/>
              <w:keepLines w:val="0"/>
              <w:widowControl w:val="0"/>
              <w:spacing w:before="40"/>
              <w:ind w:right="6"/>
              <w:jc w:val="left"/>
            </w:pPr>
            <w:r w:rsidRPr="001A147A">
              <w:t xml:space="preserve">Actual expenditure adjusted for changes in prices using the </w:t>
            </w:r>
            <w:r w:rsidR="00E95ADC">
              <w:t>general government final consumption expenditure (GGFCE)</w:t>
            </w:r>
            <w:r w:rsidR="000364F1">
              <w:t xml:space="preserve"> </w:t>
            </w:r>
            <w:r w:rsidR="00E95ADC">
              <w:t xml:space="preserve">chain </w:t>
            </w:r>
            <w:r w:rsidRPr="001A147A">
              <w:t>price</w:t>
            </w:r>
            <w:r w:rsidR="00E95ADC">
              <w:t xml:space="preserve"> index</w:t>
            </w:r>
            <w:r w:rsidRPr="001A147A">
              <w:t xml:space="preserve"> deflator and expressed in terms of </w:t>
            </w:r>
            <w:r w:rsidR="00E95ADC">
              <w:t>current</w:t>
            </w:r>
            <w:r w:rsidRPr="001A147A">
              <w:t xml:space="preserve"> year prices</w:t>
            </w:r>
            <w:r w:rsidR="000364F1">
              <w:t xml:space="preserve"> (i.e. for the </w:t>
            </w:r>
            <w:proofErr w:type="gramStart"/>
            <w:r w:rsidR="000364F1">
              <w:t>court</w:t>
            </w:r>
            <w:r w:rsidR="00E95ADC">
              <w:t>s</w:t>
            </w:r>
            <w:r w:rsidR="000364F1">
              <w:t xml:space="preserve"> </w:t>
            </w:r>
            <w:r w:rsidR="00FB5C54">
              <w:t xml:space="preserve"> </w:t>
            </w:r>
            <w:r w:rsidR="00FA7F1F">
              <w:t>section</w:t>
            </w:r>
            <w:proofErr w:type="gramEnd"/>
            <w:r w:rsidR="00FA7F1F">
              <w:t xml:space="preserve"> </w:t>
            </w:r>
            <w:r w:rsidR="00FB5C54" w:rsidRPr="00780D99">
              <w:t>with 201</w:t>
            </w:r>
            <w:r w:rsidR="003B7C51" w:rsidRPr="00780D99">
              <w:t>9</w:t>
            </w:r>
            <w:r w:rsidR="00AF5D20" w:rsidRPr="00780D99">
              <w:noBreakHyphen/>
            </w:r>
            <w:r w:rsidR="003B7C51" w:rsidRPr="00780D99">
              <w:t>20</w:t>
            </w:r>
            <w:r w:rsidR="000364F1">
              <w:t xml:space="preserve"> as the base year). Additional information about the G</w:t>
            </w:r>
            <w:r w:rsidR="00E95ADC">
              <w:t>GFCE</w:t>
            </w:r>
            <w:r w:rsidR="000364F1">
              <w:t xml:space="preserve"> index can be found in </w:t>
            </w:r>
            <w:r w:rsidR="00FA7F1F">
              <w:t xml:space="preserve">section </w:t>
            </w:r>
            <w:r w:rsidR="00C55561">
              <w:t>2</w:t>
            </w:r>
            <w:r w:rsidR="00573C2B">
              <w:t>.</w:t>
            </w:r>
          </w:p>
        </w:tc>
      </w:tr>
      <w:tr w:rsidR="00F121F6" w:rsidRPr="00CC376D" w14:paraId="2526460F" w14:textId="77777777" w:rsidTr="00742A8F">
        <w:trPr>
          <w:cantSplit/>
        </w:trPr>
        <w:tc>
          <w:tcPr>
            <w:tcW w:w="2552" w:type="dxa"/>
          </w:tcPr>
          <w:p w14:paraId="4865CA47" w14:textId="77777777" w:rsidR="00F121F6" w:rsidRPr="00C941CD" w:rsidRDefault="00F121F6" w:rsidP="006563C0">
            <w:pPr>
              <w:pStyle w:val="TableBodyText"/>
              <w:keepNext w:val="0"/>
              <w:keepLines w:val="0"/>
              <w:widowControl w:val="0"/>
              <w:jc w:val="left"/>
            </w:pPr>
            <w:r w:rsidRPr="00C941CD">
              <w:rPr>
                <w:b/>
              </w:rPr>
              <w:t>Recurrent expenditure</w:t>
            </w:r>
          </w:p>
        </w:tc>
        <w:tc>
          <w:tcPr>
            <w:tcW w:w="6237" w:type="dxa"/>
          </w:tcPr>
          <w:p w14:paraId="040DEC13" w14:textId="77777777" w:rsidR="00F121F6" w:rsidRPr="00C941CD" w:rsidRDefault="00F121F6" w:rsidP="006563C0">
            <w:pPr>
              <w:pStyle w:val="TableBodyText"/>
              <w:keepNext w:val="0"/>
              <w:keepLines w:val="0"/>
              <w:widowControl w:val="0"/>
              <w:jc w:val="left"/>
            </w:pPr>
            <w:r w:rsidRPr="00C941CD">
              <w:t>Expenditure that does not result in the creation or acquisition of fixed assets (new or second hand). It consists mainly of expenditure on wages, salaries and supplements, purchases of goods and services, and the consumption of fixed capital (depreciation).</w:t>
            </w:r>
          </w:p>
        </w:tc>
      </w:tr>
      <w:tr w:rsidR="006D7F52" w:rsidRPr="00EB64F9" w14:paraId="6640A4EE" w14:textId="77777777" w:rsidTr="00742A8F">
        <w:trPr>
          <w:cantSplit/>
        </w:trPr>
        <w:tc>
          <w:tcPr>
            <w:tcW w:w="2552" w:type="dxa"/>
          </w:tcPr>
          <w:p w14:paraId="62DA5873" w14:textId="77777777" w:rsidR="006D7F52" w:rsidRPr="00EB64F9" w:rsidRDefault="006D7F52" w:rsidP="006563C0">
            <w:pPr>
              <w:pStyle w:val="TableBodyText"/>
              <w:keepNext w:val="0"/>
              <w:keepLines w:val="0"/>
              <w:widowControl w:val="0"/>
              <w:spacing w:before="40"/>
              <w:jc w:val="left"/>
              <w:rPr>
                <w:b/>
              </w:rPr>
            </w:pPr>
            <w:r w:rsidRPr="00EB64F9">
              <w:rPr>
                <w:b/>
              </w:rPr>
              <w:lastRenderedPageBreak/>
              <w:t>Specialist jurisdiction court</w:t>
            </w:r>
          </w:p>
        </w:tc>
        <w:tc>
          <w:tcPr>
            <w:tcW w:w="6237" w:type="dxa"/>
          </w:tcPr>
          <w:p w14:paraId="6D8018B4" w14:textId="77777777" w:rsidR="006D7F52" w:rsidRPr="00EB64F9" w:rsidRDefault="006D7F52" w:rsidP="006563C0">
            <w:pPr>
              <w:pStyle w:val="TableBodyText"/>
              <w:keepNext w:val="0"/>
              <w:keepLines w:val="0"/>
              <w:widowControl w:val="0"/>
              <w:spacing w:before="40"/>
              <w:jc w:val="left"/>
            </w:pPr>
            <w:r w:rsidRPr="00EB64F9">
              <w:t xml:space="preserve">A court which has exclusive jurisdiction in a field of law presided over by a judicial officer with expertise in that area. </w:t>
            </w:r>
            <w:r>
              <w:t xml:space="preserve">Examples of these types of courts which are within the scope of this Report are the family courts, the </w:t>
            </w:r>
            <w:r w:rsidR="00BC62E9">
              <w:t>Children’s Court</w:t>
            </w:r>
            <w:r>
              <w:t>s</w:t>
            </w:r>
            <w:r w:rsidRPr="00EB64F9">
              <w:t xml:space="preserve"> </w:t>
            </w:r>
            <w:r>
              <w:t xml:space="preserve">and the </w:t>
            </w:r>
            <w:r w:rsidR="00BC62E9">
              <w:t>Coroners’ Court</w:t>
            </w:r>
            <w:r>
              <w:t xml:space="preserve">s. Examples of </w:t>
            </w:r>
            <w:r w:rsidRPr="00EB64F9">
              <w:t>specialist jurisdiction court</w:t>
            </w:r>
            <w:r>
              <w:t>s which are excluded from this Report include Indigenous and circle sentencing courts and drug courts</w:t>
            </w:r>
            <w:r w:rsidRPr="00EB64F9">
              <w:t>.</w:t>
            </w:r>
          </w:p>
        </w:tc>
      </w:tr>
    </w:tbl>
    <w:p w14:paraId="6C818BCC" w14:textId="2173040C" w:rsidR="00547992" w:rsidRPr="003D59D7" w:rsidRDefault="00547992" w:rsidP="005860D6">
      <w:pPr>
        <w:pStyle w:val="Heading2"/>
      </w:pPr>
    </w:p>
    <w:sectPr w:rsidR="00547992" w:rsidRPr="003D59D7" w:rsidSect="008076E1">
      <w:headerReference w:type="default" r:id="rId14"/>
      <w:footerReference w:type="default" r:id="rId15"/>
      <w:pgSz w:w="11907" w:h="16840" w:code="9"/>
      <w:pgMar w:top="1985" w:right="1304" w:bottom="1247" w:left="1814" w:header="1701" w:footer="397" w:gutter="0"/>
      <w:pgNumType w:chapStyle="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7B2EA" w14:textId="77777777" w:rsidR="00B73AB9" w:rsidRDefault="00B73AB9">
      <w:r>
        <w:separator/>
      </w:r>
    </w:p>
  </w:endnote>
  <w:endnote w:type="continuationSeparator" w:id="0">
    <w:p w14:paraId="167C3BAC" w14:textId="77777777" w:rsidR="00B73AB9" w:rsidRDefault="00B7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73AB9" w14:paraId="6BDCBD99" w14:textId="77777777" w:rsidTr="00403101">
      <w:trPr>
        <w:trHeight w:hRule="exact" w:val="567"/>
      </w:trPr>
      <w:tc>
        <w:tcPr>
          <w:tcW w:w="510" w:type="dxa"/>
        </w:tcPr>
        <w:p w14:paraId="0F780E58" w14:textId="3F33A3CC" w:rsidR="00B73AB9" w:rsidRPr="00A24443" w:rsidRDefault="001F3C53" w:rsidP="00403101">
          <w:pPr>
            <w:pStyle w:val="Footer"/>
            <w:tabs>
              <w:tab w:val="left" w:pos="0"/>
            </w:tabs>
            <w:ind w:right="0"/>
            <w:rPr>
              <w:rStyle w:val="PageNumber"/>
              <w:caps w:val="0"/>
            </w:rPr>
          </w:pPr>
          <w:r>
            <w:rPr>
              <w:rStyle w:val="PageNumber"/>
              <w:caps w:val="0"/>
            </w:rPr>
            <w:t>7.</w:t>
          </w:r>
          <w:r w:rsidRPr="001F3C53">
            <w:rPr>
              <w:rStyle w:val="PageNumber"/>
              <w:caps w:val="0"/>
            </w:rPr>
            <w:fldChar w:fldCharType="begin"/>
          </w:r>
          <w:r w:rsidRPr="001F3C53">
            <w:rPr>
              <w:rStyle w:val="PageNumber"/>
              <w:caps w:val="0"/>
            </w:rPr>
            <w:instrText xml:space="preserve"> PAGE   \* MERGEFORMAT </w:instrText>
          </w:r>
          <w:r w:rsidRPr="001F3C53">
            <w:rPr>
              <w:rStyle w:val="PageNumber"/>
              <w:caps w:val="0"/>
            </w:rPr>
            <w:fldChar w:fldCharType="separate"/>
          </w:r>
          <w:r w:rsidRPr="001F3C53">
            <w:rPr>
              <w:rStyle w:val="PageNumber"/>
              <w:caps w:val="0"/>
              <w:noProof/>
            </w:rPr>
            <w:t>1</w:t>
          </w:r>
          <w:r w:rsidRPr="001F3C53">
            <w:rPr>
              <w:rStyle w:val="PageNumber"/>
              <w:caps w:val="0"/>
              <w:noProof/>
            </w:rPr>
            <w:fldChar w:fldCharType="end"/>
          </w:r>
        </w:p>
      </w:tc>
      <w:tc>
        <w:tcPr>
          <w:tcW w:w="7767" w:type="dxa"/>
        </w:tcPr>
        <w:p w14:paraId="0BCAF94C" w14:textId="3DBA04D2" w:rsidR="00B73AB9" w:rsidRPr="0013739A" w:rsidRDefault="0054490A" w:rsidP="0093099F">
          <w:pPr>
            <w:pStyle w:val="Footer"/>
            <w:rPr>
              <w:rFonts w:cs="Arial"/>
            </w:rPr>
          </w:pPr>
          <w:sdt>
            <w:sdtPr>
              <w:rPr>
                <w:rFonts w:cs="Arial"/>
              </w:rPr>
              <w:alias w:val="Subject"/>
              <w:tag w:val=""/>
              <w:id w:val="-997957606"/>
              <w:dataBinding w:prefixMappings="xmlns:ns0='http://purl.org/dc/elements/1.1/' xmlns:ns1='http://schemas.openxmlformats.org/package/2006/metadata/core-properties' " w:xpath="/ns1:coreProperties[1]/ns0:subject[1]" w:storeItemID="{6C3C8BC8-F283-45AE-878A-BAB7291924A1}"/>
              <w:text/>
            </w:sdtPr>
            <w:sdtEndPr/>
            <w:sdtContent>
              <w:r w:rsidR="008335CC">
                <w:rPr>
                  <w:rFonts w:cs="Arial"/>
                </w:rPr>
                <w:t>report on government service</w:t>
              </w:r>
              <w:r>
                <w:rPr>
                  <w:rFonts w:cs="Arial"/>
                </w:rPr>
                <w:t>s</w:t>
              </w:r>
              <w:r w:rsidR="008335CC">
                <w:rPr>
                  <w:rFonts w:cs="Arial"/>
                </w:rPr>
                <w:t xml:space="preserve"> 2021</w:t>
              </w:r>
            </w:sdtContent>
          </w:sdt>
          <w:bookmarkStart w:id="13" w:name="DraftReportEven"/>
          <w:bookmarkEnd w:id="13"/>
        </w:p>
      </w:tc>
      <w:tc>
        <w:tcPr>
          <w:tcW w:w="510" w:type="dxa"/>
        </w:tcPr>
        <w:p w14:paraId="04CA9C59" w14:textId="77777777" w:rsidR="00B73AB9" w:rsidRDefault="00B73AB9" w:rsidP="00403101">
          <w:pPr>
            <w:pStyle w:val="Footer"/>
          </w:pPr>
        </w:p>
      </w:tc>
    </w:tr>
  </w:tbl>
  <w:p w14:paraId="0E628A6D" w14:textId="77777777" w:rsidR="00B73AB9" w:rsidRDefault="00B73AB9" w:rsidP="00403101">
    <w:pPr>
      <w:pStyle w:val="FooterEnd"/>
    </w:pPr>
  </w:p>
  <w:p w14:paraId="022E15EA" w14:textId="77777777" w:rsidR="00B73AB9" w:rsidRDefault="00B73AB9">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7"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73AB9" w14:paraId="58659776" w14:textId="77777777" w:rsidTr="00514D8A">
      <w:trPr>
        <w:trHeight w:hRule="exact" w:val="567"/>
      </w:trPr>
      <w:tc>
        <w:tcPr>
          <w:tcW w:w="510" w:type="dxa"/>
        </w:tcPr>
        <w:p w14:paraId="13F7AFA7" w14:textId="77777777" w:rsidR="00B73AB9" w:rsidRDefault="00B73AB9" w:rsidP="00514D8A">
          <w:pPr>
            <w:pStyle w:val="Footer"/>
            <w:ind w:right="360" w:firstLine="360"/>
          </w:pPr>
        </w:p>
      </w:tc>
      <w:tc>
        <w:tcPr>
          <w:tcW w:w="7767" w:type="dxa"/>
        </w:tcPr>
        <w:p w14:paraId="201A55B0" w14:textId="0661EDC1" w:rsidR="00B73AB9" w:rsidRPr="00BA5B14" w:rsidRDefault="00B73AB9" w:rsidP="00514D8A">
          <w:pPr>
            <w:pStyle w:val="Footer"/>
            <w:jc w:val="right"/>
            <w:rPr>
              <w:rFonts w:cs="Arial"/>
            </w:rPr>
          </w:pPr>
          <w:r>
            <w:rPr>
              <w:rFonts w:cs="Arial"/>
            </w:rPr>
            <w:t>COURTS INTERPRETATIVE MATERIAl</w:t>
          </w:r>
        </w:p>
      </w:tc>
      <w:tc>
        <w:tcPr>
          <w:tcW w:w="510" w:type="dxa"/>
        </w:tcPr>
        <w:p w14:paraId="2D56075F" w14:textId="1FC555D7" w:rsidR="00B73AB9" w:rsidRPr="00A24443" w:rsidRDefault="00B73AB9" w:rsidP="00514D8A">
          <w:pPr>
            <w:pStyle w:val="Footer"/>
            <w:jc w:val="right"/>
            <w:rPr>
              <w:caps w:val="0"/>
            </w:rPr>
          </w:pPr>
          <w:r>
            <w:rPr>
              <w:rStyle w:val="PageNumber"/>
              <w:caps w:val="0"/>
            </w:rPr>
            <w:t>7.</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7</w:t>
          </w:r>
          <w:r w:rsidRPr="00A24443">
            <w:rPr>
              <w:rStyle w:val="PageNumber"/>
              <w:caps w:val="0"/>
            </w:rPr>
            <w:fldChar w:fldCharType="end"/>
          </w:r>
        </w:p>
      </w:tc>
    </w:tr>
  </w:tbl>
  <w:p w14:paraId="53BE26BB" w14:textId="77777777" w:rsidR="00B73AB9" w:rsidRDefault="00B73AB9">
    <w:pPr>
      <w:pStyle w:val="FooterEnd"/>
    </w:pPr>
    <w:bookmarkStart w:id="14" w:name="_Chapter"/>
    <w:bookmarkEnd w:id="14"/>
  </w:p>
  <w:p w14:paraId="1ADDC705" w14:textId="77777777" w:rsidR="00B73AB9" w:rsidRDefault="00B73AB9">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95"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12390"/>
      <w:gridCol w:w="795"/>
    </w:tblGrid>
    <w:tr w:rsidR="00B73AB9" w14:paraId="48D36363" w14:textId="77777777" w:rsidTr="00EB11EE">
      <w:trPr>
        <w:trHeight w:hRule="exact" w:val="567"/>
      </w:trPr>
      <w:tc>
        <w:tcPr>
          <w:tcW w:w="510" w:type="dxa"/>
        </w:tcPr>
        <w:p w14:paraId="736719D6" w14:textId="77777777" w:rsidR="00B73AB9" w:rsidRDefault="00B73AB9" w:rsidP="00514D8A">
          <w:pPr>
            <w:pStyle w:val="Footer"/>
            <w:ind w:right="360" w:firstLine="360"/>
          </w:pPr>
        </w:p>
      </w:tc>
      <w:tc>
        <w:tcPr>
          <w:tcW w:w="12390" w:type="dxa"/>
        </w:tcPr>
        <w:p w14:paraId="5557120A" w14:textId="597539D3" w:rsidR="00B73AB9" w:rsidRPr="00BA5B14" w:rsidRDefault="00B73AB9" w:rsidP="00104AF2">
          <w:pPr>
            <w:pStyle w:val="Footer"/>
            <w:tabs>
              <w:tab w:val="left" w:pos="8724"/>
              <w:tab w:val="right" w:pos="12384"/>
            </w:tabs>
            <w:rPr>
              <w:rFonts w:cs="Arial"/>
            </w:rPr>
          </w:pPr>
          <w:r>
            <w:rPr>
              <w:rFonts w:cs="Arial"/>
            </w:rPr>
            <w:tab/>
          </w:r>
          <w:r>
            <w:rPr>
              <w:rFonts w:cs="Arial"/>
            </w:rPr>
            <w:tab/>
            <w:t>COURTS INTERPRETATIVE MATERIAl</w:t>
          </w:r>
        </w:p>
      </w:tc>
      <w:tc>
        <w:tcPr>
          <w:tcW w:w="795" w:type="dxa"/>
        </w:tcPr>
        <w:p w14:paraId="085BE7AC" w14:textId="77777777" w:rsidR="00B73AB9" w:rsidRPr="00A24443" w:rsidRDefault="00B73AB9" w:rsidP="00514D8A">
          <w:pPr>
            <w:pStyle w:val="Footer"/>
            <w:jc w:val="right"/>
            <w:rPr>
              <w:caps w:val="0"/>
            </w:rPr>
          </w:pPr>
          <w:r>
            <w:rPr>
              <w:rStyle w:val="PageNumber"/>
              <w:caps w:val="0"/>
            </w:rPr>
            <w:t>7.</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9</w:t>
          </w:r>
          <w:r w:rsidRPr="00A24443">
            <w:rPr>
              <w:rStyle w:val="PageNumber"/>
              <w:caps w:val="0"/>
            </w:rPr>
            <w:fldChar w:fldCharType="end"/>
          </w:r>
        </w:p>
      </w:tc>
    </w:tr>
  </w:tbl>
  <w:p w14:paraId="7098A5C1" w14:textId="77777777" w:rsidR="00B73AB9" w:rsidRDefault="00B73AB9">
    <w:pPr>
      <w:pStyle w:val="FooterEnd"/>
    </w:pPr>
  </w:p>
  <w:p w14:paraId="2B1BC052" w14:textId="77777777" w:rsidR="00B73AB9" w:rsidRDefault="00B73AB9">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7"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73AB9" w14:paraId="4DFBC539" w14:textId="77777777" w:rsidTr="00104AF2">
      <w:trPr>
        <w:trHeight w:hRule="exact" w:val="567"/>
      </w:trPr>
      <w:tc>
        <w:tcPr>
          <w:tcW w:w="510" w:type="dxa"/>
        </w:tcPr>
        <w:p w14:paraId="4530E78D" w14:textId="77777777" w:rsidR="00B73AB9" w:rsidRDefault="00B73AB9" w:rsidP="00104AF2">
          <w:pPr>
            <w:pStyle w:val="Footer"/>
            <w:ind w:right="360" w:firstLine="360"/>
          </w:pPr>
        </w:p>
      </w:tc>
      <w:tc>
        <w:tcPr>
          <w:tcW w:w="7767" w:type="dxa"/>
        </w:tcPr>
        <w:p w14:paraId="002FEFCE" w14:textId="77777777" w:rsidR="00B73AB9" w:rsidRPr="00BA5B14" w:rsidRDefault="00B73AB9" w:rsidP="00104AF2">
          <w:pPr>
            <w:pStyle w:val="Footer"/>
            <w:jc w:val="right"/>
            <w:rPr>
              <w:rFonts w:cs="Arial"/>
            </w:rPr>
          </w:pPr>
          <w:r>
            <w:rPr>
              <w:rFonts w:cs="Arial"/>
            </w:rPr>
            <w:t>COURTS INTERPRETATIVE MATERIAl</w:t>
          </w:r>
        </w:p>
      </w:tc>
      <w:tc>
        <w:tcPr>
          <w:tcW w:w="510" w:type="dxa"/>
        </w:tcPr>
        <w:p w14:paraId="4A0F74AC" w14:textId="77777777" w:rsidR="00B73AB9" w:rsidRPr="00A24443" w:rsidRDefault="00B73AB9" w:rsidP="00104AF2">
          <w:pPr>
            <w:pStyle w:val="Footer"/>
            <w:jc w:val="right"/>
            <w:rPr>
              <w:caps w:val="0"/>
            </w:rPr>
          </w:pPr>
          <w:r>
            <w:rPr>
              <w:rStyle w:val="PageNumber"/>
              <w:caps w:val="0"/>
            </w:rPr>
            <w:t>7.</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19</w:t>
          </w:r>
          <w:r w:rsidRPr="00A24443">
            <w:rPr>
              <w:rStyle w:val="PageNumber"/>
              <w:caps w:val="0"/>
            </w:rPr>
            <w:fldChar w:fldCharType="end"/>
          </w:r>
        </w:p>
      </w:tc>
    </w:tr>
  </w:tbl>
  <w:p w14:paraId="585EADAF" w14:textId="77777777" w:rsidR="00B73AB9" w:rsidRDefault="00B73AB9">
    <w:pPr>
      <w:pStyle w:val="FooterEnd"/>
    </w:pPr>
  </w:p>
  <w:p w14:paraId="4339F3E8" w14:textId="77777777" w:rsidR="00B73AB9" w:rsidRDefault="00B73AB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9B970" w14:textId="77777777" w:rsidR="00B73AB9" w:rsidRDefault="00B73AB9">
      <w:r>
        <w:separator/>
      </w:r>
    </w:p>
  </w:footnote>
  <w:footnote w:type="continuationSeparator" w:id="0">
    <w:p w14:paraId="27D8E029" w14:textId="77777777" w:rsidR="00B73AB9" w:rsidRDefault="00B73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B73AB9" w14:paraId="343770E9" w14:textId="77777777">
      <w:tc>
        <w:tcPr>
          <w:tcW w:w="2155" w:type="dxa"/>
          <w:tcBorders>
            <w:top w:val="single" w:sz="24" w:space="0" w:color="auto"/>
          </w:tcBorders>
        </w:tcPr>
        <w:p w14:paraId="084341EA" w14:textId="77777777" w:rsidR="00B73AB9" w:rsidRDefault="00B73AB9" w:rsidP="00403101">
          <w:pPr>
            <w:pStyle w:val="HeaderEven"/>
          </w:pPr>
        </w:p>
      </w:tc>
      <w:tc>
        <w:tcPr>
          <w:tcW w:w="6634" w:type="dxa"/>
          <w:tcBorders>
            <w:top w:val="single" w:sz="6" w:space="0" w:color="auto"/>
          </w:tcBorders>
        </w:tcPr>
        <w:p w14:paraId="174459D8" w14:textId="0A0D19FB" w:rsidR="00B73AB9" w:rsidRDefault="00B73AB9" w:rsidP="00AA0AD5">
          <w:pPr>
            <w:pStyle w:val="HeaderEven"/>
            <w:jc w:val="right"/>
          </w:pPr>
        </w:p>
      </w:tc>
    </w:tr>
  </w:tbl>
  <w:p w14:paraId="4DF37263" w14:textId="77777777" w:rsidR="00B73AB9" w:rsidRDefault="00B73AB9" w:rsidP="00403101">
    <w:pPr>
      <w:pStyle w:val="HeaderEnd"/>
    </w:pPr>
  </w:p>
  <w:p w14:paraId="007C731E" w14:textId="77777777" w:rsidR="00B73AB9" w:rsidRDefault="00B73AB9">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73AB9" w14:paraId="55CB22D4" w14:textId="77777777" w:rsidTr="00F95739">
      <w:tc>
        <w:tcPr>
          <w:tcW w:w="6634" w:type="dxa"/>
          <w:tcBorders>
            <w:top w:val="single" w:sz="6" w:space="0" w:color="auto"/>
          </w:tcBorders>
        </w:tcPr>
        <w:p w14:paraId="56027B10" w14:textId="5D4913F5" w:rsidR="00B73AB9" w:rsidRPr="00264CBA" w:rsidRDefault="00B73AB9" w:rsidP="00F95739">
          <w:pPr>
            <w:pStyle w:val="Header"/>
            <w:rPr>
              <w:rFonts w:cs="Arial"/>
            </w:rPr>
          </w:pPr>
        </w:p>
      </w:tc>
      <w:tc>
        <w:tcPr>
          <w:tcW w:w="2155" w:type="dxa"/>
          <w:tcBorders>
            <w:top w:val="single" w:sz="24" w:space="0" w:color="auto"/>
          </w:tcBorders>
        </w:tcPr>
        <w:p w14:paraId="3837F552" w14:textId="77777777" w:rsidR="00B73AB9" w:rsidRDefault="00B73AB9" w:rsidP="00F95739">
          <w:pPr>
            <w:pStyle w:val="HeaderOdd"/>
          </w:pPr>
        </w:p>
      </w:tc>
    </w:tr>
  </w:tbl>
  <w:p w14:paraId="079EB8D7" w14:textId="77777777" w:rsidR="00B73AB9" w:rsidRDefault="00B73AB9" w:rsidP="00403101">
    <w:pPr>
      <w:pStyle w:val="HeaderEnd"/>
    </w:pPr>
  </w:p>
  <w:p w14:paraId="3FFDB7BA" w14:textId="77777777" w:rsidR="00B73AB9" w:rsidRDefault="00B73AB9">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37" w:type="dxa"/>
      <w:tblBorders>
        <w:top w:val="single" w:sz="6" w:space="0" w:color="auto"/>
      </w:tblBorders>
      <w:tblLayout w:type="fixed"/>
      <w:tblCellMar>
        <w:left w:w="0" w:type="dxa"/>
        <w:right w:w="0" w:type="dxa"/>
      </w:tblCellMar>
      <w:tblLook w:val="0000" w:firstRow="0" w:lastRow="0" w:firstColumn="0" w:lastColumn="0" w:noHBand="0" w:noVBand="0"/>
    </w:tblPr>
    <w:tblGrid>
      <w:gridCol w:w="11482"/>
      <w:gridCol w:w="2155"/>
    </w:tblGrid>
    <w:tr w:rsidR="00B73AB9" w14:paraId="631E4803" w14:textId="77777777" w:rsidTr="00F95739">
      <w:tc>
        <w:tcPr>
          <w:tcW w:w="11482" w:type="dxa"/>
          <w:tcBorders>
            <w:top w:val="single" w:sz="6" w:space="0" w:color="auto"/>
          </w:tcBorders>
        </w:tcPr>
        <w:p w14:paraId="48CE47CE" w14:textId="4D922C91" w:rsidR="00B73AB9" w:rsidRPr="00264CBA" w:rsidRDefault="00B73AB9" w:rsidP="00F95739">
          <w:pPr>
            <w:pStyle w:val="Header"/>
            <w:rPr>
              <w:rFonts w:cs="Arial"/>
            </w:rPr>
          </w:pPr>
        </w:p>
      </w:tc>
      <w:tc>
        <w:tcPr>
          <w:tcW w:w="2155" w:type="dxa"/>
          <w:tcBorders>
            <w:top w:val="single" w:sz="24" w:space="0" w:color="auto"/>
          </w:tcBorders>
        </w:tcPr>
        <w:p w14:paraId="2CA578F6" w14:textId="77777777" w:rsidR="00B73AB9" w:rsidRDefault="00B73AB9" w:rsidP="00F95739">
          <w:pPr>
            <w:pStyle w:val="HeaderOdd"/>
          </w:pPr>
        </w:p>
      </w:tc>
    </w:tr>
  </w:tbl>
  <w:p w14:paraId="1BBD8258" w14:textId="77777777" w:rsidR="00B73AB9" w:rsidRDefault="00B73AB9" w:rsidP="00403101">
    <w:pPr>
      <w:pStyle w:val="HeaderEnd"/>
    </w:pPr>
  </w:p>
  <w:p w14:paraId="503E28FC" w14:textId="77777777" w:rsidR="00B73AB9" w:rsidRDefault="00B73AB9">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73AB9" w14:paraId="45E96877" w14:textId="77777777" w:rsidTr="00C941CF">
      <w:tc>
        <w:tcPr>
          <w:tcW w:w="6634" w:type="dxa"/>
          <w:tcBorders>
            <w:top w:val="single" w:sz="6" w:space="0" w:color="auto"/>
          </w:tcBorders>
        </w:tcPr>
        <w:p w14:paraId="2C20DC28" w14:textId="71D798B4" w:rsidR="00B73AB9" w:rsidRPr="00264CBA" w:rsidRDefault="00B73AB9" w:rsidP="00C941CF">
          <w:pPr>
            <w:pStyle w:val="Header"/>
            <w:rPr>
              <w:rFonts w:cs="Arial"/>
            </w:rPr>
          </w:pPr>
        </w:p>
      </w:tc>
      <w:tc>
        <w:tcPr>
          <w:tcW w:w="2155" w:type="dxa"/>
          <w:tcBorders>
            <w:top w:val="single" w:sz="24" w:space="0" w:color="auto"/>
          </w:tcBorders>
        </w:tcPr>
        <w:p w14:paraId="03AAAE32" w14:textId="77777777" w:rsidR="00B73AB9" w:rsidRDefault="00B73AB9" w:rsidP="00C941CF">
          <w:pPr>
            <w:pStyle w:val="HeaderOdd"/>
          </w:pPr>
        </w:p>
      </w:tc>
    </w:tr>
  </w:tbl>
  <w:p w14:paraId="39A2EEE9" w14:textId="77777777" w:rsidR="00B73AB9" w:rsidRDefault="00B73AB9" w:rsidP="00403101">
    <w:pPr>
      <w:pStyle w:val="HeaderEnd"/>
    </w:pPr>
  </w:p>
  <w:p w14:paraId="3AB425F4" w14:textId="77777777" w:rsidR="00B73AB9" w:rsidRDefault="00B73AB9">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5857165"/>
    <w:multiLevelType w:val="multilevel"/>
    <w:tmpl w:val="253832BA"/>
    <w:lvl w:ilvl="0">
      <w:start w:val="7"/>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4A91364"/>
    <w:multiLevelType w:val="hybridMultilevel"/>
    <w:tmpl w:val="D6ECD60E"/>
    <w:lvl w:ilvl="0" w:tplc="E9783366">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0"/>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0"/>
  </w:num>
  <w:num w:numId="2">
    <w:abstractNumId w:val="3"/>
  </w:num>
  <w:num w:numId="3">
    <w:abstractNumId w:val="5"/>
  </w:num>
  <w:num w:numId="4">
    <w:abstractNumId w:val="8"/>
  </w:num>
  <w:num w:numId="5">
    <w:abstractNumId w:val="15"/>
  </w:num>
  <w:num w:numId="6">
    <w:abstractNumId w:val="13"/>
  </w:num>
  <w:num w:numId="7">
    <w:abstractNumId w:val="21"/>
  </w:num>
  <w:num w:numId="8">
    <w:abstractNumId w:val="22"/>
  </w:num>
  <w:num w:numId="9">
    <w:abstractNumId w:val="10"/>
  </w:num>
  <w:num w:numId="10">
    <w:abstractNumId w:val="16"/>
  </w:num>
  <w:num w:numId="11">
    <w:abstractNumId w:val="17"/>
  </w:num>
  <w:num w:numId="12">
    <w:abstractNumId w:val="2"/>
  </w:num>
  <w:num w:numId="13">
    <w:abstractNumId w:val="7"/>
  </w:num>
  <w:num w:numId="14">
    <w:abstractNumId w:val="6"/>
  </w:num>
  <w:num w:numId="15">
    <w:abstractNumId w:val="12"/>
  </w:num>
  <w:num w:numId="16">
    <w:abstractNumId w:val="14"/>
  </w:num>
  <w:num w:numId="17">
    <w:abstractNumId w:val="18"/>
  </w:num>
  <w:num w:numId="18">
    <w:abstractNumId w:val="19"/>
  </w:num>
  <w:num w:numId="19">
    <w:abstractNumId w:val="9"/>
  </w:num>
  <w:num w:numId="20">
    <w:abstractNumId w:val="11"/>
  </w:num>
  <w:num w:numId="21">
    <w:abstractNumId w:val="4"/>
  </w:num>
  <w:num w:numId="22">
    <w:abstractNumId w:val="0"/>
  </w:num>
  <w:num w:numId="23">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n-AU" w:vendorID="8" w:dllVersion="513" w:checkStyle="1"/>
  <w:proofState w:spelling="clean" w:grammar="clean"/>
  <w:attachedTemplate r:id="rId1"/>
  <w:linkStyles/>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340"/>
  <w:evenAndOddHeaders/>
  <w:displayHorizontalDrawingGridEvery w:val="0"/>
  <w:displayVerticalDrawingGridEvery w:val="0"/>
  <w:doNotUseMarginsForDrawingGridOrigin/>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EvenFooter" w:val="0"/>
    <w:docVar w:name="_HasChapterNumber" w:val="1"/>
    <w:docVar w:name="_NumberByChapter" w:val="0"/>
    <w:docVar w:name="_Separator" w:val="."/>
    <w:docVar w:name="AppendixNumber" w:val="B"/>
    <w:docVar w:name="DocType" w:val="0"/>
    <w:docVar w:name="FindingOptions" w:val="1"/>
    <w:docVar w:name="LongChapterTitle" w:val="Chapter"/>
    <w:docVar w:name="LongReportTitle" w:val="Report title"/>
    <w:docVar w:name="RecOptions" w:val="111"/>
    <w:docVar w:name="ShortChapterTitle" w:val="COURT ADMINISTRATION"/>
    <w:docVar w:name="ShortReportTitle" w:val="REPORT ON GOVERNMENT SERVICES 2013"/>
    <w:docVar w:name="SideNote" w:val="1"/>
    <w:docVar w:name="UseShortChapter" w:val="0"/>
    <w:docVar w:name="UseShortReport" w:val="0"/>
  </w:docVars>
  <w:rsids>
    <w:rsidRoot w:val="00E23461"/>
    <w:rsid w:val="000005E7"/>
    <w:rsid w:val="00000EB2"/>
    <w:rsid w:val="000011C3"/>
    <w:rsid w:val="000013F6"/>
    <w:rsid w:val="0000174B"/>
    <w:rsid w:val="00001AEA"/>
    <w:rsid w:val="00001C9F"/>
    <w:rsid w:val="000022A4"/>
    <w:rsid w:val="0000267A"/>
    <w:rsid w:val="00002820"/>
    <w:rsid w:val="00002BAD"/>
    <w:rsid w:val="00003334"/>
    <w:rsid w:val="000033A3"/>
    <w:rsid w:val="00003480"/>
    <w:rsid w:val="000035DB"/>
    <w:rsid w:val="00003799"/>
    <w:rsid w:val="00003C9F"/>
    <w:rsid w:val="00003F78"/>
    <w:rsid w:val="00004444"/>
    <w:rsid w:val="000045CC"/>
    <w:rsid w:val="00005311"/>
    <w:rsid w:val="00005609"/>
    <w:rsid w:val="00006962"/>
    <w:rsid w:val="00007275"/>
    <w:rsid w:val="000074F4"/>
    <w:rsid w:val="00007D81"/>
    <w:rsid w:val="000101A9"/>
    <w:rsid w:val="00010224"/>
    <w:rsid w:val="00010890"/>
    <w:rsid w:val="00010ACD"/>
    <w:rsid w:val="00010F4A"/>
    <w:rsid w:val="00010F5F"/>
    <w:rsid w:val="000115C8"/>
    <w:rsid w:val="0001184A"/>
    <w:rsid w:val="000118D1"/>
    <w:rsid w:val="00011944"/>
    <w:rsid w:val="00011CBA"/>
    <w:rsid w:val="000128B6"/>
    <w:rsid w:val="00013B08"/>
    <w:rsid w:val="00013DF9"/>
    <w:rsid w:val="0001425F"/>
    <w:rsid w:val="0001460C"/>
    <w:rsid w:val="00014854"/>
    <w:rsid w:val="00014873"/>
    <w:rsid w:val="00014994"/>
    <w:rsid w:val="0001597C"/>
    <w:rsid w:val="00015B57"/>
    <w:rsid w:val="00016900"/>
    <w:rsid w:val="0001700F"/>
    <w:rsid w:val="000170AC"/>
    <w:rsid w:val="000173CE"/>
    <w:rsid w:val="00017465"/>
    <w:rsid w:val="00017982"/>
    <w:rsid w:val="00017DB4"/>
    <w:rsid w:val="00017FDF"/>
    <w:rsid w:val="00020071"/>
    <w:rsid w:val="0002012B"/>
    <w:rsid w:val="00020A70"/>
    <w:rsid w:val="000219FD"/>
    <w:rsid w:val="00021D59"/>
    <w:rsid w:val="000221A3"/>
    <w:rsid w:val="00022374"/>
    <w:rsid w:val="00022515"/>
    <w:rsid w:val="000228EB"/>
    <w:rsid w:val="000229AE"/>
    <w:rsid w:val="00022CBD"/>
    <w:rsid w:val="00022E5D"/>
    <w:rsid w:val="000230C6"/>
    <w:rsid w:val="000232B5"/>
    <w:rsid w:val="00023BCF"/>
    <w:rsid w:val="00023D67"/>
    <w:rsid w:val="000240D8"/>
    <w:rsid w:val="00024295"/>
    <w:rsid w:val="00024A10"/>
    <w:rsid w:val="00024A77"/>
    <w:rsid w:val="00024A83"/>
    <w:rsid w:val="000254EB"/>
    <w:rsid w:val="000255D6"/>
    <w:rsid w:val="000256F1"/>
    <w:rsid w:val="00025771"/>
    <w:rsid w:val="0002580E"/>
    <w:rsid w:val="00025A80"/>
    <w:rsid w:val="00025BFD"/>
    <w:rsid w:val="00025FC9"/>
    <w:rsid w:val="00025FE1"/>
    <w:rsid w:val="000260D5"/>
    <w:rsid w:val="000261F4"/>
    <w:rsid w:val="00026305"/>
    <w:rsid w:val="000264C9"/>
    <w:rsid w:val="000268A6"/>
    <w:rsid w:val="000268C0"/>
    <w:rsid w:val="00026CD1"/>
    <w:rsid w:val="00026DA1"/>
    <w:rsid w:val="0002710F"/>
    <w:rsid w:val="00027738"/>
    <w:rsid w:val="000277E8"/>
    <w:rsid w:val="00027A56"/>
    <w:rsid w:val="00027AB7"/>
    <w:rsid w:val="00027C67"/>
    <w:rsid w:val="00027FB7"/>
    <w:rsid w:val="00030333"/>
    <w:rsid w:val="000303C8"/>
    <w:rsid w:val="000306C7"/>
    <w:rsid w:val="0003099B"/>
    <w:rsid w:val="00030BD2"/>
    <w:rsid w:val="00031335"/>
    <w:rsid w:val="00031388"/>
    <w:rsid w:val="000314B1"/>
    <w:rsid w:val="0003173F"/>
    <w:rsid w:val="00031CBE"/>
    <w:rsid w:val="00031FF2"/>
    <w:rsid w:val="000324D0"/>
    <w:rsid w:val="00032566"/>
    <w:rsid w:val="000326B3"/>
    <w:rsid w:val="000328EA"/>
    <w:rsid w:val="0003310C"/>
    <w:rsid w:val="000334E8"/>
    <w:rsid w:val="0003362A"/>
    <w:rsid w:val="000336B9"/>
    <w:rsid w:val="0003376E"/>
    <w:rsid w:val="00033AB7"/>
    <w:rsid w:val="00033C83"/>
    <w:rsid w:val="00033F39"/>
    <w:rsid w:val="00034037"/>
    <w:rsid w:val="0003439B"/>
    <w:rsid w:val="00034BAD"/>
    <w:rsid w:val="00034CEC"/>
    <w:rsid w:val="000350C2"/>
    <w:rsid w:val="000354D8"/>
    <w:rsid w:val="00035EF1"/>
    <w:rsid w:val="00036352"/>
    <w:rsid w:val="00036364"/>
    <w:rsid w:val="000363E5"/>
    <w:rsid w:val="00036492"/>
    <w:rsid w:val="000364F1"/>
    <w:rsid w:val="00036D70"/>
    <w:rsid w:val="00036F39"/>
    <w:rsid w:val="00037412"/>
    <w:rsid w:val="000376A5"/>
    <w:rsid w:val="00037B51"/>
    <w:rsid w:val="000408FB"/>
    <w:rsid w:val="000409A4"/>
    <w:rsid w:val="00040AF1"/>
    <w:rsid w:val="00040B0B"/>
    <w:rsid w:val="0004156F"/>
    <w:rsid w:val="00041735"/>
    <w:rsid w:val="0004184B"/>
    <w:rsid w:val="00041891"/>
    <w:rsid w:val="00042444"/>
    <w:rsid w:val="000426A1"/>
    <w:rsid w:val="0004278B"/>
    <w:rsid w:val="000429C2"/>
    <w:rsid w:val="00042BC0"/>
    <w:rsid w:val="0004317D"/>
    <w:rsid w:val="000433C0"/>
    <w:rsid w:val="000435B5"/>
    <w:rsid w:val="000441BF"/>
    <w:rsid w:val="000448C1"/>
    <w:rsid w:val="000451A4"/>
    <w:rsid w:val="000456C5"/>
    <w:rsid w:val="00045B30"/>
    <w:rsid w:val="00045C5A"/>
    <w:rsid w:val="00045EA5"/>
    <w:rsid w:val="00045EE7"/>
    <w:rsid w:val="00046624"/>
    <w:rsid w:val="00046860"/>
    <w:rsid w:val="00046ACB"/>
    <w:rsid w:val="00046D7F"/>
    <w:rsid w:val="00047676"/>
    <w:rsid w:val="00047794"/>
    <w:rsid w:val="000477CA"/>
    <w:rsid w:val="0004795A"/>
    <w:rsid w:val="000479F7"/>
    <w:rsid w:val="000504E9"/>
    <w:rsid w:val="000508A5"/>
    <w:rsid w:val="000508C0"/>
    <w:rsid w:val="00050D01"/>
    <w:rsid w:val="00050E01"/>
    <w:rsid w:val="00050FB5"/>
    <w:rsid w:val="000518A0"/>
    <w:rsid w:val="00051A63"/>
    <w:rsid w:val="000524A2"/>
    <w:rsid w:val="00052C52"/>
    <w:rsid w:val="00052DBE"/>
    <w:rsid w:val="000535B2"/>
    <w:rsid w:val="000538A3"/>
    <w:rsid w:val="00053B0B"/>
    <w:rsid w:val="00054011"/>
    <w:rsid w:val="00054205"/>
    <w:rsid w:val="00054513"/>
    <w:rsid w:val="00054625"/>
    <w:rsid w:val="00054638"/>
    <w:rsid w:val="00054AD5"/>
    <w:rsid w:val="00054D95"/>
    <w:rsid w:val="000552B2"/>
    <w:rsid w:val="00055344"/>
    <w:rsid w:val="00055528"/>
    <w:rsid w:val="00055F3B"/>
    <w:rsid w:val="0005678F"/>
    <w:rsid w:val="0005696D"/>
    <w:rsid w:val="0005758A"/>
    <w:rsid w:val="00057E30"/>
    <w:rsid w:val="0006002B"/>
    <w:rsid w:val="0006049C"/>
    <w:rsid w:val="000606E4"/>
    <w:rsid w:val="00060708"/>
    <w:rsid w:val="0006099B"/>
    <w:rsid w:val="0006114D"/>
    <w:rsid w:val="00061391"/>
    <w:rsid w:val="000619E6"/>
    <w:rsid w:val="00061B48"/>
    <w:rsid w:val="00061F77"/>
    <w:rsid w:val="0006231E"/>
    <w:rsid w:val="000627C7"/>
    <w:rsid w:val="00062A0A"/>
    <w:rsid w:val="0006337C"/>
    <w:rsid w:val="0006362D"/>
    <w:rsid w:val="00063934"/>
    <w:rsid w:val="00063BA3"/>
    <w:rsid w:val="0006475C"/>
    <w:rsid w:val="00064AF6"/>
    <w:rsid w:val="0006529E"/>
    <w:rsid w:val="0006552E"/>
    <w:rsid w:val="00065B63"/>
    <w:rsid w:val="00065CD9"/>
    <w:rsid w:val="0006682B"/>
    <w:rsid w:val="00066FC9"/>
    <w:rsid w:val="0006734F"/>
    <w:rsid w:val="00067F2E"/>
    <w:rsid w:val="00067FB9"/>
    <w:rsid w:val="00070147"/>
    <w:rsid w:val="00070744"/>
    <w:rsid w:val="00070DE8"/>
    <w:rsid w:val="00070E1D"/>
    <w:rsid w:val="000710EF"/>
    <w:rsid w:val="00071524"/>
    <w:rsid w:val="000717F9"/>
    <w:rsid w:val="000718F2"/>
    <w:rsid w:val="00071B66"/>
    <w:rsid w:val="00071EA5"/>
    <w:rsid w:val="00071ECB"/>
    <w:rsid w:val="000726A2"/>
    <w:rsid w:val="00073000"/>
    <w:rsid w:val="00073061"/>
    <w:rsid w:val="00073401"/>
    <w:rsid w:val="00073835"/>
    <w:rsid w:val="00073BB2"/>
    <w:rsid w:val="00074285"/>
    <w:rsid w:val="000743AF"/>
    <w:rsid w:val="00074A15"/>
    <w:rsid w:val="00074BE2"/>
    <w:rsid w:val="00074DD4"/>
    <w:rsid w:val="00075811"/>
    <w:rsid w:val="00075B6C"/>
    <w:rsid w:val="00075BD9"/>
    <w:rsid w:val="00075EF3"/>
    <w:rsid w:val="0007611E"/>
    <w:rsid w:val="0007683F"/>
    <w:rsid w:val="00076920"/>
    <w:rsid w:val="00076DC2"/>
    <w:rsid w:val="00077117"/>
    <w:rsid w:val="0007764E"/>
    <w:rsid w:val="000777EE"/>
    <w:rsid w:val="0007788D"/>
    <w:rsid w:val="0008037F"/>
    <w:rsid w:val="000805FF"/>
    <w:rsid w:val="000806D0"/>
    <w:rsid w:val="00080E46"/>
    <w:rsid w:val="00080F3D"/>
    <w:rsid w:val="000815B0"/>
    <w:rsid w:val="000817E6"/>
    <w:rsid w:val="00081970"/>
    <w:rsid w:val="000819D8"/>
    <w:rsid w:val="00081F7E"/>
    <w:rsid w:val="00082296"/>
    <w:rsid w:val="0008237F"/>
    <w:rsid w:val="00082677"/>
    <w:rsid w:val="00082F26"/>
    <w:rsid w:val="00083146"/>
    <w:rsid w:val="00083390"/>
    <w:rsid w:val="0008347C"/>
    <w:rsid w:val="00083A78"/>
    <w:rsid w:val="00083B08"/>
    <w:rsid w:val="00084115"/>
    <w:rsid w:val="0008429F"/>
    <w:rsid w:val="000844CE"/>
    <w:rsid w:val="0008482A"/>
    <w:rsid w:val="000852C8"/>
    <w:rsid w:val="00085371"/>
    <w:rsid w:val="000855E1"/>
    <w:rsid w:val="00085A99"/>
    <w:rsid w:val="00085C52"/>
    <w:rsid w:val="00085EA5"/>
    <w:rsid w:val="0008642C"/>
    <w:rsid w:val="00086771"/>
    <w:rsid w:val="000867E9"/>
    <w:rsid w:val="0008681A"/>
    <w:rsid w:val="00086ABA"/>
    <w:rsid w:val="0008759F"/>
    <w:rsid w:val="00087EB5"/>
    <w:rsid w:val="00090416"/>
    <w:rsid w:val="00090605"/>
    <w:rsid w:val="0009069B"/>
    <w:rsid w:val="00090A1E"/>
    <w:rsid w:val="00090B1B"/>
    <w:rsid w:val="0009170D"/>
    <w:rsid w:val="00091926"/>
    <w:rsid w:val="00091950"/>
    <w:rsid w:val="00091B10"/>
    <w:rsid w:val="00091BB7"/>
    <w:rsid w:val="000922BB"/>
    <w:rsid w:val="00092CF6"/>
    <w:rsid w:val="00092F50"/>
    <w:rsid w:val="0009300C"/>
    <w:rsid w:val="000931F9"/>
    <w:rsid w:val="000931FE"/>
    <w:rsid w:val="0009322F"/>
    <w:rsid w:val="00093256"/>
    <w:rsid w:val="00093BE5"/>
    <w:rsid w:val="00093D21"/>
    <w:rsid w:val="00093F22"/>
    <w:rsid w:val="000940D1"/>
    <w:rsid w:val="0009495E"/>
    <w:rsid w:val="00094B18"/>
    <w:rsid w:val="000951E4"/>
    <w:rsid w:val="00095C85"/>
    <w:rsid w:val="00095CD5"/>
    <w:rsid w:val="00095F3A"/>
    <w:rsid w:val="00096B06"/>
    <w:rsid w:val="00096E79"/>
    <w:rsid w:val="00096FE9"/>
    <w:rsid w:val="0009707E"/>
    <w:rsid w:val="00097318"/>
    <w:rsid w:val="00097E0A"/>
    <w:rsid w:val="00097E68"/>
    <w:rsid w:val="00097EC2"/>
    <w:rsid w:val="000A0613"/>
    <w:rsid w:val="000A0843"/>
    <w:rsid w:val="000A0BE0"/>
    <w:rsid w:val="000A0C82"/>
    <w:rsid w:val="000A1506"/>
    <w:rsid w:val="000A1515"/>
    <w:rsid w:val="000A175B"/>
    <w:rsid w:val="000A1DE5"/>
    <w:rsid w:val="000A20FC"/>
    <w:rsid w:val="000A227B"/>
    <w:rsid w:val="000A2B43"/>
    <w:rsid w:val="000A2B81"/>
    <w:rsid w:val="000A2BC1"/>
    <w:rsid w:val="000A2C8D"/>
    <w:rsid w:val="000A2CC8"/>
    <w:rsid w:val="000A3618"/>
    <w:rsid w:val="000A453C"/>
    <w:rsid w:val="000A4898"/>
    <w:rsid w:val="000A4EE3"/>
    <w:rsid w:val="000A4F52"/>
    <w:rsid w:val="000A5309"/>
    <w:rsid w:val="000A532C"/>
    <w:rsid w:val="000A55B9"/>
    <w:rsid w:val="000A6111"/>
    <w:rsid w:val="000A6B42"/>
    <w:rsid w:val="000A6C52"/>
    <w:rsid w:val="000A7A04"/>
    <w:rsid w:val="000A7C7E"/>
    <w:rsid w:val="000A7F22"/>
    <w:rsid w:val="000B001B"/>
    <w:rsid w:val="000B0592"/>
    <w:rsid w:val="000B0857"/>
    <w:rsid w:val="000B091D"/>
    <w:rsid w:val="000B0EDE"/>
    <w:rsid w:val="000B11A3"/>
    <w:rsid w:val="000B1519"/>
    <w:rsid w:val="000B1565"/>
    <w:rsid w:val="000B19BD"/>
    <w:rsid w:val="000B1B7A"/>
    <w:rsid w:val="000B1D4A"/>
    <w:rsid w:val="000B2287"/>
    <w:rsid w:val="000B2A00"/>
    <w:rsid w:val="000B3124"/>
    <w:rsid w:val="000B3356"/>
    <w:rsid w:val="000B3555"/>
    <w:rsid w:val="000B3B97"/>
    <w:rsid w:val="000B3E5F"/>
    <w:rsid w:val="000B4429"/>
    <w:rsid w:val="000B4517"/>
    <w:rsid w:val="000B465D"/>
    <w:rsid w:val="000B4A4D"/>
    <w:rsid w:val="000B4E10"/>
    <w:rsid w:val="000B5874"/>
    <w:rsid w:val="000B5B95"/>
    <w:rsid w:val="000B5CEA"/>
    <w:rsid w:val="000B640C"/>
    <w:rsid w:val="000B64A5"/>
    <w:rsid w:val="000B6686"/>
    <w:rsid w:val="000B686A"/>
    <w:rsid w:val="000B687D"/>
    <w:rsid w:val="000B6D4F"/>
    <w:rsid w:val="000B6FB0"/>
    <w:rsid w:val="000B74D1"/>
    <w:rsid w:val="000B7708"/>
    <w:rsid w:val="000C0055"/>
    <w:rsid w:val="000C0277"/>
    <w:rsid w:val="000C0489"/>
    <w:rsid w:val="000C1B1D"/>
    <w:rsid w:val="000C1B5F"/>
    <w:rsid w:val="000C1EAB"/>
    <w:rsid w:val="000C2365"/>
    <w:rsid w:val="000C25DF"/>
    <w:rsid w:val="000C2E5A"/>
    <w:rsid w:val="000C349A"/>
    <w:rsid w:val="000C3EA4"/>
    <w:rsid w:val="000C43C2"/>
    <w:rsid w:val="000C447E"/>
    <w:rsid w:val="000C4FA4"/>
    <w:rsid w:val="000C5303"/>
    <w:rsid w:val="000C5670"/>
    <w:rsid w:val="000C5D04"/>
    <w:rsid w:val="000C5E0A"/>
    <w:rsid w:val="000C6105"/>
    <w:rsid w:val="000C6519"/>
    <w:rsid w:val="000C6556"/>
    <w:rsid w:val="000C762D"/>
    <w:rsid w:val="000C7719"/>
    <w:rsid w:val="000D000B"/>
    <w:rsid w:val="000D008D"/>
    <w:rsid w:val="000D04ED"/>
    <w:rsid w:val="000D074B"/>
    <w:rsid w:val="000D0782"/>
    <w:rsid w:val="000D07D1"/>
    <w:rsid w:val="000D0AA3"/>
    <w:rsid w:val="000D123D"/>
    <w:rsid w:val="000D13F3"/>
    <w:rsid w:val="000D1BB8"/>
    <w:rsid w:val="000D1BF9"/>
    <w:rsid w:val="000D1CB5"/>
    <w:rsid w:val="000D1CD0"/>
    <w:rsid w:val="000D25E1"/>
    <w:rsid w:val="000D334D"/>
    <w:rsid w:val="000D3449"/>
    <w:rsid w:val="000D39CD"/>
    <w:rsid w:val="000D39E2"/>
    <w:rsid w:val="000D3D82"/>
    <w:rsid w:val="000D4302"/>
    <w:rsid w:val="000D456C"/>
    <w:rsid w:val="000D48FC"/>
    <w:rsid w:val="000D4979"/>
    <w:rsid w:val="000D5019"/>
    <w:rsid w:val="000D51FB"/>
    <w:rsid w:val="000D5309"/>
    <w:rsid w:val="000D5C63"/>
    <w:rsid w:val="000D5F36"/>
    <w:rsid w:val="000D63C5"/>
    <w:rsid w:val="000D64E4"/>
    <w:rsid w:val="000D6B83"/>
    <w:rsid w:val="000D6CC4"/>
    <w:rsid w:val="000D6F72"/>
    <w:rsid w:val="000D7081"/>
    <w:rsid w:val="000D723C"/>
    <w:rsid w:val="000D7795"/>
    <w:rsid w:val="000D7CF6"/>
    <w:rsid w:val="000E0478"/>
    <w:rsid w:val="000E0765"/>
    <w:rsid w:val="000E0769"/>
    <w:rsid w:val="000E0780"/>
    <w:rsid w:val="000E09AB"/>
    <w:rsid w:val="000E0DE8"/>
    <w:rsid w:val="000E0E63"/>
    <w:rsid w:val="000E0EB3"/>
    <w:rsid w:val="000E107D"/>
    <w:rsid w:val="000E17EA"/>
    <w:rsid w:val="000E181B"/>
    <w:rsid w:val="000E1F42"/>
    <w:rsid w:val="000E243F"/>
    <w:rsid w:val="000E2B53"/>
    <w:rsid w:val="000E2C86"/>
    <w:rsid w:val="000E2CF6"/>
    <w:rsid w:val="000E360A"/>
    <w:rsid w:val="000E388F"/>
    <w:rsid w:val="000E3AF4"/>
    <w:rsid w:val="000E3EB3"/>
    <w:rsid w:val="000E44F8"/>
    <w:rsid w:val="000E4B8C"/>
    <w:rsid w:val="000E51F9"/>
    <w:rsid w:val="000E52C4"/>
    <w:rsid w:val="000E59B9"/>
    <w:rsid w:val="000E59EC"/>
    <w:rsid w:val="000E5DA9"/>
    <w:rsid w:val="000E5DEF"/>
    <w:rsid w:val="000E5EBA"/>
    <w:rsid w:val="000E741A"/>
    <w:rsid w:val="000E7547"/>
    <w:rsid w:val="000E7574"/>
    <w:rsid w:val="000E767D"/>
    <w:rsid w:val="000E7B7B"/>
    <w:rsid w:val="000F07F7"/>
    <w:rsid w:val="000F0818"/>
    <w:rsid w:val="000F0BED"/>
    <w:rsid w:val="000F0D5A"/>
    <w:rsid w:val="000F0F95"/>
    <w:rsid w:val="000F10A3"/>
    <w:rsid w:val="000F24CC"/>
    <w:rsid w:val="000F2618"/>
    <w:rsid w:val="000F2EE2"/>
    <w:rsid w:val="000F379F"/>
    <w:rsid w:val="000F4061"/>
    <w:rsid w:val="000F4211"/>
    <w:rsid w:val="000F45E1"/>
    <w:rsid w:val="000F481B"/>
    <w:rsid w:val="000F5304"/>
    <w:rsid w:val="000F5ADF"/>
    <w:rsid w:val="000F64BD"/>
    <w:rsid w:val="000F6850"/>
    <w:rsid w:val="000F6A2B"/>
    <w:rsid w:val="000F6C5A"/>
    <w:rsid w:val="000F6E21"/>
    <w:rsid w:val="000F70DF"/>
    <w:rsid w:val="000F74E9"/>
    <w:rsid w:val="000F79B3"/>
    <w:rsid w:val="000F79E3"/>
    <w:rsid w:val="000F7D72"/>
    <w:rsid w:val="000F7EA2"/>
    <w:rsid w:val="0010001A"/>
    <w:rsid w:val="001008B2"/>
    <w:rsid w:val="001013E1"/>
    <w:rsid w:val="00101661"/>
    <w:rsid w:val="00101664"/>
    <w:rsid w:val="001018DB"/>
    <w:rsid w:val="00101B67"/>
    <w:rsid w:val="00101C46"/>
    <w:rsid w:val="00102073"/>
    <w:rsid w:val="0010239A"/>
    <w:rsid w:val="001024BF"/>
    <w:rsid w:val="00102D1B"/>
    <w:rsid w:val="00103698"/>
    <w:rsid w:val="00103A25"/>
    <w:rsid w:val="001040B4"/>
    <w:rsid w:val="001045B2"/>
    <w:rsid w:val="00104906"/>
    <w:rsid w:val="00104AF2"/>
    <w:rsid w:val="00104CC8"/>
    <w:rsid w:val="00104D9B"/>
    <w:rsid w:val="00105127"/>
    <w:rsid w:val="001051D2"/>
    <w:rsid w:val="001052D7"/>
    <w:rsid w:val="001054C3"/>
    <w:rsid w:val="00105E10"/>
    <w:rsid w:val="0010672D"/>
    <w:rsid w:val="00107161"/>
    <w:rsid w:val="001074C5"/>
    <w:rsid w:val="00107926"/>
    <w:rsid w:val="00107C0F"/>
    <w:rsid w:val="00107D6B"/>
    <w:rsid w:val="00110110"/>
    <w:rsid w:val="0011073F"/>
    <w:rsid w:val="0011082B"/>
    <w:rsid w:val="00110959"/>
    <w:rsid w:val="001111C0"/>
    <w:rsid w:val="00111AA9"/>
    <w:rsid w:val="00111C9D"/>
    <w:rsid w:val="00111E33"/>
    <w:rsid w:val="00111F52"/>
    <w:rsid w:val="00111FC9"/>
    <w:rsid w:val="001123BB"/>
    <w:rsid w:val="0011248E"/>
    <w:rsid w:val="001127B0"/>
    <w:rsid w:val="0011286C"/>
    <w:rsid w:val="001128A0"/>
    <w:rsid w:val="00112B3B"/>
    <w:rsid w:val="001130D0"/>
    <w:rsid w:val="001133B7"/>
    <w:rsid w:val="001147F4"/>
    <w:rsid w:val="001149E0"/>
    <w:rsid w:val="00114D20"/>
    <w:rsid w:val="001153A1"/>
    <w:rsid w:val="001153C0"/>
    <w:rsid w:val="0011567F"/>
    <w:rsid w:val="00115A42"/>
    <w:rsid w:val="00115A45"/>
    <w:rsid w:val="00115BD9"/>
    <w:rsid w:val="00115CB3"/>
    <w:rsid w:val="0011608A"/>
    <w:rsid w:val="00116324"/>
    <w:rsid w:val="0011696A"/>
    <w:rsid w:val="00116C8E"/>
    <w:rsid w:val="00116E83"/>
    <w:rsid w:val="00117243"/>
    <w:rsid w:val="001174B2"/>
    <w:rsid w:val="00117888"/>
    <w:rsid w:val="001208ED"/>
    <w:rsid w:val="001211D2"/>
    <w:rsid w:val="001215E3"/>
    <w:rsid w:val="00121A0A"/>
    <w:rsid w:val="00121A7C"/>
    <w:rsid w:val="00121E67"/>
    <w:rsid w:val="0012276C"/>
    <w:rsid w:val="00122E17"/>
    <w:rsid w:val="00122F8E"/>
    <w:rsid w:val="00122FA7"/>
    <w:rsid w:val="00123110"/>
    <w:rsid w:val="001235FD"/>
    <w:rsid w:val="001237A2"/>
    <w:rsid w:val="00123924"/>
    <w:rsid w:val="00123A17"/>
    <w:rsid w:val="00123F24"/>
    <w:rsid w:val="00123FA3"/>
    <w:rsid w:val="00123FE2"/>
    <w:rsid w:val="0012457E"/>
    <w:rsid w:val="001245F5"/>
    <w:rsid w:val="001246E0"/>
    <w:rsid w:val="00124852"/>
    <w:rsid w:val="00124B4E"/>
    <w:rsid w:val="00124D09"/>
    <w:rsid w:val="00124DB9"/>
    <w:rsid w:val="0012598B"/>
    <w:rsid w:val="00125B1A"/>
    <w:rsid w:val="00125EDC"/>
    <w:rsid w:val="0012617A"/>
    <w:rsid w:val="001262E7"/>
    <w:rsid w:val="001263B7"/>
    <w:rsid w:val="0012665D"/>
    <w:rsid w:val="00127148"/>
    <w:rsid w:val="001273F2"/>
    <w:rsid w:val="00127669"/>
    <w:rsid w:val="00127D1B"/>
    <w:rsid w:val="00130334"/>
    <w:rsid w:val="001303EB"/>
    <w:rsid w:val="0013063A"/>
    <w:rsid w:val="00130C4B"/>
    <w:rsid w:val="00131033"/>
    <w:rsid w:val="001320F3"/>
    <w:rsid w:val="0013210C"/>
    <w:rsid w:val="00132279"/>
    <w:rsid w:val="00132292"/>
    <w:rsid w:val="001324B0"/>
    <w:rsid w:val="00132727"/>
    <w:rsid w:val="00132E2F"/>
    <w:rsid w:val="00133264"/>
    <w:rsid w:val="00133545"/>
    <w:rsid w:val="001336CC"/>
    <w:rsid w:val="00133D74"/>
    <w:rsid w:val="00134044"/>
    <w:rsid w:val="00134150"/>
    <w:rsid w:val="001346FE"/>
    <w:rsid w:val="00134A2C"/>
    <w:rsid w:val="00134CB9"/>
    <w:rsid w:val="00134D43"/>
    <w:rsid w:val="00134E24"/>
    <w:rsid w:val="00134ED3"/>
    <w:rsid w:val="00135420"/>
    <w:rsid w:val="00135896"/>
    <w:rsid w:val="00135A48"/>
    <w:rsid w:val="00135F31"/>
    <w:rsid w:val="00135FCD"/>
    <w:rsid w:val="00136170"/>
    <w:rsid w:val="0013625F"/>
    <w:rsid w:val="00136484"/>
    <w:rsid w:val="00136C4F"/>
    <w:rsid w:val="00137023"/>
    <w:rsid w:val="00137267"/>
    <w:rsid w:val="001372DC"/>
    <w:rsid w:val="00137F63"/>
    <w:rsid w:val="00140390"/>
    <w:rsid w:val="0014046D"/>
    <w:rsid w:val="001406F8"/>
    <w:rsid w:val="00141516"/>
    <w:rsid w:val="0014160B"/>
    <w:rsid w:val="0014162E"/>
    <w:rsid w:val="00141738"/>
    <w:rsid w:val="00141F22"/>
    <w:rsid w:val="00142127"/>
    <w:rsid w:val="001424A8"/>
    <w:rsid w:val="00142A81"/>
    <w:rsid w:val="0014311C"/>
    <w:rsid w:val="001432EC"/>
    <w:rsid w:val="00143500"/>
    <w:rsid w:val="001436C6"/>
    <w:rsid w:val="00143D8D"/>
    <w:rsid w:val="00143DD2"/>
    <w:rsid w:val="0014408F"/>
    <w:rsid w:val="001444E3"/>
    <w:rsid w:val="00144516"/>
    <w:rsid w:val="0014483B"/>
    <w:rsid w:val="00145619"/>
    <w:rsid w:val="001457BC"/>
    <w:rsid w:val="00146A9B"/>
    <w:rsid w:val="00146E94"/>
    <w:rsid w:val="00147206"/>
    <w:rsid w:val="00147FBB"/>
    <w:rsid w:val="001503D1"/>
    <w:rsid w:val="0015094F"/>
    <w:rsid w:val="00150AF7"/>
    <w:rsid w:val="00150DAC"/>
    <w:rsid w:val="00150DCD"/>
    <w:rsid w:val="0015111B"/>
    <w:rsid w:val="00151789"/>
    <w:rsid w:val="00151B27"/>
    <w:rsid w:val="00151C4E"/>
    <w:rsid w:val="001521F0"/>
    <w:rsid w:val="00152235"/>
    <w:rsid w:val="001524CA"/>
    <w:rsid w:val="0015250C"/>
    <w:rsid w:val="0015287F"/>
    <w:rsid w:val="00152BC1"/>
    <w:rsid w:val="00153011"/>
    <w:rsid w:val="00153045"/>
    <w:rsid w:val="00153283"/>
    <w:rsid w:val="001533A7"/>
    <w:rsid w:val="00153BFB"/>
    <w:rsid w:val="00153C00"/>
    <w:rsid w:val="00153CF1"/>
    <w:rsid w:val="00153F93"/>
    <w:rsid w:val="00154293"/>
    <w:rsid w:val="00154787"/>
    <w:rsid w:val="00154961"/>
    <w:rsid w:val="00154983"/>
    <w:rsid w:val="00154BBA"/>
    <w:rsid w:val="00154BCA"/>
    <w:rsid w:val="00154D34"/>
    <w:rsid w:val="0015541B"/>
    <w:rsid w:val="00155E01"/>
    <w:rsid w:val="00155F21"/>
    <w:rsid w:val="001561FF"/>
    <w:rsid w:val="00156EC3"/>
    <w:rsid w:val="00157304"/>
    <w:rsid w:val="001573A1"/>
    <w:rsid w:val="00157BA3"/>
    <w:rsid w:val="00157CAB"/>
    <w:rsid w:val="00157F23"/>
    <w:rsid w:val="00160692"/>
    <w:rsid w:val="00160C9E"/>
    <w:rsid w:val="00160E43"/>
    <w:rsid w:val="001613E7"/>
    <w:rsid w:val="001615B0"/>
    <w:rsid w:val="0016168D"/>
    <w:rsid w:val="00161899"/>
    <w:rsid w:val="00161B40"/>
    <w:rsid w:val="00161C0A"/>
    <w:rsid w:val="00161DEB"/>
    <w:rsid w:val="001621AF"/>
    <w:rsid w:val="0016223A"/>
    <w:rsid w:val="00162250"/>
    <w:rsid w:val="001627EE"/>
    <w:rsid w:val="00162D39"/>
    <w:rsid w:val="00162DEB"/>
    <w:rsid w:val="00162F6C"/>
    <w:rsid w:val="00163233"/>
    <w:rsid w:val="00163274"/>
    <w:rsid w:val="0016393B"/>
    <w:rsid w:val="00163BE4"/>
    <w:rsid w:val="00163CDC"/>
    <w:rsid w:val="00163E04"/>
    <w:rsid w:val="00164387"/>
    <w:rsid w:val="00164908"/>
    <w:rsid w:val="001652D2"/>
    <w:rsid w:val="00165A9D"/>
    <w:rsid w:val="00165BF4"/>
    <w:rsid w:val="00166142"/>
    <w:rsid w:val="0016625E"/>
    <w:rsid w:val="001671A0"/>
    <w:rsid w:val="001676AB"/>
    <w:rsid w:val="001677C1"/>
    <w:rsid w:val="001679ED"/>
    <w:rsid w:val="00167B69"/>
    <w:rsid w:val="00167BB6"/>
    <w:rsid w:val="00170170"/>
    <w:rsid w:val="001701A4"/>
    <w:rsid w:val="00170528"/>
    <w:rsid w:val="00170647"/>
    <w:rsid w:val="00170740"/>
    <w:rsid w:val="00170781"/>
    <w:rsid w:val="00170DC4"/>
    <w:rsid w:val="00171197"/>
    <w:rsid w:val="00171704"/>
    <w:rsid w:val="00171A49"/>
    <w:rsid w:val="00171EFD"/>
    <w:rsid w:val="0017225F"/>
    <w:rsid w:val="00172493"/>
    <w:rsid w:val="00172ADC"/>
    <w:rsid w:val="00172B06"/>
    <w:rsid w:val="0017362F"/>
    <w:rsid w:val="001736F4"/>
    <w:rsid w:val="001737D0"/>
    <w:rsid w:val="001739AF"/>
    <w:rsid w:val="00173B67"/>
    <w:rsid w:val="00174472"/>
    <w:rsid w:val="001747EE"/>
    <w:rsid w:val="001748CA"/>
    <w:rsid w:val="00174944"/>
    <w:rsid w:val="00175025"/>
    <w:rsid w:val="0017551A"/>
    <w:rsid w:val="0017562C"/>
    <w:rsid w:val="00175A19"/>
    <w:rsid w:val="00175AEA"/>
    <w:rsid w:val="00175EC4"/>
    <w:rsid w:val="001762A7"/>
    <w:rsid w:val="00176B3A"/>
    <w:rsid w:val="00176BDC"/>
    <w:rsid w:val="00176BE7"/>
    <w:rsid w:val="00176C64"/>
    <w:rsid w:val="00176DCA"/>
    <w:rsid w:val="00177B40"/>
    <w:rsid w:val="00180585"/>
    <w:rsid w:val="00180AC6"/>
    <w:rsid w:val="00180CB7"/>
    <w:rsid w:val="00180D76"/>
    <w:rsid w:val="0018182E"/>
    <w:rsid w:val="00181ABB"/>
    <w:rsid w:val="00182033"/>
    <w:rsid w:val="00182056"/>
    <w:rsid w:val="00182797"/>
    <w:rsid w:val="001827A7"/>
    <w:rsid w:val="001829CF"/>
    <w:rsid w:val="00182AE9"/>
    <w:rsid w:val="00182BFE"/>
    <w:rsid w:val="00182D86"/>
    <w:rsid w:val="00183A5D"/>
    <w:rsid w:val="00183C30"/>
    <w:rsid w:val="00183D5F"/>
    <w:rsid w:val="00183EA0"/>
    <w:rsid w:val="0018429B"/>
    <w:rsid w:val="00184AB5"/>
    <w:rsid w:val="00184DB6"/>
    <w:rsid w:val="00184E70"/>
    <w:rsid w:val="00184F33"/>
    <w:rsid w:val="001850C4"/>
    <w:rsid w:val="001851A9"/>
    <w:rsid w:val="001854C5"/>
    <w:rsid w:val="00185B2A"/>
    <w:rsid w:val="00185D83"/>
    <w:rsid w:val="00186209"/>
    <w:rsid w:val="0018632F"/>
    <w:rsid w:val="00186666"/>
    <w:rsid w:val="00186956"/>
    <w:rsid w:val="00186D6F"/>
    <w:rsid w:val="0018708B"/>
    <w:rsid w:val="00187254"/>
    <w:rsid w:val="00187558"/>
    <w:rsid w:val="0018786E"/>
    <w:rsid w:val="00187E0B"/>
    <w:rsid w:val="0019053C"/>
    <w:rsid w:val="00190A70"/>
    <w:rsid w:val="00190F9C"/>
    <w:rsid w:val="001912C7"/>
    <w:rsid w:val="001913F1"/>
    <w:rsid w:val="00191A6B"/>
    <w:rsid w:val="0019257B"/>
    <w:rsid w:val="00192621"/>
    <w:rsid w:val="001929A0"/>
    <w:rsid w:val="00192F6A"/>
    <w:rsid w:val="0019320B"/>
    <w:rsid w:val="00193604"/>
    <w:rsid w:val="001936F2"/>
    <w:rsid w:val="00193A05"/>
    <w:rsid w:val="00193FF2"/>
    <w:rsid w:val="0019412C"/>
    <w:rsid w:val="001942A7"/>
    <w:rsid w:val="0019469B"/>
    <w:rsid w:val="0019481F"/>
    <w:rsid w:val="00194BBD"/>
    <w:rsid w:val="00195148"/>
    <w:rsid w:val="00195181"/>
    <w:rsid w:val="00195308"/>
    <w:rsid w:val="00195A44"/>
    <w:rsid w:val="00195D6E"/>
    <w:rsid w:val="00195D8A"/>
    <w:rsid w:val="00196179"/>
    <w:rsid w:val="00196210"/>
    <w:rsid w:val="001967C0"/>
    <w:rsid w:val="00196983"/>
    <w:rsid w:val="00196CD5"/>
    <w:rsid w:val="0019721F"/>
    <w:rsid w:val="00197B85"/>
    <w:rsid w:val="00197C4E"/>
    <w:rsid w:val="00197C98"/>
    <w:rsid w:val="00197E6B"/>
    <w:rsid w:val="00197E71"/>
    <w:rsid w:val="001A0087"/>
    <w:rsid w:val="001A01FD"/>
    <w:rsid w:val="001A0254"/>
    <w:rsid w:val="001A057C"/>
    <w:rsid w:val="001A0AEB"/>
    <w:rsid w:val="001A0BDF"/>
    <w:rsid w:val="001A11AF"/>
    <w:rsid w:val="001A15F8"/>
    <w:rsid w:val="001A18C5"/>
    <w:rsid w:val="001A19FF"/>
    <w:rsid w:val="001A1FDD"/>
    <w:rsid w:val="001A2090"/>
    <w:rsid w:val="001A23CC"/>
    <w:rsid w:val="001A2FFB"/>
    <w:rsid w:val="001A3256"/>
    <w:rsid w:val="001A3513"/>
    <w:rsid w:val="001A384A"/>
    <w:rsid w:val="001A3CD2"/>
    <w:rsid w:val="001A4355"/>
    <w:rsid w:val="001A43C5"/>
    <w:rsid w:val="001A4984"/>
    <w:rsid w:val="001A4CC3"/>
    <w:rsid w:val="001A4CDF"/>
    <w:rsid w:val="001A5721"/>
    <w:rsid w:val="001A5993"/>
    <w:rsid w:val="001A5BE2"/>
    <w:rsid w:val="001A5C44"/>
    <w:rsid w:val="001A604D"/>
    <w:rsid w:val="001A60B8"/>
    <w:rsid w:val="001A628F"/>
    <w:rsid w:val="001A6615"/>
    <w:rsid w:val="001A683C"/>
    <w:rsid w:val="001A6A25"/>
    <w:rsid w:val="001A732B"/>
    <w:rsid w:val="001A7749"/>
    <w:rsid w:val="001A7929"/>
    <w:rsid w:val="001A7B2D"/>
    <w:rsid w:val="001A7DE1"/>
    <w:rsid w:val="001A7E7C"/>
    <w:rsid w:val="001A7F0B"/>
    <w:rsid w:val="001B0298"/>
    <w:rsid w:val="001B03A9"/>
    <w:rsid w:val="001B061B"/>
    <w:rsid w:val="001B07C5"/>
    <w:rsid w:val="001B08E5"/>
    <w:rsid w:val="001B0A94"/>
    <w:rsid w:val="001B0DC2"/>
    <w:rsid w:val="001B0E14"/>
    <w:rsid w:val="001B13BF"/>
    <w:rsid w:val="001B18B5"/>
    <w:rsid w:val="001B18D9"/>
    <w:rsid w:val="001B1EA8"/>
    <w:rsid w:val="001B1F2E"/>
    <w:rsid w:val="001B2518"/>
    <w:rsid w:val="001B2AE3"/>
    <w:rsid w:val="001B2B79"/>
    <w:rsid w:val="001B3118"/>
    <w:rsid w:val="001B3522"/>
    <w:rsid w:val="001B354E"/>
    <w:rsid w:val="001B3578"/>
    <w:rsid w:val="001B3857"/>
    <w:rsid w:val="001B3935"/>
    <w:rsid w:val="001B41E2"/>
    <w:rsid w:val="001B422A"/>
    <w:rsid w:val="001B4499"/>
    <w:rsid w:val="001B467B"/>
    <w:rsid w:val="001B4876"/>
    <w:rsid w:val="001B4BDB"/>
    <w:rsid w:val="001B4D22"/>
    <w:rsid w:val="001B4FA0"/>
    <w:rsid w:val="001B563E"/>
    <w:rsid w:val="001B5F68"/>
    <w:rsid w:val="001B6627"/>
    <w:rsid w:val="001B6B6A"/>
    <w:rsid w:val="001B6BD1"/>
    <w:rsid w:val="001B6E4F"/>
    <w:rsid w:val="001B6FF8"/>
    <w:rsid w:val="001B704F"/>
    <w:rsid w:val="001B71E7"/>
    <w:rsid w:val="001B7647"/>
    <w:rsid w:val="001B7895"/>
    <w:rsid w:val="001B78EA"/>
    <w:rsid w:val="001B799A"/>
    <w:rsid w:val="001B7BFD"/>
    <w:rsid w:val="001B7C78"/>
    <w:rsid w:val="001B7CCF"/>
    <w:rsid w:val="001B7D7E"/>
    <w:rsid w:val="001C040A"/>
    <w:rsid w:val="001C0FAA"/>
    <w:rsid w:val="001C1441"/>
    <w:rsid w:val="001C1785"/>
    <w:rsid w:val="001C18BA"/>
    <w:rsid w:val="001C1AC3"/>
    <w:rsid w:val="001C1D13"/>
    <w:rsid w:val="001C209A"/>
    <w:rsid w:val="001C21B8"/>
    <w:rsid w:val="001C2593"/>
    <w:rsid w:val="001C28C5"/>
    <w:rsid w:val="001C29DE"/>
    <w:rsid w:val="001C2A3E"/>
    <w:rsid w:val="001C3004"/>
    <w:rsid w:val="001C3230"/>
    <w:rsid w:val="001C3577"/>
    <w:rsid w:val="001C46F0"/>
    <w:rsid w:val="001C47B9"/>
    <w:rsid w:val="001C48F5"/>
    <w:rsid w:val="001C4B82"/>
    <w:rsid w:val="001C4F2A"/>
    <w:rsid w:val="001C4F68"/>
    <w:rsid w:val="001C534C"/>
    <w:rsid w:val="001C5A97"/>
    <w:rsid w:val="001C5B30"/>
    <w:rsid w:val="001C616C"/>
    <w:rsid w:val="001C734F"/>
    <w:rsid w:val="001C7412"/>
    <w:rsid w:val="001C75EB"/>
    <w:rsid w:val="001C791B"/>
    <w:rsid w:val="001C7920"/>
    <w:rsid w:val="001C7B1C"/>
    <w:rsid w:val="001C7DCB"/>
    <w:rsid w:val="001C7FEF"/>
    <w:rsid w:val="001D06F4"/>
    <w:rsid w:val="001D0891"/>
    <w:rsid w:val="001D0E28"/>
    <w:rsid w:val="001D1040"/>
    <w:rsid w:val="001D1066"/>
    <w:rsid w:val="001D12A3"/>
    <w:rsid w:val="001D13D0"/>
    <w:rsid w:val="001D16DC"/>
    <w:rsid w:val="001D1A82"/>
    <w:rsid w:val="001D1B30"/>
    <w:rsid w:val="001D1ED3"/>
    <w:rsid w:val="001D2003"/>
    <w:rsid w:val="001D230D"/>
    <w:rsid w:val="001D26B1"/>
    <w:rsid w:val="001D2791"/>
    <w:rsid w:val="001D27A0"/>
    <w:rsid w:val="001D28C2"/>
    <w:rsid w:val="001D2A8A"/>
    <w:rsid w:val="001D2C88"/>
    <w:rsid w:val="001D31B6"/>
    <w:rsid w:val="001D3797"/>
    <w:rsid w:val="001D37C2"/>
    <w:rsid w:val="001D3A1E"/>
    <w:rsid w:val="001D3E4C"/>
    <w:rsid w:val="001D4057"/>
    <w:rsid w:val="001D4252"/>
    <w:rsid w:val="001D47CA"/>
    <w:rsid w:val="001D4C8E"/>
    <w:rsid w:val="001D4ED6"/>
    <w:rsid w:val="001D58F9"/>
    <w:rsid w:val="001D5969"/>
    <w:rsid w:val="001D5A72"/>
    <w:rsid w:val="001D65E9"/>
    <w:rsid w:val="001D67A2"/>
    <w:rsid w:val="001D6C51"/>
    <w:rsid w:val="001D7418"/>
    <w:rsid w:val="001D7881"/>
    <w:rsid w:val="001D7AFC"/>
    <w:rsid w:val="001D7C3A"/>
    <w:rsid w:val="001D7F95"/>
    <w:rsid w:val="001E00BB"/>
    <w:rsid w:val="001E01DB"/>
    <w:rsid w:val="001E045E"/>
    <w:rsid w:val="001E0C12"/>
    <w:rsid w:val="001E0C23"/>
    <w:rsid w:val="001E0D69"/>
    <w:rsid w:val="001E140D"/>
    <w:rsid w:val="001E14A2"/>
    <w:rsid w:val="001E1558"/>
    <w:rsid w:val="001E1EA3"/>
    <w:rsid w:val="001E2106"/>
    <w:rsid w:val="001E2A1C"/>
    <w:rsid w:val="001E3514"/>
    <w:rsid w:val="001E3810"/>
    <w:rsid w:val="001E3904"/>
    <w:rsid w:val="001E3A2E"/>
    <w:rsid w:val="001E4298"/>
    <w:rsid w:val="001E45C1"/>
    <w:rsid w:val="001E491A"/>
    <w:rsid w:val="001E4D63"/>
    <w:rsid w:val="001E5193"/>
    <w:rsid w:val="001E51D2"/>
    <w:rsid w:val="001E52A7"/>
    <w:rsid w:val="001E53C0"/>
    <w:rsid w:val="001E597B"/>
    <w:rsid w:val="001E59E3"/>
    <w:rsid w:val="001E5C30"/>
    <w:rsid w:val="001E6133"/>
    <w:rsid w:val="001E62AF"/>
    <w:rsid w:val="001E636E"/>
    <w:rsid w:val="001E6F5A"/>
    <w:rsid w:val="001E713E"/>
    <w:rsid w:val="001E7774"/>
    <w:rsid w:val="001E78D1"/>
    <w:rsid w:val="001E79B2"/>
    <w:rsid w:val="001E7B47"/>
    <w:rsid w:val="001F0173"/>
    <w:rsid w:val="001F0430"/>
    <w:rsid w:val="001F0592"/>
    <w:rsid w:val="001F0677"/>
    <w:rsid w:val="001F06AC"/>
    <w:rsid w:val="001F0848"/>
    <w:rsid w:val="001F09BF"/>
    <w:rsid w:val="001F1023"/>
    <w:rsid w:val="001F1088"/>
    <w:rsid w:val="001F19C5"/>
    <w:rsid w:val="001F1D38"/>
    <w:rsid w:val="001F1EFB"/>
    <w:rsid w:val="001F2633"/>
    <w:rsid w:val="001F2D09"/>
    <w:rsid w:val="001F3805"/>
    <w:rsid w:val="001F3C53"/>
    <w:rsid w:val="001F43EF"/>
    <w:rsid w:val="001F4506"/>
    <w:rsid w:val="001F45EE"/>
    <w:rsid w:val="001F467F"/>
    <w:rsid w:val="001F4C02"/>
    <w:rsid w:val="001F4E94"/>
    <w:rsid w:val="001F4F04"/>
    <w:rsid w:val="001F5452"/>
    <w:rsid w:val="001F5700"/>
    <w:rsid w:val="001F584A"/>
    <w:rsid w:val="001F5D3A"/>
    <w:rsid w:val="001F5D40"/>
    <w:rsid w:val="001F5DBB"/>
    <w:rsid w:val="001F5E1D"/>
    <w:rsid w:val="001F5F57"/>
    <w:rsid w:val="001F60C9"/>
    <w:rsid w:val="001F64FC"/>
    <w:rsid w:val="001F661A"/>
    <w:rsid w:val="001F68D5"/>
    <w:rsid w:val="001F69F0"/>
    <w:rsid w:val="001F6ADD"/>
    <w:rsid w:val="001F6C36"/>
    <w:rsid w:val="001F6FE7"/>
    <w:rsid w:val="001F730D"/>
    <w:rsid w:val="001F7832"/>
    <w:rsid w:val="001F799C"/>
    <w:rsid w:val="001F7F44"/>
    <w:rsid w:val="002008B1"/>
    <w:rsid w:val="002008E0"/>
    <w:rsid w:val="00200AD2"/>
    <w:rsid w:val="00200C62"/>
    <w:rsid w:val="00200E2E"/>
    <w:rsid w:val="00200E3A"/>
    <w:rsid w:val="0020175F"/>
    <w:rsid w:val="00201A70"/>
    <w:rsid w:val="002020B3"/>
    <w:rsid w:val="00202699"/>
    <w:rsid w:val="00202CCB"/>
    <w:rsid w:val="00202D56"/>
    <w:rsid w:val="00202DF7"/>
    <w:rsid w:val="00202EE1"/>
    <w:rsid w:val="00203018"/>
    <w:rsid w:val="0020315D"/>
    <w:rsid w:val="002034DD"/>
    <w:rsid w:val="0020350A"/>
    <w:rsid w:val="0020373E"/>
    <w:rsid w:val="002037BF"/>
    <w:rsid w:val="00203D2A"/>
    <w:rsid w:val="00204031"/>
    <w:rsid w:val="0020479E"/>
    <w:rsid w:val="00204DEF"/>
    <w:rsid w:val="00205284"/>
    <w:rsid w:val="00205854"/>
    <w:rsid w:val="00205B67"/>
    <w:rsid w:val="00205BCF"/>
    <w:rsid w:val="00205C97"/>
    <w:rsid w:val="00206154"/>
    <w:rsid w:val="00206A46"/>
    <w:rsid w:val="00206B2F"/>
    <w:rsid w:val="00206CAB"/>
    <w:rsid w:val="00206E45"/>
    <w:rsid w:val="0020703E"/>
    <w:rsid w:val="00207153"/>
    <w:rsid w:val="00207159"/>
    <w:rsid w:val="002073F4"/>
    <w:rsid w:val="002075BD"/>
    <w:rsid w:val="0020799C"/>
    <w:rsid w:val="00207C3B"/>
    <w:rsid w:val="00210089"/>
    <w:rsid w:val="002100E4"/>
    <w:rsid w:val="0021063A"/>
    <w:rsid w:val="00211144"/>
    <w:rsid w:val="00211452"/>
    <w:rsid w:val="00211798"/>
    <w:rsid w:val="002119DD"/>
    <w:rsid w:val="00211E77"/>
    <w:rsid w:val="00212B70"/>
    <w:rsid w:val="00212C74"/>
    <w:rsid w:val="00213DF2"/>
    <w:rsid w:val="00214336"/>
    <w:rsid w:val="0021461A"/>
    <w:rsid w:val="002148FE"/>
    <w:rsid w:val="00214AEE"/>
    <w:rsid w:val="00214B36"/>
    <w:rsid w:val="00214BD3"/>
    <w:rsid w:val="00214FB3"/>
    <w:rsid w:val="00215BBE"/>
    <w:rsid w:val="00216040"/>
    <w:rsid w:val="00216417"/>
    <w:rsid w:val="00216D52"/>
    <w:rsid w:val="002174A1"/>
    <w:rsid w:val="002178A5"/>
    <w:rsid w:val="002178D1"/>
    <w:rsid w:val="002178E6"/>
    <w:rsid w:val="0021792E"/>
    <w:rsid w:val="00217AE2"/>
    <w:rsid w:val="0022003B"/>
    <w:rsid w:val="0022063D"/>
    <w:rsid w:val="00220803"/>
    <w:rsid w:val="002209D4"/>
    <w:rsid w:val="00220CB9"/>
    <w:rsid w:val="00220DFA"/>
    <w:rsid w:val="00220F21"/>
    <w:rsid w:val="002210BB"/>
    <w:rsid w:val="00221192"/>
    <w:rsid w:val="00221392"/>
    <w:rsid w:val="002217BF"/>
    <w:rsid w:val="00221E2A"/>
    <w:rsid w:val="0022238C"/>
    <w:rsid w:val="002227DC"/>
    <w:rsid w:val="0022315C"/>
    <w:rsid w:val="002231A3"/>
    <w:rsid w:val="00223541"/>
    <w:rsid w:val="002239AB"/>
    <w:rsid w:val="00224488"/>
    <w:rsid w:val="00224505"/>
    <w:rsid w:val="002245B9"/>
    <w:rsid w:val="002247B8"/>
    <w:rsid w:val="00224C5A"/>
    <w:rsid w:val="002254B6"/>
    <w:rsid w:val="002257D7"/>
    <w:rsid w:val="00225AB0"/>
    <w:rsid w:val="00225CD2"/>
    <w:rsid w:val="00226DFE"/>
    <w:rsid w:val="00227032"/>
    <w:rsid w:val="00227BFA"/>
    <w:rsid w:val="0023003B"/>
    <w:rsid w:val="0023017B"/>
    <w:rsid w:val="0023043F"/>
    <w:rsid w:val="00230E9A"/>
    <w:rsid w:val="0023115C"/>
    <w:rsid w:val="002316AA"/>
    <w:rsid w:val="0023198B"/>
    <w:rsid w:val="00231F2E"/>
    <w:rsid w:val="002323AF"/>
    <w:rsid w:val="00232431"/>
    <w:rsid w:val="002325B3"/>
    <w:rsid w:val="00232644"/>
    <w:rsid w:val="002328F2"/>
    <w:rsid w:val="00233182"/>
    <w:rsid w:val="002334B0"/>
    <w:rsid w:val="00233CF4"/>
    <w:rsid w:val="00233FB3"/>
    <w:rsid w:val="002341F6"/>
    <w:rsid w:val="00234637"/>
    <w:rsid w:val="0023473F"/>
    <w:rsid w:val="00234871"/>
    <w:rsid w:val="00234B2C"/>
    <w:rsid w:val="00234E17"/>
    <w:rsid w:val="00234E1E"/>
    <w:rsid w:val="002354B3"/>
    <w:rsid w:val="00235E2E"/>
    <w:rsid w:val="00235FC8"/>
    <w:rsid w:val="00235FF1"/>
    <w:rsid w:val="00236430"/>
    <w:rsid w:val="00236657"/>
    <w:rsid w:val="00236959"/>
    <w:rsid w:val="00236AD0"/>
    <w:rsid w:val="00236E45"/>
    <w:rsid w:val="0023719F"/>
    <w:rsid w:val="00237680"/>
    <w:rsid w:val="002376AD"/>
    <w:rsid w:val="002379AD"/>
    <w:rsid w:val="00237AA6"/>
    <w:rsid w:val="00237B85"/>
    <w:rsid w:val="00237BD0"/>
    <w:rsid w:val="00237CDD"/>
    <w:rsid w:val="00237E74"/>
    <w:rsid w:val="00240072"/>
    <w:rsid w:val="00240412"/>
    <w:rsid w:val="00240817"/>
    <w:rsid w:val="0024092A"/>
    <w:rsid w:val="00240A1A"/>
    <w:rsid w:val="00240ABC"/>
    <w:rsid w:val="00240CB3"/>
    <w:rsid w:val="00241063"/>
    <w:rsid w:val="00241B46"/>
    <w:rsid w:val="00241D17"/>
    <w:rsid w:val="00241DEA"/>
    <w:rsid w:val="0024216B"/>
    <w:rsid w:val="00242411"/>
    <w:rsid w:val="00242A3B"/>
    <w:rsid w:val="00242B8C"/>
    <w:rsid w:val="00242BDB"/>
    <w:rsid w:val="00243723"/>
    <w:rsid w:val="0024414E"/>
    <w:rsid w:val="0024447C"/>
    <w:rsid w:val="00244714"/>
    <w:rsid w:val="002447D9"/>
    <w:rsid w:val="00244942"/>
    <w:rsid w:val="00244C65"/>
    <w:rsid w:val="00244D8B"/>
    <w:rsid w:val="00244F7C"/>
    <w:rsid w:val="00245227"/>
    <w:rsid w:val="002453AC"/>
    <w:rsid w:val="00245CA6"/>
    <w:rsid w:val="00245CEC"/>
    <w:rsid w:val="002460C8"/>
    <w:rsid w:val="002465F2"/>
    <w:rsid w:val="00246735"/>
    <w:rsid w:val="00246D17"/>
    <w:rsid w:val="00246EAC"/>
    <w:rsid w:val="002476DF"/>
    <w:rsid w:val="002476E6"/>
    <w:rsid w:val="00247F79"/>
    <w:rsid w:val="00250592"/>
    <w:rsid w:val="00250A43"/>
    <w:rsid w:val="00250AC6"/>
    <w:rsid w:val="00250BAD"/>
    <w:rsid w:val="0025132E"/>
    <w:rsid w:val="0025177F"/>
    <w:rsid w:val="0025205B"/>
    <w:rsid w:val="002520EE"/>
    <w:rsid w:val="002521A3"/>
    <w:rsid w:val="00252265"/>
    <w:rsid w:val="00252458"/>
    <w:rsid w:val="0025266E"/>
    <w:rsid w:val="002526A0"/>
    <w:rsid w:val="002529A2"/>
    <w:rsid w:val="002529DB"/>
    <w:rsid w:val="00252C5C"/>
    <w:rsid w:val="0025345D"/>
    <w:rsid w:val="00253D16"/>
    <w:rsid w:val="00253F52"/>
    <w:rsid w:val="00254202"/>
    <w:rsid w:val="00254268"/>
    <w:rsid w:val="002542B4"/>
    <w:rsid w:val="002542DF"/>
    <w:rsid w:val="002548B8"/>
    <w:rsid w:val="00254904"/>
    <w:rsid w:val="0025541B"/>
    <w:rsid w:val="00255BED"/>
    <w:rsid w:val="00255DBC"/>
    <w:rsid w:val="00255E29"/>
    <w:rsid w:val="0025623C"/>
    <w:rsid w:val="002566E3"/>
    <w:rsid w:val="00256774"/>
    <w:rsid w:val="002567C3"/>
    <w:rsid w:val="00257049"/>
    <w:rsid w:val="00257111"/>
    <w:rsid w:val="00257167"/>
    <w:rsid w:val="00257235"/>
    <w:rsid w:val="0025740E"/>
    <w:rsid w:val="00257944"/>
    <w:rsid w:val="00257E92"/>
    <w:rsid w:val="002602F1"/>
    <w:rsid w:val="002606C3"/>
    <w:rsid w:val="002607F2"/>
    <w:rsid w:val="00260B59"/>
    <w:rsid w:val="00260EC2"/>
    <w:rsid w:val="002612B4"/>
    <w:rsid w:val="00261395"/>
    <w:rsid w:val="002613D3"/>
    <w:rsid w:val="0026140B"/>
    <w:rsid w:val="0026146C"/>
    <w:rsid w:val="00261C06"/>
    <w:rsid w:val="00261E3A"/>
    <w:rsid w:val="002623DC"/>
    <w:rsid w:val="0026249B"/>
    <w:rsid w:val="00263225"/>
    <w:rsid w:val="0026333B"/>
    <w:rsid w:val="00263448"/>
    <w:rsid w:val="002635FC"/>
    <w:rsid w:val="00263905"/>
    <w:rsid w:val="00263E21"/>
    <w:rsid w:val="00264349"/>
    <w:rsid w:val="00264454"/>
    <w:rsid w:val="00264899"/>
    <w:rsid w:val="0026489B"/>
    <w:rsid w:val="0026496E"/>
    <w:rsid w:val="00264DCA"/>
    <w:rsid w:val="00264EB4"/>
    <w:rsid w:val="00265513"/>
    <w:rsid w:val="002656B9"/>
    <w:rsid w:val="00265775"/>
    <w:rsid w:val="00265F2A"/>
    <w:rsid w:val="00266186"/>
    <w:rsid w:val="002667E5"/>
    <w:rsid w:val="0026694E"/>
    <w:rsid w:val="002675D3"/>
    <w:rsid w:val="002675FD"/>
    <w:rsid w:val="00267B7F"/>
    <w:rsid w:val="00267EEE"/>
    <w:rsid w:val="00267FD8"/>
    <w:rsid w:val="002702C8"/>
    <w:rsid w:val="00270BA7"/>
    <w:rsid w:val="00270F57"/>
    <w:rsid w:val="0027124D"/>
    <w:rsid w:val="002716A1"/>
    <w:rsid w:val="0027181C"/>
    <w:rsid w:val="00272317"/>
    <w:rsid w:val="00272DEF"/>
    <w:rsid w:val="00272E43"/>
    <w:rsid w:val="002731F3"/>
    <w:rsid w:val="00273501"/>
    <w:rsid w:val="002739AD"/>
    <w:rsid w:val="00273C3E"/>
    <w:rsid w:val="002743D1"/>
    <w:rsid w:val="00274725"/>
    <w:rsid w:val="00274B53"/>
    <w:rsid w:val="002750C1"/>
    <w:rsid w:val="002751F8"/>
    <w:rsid w:val="002754FE"/>
    <w:rsid w:val="00275A61"/>
    <w:rsid w:val="002762A3"/>
    <w:rsid w:val="0027645B"/>
    <w:rsid w:val="00276A4F"/>
    <w:rsid w:val="00276A97"/>
    <w:rsid w:val="00276BFC"/>
    <w:rsid w:val="00276C11"/>
    <w:rsid w:val="002771F6"/>
    <w:rsid w:val="00277B6E"/>
    <w:rsid w:val="00277E86"/>
    <w:rsid w:val="00277FAD"/>
    <w:rsid w:val="00277FB8"/>
    <w:rsid w:val="0028058E"/>
    <w:rsid w:val="00280917"/>
    <w:rsid w:val="0028094E"/>
    <w:rsid w:val="00280D50"/>
    <w:rsid w:val="00281037"/>
    <w:rsid w:val="00281258"/>
    <w:rsid w:val="00281396"/>
    <w:rsid w:val="002815B1"/>
    <w:rsid w:val="00281A19"/>
    <w:rsid w:val="00281A8E"/>
    <w:rsid w:val="00281C23"/>
    <w:rsid w:val="0028201F"/>
    <w:rsid w:val="002825DF"/>
    <w:rsid w:val="002827C9"/>
    <w:rsid w:val="00282A10"/>
    <w:rsid w:val="00283478"/>
    <w:rsid w:val="00283CBD"/>
    <w:rsid w:val="0028417C"/>
    <w:rsid w:val="002844AB"/>
    <w:rsid w:val="00284C86"/>
    <w:rsid w:val="00284FA3"/>
    <w:rsid w:val="00285107"/>
    <w:rsid w:val="0028516E"/>
    <w:rsid w:val="00285BB7"/>
    <w:rsid w:val="00285BD1"/>
    <w:rsid w:val="00285E5A"/>
    <w:rsid w:val="00285FE7"/>
    <w:rsid w:val="002860BC"/>
    <w:rsid w:val="00286545"/>
    <w:rsid w:val="002865FC"/>
    <w:rsid w:val="00286936"/>
    <w:rsid w:val="0028694B"/>
    <w:rsid w:val="00286BBD"/>
    <w:rsid w:val="00286D74"/>
    <w:rsid w:val="00286E64"/>
    <w:rsid w:val="0028704E"/>
    <w:rsid w:val="002872AC"/>
    <w:rsid w:val="002874BE"/>
    <w:rsid w:val="002874BF"/>
    <w:rsid w:val="002875EA"/>
    <w:rsid w:val="0028776A"/>
    <w:rsid w:val="00290217"/>
    <w:rsid w:val="0029076D"/>
    <w:rsid w:val="00290ECA"/>
    <w:rsid w:val="002911A1"/>
    <w:rsid w:val="002914F0"/>
    <w:rsid w:val="00291761"/>
    <w:rsid w:val="002918EA"/>
    <w:rsid w:val="0029195D"/>
    <w:rsid w:val="00291A49"/>
    <w:rsid w:val="002920D2"/>
    <w:rsid w:val="00292985"/>
    <w:rsid w:val="00293048"/>
    <w:rsid w:val="00293141"/>
    <w:rsid w:val="0029370A"/>
    <w:rsid w:val="00293837"/>
    <w:rsid w:val="00294165"/>
    <w:rsid w:val="00294405"/>
    <w:rsid w:val="00294471"/>
    <w:rsid w:val="00294718"/>
    <w:rsid w:val="00294CA1"/>
    <w:rsid w:val="00294D93"/>
    <w:rsid w:val="00295026"/>
    <w:rsid w:val="002951C2"/>
    <w:rsid w:val="00295462"/>
    <w:rsid w:val="00295762"/>
    <w:rsid w:val="00295964"/>
    <w:rsid w:val="00295B70"/>
    <w:rsid w:val="00295FA5"/>
    <w:rsid w:val="002967F0"/>
    <w:rsid w:val="002967F8"/>
    <w:rsid w:val="00296C26"/>
    <w:rsid w:val="002970B2"/>
    <w:rsid w:val="00297376"/>
    <w:rsid w:val="00297400"/>
    <w:rsid w:val="0029767D"/>
    <w:rsid w:val="002977BC"/>
    <w:rsid w:val="002A013A"/>
    <w:rsid w:val="002A03DE"/>
    <w:rsid w:val="002A040C"/>
    <w:rsid w:val="002A0447"/>
    <w:rsid w:val="002A094F"/>
    <w:rsid w:val="002A0A2F"/>
    <w:rsid w:val="002A0BED"/>
    <w:rsid w:val="002A1283"/>
    <w:rsid w:val="002A1350"/>
    <w:rsid w:val="002A17A5"/>
    <w:rsid w:val="002A18AD"/>
    <w:rsid w:val="002A1E5F"/>
    <w:rsid w:val="002A213B"/>
    <w:rsid w:val="002A2587"/>
    <w:rsid w:val="002A287B"/>
    <w:rsid w:val="002A2912"/>
    <w:rsid w:val="002A2D81"/>
    <w:rsid w:val="002A312E"/>
    <w:rsid w:val="002A364D"/>
    <w:rsid w:val="002A36D6"/>
    <w:rsid w:val="002A3B48"/>
    <w:rsid w:val="002A3DDB"/>
    <w:rsid w:val="002A3DE5"/>
    <w:rsid w:val="002A3F2B"/>
    <w:rsid w:val="002A481E"/>
    <w:rsid w:val="002A49AE"/>
    <w:rsid w:val="002A4A6A"/>
    <w:rsid w:val="002A4A9A"/>
    <w:rsid w:val="002A51BD"/>
    <w:rsid w:val="002A53B7"/>
    <w:rsid w:val="002A5592"/>
    <w:rsid w:val="002A56B3"/>
    <w:rsid w:val="002A56F4"/>
    <w:rsid w:val="002A5702"/>
    <w:rsid w:val="002A58A7"/>
    <w:rsid w:val="002A5E9D"/>
    <w:rsid w:val="002A627A"/>
    <w:rsid w:val="002A67CE"/>
    <w:rsid w:val="002A68EA"/>
    <w:rsid w:val="002A6F47"/>
    <w:rsid w:val="002A71A3"/>
    <w:rsid w:val="002A742F"/>
    <w:rsid w:val="002A7490"/>
    <w:rsid w:val="002A75FF"/>
    <w:rsid w:val="002A7898"/>
    <w:rsid w:val="002A78D4"/>
    <w:rsid w:val="002A7B34"/>
    <w:rsid w:val="002A7D0F"/>
    <w:rsid w:val="002B00D3"/>
    <w:rsid w:val="002B028B"/>
    <w:rsid w:val="002B04C3"/>
    <w:rsid w:val="002B04F0"/>
    <w:rsid w:val="002B05C6"/>
    <w:rsid w:val="002B080E"/>
    <w:rsid w:val="002B0A34"/>
    <w:rsid w:val="002B0B5F"/>
    <w:rsid w:val="002B1415"/>
    <w:rsid w:val="002B1789"/>
    <w:rsid w:val="002B1CCF"/>
    <w:rsid w:val="002B1F24"/>
    <w:rsid w:val="002B22FB"/>
    <w:rsid w:val="002B23A5"/>
    <w:rsid w:val="002B279F"/>
    <w:rsid w:val="002B2A76"/>
    <w:rsid w:val="002B2E2E"/>
    <w:rsid w:val="002B3376"/>
    <w:rsid w:val="002B3480"/>
    <w:rsid w:val="002B3892"/>
    <w:rsid w:val="002B3C86"/>
    <w:rsid w:val="002B3D6E"/>
    <w:rsid w:val="002B418E"/>
    <w:rsid w:val="002B445A"/>
    <w:rsid w:val="002B4973"/>
    <w:rsid w:val="002B49E7"/>
    <w:rsid w:val="002B4B05"/>
    <w:rsid w:val="002B4D04"/>
    <w:rsid w:val="002B4DD0"/>
    <w:rsid w:val="002B5640"/>
    <w:rsid w:val="002B5ABA"/>
    <w:rsid w:val="002B6ED8"/>
    <w:rsid w:val="002B71D4"/>
    <w:rsid w:val="002B75AB"/>
    <w:rsid w:val="002B76D7"/>
    <w:rsid w:val="002B7E12"/>
    <w:rsid w:val="002C0119"/>
    <w:rsid w:val="002C041F"/>
    <w:rsid w:val="002C0636"/>
    <w:rsid w:val="002C0AD5"/>
    <w:rsid w:val="002C1D8A"/>
    <w:rsid w:val="002C3131"/>
    <w:rsid w:val="002C313A"/>
    <w:rsid w:val="002C326C"/>
    <w:rsid w:val="002C35AC"/>
    <w:rsid w:val="002C384F"/>
    <w:rsid w:val="002C3A1D"/>
    <w:rsid w:val="002C3B8E"/>
    <w:rsid w:val="002C42BD"/>
    <w:rsid w:val="002C42FC"/>
    <w:rsid w:val="002C4510"/>
    <w:rsid w:val="002C4977"/>
    <w:rsid w:val="002C4AB5"/>
    <w:rsid w:val="002C4EE3"/>
    <w:rsid w:val="002C507E"/>
    <w:rsid w:val="002C50F8"/>
    <w:rsid w:val="002C517F"/>
    <w:rsid w:val="002C535D"/>
    <w:rsid w:val="002C5934"/>
    <w:rsid w:val="002C5B43"/>
    <w:rsid w:val="002C5B52"/>
    <w:rsid w:val="002C5EB9"/>
    <w:rsid w:val="002C61AD"/>
    <w:rsid w:val="002C64D9"/>
    <w:rsid w:val="002C65D5"/>
    <w:rsid w:val="002C67E4"/>
    <w:rsid w:val="002C6BDE"/>
    <w:rsid w:val="002C6D07"/>
    <w:rsid w:val="002C6E1D"/>
    <w:rsid w:val="002C6F55"/>
    <w:rsid w:val="002C7364"/>
    <w:rsid w:val="002C73A4"/>
    <w:rsid w:val="002C7979"/>
    <w:rsid w:val="002C7B11"/>
    <w:rsid w:val="002D00D4"/>
    <w:rsid w:val="002D05D2"/>
    <w:rsid w:val="002D0826"/>
    <w:rsid w:val="002D0C55"/>
    <w:rsid w:val="002D1642"/>
    <w:rsid w:val="002D1BAB"/>
    <w:rsid w:val="002D1DF6"/>
    <w:rsid w:val="002D24FC"/>
    <w:rsid w:val="002D263D"/>
    <w:rsid w:val="002D2713"/>
    <w:rsid w:val="002D27EB"/>
    <w:rsid w:val="002D2D84"/>
    <w:rsid w:val="002D3194"/>
    <w:rsid w:val="002D3A2F"/>
    <w:rsid w:val="002D3CF1"/>
    <w:rsid w:val="002D3F26"/>
    <w:rsid w:val="002D41EF"/>
    <w:rsid w:val="002D4D88"/>
    <w:rsid w:val="002D4E60"/>
    <w:rsid w:val="002D52A0"/>
    <w:rsid w:val="002D5529"/>
    <w:rsid w:val="002D59EA"/>
    <w:rsid w:val="002D5DCE"/>
    <w:rsid w:val="002D6286"/>
    <w:rsid w:val="002D6AC8"/>
    <w:rsid w:val="002D6AFB"/>
    <w:rsid w:val="002D7047"/>
    <w:rsid w:val="002D7313"/>
    <w:rsid w:val="002D76B7"/>
    <w:rsid w:val="002D78FE"/>
    <w:rsid w:val="002E0008"/>
    <w:rsid w:val="002E017E"/>
    <w:rsid w:val="002E094A"/>
    <w:rsid w:val="002E0A5A"/>
    <w:rsid w:val="002E130E"/>
    <w:rsid w:val="002E1352"/>
    <w:rsid w:val="002E1715"/>
    <w:rsid w:val="002E17C7"/>
    <w:rsid w:val="002E21AD"/>
    <w:rsid w:val="002E2209"/>
    <w:rsid w:val="002E23BD"/>
    <w:rsid w:val="002E2932"/>
    <w:rsid w:val="002E2C56"/>
    <w:rsid w:val="002E2E35"/>
    <w:rsid w:val="002E32DD"/>
    <w:rsid w:val="002E33A7"/>
    <w:rsid w:val="002E349B"/>
    <w:rsid w:val="002E3898"/>
    <w:rsid w:val="002E3B05"/>
    <w:rsid w:val="002E3C82"/>
    <w:rsid w:val="002E3E59"/>
    <w:rsid w:val="002E46E2"/>
    <w:rsid w:val="002E4C6B"/>
    <w:rsid w:val="002E4D3E"/>
    <w:rsid w:val="002E5561"/>
    <w:rsid w:val="002E56C3"/>
    <w:rsid w:val="002E5A26"/>
    <w:rsid w:val="002E5D95"/>
    <w:rsid w:val="002E6495"/>
    <w:rsid w:val="002E66DD"/>
    <w:rsid w:val="002E69F1"/>
    <w:rsid w:val="002E70D8"/>
    <w:rsid w:val="002E7525"/>
    <w:rsid w:val="002E7630"/>
    <w:rsid w:val="002E791D"/>
    <w:rsid w:val="002E7961"/>
    <w:rsid w:val="002E79B7"/>
    <w:rsid w:val="002E7EA7"/>
    <w:rsid w:val="002F0369"/>
    <w:rsid w:val="002F041D"/>
    <w:rsid w:val="002F0DB5"/>
    <w:rsid w:val="002F1064"/>
    <w:rsid w:val="002F11E9"/>
    <w:rsid w:val="002F186A"/>
    <w:rsid w:val="002F2102"/>
    <w:rsid w:val="002F25CB"/>
    <w:rsid w:val="002F26E3"/>
    <w:rsid w:val="002F2E66"/>
    <w:rsid w:val="002F328A"/>
    <w:rsid w:val="002F3588"/>
    <w:rsid w:val="002F38B9"/>
    <w:rsid w:val="002F3C71"/>
    <w:rsid w:val="002F3CFE"/>
    <w:rsid w:val="002F4282"/>
    <w:rsid w:val="002F43AD"/>
    <w:rsid w:val="002F451C"/>
    <w:rsid w:val="002F4530"/>
    <w:rsid w:val="002F495D"/>
    <w:rsid w:val="002F5085"/>
    <w:rsid w:val="002F52D4"/>
    <w:rsid w:val="002F55B4"/>
    <w:rsid w:val="002F5D51"/>
    <w:rsid w:val="002F5DBB"/>
    <w:rsid w:val="002F633E"/>
    <w:rsid w:val="002F63FD"/>
    <w:rsid w:val="002F679C"/>
    <w:rsid w:val="002F67F8"/>
    <w:rsid w:val="002F69E5"/>
    <w:rsid w:val="002F6A98"/>
    <w:rsid w:val="002F6C11"/>
    <w:rsid w:val="002F7153"/>
    <w:rsid w:val="002F7189"/>
    <w:rsid w:val="002F729B"/>
    <w:rsid w:val="002F73DC"/>
    <w:rsid w:val="002F760A"/>
    <w:rsid w:val="002F76C5"/>
    <w:rsid w:val="002F7735"/>
    <w:rsid w:val="002F7750"/>
    <w:rsid w:val="002F7A5F"/>
    <w:rsid w:val="0030027C"/>
    <w:rsid w:val="003009C7"/>
    <w:rsid w:val="00301327"/>
    <w:rsid w:val="003014F1"/>
    <w:rsid w:val="003015BE"/>
    <w:rsid w:val="00301A30"/>
    <w:rsid w:val="00302195"/>
    <w:rsid w:val="00302574"/>
    <w:rsid w:val="00302785"/>
    <w:rsid w:val="003029AE"/>
    <w:rsid w:val="00302ABC"/>
    <w:rsid w:val="0030337A"/>
    <w:rsid w:val="0030339A"/>
    <w:rsid w:val="00304563"/>
    <w:rsid w:val="003046E1"/>
    <w:rsid w:val="00304B3E"/>
    <w:rsid w:val="00304D1B"/>
    <w:rsid w:val="0030500D"/>
    <w:rsid w:val="00305111"/>
    <w:rsid w:val="0030524E"/>
    <w:rsid w:val="00305762"/>
    <w:rsid w:val="00305B0F"/>
    <w:rsid w:val="00306369"/>
    <w:rsid w:val="003064D6"/>
    <w:rsid w:val="00306C97"/>
    <w:rsid w:val="00306E9E"/>
    <w:rsid w:val="00307520"/>
    <w:rsid w:val="00307847"/>
    <w:rsid w:val="00307852"/>
    <w:rsid w:val="00307A97"/>
    <w:rsid w:val="00307D59"/>
    <w:rsid w:val="00310671"/>
    <w:rsid w:val="003107B7"/>
    <w:rsid w:val="00311043"/>
    <w:rsid w:val="003112B9"/>
    <w:rsid w:val="00311427"/>
    <w:rsid w:val="0031152D"/>
    <w:rsid w:val="003117D8"/>
    <w:rsid w:val="00312009"/>
    <w:rsid w:val="003126E3"/>
    <w:rsid w:val="00312AC3"/>
    <w:rsid w:val="00312DB9"/>
    <w:rsid w:val="00313083"/>
    <w:rsid w:val="0031318C"/>
    <w:rsid w:val="003133AE"/>
    <w:rsid w:val="003137E3"/>
    <w:rsid w:val="00313912"/>
    <w:rsid w:val="00313A18"/>
    <w:rsid w:val="003145A6"/>
    <w:rsid w:val="0031495F"/>
    <w:rsid w:val="00314C04"/>
    <w:rsid w:val="00314E33"/>
    <w:rsid w:val="00314E9B"/>
    <w:rsid w:val="00314F4F"/>
    <w:rsid w:val="00314F7F"/>
    <w:rsid w:val="003151D0"/>
    <w:rsid w:val="00315226"/>
    <w:rsid w:val="003158BC"/>
    <w:rsid w:val="00315E5F"/>
    <w:rsid w:val="00316097"/>
    <w:rsid w:val="003162B3"/>
    <w:rsid w:val="0031633A"/>
    <w:rsid w:val="003164A4"/>
    <w:rsid w:val="003168CF"/>
    <w:rsid w:val="00316D5E"/>
    <w:rsid w:val="00316ED5"/>
    <w:rsid w:val="00316F28"/>
    <w:rsid w:val="003170C0"/>
    <w:rsid w:val="00317A1F"/>
    <w:rsid w:val="00320922"/>
    <w:rsid w:val="00320CE8"/>
    <w:rsid w:val="00320DBA"/>
    <w:rsid w:val="00321007"/>
    <w:rsid w:val="00321217"/>
    <w:rsid w:val="003212AE"/>
    <w:rsid w:val="0032177C"/>
    <w:rsid w:val="0032189E"/>
    <w:rsid w:val="00321CF8"/>
    <w:rsid w:val="00322208"/>
    <w:rsid w:val="00322965"/>
    <w:rsid w:val="003232EE"/>
    <w:rsid w:val="003235FC"/>
    <w:rsid w:val="00323DCB"/>
    <w:rsid w:val="0032403A"/>
    <w:rsid w:val="00324385"/>
    <w:rsid w:val="003246CB"/>
    <w:rsid w:val="00324725"/>
    <w:rsid w:val="00324C59"/>
    <w:rsid w:val="003251F9"/>
    <w:rsid w:val="00325240"/>
    <w:rsid w:val="003253DC"/>
    <w:rsid w:val="00325430"/>
    <w:rsid w:val="00325B5A"/>
    <w:rsid w:val="00326072"/>
    <w:rsid w:val="0032635E"/>
    <w:rsid w:val="00326733"/>
    <w:rsid w:val="0032681E"/>
    <w:rsid w:val="00326911"/>
    <w:rsid w:val="0032691A"/>
    <w:rsid w:val="00326F09"/>
    <w:rsid w:val="003270B7"/>
    <w:rsid w:val="003277D9"/>
    <w:rsid w:val="00327CB3"/>
    <w:rsid w:val="00327DD1"/>
    <w:rsid w:val="00330904"/>
    <w:rsid w:val="00330E6C"/>
    <w:rsid w:val="003312E4"/>
    <w:rsid w:val="00331F3C"/>
    <w:rsid w:val="00332123"/>
    <w:rsid w:val="003323A5"/>
    <w:rsid w:val="00332883"/>
    <w:rsid w:val="00332AFA"/>
    <w:rsid w:val="0033314F"/>
    <w:rsid w:val="00333412"/>
    <w:rsid w:val="00333590"/>
    <w:rsid w:val="00333898"/>
    <w:rsid w:val="00333C78"/>
    <w:rsid w:val="00333D8C"/>
    <w:rsid w:val="0033433E"/>
    <w:rsid w:val="003349B5"/>
    <w:rsid w:val="00334A6B"/>
    <w:rsid w:val="00334B13"/>
    <w:rsid w:val="00334DE3"/>
    <w:rsid w:val="00335216"/>
    <w:rsid w:val="003352E4"/>
    <w:rsid w:val="00335930"/>
    <w:rsid w:val="00335D51"/>
    <w:rsid w:val="00335E03"/>
    <w:rsid w:val="00335EB2"/>
    <w:rsid w:val="00336208"/>
    <w:rsid w:val="00336985"/>
    <w:rsid w:val="00336E70"/>
    <w:rsid w:val="003372DD"/>
    <w:rsid w:val="003376FD"/>
    <w:rsid w:val="00337A14"/>
    <w:rsid w:val="00340CB9"/>
    <w:rsid w:val="00341A33"/>
    <w:rsid w:val="00341B5E"/>
    <w:rsid w:val="00342899"/>
    <w:rsid w:val="003428AB"/>
    <w:rsid w:val="00342E44"/>
    <w:rsid w:val="00342FFE"/>
    <w:rsid w:val="0034309D"/>
    <w:rsid w:val="003430B0"/>
    <w:rsid w:val="0034323F"/>
    <w:rsid w:val="0034350C"/>
    <w:rsid w:val="00343844"/>
    <w:rsid w:val="00344AE4"/>
    <w:rsid w:val="003450C0"/>
    <w:rsid w:val="00345599"/>
    <w:rsid w:val="00345DCE"/>
    <w:rsid w:val="00346063"/>
    <w:rsid w:val="003460C8"/>
    <w:rsid w:val="003460CA"/>
    <w:rsid w:val="00346B55"/>
    <w:rsid w:val="00346FF3"/>
    <w:rsid w:val="0034754E"/>
    <w:rsid w:val="003477FA"/>
    <w:rsid w:val="00347D7B"/>
    <w:rsid w:val="00347F7E"/>
    <w:rsid w:val="0035057A"/>
    <w:rsid w:val="00350605"/>
    <w:rsid w:val="00350DBA"/>
    <w:rsid w:val="00350EF3"/>
    <w:rsid w:val="00351CCB"/>
    <w:rsid w:val="003527D1"/>
    <w:rsid w:val="00352C1B"/>
    <w:rsid w:val="00352F6C"/>
    <w:rsid w:val="003530AB"/>
    <w:rsid w:val="00353BF7"/>
    <w:rsid w:val="00353F8F"/>
    <w:rsid w:val="00354487"/>
    <w:rsid w:val="003545C9"/>
    <w:rsid w:val="00354BD3"/>
    <w:rsid w:val="00354F04"/>
    <w:rsid w:val="003551D9"/>
    <w:rsid w:val="003554B4"/>
    <w:rsid w:val="003559F9"/>
    <w:rsid w:val="00355A2D"/>
    <w:rsid w:val="00355FA9"/>
    <w:rsid w:val="00356097"/>
    <w:rsid w:val="0035638C"/>
    <w:rsid w:val="00356A5A"/>
    <w:rsid w:val="00356AA6"/>
    <w:rsid w:val="00356DBA"/>
    <w:rsid w:val="00356E63"/>
    <w:rsid w:val="00357441"/>
    <w:rsid w:val="00360265"/>
    <w:rsid w:val="00360351"/>
    <w:rsid w:val="00360C66"/>
    <w:rsid w:val="00360EDF"/>
    <w:rsid w:val="00360F8E"/>
    <w:rsid w:val="00361307"/>
    <w:rsid w:val="0036187A"/>
    <w:rsid w:val="00361DC4"/>
    <w:rsid w:val="00361F51"/>
    <w:rsid w:val="00362378"/>
    <w:rsid w:val="00362661"/>
    <w:rsid w:val="00362910"/>
    <w:rsid w:val="00362952"/>
    <w:rsid w:val="00362A8A"/>
    <w:rsid w:val="00362E3C"/>
    <w:rsid w:val="00362E8D"/>
    <w:rsid w:val="00363026"/>
    <w:rsid w:val="00363332"/>
    <w:rsid w:val="00363B76"/>
    <w:rsid w:val="003640B9"/>
    <w:rsid w:val="003641CF"/>
    <w:rsid w:val="003642C1"/>
    <w:rsid w:val="00364D9A"/>
    <w:rsid w:val="00364FDC"/>
    <w:rsid w:val="00365203"/>
    <w:rsid w:val="0036524B"/>
    <w:rsid w:val="0036539C"/>
    <w:rsid w:val="00365465"/>
    <w:rsid w:val="00365A83"/>
    <w:rsid w:val="003661F9"/>
    <w:rsid w:val="0036651B"/>
    <w:rsid w:val="003665AC"/>
    <w:rsid w:val="003667D1"/>
    <w:rsid w:val="00366CF6"/>
    <w:rsid w:val="00367109"/>
    <w:rsid w:val="00367437"/>
    <w:rsid w:val="003676B1"/>
    <w:rsid w:val="00367A33"/>
    <w:rsid w:val="00367BC9"/>
    <w:rsid w:val="00367E39"/>
    <w:rsid w:val="003707C1"/>
    <w:rsid w:val="00370840"/>
    <w:rsid w:val="00370850"/>
    <w:rsid w:val="00370BBD"/>
    <w:rsid w:val="00370D83"/>
    <w:rsid w:val="00371BC8"/>
    <w:rsid w:val="00371DE7"/>
    <w:rsid w:val="00371FE5"/>
    <w:rsid w:val="003729AE"/>
    <w:rsid w:val="00372DF7"/>
    <w:rsid w:val="00373082"/>
    <w:rsid w:val="00373553"/>
    <w:rsid w:val="003739CE"/>
    <w:rsid w:val="00373B3F"/>
    <w:rsid w:val="00373CE9"/>
    <w:rsid w:val="00373E83"/>
    <w:rsid w:val="0037405E"/>
    <w:rsid w:val="003743EA"/>
    <w:rsid w:val="00374562"/>
    <w:rsid w:val="00374F4C"/>
    <w:rsid w:val="00375179"/>
    <w:rsid w:val="003752E5"/>
    <w:rsid w:val="00375D67"/>
    <w:rsid w:val="0037638A"/>
    <w:rsid w:val="0037669B"/>
    <w:rsid w:val="00376A25"/>
    <w:rsid w:val="00376F6C"/>
    <w:rsid w:val="0037705E"/>
    <w:rsid w:val="0037765D"/>
    <w:rsid w:val="003778D1"/>
    <w:rsid w:val="00377DD5"/>
    <w:rsid w:val="00377DEB"/>
    <w:rsid w:val="00380041"/>
    <w:rsid w:val="00380132"/>
    <w:rsid w:val="0038020B"/>
    <w:rsid w:val="003807FE"/>
    <w:rsid w:val="00380809"/>
    <w:rsid w:val="00380865"/>
    <w:rsid w:val="003814E2"/>
    <w:rsid w:val="003815A7"/>
    <w:rsid w:val="003817DD"/>
    <w:rsid w:val="00382211"/>
    <w:rsid w:val="00382528"/>
    <w:rsid w:val="0038270E"/>
    <w:rsid w:val="0038285C"/>
    <w:rsid w:val="00382DFF"/>
    <w:rsid w:val="00382F51"/>
    <w:rsid w:val="00383436"/>
    <w:rsid w:val="003837A4"/>
    <w:rsid w:val="003846E5"/>
    <w:rsid w:val="00384712"/>
    <w:rsid w:val="00386589"/>
    <w:rsid w:val="00386B59"/>
    <w:rsid w:val="00386D8E"/>
    <w:rsid w:val="0038704E"/>
    <w:rsid w:val="003873FB"/>
    <w:rsid w:val="003909F8"/>
    <w:rsid w:val="00390ABC"/>
    <w:rsid w:val="00390F77"/>
    <w:rsid w:val="003914DD"/>
    <w:rsid w:val="00391878"/>
    <w:rsid w:val="0039196D"/>
    <w:rsid w:val="00393DE1"/>
    <w:rsid w:val="0039402D"/>
    <w:rsid w:val="00394209"/>
    <w:rsid w:val="0039454A"/>
    <w:rsid w:val="003946E3"/>
    <w:rsid w:val="003947DC"/>
    <w:rsid w:val="00394A1F"/>
    <w:rsid w:val="003951BE"/>
    <w:rsid w:val="003951FA"/>
    <w:rsid w:val="00395295"/>
    <w:rsid w:val="00395BD3"/>
    <w:rsid w:val="00395ECE"/>
    <w:rsid w:val="00396000"/>
    <w:rsid w:val="003962E4"/>
    <w:rsid w:val="00396679"/>
    <w:rsid w:val="00396E26"/>
    <w:rsid w:val="00397B0D"/>
    <w:rsid w:val="00397F7A"/>
    <w:rsid w:val="003A0233"/>
    <w:rsid w:val="003A087F"/>
    <w:rsid w:val="003A1204"/>
    <w:rsid w:val="003A1320"/>
    <w:rsid w:val="003A1444"/>
    <w:rsid w:val="003A26EC"/>
    <w:rsid w:val="003A3233"/>
    <w:rsid w:val="003A356B"/>
    <w:rsid w:val="003A3741"/>
    <w:rsid w:val="003A3942"/>
    <w:rsid w:val="003A3AE2"/>
    <w:rsid w:val="003A3E27"/>
    <w:rsid w:val="003A4892"/>
    <w:rsid w:val="003A4A6D"/>
    <w:rsid w:val="003A4C83"/>
    <w:rsid w:val="003A4D64"/>
    <w:rsid w:val="003A5043"/>
    <w:rsid w:val="003A53CD"/>
    <w:rsid w:val="003A63DC"/>
    <w:rsid w:val="003A6BCF"/>
    <w:rsid w:val="003A6FD1"/>
    <w:rsid w:val="003A743C"/>
    <w:rsid w:val="003A7828"/>
    <w:rsid w:val="003A7DA4"/>
    <w:rsid w:val="003A7E11"/>
    <w:rsid w:val="003A7FD9"/>
    <w:rsid w:val="003B00B4"/>
    <w:rsid w:val="003B011D"/>
    <w:rsid w:val="003B0768"/>
    <w:rsid w:val="003B0898"/>
    <w:rsid w:val="003B0B8F"/>
    <w:rsid w:val="003B120F"/>
    <w:rsid w:val="003B1486"/>
    <w:rsid w:val="003B18D9"/>
    <w:rsid w:val="003B1D4B"/>
    <w:rsid w:val="003B20DB"/>
    <w:rsid w:val="003B25DE"/>
    <w:rsid w:val="003B2835"/>
    <w:rsid w:val="003B29BC"/>
    <w:rsid w:val="003B2A27"/>
    <w:rsid w:val="003B2BA6"/>
    <w:rsid w:val="003B2C7F"/>
    <w:rsid w:val="003B2DF1"/>
    <w:rsid w:val="003B3104"/>
    <w:rsid w:val="003B341A"/>
    <w:rsid w:val="003B34D4"/>
    <w:rsid w:val="003B3F74"/>
    <w:rsid w:val="003B3F92"/>
    <w:rsid w:val="003B40CC"/>
    <w:rsid w:val="003B4176"/>
    <w:rsid w:val="003B4E7C"/>
    <w:rsid w:val="003B4F6E"/>
    <w:rsid w:val="003B51C9"/>
    <w:rsid w:val="003B5377"/>
    <w:rsid w:val="003B58B9"/>
    <w:rsid w:val="003B58C1"/>
    <w:rsid w:val="003B5A56"/>
    <w:rsid w:val="003B65EF"/>
    <w:rsid w:val="003B67CC"/>
    <w:rsid w:val="003B6914"/>
    <w:rsid w:val="003B6F3E"/>
    <w:rsid w:val="003B7448"/>
    <w:rsid w:val="003B7651"/>
    <w:rsid w:val="003B788E"/>
    <w:rsid w:val="003B7C51"/>
    <w:rsid w:val="003C04C7"/>
    <w:rsid w:val="003C0991"/>
    <w:rsid w:val="003C0AE5"/>
    <w:rsid w:val="003C0B18"/>
    <w:rsid w:val="003C0B7B"/>
    <w:rsid w:val="003C12A4"/>
    <w:rsid w:val="003C16CF"/>
    <w:rsid w:val="003C1817"/>
    <w:rsid w:val="003C181E"/>
    <w:rsid w:val="003C1BCA"/>
    <w:rsid w:val="003C1CA5"/>
    <w:rsid w:val="003C1F63"/>
    <w:rsid w:val="003C20A0"/>
    <w:rsid w:val="003C275A"/>
    <w:rsid w:val="003C28DB"/>
    <w:rsid w:val="003C298E"/>
    <w:rsid w:val="003C2B11"/>
    <w:rsid w:val="003C2CC6"/>
    <w:rsid w:val="003C2ED4"/>
    <w:rsid w:val="003C2FE0"/>
    <w:rsid w:val="003C3340"/>
    <w:rsid w:val="003C352E"/>
    <w:rsid w:val="003C3892"/>
    <w:rsid w:val="003C3981"/>
    <w:rsid w:val="003C39B5"/>
    <w:rsid w:val="003C3CF0"/>
    <w:rsid w:val="003C3ED2"/>
    <w:rsid w:val="003C3FAD"/>
    <w:rsid w:val="003C4BB2"/>
    <w:rsid w:val="003C4D5A"/>
    <w:rsid w:val="003C4E86"/>
    <w:rsid w:val="003C4FDD"/>
    <w:rsid w:val="003C53DD"/>
    <w:rsid w:val="003C5CAF"/>
    <w:rsid w:val="003C5DBF"/>
    <w:rsid w:val="003C65A8"/>
    <w:rsid w:val="003C66E5"/>
    <w:rsid w:val="003C6CC9"/>
    <w:rsid w:val="003C6DFD"/>
    <w:rsid w:val="003C6E3C"/>
    <w:rsid w:val="003C700E"/>
    <w:rsid w:val="003C7120"/>
    <w:rsid w:val="003C75D7"/>
    <w:rsid w:val="003C780B"/>
    <w:rsid w:val="003C78C4"/>
    <w:rsid w:val="003D07D3"/>
    <w:rsid w:val="003D07EB"/>
    <w:rsid w:val="003D0E81"/>
    <w:rsid w:val="003D1A52"/>
    <w:rsid w:val="003D1B43"/>
    <w:rsid w:val="003D1BF8"/>
    <w:rsid w:val="003D21BC"/>
    <w:rsid w:val="003D22BA"/>
    <w:rsid w:val="003D22C5"/>
    <w:rsid w:val="003D230A"/>
    <w:rsid w:val="003D28C8"/>
    <w:rsid w:val="003D2A01"/>
    <w:rsid w:val="003D2A24"/>
    <w:rsid w:val="003D2A8A"/>
    <w:rsid w:val="003D2D0C"/>
    <w:rsid w:val="003D2DE6"/>
    <w:rsid w:val="003D30E3"/>
    <w:rsid w:val="003D35A2"/>
    <w:rsid w:val="003D3908"/>
    <w:rsid w:val="003D3A9A"/>
    <w:rsid w:val="003D3D4A"/>
    <w:rsid w:val="003D4025"/>
    <w:rsid w:val="003D44D5"/>
    <w:rsid w:val="003D4AC2"/>
    <w:rsid w:val="003D4B51"/>
    <w:rsid w:val="003D4D27"/>
    <w:rsid w:val="003D4E89"/>
    <w:rsid w:val="003D4EB9"/>
    <w:rsid w:val="003D57F9"/>
    <w:rsid w:val="003D596B"/>
    <w:rsid w:val="003D59D7"/>
    <w:rsid w:val="003D5B58"/>
    <w:rsid w:val="003D5F56"/>
    <w:rsid w:val="003D6047"/>
    <w:rsid w:val="003D6149"/>
    <w:rsid w:val="003D6BDF"/>
    <w:rsid w:val="003D75A9"/>
    <w:rsid w:val="003D7784"/>
    <w:rsid w:val="003D7A5C"/>
    <w:rsid w:val="003D7B5C"/>
    <w:rsid w:val="003D7FF1"/>
    <w:rsid w:val="003E0731"/>
    <w:rsid w:val="003E07DA"/>
    <w:rsid w:val="003E0E0A"/>
    <w:rsid w:val="003E10CE"/>
    <w:rsid w:val="003E1E55"/>
    <w:rsid w:val="003E2741"/>
    <w:rsid w:val="003E2ABD"/>
    <w:rsid w:val="003E2B97"/>
    <w:rsid w:val="003E2D00"/>
    <w:rsid w:val="003E3027"/>
    <w:rsid w:val="003E3212"/>
    <w:rsid w:val="003E38DC"/>
    <w:rsid w:val="003E3995"/>
    <w:rsid w:val="003E3CA4"/>
    <w:rsid w:val="003E3DCB"/>
    <w:rsid w:val="003E42EC"/>
    <w:rsid w:val="003E43DA"/>
    <w:rsid w:val="003E44EB"/>
    <w:rsid w:val="003E465D"/>
    <w:rsid w:val="003E4C97"/>
    <w:rsid w:val="003E4E16"/>
    <w:rsid w:val="003E4F21"/>
    <w:rsid w:val="003E4FA7"/>
    <w:rsid w:val="003E5268"/>
    <w:rsid w:val="003E556D"/>
    <w:rsid w:val="003E5893"/>
    <w:rsid w:val="003E58D1"/>
    <w:rsid w:val="003E599A"/>
    <w:rsid w:val="003E6099"/>
    <w:rsid w:val="003E61E6"/>
    <w:rsid w:val="003E6314"/>
    <w:rsid w:val="003E6369"/>
    <w:rsid w:val="003E64D4"/>
    <w:rsid w:val="003E6C06"/>
    <w:rsid w:val="003E713C"/>
    <w:rsid w:val="003E76A4"/>
    <w:rsid w:val="003E77F5"/>
    <w:rsid w:val="003E781C"/>
    <w:rsid w:val="003E7902"/>
    <w:rsid w:val="003E7ACE"/>
    <w:rsid w:val="003E7B6C"/>
    <w:rsid w:val="003E7F16"/>
    <w:rsid w:val="003F0567"/>
    <w:rsid w:val="003F0D1E"/>
    <w:rsid w:val="003F143D"/>
    <w:rsid w:val="003F1C18"/>
    <w:rsid w:val="003F1DC2"/>
    <w:rsid w:val="003F20E8"/>
    <w:rsid w:val="003F2209"/>
    <w:rsid w:val="003F241C"/>
    <w:rsid w:val="003F271C"/>
    <w:rsid w:val="003F2922"/>
    <w:rsid w:val="003F2ED1"/>
    <w:rsid w:val="003F2FD9"/>
    <w:rsid w:val="003F3271"/>
    <w:rsid w:val="003F3273"/>
    <w:rsid w:val="003F32D2"/>
    <w:rsid w:val="003F3632"/>
    <w:rsid w:val="003F389F"/>
    <w:rsid w:val="003F3CAE"/>
    <w:rsid w:val="003F3E0E"/>
    <w:rsid w:val="003F4406"/>
    <w:rsid w:val="003F526B"/>
    <w:rsid w:val="003F52A3"/>
    <w:rsid w:val="003F53AD"/>
    <w:rsid w:val="003F5612"/>
    <w:rsid w:val="003F5661"/>
    <w:rsid w:val="003F5662"/>
    <w:rsid w:val="003F5C9F"/>
    <w:rsid w:val="003F61E5"/>
    <w:rsid w:val="003F67B5"/>
    <w:rsid w:val="003F6C9C"/>
    <w:rsid w:val="003F7288"/>
    <w:rsid w:val="003F7A1A"/>
    <w:rsid w:val="003F7A34"/>
    <w:rsid w:val="003F7A5B"/>
    <w:rsid w:val="003F7DC9"/>
    <w:rsid w:val="0040053D"/>
    <w:rsid w:val="00400849"/>
    <w:rsid w:val="00400E38"/>
    <w:rsid w:val="00400E86"/>
    <w:rsid w:val="00401025"/>
    <w:rsid w:val="0040129F"/>
    <w:rsid w:val="004021D7"/>
    <w:rsid w:val="00402446"/>
    <w:rsid w:val="004024E4"/>
    <w:rsid w:val="00402F51"/>
    <w:rsid w:val="00403101"/>
    <w:rsid w:val="004036D7"/>
    <w:rsid w:val="004037BA"/>
    <w:rsid w:val="00403A87"/>
    <w:rsid w:val="00403D2A"/>
    <w:rsid w:val="0040410C"/>
    <w:rsid w:val="004049FB"/>
    <w:rsid w:val="00404BF4"/>
    <w:rsid w:val="00404C61"/>
    <w:rsid w:val="004051AB"/>
    <w:rsid w:val="00405764"/>
    <w:rsid w:val="00405ABC"/>
    <w:rsid w:val="00405BF0"/>
    <w:rsid w:val="0040621D"/>
    <w:rsid w:val="00406B19"/>
    <w:rsid w:val="00406D9C"/>
    <w:rsid w:val="00406DA4"/>
    <w:rsid w:val="00406EA2"/>
    <w:rsid w:val="004071F8"/>
    <w:rsid w:val="0040743F"/>
    <w:rsid w:val="0040797D"/>
    <w:rsid w:val="00407F18"/>
    <w:rsid w:val="00407F75"/>
    <w:rsid w:val="004103C9"/>
    <w:rsid w:val="00410905"/>
    <w:rsid w:val="00410B36"/>
    <w:rsid w:val="00410D63"/>
    <w:rsid w:val="00410DEB"/>
    <w:rsid w:val="00410F2C"/>
    <w:rsid w:val="00410F6F"/>
    <w:rsid w:val="004111B8"/>
    <w:rsid w:val="00411B9B"/>
    <w:rsid w:val="00411C42"/>
    <w:rsid w:val="00411EB7"/>
    <w:rsid w:val="00412716"/>
    <w:rsid w:val="0041289B"/>
    <w:rsid w:val="004133C8"/>
    <w:rsid w:val="004137D8"/>
    <w:rsid w:val="0041394C"/>
    <w:rsid w:val="00413DAF"/>
    <w:rsid w:val="004142CA"/>
    <w:rsid w:val="0041430E"/>
    <w:rsid w:val="00414358"/>
    <w:rsid w:val="0041437A"/>
    <w:rsid w:val="0041447F"/>
    <w:rsid w:val="0041452C"/>
    <w:rsid w:val="004148EC"/>
    <w:rsid w:val="00414BE7"/>
    <w:rsid w:val="00414DEA"/>
    <w:rsid w:val="00414FDF"/>
    <w:rsid w:val="004156F5"/>
    <w:rsid w:val="00415926"/>
    <w:rsid w:val="00415A07"/>
    <w:rsid w:val="00415AB5"/>
    <w:rsid w:val="0041624A"/>
    <w:rsid w:val="0041640D"/>
    <w:rsid w:val="004165F2"/>
    <w:rsid w:val="0041662B"/>
    <w:rsid w:val="00416674"/>
    <w:rsid w:val="004166CE"/>
    <w:rsid w:val="004166EE"/>
    <w:rsid w:val="00416871"/>
    <w:rsid w:val="00416C77"/>
    <w:rsid w:val="00416D70"/>
    <w:rsid w:val="00416E41"/>
    <w:rsid w:val="0041776F"/>
    <w:rsid w:val="00417992"/>
    <w:rsid w:val="00417B11"/>
    <w:rsid w:val="00417D56"/>
    <w:rsid w:val="004202AD"/>
    <w:rsid w:val="0042057C"/>
    <w:rsid w:val="00420971"/>
    <w:rsid w:val="00420B27"/>
    <w:rsid w:val="00420EBA"/>
    <w:rsid w:val="004211B6"/>
    <w:rsid w:val="00421681"/>
    <w:rsid w:val="00421985"/>
    <w:rsid w:val="00421D21"/>
    <w:rsid w:val="00421ECA"/>
    <w:rsid w:val="004224C3"/>
    <w:rsid w:val="004228CB"/>
    <w:rsid w:val="004232B3"/>
    <w:rsid w:val="00423320"/>
    <w:rsid w:val="004234FD"/>
    <w:rsid w:val="004235D0"/>
    <w:rsid w:val="0042362C"/>
    <w:rsid w:val="00423968"/>
    <w:rsid w:val="00423AC7"/>
    <w:rsid w:val="00424224"/>
    <w:rsid w:val="0042484E"/>
    <w:rsid w:val="00424FC1"/>
    <w:rsid w:val="00425098"/>
    <w:rsid w:val="004252F6"/>
    <w:rsid w:val="00425593"/>
    <w:rsid w:val="004255FC"/>
    <w:rsid w:val="004256BA"/>
    <w:rsid w:val="00425768"/>
    <w:rsid w:val="00425823"/>
    <w:rsid w:val="00425A69"/>
    <w:rsid w:val="00425D07"/>
    <w:rsid w:val="00425D7A"/>
    <w:rsid w:val="00426FA1"/>
    <w:rsid w:val="00427558"/>
    <w:rsid w:val="004275EB"/>
    <w:rsid w:val="00427799"/>
    <w:rsid w:val="00427BD8"/>
    <w:rsid w:val="00427CAD"/>
    <w:rsid w:val="0043006C"/>
    <w:rsid w:val="004303A4"/>
    <w:rsid w:val="004306CD"/>
    <w:rsid w:val="00430CA2"/>
    <w:rsid w:val="00431419"/>
    <w:rsid w:val="004317E7"/>
    <w:rsid w:val="00431C54"/>
    <w:rsid w:val="00431D49"/>
    <w:rsid w:val="00431DA3"/>
    <w:rsid w:val="00431DD7"/>
    <w:rsid w:val="0043279B"/>
    <w:rsid w:val="00432A69"/>
    <w:rsid w:val="00432B6E"/>
    <w:rsid w:val="00432EE7"/>
    <w:rsid w:val="004332DD"/>
    <w:rsid w:val="004332DE"/>
    <w:rsid w:val="004334A7"/>
    <w:rsid w:val="00433679"/>
    <w:rsid w:val="004337F0"/>
    <w:rsid w:val="00433A16"/>
    <w:rsid w:val="00433B0A"/>
    <w:rsid w:val="00433EA3"/>
    <w:rsid w:val="004343B6"/>
    <w:rsid w:val="004344EB"/>
    <w:rsid w:val="004345AF"/>
    <w:rsid w:val="00434720"/>
    <w:rsid w:val="004350EE"/>
    <w:rsid w:val="0043546D"/>
    <w:rsid w:val="00435739"/>
    <w:rsid w:val="0043593F"/>
    <w:rsid w:val="00435E8C"/>
    <w:rsid w:val="00435EB9"/>
    <w:rsid w:val="004365FC"/>
    <w:rsid w:val="0043694D"/>
    <w:rsid w:val="00436C23"/>
    <w:rsid w:val="00436C67"/>
    <w:rsid w:val="00436F78"/>
    <w:rsid w:val="00436FD5"/>
    <w:rsid w:val="004375CB"/>
    <w:rsid w:val="004377CE"/>
    <w:rsid w:val="00437807"/>
    <w:rsid w:val="00437962"/>
    <w:rsid w:val="00437D65"/>
    <w:rsid w:val="00437EF7"/>
    <w:rsid w:val="00437FFB"/>
    <w:rsid w:val="004403B8"/>
    <w:rsid w:val="004405EE"/>
    <w:rsid w:val="00440B55"/>
    <w:rsid w:val="00440BBA"/>
    <w:rsid w:val="00440D6F"/>
    <w:rsid w:val="00440F9A"/>
    <w:rsid w:val="004410D7"/>
    <w:rsid w:val="004413B6"/>
    <w:rsid w:val="004413E4"/>
    <w:rsid w:val="00442009"/>
    <w:rsid w:val="004424A8"/>
    <w:rsid w:val="00442526"/>
    <w:rsid w:val="00442736"/>
    <w:rsid w:val="00442933"/>
    <w:rsid w:val="00442C04"/>
    <w:rsid w:val="00442CE2"/>
    <w:rsid w:val="00443328"/>
    <w:rsid w:val="0044336E"/>
    <w:rsid w:val="00443B46"/>
    <w:rsid w:val="00443FBC"/>
    <w:rsid w:val="00443FE1"/>
    <w:rsid w:val="00444513"/>
    <w:rsid w:val="00444582"/>
    <w:rsid w:val="0044488E"/>
    <w:rsid w:val="00444A4F"/>
    <w:rsid w:val="00444CA4"/>
    <w:rsid w:val="00445262"/>
    <w:rsid w:val="004454D7"/>
    <w:rsid w:val="004454FF"/>
    <w:rsid w:val="00445550"/>
    <w:rsid w:val="00445880"/>
    <w:rsid w:val="0044615F"/>
    <w:rsid w:val="00446580"/>
    <w:rsid w:val="004465CF"/>
    <w:rsid w:val="0044671A"/>
    <w:rsid w:val="00446AB0"/>
    <w:rsid w:val="00446CD4"/>
    <w:rsid w:val="00446FA9"/>
    <w:rsid w:val="004472F0"/>
    <w:rsid w:val="00447667"/>
    <w:rsid w:val="004477FD"/>
    <w:rsid w:val="00447BE5"/>
    <w:rsid w:val="004500BE"/>
    <w:rsid w:val="004508CE"/>
    <w:rsid w:val="004509DF"/>
    <w:rsid w:val="00450A8A"/>
    <w:rsid w:val="00450C08"/>
    <w:rsid w:val="004510B9"/>
    <w:rsid w:val="004515AF"/>
    <w:rsid w:val="00451639"/>
    <w:rsid w:val="004517D9"/>
    <w:rsid w:val="004517E8"/>
    <w:rsid w:val="004518F2"/>
    <w:rsid w:val="00451F3A"/>
    <w:rsid w:val="004523F7"/>
    <w:rsid w:val="0045289C"/>
    <w:rsid w:val="00452A02"/>
    <w:rsid w:val="00452BCB"/>
    <w:rsid w:val="00452CAD"/>
    <w:rsid w:val="00453B3B"/>
    <w:rsid w:val="00453F06"/>
    <w:rsid w:val="00453FF2"/>
    <w:rsid w:val="004542E0"/>
    <w:rsid w:val="004545D4"/>
    <w:rsid w:val="00454D6B"/>
    <w:rsid w:val="00454E58"/>
    <w:rsid w:val="004551C5"/>
    <w:rsid w:val="004559EE"/>
    <w:rsid w:val="00455B4D"/>
    <w:rsid w:val="00455DA8"/>
    <w:rsid w:val="00456359"/>
    <w:rsid w:val="004570A0"/>
    <w:rsid w:val="0045715A"/>
    <w:rsid w:val="0045718A"/>
    <w:rsid w:val="00457729"/>
    <w:rsid w:val="0046068B"/>
    <w:rsid w:val="004609BE"/>
    <w:rsid w:val="00460BCD"/>
    <w:rsid w:val="00460ED9"/>
    <w:rsid w:val="0046117E"/>
    <w:rsid w:val="00461750"/>
    <w:rsid w:val="00461A31"/>
    <w:rsid w:val="00461B69"/>
    <w:rsid w:val="00461D57"/>
    <w:rsid w:val="00461EEE"/>
    <w:rsid w:val="004626E1"/>
    <w:rsid w:val="004629D5"/>
    <w:rsid w:val="00462C75"/>
    <w:rsid w:val="00462D99"/>
    <w:rsid w:val="00463792"/>
    <w:rsid w:val="00463C7B"/>
    <w:rsid w:val="00464055"/>
    <w:rsid w:val="0046433C"/>
    <w:rsid w:val="00464475"/>
    <w:rsid w:val="00464886"/>
    <w:rsid w:val="00464DE7"/>
    <w:rsid w:val="0046589C"/>
    <w:rsid w:val="004658F7"/>
    <w:rsid w:val="00465901"/>
    <w:rsid w:val="00465B62"/>
    <w:rsid w:val="0046639D"/>
    <w:rsid w:val="00466CA4"/>
    <w:rsid w:val="00467654"/>
    <w:rsid w:val="00467BEA"/>
    <w:rsid w:val="00467ED4"/>
    <w:rsid w:val="00467FAE"/>
    <w:rsid w:val="004700E5"/>
    <w:rsid w:val="004704C3"/>
    <w:rsid w:val="00472587"/>
    <w:rsid w:val="0047275C"/>
    <w:rsid w:val="0047296A"/>
    <w:rsid w:val="004730B4"/>
    <w:rsid w:val="004733A9"/>
    <w:rsid w:val="00473539"/>
    <w:rsid w:val="00473C55"/>
    <w:rsid w:val="004741F2"/>
    <w:rsid w:val="0047439B"/>
    <w:rsid w:val="0047462C"/>
    <w:rsid w:val="004747C7"/>
    <w:rsid w:val="00474803"/>
    <w:rsid w:val="00474CCF"/>
    <w:rsid w:val="00474EDB"/>
    <w:rsid w:val="004758FA"/>
    <w:rsid w:val="00475D7F"/>
    <w:rsid w:val="00475E2F"/>
    <w:rsid w:val="00476153"/>
    <w:rsid w:val="00476B6D"/>
    <w:rsid w:val="00476C31"/>
    <w:rsid w:val="00476D6A"/>
    <w:rsid w:val="00477042"/>
    <w:rsid w:val="004776DC"/>
    <w:rsid w:val="00477711"/>
    <w:rsid w:val="00477A21"/>
    <w:rsid w:val="00477DAA"/>
    <w:rsid w:val="00477EF3"/>
    <w:rsid w:val="0048013C"/>
    <w:rsid w:val="0048046F"/>
    <w:rsid w:val="00480978"/>
    <w:rsid w:val="004809FE"/>
    <w:rsid w:val="00480B3A"/>
    <w:rsid w:val="00480F68"/>
    <w:rsid w:val="00480F9A"/>
    <w:rsid w:val="004810A7"/>
    <w:rsid w:val="004811D3"/>
    <w:rsid w:val="00481BF6"/>
    <w:rsid w:val="00481CF3"/>
    <w:rsid w:val="00482039"/>
    <w:rsid w:val="00482041"/>
    <w:rsid w:val="00482815"/>
    <w:rsid w:val="00482CFF"/>
    <w:rsid w:val="00482FFF"/>
    <w:rsid w:val="00483020"/>
    <w:rsid w:val="00483370"/>
    <w:rsid w:val="00483CEE"/>
    <w:rsid w:val="004841DC"/>
    <w:rsid w:val="004844A0"/>
    <w:rsid w:val="004845E9"/>
    <w:rsid w:val="0048492C"/>
    <w:rsid w:val="00484AA0"/>
    <w:rsid w:val="00484BBC"/>
    <w:rsid w:val="0048535C"/>
    <w:rsid w:val="00485FA0"/>
    <w:rsid w:val="00486077"/>
    <w:rsid w:val="004861F9"/>
    <w:rsid w:val="0048620A"/>
    <w:rsid w:val="00486252"/>
    <w:rsid w:val="00486F01"/>
    <w:rsid w:val="00487370"/>
    <w:rsid w:val="00487C33"/>
    <w:rsid w:val="00487D93"/>
    <w:rsid w:val="004900DB"/>
    <w:rsid w:val="004901C2"/>
    <w:rsid w:val="004907FA"/>
    <w:rsid w:val="00490FD0"/>
    <w:rsid w:val="00490FD9"/>
    <w:rsid w:val="00491029"/>
    <w:rsid w:val="00491186"/>
    <w:rsid w:val="004915CA"/>
    <w:rsid w:val="00491733"/>
    <w:rsid w:val="0049196D"/>
    <w:rsid w:val="00491BF4"/>
    <w:rsid w:val="00491C9B"/>
    <w:rsid w:val="00491FF6"/>
    <w:rsid w:val="004926CC"/>
    <w:rsid w:val="00492827"/>
    <w:rsid w:val="00492CCA"/>
    <w:rsid w:val="00492FF5"/>
    <w:rsid w:val="00493032"/>
    <w:rsid w:val="004937A2"/>
    <w:rsid w:val="00493AF0"/>
    <w:rsid w:val="00493D57"/>
    <w:rsid w:val="00493F32"/>
    <w:rsid w:val="0049401F"/>
    <w:rsid w:val="00494026"/>
    <w:rsid w:val="0049412F"/>
    <w:rsid w:val="00494B1F"/>
    <w:rsid w:val="004950F0"/>
    <w:rsid w:val="00495615"/>
    <w:rsid w:val="00495839"/>
    <w:rsid w:val="004958DA"/>
    <w:rsid w:val="00495994"/>
    <w:rsid w:val="00495D85"/>
    <w:rsid w:val="00496025"/>
    <w:rsid w:val="0049607D"/>
    <w:rsid w:val="004961BE"/>
    <w:rsid w:val="004961FD"/>
    <w:rsid w:val="004962DD"/>
    <w:rsid w:val="004964DA"/>
    <w:rsid w:val="0049658A"/>
    <w:rsid w:val="00496640"/>
    <w:rsid w:val="00496B4E"/>
    <w:rsid w:val="004974D5"/>
    <w:rsid w:val="004A0BB9"/>
    <w:rsid w:val="004A0E98"/>
    <w:rsid w:val="004A11B7"/>
    <w:rsid w:val="004A11CC"/>
    <w:rsid w:val="004A1B4F"/>
    <w:rsid w:val="004A223E"/>
    <w:rsid w:val="004A27CA"/>
    <w:rsid w:val="004A28EF"/>
    <w:rsid w:val="004A29D3"/>
    <w:rsid w:val="004A2A61"/>
    <w:rsid w:val="004A31B0"/>
    <w:rsid w:val="004A32CA"/>
    <w:rsid w:val="004A33FB"/>
    <w:rsid w:val="004A35BE"/>
    <w:rsid w:val="004A3668"/>
    <w:rsid w:val="004A3DBA"/>
    <w:rsid w:val="004A403E"/>
    <w:rsid w:val="004A4056"/>
    <w:rsid w:val="004A4088"/>
    <w:rsid w:val="004A40D4"/>
    <w:rsid w:val="004A462E"/>
    <w:rsid w:val="004A49D9"/>
    <w:rsid w:val="004A4EF2"/>
    <w:rsid w:val="004A5035"/>
    <w:rsid w:val="004A5183"/>
    <w:rsid w:val="004A5436"/>
    <w:rsid w:val="004A54C3"/>
    <w:rsid w:val="004A56EC"/>
    <w:rsid w:val="004A5C71"/>
    <w:rsid w:val="004A61EB"/>
    <w:rsid w:val="004A660F"/>
    <w:rsid w:val="004A673B"/>
    <w:rsid w:val="004A6807"/>
    <w:rsid w:val="004A6A73"/>
    <w:rsid w:val="004A6CB7"/>
    <w:rsid w:val="004A7134"/>
    <w:rsid w:val="004A73A8"/>
    <w:rsid w:val="004A73C9"/>
    <w:rsid w:val="004A74FB"/>
    <w:rsid w:val="004A7C59"/>
    <w:rsid w:val="004A7CEE"/>
    <w:rsid w:val="004B01D6"/>
    <w:rsid w:val="004B0799"/>
    <w:rsid w:val="004B0BD8"/>
    <w:rsid w:val="004B0CC9"/>
    <w:rsid w:val="004B10AE"/>
    <w:rsid w:val="004B16BD"/>
    <w:rsid w:val="004B16C3"/>
    <w:rsid w:val="004B1863"/>
    <w:rsid w:val="004B18B8"/>
    <w:rsid w:val="004B1D6A"/>
    <w:rsid w:val="004B2290"/>
    <w:rsid w:val="004B239F"/>
    <w:rsid w:val="004B242F"/>
    <w:rsid w:val="004B272B"/>
    <w:rsid w:val="004B2916"/>
    <w:rsid w:val="004B2C34"/>
    <w:rsid w:val="004B2C80"/>
    <w:rsid w:val="004B2E7D"/>
    <w:rsid w:val="004B32B7"/>
    <w:rsid w:val="004B33AB"/>
    <w:rsid w:val="004B349B"/>
    <w:rsid w:val="004B3774"/>
    <w:rsid w:val="004B37E3"/>
    <w:rsid w:val="004B3B76"/>
    <w:rsid w:val="004B3BA4"/>
    <w:rsid w:val="004B3BB3"/>
    <w:rsid w:val="004B3DEE"/>
    <w:rsid w:val="004B41AC"/>
    <w:rsid w:val="004B4AC4"/>
    <w:rsid w:val="004B4D16"/>
    <w:rsid w:val="004B4D3F"/>
    <w:rsid w:val="004B4EEA"/>
    <w:rsid w:val="004B54D1"/>
    <w:rsid w:val="004B6632"/>
    <w:rsid w:val="004B663D"/>
    <w:rsid w:val="004B674A"/>
    <w:rsid w:val="004B6957"/>
    <w:rsid w:val="004B6B03"/>
    <w:rsid w:val="004B6FAC"/>
    <w:rsid w:val="004B737A"/>
    <w:rsid w:val="004B7689"/>
    <w:rsid w:val="004B777D"/>
    <w:rsid w:val="004B7804"/>
    <w:rsid w:val="004B7812"/>
    <w:rsid w:val="004B7A38"/>
    <w:rsid w:val="004B7DF7"/>
    <w:rsid w:val="004C0031"/>
    <w:rsid w:val="004C01D0"/>
    <w:rsid w:val="004C0371"/>
    <w:rsid w:val="004C04F1"/>
    <w:rsid w:val="004C0617"/>
    <w:rsid w:val="004C0AEA"/>
    <w:rsid w:val="004C0B21"/>
    <w:rsid w:val="004C0C59"/>
    <w:rsid w:val="004C0C91"/>
    <w:rsid w:val="004C0E2F"/>
    <w:rsid w:val="004C10A1"/>
    <w:rsid w:val="004C11BA"/>
    <w:rsid w:val="004C1D14"/>
    <w:rsid w:val="004C1E2A"/>
    <w:rsid w:val="004C2752"/>
    <w:rsid w:val="004C277B"/>
    <w:rsid w:val="004C34F1"/>
    <w:rsid w:val="004C34F5"/>
    <w:rsid w:val="004C3D63"/>
    <w:rsid w:val="004C4247"/>
    <w:rsid w:val="004C4434"/>
    <w:rsid w:val="004C4455"/>
    <w:rsid w:val="004C455F"/>
    <w:rsid w:val="004C487E"/>
    <w:rsid w:val="004C4CBD"/>
    <w:rsid w:val="004C526F"/>
    <w:rsid w:val="004C54C4"/>
    <w:rsid w:val="004C55E8"/>
    <w:rsid w:val="004C56AE"/>
    <w:rsid w:val="004C572A"/>
    <w:rsid w:val="004C5AB0"/>
    <w:rsid w:val="004C62AB"/>
    <w:rsid w:val="004C677F"/>
    <w:rsid w:val="004C6A88"/>
    <w:rsid w:val="004C6C00"/>
    <w:rsid w:val="004C6C62"/>
    <w:rsid w:val="004C6D6F"/>
    <w:rsid w:val="004C6F46"/>
    <w:rsid w:val="004C72B5"/>
    <w:rsid w:val="004C7567"/>
    <w:rsid w:val="004C75A8"/>
    <w:rsid w:val="004C7DA1"/>
    <w:rsid w:val="004D09FC"/>
    <w:rsid w:val="004D0C23"/>
    <w:rsid w:val="004D0E63"/>
    <w:rsid w:val="004D0EE2"/>
    <w:rsid w:val="004D17B2"/>
    <w:rsid w:val="004D236C"/>
    <w:rsid w:val="004D289D"/>
    <w:rsid w:val="004D2B2F"/>
    <w:rsid w:val="004D2DB7"/>
    <w:rsid w:val="004D32FF"/>
    <w:rsid w:val="004D3345"/>
    <w:rsid w:val="004D3757"/>
    <w:rsid w:val="004D3760"/>
    <w:rsid w:val="004D37C6"/>
    <w:rsid w:val="004D397D"/>
    <w:rsid w:val="004D3BA5"/>
    <w:rsid w:val="004D3CB9"/>
    <w:rsid w:val="004D451E"/>
    <w:rsid w:val="004D4B98"/>
    <w:rsid w:val="004D4FE1"/>
    <w:rsid w:val="004D526A"/>
    <w:rsid w:val="004D5656"/>
    <w:rsid w:val="004D56FC"/>
    <w:rsid w:val="004D5840"/>
    <w:rsid w:val="004D6170"/>
    <w:rsid w:val="004D65D7"/>
    <w:rsid w:val="004D664B"/>
    <w:rsid w:val="004D6C00"/>
    <w:rsid w:val="004D6D2C"/>
    <w:rsid w:val="004D6F74"/>
    <w:rsid w:val="004D79A0"/>
    <w:rsid w:val="004E02C6"/>
    <w:rsid w:val="004E0396"/>
    <w:rsid w:val="004E0A81"/>
    <w:rsid w:val="004E10E6"/>
    <w:rsid w:val="004E13AC"/>
    <w:rsid w:val="004E1E2B"/>
    <w:rsid w:val="004E1FE7"/>
    <w:rsid w:val="004E228B"/>
    <w:rsid w:val="004E241F"/>
    <w:rsid w:val="004E27A8"/>
    <w:rsid w:val="004E286F"/>
    <w:rsid w:val="004E2B03"/>
    <w:rsid w:val="004E2C60"/>
    <w:rsid w:val="004E307A"/>
    <w:rsid w:val="004E3098"/>
    <w:rsid w:val="004E31AE"/>
    <w:rsid w:val="004E3458"/>
    <w:rsid w:val="004E3B4D"/>
    <w:rsid w:val="004E453D"/>
    <w:rsid w:val="004E48F5"/>
    <w:rsid w:val="004E4907"/>
    <w:rsid w:val="004E49D0"/>
    <w:rsid w:val="004E4ACE"/>
    <w:rsid w:val="004E4C03"/>
    <w:rsid w:val="004E5AB0"/>
    <w:rsid w:val="004E5CCB"/>
    <w:rsid w:val="004E5F4D"/>
    <w:rsid w:val="004E5F8D"/>
    <w:rsid w:val="004E618C"/>
    <w:rsid w:val="004E618E"/>
    <w:rsid w:val="004E6213"/>
    <w:rsid w:val="004E7042"/>
    <w:rsid w:val="004E71FD"/>
    <w:rsid w:val="004E74A3"/>
    <w:rsid w:val="004F046B"/>
    <w:rsid w:val="004F0907"/>
    <w:rsid w:val="004F0DD9"/>
    <w:rsid w:val="004F12E6"/>
    <w:rsid w:val="004F1A13"/>
    <w:rsid w:val="004F1B3C"/>
    <w:rsid w:val="004F214E"/>
    <w:rsid w:val="004F2241"/>
    <w:rsid w:val="004F231E"/>
    <w:rsid w:val="004F27B0"/>
    <w:rsid w:val="004F2F25"/>
    <w:rsid w:val="004F3CD7"/>
    <w:rsid w:val="004F3F8A"/>
    <w:rsid w:val="004F4499"/>
    <w:rsid w:val="004F44E5"/>
    <w:rsid w:val="004F4754"/>
    <w:rsid w:val="004F4AF3"/>
    <w:rsid w:val="004F4EF0"/>
    <w:rsid w:val="004F5580"/>
    <w:rsid w:val="004F561A"/>
    <w:rsid w:val="004F595C"/>
    <w:rsid w:val="004F59E9"/>
    <w:rsid w:val="004F5ECF"/>
    <w:rsid w:val="004F6408"/>
    <w:rsid w:val="004F647D"/>
    <w:rsid w:val="004F666C"/>
    <w:rsid w:val="004F6D02"/>
    <w:rsid w:val="004F6F09"/>
    <w:rsid w:val="004F71BB"/>
    <w:rsid w:val="004F74D5"/>
    <w:rsid w:val="004F7547"/>
    <w:rsid w:val="004F77DA"/>
    <w:rsid w:val="004F7F7C"/>
    <w:rsid w:val="004F7F7F"/>
    <w:rsid w:val="00500626"/>
    <w:rsid w:val="0050080C"/>
    <w:rsid w:val="00500812"/>
    <w:rsid w:val="00500AF4"/>
    <w:rsid w:val="00500D5B"/>
    <w:rsid w:val="00501462"/>
    <w:rsid w:val="00501D43"/>
    <w:rsid w:val="00501F80"/>
    <w:rsid w:val="00502397"/>
    <w:rsid w:val="0050241B"/>
    <w:rsid w:val="005024A4"/>
    <w:rsid w:val="0050291B"/>
    <w:rsid w:val="00502931"/>
    <w:rsid w:val="00502AF2"/>
    <w:rsid w:val="00502BFC"/>
    <w:rsid w:val="00502C4A"/>
    <w:rsid w:val="00503053"/>
    <w:rsid w:val="0050307D"/>
    <w:rsid w:val="00503502"/>
    <w:rsid w:val="00503797"/>
    <w:rsid w:val="005037D1"/>
    <w:rsid w:val="00503FC9"/>
    <w:rsid w:val="0050404C"/>
    <w:rsid w:val="005044E4"/>
    <w:rsid w:val="005045E8"/>
    <w:rsid w:val="00504986"/>
    <w:rsid w:val="00504F9C"/>
    <w:rsid w:val="0050513B"/>
    <w:rsid w:val="00505751"/>
    <w:rsid w:val="005058A2"/>
    <w:rsid w:val="00505926"/>
    <w:rsid w:val="00505BE8"/>
    <w:rsid w:val="00505CA4"/>
    <w:rsid w:val="00505E37"/>
    <w:rsid w:val="005061AE"/>
    <w:rsid w:val="00506AD9"/>
    <w:rsid w:val="00506CC3"/>
    <w:rsid w:val="0050779D"/>
    <w:rsid w:val="00507C7B"/>
    <w:rsid w:val="00507CDB"/>
    <w:rsid w:val="005102D6"/>
    <w:rsid w:val="00510326"/>
    <w:rsid w:val="00510607"/>
    <w:rsid w:val="0051089A"/>
    <w:rsid w:val="005108AA"/>
    <w:rsid w:val="00510A0E"/>
    <w:rsid w:val="00510A1C"/>
    <w:rsid w:val="00510B04"/>
    <w:rsid w:val="00510CF7"/>
    <w:rsid w:val="0051180B"/>
    <w:rsid w:val="005118C2"/>
    <w:rsid w:val="00511D4F"/>
    <w:rsid w:val="00512105"/>
    <w:rsid w:val="00512341"/>
    <w:rsid w:val="0051262D"/>
    <w:rsid w:val="005129DC"/>
    <w:rsid w:val="00512D3F"/>
    <w:rsid w:val="00512E41"/>
    <w:rsid w:val="0051348A"/>
    <w:rsid w:val="00513BE9"/>
    <w:rsid w:val="00513C7A"/>
    <w:rsid w:val="00513D08"/>
    <w:rsid w:val="00514211"/>
    <w:rsid w:val="00514885"/>
    <w:rsid w:val="00514D8A"/>
    <w:rsid w:val="00514E0D"/>
    <w:rsid w:val="0051512D"/>
    <w:rsid w:val="0051543B"/>
    <w:rsid w:val="00515817"/>
    <w:rsid w:val="00515A67"/>
    <w:rsid w:val="005163FB"/>
    <w:rsid w:val="0051648A"/>
    <w:rsid w:val="00516507"/>
    <w:rsid w:val="00516B7D"/>
    <w:rsid w:val="00516FC4"/>
    <w:rsid w:val="00516FC9"/>
    <w:rsid w:val="0051713B"/>
    <w:rsid w:val="00517695"/>
    <w:rsid w:val="005177C0"/>
    <w:rsid w:val="00517A07"/>
    <w:rsid w:val="00517E29"/>
    <w:rsid w:val="00517EAC"/>
    <w:rsid w:val="005201FC"/>
    <w:rsid w:val="005201FE"/>
    <w:rsid w:val="00520DE5"/>
    <w:rsid w:val="00520FE5"/>
    <w:rsid w:val="00521997"/>
    <w:rsid w:val="005223B2"/>
    <w:rsid w:val="005227B4"/>
    <w:rsid w:val="00522975"/>
    <w:rsid w:val="00522E7B"/>
    <w:rsid w:val="00523053"/>
    <w:rsid w:val="0052342F"/>
    <w:rsid w:val="00523A11"/>
    <w:rsid w:val="005248F0"/>
    <w:rsid w:val="00524AE8"/>
    <w:rsid w:val="00524B44"/>
    <w:rsid w:val="005251EA"/>
    <w:rsid w:val="00525375"/>
    <w:rsid w:val="00525382"/>
    <w:rsid w:val="00525973"/>
    <w:rsid w:val="00525A6A"/>
    <w:rsid w:val="00525EBA"/>
    <w:rsid w:val="00526F6C"/>
    <w:rsid w:val="005301DD"/>
    <w:rsid w:val="0053041A"/>
    <w:rsid w:val="0053049C"/>
    <w:rsid w:val="00530CF8"/>
    <w:rsid w:val="00530ED9"/>
    <w:rsid w:val="00531BE0"/>
    <w:rsid w:val="00531E8C"/>
    <w:rsid w:val="005320AE"/>
    <w:rsid w:val="00532217"/>
    <w:rsid w:val="00532603"/>
    <w:rsid w:val="0053289C"/>
    <w:rsid w:val="00532A73"/>
    <w:rsid w:val="00532BF7"/>
    <w:rsid w:val="00532EC0"/>
    <w:rsid w:val="00533220"/>
    <w:rsid w:val="00533842"/>
    <w:rsid w:val="0053386C"/>
    <w:rsid w:val="0053387C"/>
    <w:rsid w:val="00533AEE"/>
    <w:rsid w:val="00533CD7"/>
    <w:rsid w:val="00533F62"/>
    <w:rsid w:val="00534379"/>
    <w:rsid w:val="005343E7"/>
    <w:rsid w:val="005344B0"/>
    <w:rsid w:val="005344C1"/>
    <w:rsid w:val="00534607"/>
    <w:rsid w:val="005346F8"/>
    <w:rsid w:val="00534F0E"/>
    <w:rsid w:val="00534F77"/>
    <w:rsid w:val="005350BC"/>
    <w:rsid w:val="005357D3"/>
    <w:rsid w:val="005358C3"/>
    <w:rsid w:val="0053592C"/>
    <w:rsid w:val="00535E37"/>
    <w:rsid w:val="0053655B"/>
    <w:rsid w:val="00536598"/>
    <w:rsid w:val="0053662C"/>
    <w:rsid w:val="00536F4D"/>
    <w:rsid w:val="00537060"/>
    <w:rsid w:val="0053730E"/>
    <w:rsid w:val="005375F5"/>
    <w:rsid w:val="00540317"/>
    <w:rsid w:val="00540FC9"/>
    <w:rsid w:val="005411E3"/>
    <w:rsid w:val="0054132B"/>
    <w:rsid w:val="005415AE"/>
    <w:rsid w:val="00542102"/>
    <w:rsid w:val="005421A1"/>
    <w:rsid w:val="00542661"/>
    <w:rsid w:val="005433A6"/>
    <w:rsid w:val="005439FD"/>
    <w:rsid w:val="005440A5"/>
    <w:rsid w:val="00544311"/>
    <w:rsid w:val="005446A7"/>
    <w:rsid w:val="005447E6"/>
    <w:rsid w:val="0054490A"/>
    <w:rsid w:val="00544D7D"/>
    <w:rsid w:val="005450BB"/>
    <w:rsid w:val="00545238"/>
    <w:rsid w:val="005454C6"/>
    <w:rsid w:val="00545874"/>
    <w:rsid w:val="00545BB8"/>
    <w:rsid w:val="005464BB"/>
    <w:rsid w:val="005466F9"/>
    <w:rsid w:val="00546933"/>
    <w:rsid w:val="005469A1"/>
    <w:rsid w:val="005473A3"/>
    <w:rsid w:val="00547992"/>
    <w:rsid w:val="0055036A"/>
    <w:rsid w:val="00550957"/>
    <w:rsid w:val="00550BAB"/>
    <w:rsid w:val="00550BAC"/>
    <w:rsid w:val="005519BB"/>
    <w:rsid w:val="00551D28"/>
    <w:rsid w:val="00551F92"/>
    <w:rsid w:val="00551FBF"/>
    <w:rsid w:val="00551FFA"/>
    <w:rsid w:val="005522C5"/>
    <w:rsid w:val="005526AD"/>
    <w:rsid w:val="00552935"/>
    <w:rsid w:val="00552C2D"/>
    <w:rsid w:val="00552D9E"/>
    <w:rsid w:val="00553500"/>
    <w:rsid w:val="00553788"/>
    <w:rsid w:val="00553795"/>
    <w:rsid w:val="00553887"/>
    <w:rsid w:val="005539E7"/>
    <w:rsid w:val="00553B60"/>
    <w:rsid w:val="00553C42"/>
    <w:rsid w:val="00553DB2"/>
    <w:rsid w:val="00554362"/>
    <w:rsid w:val="005547C2"/>
    <w:rsid w:val="005548E7"/>
    <w:rsid w:val="00554DAC"/>
    <w:rsid w:val="00555424"/>
    <w:rsid w:val="00555957"/>
    <w:rsid w:val="00555A70"/>
    <w:rsid w:val="00555C8E"/>
    <w:rsid w:val="00555CBF"/>
    <w:rsid w:val="0055621A"/>
    <w:rsid w:val="00556476"/>
    <w:rsid w:val="00556503"/>
    <w:rsid w:val="00556EC8"/>
    <w:rsid w:val="00557381"/>
    <w:rsid w:val="00557E66"/>
    <w:rsid w:val="00560BF4"/>
    <w:rsid w:val="00560E8D"/>
    <w:rsid w:val="00560F94"/>
    <w:rsid w:val="005611F1"/>
    <w:rsid w:val="005614B7"/>
    <w:rsid w:val="00561AC3"/>
    <w:rsid w:val="00561C3C"/>
    <w:rsid w:val="00561CDC"/>
    <w:rsid w:val="0056334C"/>
    <w:rsid w:val="005636D3"/>
    <w:rsid w:val="00563BAE"/>
    <w:rsid w:val="00563CE9"/>
    <w:rsid w:val="00563E71"/>
    <w:rsid w:val="00563F74"/>
    <w:rsid w:val="0056426F"/>
    <w:rsid w:val="005644B8"/>
    <w:rsid w:val="0056455B"/>
    <w:rsid w:val="0056464C"/>
    <w:rsid w:val="005647CD"/>
    <w:rsid w:val="00564A8A"/>
    <w:rsid w:val="00564B2E"/>
    <w:rsid w:val="00564EB5"/>
    <w:rsid w:val="00564F0C"/>
    <w:rsid w:val="005651BA"/>
    <w:rsid w:val="0056531B"/>
    <w:rsid w:val="0056550F"/>
    <w:rsid w:val="00565630"/>
    <w:rsid w:val="00565A94"/>
    <w:rsid w:val="00565C9D"/>
    <w:rsid w:val="00565F07"/>
    <w:rsid w:val="005661EB"/>
    <w:rsid w:val="005663EC"/>
    <w:rsid w:val="005666F4"/>
    <w:rsid w:val="00566E21"/>
    <w:rsid w:val="005671BE"/>
    <w:rsid w:val="005700B2"/>
    <w:rsid w:val="00570224"/>
    <w:rsid w:val="0057036D"/>
    <w:rsid w:val="00570CC8"/>
    <w:rsid w:val="0057190D"/>
    <w:rsid w:val="00571B25"/>
    <w:rsid w:val="00571B3E"/>
    <w:rsid w:val="0057213F"/>
    <w:rsid w:val="00572569"/>
    <w:rsid w:val="005725E1"/>
    <w:rsid w:val="00572A8F"/>
    <w:rsid w:val="00572B9F"/>
    <w:rsid w:val="00572BFA"/>
    <w:rsid w:val="005730AA"/>
    <w:rsid w:val="00573378"/>
    <w:rsid w:val="00573616"/>
    <w:rsid w:val="00573841"/>
    <w:rsid w:val="00573BDB"/>
    <w:rsid w:val="00573C2B"/>
    <w:rsid w:val="00573E4D"/>
    <w:rsid w:val="00573FE3"/>
    <w:rsid w:val="00574345"/>
    <w:rsid w:val="00574587"/>
    <w:rsid w:val="0057479F"/>
    <w:rsid w:val="0057554A"/>
    <w:rsid w:val="0057583D"/>
    <w:rsid w:val="00575AC5"/>
    <w:rsid w:val="00575FA3"/>
    <w:rsid w:val="005763CB"/>
    <w:rsid w:val="00576419"/>
    <w:rsid w:val="00576717"/>
    <w:rsid w:val="00576AB1"/>
    <w:rsid w:val="00576D1B"/>
    <w:rsid w:val="00576DAD"/>
    <w:rsid w:val="00576E94"/>
    <w:rsid w:val="00576ECA"/>
    <w:rsid w:val="00576F8F"/>
    <w:rsid w:val="005776C9"/>
    <w:rsid w:val="005779FA"/>
    <w:rsid w:val="00580A88"/>
    <w:rsid w:val="00580F3D"/>
    <w:rsid w:val="00581166"/>
    <w:rsid w:val="00581216"/>
    <w:rsid w:val="00581F2A"/>
    <w:rsid w:val="0058215F"/>
    <w:rsid w:val="00582AFD"/>
    <w:rsid w:val="00582C84"/>
    <w:rsid w:val="00583542"/>
    <w:rsid w:val="005836B1"/>
    <w:rsid w:val="005837A4"/>
    <w:rsid w:val="005838E0"/>
    <w:rsid w:val="00584186"/>
    <w:rsid w:val="00584881"/>
    <w:rsid w:val="005849A3"/>
    <w:rsid w:val="00584B48"/>
    <w:rsid w:val="00584B98"/>
    <w:rsid w:val="00584FFF"/>
    <w:rsid w:val="005850DE"/>
    <w:rsid w:val="005851D8"/>
    <w:rsid w:val="0058522C"/>
    <w:rsid w:val="005855D4"/>
    <w:rsid w:val="005856DD"/>
    <w:rsid w:val="00585897"/>
    <w:rsid w:val="00585933"/>
    <w:rsid w:val="00585B3D"/>
    <w:rsid w:val="00585E2E"/>
    <w:rsid w:val="00585E4C"/>
    <w:rsid w:val="00585FEB"/>
    <w:rsid w:val="005860D6"/>
    <w:rsid w:val="00586378"/>
    <w:rsid w:val="0058677F"/>
    <w:rsid w:val="00586802"/>
    <w:rsid w:val="00586849"/>
    <w:rsid w:val="00586B34"/>
    <w:rsid w:val="00586F9F"/>
    <w:rsid w:val="00586FC9"/>
    <w:rsid w:val="005875F2"/>
    <w:rsid w:val="005876E6"/>
    <w:rsid w:val="00587761"/>
    <w:rsid w:val="00587B12"/>
    <w:rsid w:val="00587B29"/>
    <w:rsid w:val="005900B0"/>
    <w:rsid w:val="005902FE"/>
    <w:rsid w:val="00590F7D"/>
    <w:rsid w:val="00591046"/>
    <w:rsid w:val="00591558"/>
    <w:rsid w:val="005919CB"/>
    <w:rsid w:val="00592282"/>
    <w:rsid w:val="005923EB"/>
    <w:rsid w:val="0059252B"/>
    <w:rsid w:val="0059252D"/>
    <w:rsid w:val="005926DD"/>
    <w:rsid w:val="00592D69"/>
    <w:rsid w:val="00592EF5"/>
    <w:rsid w:val="00593048"/>
    <w:rsid w:val="00593289"/>
    <w:rsid w:val="00593710"/>
    <w:rsid w:val="00593985"/>
    <w:rsid w:val="00593AD2"/>
    <w:rsid w:val="00593EB5"/>
    <w:rsid w:val="0059415E"/>
    <w:rsid w:val="005943E6"/>
    <w:rsid w:val="00594B44"/>
    <w:rsid w:val="00594BC1"/>
    <w:rsid w:val="00594E0E"/>
    <w:rsid w:val="00594F1B"/>
    <w:rsid w:val="005951BA"/>
    <w:rsid w:val="00595215"/>
    <w:rsid w:val="005952DA"/>
    <w:rsid w:val="00595504"/>
    <w:rsid w:val="00595644"/>
    <w:rsid w:val="005956AA"/>
    <w:rsid w:val="00595EDE"/>
    <w:rsid w:val="005963A1"/>
    <w:rsid w:val="0059679D"/>
    <w:rsid w:val="00596B6D"/>
    <w:rsid w:val="00597526"/>
    <w:rsid w:val="00597CF5"/>
    <w:rsid w:val="00597D31"/>
    <w:rsid w:val="00597DF0"/>
    <w:rsid w:val="00597E3F"/>
    <w:rsid w:val="005A008E"/>
    <w:rsid w:val="005A0450"/>
    <w:rsid w:val="005A0A57"/>
    <w:rsid w:val="005A0A7B"/>
    <w:rsid w:val="005A0BF0"/>
    <w:rsid w:val="005A0D6B"/>
    <w:rsid w:val="005A114C"/>
    <w:rsid w:val="005A120B"/>
    <w:rsid w:val="005A1AFF"/>
    <w:rsid w:val="005A2058"/>
    <w:rsid w:val="005A2A54"/>
    <w:rsid w:val="005A2B5D"/>
    <w:rsid w:val="005A2EA5"/>
    <w:rsid w:val="005A33D6"/>
    <w:rsid w:val="005A3AE1"/>
    <w:rsid w:val="005A3C1D"/>
    <w:rsid w:val="005A3E81"/>
    <w:rsid w:val="005A3F7E"/>
    <w:rsid w:val="005A4DBD"/>
    <w:rsid w:val="005A5241"/>
    <w:rsid w:val="005A55B3"/>
    <w:rsid w:val="005A590F"/>
    <w:rsid w:val="005A60CB"/>
    <w:rsid w:val="005A6492"/>
    <w:rsid w:val="005A68E9"/>
    <w:rsid w:val="005A6DD3"/>
    <w:rsid w:val="005A7040"/>
    <w:rsid w:val="005A72CB"/>
    <w:rsid w:val="005A72D8"/>
    <w:rsid w:val="005A769B"/>
    <w:rsid w:val="005A7844"/>
    <w:rsid w:val="005A7BCA"/>
    <w:rsid w:val="005B0760"/>
    <w:rsid w:val="005B0881"/>
    <w:rsid w:val="005B098B"/>
    <w:rsid w:val="005B0A68"/>
    <w:rsid w:val="005B0E3B"/>
    <w:rsid w:val="005B1057"/>
    <w:rsid w:val="005B15C4"/>
    <w:rsid w:val="005B160D"/>
    <w:rsid w:val="005B19A8"/>
    <w:rsid w:val="005B1DA3"/>
    <w:rsid w:val="005B1F08"/>
    <w:rsid w:val="005B260A"/>
    <w:rsid w:val="005B2965"/>
    <w:rsid w:val="005B2F9A"/>
    <w:rsid w:val="005B2FF0"/>
    <w:rsid w:val="005B33C1"/>
    <w:rsid w:val="005B35E9"/>
    <w:rsid w:val="005B3AE1"/>
    <w:rsid w:val="005B3F06"/>
    <w:rsid w:val="005B3F0D"/>
    <w:rsid w:val="005B4592"/>
    <w:rsid w:val="005B48A6"/>
    <w:rsid w:val="005B5B01"/>
    <w:rsid w:val="005B614B"/>
    <w:rsid w:val="005B636E"/>
    <w:rsid w:val="005B63B9"/>
    <w:rsid w:val="005B6601"/>
    <w:rsid w:val="005B69F1"/>
    <w:rsid w:val="005B6FE7"/>
    <w:rsid w:val="005B7157"/>
    <w:rsid w:val="005B72B5"/>
    <w:rsid w:val="005B7322"/>
    <w:rsid w:val="005B73CA"/>
    <w:rsid w:val="005B79D2"/>
    <w:rsid w:val="005B7B14"/>
    <w:rsid w:val="005B7BBC"/>
    <w:rsid w:val="005B7BDB"/>
    <w:rsid w:val="005B7E42"/>
    <w:rsid w:val="005B7F3D"/>
    <w:rsid w:val="005B7FD4"/>
    <w:rsid w:val="005C08E5"/>
    <w:rsid w:val="005C0B83"/>
    <w:rsid w:val="005C0D70"/>
    <w:rsid w:val="005C0D88"/>
    <w:rsid w:val="005C0D8C"/>
    <w:rsid w:val="005C0DEE"/>
    <w:rsid w:val="005C12D6"/>
    <w:rsid w:val="005C14AE"/>
    <w:rsid w:val="005C17C9"/>
    <w:rsid w:val="005C1C28"/>
    <w:rsid w:val="005C1E0E"/>
    <w:rsid w:val="005C2319"/>
    <w:rsid w:val="005C2B7B"/>
    <w:rsid w:val="005C2D8F"/>
    <w:rsid w:val="005C3254"/>
    <w:rsid w:val="005C3860"/>
    <w:rsid w:val="005C3AB3"/>
    <w:rsid w:val="005C3B51"/>
    <w:rsid w:val="005C3DCD"/>
    <w:rsid w:val="005C4277"/>
    <w:rsid w:val="005C4983"/>
    <w:rsid w:val="005C4CAE"/>
    <w:rsid w:val="005C5412"/>
    <w:rsid w:val="005C5501"/>
    <w:rsid w:val="005C5A16"/>
    <w:rsid w:val="005C5F0B"/>
    <w:rsid w:val="005C65D8"/>
    <w:rsid w:val="005C6664"/>
    <w:rsid w:val="005C73FA"/>
    <w:rsid w:val="005C7F33"/>
    <w:rsid w:val="005C7F4E"/>
    <w:rsid w:val="005D06BE"/>
    <w:rsid w:val="005D0E67"/>
    <w:rsid w:val="005D1412"/>
    <w:rsid w:val="005D1A76"/>
    <w:rsid w:val="005D1C2C"/>
    <w:rsid w:val="005D2431"/>
    <w:rsid w:val="005D2B93"/>
    <w:rsid w:val="005D2C76"/>
    <w:rsid w:val="005D2DE1"/>
    <w:rsid w:val="005D2FAA"/>
    <w:rsid w:val="005D3048"/>
    <w:rsid w:val="005D3234"/>
    <w:rsid w:val="005D3337"/>
    <w:rsid w:val="005D33BE"/>
    <w:rsid w:val="005D3481"/>
    <w:rsid w:val="005D34C6"/>
    <w:rsid w:val="005D3BED"/>
    <w:rsid w:val="005D3F41"/>
    <w:rsid w:val="005D3F6B"/>
    <w:rsid w:val="005D414E"/>
    <w:rsid w:val="005D45EE"/>
    <w:rsid w:val="005D46D2"/>
    <w:rsid w:val="005D4A60"/>
    <w:rsid w:val="005D526C"/>
    <w:rsid w:val="005D537D"/>
    <w:rsid w:val="005D62AB"/>
    <w:rsid w:val="005D6335"/>
    <w:rsid w:val="005D65EC"/>
    <w:rsid w:val="005D67CC"/>
    <w:rsid w:val="005D68D7"/>
    <w:rsid w:val="005D6B7E"/>
    <w:rsid w:val="005D6C8A"/>
    <w:rsid w:val="005D6CD3"/>
    <w:rsid w:val="005D70F8"/>
    <w:rsid w:val="005D7361"/>
    <w:rsid w:val="005D761E"/>
    <w:rsid w:val="005D7B3C"/>
    <w:rsid w:val="005D7BA9"/>
    <w:rsid w:val="005D7C0C"/>
    <w:rsid w:val="005D7EE5"/>
    <w:rsid w:val="005E07AE"/>
    <w:rsid w:val="005E0AAC"/>
    <w:rsid w:val="005E0E00"/>
    <w:rsid w:val="005E102A"/>
    <w:rsid w:val="005E10F4"/>
    <w:rsid w:val="005E144F"/>
    <w:rsid w:val="005E1882"/>
    <w:rsid w:val="005E23AC"/>
    <w:rsid w:val="005E23B9"/>
    <w:rsid w:val="005E3105"/>
    <w:rsid w:val="005E3175"/>
    <w:rsid w:val="005E3370"/>
    <w:rsid w:val="005E3758"/>
    <w:rsid w:val="005E3914"/>
    <w:rsid w:val="005E3C68"/>
    <w:rsid w:val="005E3DA8"/>
    <w:rsid w:val="005E3DCA"/>
    <w:rsid w:val="005E4925"/>
    <w:rsid w:val="005E4C8F"/>
    <w:rsid w:val="005E4E11"/>
    <w:rsid w:val="005E4E74"/>
    <w:rsid w:val="005E56B7"/>
    <w:rsid w:val="005E580F"/>
    <w:rsid w:val="005E6047"/>
    <w:rsid w:val="005E60F6"/>
    <w:rsid w:val="005E67D2"/>
    <w:rsid w:val="005E69F9"/>
    <w:rsid w:val="005E6DA1"/>
    <w:rsid w:val="005E6EFB"/>
    <w:rsid w:val="005E7024"/>
    <w:rsid w:val="005E7060"/>
    <w:rsid w:val="005E7801"/>
    <w:rsid w:val="005E7EFD"/>
    <w:rsid w:val="005E7F18"/>
    <w:rsid w:val="005E7F9F"/>
    <w:rsid w:val="005F02EA"/>
    <w:rsid w:val="005F03B7"/>
    <w:rsid w:val="005F0579"/>
    <w:rsid w:val="005F0833"/>
    <w:rsid w:val="005F087E"/>
    <w:rsid w:val="005F0B59"/>
    <w:rsid w:val="005F0FFA"/>
    <w:rsid w:val="005F125F"/>
    <w:rsid w:val="005F1BC6"/>
    <w:rsid w:val="005F1C60"/>
    <w:rsid w:val="005F27A4"/>
    <w:rsid w:val="005F3501"/>
    <w:rsid w:val="005F364F"/>
    <w:rsid w:val="005F3B4C"/>
    <w:rsid w:val="005F3D66"/>
    <w:rsid w:val="005F42A3"/>
    <w:rsid w:val="005F438D"/>
    <w:rsid w:val="005F43E4"/>
    <w:rsid w:val="005F48E7"/>
    <w:rsid w:val="005F4DBE"/>
    <w:rsid w:val="005F5061"/>
    <w:rsid w:val="005F5103"/>
    <w:rsid w:val="005F5180"/>
    <w:rsid w:val="005F5193"/>
    <w:rsid w:val="005F5740"/>
    <w:rsid w:val="005F5847"/>
    <w:rsid w:val="005F5C72"/>
    <w:rsid w:val="005F6675"/>
    <w:rsid w:val="005F66BD"/>
    <w:rsid w:val="005F66EB"/>
    <w:rsid w:val="005F6A69"/>
    <w:rsid w:val="005F7407"/>
    <w:rsid w:val="005F7740"/>
    <w:rsid w:val="005F78ED"/>
    <w:rsid w:val="005F7A78"/>
    <w:rsid w:val="006000CB"/>
    <w:rsid w:val="00600324"/>
    <w:rsid w:val="006004DD"/>
    <w:rsid w:val="00600921"/>
    <w:rsid w:val="006009F9"/>
    <w:rsid w:val="00600A2D"/>
    <w:rsid w:val="00600F1E"/>
    <w:rsid w:val="0060179B"/>
    <w:rsid w:val="0060180C"/>
    <w:rsid w:val="00601913"/>
    <w:rsid w:val="00601A89"/>
    <w:rsid w:val="006028F8"/>
    <w:rsid w:val="00602909"/>
    <w:rsid w:val="00602C3F"/>
    <w:rsid w:val="00602D05"/>
    <w:rsid w:val="00603AF7"/>
    <w:rsid w:val="00603C81"/>
    <w:rsid w:val="00603CBA"/>
    <w:rsid w:val="00603ED2"/>
    <w:rsid w:val="00603FCA"/>
    <w:rsid w:val="00604400"/>
    <w:rsid w:val="0060497D"/>
    <w:rsid w:val="00604AD1"/>
    <w:rsid w:val="00604ADA"/>
    <w:rsid w:val="00604C88"/>
    <w:rsid w:val="00604CE1"/>
    <w:rsid w:val="00605098"/>
    <w:rsid w:val="0060532D"/>
    <w:rsid w:val="00605EBB"/>
    <w:rsid w:val="00606075"/>
    <w:rsid w:val="00606AD0"/>
    <w:rsid w:val="00606DE9"/>
    <w:rsid w:val="00606FC9"/>
    <w:rsid w:val="0060788A"/>
    <w:rsid w:val="00607D34"/>
    <w:rsid w:val="00607E38"/>
    <w:rsid w:val="006106C6"/>
    <w:rsid w:val="00610869"/>
    <w:rsid w:val="00610E72"/>
    <w:rsid w:val="00611696"/>
    <w:rsid w:val="00611975"/>
    <w:rsid w:val="0061199B"/>
    <w:rsid w:val="006119FB"/>
    <w:rsid w:val="00611EB8"/>
    <w:rsid w:val="00612038"/>
    <w:rsid w:val="00612324"/>
    <w:rsid w:val="0061245E"/>
    <w:rsid w:val="0061250C"/>
    <w:rsid w:val="006127A5"/>
    <w:rsid w:val="00613B71"/>
    <w:rsid w:val="00613CE7"/>
    <w:rsid w:val="00614266"/>
    <w:rsid w:val="006142AC"/>
    <w:rsid w:val="0061449F"/>
    <w:rsid w:val="00614578"/>
    <w:rsid w:val="006153A9"/>
    <w:rsid w:val="006155E4"/>
    <w:rsid w:val="006158A2"/>
    <w:rsid w:val="006158E0"/>
    <w:rsid w:val="00615A4A"/>
    <w:rsid w:val="00615DCC"/>
    <w:rsid w:val="0061601B"/>
    <w:rsid w:val="006164F0"/>
    <w:rsid w:val="00616535"/>
    <w:rsid w:val="006165C4"/>
    <w:rsid w:val="00616698"/>
    <w:rsid w:val="00616A51"/>
    <w:rsid w:val="00616C68"/>
    <w:rsid w:val="00616CAA"/>
    <w:rsid w:val="00616FA1"/>
    <w:rsid w:val="006170CC"/>
    <w:rsid w:val="006171A2"/>
    <w:rsid w:val="006175EF"/>
    <w:rsid w:val="00617E85"/>
    <w:rsid w:val="0062087E"/>
    <w:rsid w:val="00620A12"/>
    <w:rsid w:val="00620DD1"/>
    <w:rsid w:val="006214FD"/>
    <w:rsid w:val="00621AF9"/>
    <w:rsid w:val="00621F62"/>
    <w:rsid w:val="0062207F"/>
    <w:rsid w:val="0062222F"/>
    <w:rsid w:val="00622329"/>
    <w:rsid w:val="006228BA"/>
    <w:rsid w:val="00622974"/>
    <w:rsid w:val="00622ABA"/>
    <w:rsid w:val="00622B55"/>
    <w:rsid w:val="0062312F"/>
    <w:rsid w:val="00623F6E"/>
    <w:rsid w:val="0062442E"/>
    <w:rsid w:val="00624B56"/>
    <w:rsid w:val="00624CD3"/>
    <w:rsid w:val="00625000"/>
    <w:rsid w:val="0062561C"/>
    <w:rsid w:val="00625BF8"/>
    <w:rsid w:val="006270B3"/>
    <w:rsid w:val="00627105"/>
    <w:rsid w:val="006274DD"/>
    <w:rsid w:val="006278A9"/>
    <w:rsid w:val="00627BB1"/>
    <w:rsid w:val="00627F81"/>
    <w:rsid w:val="00630326"/>
    <w:rsid w:val="00630670"/>
    <w:rsid w:val="00630FB4"/>
    <w:rsid w:val="00631336"/>
    <w:rsid w:val="006313AD"/>
    <w:rsid w:val="006315D6"/>
    <w:rsid w:val="006319D1"/>
    <w:rsid w:val="006319E9"/>
    <w:rsid w:val="00631BBF"/>
    <w:rsid w:val="00631F37"/>
    <w:rsid w:val="00632B08"/>
    <w:rsid w:val="0063380F"/>
    <w:rsid w:val="00633AA2"/>
    <w:rsid w:val="006343DE"/>
    <w:rsid w:val="0063453C"/>
    <w:rsid w:val="00634903"/>
    <w:rsid w:val="00635018"/>
    <w:rsid w:val="006356C6"/>
    <w:rsid w:val="00635A1F"/>
    <w:rsid w:val="00635CF6"/>
    <w:rsid w:val="00635DB1"/>
    <w:rsid w:val="0063601A"/>
    <w:rsid w:val="00636427"/>
    <w:rsid w:val="0063779C"/>
    <w:rsid w:val="00637879"/>
    <w:rsid w:val="00640702"/>
    <w:rsid w:val="00640CED"/>
    <w:rsid w:val="006411BB"/>
    <w:rsid w:val="0064133D"/>
    <w:rsid w:val="00641632"/>
    <w:rsid w:val="00641DE7"/>
    <w:rsid w:val="00642206"/>
    <w:rsid w:val="0064244F"/>
    <w:rsid w:val="00642652"/>
    <w:rsid w:val="00642867"/>
    <w:rsid w:val="00642992"/>
    <w:rsid w:val="006432D4"/>
    <w:rsid w:val="00643B53"/>
    <w:rsid w:val="00643CAC"/>
    <w:rsid w:val="0064432C"/>
    <w:rsid w:val="00644553"/>
    <w:rsid w:val="00644F13"/>
    <w:rsid w:val="006450F3"/>
    <w:rsid w:val="006455B1"/>
    <w:rsid w:val="006461C5"/>
    <w:rsid w:val="00646344"/>
    <w:rsid w:val="00646598"/>
    <w:rsid w:val="00646766"/>
    <w:rsid w:val="00646F6D"/>
    <w:rsid w:val="00647047"/>
    <w:rsid w:val="0064759C"/>
    <w:rsid w:val="006476A3"/>
    <w:rsid w:val="006479CC"/>
    <w:rsid w:val="00647A5C"/>
    <w:rsid w:val="00647A90"/>
    <w:rsid w:val="00647B77"/>
    <w:rsid w:val="00647BD4"/>
    <w:rsid w:val="00647CB1"/>
    <w:rsid w:val="00650035"/>
    <w:rsid w:val="00650601"/>
    <w:rsid w:val="00650B99"/>
    <w:rsid w:val="006516E3"/>
    <w:rsid w:val="006517D3"/>
    <w:rsid w:val="00651B7A"/>
    <w:rsid w:val="00651B95"/>
    <w:rsid w:val="00651BF0"/>
    <w:rsid w:val="00651D0C"/>
    <w:rsid w:val="00652007"/>
    <w:rsid w:val="00652546"/>
    <w:rsid w:val="006530AC"/>
    <w:rsid w:val="00653DE8"/>
    <w:rsid w:val="00653FFE"/>
    <w:rsid w:val="006548B4"/>
    <w:rsid w:val="00654E7B"/>
    <w:rsid w:val="00655109"/>
    <w:rsid w:val="00655A0B"/>
    <w:rsid w:val="00655A69"/>
    <w:rsid w:val="00655D5F"/>
    <w:rsid w:val="00656060"/>
    <w:rsid w:val="006563C0"/>
    <w:rsid w:val="00656571"/>
    <w:rsid w:val="006567BA"/>
    <w:rsid w:val="00656A49"/>
    <w:rsid w:val="00656CC7"/>
    <w:rsid w:val="006577C5"/>
    <w:rsid w:val="00660253"/>
    <w:rsid w:val="00660B9B"/>
    <w:rsid w:val="006611CC"/>
    <w:rsid w:val="006612DC"/>
    <w:rsid w:val="006614DA"/>
    <w:rsid w:val="00661872"/>
    <w:rsid w:val="00661AD0"/>
    <w:rsid w:val="00661D78"/>
    <w:rsid w:val="00661DD3"/>
    <w:rsid w:val="0066232A"/>
    <w:rsid w:val="00662346"/>
    <w:rsid w:val="0066245A"/>
    <w:rsid w:val="00662C24"/>
    <w:rsid w:val="00663254"/>
    <w:rsid w:val="00663376"/>
    <w:rsid w:val="006633A7"/>
    <w:rsid w:val="00663D5A"/>
    <w:rsid w:val="006640C8"/>
    <w:rsid w:val="006649C1"/>
    <w:rsid w:val="00664E55"/>
    <w:rsid w:val="00666053"/>
    <w:rsid w:val="00666409"/>
    <w:rsid w:val="00666832"/>
    <w:rsid w:val="006668F2"/>
    <w:rsid w:val="006669F1"/>
    <w:rsid w:val="00666A2D"/>
    <w:rsid w:val="00666CB7"/>
    <w:rsid w:val="0066732C"/>
    <w:rsid w:val="0066764E"/>
    <w:rsid w:val="006679CD"/>
    <w:rsid w:val="0067000C"/>
    <w:rsid w:val="0067021C"/>
    <w:rsid w:val="006706D7"/>
    <w:rsid w:val="00670901"/>
    <w:rsid w:val="00670BA0"/>
    <w:rsid w:val="00670E5A"/>
    <w:rsid w:val="00671185"/>
    <w:rsid w:val="006711F3"/>
    <w:rsid w:val="0067192A"/>
    <w:rsid w:val="00671F33"/>
    <w:rsid w:val="00671F37"/>
    <w:rsid w:val="006722C1"/>
    <w:rsid w:val="00672382"/>
    <w:rsid w:val="00672753"/>
    <w:rsid w:val="00672F0D"/>
    <w:rsid w:val="00672F2D"/>
    <w:rsid w:val="00672F39"/>
    <w:rsid w:val="00673DFE"/>
    <w:rsid w:val="00673E19"/>
    <w:rsid w:val="00674063"/>
    <w:rsid w:val="00674685"/>
    <w:rsid w:val="006749BD"/>
    <w:rsid w:val="00674A5E"/>
    <w:rsid w:val="00674F35"/>
    <w:rsid w:val="00675164"/>
    <w:rsid w:val="00675248"/>
    <w:rsid w:val="0067530B"/>
    <w:rsid w:val="00675468"/>
    <w:rsid w:val="00675BF3"/>
    <w:rsid w:val="00675BF7"/>
    <w:rsid w:val="00676139"/>
    <w:rsid w:val="00676783"/>
    <w:rsid w:val="00676892"/>
    <w:rsid w:val="00676A2D"/>
    <w:rsid w:val="00676FB5"/>
    <w:rsid w:val="00676FE8"/>
    <w:rsid w:val="006775CD"/>
    <w:rsid w:val="006775DF"/>
    <w:rsid w:val="006776FF"/>
    <w:rsid w:val="0067781B"/>
    <w:rsid w:val="00677E61"/>
    <w:rsid w:val="00677EB4"/>
    <w:rsid w:val="00680003"/>
    <w:rsid w:val="0068079F"/>
    <w:rsid w:val="00680A52"/>
    <w:rsid w:val="00680BA1"/>
    <w:rsid w:val="0068100C"/>
    <w:rsid w:val="0068106B"/>
    <w:rsid w:val="0068128E"/>
    <w:rsid w:val="00681961"/>
    <w:rsid w:val="00681A42"/>
    <w:rsid w:val="00681B7B"/>
    <w:rsid w:val="00681CC2"/>
    <w:rsid w:val="00681EB4"/>
    <w:rsid w:val="00682064"/>
    <w:rsid w:val="00682689"/>
    <w:rsid w:val="00682C5F"/>
    <w:rsid w:val="00682D51"/>
    <w:rsid w:val="00683018"/>
    <w:rsid w:val="006842E2"/>
    <w:rsid w:val="00684486"/>
    <w:rsid w:val="006855BD"/>
    <w:rsid w:val="006856FF"/>
    <w:rsid w:val="00685A4C"/>
    <w:rsid w:val="00686263"/>
    <w:rsid w:val="006871DA"/>
    <w:rsid w:val="0068781E"/>
    <w:rsid w:val="00687DBB"/>
    <w:rsid w:val="006902E1"/>
    <w:rsid w:val="00690564"/>
    <w:rsid w:val="0069063C"/>
    <w:rsid w:val="0069072C"/>
    <w:rsid w:val="006907F1"/>
    <w:rsid w:val="00690977"/>
    <w:rsid w:val="00690ADB"/>
    <w:rsid w:val="00690F43"/>
    <w:rsid w:val="006911BD"/>
    <w:rsid w:val="00691967"/>
    <w:rsid w:val="00691DB2"/>
    <w:rsid w:val="00692111"/>
    <w:rsid w:val="00692825"/>
    <w:rsid w:val="00692B78"/>
    <w:rsid w:val="00692DE5"/>
    <w:rsid w:val="00692E91"/>
    <w:rsid w:val="006936A8"/>
    <w:rsid w:val="0069383F"/>
    <w:rsid w:val="006944CF"/>
    <w:rsid w:val="00694CB3"/>
    <w:rsid w:val="00694CE5"/>
    <w:rsid w:val="00694E22"/>
    <w:rsid w:val="00695B08"/>
    <w:rsid w:val="0069632E"/>
    <w:rsid w:val="006963C1"/>
    <w:rsid w:val="006967AB"/>
    <w:rsid w:val="00696CD5"/>
    <w:rsid w:val="00697A4F"/>
    <w:rsid w:val="00697C70"/>
    <w:rsid w:val="00697CF0"/>
    <w:rsid w:val="006A0023"/>
    <w:rsid w:val="006A0092"/>
    <w:rsid w:val="006A1014"/>
    <w:rsid w:val="006A170F"/>
    <w:rsid w:val="006A1AE8"/>
    <w:rsid w:val="006A1D43"/>
    <w:rsid w:val="006A2089"/>
    <w:rsid w:val="006A20A3"/>
    <w:rsid w:val="006A22B8"/>
    <w:rsid w:val="006A24BE"/>
    <w:rsid w:val="006A29D6"/>
    <w:rsid w:val="006A2C78"/>
    <w:rsid w:val="006A324F"/>
    <w:rsid w:val="006A345A"/>
    <w:rsid w:val="006A3588"/>
    <w:rsid w:val="006A421D"/>
    <w:rsid w:val="006A4F0D"/>
    <w:rsid w:val="006A507D"/>
    <w:rsid w:val="006A57A3"/>
    <w:rsid w:val="006A5D7C"/>
    <w:rsid w:val="006A5E58"/>
    <w:rsid w:val="006A5EF5"/>
    <w:rsid w:val="006A6E8D"/>
    <w:rsid w:val="006A775A"/>
    <w:rsid w:val="006A7A2D"/>
    <w:rsid w:val="006B0318"/>
    <w:rsid w:val="006B036E"/>
    <w:rsid w:val="006B072E"/>
    <w:rsid w:val="006B0BD4"/>
    <w:rsid w:val="006B0E71"/>
    <w:rsid w:val="006B1633"/>
    <w:rsid w:val="006B1C06"/>
    <w:rsid w:val="006B1D21"/>
    <w:rsid w:val="006B24DE"/>
    <w:rsid w:val="006B2CA0"/>
    <w:rsid w:val="006B38AA"/>
    <w:rsid w:val="006B39C4"/>
    <w:rsid w:val="006B3C8C"/>
    <w:rsid w:val="006B4609"/>
    <w:rsid w:val="006B4C55"/>
    <w:rsid w:val="006B4D02"/>
    <w:rsid w:val="006B5897"/>
    <w:rsid w:val="006B5D7C"/>
    <w:rsid w:val="006B5FD7"/>
    <w:rsid w:val="006B605B"/>
    <w:rsid w:val="006B6210"/>
    <w:rsid w:val="006B68C1"/>
    <w:rsid w:val="006B6C97"/>
    <w:rsid w:val="006B735F"/>
    <w:rsid w:val="006B7A38"/>
    <w:rsid w:val="006C01EF"/>
    <w:rsid w:val="006C0656"/>
    <w:rsid w:val="006C0823"/>
    <w:rsid w:val="006C0833"/>
    <w:rsid w:val="006C0B78"/>
    <w:rsid w:val="006C0DC9"/>
    <w:rsid w:val="006C0EAB"/>
    <w:rsid w:val="006C11FF"/>
    <w:rsid w:val="006C14A2"/>
    <w:rsid w:val="006C1814"/>
    <w:rsid w:val="006C1B07"/>
    <w:rsid w:val="006C1DC8"/>
    <w:rsid w:val="006C22BB"/>
    <w:rsid w:val="006C233D"/>
    <w:rsid w:val="006C28A2"/>
    <w:rsid w:val="006C3715"/>
    <w:rsid w:val="006C398D"/>
    <w:rsid w:val="006C41C6"/>
    <w:rsid w:val="006C4220"/>
    <w:rsid w:val="006C4928"/>
    <w:rsid w:val="006C4ACC"/>
    <w:rsid w:val="006C4C23"/>
    <w:rsid w:val="006C4EC3"/>
    <w:rsid w:val="006C54C9"/>
    <w:rsid w:val="006C5B6C"/>
    <w:rsid w:val="006C5EC3"/>
    <w:rsid w:val="006C648C"/>
    <w:rsid w:val="006C6B89"/>
    <w:rsid w:val="006C7570"/>
    <w:rsid w:val="006C766E"/>
    <w:rsid w:val="006C7855"/>
    <w:rsid w:val="006C7894"/>
    <w:rsid w:val="006C7CAC"/>
    <w:rsid w:val="006D01A4"/>
    <w:rsid w:val="006D0410"/>
    <w:rsid w:val="006D0927"/>
    <w:rsid w:val="006D1193"/>
    <w:rsid w:val="006D1863"/>
    <w:rsid w:val="006D2353"/>
    <w:rsid w:val="006D24ED"/>
    <w:rsid w:val="006D276F"/>
    <w:rsid w:val="006D2A04"/>
    <w:rsid w:val="006D2B1B"/>
    <w:rsid w:val="006D2D86"/>
    <w:rsid w:val="006D2EE1"/>
    <w:rsid w:val="006D3046"/>
    <w:rsid w:val="006D326B"/>
    <w:rsid w:val="006D3A53"/>
    <w:rsid w:val="006D3C12"/>
    <w:rsid w:val="006D3C40"/>
    <w:rsid w:val="006D3D1B"/>
    <w:rsid w:val="006D4298"/>
    <w:rsid w:val="006D48B9"/>
    <w:rsid w:val="006D4FB3"/>
    <w:rsid w:val="006D53EE"/>
    <w:rsid w:val="006D5F3C"/>
    <w:rsid w:val="006D606C"/>
    <w:rsid w:val="006D66F5"/>
    <w:rsid w:val="006D67B1"/>
    <w:rsid w:val="006D6A7F"/>
    <w:rsid w:val="006D730C"/>
    <w:rsid w:val="006D7A2C"/>
    <w:rsid w:val="006D7D22"/>
    <w:rsid w:val="006D7F52"/>
    <w:rsid w:val="006E0433"/>
    <w:rsid w:val="006E0731"/>
    <w:rsid w:val="006E164E"/>
    <w:rsid w:val="006E1930"/>
    <w:rsid w:val="006E1C8B"/>
    <w:rsid w:val="006E1CA5"/>
    <w:rsid w:val="006E2D86"/>
    <w:rsid w:val="006E450D"/>
    <w:rsid w:val="006E4A13"/>
    <w:rsid w:val="006E4EDA"/>
    <w:rsid w:val="006E5707"/>
    <w:rsid w:val="006E5CEC"/>
    <w:rsid w:val="006E5EED"/>
    <w:rsid w:val="006E5FD0"/>
    <w:rsid w:val="006E623F"/>
    <w:rsid w:val="006E6636"/>
    <w:rsid w:val="006E724C"/>
    <w:rsid w:val="006E753F"/>
    <w:rsid w:val="006E756A"/>
    <w:rsid w:val="006E75B0"/>
    <w:rsid w:val="006E7738"/>
    <w:rsid w:val="006E7A70"/>
    <w:rsid w:val="006E7D19"/>
    <w:rsid w:val="006E7F2F"/>
    <w:rsid w:val="006F088C"/>
    <w:rsid w:val="006F0E78"/>
    <w:rsid w:val="006F0FB8"/>
    <w:rsid w:val="006F129C"/>
    <w:rsid w:val="006F1465"/>
    <w:rsid w:val="006F15E6"/>
    <w:rsid w:val="006F161D"/>
    <w:rsid w:val="006F1926"/>
    <w:rsid w:val="006F1DAF"/>
    <w:rsid w:val="006F1E68"/>
    <w:rsid w:val="006F24A2"/>
    <w:rsid w:val="006F29DB"/>
    <w:rsid w:val="006F2B6B"/>
    <w:rsid w:val="006F3DE4"/>
    <w:rsid w:val="006F3FB8"/>
    <w:rsid w:val="006F412F"/>
    <w:rsid w:val="006F496B"/>
    <w:rsid w:val="006F53A6"/>
    <w:rsid w:val="006F57B9"/>
    <w:rsid w:val="006F5863"/>
    <w:rsid w:val="006F5996"/>
    <w:rsid w:val="006F5C54"/>
    <w:rsid w:val="006F5D2C"/>
    <w:rsid w:val="006F63D6"/>
    <w:rsid w:val="006F64B8"/>
    <w:rsid w:val="006F677D"/>
    <w:rsid w:val="006F6ACC"/>
    <w:rsid w:val="006F6C6B"/>
    <w:rsid w:val="006F6E08"/>
    <w:rsid w:val="006F6EEA"/>
    <w:rsid w:val="006F7236"/>
    <w:rsid w:val="006F7A7A"/>
    <w:rsid w:val="006F7B39"/>
    <w:rsid w:val="0070054D"/>
    <w:rsid w:val="00700DF0"/>
    <w:rsid w:val="00701A47"/>
    <w:rsid w:val="00701D10"/>
    <w:rsid w:val="007026B1"/>
    <w:rsid w:val="0070289A"/>
    <w:rsid w:val="00702C7F"/>
    <w:rsid w:val="007031EB"/>
    <w:rsid w:val="007035C4"/>
    <w:rsid w:val="00703769"/>
    <w:rsid w:val="00703C17"/>
    <w:rsid w:val="0070446F"/>
    <w:rsid w:val="00704986"/>
    <w:rsid w:val="007052B2"/>
    <w:rsid w:val="00705638"/>
    <w:rsid w:val="0070580C"/>
    <w:rsid w:val="00705C3F"/>
    <w:rsid w:val="00705E36"/>
    <w:rsid w:val="00705E6C"/>
    <w:rsid w:val="0070610E"/>
    <w:rsid w:val="0070627F"/>
    <w:rsid w:val="007063BB"/>
    <w:rsid w:val="0070702B"/>
    <w:rsid w:val="0070738D"/>
    <w:rsid w:val="00707439"/>
    <w:rsid w:val="00707D18"/>
    <w:rsid w:val="00707D44"/>
    <w:rsid w:val="00710389"/>
    <w:rsid w:val="00710BE1"/>
    <w:rsid w:val="00710BFC"/>
    <w:rsid w:val="00710E3C"/>
    <w:rsid w:val="007110B0"/>
    <w:rsid w:val="007112AD"/>
    <w:rsid w:val="00711524"/>
    <w:rsid w:val="00711C1D"/>
    <w:rsid w:val="00711EFE"/>
    <w:rsid w:val="007124C2"/>
    <w:rsid w:val="00712673"/>
    <w:rsid w:val="00713269"/>
    <w:rsid w:val="007132A7"/>
    <w:rsid w:val="007132BB"/>
    <w:rsid w:val="00713E0D"/>
    <w:rsid w:val="00714108"/>
    <w:rsid w:val="00714705"/>
    <w:rsid w:val="00715567"/>
    <w:rsid w:val="00715BBA"/>
    <w:rsid w:val="00716213"/>
    <w:rsid w:val="007165F5"/>
    <w:rsid w:val="00716CAC"/>
    <w:rsid w:val="007170E2"/>
    <w:rsid w:val="007177DA"/>
    <w:rsid w:val="00717857"/>
    <w:rsid w:val="00717A82"/>
    <w:rsid w:val="00717AFA"/>
    <w:rsid w:val="00717C0E"/>
    <w:rsid w:val="0072038B"/>
    <w:rsid w:val="007207EC"/>
    <w:rsid w:val="00720965"/>
    <w:rsid w:val="00720C85"/>
    <w:rsid w:val="00720E28"/>
    <w:rsid w:val="00721145"/>
    <w:rsid w:val="00721713"/>
    <w:rsid w:val="00721BFE"/>
    <w:rsid w:val="00721F2A"/>
    <w:rsid w:val="00722377"/>
    <w:rsid w:val="0072289B"/>
    <w:rsid w:val="00722AD5"/>
    <w:rsid w:val="00722C3F"/>
    <w:rsid w:val="00723235"/>
    <w:rsid w:val="0072331B"/>
    <w:rsid w:val="007233C5"/>
    <w:rsid w:val="0072349C"/>
    <w:rsid w:val="007244AE"/>
    <w:rsid w:val="007245CF"/>
    <w:rsid w:val="0072472F"/>
    <w:rsid w:val="00724C5B"/>
    <w:rsid w:val="007256B4"/>
    <w:rsid w:val="00725716"/>
    <w:rsid w:val="00725908"/>
    <w:rsid w:val="00725974"/>
    <w:rsid w:val="00725CEE"/>
    <w:rsid w:val="00726372"/>
    <w:rsid w:val="00726D16"/>
    <w:rsid w:val="00726E25"/>
    <w:rsid w:val="007275CD"/>
    <w:rsid w:val="007278BF"/>
    <w:rsid w:val="00727989"/>
    <w:rsid w:val="00727A2B"/>
    <w:rsid w:val="00727EF0"/>
    <w:rsid w:val="00727F26"/>
    <w:rsid w:val="0073047F"/>
    <w:rsid w:val="00730A23"/>
    <w:rsid w:val="00730ABD"/>
    <w:rsid w:val="00730BC8"/>
    <w:rsid w:val="007317F6"/>
    <w:rsid w:val="00731842"/>
    <w:rsid w:val="007319E0"/>
    <w:rsid w:val="00731C47"/>
    <w:rsid w:val="00731EDD"/>
    <w:rsid w:val="00732894"/>
    <w:rsid w:val="00732E3F"/>
    <w:rsid w:val="00733140"/>
    <w:rsid w:val="007333AF"/>
    <w:rsid w:val="00733842"/>
    <w:rsid w:val="007339F5"/>
    <w:rsid w:val="00733B6F"/>
    <w:rsid w:val="00733BCA"/>
    <w:rsid w:val="007345C0"/>
    <w:rsid w:val="007348CD"/>
    <w:rsid w:val="007348F4"/>
    <w:rsid w:val="00734915"/>
    <w:rsid w:val="00734A70"/>
    <w:rsid w:val="00734CC3"/>
    <w:rsid w:val="0073509A"/>
    <w:rsid w:val="007350D7"/>
    <w:rsid w:val="00735417"/>
    <w:rsid w:val="0073585B"/>
    <w:rsid w:val="00735B8C"/>
    <w:rsid w:val="00735F3A"/>
    <w:rsid w:val="007360E2"/>
    <w:rsid w:val="007362A0"/>
    <w:rsid w:val="00736456"/>
    <w:rsid w:val="00736675"/>
    <w:rsid w:val="00736DEC"/>
    <w:rsid w:val="007376A5"/>
    <w:rsid w:val="0073791B"/>
    <w:rsid w:val="00737A19"/>
    <w:rsid w:val="00737B84"/>
    <w:rsid w:val="00737DE0"/>
    <w:rsid w:val="007400CD"/>
    <w:rsid w:val="00740554"/>
    <w:rsid w:val="007405DD"/>
    <w:rsid w:val="0074069E"/>
    <w:rsid w:val="00740934"/>
    <w:rsid w:val="0074095E"/>
    <w:rsid w:val="00740AA1"/>
    <w:rsid w:val="00740CAB"/>
    <w:rsid w:val="00741343"/>
    <w:rsid w:val="00741773"/>
    <w:rsid w:val="00741B1C"/>
    <w:rsid w:val="00741B29"/>
    <w:rsid w:val="007426E7"/>
    <w:rsid w:val="0074284F"/>
    <w:rsid w:val="00742A7D"/>
    <w:rsid w:val="00742A8F"/>
    <w:rsid w:val="00742C30"/>
    <w:rsid w:val="00742DFE"/>
    <w:rsid w:val="007432C5"/>
    <w:rsid w:val="0074475E"/>
    <w:rsid w:val="0074485B"/>
    <w:rsid w:val="00744E2B"/>
    <w:rsid w:val="007451F9"/>
    <w:rsid w:val="0074539B"/>
    <w:rsid w:val="00745748"/>
    <w:rsid w:val="00745EE7"/>
    <w:rsid w:val="00745FDE"/>
    <w:rsid w:val="00746886"/>
    <w:rsid w:val="00746C54"/>
    <w:rsid w:val="00747B44"/>
    <w:rsid w:val="00747B5A"/>
    <w:rsid w:val="00747B8C"/>
    <w:rsid w:val="00747D4B"/>
    <w:rsid w:val="00747F88"/>
    <w:rsid w:val="00750520"/>
    <w:rsid w:val="00750604"/>
    <w:rsid w:val="00750755"/>
    <w:rsid w:val="0075088B"/>
    <w:rsid w:val="00751568"/>
    <w:rsid w:val="00751570"/>
    <w:rsid w:val="00752211"/>
    <w:rsid w:val="00752774"/>
    <w:rsid w:val="00752C96"/>
    <w:rsid w:val="00753A3B"/>
    <w:rsid w:val="00753B75"/>
    <w:rsid w:val="007544CB"/>
    <w:rsid w:val="00754780"/>
    <w:rsid w:val="007547E9"/>
    <w:rsid w:val="00754BC0"/>
    <w:rsid w:val="00754BEA"/>
    <w:rsid w:val="00754E9A"/>
    <w:rsid w:val="00754FE8"/>
    <w:rsid w:val="007552A5"/>
    <w:rsid w:val="007552CD"/>
    <w:rsid w:val="0075559F"/>
    <w:rsid w:val="00755779"/>
    <w:rsid w:val="0075600E"/>
    <w:rsid w:val="0075612B"/>
    <w:rsid w:val="00756132"/>
    <w:rsid w:val="0075653F"/>
    <w:rsid w:val="0075660F"/>
    <w:rsid w:val="00756C96"/>
    <w:rsid w:val="00756E5E"/>
    <w:rsid w:val="00756ECB"/>
    <w:rsid w:val="00757478"/>
    <w:rsid w:val="00757BD0"/>
    <w:rsid w:val="00757F11"/>
    <w:rsid w:val="00757F2A"/>
    <w:rsid w:val="007606DE"/>
    <w:rsid w:val="007608F7"/>
    <w:rsid w:val="00760C7A"/>
    <w:rsid w:val="00760F71"/>
    <w:rsid w:val="00761186"/>
    <w:rsid w:val="00761A53"/>
    <w:rsid w:val="00761AAD"/>
    <w:rsid w:val="00761F50"/>
    <w:rsid w:val="007622E8"/>
    <w:rsid w:val="0076231C"/>
    <w:rsid w:val="007628FB"/>
    <w:rsid w:val="007628FE"/>
    <w:rsid w:val="00763318"/>
    <w:rsid w:val="007633DF"/>
    <w:rsid w:val="00763754"/>
    <w:rsid w:val="007644BA"/>
    <w:rsid w:val="00765064"/>
    <w:rsid w:val="00765367"/>
    <w:rsid w:val="0076537C"/>
    <w:rsid w:val="00765382"/>
    <w:rsid w:val="007655F3"/>
    <w:rsid w:val="00765732"/>
    <w:rsid w:val="00765A1F"/>
    <w:rsid w:val="00765EDF"/>
    <w:rsid w:val="00765FBC"/>
    <w:rsid w:val="00766277"/>
    <w:rsid w:val="00766407"/>
    <w:rsid w:val="00766414"/>
    <w:rsid w:val="00766491"/>
    <w:rsid w:val="00766554"/>
    <w:rsid w:val="007665AA"/>
    <w:rsid w:val="00766884"/>
    <w:rsid w:val="007668CD"/>
    <w:rsid w:val="00766C1D"/>
    <w:rsid w:val="00766D6F"/>
    <w:rsid w:val="00766EAE"/>
    <w:rsid w:val="00766F16"/>
    <w:rsid w:val="00767025"/>
    <w:rsid w:val="00767409"/>
    <w:rsid w:val="00767899"/>
    <w:rsid w:val="00767B0E"/>
    <w:rsid w:val="00767C6A"/>
    <w:rsid w:val="00767D94"/>
    <w:rsid w:val="00770091"/>
    <w:rsid w:val="00770170"/>
    <w:rsid w:val="0077019E"/>
    <w:rsid w:val="007707BE"/>
    <w:rsid w:val="00770AC6"/>
    <w:rsid w:val="00770BD4"/>
    <w:rsid w:val="0077101C"/>
    <w:rsid w:val="00771962"/>
    <w:rsid w:val="007720C9"/>
    <w:rsid w:val="00772154"/>
    <w:rsid w:val="00772244"/>
    <w:rsid w:val="00772284"/>
    <w:rsid w:val="00772783"/>
    <w:rsid w:val="007728ED"/>
    <w:rsid w:val="00772B90"/>
    <w:rsid w:val="0077320F"/>
    <w:rsid w:val="007734B7"/>
    <w:rsid w:val="00773A96"/>
    <w:rsid w:val="00774636"/>
    <w:rsid w:val="00774851"/>
    <w:rsid w:val="00774B7B"/>
    <w:rsid w:val="007756B3"/>
    <w:rsid w:val="00775B1B"/>
    <w:rsid w:val="00775C67"/>
    <w:rsid w:val="007761CB"/>
    <w:rsid w:val="00776208"/>
    <w:rsid w:val="00776877"/>
    <w:rsid w:val="00776F16"/>
    <w:rsid w:val="00776F66"/>
    <w:rsid w:val="007771BA"/>
    <w:rsid w:val="00777B9F"/>
    <w:rsid w:val="00777C1B"/>
    <w:rsid w:val="00780AA2"/>
    <w:rsid w:val="00780D29"/>
    <w:rsid w:val="00780D99"/>
    <w:rsid w:val="0078163E"/>
    <w:rsid w:val="007816CA"/>
    <w:rsid w:val="00781F96"/>
    <w:rsid w:val="00782000"/>
    <w:rsid w:val="007823A0"/>
    <w:rsid w:val="00782588"/>
    <w:rsid w:val="00782807"/>
    <w:rsid w:val="007828FB"/>
    <w:rsid w:val="007829ED"/>
    <w:rsid w:val="00782A51"/>
    <w:rsid w:val="00782F2A"/>
    <w:rsid w:val="0078305A"/>
    <w:rsid w:val="0078329E"/>
    <w:rsid w:val="00783594"/>
    <w:rsid w:val="007836A5"/>
    <w:rsid w:val="00784207"/>
    <w:rsid w:val="0078489F"/>
    <w:rsid w:val="00784B65"/>
    <w:rsid w:val="00784D3C"/>
    <w:rsid w:val="0078538F"/>
    <w:rsid w:val="00785996"/>
    <w:rsid w:val="00785BC2"/>
    <w:rsid w:val="007860AE"/>
    <w:rsid w:val="007861D5"/>
    <w:rsid w:val="00786211"/>
    <w:rsid w:val="0078663A"/>
    <w:rsid w:val="007866C3"/>
    <w:rsid w:val="00786AFE"/>
    <w:rsid w:val="00786D78"/>
    <w:rsid w:val="0078719D"/>
    <w:rsid w:val="00787670"/>
    <w:rsid w:val="007877DD"/>
    <w:rsid w:val="007878E0"/>
    <w:rsid w:val="00787A2F"/>
    <w:rsid w:val="00787C64"/>
    <w:rsid w:val="00787F41"/>
    <w:rsid w:val="007901CE"/>
    <w:rsid w:val="007907DB"/>
    <w:rsid w:val="00790878"/>
    <w:rsid w:val="00790BC7"/>
    <w:rsid w:val="00790CFD"/>
    <w:rsid w:val="00790FE6"/>
    <w:rsid w:val="007916C0"/>
    <w:rsid w:val="007916D6"/>
    <w:rsid w:val="00792021"/>
    <w:rsid w:val="00792240"/>
    <w:rsid w:val="00792381"/>
    <w:rsid w:val="007925ED"/>
    <w:rsid w:val="007926E1"/>
    <w:rsid w:val="0079298B"/>
    <w:rsid w:val="007929C2"/>
    <w:rsid w:val="00792B7F"/>
    <w:rsid w:val="00793273"/>
    <w:rsid w:val="00793452"/>
    <w:rsid w:val="007937F0"/>
    <w:rsid w:val="00793F8B"/>
    <w:rsid w:val="00793FB7"/>
    <w:rsid w:val="00794164"/>
    <w:rsid w:val="00794165"/>
    <w:rsid w:val="007941D8"/>
    <w:rsid w:val="00794F53"/>
    <w:rsid w:val="0079522C"/>
    <w:rsid w:val="0079559F"/>
    <w:rsid w:val="0079568B"/>
    <w:rsid w:val="007956E6"/>
    <w:rsid w:val="0079574D"/>
    <w:rsid w:val="007958A0"/>
    <w:rsid w:val="00795D64"/>
    <w:rsid w:val="007961B6"/>
    <w:rsid w:val="007961CF"/>
    <w:rsid w:val="007969A1"/>
    <w:rsid w:val="00796A83"/>
    <w:rsid w:val="00796E1B"/>
    <w:rsid w:val="00796F9B"/>
    <w:rsid w:val="00797191"/>
    <w:rsid w:val="007974DC"/>
    <w:rsid w:val="00797FE8"/>
    <w:rsid w:val="007A06C9"/>
    <w:rsid w:val="007A0AD7"/>
    <w:rsid w:val="007A0F24"/>
    <w:rsid w:val="007A1179"/>
    <w:rsid w:val="007A1616"/>
    <w:rsid w:val="007A2984"/>
    <w:rsid w:val="007A2C42"/>
    <w:rsid w:val="007A2F22"/>
    <w:rsid w:val="007A31A2"/>
    <w:rsid w:val="007A3F4A"/>
    <w:rsid w:val="007A4892"/>
    <w:rsid w:val="007A4970"/>
    <w:rsid w:val="007A5284"/>
    <w:rsid w:val="007A59CD"/>
    <w:rsid w:val="007A6294"/>
    <w:rsid w:val="007A658E"/>
    <w:rsid w:val="007A6C9C"/>
    <w:rsid w:val="007A6FF8"/>
    <w:rsid w:val="007A7201"/>
    <w:rsid w:val="007A7486"/>
    <w:rsid w:val="007A7939"/>
    <w:rsid w:val="007A7B41"/>
    <w:rsid w:val="007A7DF1"/>
    <w:rsid w:val="007B04CF"/>
    <w:rsid w:val="007B0DAA"/>
    <w:rsid w:val="007B0DFD"/>
    <w:rsid w:val="007B10B4"/>
    <w:rsid w:val="007B1136"/>
    <w:rsid w:val="007B1312"/>
    <w:rsid w:val="007B19B9"/>
    <w:rsid w:val="007B1B09"/>
    <w:rsid w:val="007B1D5B"/>
    <w:rsid w:val="007B1E79"/>
    <w:rsid w:val="007B20B8"/>
    <w:rsid w:val="007B2340"/>
    <w:rsid w:val="007B245F"/>
    <w:rsid w:val="007B25C7"/>
    <w:rsid w:val="007B2A8F"/>
    <w:rsid w:val="007B33C2"/>
    <w:rsid w:val="007B3933"/>
    <w:rsid w:val="007B3D4E"/>
    <w:rsid w:val="007B3E3E"/>
    <w:rsid w:val="007B4E47"/>
    <w:rsid w:val="007B50B0"/>
    <w:rsid w:val="007B5883"/>
    <w:rsid w:val="007B5C80"/>
    <w:rsid w:val="007B5FCA"/>
    <w:rsid w:val="007B62D8"/>
    <w:rsid w:val="007B62DB"/>
    <w:rsid w:val="007B653B"/>
    <w:rsid w:val="007B65CE"/>
    <w:rsid w:val="007B6803"/>
    <w:rsid w:val="007B680D"/>
    <w:rsid w:val="007B6A08"/>
    <w:rsid w:val="007B6CA8"/>
    <w:rsid w:val="007B79F9"/>
    <w:rsid w:val="007B7E78"/>
    <w:rsid w:val="007C018D"/>
    <w:rsid w:val="007C0355"/>
    <w:rsid w:val="007C035D"/>
    <w:rsid w:val="007C04CE"/>
    <w:rsid w:val="007C05E6"/>
    <w:rsid w:val="007C0913"/>
    <w:rsid w:val="007C108B"/>
    <w:rsid w:val="007C1318"/>
    <w:rsid w:val="007C1A29"/>
    <w:rsid w:val="007C1A2F"/>
    <w:rsid w:val="007C1C67"/>
    <w:rsid w:val="007C1EF6"/>
    <w:rsid w:val="007C1F92"/>
    <w:rsid w:val="007C215A"/>
    <w:rsid w:val="007C21D2"/>
    <w:rsid w:val="007C22F7"/>
    <w:rsid w:val="007C2865"/>
    <w:rsid w:val="007C2B6E"/>
    <w:rsid w:val="007C31BC"/>
    <w:rsid w:val="007C388D"/>
    <w:rsid w:val="007C3E04"/>
    <w:rsid w:val="007C3FEA"/>
    <w:rsid w:val="007C421C"/>
    <w:rsid w:val="007C455E"/>
    <w:rsid w:val="007C47BB"/>
    <w:rsid w:val="007C48C3"/>
    <w:rsid w:val="007C48E4"/>
    <w:rsid w:val="007C4B55"/>
    <w:rsid w:val="007C4BDF"/>
    <w:rsid w:val="007C4FE3"/>
    <w:rsid w:val="007C51DE"/>
    <w:rsid w:val="007C5291"/>
    <w:rsid w:val="007C5342"/>
    <w:rsid w:val="007C58F4"/>
    <w:rsid w:val="007C5D42"/>
    <w:rsid w:val="007C5D7D"/>
    <w:rsid w:val="007C5E6A"/>
    <w:rsid w:val="007C60AF"/>
    <w:rsid w:val="007C6423"/>
    <w:rsid w:val="007C643A"/>
    <w:rsid w:val="007C68B6"/>
    <w:rsid w:val="007C6BB6"/>
    <w:rsid w:val="007C6D6E"/>
    <w:rsid w:val="007C73E3"/>
    <w:rsid w:val="007C78C4"/>
    <w:rsid w:val="007C79B6"/>
    <w:rsid w:val="007C7C09"/>
    <w:rsid w:val="007D0099"/>
    <w:rsid w:val="007D017B"/>
    <w:rsid w:val="007D0439"/>
    <w:rsid w:val="007D04A2"/>
    <w:rsid w:val="007D06F8"/>
    <w:rsid w:val="007D0D86"/>
    <w:rsid w:val="007D0E88"/>
    <w:rsid w:val="007D134D"/>
    <w:rsid w:val="007D1776"/>
    <w:rsid w:val="007D1794"/>
    <w:rsid w:val="007D1832"/>
    <w:rsid w:val="007D1BB0"/>
    <w:rsid w:val="007D2174"/>
    <w:rsid w:val="007D21D6"/>
    <w:rsid w:val="007D24C1"/>
    <w:rsid w:val="007D27BD"/>
    <w:rsid w:val="007D2884"/>
    <w:rsid w:val="007D321A"/>
    <w:rsid w:val="007D355B"/>
    <w:rsid w:val="007D36EB"/>
    <w:rsid w:val="007D3746"/>
    <w:rsid w:val="007D3906"/>
    <w:rsid w:val="007D4009"/>
    <w:rsid w:val="007D4682"/>
    <w:rsid w:val="007D48A9"/>
    <w:rsid w:val="007D4917"/>
    <w:rsid w:val="007D4C64"/>
    <w:rsid w:val="007D4E67"/>
    <w:rsid w:val="007D4E7F"/>
    <w:rsid w:val="007D59A7"/>
    <w:rsid w:val="007D5B9D"/>
    <w:rsid w:val="007D6156"/>
    <w:rsid w:val="007D615A"/>
    <w:rsid w:val="007D62C0"/>
    <w:rsid w:val="007D64C7"/>
    <w:rsid w:val="007D653A"/>
    <w:rsid w:val="007D6EDE"/>
    <w:rsid w:val="007D6FEF"/>
    <w:rsid w:val="007D6FF2"/>
    <w:rsid w:val="007D7738"/>
    <w:rsid w:val="007E00D7"/>
    <w:rsid w:val="007E02D2"/>
    <w:rsid w:val="007E03E6"/>
    <w:rsid w:val="007E0438"/>
    <w:rsid w:val="007E047D"/>
    <w:rsid w:val="007E0660"/>
    <w:rsid w:val="007E0AA8"/>
    <w:rsid w:val="007E0ED9"/>
    <w:rsid w:val="007E118D"/>
    <w:rsid w:val="007E16EF"/>
    <w:rsid w:val="007E17BC"/>
    <w:rsid w:val="007E1A7E"/>
    <w:rsid w:val="007E1B84"/>
    <w:rsid w:val="007E2198"/>
    <w:rsid w:val="007E23B2"/>
    <w:rsid w:val="007E278F"/>
    <w:rsid w:val="007E2DE7"/>
    <w:rsid w:val="007E305B"/>
    <w:rsid w:val="007E30AF"/>
    <w:rsid w:val="007E37CF"/>
    <w:rsid w:val="007E3C26"/>
    <w:rsid w:val="007E3E1F"/>
    <w:rsid w:val="007E4154"/>
    <w:rsid w:val="007E43CB"/>
    <w:rsid w:val="007E43FE"/>
    <w:rsid w:val="007E4BB2"/>
    <w:rsid w:val="007E4DDC"/>
    <w:rsid w:val="007E5545"/>
    <w:rsid w:val="007E59CE"/>
    <w:rsid w:val="007E5F0A"/>
    <w:rsid w:val="007E5F31"/>
    <w:rsid w:val="007E663D"/>
    <w:rsid w:val="007E673B"/>
    <w:rsid w:val="007E676A"/>
    <w:rsid w:val="007E67CD"/>
    <w:rsid w:val="007E6825"/>
    <w:rsid w:val="007E68CF"/>
    <w:rsid w:val="007E6C92"/>
    <w:rsid w:val="007E6EFB"/>
    <w:rsid w:val="007E73FA"/>
    <w:rsid w:val="007E770A"/>
    <w:rsid w:val="007E7C0D"/>
    <w:rsid w:val="007F0532"/>
    <w:rsid w:val="007F0600"/>
    <w:rsid w:val="007F06FA"/>
    <w:rsid w:val="007F0C22"/>
    <w:rsid w:val="007F0ED3"/>
    <w:rsid w:val="007F1269"/>
    <w:rsid w:val="007F138B"/>
    <w:rsid w:val="007F15A0"/>
    <w:rsid w:val="007F17B9"/>
    <w:rsid w:val="007F18C5"/>
    <w:rsid w:val="007F1AAA"/>
    <w:rsid w:val="007F1E7E"/>
    <w:rsid w:val="007F29BB"/>
    <w:rsid w:val="007F2D65"/>
    <w:rsid w:val="007F33FE"/>
    <w:rsid w:val="007F34A1"/>
    <w:rsid w:val="007F369E"/>
    <w:rsid w:val="007F378C"/>
    <w:rsid w:val="007F3F43"/>
    <w:rsid w:val="007F4D65"/>
    <w:rsid w:val="007F51AA"/>
    <w:rsid w:val="007F56D7"/>
    <w:rsid w:val="007F5972"/>
    <w:rsid w:val="007F5A60"/>
    <w:rsid w:val="007F5D89"/>
    <w:rsid w:val="007F5F2A"/>
    <w:rsid w:val="007F6150"/>
    <w:rsid w:val="007F6564"/>
    <w:rsid w:val="007F65AB"/>
    <w:rsid w:val="007F67A5"/>
    <w:rsid w:val="007F6EA4"/>
    <w:rsid w:val="007F7268"/>
    <w:rsid w:val="007F7989"/>
    <w:rsid w:val="007F79DA"/>
    <w:rsid w:val="007F7F19"/>
    <w:rsid w:val="00800728"/>
    <w:rsid w:val="00801275"/>
    <w:rsid w:val="00801C06"/>
    <w:rsid w:val="00801CD7"/>
    <w:rsid w:val="008029E5"/>
    <w:rsid w:val="00802C88"/>
    <w:rsid w:val="00803235"/>
    <w:rsid w:val="0080352A"/>
    <w:rsid w:val="00803545"/>
    <w:rsid w:val="00803619"/>
    <w:rsid w:val="008039EF"/>
    <w:rsid w:val="00803E20"/>
    <w:rsid w:val="008047AA"/>
    <w:rsid w:val="00804817"/>
    <w:rsid w:val="0080666C"/>
    <w:rsid w:val="0080699B"/>
    <w:rsid w:val="00806B1D"/>
    <w:rsid w:val="00806B93"/>
    <w:rsid w:val="00806DAA"/>
    <w:rsid w:val="00806EBC"/>
    <w:rsid w:val="008076E1"/>
    <w:rsid w:val="00807766"/>
    <w:rsid w:val="00807E2C"/>
    <w:rsid w:val="00810CDE"/>
    <w:rsid w:val="00810D05"/>
    <w:rsid w:val="00810DB9"/>
    <w:rsid w:val="00810E92"/>
    <w:rsid w:val="008116F7"/>
    <w:rsid w:val="00811869"/>
    <w:rsid w:val="00811B2C"/>
    <w:rsid w:val="00812519"/>
    <w:rsid w:val="008127AE"/>
    <w:rsid w:val="00812B03"/>
    <w:rsid w:val="00812DA6"/>
    <w:rsid w:val="00812E8A"/>
    <w:rsid w:val="008131A8"/>
    <w:rsid w:val="00813285"/>
    <w:rsid w:val="0081447A"/>
    <w:rsid w:val="0081462B"/>
    <w:rsid w:val="00814909"/>
    <w:rsid w:val="008151B3"/>
    <w:rsid w:val="0081552D"/>
    <w:rsid w:val="00815C9F"/>
    <w:rsid w:val="00815EB4"/>
    <w:rsid w:val="00816064"/>
    <w:rsid w:val="008166BF"/>
    <w:rsid w:val="00817494"/>
    <w:rsid w:val="008175AD"/>
    <w:rsid w:val="00817A2D"/>
    <w:rsid w:val="00817E79"/>
    <w:rsid w:val="0082029A"/>
    <w:rsid w:val="008207EA"/>
    <w:rsid w:val="00820ECC"/>
    <w:rsid w:val="008215C4"/>
    <w:rsid w:val="00821931"/>
    <w:rsid w:val="00821A54"/>
    <w:rsid w:val="00821E2F"/>
    <w:rsid w:val="008226BE"/>
    <w:rsid w:val="00822CA8"/>
    <w:rsid w:val="008231A4"/>
    <w:rsid w:val="008233EE"/>
    <w:rsid w:val="008244F7"/>
    <w:rsid w:val="008248B4"/>
    <w:rsid w:val="00824B0D"/>
    <w:rsid w:val="00824B15"/>
    <w:rsid w:val="00824C96"/>
    <w:rsid w:val="008252DC"/>
    <w:rsid w:val="008253B0"/>
    <w:rsid w:val="008253DB"/>
    <w:rsid w:val="00825578"/>
    <w:rsid w:val="008255EC"/>
    <w:rsid w:val="00825722"/>
    <w:rsid w:val="008259CC"/>
    <w:rsid w:val="00825A11"/>
    <w:rsid w:val="00825E0A"/>
    <w:rsid w:val="00826011"/>
    <w:rsid w:val="008263B4"/>
    <w:rsid w:val="008265E2"/>
    <w:rsid w:val="00826B8E"/>
    <w:rsid w:val="00827387"/>
    <w:rsid w:val="00827589"/>
    <w:rsid w:val="00827724"/>
    <w:rsid w:val="008278FA"/>
    <w:rsid w:val="008305F2"/>
    <w:rsid w:val="0083061E"/>
    <w:rsid w:val="00830A7C"/>
    <w:rsid w:val="0083123C"/>
    <w:rsid w:val="0083147E"/>
    <w:rsid w:val="008317F7"/>
    <w:rsid w:val="008319CD"/>
    <w:rsid w:val="00831AE1"/>
    <w:rsid w:val="00831BBC"/>
    <w:rsid w:val="00831EB6"/>
    <w:rsid w:val="00832365"/>
    <w:rsid w:val="00832ACA"/>
    <w:rsid w:val="00832E64"/>
    <w:rsid w:val="0083325A"/>
    <w:rsid w:val="008335CC"/>
    <w:rsid w:val="00833604"/>
    <w:rsid w:val="00833718"/>
    <w:rsid w:val="0083380D"/>
    <w:rsid w:val="00833962"/>
    <w:rsid w:val="00833F02"/>
    <w:rsid w:val="00833F59"/>
    <w:rsid w:val="00834023"/>
    <w:rsid w:val="00834077"/>
    <w:rsid w:val="008340CB"/>
    <w:rsid w:val="00834617"/>
    <w:rsid w:val="008347C3"/>
    <w:rsid w:val="00834D3A"/>
    <w:rsid w:val="00834EF1"/>
    <w:rsid w:val="00834F4C"/>
    <w:rsid w:val="00835255"/>
    <w:rsid w:val="00835256"/>
    <w:rsid w:val="0083529F"/>
    <w:rsid w:val="0083572F"/>
    <w:rsid w:val="008357A5"/>
    <w:rsid w:val="00835836"/>
    <w:rsid w:val="008358A0"/>
    <w:rsid w:val="00836361"/>
    <w:rsid w:val="0083637A"/>
    <w:rsid w:val="00836CAD"/>
    <w:rsid w:val="00836E3B"/>
    <w:rsid w:val="008372EB"/>
    <w:rsid w:val="0083737E"/>
    <w:rsid w:val="008379DE"/>
    <w:rsid w:val="00837AD2"/>
    <w:rsid w:val="00837BE1"/>
    <w:rsid w:val="00837D5C"/>
    <w:rsid w:val="00840B69"/>
    <w:rsid w:val="00840BC4"/>
    <w:rsid w:val="008416E0"/>
    <w:rsid w:val="00841E17"/>
    <w:rsid w:val="00841E59"/>
    <w:rsid w:val="00841F40"/>
    <w:rsid w:val="008420A0"/>
    <w:rsid w:val="00842231"/>
    <w:rsid w:val="0084268E"/>
    <w:rsid w:val="00842951"/>
    <w:rsid w:val="00842F0A"/>
    <w:rsid w:val="008434BF"/>
    <w:rsid w:val="00843D8B"/>
    <w:rsid w:val="00843F1C"/>
    <w:rsid w:val="00843F3B"/>
    <w:rsid w:val="00843F3D"/>
    <w:rsid w:val="00844A24"/>
    <w:rsid w:val="00844AE7"/>
    <w:rsid w:val="00844E94"/>
    <w:rsid w:val="008452C4"/>
    <w:rsid w:val="00845542"/>
    <w:rsid w:val="008456F0"/>
    <w:rsid w:val="008459A4"/>
    <w:rsid w:val="00845EFE"/>
    <w:rsid w:val="00846973"/>
    <w:rsid w:val="00846A29"/>
    <w:rsid w:val="00846AF1"/>
    <w:rsid w:val="00846CE0"/>
    <w:rsid w:val="0084702D"/>
    <w:rsid w:val="00847226"/>
    <w:rsid w:val="0084732B"/>
    <w:rsid w:val="00847496"/>
    <w:rsid w:val="00847805"/>
    <w:rsid w:val="00847CA3"/>
    <w:rsid w:val="00847FBE"/>
    <w:rsid w:val="00850254"/>
    <w:rsid w:val="008509BB"/>
    <w:rsid w:val="00851C78"/>
    <w:rsid w:val="00851FF8"/>
    <w:rsid w:val="008520CE"/>
    <w:rsid w:val="008520D6"/>
    <w:rsid w:val="008522A4"/>
    <w:rsid w:val="008522BD"/>
    <w:rsid w:val="00852448"/>
    <w:rsid w:val="0085256B"/>
    <w:rsid w:val="0085261A"/>
    <w:rsid w:val="008527A1"/>
    <w:rsid w:val="00852F2A"/>
    <w:rsid w:val="00853300"/>
    <w:rsid w:val="008535B4"/>
    <w:rsid w:val="008537C1"/>
    <w:rsid w:val="00853871"/>
    <w:rsid w:val="008539EF"/>
    <w:rsid w:val="00853EC1"/>
    <w:rsid w:val="008548D3"/>
    <w:rsid w:val="00854AC7"/>
    <w:rsid w:val="00854F0D"/>
    <w:rsid w:val="00854FBC"/>
    <w:rsid w:val="00855834"/>
    <w:rsid w:val="00855DF6"/>
    <w:rsid w:val="008560BF"/>
    <w:rsid w:val="0085638F"/>
    <w:rsid w:val="0085677B"/>
    <w:rsid w:val="008568AC"/>
    <w:rsid w:val="00856E8A"/>
    <w:rsid w:val="00857208"/>
    <w:rsid w:val="00857508"/>
    <w:rsid w:val="008578D3"/>
    <w:rsid w:val="008603C4"/>
    <w:rsid w:val="00860B52"/>
    <w:rsid w:val="00860E68"/>
    <w:rsid w:val="00860F68"/>
    <w:rsid w:val="00861A32"/>
    <w:rsid w:val="008628A2"/>
    <w:rsid w:val="008628E2"/>
    <w:rsid w:val="00862A22"/>
    <w:rsid w:val="00862DBD"/>
    <w:rsid w:val="008630C3"/>
    <w:rsid w:val="00863B32"/>
    <w:rsid w:val="00863D4A"/>
    <w:rsid w:val="0086482E"/>
    <w:rsid w:val="00864AFD"/>
    <w:rsid w:val="00864DBF"/>
    <w:rsid w:val="00864FC0"/>
    <w:rsid w:val="008655C5"/>
    <w:rsid w:val="00867237"/>
    <w:rsid w:val="00867E80"/>
    <w:rsid w:val="00867ECC"/>
    <w:rsid w:val="00867EF2"/>
    <w:rsid w:val="0087012F"/>
    <w:rsid w:val="00870162"/>
    <w:rsid w:val="00870B2C"/>
    <w:rsid w:val="00870D63"/>
    <w:rsid w:val="00871574"/>
    <w:rsid w:val="008715D0"/>
    <w:rsid w:val="008723AC"/>
    <w:rsid w:val="00872B88"/>
    <w:rsid w:val="00872BD8"/>
    <w:rsid w:val="00872DF9"/>
    <w:rsid w:val="00872EAA"/>
    <w:rsid w:val="00873336"/>
    <w:rsid w:val="00873709"/>
    <w:rsid w:val="00873860"/>
    <w:rsid w:val="00873AD3"/>
    <w:rsid w:val="00873BAA"/>
    <w:rsid w:val="00873DDC"/>
    <w:rsid w:val="0087432C"/>
    <w:rsid w:val="0087450C"/>
    <w:rsid w:val="00874687"/>
    <w:rsid w:val="008748DB"/>
    <w:rsid w:val="00874AF8"/>
    <w:rsid w:val="00874B8F"/>
    <w:rsid w:val="00874FCA"/>
    <w:rsid w:val="0087540F"/>
    <w:rsid w:val="00875561"/>
    <w:rsid w:val="00875676"/>
    <w:rsid w:val="00875747"/>
    <w:rsid w:val="00876D12"/>
    <w:rsid w:val="00876E7F"/>
    <w:rsid w:val="00876FE4"/>
    <w:rsid w:val="00877066"/>
    <w:rsid w:val="0087736A"/>
    <w:rsid w:val="008776B7"/>
    <w:rsid w:val="008779BC"/>
    <w:rsid w:val="00877B36"/>
    <w:rsid w:val="00877BFF"/>
    <w:rsid w:val="00877E64"/>
    <w:rsid w:val="00877FA3"/>
    <w:rsid w:val="00880012"/>
    <w:rsid w:val="008800E0"/>
    <w:rsid w:val="00880179"/>
    <w:rsid w:val="0088052E"/>
    <w:rsid w:val="00880CAF"/>
    <w:rsid w:val="00880E10"/>
    <w:rsid w:val="00880F15"/>
    <w:rsid w:val="008813F3"/>
    <w:rsid w:val="008817E1"/>
    <w:rsid w:val="00881FBF"/>
    <w:rsid w:val="00882134"/>
    <w:rsid w:val="008822F2"/>
    <w:rsid w:val="008829A2"/>
    <w:rsid w:val="00882C3B"/>
    <w:rsid w:val="008830A1"/>
    <w:rsid w:val="0088325B"/>
    <w:rsid w:val="008838C6"/>
    <w:rsid w:val="00883F2E"/>
    <w:rsid w:val="0088415D"/>
    <w:rsid w:val="00884583"/>
    <w:rsid w:val="00884609"/>
    <w:rsid w:val="00884AC4"/>
    <w:rsid w:val="00884F73"/>
    <w:rsid w:val="008850E6"/>
    <w:rsid w:val="00885658"/>
    <w:rsid w:val="00885C2B"/>
    <w:rsid w:val="00886034"/>
    <w:rsid w:val="00886129"/>
    <w:rsid w:val="0088699E"/>
    <w:rsid w:val="00886A65"/>
    <w:rsid w:val="00886A89"/>
    <w:rsid w:val="00886E16"/>
    <w:rsid w:val="0088708E"/>
    <w:rsid w:val="00891124"/>
    <w:rsid w:val="0089125A"/>
    <w:rsid w:val="008914F7"/>
    <w:rsid w:val="00891A6F"/>
    <w:rsid w:val="00891BD4"/>
    <w:rsid w:val="00891C62"/>
    <w:rsid w:val="00891E3E"/>
    <w:rsid w:val="0089216C"/>
    <w:rsid w:val="00892512"/>
    <w:rsid w:val="008925AF"/>
    <w:rsid w:val="0089277E"/>
    <w:rsid w:val="00892CB0"/>
    <w:rsid w:val="008937A9"/>
    <w:rsid w:val="0089394E"/>
    <w:rsid w:val="00893E3A"/>
    <w:rsid w:val="0089400C"/>
    <w:rsid w:val="0089402B"/>
    <w:rsid w:val="008940EB"/>
    <w:rsid w:val="008941B6"/>
    <w:rsid w:val="00894533"/>
    <w:rsid w:val="008947AE"/>
    <w:rsid w:val="0089501F"/>
    <w:rsid w:val="0089507C"/>
    <w:rsid w:val="0089558A"/>
    <w:rsid w:val="008958EE"/>
    <w:rsid w:val="00895F49"/>
    <w:rsid w:val="008960E7"/>
    <w:rsid w:val="0089625F"/>
    <w:rsid w:val="008963DB"/>
    <w:rsid w:val="008964F9"/>
    <w:rsid w:val="008966E5"/>
    <w:rsid w:val="00896858"/>
    <w:rsid w:val="00896A96"/>
    <w:rsid w:val="00896E67"/>
    <w:rsid w:val="00896F23"/>
    <w:rsid w:val="008973D0"/>
    <w:rsid w:val="00897F92"/>
    <w:rsid w:val="008A082B"/>
    <w:rsid w:val="008A0F19"/>
    <w:rsid w:val="008A1351"/>
    <w:rsid w:val="008A194D"/>
    <w:rsid w:val="008A1BAD"/>
    <w:rsid w:val="008A2179"/>
    <w:rsid w:val="008A23B2"/>
    <w:rsid w:val="008A24A0"/>
    <w:rsid w:val="008A2719"/>
    <w:rsid w:val="008A2A9B"/>
    <w:rsid w:val="008A33B0"/>
    <w:rsid w:val="008A3647"/>
    <w:rsid w:val="008A3BEF"/>
    <w:rsid w:val="008A3C28"/>
    <w:rsid w:val="008A3F05"/>
    <w:rsid w:val="008A3F85"/>
    <w:rsid w:val="008A41BE"/>
    <w:rsid w:val="008A42B0"/>
    <w:rsid w:val="008A433B"/>
    <w:rsid w:val="008A439D"/>
    <w:rsid w:val="008A44AD"/>
    <w:rsid w:val="008A480A"/>
    <w:rsid w:val="008A4961"/>
    <w:rsid w:val="008A4ABE"/>
    <w:rsid w:val="008A4D5C"/>
    <w:rsid w:val="008A4D7D"/>
    <w:rsid w:val="008A4F47"/>
    <w:rsid w:val="008A4F4E"/>
    <w:rsid w:val="008A504A"/>
    <w:rsid w:val="008A5569"/>
    <w:rsid w:val="008A59CA"/>
    <w:rsid w:val="008A5AB1"/>
    <w:rsid w:val="008A5F3A"/>
    <w:rsid w:val="008A69A7"/>
    <w:rsid w:val="008A6BC0"/>
    <w:rsid w:val="008A6C5E"/>
    <w:rsid w:val="008A7495"/>
    <w:rsid w:val="008A7504"/>
    <w:rsid w:val="008A79CC"/>
    <w:rsid w:val="008A7DD0"/>
    <w:rsid w:val="008B0276"/>
    <w:rsid w:val="008B05BF"/>
    <w:rsid w:val="008B0C70"/>
    <w:rsid w:val="008B0CC5"/>
    <w:rsid w:val="008B1521"/>
    <w:rsid w:val="008B15DE"/>
    <w:rsid w:val="008B1696"/>
    <w:rsid w:val="008B179F"/>
    <w:rsid w:val="008B1942"/>
    <w:rsid w:val="008B1A6E"/>
    <w:rsid w:val="008B1E66"/>
    <w:rsid w:val="008B2119"/>
    <w:rsid w:val="008B235E"/>
    <w:rsid w:val="008B2682"/>
    <w:rsid w:val="008B3561"/>
    <w:rsid w:val="008B3A85"/>
    <w:rsid w:val="008B3D8F"/>
    <w:rsid w:val="008B4447"/>
    <w:rsid w:val="008B4A55"/>
    <w:rsid w:val="008B519C"/>
    <w:rsid w:val="008B5677"/>
    <w:rsid w:val="008B5E2C"/>
    <w:rsid w:val="008B649C"/>
    <w:rsid w:val="008B652E"/>
    <w:rsid w:val="008B66E7"/>
    <w:rsid w:val="008B6702"/>
    <w:rsid w:val="008B6E6C"/>
    <w:rsid w:val="008B6EC9"/>
    <w:rsid w:val="008B7154"/>
    <w:rsid w:val="008B7529"/>
    <w:rsid w:val="008B78FC"/>
    <w:rsid w:val="008B7BCA"/>
    <w:rsid w:val="008B7C62"/>
    <w:rsid w:val="008B7DD2"/>
    <w:rsid w:val="008B7E92"/>
    <w:rsid w:val="008C06D5"/>
    <w:rsid w:val="008C0DD5"/>
    <w:rsid w:val="008C0FF8"/>
    <w:rsid w:val="008C1519"/>
    <w:rsid w:val="008C1BB8"/>
    <w:rsid w:val="008C2417"/>
    <w:rsid w:val="008C2504"/>
    <w:rsid w:val="008C2CBF"/>
    <w:rsid w:val="008C3040"/>
    <w:rsid w:val="008C342E"/>
    <w:rsid w:val="008C35B3"/>
    <w:rsid w:val="008C370C"/>
    <w:rsid w:val="008C3AE6"/>
    <w:rsid w:val="008C3DDD"/>
    <w:rsid w:val="008C3E2A"/>
    <w:rsid w:val="008C4329"/>
    <w:rsid w:val="008C43E6"/>
    <w:rsid w:val="008C48B5"/>
    <w:rsid w:val="008C5026"/>
    <w:rsid w:val="008C5307"/>
    <w:rsid w:val="008C5786"/>
    <w:rsid w:val="008C5D70"/>
    <w:rsid w:val="008C696A"/>
    <w:rsid w:val="008C6B5F"/>
    <w:rsid w:val="008C6BE4"/>
    <w:rsid w:val="008C6CAD"/>
    <w:rsid w:val="008C6F6C"/>
    <w:rsid w:val="008C753A"/>
    <w:rsid w:val="008D0127"/>
    <w:rsid w:val="008D05CD"/>
    <w:rsid w:val="008D12EC"/>
    <w:rsid w:val="008D1993"/>
    <w:rsid w:val="008D1E06"/>
    <w:rsid w:val="008D2514"/>
    <w:rsid w:val="008D2A86"/>
    <w:rsid w:val="008D2C7F"/>
    <w:rsid w:val="008D300A"/>
    <w:rsid w:val="008D38A2"/>
    <w:rsid w:val="008D3920"/>
    <w:rsid w:val="008D3EA1"/>
    <w:rsid w:val="008D420E"/>
    <w:rsid w:val="008D426E"/>
    <w:rsid w:val="008D4444"/>
    <w:rsid w:val="008D490D"/>
    <w:rsid w:val="008D4A68"/>
    <w:rsid w:val="008D4A8E"/>
    <w:rsid w:val="008D4BF6"/>
    <w:rsid w:val="008D516D"/>
    <w:rsid w:val="008D5463"/>
    <w:rsid w:val="008D5F01"/>
    <w:rsid w:val="008D6095"/>
    <w:rsid w:val="008D6112"/>
    <w:rsid w:val="008D6612"/>
    <w:rsid w:val="008D6D9E"/>
    <w:rsid w:val="008D74D1"/>
    <w:rsid w:val="008D7773"/>
    <w:rsid w:val="008D7AD9"/>
    <w:rsid w:val="008D7B21"/>
    <w:rsid w:val="008D7EBB"/>
    <w:rsid w:val="008E043F"/>
    <w:rsid w:val="008E05CD"/>
    <w:rsid w:val="008E07EC"/>
    <w:rsid w:val="008E089A"/>
    <w:rsid w:val="008E10E8"/>
    <w:rsid w:val="008E139E"/>
    <w:rsid w:val="008E17B9"/>
    <w:rsid w:val="008E25A6"/>
    <w:rsid w:val="008E2665"/>
    <w:rsid w:val="008E269B"/>
    <w:rsid w:val="008E2AB3"/>
    <w:rsid w:val="008E2F41"/>
    <w:rsid w:val="008E2FAB"/>
    <w:rsid w:val="008E3002"/>
    <w:rsid w:val="008E385D"/>
    <w:rsid w:val="008E3A78"/>
    <w:rsid w:val="008E3D89"/>
    <w:rsid w:val="008E3F78"/>
    <w:rsid w:val="008E4572"/>
    <w:rsid w:val="008E4733"/>
    <w:rsid w:val="008E4E0B"/>
    <w:rsid w:val="008E54B1"/>
    <w:rsid w:val="008E5826"/>
    <w:rsid w:val="008E5AE8"/>
    <w:rsid w:val="008E5AF6"/>
    <w:rsid w:val="008E5E2C"/>
    <w:rsid w:val="008E5F3C"/>
    <w:rsid w:val="008E672B"/>
    <w:rsid w:val="008E68D8"/>
    <w:rsid w:val="008E6A94"/>
    <w:rsid w:val="008E6B11"/>
    <w:rsid w:val="008E7087"/>
    <w:rsid w:val="008E72C5"/>
    <w:rsid w:val="008E7311"/>
    <w:rsid w:val="008E7BEF"/>
    <w:rsid w:val="008E7C04"/>
    <w:rsid w:val="008F08C6"/>
    <w:rsid w:val="008F119E"/>
    <w:rsid w:val="008F13B1"/>
    <w:rsid w:val="008F1572"/>
    <w:rsid w:val="008F1EDA"/>
    <w:rsid w:val="008F1F5C"/>
    <w:rsid w:val="008F1F87"/>
    <w:rsid w:val="008F2791"/>
    <w:rsid w:val="008F287D"/>
    <w:rsid w:val="008F2DBE"/>
    <w:rsid w:val="008F357E"/>
    <w:rsid w:val="008F3B77"/>
    <w:rsid w:val="008F3E41"/>
    <w:rsid w:val="008F3FB0"/>
    <w:rsid w:val="008F429B"/>
    <w:rsid w:val="008F431C"/>
    <w:rsid w:val="008F484F"/>
    <w:rsid w:val="008F4F0A"/>
    <w:rsid w:val="008F55E7"/>
    <w:rsid w:val="008F5754"/>
    <w:rsid w:val="008F62B4"/>
    <w:rsid w:val="008F62C2"/>
    <w:rsid w:val="008F63DC"/>
    <w:rsid w:val="008F6E44"/>
    <w:rsid w:val="008F7343"/>
    <w:rsid w:val="008F7A19"/>
    <w:rsid w:val="008F7EDA"/>
    <w:rsid w:val="008F7F75"/>
    <w:rsid w:val="00900A89"/>
    <w:rsid w:val="00900C96"/>
    <w:rsid w:val="00900FC4"/>
    <w:rsid w:val="0090136C"/>
    <w:rsid w:val="009016A0"/>
    <w:rsid w:val="009016FD"/>
    <w:rsid w:val="0090197C"/>
    <w:rsid w:val="00901B8C"/>
    <w:rsid w:val="00902298"/>
    <w:rsid w:val="0090237A"/>
    <w:rsid w:val="00902381"/>
    <w:rsid w:val="0090238C"/>
    <w:rsid w:val="00902A9E"/>
    <w:rsid w:val="00902E2B"/>
    <w:rsid w:val="009031EB"/>
    <w:rsid w:val="0090323F"/>
    <w:rsid w:val="00903267"/>
    <w:rsid w:val="00903597"/>
    <w:rsid w:val="009041B6"/>
    <w:rsid w:val="0090421C"/>
    <w:rsid w:val="009044B7"/>
    <w:rsid w:val="009045E0"/>
    <w:rsid w:val="0090485A"/>
    <w:rsid w:val="00904964"/>
    <w:rsid w:val="00904A74"/>
    <w:rsid w:val="00904DE8"/>
    <w:rsid w:val="00904E3E"/>
    <w:rsid w:val="00905388"/>
    <w:rsid w:val="009054C6"/>
    <w:rsid w:val="00905860"/>
    <w:rsid w:val="009059D9"/>
    <w:rsid w:val="00906287"/>
    <w:rsid w:val="00906398"/>
    <w:rsid w:val="00906495"/>
    <w:rsid w:val="00906874"/>
    <w:rsid w:val="00906C65"/>
    <w:rsid w:val="00907325"/>
    <w:rsid w:val="00907AC1"/>
    <w:rsid w:val="00907D2C"/>
    <w:rsid w:val="00907F5F"/>
    <w:rsid w:val="0091080B"/>
    <w:rsid w:val="00911007"/>
    <w:rsid w:val="0091245A"/>
    <w:rsid w:val="00912912"/>
    <w:rsid w:val="009132EB"/>
    <w:rsid w:val="009138C4"/>
    <w:rsid w:val="009138D4"/>
    <w:rsid w:val="009139B0"/>
    <w:rsid w:val="009139B5"/>
    <w:rsid w:val="00913C22"/>
    <w:rsid w:val="00913D2B"/>
    <w:rsid w:val="00913D40"/>
    <w:rsid w:val="0091434A"/>
    <w:rsid w:val="0091447C"/>
    <w:rsid w:val="00914ACF"/>
    <w:rsid w:val="00914F1E"/>
    <w:rsid w:val="009150F6"/>
    <w:rsid w:val="009156C6"/>
    <w:rsid w:val="00915828"/>
    <w:rsid w:val="009158AB"/>
    <w:rsid w:val="00915F4D"/>
    <w:rsid w:val="00915F7F"/>
    <w:rsid w:val="00916005"/>
    <w:rsid w:val="00916133"/>
    <w:rsid w:val="00916764"/>
    <w:rsid w:val="00916D6C"/>
    <w:rsid w:val="00916E0D"/>
    <w:rsid w:val="00916E99"/>
    <w:rsid w:val="00917636"/>
    <w:rsid w:val="009201DC"/>
    <w:rsid w:val="009206EE"/>
    <w:rsid w:val="00920705"/>
    <w:rsid w:val="00920B15"/>
    <w:rsid w:val="00920B84"/>
    <w:rsid w:val="00920EEA"/>
    <w:rsid w:val="00920FEF"/>
    <w:rsid w:val="00921029"/>
    <w:rsid w:val="00921B77"/>
    <w:rsid w:val="00921CDC"/>
    <w:rsid w:val="0092231C"/>
    <w:rsid w:val="00922341"/>
    <w:rsid w:val="00922676"/>
    <w:rsid w:val="00922736"/>
    <w:rsid w:val="0092279A"/>
    <w:rsid w:val="009229B6"/>
    <w:rsid w:val="00922BEF"/>
    <w:rsid w:val="00922F48"/>
    <w:rsid w:val="00923134"/>
    <w:rsid w:val="00923239"/>
    <w:rsid w:val="00923280"/>
    <w:rsid w:val="0092393F"/>
    <w:rsid w:val="00923A4E"/>
    <w:rsid w:val="00923C58"/>
    <w:rsid w:val="00923D8D"/>
    <w:rsid w:val="00923D9C"/>
    <w:rsid w:val="00924316"/>
    <w:rsid w:val="0092441A"/>
    <w:rsid w:val="009248F5"/>
    <w:rsid w:val="0092490F"/>
    <w:rsid w:val="009249E1"/>
    <w:rsid w:val="00925004"/>
    <w:rsid w:val="00925359"/>
    <w:rsid w:val="0092550F"/>
    <w:rsid w:val="00925F08"/>
    <w:rsid w:val="00926100"/>
    <w:rsid w:val="00926925"/>
    <w:rsid w:val="00926CC4"/>
    <w:rsid w:val="00926F26"/>
    <w:rsid w:val="009275C5"/>
    <w:rsid w:val="009275E1"/>
    <w:rsid w:val="0092792B"/>
    <w:rsid w:val="00927BEE"/>
    <w:rsid w:val="00927D10"/>
    <w:rsid w:val="00930697"/>
    <w:rsid w:val="0093099F"/>
    <w:rsid w:val="00930A2D"/>
    <w:rsid w:val="0093193D"/>
    <w:rsid w:val="00931FF8"/>
    <w:rsid w:val="009322DD"/>
    <w:rsid w:val="00932359"/>
    <w:rsid w:val="00932DBD"/>
    <w:rsid w:val="00932FC2"/>
    <w:rsid w:val="00933350"/>
    <w:rsid w:val="0093358E"/>
    <w:rsid w:val="009337CF"/>
    <w:rsid w:val="0093390A"/>
    <w:rsid w:val="00933970"/>
    <w:rsid w:val="00934108"/>
    <w:rsid w:val="0093418F"/>
    <w:rsid w:val="009341C7"/>
    <w:rsid w:val="00934290"/>
    <w:rsid w:val="00934295"/>
    <w:rsid w:val="00934790"/>
    <w:rsid w:val="00934948"/>
    <w:rsid w:val="00934957"/>
    <w:rsid w:val="00934B1C"/>
    <w:rsid w:val="00934B35"/>
    <w:rsid w:val="00935336"/>
    <w:rsid w:val="00935898"/>
    <w:rsid w:val="00935E83"/>
    <w:rsid w:val="00935E9D"/>
    <w:rsid w:val="00936936"/>
    <w:rsid w:val="00936CD0"/>
    <w:rsid w:val="00937216"/>
    <w:rsid w:val="00937516"/>
    <w:rsid w:val="00937B10"/>
    <w:rsid w:val="00937E4A"/>
    <w:rsid w:val="00937E7E"/>
    <w:rsid w:val="00937F85"/>
    <w:rsid w:val="009401F9"/>
    <w:rsid w:val="00940488"/>
    <w:rsid w:val="009408B1"/>
    <w:rsid w:val="00940BE5"/>
    <w:rsid w:val="00940E67"/>
    <w:rsid w:val="00940E83"/>
    <w:rsid w:val="00941392"/>
    <w:rsid w:val="009413D2"/>
    <w:rsid w:val="00941E02"/>
    <w:rsid w:val="00941F94"/>
    <w:rsid w:val="00942EFA"/>
    <w:rsid w:val="00942F4A"/>
    <w:rsid w:val="0094315D"/>
    <w:rsid w:val="009431AB"/>
    <w:rsid w:val="0094332F"/>
    <w:rsid w:val="00943346"/>
    <w:rsid w:val="0094350D"/>
    <w:rsid w:val="00943563"/>
    <w:rsid w:val="009435DF"/>
    <w:rsid w:val="00943659"/>
    <w:rsid w:val="0094369A"/>
    <w:rsid w:val="00943C82"/>
    <w:rsid w:val="00943DEF"/>
    <w:rsid w:val="00944904"/>
    <w:rsid w:val="00944A9B"/>
    <w:rsid w:val="00944D9E"/>
    <w:rsid w:val="00944F0E"/>
    <w:rsid w:val="00944FCC"/>
    <w:rsid w:val="00945415"/>
    <w:rsid w:val="009457BC"/>
    <w:rsid w:val="00945876"/>
    <w:rsid w:val="00945C8F"/>
    <w:rsid w:val="00945E13"/>
    <w:rsid w:val="00946595"/>
    <w:rsid w:val="00946B8B"/>
    <w:rsid w:val="00946EEC"/>
    <w:rsid w:val="0094726D"/>
    <w:rsid w:val="00947514"/>
    <w:rsid w:val="00947593"/>
    <w:rsid w:val="009475A5"/>
    <w:rsid w:val="00947B13"/>
    <w:rsid w:val="0095017D"/>
    <w:rsid w:val="00950806"/>
    <w:rsid w:val="00950EE6"/>
    <w:rsid w:val="00951BC3"/>
    <w:rsid w:val="00951DD2"/>
    <w:rsid w:val="009529E2"/>
    <w:rsid w:val="00952A89"/>
    <w:rsid w:val="00952C06"/>
    <w:rsid w:val="00952FB6"/>
    <w:rsid w:val="009532B6"/>
    <w:rsid w:val="009538B0"/>
    <w:rsid w:val="009539DD"/>
    <w:rsid w:val="00953F2A"/>
    <w:rsid w:val="00953FF8"/>
    <w:rsid w:val="0095403D"/>
    <w:rsid w:val="00954103"/>
    <w:rsid w:val="0095414F"/>
    <w:rsid w:val="0095454C"/>
    <w:rsid w:val="0095456D"/>
    <w:rsid w:val="00954583"/>
    <w:rsid w:val="0095497C"/>
    <w:rsid w:val="009550DE"/>
    <w:rsid w:val="009552A6"/>
    <w:rsid w:val="0095540B"/>
    <w:rsid w:val="00955536"/>
    <w:rsid w:val="009555DB"/>
    <w:rsid w:val="00955AA5"/>
    <w:rsid w:val="00955C70"/>
    <w:rsid w:val="00955E9E"/>
    <w:rsid w:val="0095627C"/>
    <w:rsid w:val="00956460"/>
    <w:rsid w:val="009566D7"/>
    <w:rsid w:val="00956AA6"/>
    <w:rsid w:val="00956D8B"/>
    <w:rsid w:val="00956DA2"/>
    <w:rsid w:val="0095714E"/>
    <w:rsid w:val="009577B2"/>
    <w:rsid w:val="009577F1"/>
    <w:rsid w:val="00957990"/>
    <w:rsid w:val="00957ACA"/>
    <w:rsid w:val="00957C18"/>
    <w:rsid w:val="00957C3B"/>
    <w:rsid w:val="0096053E"/>
    <w:rsid w:val="0096055B"/>
    <w:rsid w:val="0096076C"/>
    <w:rsid w:val="00960844"/>
    <w:rsid w:val="00960BF4"/>
    <w:rsid w:val="0096141A"/>
    <w:rsid w:val="009614B7"/>
    <w:rsid w:val="009614D8"/>
    <w:rsid w:val="0096156A"/>
    <w:rsid w:val="00962258"/>
    <w:rsid w:val="00962D04"/>
    <w:rsid w:val="00963121"/>
    <w:rsid w:val="0096352B"/>
    <w:rsid w:val="009635B2"/>
    <w:rsid w:val="00963BBA"/>
    <w:rsid w:val="00963C4C"/>
    <w:rsid w:val="00963C8F"/>
    <w:rsid w:val="00963DBE"/>
    <w:rsid w:val="0096406E"/>
    <w:rsid w:val="00964694"/>
    <w:rsid w:val="009646F0"/>
    <w:rsid w:val="0096501A"/>
    <w:rsid w:val="009651E7"/>
    <w:rsid w:val="009655C0"/>
    <w:rsid w:val="00965F63"/>
    <w:rsid w:val="0096627B"/>
    <w:rsid w:val="00966654"/>
    <w:rsid w:val="009668DF"/>
    <w:rsid w:val="00966BDE"/>
    <w:rsid w:val="00966BE0"/>
    <w:rsid w:val="00966C3E"/>
    <w:rsid w:val="009670C6"/>
    <w:rsid w:val="0096732F"/>
    <w:rsid w:val="00967874"/>
    <w:rsid w:val="00967A44"/>
    <w:rsid w:val="00967E6B"/>
    <w:rsid w:val="00967F0F"/>
    <w:rsid w:val="00967F29"/>
    <w:rsid w:val="00970457"/>
    <w:rsid w:val="00970AD7"/>
    <w:rsid w:val="009712D9"/>
    <w:rsid w:val="009713EB"/>
    <w:rsid w:val="0097179C"/>
    <w:rsid w:val="00971A69"/>
    <w:rsid w:val="00971C28"/>
    <w:rsid w:val="009732AD"/>
    <w:rsid w:val="009732DD"/>
    <w:rsid w:val="009737FB"/>
    <w:rsid w:val="0097395D"/>
    <w:rsid w:val="00974087"/>
    <w:rsid w:val="0097477A"/>
    <w:rsid w:val="009748BC"/>
    <w:rsid w:val="0097496D"/>
    <w:rsid w:val="00974998"/>
    <w:rsid w:val="00974DF1"/>
    <w:rsid w:val="009762CC"/>
    <w:rsid w:val="00976669"/>
    <w:rsid w:val="00976DBA"/>
    <w:rsid w:val="00976F51"/>
    <w:rsid w:val="009777FC"/>
    <w:rsid w:val="00977858"/>
    <w:rsid w:val="009803A5"/>
    <w:rsid w:val="00980A43"/>
    <w:rsid w:val="00980FD3"/>
    <w:rsid w:val="00981576"/>
    <w:rsid w:val="009825EE"/>
    <w:rsid w:val="00982D41"/>
    <w:rsid w:val="0098318B"/>
    <w:rsid w:val="009837C5"/>
    <w:rsid w:val="00983B7B"/>
    <w:rsid w:val="00983ED6"/>
    <w:rsid w:val="00984187"/>
    <w:rsid w:val="009844CA"/>
    <w:rsid w:val="0098450F"/>
    <w:rsid w:val="00984659"/>
    <w:rsid w:val="00984B39"/>
    <w:rsid w:val="00984CA0"/>
    <w:rsid w:val="00985366"/>
    <w:rsid w:val="00985853"/>
    <w:rsid w:val="0098592D"/>
    <w:rsid w:val="00985992"/>
    <w:rsid w:val="00985A65"/>
    <w:rsid w:val="00986570"/>
    <w:rsid w:val="00986657"/>
    <w:rsid w:val="0098696E"/>
    <w:rsid w:val="00986DD4"/>
    <w:rsid w:val="009870A4"/>
    <w:rsid w:val="00987439"/>
    <w:rsid w:val="00990611"/>
    <w:rsid w:val="0099063F"/>
    <w:rsid w:val="009907F5"/>
    <w:rsid w:val="00990953"/>
    <w:rsid w:val="00990B51"/>
    <w:rsid w:val="00990DD6"/>
    <w:rsid w:val="00990E19"/>
    <w:rsid w:val="009910E9"/>
    <w:rsid w:val="009912E5"/>
    <w:rsid w:val="00991530"/>
    <w:rsid w:val="00991936"/>
    <w:rsid w:val="00991AD3"/>
    <w:rsid w:val="00991DD1"/>
    <w:rsid w:val="00991E5C"/>
    <w:rsid w:val="009920B1"/>
    <w:rsid w:val="00992664"/>
    <w:rsid w:val="00992AC1"/>
    <w:rsid w:val="00992B93"/>
    <w:rsid w:val="009933E3"/>
    <w:rsid w:val="00993C8A"/>
    <w:rsid w:val="00994739"/>
    <w:rsid w:val="00994BF6"/>
    <w:rsid w:val="0099519E"/>
    <w:rsid w:val="009952E2"/>
    <w:rsid w:val="009954C5"/>
    <w:rsid w:val="00995752"/>
    <w:rsid w:val="00995B14"/>
    <w:rsid w:val="00995F29"/>
    <w:rsid w:val="00995F4B"/>
    <w:rsid w:val="00996341"/>
    <w:rsid w:val="00996799"/>
    <w:rsid w:val="00996836"/>
    <w:rsid w:val="009969F9"/>
    <w:rsid w:val="00997261"/>
    <w:rsid w:val="00997E3F"/>
    <w:rsid w:val="009A02F2"/>
    <w:rsid w:val="009A040F"/>
    <w:rsid w:val="009A04A0"/>
    <w:rsid w:val="009A04A5"/>
    <w:rsid w:val="009A056C"/>
    <w:rsid w:val="009A0592"/>
    <w:rsid w:val="009A077E"/>
    <w:rsid w:val="009A108B"/>
    <w:rsid w:val="009A119D"/>
    <w:rsid w:val="009A1201"/>
    <w:rsid w:val="009A14A7"/>
    <w:rsid w:val="009A19F3"/>
    <w:rsid w:val="009A1A7D"/>
    <w:rsid w:val="009A1D65"/>
    <w:rsid w:val="009A2079"/>
    <w:rsid w:val="009A240F"/>
    <w:rsid w:val="009A27D4"/>
    <w:rsid w:val="009A2CA2"/>
    <w:rsid w:val="009A3109"/>
    <w:rsid w:val="009A3216"/>
    <w:rsid w:val="009A3418"/>
    <w:rsid w:val="009A3446"/>
    <w:rsid w:val="009A3539"/>
    <w:rsid w:val="009A3ADC"/>
    <w:rsid w:val="009A3B87"/>
    <w:rsid w:val="009A3E10"/>
    <w:rsid w:val="009A4002"/>
    <w:rsid w:val="009A44D1"/>
    <w:rsid w:val="009A4845"/>
    <w:rsid w:val="009A4AFD"/>
    <w:rsid w:val="009A4C5F"/>
    <w:rsid w:val="009A5440"/>
    <w:rsid w:val="009A5712"/>
    <w:rsid w:val="009A5FE8"/>
    <w:rsid w:val="009A62D8"/>
    <w:rsid w:val="009A66F7"/>
    <w:rsid w:val="009A68D3"/>
    <w:rsid w:val="009A7172"/>
    <w:rsid w:val="009A766B"/>
    <w:rsid w:val="009A7930"/>
    <w:rsid w:val="009B0092"/>
    <w:rsid w:val="009B035F"/>
    <w:rsid w:val="009B056E"/>
    <w:rsid w:val="009B05AD"/>
    <w:rsid w:val="009B063E"/>
    <w:rsid w:val="009B0FB5"/>
    <w:rsid w:val="009B0FE0"/>
    <w:rsid w:val="009B17EB"/>
    <w:rsid w:val="009B191C"/>
    <w:rsid w:val="009B1A63"/>
    <w:rsid w:val="009B1AB5"/>
    <w:rsid w:val="009B1B80"/>
    <w:rsid w:val="009B1C9E"/>
    <w:rsid w:val="009B1D43"/>
    <w:rsid w:val="009B209D"/>
    <w:rsid w:val="009B20D8"/>
    <w:rsid w:val="009B25F9"/>
    <w:rsid w:val="009B2BCE"/>
    <w:rsid w:val="009B330B"/>
    <w:rsid w:val="009B3687"/>
    <w:rsid w:val="009B4B3F"/>
    <w:rsid w:val="009B520A"/>
    <w:rsid w:val="009B52E9"/>
    <w:rsid w:val="009B5666"/>
    <w:rsid w:val="009B5698"/>
    <w:rsid w:val="009B583E"/>
    <w:rsid w:val="009B5BC6"/>
    <w:rsid w:val="009B6132"/>
    <w:rsid w:val="009B647A"/>
    <w:rsid w:val="009B660A"/>
    <w:rsid w:val="009B6A1A"/>
    <w:rsid w:val="009B7011"/>
    <w:rsid w:val="009B7089"/>
    <w:rsid w:val="009B731D"/>
    <w:rsid w:val="009B732E"/>
    <w:rsid w:val="009B77AE"/>
    <w:rsid w:val="009B7872"/>
    <w:rsid w:val="009B7EEB"/>
    <w:rsid w:val="009C0037"/>
    <w:rsid w:val="009C0358"/>
    <w:rsid w:val="009C0413"/>
    <w:rsid w:val="009C0557"/>
    <w:rsid w:val="009C085E"/>
    <w:rsid w:val="009C0C50"/>
    <w:rsid w:val="009C1239"/>
    <w:rsid w:val="009C151A"/>
    <w:rsid w:val="009C1DBE"/>
    <w:rsid w:val="009C2036"/>
    <w:rsid w:val="009C222E"/>
    <w:rsid w:val="009C2283"/>
    <w:rsid w:val="009C22D0"/>
    <w:rsid w:val="009C25FB"/>
    <w:rsid w:val="009C2701"/>
    <w:rsid w:val="009C294F"/>
    <w:rsid w:val="009C2A2C"/>
    <w:rsid w:val="009C2A51"/>
    <w:rsid w:val="009C2B52"/>
    <w:rsid w:val="009C2CA2"/>
    <w:rsid w:val="009C2EE2"/>
    <w:rsid w:val="009C338C"/>
    <w:rsid w:val="009C4301"/>
    <w:rsid w:val="009C4E16"/>
    <w:rsid w:val="009C5330"/>
    <w:rsid w:val="009C548A"/>
    <w:rsid w:val="009C5A79"/>
    <w:rsid w:val="009C5AAE"/>
    <w:rsid w:val="009C6589"/>
    <w:rsid w:val="009C66A5"/>
    <w:rsid w:val="009C6C97"/>
    <w:rsid w:val="009C6C99"/>
    <w:rsid w:val="009D08E8"/>
    <w:rsid w:val="009D0C22"/>
    <w:rsid w:val="009D0E8F"/>
    <w:rsid w:val="009D14BE"/>
    <w:rsid w:val="009D1559"/>
    <w:rsid w:val="009D1637"/>
    <w:rsid w:val="009D2071"/>
    <w:rsid w:val="009D2096"/>
    <w:rsid w:val="009D21A0"/>
    <w:rsid w:val="009D2353"/>
    <w:rsid w:val="009D243D"/>
    <w:rsid w:val="009D268E"/>
    <w:rsid w:val="009D26A8"/>
    <w:rsid w:val="009D2831"/>
    <w:rsid w:val="009D2857"/>
    <w:rsid w:val="009D2E1A"/>
    <w:rsid w:val="009D3367"/>
    <w:rsid w:val="009D35A2"/>
    <w:rsid w:val="009D36D4"/>
    <w:rsid w:val="009D385B"/>
    <w:rsid w:val="009D3BBC"/>
    <w:rsid w:val="009D3D04"/>
    <w:rsid w:val="009D3F9F"/>
    <w:rsid w:val="009D4301"/>
    <w:rsid w:val="009D460F"/>
    <w:rsid w:val="009D4EFD"/>
    <w:rsid w:val="009D50AA"/>
    <w:rsid w:val="009D5363"/>
    <w:rsid w:val="009D5777"/>
    <w:rsid w:val="009D5E9A"/>
    <w:rsid w:val="009D658A"/>
    <w:rsid w:val="009D678F"/>
    <w:rsid w:val="009D7BD3"/>
    <w:rsid w:val="009D7D61"/>
    <w:rsid w:val="009D7EDA"/>
    <w:rsid w:val="009D7F1E"/>
    <w:rsid w:val="009E0D48"/>
    <w:rsid w:val="009E106A"/>
    <w:rsid w:val="009E150D"/>
    <w:rsid w:val="009E1F0F"/>
    <w:rsid w:val="009E1F57"/>
    <w:rsid w:val="009E1F78"/>
    <w:rsid w:val="009E26F4"/>
    <w:rsid w:val="009E2D81"/>
    <w:rsid w:val="009E2E0E"/>
    <w:rsid w:val="009E3266"/>
    <w:rsid w:val="009E35D6"/>
    <w:rsid w:val="009E37DA"/>
    <w:rsid w:val="009E387D"/>
    <w:rsid w:val="009E3AD1"/>
    <w:rsid w:val="009E41BB"/>
    <w:rsid w:val="009E4352"/>
    <w:rsid w:val="009E4964"/>
    <w:rsid w:val="009E4A45"/>
    <w:rsid w:val="009E4D13"/>
    <w:rsid w:val="009E500C"/>
    <w:rsid w:val="009E53B4"/>
    <w:rsid w:val="009E541F"/>
    <w:rsid w:val="009E5478"/>
    <w:rsid w:val="009E6283"/>
    <w:rsid w:val="009E6B01"/>
    <w:rsid w:val="009E6C03"/>
    <w:rsid w:val="009E6C58"/>
    <w:rsid w:val="009E6DD0"/>
    <w:rsid w:val="009E6DDE"/>
    <w:rsid w:val="009E712F"/>
    <w:rsid w:val="009E720F"/>
    <w:rsid w:val="009E78FC"/>
    <w:rsid w:val="009E792C"/>
    <w:rsid w:val="009E793F"/>
    <w:rsid w:val="009E7BC6"/>
    <w:rsid w:val="009E7EF3"/>
    <w:rsid w:val="009F0086"/>
    <w:rsid w:val="009F0254"/>
    <w:rsid w:val="009F0314"/>
    <w:rsid w:val="009F03BA"/>
    <w:rsid w:val="009F06CC"/>
    <w:rsid w:val="009F07A4"/>
    <w:rsid w:val="009F091F"/>
    <w:rsid w:val="009F0F47"/>
    <w:rsid w:val="009F11AB"/>
    <w:rsid w:val="009F1573"/>
    <w:rsid w:val="009F166B"/>
    <w:rsid w:val="009F1919"/>
    <w:rsid w:val="009F1972"/>
    <w:rsid w:val="009F1A87"/>
    <w:rsid w:val="009F1B38"/>
    <w:rsid w:val="009F2258"/>
    <w:rsid w:val="009F262F"/>
    <w:rsid w:val="009F2CA2"/>
    <w:rsid w:val="009F3590"/>
    <w:rsid w:val="009F383D"/>
    <w:rsid w:val="009F3851"/>
    <w:rsid w:val="009F44D4"/>
    <w:rsid w:val="009F4667"/>
    <w:rsid w:val="009F47E4"/>
    <w:rsid w:val="009F4923"/>
    <w:rsid w:val="009F4935"/>
    <w:rsid w:val="009F4B2B"/>
    <w:rsid w:val="009F4BAB"/>
    <w:rsid w:val="009F4C03"/>
    <w:rsid w:val="009F516E"/>
    <w:rsid w:val="009F5231"/>
    <w:rsid w:val="009F606D"/>
    <w:rsid w:val="009F60C4"/>
    <w:rsid w:val="009F61F0"/>
    <w:rsid w:val="009F6251"/>
    <w:rsid w:val="009F6257"/>
    <w:rsid w:val="009F62EA"/>
    <w:rsid w:val="009F6588"/>
    <w:rsid w:val="009F66D6"/>
    <w:rsid w:val="009F6705"/>
    <w:rsid w:val="009F6757"/>
    <w:rsid w:val="009F7679"/>
    <w:rsid w:val="009F78D4"/>
    <w:rsid w:val="009F7C62"/>
    <w:rsid w:val="00A002EC"/>
    <w:rsid w:val="00A004BC"/>
    <w:rsid w:val="00A00633"/>
    <w:rsid w:val="00A00802"/>
    <w:rsid w:val="00A00818"/>
    <w:rsid w:val="00A00DBB"/>
    <w:rsid w:val="00A00E44"/>
    <w:rsid w:val="00A00F42"/>
    <w:rsid w:val="00A00F57"/>
    <w:rsid w:val="00A0157B"/>
    <w:rsid w:val="00A02890"/>
    <w:rsid w:val="00A02999"/>
    <w:rsid w:val="00A029CB"/>
    <w:rsid w:val="00A02A3B"/>
    <w:rsid w:val="00A02AA8"/>
    <w:rsid w:val="00A02E44"/>
    <w:rsid w:val="00A02EE3"/>
    <w:rsid w:val="00A031DD"/>
    <w:rsid w:val="00A04565"/>
    <w:rsid w:val="00A046AB"/>
    <w:rsid w:val="00A04AB4"/>
    <w:rsid w:val="00A04EA5"/>
    <w:rsid w:val="00A0508B"/>
    <w:rsid w:val="00A053F6"/>
    <w:rsid w:val="00A05646"/>
    <w:rsid w:val="00A05AAC"/>
    <w:rsid w:val="00A06421"/>
    <w:rsid w:val="00A06A38"/>
    <w:rsid w:val="00A06B99"/>
    <w:rsid w:val="00A06C53"/>
    <w:rsid w:val="00A07287"/>
    <w:rsid w:val="00A073DC"/>
    <w:rsid w:val="00A074AC"/>
    <w:rsid w:val="00A07E50"/>
    <w:rsid w:val="00A07F1E"/>
    <w:rsid w:val="00A102E3"/>
    <w:rsid w:val="00A106D3"/>
    <w:rsid w:val="00A1087D"/>
    <w:rsid w:val="00A1095A"/>
    <w:rsid w:val="00A10A24"/>
    <w:rsid w:val="00A10E63"/>
    <w:rsid w:val="00A10FDE"/>
    <w:rsid w:val="00A111D1"/>
    <w:rsid w:val="00A11AA9"/>
    <w:rsid w:val="00A11D02"/>
    <w:rsid w:val="00A121A8"/>
    <w:rsid w:val="00A12911"/>
    <w:rsid w:val="00A12C5C"/>
    <w:rsid w:val="00A12CC0"/>
    <w:rsid w:val="00A12FD5"/>
    <w:rsid w:val="00A13350"/>
    <w:rsid w:val="00A135B9"/>
    <w:rsid w:val="00A135C1"/>
    <w:rsid w:val="00A138F9"/>
    <w:rsid w:val="00A139A9"/>
    <w:rsid w:val="00A13B01"/>
    <w:rsid w:val="00A13CA9"/>
    <w:rsid w:val="00A140EF"/>
    <w:rsid w:val="00A1430E"/>
    <w:rsid w:val="00A14849"/>
    <w:rsid w:val="00A14860"/>
    <w:rsid w:val="00A1496D"/>
    <w:rsid w:val="00A14A20"/>
    <w:rsid w:val="00A14CB7"/>
    <w:rsid w:val="00A14F83"/>
    <w:rsid w:val="00A15194"/>
    <w:rsid w:val="00A15255"/>
    <w:rsid w:val="00A15355"/>
    <w:rsid w:val="00A15708"/>
    <w:rsid w:val="00A1576A"/>
    <w:rsid w:val="00A15A4D"/>
    <w:rsid w:val="00A160D7"/>
    <w:rsid w:val="00A16170"/>
    <w:rsid w:val="00A165CE"/>
    <w:rsid w:val="00A17235"/>
    <w:rsid w:val="00A17910"/>
    <w:rsid w:val="00A17F6B"/>
    <w:rsid w:val="00A205EF"/>
    <w:rsid w:val="00A20955"/>
    <w:rsid w:val="00A209B1"/>
    <w:rsid w:val="00A209CA"/>
    <w:rsid w:val="00A20E34"/>
    <w:rsid w:val="00A21310"/>
    <w:rsid w:val="00A2178B"/>
    <w:rsid w:val="00A21BCE"/>
    <w:rsid w:val="00A21FD5"/>
    <w:rsid w:val="00A2213F"/>
    <w:rsid w:val="00A22203"/>
    <w:rsid w:val="00A22303"/>
    <w:rsid w:val="00A2237F"/>
    <w:rsid w:val="00A22495"/>
    <w:rsid w:val="00A2254E"/>
    <w:rsid w:val="00A2307C"/>
    <w:rsid w:val="00A234C6"/>
    <w:rsid w:val="00A2358F"/>
    <w:rsid w:val="00A23707"/>
    <w:rsid w:val="00A23879"/>
    <w:rsid w:val="00A23B9D"/>
    <w:rsid w:val="00A23D96"/>
    <w:rsid w:val="00A240AD"/>
    <w:rsid w:val="00A241AC"/>
    <w:rsid w:val="00A2422C"/>
    <w:rsid w:val="00A24FC0"/>
    <w:rsid w:val="00A2504F"/>
    <w:rsid w:val="00A25D64"/>
    <w:rsid w:val="00A25D6E"/>
    <w:rsid w:val="00A26106"/>
    <w:rsid w:val="00A26282"/>
    <w:rsid w:val="00A2634B"/>
    <w:rsid w:val="00A265FD"/>
    <w:rsid w:val="00A26934"/>
    <w:rsid w:val="00A26B26"/>
    <w:rsid w:val="00A26BF2"/>
    <w:rsid w:val="00A26D16"/>
    <w:rsid w:val="00A26D69"/>
    <w:rsid w:val="00A27243"/>
    <w:rsid w:val="00A27315"/>
    <w:rsid w:val="00A27874"/>
    <w:rsid w:val="00A27B78"/>
    <w:rsid w:val="00A3003D"/>
    <w:rsid w:val="00A30056"/>
    <w:rsid w:val="00A30366"/>
    <w:rsid w:val="00A30B4D"/>
    <w:rsid w:val="00A30B5A"/>
    <w:rsid w:val="00A30FF4"/>
    <w:rsid w:val="00A31449"/>
    <w:rsid w:val="00A3174F"/>
    <w:rsid w:val="00A31A94"/>
    <w:rsid w:val="00A31B39"/>
    <w:rsid w:val="00A31E61"/>
    <w:rsid w:val="00A31F6C"/>
    <w:rsid w:val="00A32281"/>
    <w:rsid w:val="00A3254D"/>
    <w:rsid w:val="00A32AAA"/>
    <w:rsid w:val="00A32E7E"/>
    <w:rsid w:val="00A32ED7"/>
    <w:rsid w:val="00A33416"/>
    <w:rsid w:val="00A34C60"/>
    <w:rsid w:val="00A3543D"/>
    <w:rsid w:val="00A354C9"/>
    <w:rsid w:val="00A356C7"/>
    <w:rsid w:val="00A35CB8"/>
    <w:rsid w:val="00A35DAD"/>
    <w:rsid w:val="00A36217"/>
    <w:rsid w:val="00A36538"/>
    <w:rsid w:val="00A365E8"/>
    <w:rsid w:val="00A36B17"/>
    <w:rsid w:val="00A36C0F"/>
    <w:rsid w:val="00A37039"/>
    <w:rsid w:val="00A3720B"/>
    <w:rsid w:val="00A374F7"/>
    <w:rsid w:val="00A37B20"/>
    <w:rsid w:val="00A402A5"/>
    <w:rsid w:val="00A4064D"/>
    <w:rsid w:val="00A40AAD"/>
    <w:rsid w:val="00A40BD5"/>
    <w:rsid w:val="00A40BFA"/>
    <w:rsid w:val="00A41121"/>
    <w:rsid w:val="00A417D2"/>
    <w:rsid w:val="00A41E67"/>
    <w:rsid w:val="00A422E5"/>
    <w:rsid w:val="00A424C3"/>
    <w:rsid w:val="00A42884"/>
    <w:rsid w:val="00A42A20"/>
    <w:rsid w:val="00A42F71"/>
    <w:rsid w:val="00A42FB5"/>
    <w:rsid w:val="00A4370A"/>
    <w:rsid w:val="00A43C1F"/>
    <w:rsid w:val="00A444B4"/>
    <w:rsid w:val="00A445C5"/>
    <w:rsid w:val="00A44BA7"/>
    <w:rsid w:val="00A44BED"/>
    <w:rsid w:val="00A44CA4"/>
    <w:rsid w:val="00A44CBA"/>
    <w:rsid w:val="00A45183"/>
    <w:rsid w:val="00A45200"/>
    <w:rsid w:val="00A45DC7"/>
    <w:rsid w:val="00A45E98"/>
    <w:rsid w:val="00A473CD"/>
    <w:rsid w:val="00A478E0"/>
    <w:rsid w:val="00A47EF9"/>
    <w:rsid w:val="00A47FD7"/>
    <w:rsid w:val="00A500D2"/>
    <w:rsid w:val="00A5030A"/>
    <w:rsid w:val="00A50715"/>
    <w:rsid w:val="00A507EF"/>
    <w:rsid w:val="00A5091C"/>
    <w:rsid w:val="00A50AF9"/>
    <w:rsid w:val="00A50B4E"/>
    <w:rsid w:val="00A50D5F"/>
    <w:rsid w:val="00A50EC8"/>
    <w:rsid w:val="00A5183B"/>
    <w:rsid w:val="00A5214B"/>
    <w:rsid w:val="00A52A70"/>
    <w:rsid w:val="00A52B16"/>
    <w:rsid w:val="00A52B4E"/>
    <w:rsid w:val="00A52C16"/>
    <w:rsid w:val="00A52D66"/>
    <w:rsid w:val="00A53C5D"/>
    <w:rsid w:val="00A53FE9"/>
    <w:rsid w:val="00A5416B"/>
    <w:rsid w:val="00A5438D"/>
    <w:rsid w:val="00A54718"/>
    <w:rsid w:val="00A54E14"/>
    <w:rsid w:val="00A55256"/>
    <w:rsid w:val="00A55288"/>
    <w:rsid w:val="00A553BD"/>
    <w:rsid w:val="00A55AB1"/>
    <w:rsid w:val="00A55CA5"/>
    <w:rsid w:val="00A563AE"/>
    <w:rsid w:val="00A56B15"/>
    <w:rsid w:val="00A56DF5"/>
    <w:rsid w:val="00A573FF"/>
    <w:rsid w:val="00A575D8"/>
    <w:rsid w:val="00A5768D"/>
    <w:rsid w:val="00A577CD"/>
    <w:rsid w:val="00A57A45"/>
    <w:rsid w:val="00A57A94"/>
    <w:rsid w:val="00A57BD8"/>
    <w:rsid w:val="00A57E50"/>
    <w:rsid w:val="00A61661"/>
    <w:rsid w:val="00A616A1"/>
    <w:rsid w:val="00A6172E"/>
    <w:rsid w:val="00A61E74"/>
    <w:rsid w:val="00A6200E"/>
    <w:rsid w:val="00A6221B"/>
    <w:rsid w:val="00A62627"/>
    <w:rsid w:val="00A62B1F"/>
    <w:rsid w:val="00A62DDD"/>
    <w:rsid w:val="00A6310A"/>
    <w:rsid w:val="00A6339C"/>
    <w:rsid w:val="00A63D68"/>
    <w:rsid w:val="00A64223"/>
    <w:rsid w:val="00A643DB"/>
    <w:rsid w:val="00A650F2"/>
    <w:rsid w:val="00A652FA"/>
    <w:rsid w:val="00A655C4"/>
    <w:rsid w:val="00A65653"/>
    <w:rsid w:val="00A65E41"/>
    <w:rsid w:val="00A66413"/>
    <w:rsid w:val="00A66498"/>
    <w:rsid w:val="00A66758"/>
    <w:rsid w:val="00A672C6"/>
    <w:rsid w:val="00A672FE"/>
    <w:rsid w:val="00A675C5"/>
    <w:rsid w:val="00A67768"/>
    <w:rsid w:val="00A679A1"/>
    <w:rsid w:val="00A67D58"/>
    <w:rsid w:val="00A7035F"/>
    <w:rsid w:val="00A703EB"/>
    <w:rsid w:val="00A70AFE"/>
    <w:rsid w:val="00A718D9"/>
    <w:rsid w:val="00A7197B"/>
    <w:rsid w:val="00A71A58"/>
    <w:rsid w:val="00A71B2A"/>
    <w:rsid w:val="00A71F34"/>
    <w:rsid w:val="00A71FCA"/>
    <w:rsid w:val="00A722C4"/>
    <w:rsid w:val="00A7281B"/>
    <w:rsid w:val="00A732EC"/>
    <w:rsid w:val="00A738AD"/>
    <w:rsid w:val="00A73AE4"/>
    <w:rsid w:val="00A73D67"/>
    <w:rsid w:val="00A741A6"/>
    <w:rsid w:val="00A74510"/>
    <w:rsid w:val="00A745A6"/>
    <w:rsid w:val="00A749BE"/>
    <w:rsid w:val="00A74C13"/>
    <w:rsid w:val="00A74E60"/>
    <w:rsid w:val="00A74F08"/>
    <w:rsid w:val="00A751FB"/>
    <w:rsid w:val="00A75805"/>
    <w:rsid w:val="00A76022"/>
    <w:rsid w:val="00A76A9C"/>
    <w:rsid w:val="00A76D57"/>
    <w:rsid w:val="00A76F58"/>
    <w:rsid w:val="00A77424"/>
    <w:rsid w:val="00A7750E"/>
    <w:rsid w:val="00A77970"/>
    <w:rsid w:val="00A8006A"/>
    <w:rsid w:val="00A802E6"/>
    <w:rsid w:val="00A80413"/>
    <w:rsid w:val="00A8096C"/>
    <w:rsid w:val="00A80B8B"/>
    <w:rsid w:val="00A80DE0"/>
    <w:rsid w:val="00A812E7"/>
    <w:rsid w:val="00A8156A"/>
    <w:rsid w:val="00A81A5A"/>
    <w:rsid w:val="00A81D5C"/>
    <w:rsid w:val="00A81E8B"/>
    <w:rsid w:val="00A81F5F"/>
    <w:rsid w:val="00A820BB"/>
    <w:rsid w:val="00A8214A"/>
    <w:rsid w:val="00A8286D"/>
    <w:rsid w:val="00A82925"/>
    <w:rsid w:val="00A82A7D"/>
    <w:rsid w:val="00A82B54"/>
    <w:rsid w:val="00A82D9F"/>
    <w:rsid w:val="00A82DBA"/>
    <w:rsid w:val="00A8315C"/>
    <w:rsid w:val="00A8324A"/>
    <w:rsid w:val="00A837EE"/>
    <w:rsid w:val="00A83AB1"/>
    <w:rsid w:val="00A83ADF"/>
    <w:rsid w:val="00A83E9B"/>
    <w:rsid w:val="00A842AE"/>
    <w:rsid w:val="00A84524"/>
    <w:rsid w:val="00A84594"/>
    <w:rsid w:val="00A848DB"/>
    <w:rsid w:val="00A84E2A"/>
    <w:rsid w:val="00A8518B"/>
    <w:rsid w:val="00A85336"/>
    <w:rsid w:val="00A85792"/>
    <w:rsid w:val="00A8582E"/>
    <w:rsid w:val="00A85A0A"/>
    <w:rsid w:val="00A86074"/>
    <w:rsid w:val="00A8617D"/>
    <w:rsid w:val="00A861D1"/>
    <w:rsid w:val="00A8636E"/>
    <w:rsid w:val="00A863CB"/>
    <w:rsid w:val="00A867A2"/>
    <w:rsid w:val="00A868EF"/>
    <w:rsid w:val="00A86A32"/>
    <w:rsid w:val="00A86A9A"/>
    <w:rsid w:val="00A86C35"/>
    <w:rsid w:val="00A86F03"/>
    <w:rsid w:val="00A87159"/>
    <w:rsid w:val="00A872E9"/>
    <w:rsid w:val="00A87DCF"/>
    <w:rsid w:val="00A87EC2"/>
    <w:rsid w:val="00A90658"/>
    <w:rsid w:val="00A9088F"/>
    <w:rsid w:val="00A908C0"/>
    <w:rsid w:val="00A908DA"/>
    <w:rsid w:val="00A90C6B"/>
    <w:rsid w:val="00A90DBF"/>
    <w:rsid w:val="00A91104"/>
    <w:rsid w:val="00A914CF"/>
    <w:rsid w:val="00A9156C"/>
    <w:rsid w:val="00A92239"/>
    <w:rsid w:val="00A92721"/>
    <w:rsid w:val="00A92952"/>
    <w:rsid w:val="00A92BCC"/>
    <w:rsid w:val="00A92F79"/>
    <w:rsid w:val="00A933A3"/>
    <w:rsid w:val="00A934C0"/>
    <w:rsid w:val="00A934CF"/>
    <w:rsid w:val="00A93A47"/>
    <w:rsid w:val="00A93B25"/>
    <w:rsid w:val="00A93B5A"/>
    <w:rsid w:val="00A93D33"/>
    <w:rsid w:val="00A947D3"/>
    <w:rsid w:val="00A94CFA"/>
    <w:rsid w:val="00A956E5"/>
    <w:rsid w:val="00A957F6"/>
    <w:rsid w:val="00A95E81"/>
    <w:rsid w:val="00A9634A"/>
    <w:rsid w:val="00A968AF"/>
    <w:rsid w:val="00A968B0"/>
    <w:rsid w:val="00A973C6"/>
    <w:rsid w:val="00A97610"/>
    <w:rsid w:val="00A97D3E"/>
    <w:rsid w:val="00AA0AD5"/>
    <w:rsid w:val="00AA0C69"/>
    <w:rsid w:val="00AA0FAA"/>
    <w:rsid w:val="00AA0FB5"/>
    <w:rsid w:val="00AA10BF"/>
    <w:rsid w:val="00AA143C"/>
    <w:rsid w:val="00AA1613"/>
    <w:rsid w:val="00AA1F7F"/>
    <w:rsid w:val="00AA209F"/>
    <w:rsid w:val="00AA27ED"/>
    <w:rsid w:val="00AA2BB4"/>
    <w:rsid w:val="00AA2DFD"/>
    <w:rsid w:val="00AA33BE"/>
    <w:rsid w:val="00AA375C"/>
    <w:rsid w:val="00AA45C2"/>
    <w:rsid w:val="00AA49D4"/>
    <w:rsid w:val="00AA4D18"/>
    <w:rsid w:val="00AA585C"/>
    <w:rsid w:val="00AA5B16"/>
    <w:rsid w:val="00AA5C23"/>
    <w:rsid w:val="00AA64F0"/>
    <w:rsid w:val="00AA6749"/>
    <w:rsid w:val="00AA6AB5"/>
    <w:rsid w:val="00AA6EEF"/>
    <w:rsid w:val="00AA6FBB"/>
    <w:rsid w:val="00AA70A3"/>
    <w:rsid w:val="00AA723B"/>
    <w:rsid w:val="00AA7355"/>
    <w:rsid w:val="00AA74E9"/>
    <w:rsid w:val="00AA7B3B"/>
    <w:rsid w:val="00AA7B5C"/>
    <w:rsid w:val="00AA7CEC"/>
    <w:rsid w:val="00AB0314"/>
    <w:rsid w:val="00AB0A5A"/>
    <w:rsid w:val="00AB0B6D"/>
    <w:rsid w:val="00AB0DD7"/>
    <w:rsid w:val="00AB1320"/>
    <w:rsid w:val="00AB142A"/>
    <w:rsid w:val="00AB1832"/>
    <w:rsid w:val="00AB198F"/>
    <w:rsid w:val="00AB24B2"/>
    <w:rsid w:val="00AB2651"/>
    <w:rsid w:val="00AB288A"/>
    <w:rsid w:val="00AB28A0"/>
    <w:rsid w:val="00AB28E1"/>
    <w:rsid w:val="00AB29B9"/>
    <w:rsid w:val="00AB33DD"/>
    <w:rsid w:val="00AB3953"/>
    <w:rsid w:val="00AB3963"/>
    <w:rsid w:val="00AB3CD3"/>
    <w:rsid w:val="00AB3D06"/>
    <w:rsid w:val="00AB3DFE"/>
    <w:rsid w:val="00AB3EB5"/>
    <w:rsid w:val="00AB4060"/>
    <w:rsid w:val="00AB4649"/>
    <w:rsid w:val="00AB47AC"/>
    <w:rsid w:val="00AB4D4D"/>
    <w:rsid w:val="00AB512C"/>
    <w:rsid w:val="00AB522D"/>
    <w:rsid w:val="00AB5333"/>
    <w:rsid w:val="00AB55FC"/>
    <w:rsid w:val="00AB5832"/>
    <w:rsid w:val="00AB5C9A"/>
    <w:rsid w:val="00AB6081"/>
    <w:rsid w:val="00AB66C0"/>
    <w:rsid w:val="00AB67B5"/>
    <w:rsid w:val="00AB6801"/>
    <w:rsid w:val="00AC07C9"/>
    <w:rsid w:val="00AC09DB"/>
    <w:rsid w:val="00AC0A5B"/>
    <w:rsid w:val="00AC0FF3"/>
    <w:rsid w:val="00AC144C"/>
    <w:rsid w:val="00AC2754"/>
    <w:rsid w:val="00AC28A4"/>
    <w:rsid w:val="00AC36BA"/>
    <w:rsid w:val="00AC3728"/>
    <w:rsid w:val="00AC3B44"/>
    <w:rsid w:val="00AC40C3"/>
    <w:rsid w:val="00AC4C27"/>
    <w:rsid w:val="00AC4C7F"/>
    <w:rsid w:val="00AC5841"/>
    <w:rsid w:val="00AC58BA"/>
    <w:rsid w:val="00AC5B9E"/>
    <w:rsid w:val="00AC5FCF"/>
    <w:rsid w:val="00AC60FC"/>
    <w:rsid w:val="00AC6504"/>
    <w:rsid w:val="00AC6623"/>
    <w:rsid w:val="00AC672D"/>
    <w:rsid w:val="00AC6930"/>
    <w:rsid w:val="00AC6F80"/>
    <w:rsid w:val="00AC7140"/>
    <w:rsid w:val="00AC780A"/>
    <w:rsid w:val="00AD00BE"/>
    <w:rsid w:val="00AD03E0"/>
    <w:rsid w:val="00AD04CC"/>
    <w:rsid w:val="00AD0A9E"/>
    <w:rsid w:val="00AD0B94"/>
    <w:rsid w:val="00AD1627"/>
    <w:rsid w:val="00AD1D52"/>
    <w:rsid w:val="00AD2EB8"/>
    <w:rsid w:val="00AD301E"/>
    <w:rsid w:val="00AD36AD"/>
    <w:rsid w:val="00AD3B46"/>
    <w:rsid w:val="00AD3CCD"/>
    <w:rsid w:val="00AD3ED0"/>
    <w:rsid w:val="00AD44C5"/>
    <w:rsid w:val="00AD4587"/>
    <w:rsid w:val="00AD4B29"/>
    <w:rsid w:val="00AD4E83"/>
    <w:rsid w:val="00AD5009"/>
    <w:rsid w:val="00AD519D"/>
    <w:rsid w:val="00AD556D"/>
    <w:rsid w:val="00AD5ACF"/>
    <w:rsid w:val="00AD62D6"/>
    <w:rsid w:val="00AD644B"/>
    <w:rsid w:val="00AD6612"/>
    <w:rsid w:val="00AD67BE"/>
    <w:rsid w:val="00AD6D24"/>
    <w:rsid w:val="00AD7104"/>
    <w:rsid w:val="00AD7143"/>
    <w:rsid w:val="00AD77D9"/>
    <w:rsid w:val="00AD7E8D"/>
    <w:rsid w:val="00AE041E"/>
    <w:rsid w:val="00AE0EBA"/>
    <w:rsid w:val="00AE10EA"/>
    <w:rsid w:val="00AE11F6"/>
    <w:rsid w:val="00AE144A"/>
    <w:rsid w:val="00AE171F"/>
    <w:rsid w:val="00AE1845"/>
    <w:rsid w:val="00AE1C99"/>
    <w:rsid w:val="00AE2480"/>
    <w:rsid w:val="00AE24E6"/>
    <w:rsid w:val="00AE260F"/>
    <w:rsid w:val="00AE320C"/>
    <w:rsid w:val="00AE3633"/>
    <w:rsid w:val="00AE3A10"/>
    <w:rsid w:val="00AE3A2D"/>
    <w:rsid w:val="00AE3BA4"/>
    <w:rsid w:val="00AE3E9E"/>
    <w:rsid w:val="00AE4358"/>
    <w:rsid w:val="00AE4400"/>
    <w:rsid w:val="00AE4523"/>
    <w:rsid w:val="00AE4535"/>
    <w:rsid w:val="00AE461A"/>
    <w:rsid w:val="00AE4700"/>
    <w:rsid w:val="00AE48A7"/>
    <w:rsid w:val="00AE4CDD"/>
    <w:rsid w:val="00AE50B4"/>
    <w:rsid w:val="00AE5288"/>
    <w:rsid w:val="00AE5523"/>
    <w:rsid w:val="00AE6290"/>
    <w:rsid w:val="00AE6337"/>
    <w:rsid w:val="00AE65B3"/>
    <w:rsid w:val="00AE6766"/>
    <w:rsid w:val="00AE6A45"/>
    <w:rsid w:val="00AE6CC7"/>
    <w:rsid w:val="00AE73A1"/>
    <w:rsid w:val="00AE77D0"/>
    <w:rsid w:val="00AE7876"/>
    <w:rsid w:val="00AE7F61"/>
    <w:rsid w:val="00AF031D"/>
    <w:rsid w:val="00AF036B"/>
    <w:rsid w:val="00AF05A3"/>
    <w:rsid w:val="00AF05A6"/>
    <w:rsid w:val="00AF09C9"/>
    <w:rsid w:val="00AF0AE2"/>
    <w:rsid w:val="00AF0CD3"/>
    <w:rsid w:val="00AF12E7"/>
    <w:rsid w:val="00AF135C"/>
    <w:rsid w:val="00AF1D02"/>
    <w:rsid w:val="00AF2475"/>
    <w:rsid w:val="00AF2617"/>
    <w:rsid w:val="00AF263F"/>
    <w:rsid w:val="00AF26C2"/>
    <w:rsid w:val="00AF289F"/>
    <w:rsid w:val="00AF2949"/>
    <w:rsid w:val="00AF2A5F"/>
    <w:rsid w:val="00AF2A64"/>
    <w:rsid w:val="00AF3C6B"/>
    <w:rsid w:val="00AF3EA7"/>
    <w:rsid w:val="00AF4151"/>
    <w:rsid w:val="00AF590D"/>
    <w:rsid w:val="00AF5D20"/>
    <w:rsid w:val="00AF5D27"/>
    <w:rsid w:val="00AF642D"/>
    <w:rsid w:val="00AF64D8"/>
    <w:rsid w:val="00AF68F3"/>
    <w:rsid w:val="00AF6A5C"/>
    <w:rsid w:val="00AF6C61"/>
    <w:rsid w:val="00AF6E0A"/>
    <w:rsid w:val="00AF6F96"/>
    <w:rsid w:val="00AF742A"/>
    <w:rsid w:val="00AF7830"/>
    <w:rsid w:val="00AF786D"/>
    <w:rsid w:val="00B000AB"/>
    <w:rsid w:val="00B00546"/>
    <w:rsid w:val="00B005BA"/>
    <w:rsid w:val="00B0084D"/>
    <w:rsid w:val="00B00A13"/>
    <w:rsid w:val="00B00E25"/>
    <w:rsid w:val="00B01470"/>
    <w:rsid w:val="00B01944"/>
    <w:rsid w:val="00B01977"/>
    <w:rsid w:val="00B01A4B"/>
    <w:rsid w:val="00B01C04"/>
    <w:rsid w:val="00B01CEF"/>
    <w:rsid w:val="00B02440"/>
    <w:rsid w:val="00B03135"/>
    <w:rsid w:val="00B038A4"/>
    <w:rsid w:val="00B03CF9"/>
    <w:rsid w:val="00B043DC"/>
    <w:rsid w:val="00B046A6"/>
    <w:rsid w:val="00B04C33"/>
    <w:rsid w:val="00B04C56"/>
    <w:rsid w:val="00B0533E"/>
    <w:rsid w:val="00B0558A"/>
    <w:rsid w:val="00B06046"/>
    <w:rsid w:val="00B06203"/>
    <w:rsid w:val="00B065B3"/>
    <w:rsid w:val="00B06A5D"/>
    <w:rsid w:val="00B06B5D"/>
    <w:rsid w:val="00B06DFA"/>
    <w:rsid w:val="00B06FD3"/>
    <w:rsid w:val="00B07003"/>
    <w:rsid w:val="00B07048"/>
    <w:rsid w:val="00B0749F"/>
    <w:rsid w:val="00B07904"/>
    <w:rsid w:val="00B07F90"/>
    <w:rsid w:val="00B07F9E"/>
    <w:rsid w:val="00B100C9"/>
    <w:rsid w:val="00B103D6"/>
    <w:rsid w:val="00B11277"/>
    <w:rsid w:val="00B11966"/>
    <w:rsid w:val="00B11EBC"/>
    <w:rsid w:val="00B12494"/>
    <w:rsid w:val="00B124C0"/>
    <w:rsid w:val="00B12748"/>
    <w:rsid w:val="00B1298B"/>
    <w:rsid w:val="00B12CCF"/>
    <w:rsid w:val="00B1359F"/>
    <w:rsid w:val="00B13716"/>
    <w:rsid w:val="00B13973"/>
    <w:rsid w:val="00B13999"/>
    <w:rsid w:val="00B139CB"/>
    <w:rsid w:val="00B139FE"/>
    <w:rsid w:val="00B13A18"/>
    <w:rsid w:val="00B13AEE"/>
    <w:rsid w:val="00B13C97"/>
    <w:rsid w:val="00B13FC0"/>
    <w:rsid w:val="00B15562"/>
    <w:rsid w:val="00B15A44"/>
    <w:rsid w:val="00B15C45"/>
    <w:rsid w:val="00B16A54"/>
    <w:rsid w:val="00B16B97"/>
    <w:rsid w:val="00B170F5"/>
    <w:rsid w:val="00B177B3"/>
    <w:rsid w:val="00B177C0"/>
    <w:rsid w:val="00B17883"/>
    <w:rsid w:val="00B17D9E"/>
    <w:rsid w:val="00B17E3A"/>
    <w:rsid w:val="00B17ECF"/>
    <w:rsid w:val="00B207CD"/>
    <w:rsid w:val="00B20EB2"/>
    <w:rsid w:val="00B212B6"/>
    <w:rsid w:val="00B21530"/>
    <w:rsid w:val="00B21635"/>
    <w:rsid w:val="00B21748"/>
    <w:rsid w:val="00B21B41"/>
    <w:rsid w:val="00B21F3E"/>
    <w:rsid w:val="00B220C3"/>
    <w:rsid w:val="00B2315C"/>
    <w:rsid w:val="00B233AC"/>
    <w:rsid w:val="00B24A87"/>
    <w:rsid w:val="00B24C2F"/>
    <w:rsid w:val="00B257A0"/>
    <w:rsid w:val="00B2582E"/>
    <w:rsid w:val="00B25B57"/>
    <w:rsid w:val="00B26255"/>
    <w:rsid w:val="00B26A6A"/>
    <w:rsid w:val="00B26F26"/>
    <w:rsid w:val="00B2791D"/>
    <w:rsid w:val="00B279DB"/>
    <w:rsid w:val="00B3012F"/>
    <w:rsid w:val="00B30624"/>
    <w:rsid w:val="00B3069F"/>
    <w:rsid w:val="00B30B5E"/>
    <w:rsid w:val="00B30E41"/>
    <w:rsid w:val="00B30EA5"/>
    <w:rsid w:val="00B30FA4"/>
    <w:rsid w:val="00B31040"/>
    <w:rsid w:val="00B3129A"/>
    <w:rsid w:val="00B31787"/>
    <w:rsid w:val="00B318D5"/>
    <w:rsid w:val="00B31DB2"/>
    <w:rsid w:val="00B31F10"/>
    <w:rsid w:val="00B32560"/>
    <w:rsid w:val="00B32810"/>
    <w:rsid w:val="00B33344"/>
    <w:rsid w:val="00B334F7"/>
    <w:rsid w:val="00B33692"/>
    <w:rsid w:val="00B33C0A"/>
    <w:rsid w:val="00B33D53"/>
    <w:rsid w:val="00B33E09"/>
    <w:rsid w:val="00B33F1B"/>
    <w:rsid w:val="00B34287"/>
    <w:rsid w:val="00B342E2"/>
    <w:rsid w:val="00B34469"/>
    <w:rsid w:val="00B34CA1"/>
    <w:rsid w:val="00B34DEB"/>
    <w:rsid w:val="00B352F0"/>
    <w:rsid w:val="00B3531E"/>
    <w:rsid w:val="00B3552C"/>
    <w:rsid w:val="00B35B1E"/>
    <w:rsid w:val="00B35D23"/>
    <w:rsid w:val="00B36456"/>
    <w:rsid w:val="00B364AF"/>
    <w:rsid w:val="00B36D73"/>
    <w:rsid w:val="00B36D7D"/>
    <w:rsid w:val="00B37AC8"/>
    <w:rsid w:val="00B37B73"/>
    <w:rsid w:val="00B37BAC"/>
    <w:rsid w:val="00B37BD2"/>
    <w:rsid w:val="00B37CAF"/>
    <w:rsid w:val="00B37E0F"/>
    <w:rsid w:val="00B37FA4"/>
    <w:rsid w:val="00B40327"/>
    <w:rsid w:val="00B40348"/>
    <w:rsid w:val="00B405BD"/>
    <w:rsid w:val="00B40983"/>
    <w:rsid w:val="00B41391"/>
    <w:rsid w:val="00B41470"/>
    <w:rsid w:val="00B41542"/>
    <w:rsid w:val="00B417B0"/>
    <w:rsid w:val="00B418DC"/>
    <w:rsid w:val="00B41AAF"/>
    <w:rsid w:val="00B41AFA"/>
    <w:rsid w:val="00B4235D"/>
    <w:rsid w:val="00B423BB"/>
    <w:rsid w:val="00B426F4"/>
    <w:rsid w:val="00B428D9"/>
    <w:rsid w:val="00B42B06"/>
    <w:rsid w:val="00B4307A"/>
    <w:rsid w:val="00B4320E"/>
    <w:rsid w:val="00B433D6"/>
    <w:rsid w:val="00B435B4"/>
    <w:rsid w:val="00B43A42"/>
    <w:rsid w:val="00B43AB5"/>
    <w:rsid w:val="00B43CD6"/>
    <w:rsid w:val="00B4409A"/>
    <w:rsid w:val="00B44750"/>
    <w:rsid w:val="00B44E05"/>
    <w:rsid w:val="00B451D3"/>
    <w:rsid w:val="00B46532"/>
    <w:rsid w:val="00B46677"/>
    <w:rsid w:val="00B467AC"/>
    <w:rsid w:val="00B468FA"/>
    <w:rsid w:val="00B46A5A"/>
    <w:rsid w:val="00B46BFA"/>
    <w:rsid w:val="00B46D29"/>
    <w:rsid w:val="00B46E4C"/>
    <w:rsid w:val="00B47169"/>
    <w:rsid w:val="00B473D5"/>
    <w:rsid w:val="00B475AD"/>
    <w:rsid w:val="00B4773E"/>
    <w:rsid w:val="00B477DC"/>
    <w:rsid w:val="00B47A34"/>
    <w:rsid w:val="00B47BC5"/>
    <w:rsid w:val="00B50897"/>
    <w:rsid w:val="00B50B07"/>
    <w:rsid w:val="00B50FE2"/>
    <w:rsid w:val="00B513F1"/>
    <w:rsid w:val="00B51A46"/>
    <w:rsid w:val="00B526A1"/>
    <w:rsid w:val="00B52711"/>
    <w:rsid w:val="00B5291A"/>
    <w:rsid w:val="00B52C07"/>
    <w:rsid w:val="00B53253"/>
    <w:rsid w:val="00B53306"/>
    <w:rsid w:val="00B53634"/>
    <w:rsid w:val="00B53913"/>
    <w:rsid w:val="00B53D55"/>
    <w:rsid w:val="00B53E3D"/>
    <w:rsid w:val="00B5416B"/>
    <w:rsid w:val="00B548D1"/>
    <w:rsid w:val="00B54B34"/>
    <w:rsid w:val="00B54D28"/>
    <w:rsid w:val="00B54E21"/>
    <w:rsid w:val="00B54F4D"/>
    <w:rsid w:val="00B55BD4"/>
    <w:rsid w:val="00B55EDB"/>
    <w:rsid w:val="00B5687F"/>
    <w:rsid w:val="00B56976"/>
    <w:rsid w:val="00B56A78"/>
    <w:rsid w:val="00B56AD4"/>
    <w:rsid w:val="00B56B49"/>
    <w:rsid w:val="00B56BA6"/>
    <w:rsid w:val="00B56F35"/>
    <w:rsid w:val="00B5705B"/>
    <w:rsid w:val="00B571FF"/>
    <w:rsid w:val="00B57327"/>
    <w:rsid w:val="00B57355"/>
    <w:rsid w:val="00B5783F"/>
    <w:rsid w:val="00B57A1E"/>
    <w:rsid w:val="00B57A2A"/>
    <w:rsid w:val="00B57F4B"/>
    <w:rsid w:val="00B602FA"/>
    <w:rsid w:val="00B6068F"/>
    <w:rsid w:val="00B606B4"/>
    <w:rsid w:val="00B60BCE"/>
    <w:rsid w:val="00B60FA5"/>
    <w:rsid w:val="00B61251"/>
    <w:rsid w:val="00B61277"/>
    <w:rsid w:val="00B61B57"/>
    <w:rsid w:val="00B61C2A"/>
    <w:rsid w:val="00B61D96"/>
    <w:rsid w:val="00B624B6"/>
    <w:rsid w:val="00B62804"/>
    <w:rsid w:val="00B62945"/>
    <w:rsid w:val="00B62FBA"/>
    <w:rsid w:val="00B63299"/>
    <w:rsid w:val="00B635E4"/>
    <w:rsid w:val="00B63649"/>
    <w:rsid w:val="00B636B2"/>
    <w:rsid w:val="00B63B59"/>
    <w:rsid w:val="00B64AD2"/>
    <w:rsid w:val="00B65279"/>
    <w:rsid w:val="00B65A65"/>
    <w:rsid w:val="00B65D25"/>
    <w:rsid w:val="00B65E60"/>
    <w:rsid w:val="00B65FB5"/>
    <w:rsid w:val="00B66105"/>
    <w:rsid w:val="00B6691F"/>
    <w:rsid w:val="00B670C5"/>
    <w:rsid w:val="00B674AD"/>
    <w:rsid w:val="00B679F8"/>
    <w:rsid w:val="00B67CD6"/>
    <w:rsid w:val="00B67D21"/>
    <w:rsid w:val="00B67E04"/>
    <w:rsid w:val="00B67E4E"/>
    <w:rsid w:val="00B7008F"/>
    <w:rsid w:val="00B704B3"/>
    <w:rsid w:val="00B70763"/>
    <w:rsid w:val="00B71063"/>
    <w:rsid w:val="00B71191"/>
    <w:rsid w:val="00B712CC"/>
    <w:rsid w:val="00B713FA"/>
    <w:rsid w:val="00B7140A"/>
    <w:rsid w:val="00B717AE"/>
    <w:rsid w:val="00B7184B"/>
    <w:rsid w:val="00B71BF2"/>
    <w:rsid w:val="00B71FF0"/>
    <w:rsid w:val="00B72A26"/>
    <w:rsid w:val="00B73224"/>
    <w:rsid w:val="00B73354"/>
    <w:rsid w:val="00B733DD"/>
    <w:rsid w:val="00B73794"/>
    <w:rsid w:val="00B73AB9"/>
    <w:rsid w:val="00B73D77"/>
    <w:rsid w:val="00B73E4B"/>
    <w:rsid w:val="00B749F3"/>
    <w:rsid w:val="00B74CAC"/>
    <w:rsid w:val="00B75107"/>
    <w:rsid w:val="00B75433"/>
    <w:rsid w:val="00B75F43"/>
    <w:rsid w:val="00B75F61"/>
    <w:rsid w:val="00B76373"/>
    <w:rsid w:val="00B764D5"/>
    <w:rsid w:val="00B76671"/>
    <w:rsid w:val="00B76C78"/>
    <w:rsid w:val="00B76CA6"/>
    <w:rsid w:val="00B77325"/>
    <w:rsid w:val="00B773CC"/>
    <w:rsid w:val="00B775CA"/>
    <w:rsid w:val="00B775DF"/>
    <w:rsid w:val="00B77690"/>
    <w:rsid w:val="00B77793"/>
    <w:rsid w:val="00B7795E"/>
    <w:rsid w:val="00B77BE6"/>
    <w:rsid w:val="00B8044C"/>
    <w:rsid w:val="00B8045A"/>
    <w:rsid w:val="00B8049E"/>
    <w:rsid w:val="00B80937"/>
    <w:rsid w:val="00B809C0"/>
    <w:rsid w:val="00B80ADB"/>
    <w:rsid w:val="00B80B89"/>
    <w:rsid w:val="00B80C66"/>
    <w:rsid w:val="00B80E22"/>
    <w:rsid w:val="00B80EC8"/>
    <w:rsid w:val="00B80F53"/>
    <w:rsid w:val="00B80F80"/>
    <w:rsid w:val="00B810D3"/>
    <w:rsid w:val="00B81337"/>
    <w:rsid w:val="00B813CC"/>
    <w:rsid w:val="00B815F2"/>
    <w:rsid w:val="00B816DC"/>
    <w:rsid w:val="00B817B1"/>
    <w:rsid w:val="00B817E1"/>
    <w:rsid w:val="00B818C7"/>
    <w:rsid w:val="00B81A74"/>
    <w:rsid w:val="00B81E3E"/>
    <w:rsid w:val="00B82115"/>
    <w:rsid w:val="00B82184"/>
    <w:rsid w:val="00B823B5"/>
    <w:rsid w:val="00B824FD"/>
    <w:rsid w:val="00B82713"/>
    <w:rsid w:val="00B83072"/>
    <w:rsid w:val="00B8347F"/>
    <w:rsid w:val="00B83572"/>
    <w:rsid w:val="00B839AA"/>
    <w:rsid w:val="00B83AD8"/>
    <w:rsid w:val="00B83B28"/>
    <w:rsid w:val="00B83FEE"/>
    <w:rsid w:val="00B84061"/>
    <w:rsid w:val="00B84D65"/>
    <w:rsid w:val="00B84F72"/>
    <w:rsid w:val="00B853DD"/>
    <w:rsid w:val="00B85883"/>
    <w:rsid w:val="00B85F27"/>
    <w:rsid w:val="00B86462"/>
    <w:rsid w:val="00B86633"/>
    <w:rsid w:val="00B86C94"/>
    <w:rsid w:val="00B86CC5"/>
    <w:rsid w:val="00B87CE6"/>
    <w:rsid w:val="00B87FBD"/>
    <w:rsid w:val="00B9051F"/>
    <w:rsid w:val="00B9164A"/>
    <w:rsid w:val="00B9240E"/>
    <w:rsid w:val="00B924D0"/>
    <w:rsid w:val="00B9314C"/>
    <w:rsid w:val="00B9326C"/>
    <w:rsid w:val="00B93589"/>
    <w:rsid w:val="00B93709"/>
    <w:rsid w:val="00B93815"/>
    <w:rsid w:val="00B94BF8"/>
    <w:rsid w:val="00B94E53"/>
    <w:rsid w:val="00B94EEB"/>
    <w:rsid w:val="00B9536D"/>
    <w:rsid w:val="00B95381"/>
    <w:rsid w:val="00B95393"/>
    <w:rsid w:val="00B953CC"/>
    <w:rsid w:val="00B95582"/>
    <w:rsid w:val="00B95B8A"/>
    <w:rsid w:val="00B9652C"/>
    <w:rsid w:val="00B9679E"/>
    <w:rsid w:val="00B96ABA"/>
    <w:rsid w:val="00B96C93"/>
    <w:rsid w:val="00B96FAE"/>
    <w:rsid w:val="00B970AA"/>
    <w:rsid w:val="00B97E70"/>
    <w:rsid w:val="00B97F5A"/>
    <w:rsid w:val="00BA03A4"/>
    <w:rsid w:val="00BA0AE8"/>
    <w:rsid w:val="00BA12CE"/>
    <w:rsid w:val="00BA1D95"/>
    <w:rsid w:val="00BA1E0A"/>
    <w:rsid w:val="00BA2713"/>
    <w:rsid w:val="00BA2D95"/>
    <w:rsid w:val="00BA31BE"/>
    <w:rsid w:val="00BA34F9"/>
    <w:rsid w:val="00BA3797"/>
    <w:rsid w:val="00BA386C"/>
    <w:rsid w:val="00BA39A3"/>
    <w:rsid w:val="00BA4FC0"/>
    <w:rsid w:val="00BA5057"/>
    <w:rsid w:val="00BA51F6"/>
    <w:rsid w:val="00BA5514"/>
    <w:rsid w:val="00BA55DC"/>
    <w:rsid w:val="00BA56A1"/>
    <w:rsid w:val="00BA584C"/>
    <w:rsid w:val="00BA5EBC"/>
    <w:rsid w:val="00BA65C0"/>
    <w:rsid w:val="00BA6D35"/>
    <w:rsid w:val="00BA6DE5"/>
    <w:rsid w:val="00BA7230"/>
    <w:rsid w:val="00BB02DD"/>
    <w:rsid w:val="00BB081A"/>
    <w:rsid w:val="00BB0AC9"/>
    <w:rsid w:val="00BB0C4A"/>
    <w:rsid w:val="00BB0E03"/>
    <w:rsid w:val="00BB1B1E"/>
    <w:rsid w:val="00BB2181"/>
    <w:rsid w:val="00BB2E72"/>
    <w:rsid w:val="00BB4185"/>
    <w:rsid w:val="00BB47D8"/>
    <w:rsid w:val="00BB4881"/>
    <w:rsid w:val="00BB4984"/>
    <w:rsid w:val="00BB4999"/>
    <w:rsid w:val="00BB4D07"/>
    <w:rsid w:val="00BB50E4"/>
    <w:rsid w:val="00BB5326"/>
    <w:rsid w:val="00BB5661"/>
    <w:rsid w:val="00BB5785"/>
    <w:rsid w:val="00BB5AD0"/>
    <w:rsid w:val="00BB6331"/>
    <w:rsid w:val="00BB6971"/>
    <w:rsid w:val="00BB6B5D"/>
    <w:rsid w:val="00BB72F7"/>
    <w:rsid w:val="00BB7634"/>
    <w:rsid w:val="00BB76ED"/>
    <w:rsid w:val="00BB78FE"/>
    <w:rsid w:val="00BB7A93"/>
    <w:rsid w:val="00BB7AA6"/>
    <w:rsid w:val="00BB7B64"/>
    <w:rsid w:val="00BB7BB3"/>
    <w:rsid w:val="00BC0128"/>
    <w:rsid w:val="00BC0138"/>
    <w:rsid w:val="00BC0A57"/>
    <w:rsid w:val="00BC0A94"/>
    <w:rsid w:val="00BC0C2E"/>
    <w:rsid w:val="00BC1122"/>
    <w:rsid w:val="00BC1561"/>
    <w:rsid w:val="00BC18FB"/>
    <w:rsid w:val="00BC1D5E"/>
    <w:rsid w:val="00BC2CF3"/>
    <w:rsid w:val="00BC3159"/>
    <w:rsid w:val="00BC3595"/>
    <w:rsid w:val="00BC3C66"/>
    <w:rsid w:val="00BC3D2E"/>
    <w:rsid w:val="00BC3E9F"/>
    <w:rsid w:val="00BC4021"/>
    <w:rsid w:val="00BC4C5B"/>
    <w:rsid w:val="00BC4D5E"/>
    <w:rsid w:val="00BC4ED9"/>
    <w:rsid w:val="00BC57B8"/>
    <w:rsid w:val="00BC5923"/>
    <w:rsid w:val="00BC5B62"/>
    <w:rsid w:val="00BC5D16"/>
    <w:rsid w:val="00BC5ECA"/>
    <w:rsid w:val="00BC62E9"/>
    <w:rsid w:val="00BC6432"/>
    <w:rsid w:val="00BC6A00"/>
    <w:rsid w:val="00BC6B1F"/>
    <w:rsid w:val="00BC6CE0"/>
    <w:rsid w:val="00BC7826"/>
    <w:rsid w:val="00BC7FE1"/>
    <w:rsid w:val="00BD03EA"/>
    <w:rsid w:val="00BD056E"/>
    <w:rsid w:val="00BD061E"/>
    <w:rsid w:val="00BD1E00"/>
    <w:rsid w:val="00BD1EDD"/>
    <w:rsid w:val="00BD1EF7"/>
    <w:rsid w:val="00BD22DF"/>
    <w:rsid w:val="00BD2D72"/>
    <w:rsid w:val="00BD3296"/>
    <w:rsid w:val="00BD32D9"/>
    <w:rsid w:val="00BD4320"/>
    <w:rsid w:val="00BD4382"/>
    <w:rsid w:val="00BD479E"/>
    <w:rsid w:val="00BD4F61"/>
    <w:rsid w:val="00BD5042"/>
    <w:rsid w:val="00BD54F8"/>
    <w:rsid w:val="00BD5CC0"/>
    <w:rsid w:val="00BD5E22"/>
    <w:rsid w:val="00BD6227"/>
    <w:rsid w:val="00BD6A71"/>
    <w:rsid w:val="00BD6ED6"/>
    <w:rsid w:val="00BD72D8"/>
    <w:rsid w:val="00BD7779"/>
    <w:rsid w:val="00BE05ED"/>
    <w:rsid w:val="00BE0760"/>
    <w:rsid w:val="00BE0BDA"/>
    <w:rsid w:val="00BE0C8A"/>
    <w:rsid w:val="00BE1202"/>
    <w:rsid w:val="00BE146B"/>
    <w:rsid w:val="00BE166B"/>
    <w:rsid w:val="00BE1BB6"/>
    <w:rsid w:val="00BE20DC"/>
    <w:rsid w:val="00BE2395"/>
    <w:rsid w:val="00BE2915"/>
    <w:rsid w:val="00BE2F53"/>
    <w:rsid w:val="00BE2F7A"/>
    <w:rsid w:val="00BE3121"/>
    <w:rsid w:val="00BE33F7"/>
    <w:rsid w:val="00BE366A"/>
    <w:rsid w:val="00BE3EED"/>
    <w:rsid w:val="00BE4BA0"/>
    <w:rsid w:val="00BE4CF7"/>
    <w:rsid w:val="00BE501A"/>
    <w:rsid w:val="00BE58E1"/>
    <w:rsid w:val="00BE5D52"/>
    <w:rsid w:val="00BE6ACF"/>
    <w:rsid w:val="00BE70F3"/>
    <w:rsid w:val="00BE7577"/>
    <w:rsid w:val="00BE76CF"/>
    <w:rsid w:val="00BE7BAD"/>
    <w:rsid w:val="00BF00AD"/>
    <w:rsid w:val="00BF015B"/>
    <w:rsid w:val="00BF01BE"/>
    <w:rsid w:val="00BF0217"/>
    <w:rsid w:val="00BF0984"/>
    <w:rsid w:val="00BF0C8E"/>
    <w:rsid w:val="00BF0F6A"/>
    <w:rsid w:val="00BF143B"/>
    <w:rsid w:val="00BF19E9"/>
    <w:rsid w:val="00BF1ECB"/>
    <w:rsid w:val="00BF200F"/>
    <w:rsid w:val="00BF21DD"/>
    <w:rsid w:val="00BF229A"/>
    <w:rsid w:val="00BF2ADA"/>
    <w:rsid w:val="00BF3221"/>
    <w:rsid w:val="00BF3CA2"/>
    <w:rsid w:val="00BF4BA9"/>
    <w:rsid w:val="00BF4DF7"/>
    <w:rsid w:val="00BF4F06"/>
    <w:rsid w:val="00BF5203"/>
    <w:rsid w:val="00BF570D"/>
    <w:rsid w:val="00BF5922"/>
    <w:rsid w:val="00BF5B93"/>
    <w:rsid w:val="00BF5BC0"/>
    <w:rsid w:val="00BF5E1F"/>
    <w:rsid w:val="00BF660A"/>
    <w:rsid w:val="00BF667B"/>
    <w:rsid w:val="00BF6859"/>
    <w:rsid w:val="00BF6E30"/>
    <w:rsid w:val="00BF6F6A"/>
    <w:rsid w:val="00BF7231"/>
    <w:rsid w:val="00BF7414"/>
    <w:rsid w:val="00BF7434"/>
    <w:rsid w:val="00BF758A"/>
    <w:rsid w:val="00BF7706"/>
    <w:rsid w:val="00BF7D6D"/>
    <w:rsid w:val="00BF7E41"/>
    <w:rsid w:val="00C00075"/>
    <w:rsid w:val="00C0042E"/>
    <w:rsid w:val="00C0085D"/>
    <w:rsid w:val="00C00B39"/>
    <w:rsid w:val="00C01054"/>
    <w:rsid w:val="00C01418"/>
    <w:rsid w:val="00C0148E"/>
    <w:rsid w:val="00C014EB"/>
    <w:rsid w:val="00C01BF7"/>
    <w:rsid w:val="00C01EF3"/>
    <w:rsid w:val="00C022E2"/>
    <w:rsid w:val="00C02858"/>
    <w:rsid w:val="00C03005"/>
    <w:rsid w:val="00C033C5"/>
    <w:rsid w:val="00C0356B"/>
    <w:rsid w:val="00C03649"/>
    <w:rsid w:val="00C039D9"/>
    <w:rsid w:val="00C03BCE"/>
    <w:rsid w:val="00C0455D"/>
    <w:rsid w:val="00C04A59"/>
    <w:rsid w:val="00C053C7"/>
    <w:rsid w:val="00C05BAA"/>
    <w:rsid w:val="00C06663"/>
    <w:rsid w:val="00C067B5"/>
    <w:rsid w:val="00C0681A"/>
    <w:rsid w:val="00C0715F"/>
    <w:rsid w:val="00C074BA"/>
    <w:rsid w:val="00C10197"/>
    <w:rsid w:val="00C106D4"/>
    <w:rsid w:val="00C1080E"/>
    <w:rsid w:val="00C10813"/>
    <w:rsid w:val="00C10889"/>
    <w:rsid w:val="00C10A7E"/>
    <w:rsid w:val="00C10C9C"/>
    <w:rsid w:val="00C1129B"/>
    <w:rsid w:val="00C11459"/>
    <w:rsid w:val="00C11AE1"/>
    <w:rsid w:val="00C11D5B"/>
    <w:rsid w:val="00C123C7"/>
    <w:rsid w:val="00C125FA"/>
    <w:rsid w:val="00C129BA"/>
    <w:rsid w:val="00C12D27"/>
    <w:rsid w:val="00C13701"/>
    <w:rsid w:val="00C1378E"/>
    <w:rsid w:val="00C13A2A"/>
    <w:rsid w:val="00C14577"/>
    <w:rsid w:val="00C145BD"/>
    <w:rsid w:val="00C14ABA"/>
    <w:rsid w:val="00C14E21"/>
    <w:rsid w:val="00C1524C"/>
    <w:rsid w:val="00C15653"/>
    <w:rsid w:val="00C15846"/>
    <w:rsid w:val="00C15CE0"/>
    <w:rsid w:val="00C15E24"/>
    <w:rsid w:val="00C15E94"/>
    <w:rsid w:val="00C1640F"/>
    <w:rsid w:val="00C16EB5"/>
    <w:rsid w:val="00C17246"/>
    <w:rsid w:val="00C173FC"/>
    <w:rsid w:val="00C17A28"/>
    <w:rsid w:val="00C17CCC"/>
    <w:rsid w:val="00C20038"/>
    <w:rsid w:val="00C200A4"/>
    <w:rsid w:val="00C201B3"/>
    <w:rsid w:val="00C201FE"/>
    <w:rsid w:val="00C21436"/>
    <w:rsid w:val="00C218F1"/>
    <w:rsid w:val="00C21DF4"/>
    <w:rsid w:val="00C22008"/>
    <w:rsid w:val="00C22060"/>
    <w:rsid w:val="00C220FC"/>
    <w:rsid w:val="00C2253B"/>
    <w:rsid w:val="00C2284A"/>
    <w:rsid w:val="00C23564"/>
    <w:rsid w:val="00C23917"/>
    <w:rsid w:val="00C24171"/>
    <w:rsid w:val="00C24753"/>
    <w:rsid w:val="00C248C5"/>
    <w:rsid w:val="00C24CA4"/>
    <w:rsid w:val="00C24F81"/>
    <w:rsid w:val="00C250D7"/>
    <w:rsid w:val="00C25355"/>
    <w:rsid w:val="00C25CD3"/>
    <w:rsid w:val="00C263A8"/>
    <w:rsid w:val="00C26A01"/>
    <w:rsid w:val="00C26B3A"/>
    <w:rsid w:val="00C2780D"/>
    <w:rsid w:val="00C27BB0"/>
    <w:rsid w:val="00C27C06"/>
    <w:rsid w:val="00C27D8D"/>
    <w:rsid w:val="00C27E77"/>
    <w:rsid w:val="00C30970"/>
    <w:rsid w:val="00C30A12"/>
    <w:rsid w:val="00C311BA"/>
    <w:rsid w:val="00C3126A"/>
    <w:rsid w:val="00C31E39"/>
    <w:rsid w:val="00C32AB3"/>
    <w:rsid w:val="00C32C7A"/>
    <w:rsid w:val="00C32CFE"/>
    <w:rsid w:val="00C32E19"/>
    <w:rsid w:val="00C33052"/>
    <w:rsid w:val="00C3324E"/>
    <w:rsid w:val="00C33AC9"/>
    <w:rsid w:val="00C348B7"/>
    <w:rsid w:val="00C34A38"/>
    <w:rsid w:val="00C35A79"/>
    <w:rsid w:val="00C35F31"/>
    <w:rsid w:val="00C35FEE"/>
    <w:rsid w:val="00C36375"/>
    <w:rsid w:val="00C3656E"/>
    <w:rsid w:val="00C36BD4"/>
    <w:rsid w:val="00C370F6"/>
    <w:rsid w:val="00C37146"/>
    <w:rsid w:val="00C37326"/>
    <w:rsid w:val="00C37340"/>
    <w:rsid w:val="00C37707"/>
    <w:rsid w:val="00C379BD"/>
    <w:rsid w:val="00C37A58"/>
    <w:rsid w:val="00C4000C"/>
    <w:rsid w:val="00C4015B"/>
    <w:rsid w:val="00C402BC"/>
    <w:rsid w:val="00C402C2"/>
    <w:rsid w:val="00C406C7"/>
    <w:rsid w:val="00C40B4B"/>
    <w:rsid w:val="00C40D97"/>
    <w:rsid w:val="00C4174F"/>
    <w:rsid w:val="00C4199C"/>
    <w:rsid w:val="00C419D7"/>
    <w:rsid w:val="00C41B2B"/>
    <w:rsid w:val="00C41C2D"/>
    <w:rsid w:val="00C41CC2"/>
    <w:rsid w:val="00C41E04"/>
    <w:rsid w:val="00C41E27"/>
    <w:rsid w:val="00C4205E"/>
    <w:rsid w:val="00C4236B"/>
    <w:rsid w:val="00C425DF"/>
    <w:rsid w:val="00C43559"/>
    <w:rsid w:val="00C43769"/>
    <w:rsid w:val="00C43847"/>
    <w:rsid w:val="00C442F5"/>
    <w:rsid w:val="00C450BE"/>
    <w:rsid w:val="00C45187"/>
    <w:rsid w:val="00C451C8"/>
    <w:rsid w:val="00C454F7"/>
    <w:rsid w:val="00C46012"/>
    <w:rsid w:val="00C4624A"/>
    <w:rsid w:val="00C465EB"/>
    <w:rsid w:val="00C46929"/>
    <w:rsid w:val="00C46EDD"/>
    <w:rsid w:val="00C472D7"/>
    <w:rsid w:val="00C475A6"/>
    <w:rsid w:val="00C47614"/>
    <w:rsid w:val="00C47D4F"/>
    <w:rsid w:val="00C50359"/>
    <w:rsid w:val="00C5089F"/>
    <w:rsid w:val="00C50DBA"/>
    <w:rsid w:val="00C512C6"/>
    <w:rsid w:val="00C51A87"/>
    <w:rsid w:val="00C51C4A"/>
    <w:rsid w:val="00C52327"/>
    <w:rsid w:val="00C537A9"/>
    <w:rsid w:val="00C53A5D"/>
    <w:rsid w:val="00C53E3D"/>
    <w:rsid w:val="00C54351"/>
    <w:rsid w:val="00C5439B"/>
    <w:rsid w:val="00C545A1"/>
    <w:rsid w:val="00C54731"/>
    <w:rsid w:val="00C549B5"/>
    <w:rsid w:val="00C54FB0"/>
    <w:rsid w:val="00C55464"/>
    <w:rsid w:val="00C55561"/>
    <w:rsid w:val="00C55D77"/>
    <w:rsid w:val="00C55E59"/>
    <w:rsid w:val="00C56030"/>
    <w:rsid w:val="00C560D5"/>
    <w:rsid w:val="00C56351"/>
    <w:rsid w:val="00C563E1"/>
    <w:rsid w:val="00C5657F"/>
    <w:rsid w:val="00C56761"/>
    <w:rsid w:val="00C56889"/>
    <w:rsid w:val="00C56EE4"/>
    <w:rsid w:val="00C60062"/>
    <w:rsid w:val="00C603E7"/>
    <w:rsid w:val="00C60BD9"/>
    <w:rsid w:val="00C61040"/>
    <w:rsid w:val="00C6139C"/>
    <w:rsid w:val="00C6196F"/>
    <w:rsid w:val="00C61A11"/>
    <w:rsid w:val="00C61FAB"/>
    <w:rsid w:val="00C6200A"/>
    <w:rsid w:val="00C6236C"/>
    <w:rsid w:val="00C624E2"/>
    <w:rsid w:val="00C62712"/>
    <w:rsid w:val="00C62DCB"/>
    <w:rsid w:val="00C62F3D"/>
    <w:rsid w:val="00C62FC3"/>
    <w:rsid w:val="00C632A8"/>
    <w:rsid w:val="00C632C7"/>
    <w:rsid w:val="00C6333F"/>
    <w:rsid w:val="00C63737"/>
    <w:rsid w:val="00C640C3"/>
    <w:rsid w:val="00C643E2"/>
    <w:rsid w:val="00C64689"/>
    <w:rsid w:val="00C6469E"/>
    <w:rsid w:val="00C6482E"/>
    <w:rsid w:val="00C64B36"/>
    <w:rsid w:val="00C64C38"/>
    <w:rsid w:val="00C64F7F"/>
    <w:rsid w:val="00C65196"/>
    <w:rsid w:val="00C66329"/>
    <w:rsid w:val="00C6646E"/>
    <w:rsid w:val="00C6653C"/>
    <w:rsid w:val="00C66A99"/>
    <w:rsid w:val="00C66BF1"/>
    <w:rsid w:val="00C66CF6"/>
    <w:rsid w:val="00C678FF"/>
    <w:rsid w:val="00C705F4"/>
    <w:rsid w:val="00C7063D"/>
    <w:rsid w:val="00C70C24"/>
    <w:rsid w:val="00C70C5B"/>
    <w:rsid w:val="00C70F90"/>
    <w:rsid w:val="00C712BB"/>
    <w:rsid w:val="00C712D3"/>
    <w:rsid w:val="00C712E6"/>
    <w:rsid w:val="00C71696"/>
    <w:rsid w:val="00C72118"/>
    <w:rsid w:val="00C721D6"/>
    <w:rsid w:val="00C72269"/>
    <w:rsid w:val="00C7286E"/>
    <w:rsid w:val="00C728C9"/>
    <w:rsid w:val="00C7313B"/>
    <w:rsid w:val="00C731D9"/>
    <w:rsid w:val="00C73495"/>
    <w:rsid w:val="00C73A3E"/>
    <w:rsid w:val="00C73F55"/>
    <w:rsid w:val="00C74137"/>
    <w:rsid w:val="00C749E3"/>
    <w:rsid w:val="00C74AE9"/>
    <w:rsid w:val="00C75207"/>
    <w:rsid w:val="00C7543C"/>
    <w:rsid w:val="00C754B9"/>
    <w:rsid w:val="00C75AB2"/>
    <w:rsid w:val="00C75B81"/>
    <w:rsid w:val="00C75D7F"/>
    <w:rsid w:val="00C75DAB"/>
    <w:rsid w:val="00C75E73"/>
    <w:rsid w:val="00C76010"/>
    <w:rsid w:val="00C7604A"/>
    <w:rsid w:val="00C767C8"/>
    <w:rsid w:val="00C76B51"/>
    <w:rsid w:val="00C76C64"/>
    <w:rsid w:val="00C779F3"/>
    <w:rsid w:val="00C77F4C"/>
    <w:rsid w:val="00C80118"/>
    <w:rsid w:val="00C8069C"/>
    <w:rsid w:val="00C80E83"/>
    <w:rsid w:val="00C8116E"/>
    <w:rsid w:val="00C81170"/>
    <w:rsid w:val="00C8177A"/>
    <w:rsid w:val="00C81843"/>
    <w:rsid w:val="00C81B4E"/>
    <w:rsid w:val="00C81E6F"/>
    <w:rsid w:val="00C82082"/>
    <w:rsid w:val="00C822BA"/>
    <w:rsid w:val="00C828BA"/>
    <w:rsid w:val="00C82EC2"/>
    <w:rsid w:val="00C82F20"/>
    <w:rsid w:val="00C83190"/>
    <w:rsid w:val="00C83D72"/>
    <w:rsid w:val="00C843EA"/>
    <w:rsid w:val="00C8471B"/>
    <w:rsid w:val="00C84BAB"/>
    <w:rsid w:val="00C84C15"/>
    <w:rsid w:val="00C84C48"/>
    <w:rsid w:val="00C8529A"/>
    <w:rsid w:val="00C858C4"/>
    <w:rsid w:val="00C8598B"/>
    <w:rsid w:val="00C85A4B"/>
    <w:rsid w:val="00C861E6"/>
    <w:rsid w:val="00C86392"/>
    <w:rsid w:val="00C863E3"/>
    <w:rsid w:val="00C86547"/>
    <w:rsid w:val="00C86850"/>
    <w:rsid w:val="00C869BD"/>
    <w:rsid w:val="00C86F64"/>
    <w:rsid w:val="00C8708D"/>
    <w:rsid w:val="00C87184"/>
    <w:rsid w:val="00C87455"/>
    <w:rsid w:val="00C879EA"/>
    <w:rsid w:val="00C87A6B"/>
    <w:rsid w:val="00C9012C"/>
    <w:rsid w:val="00C90D8E"/>
    <w:rsid w:val="00C92043"/>
    <w:rsid w:val="00C920F1"/>
    <w:rsid w:val="00C92327"/>
    <w:rsid w:val="00C928F6"/>
    <w:rsid w:val="00C92903"/>
    <w:rsid w:val="00C92B2F"/>
    <w:rsid w:val="00C92F33"/>
    <w:rsid w:val="00C92FDC"/>
    <w:rsid w:val="00C93EF5"/>
    <w:rsid w:val="00C941CF"/>
    <w:rsid w:val="00C942BF"/>
    <w:rsid w:val="00C943CE"/>
    <w:rsid w:val="00C947E5"/>
    <w:rsid w:val="00C94CA0"/>
    <w:rsid w:val="00C94D0F"/>
    <w:rsid w:val="00C94E34"/>
    <w:rsid w:val="00C9560F"/>
    <w:rsid w:val="00C95668"/>
    <w:rsid w:val="00C95C6E"/>
    <w:rsid w:val="00C96214"/>
    <w:rsid w:val="00C9670C"/>
    <w:rsid w:val="00C9677C"/>
    <w:rsid w:val="00C967B6"/>
    <w:rsid w:val="00C96918"/>
    <w:rsid w:val="00C96A5B"/>
    <w:rsid w:val="00C96B64"/>
    <w:rsid w:val="00C96FB6"/>
    <w:rsid w:val="00CA0136"/>
    <w:rsid w:val="00CA0652"/>
    <w:rsid w:val="00CA0AD1"/>
    <w:rsid w:val="00CA0B96"/>
    <w:rsid w:val="00CA0DB9"/>
    <w:rsid w:val="00CA0EE5"/>
    <w:rsid w:val="00CA0FEB"/>
    <w:rsid w:val="00CA11E6"/>
    <w:rsid w:val="00CA120A"/>
    <w:rsid w:val="00CA177A"/>
    <w:rsid w:val="00CA19C8"/>
    <w:rsid w:val="00CA1B7A"/>
    <w:rsid w:val="00CA1C7C"/>
    <w:rsid w:val="00CA1E68"/>
    <w:rsid w:val="00CA1E6F"/>
    <w:rsid w:val="00CA1E79"/>
    <w:rsid w:val="00CA1E88"/>
    <w:rsid w:val="00CA1EA1"/>
    <w:rsid w:val="00CA2632"/>
    <w:rsid w:val="00CA2A18"/>
    <w:rsid w:val="00CA2A2C"/>
    <w:rsid w:val="00CA2EB5"/>
    <w:rsid w:val="00CA3273"/>
    <w:rsid w:val="00CA3398"/>
    <w:rsid w:val="00CA385B"/>
    <w:rsid w:val="00CA3932"/>
    <w:rsid w:val="00CA3BE0"/>
    <w:rsid w:val="00CA3F79"/>
    <w:rsid w:val="00CA40C5"/>
    <w:rsid w:val="00CA4357"/>
    <w:rsid w:val="00CA4785"/>
    <w:rsid w:val="00CA4BAC"/>
    <w:rsid w:val="00CA4D6E"/>
    <w:rsid w:val="00CA5846"/>
    <w:rsid w:val="00CA58F9"/>
    <w:rsid w:val="00CA5B4A"/>
    <w:rsid w:val="00CA5EE0"/>
    <w:rsid w:val="00CA5F24"/>
    <w:rsid w:val="00CA6318"/>
    <w:rsid w:val="00CA64E0"/>
    <w:rsid w:val="00CA6C44"/>
    <w:rsid w:val="00CA6EED"/>
    <w:rsid w:val="00CA6F21"/>
    <w:rsid w:val="00CA6F92"/>
    <w:rsid w:val="00CA7645"/>
    <w:rsid w:val="00CA7BB3"/>
    <w:rsid w:val="00CB03FA"/>
    <w:rsid w:val="00CB049D"/>
    <w:rsid w:val="00CB1F46"/>
    <w:rsid w:val="00CB1FA4"/>
    <w:rsid w:val="00CB23AE"/>
    <w:rsid w:val="00CB2AA5"/>
    <w:rsid w:val="00CB2E7A"/>
    <w:rsid w:val="00CB2F73"/>
    <w:rsid w:val="00CB36D9"/>
    <w:rsid w:val="00CB399F"/>
    <w:rsid w:val="00CB3E5D"/>
    <w:rsid w:val="00CB43A9"/>
    <w:rsid w:val="00CB45F3"/>
    <w:rsid w:val="00CB4C0F"/>
    <w:rsid w:val="00CB5E7B"/>
    <w:rsid w:val="00CB5F0D"/>
    <w:rsid w:val="00CB62BB"/>
    <w:rsid w:val="00CB644C"/>
    <w:rsid w:val="00CB67BF"/>
    <w:rsid w:val="00CB71FF"/>
    <w:rsid w:val="00CB7226"/>
    <w:rsid w:val="00CB730A"/>
    <w:rsid w:val="00CB77C0"/>
    <w:rsid w:val="00CB79CD"/>
    <w:rsid w:val="00CB7AC3"/>
    <w:rsid w:val="00CB7DFB"/>
    <w:rsid w:val="00CC04D8"/>
    <w:rsid w:val="00CC08CB"/>
    <w:rsid w:val="00CC104A"/>
    <w:rsid w:val="00CC1053"/>
    <w:rsid w:val="00CC10A9"/>
    <w:rsid w:val="00CC10D3"/>
    <w:rsid w:val="00CC1131"/>
    <w:rsid w:val="00CC1667"/>
    <w:rsid w:val="00CC17AC"/>
    <w:rsid w:val="00CC1845"/>
    <w:rsid w:val="00CC1A0B"/>
    <w:rsid w:val="00CC1EE1"/>
    <w:rsid w:val="00CC238B"/>
    <w:rsid w:val="00CC272D"/>
    <w:rsid w:val="00CC2A14"/>
    <w:rsid w:val="00CC2B62"/>
    <w:rsid w:val="00CC3173"/>
    <w:rsid w:val="00CC3241"/>
    <w:rsid w:val="00CC33BB"/>
    <w:rsid w:val="00CC366C"/>
    <w:rsid w:val="00CC37C3"/>
    <w:rsid w:val="00CC3A90"/>
    <w:rsid w:val="00CC40E3"/>
    <w:rsid w:val="00CC4992"/>
    <w:rsid w:val="00CC4DC2"/>
    <w:rsid w:val="00CC56BC"/>
    <w:rsid w:val="00CC5990"/>
    <w:rsid w:val="00CC5994"/>
    <w:rsid w:val="00CC601E"/>
    <w:rsid w:val="00CC6187"/>
    <w:rsid w:val="00CC62F3"/>
    <w:rsid w:val="00CC63C8"/>
    <w:rsid w:val="00CC6784"/>
    <w:rsid w:val="00CC6981"/>
    <w:rsid w:val="00CC6AFF"/>
    <w:rsid w:val="00CC6C02"/>
    <w:rsid w:val="00CC71A1"/>
    <w:rsid w:val="00CC7B27"/>
    <w:rsid w:val="00CC7DCB"/>
    <w:rsid w:val="00CD0008"/>
    <w:rsid w:val="00CD00F0"/>
    <w:rsid w:val="00CD07D8"/>
    <w:rsid w:val="00CD0A6A"/>
    <w:rsid w:val="00CD0B8B"/>
    <w:rsid w:val="00CD0C40"/>
    <w:rsid w:val="00CD112D"/>
    <w:rsid w:val="00CD179D"/>
    <w:rsid w:val="00CD1827"/>
    <w:rsid w:val="00CD185B"/>
    <w:rsid w:val="00CD1990"/>
    <w:rsid w:val="00CD1C0F"/>
    <w:rsid w:val="00CD1CAF"/>
    <w:rsid w:val="00CD24D2"/>
    <w:rsid w:val="00CD25F8"/>
    <w:rsid w:val="00CD2DC8"/>
    <w:rsid w:val="00CD3002"/>
    <w:rsid w:val="00CD30DF"/>
    <w:rsid w:val="00CD312D"/>
    <w:rsid w:val="00CD338A"/>
    <w:rsid w:val="00CD34E0"/>
    <w:rsid w:val="00CD373E"/>
    <w:rsid w:val="00CD37F7"/>
    <w:rsid w:val="00CD39B7"/>
    <w:rsid w:val="00CD3A4A"/>
    <w:rsid w:val="00CD4030"/>
    <w:rsid w:val="00CD40C4"/>
    <w:rsid w:val="00CD4B49"/>
    <w:rsid w:val="00CD52B3"/>
    <w:rsid w:val="00CD5B6A"/>
    <w:rsid w:val="00CD6976"/>
    <w:rsid w:val="00CD6A1B"/>
    <w:rsid w:val="00CD6E51"/>
    <w:rsid w:val="00CD73CB"/>
    <w:rsid w:val="00CD7E65"/>
    <w:rsid w:val="00CE001C"/>
    <w:rsid w:val="00CE0130"/>
    <w:rsid w:val="00CE0563"/>
    <w:rsid w:val="00CE0B1C"/>
    <w:rsid w:val="00CE17A0"/>
    <w:rsid w:val="00CE180F"/>
    <w:rsid w:val="00CE2155"/>
    <w:rsid w:val="00CE2387"/>
    <w:rsid w:val="00CE24DB"/>
    <w:rsid w:val="00CE25E6"/>
    <w:rsid w:val="00CE2915"/>
    <w:rsid w:val="00CE2D24"/>
    <w:rsid w:val="00CE37DA"/>
    <w:rsid w:val="00CE3859"/>
    <w:rsid w:val="00CE3A6C"/>
    <w:rsid w:val="00CE3B12"/>
    <w:rsid w:val="00CE40C8"/>
    <w:rsid w:val="00CE4722"/>
    <w:rsid w:val="00CE53ED"/>
    <w:rsid w:val="00CE556A"/>
    <w:rsid w:val="00CE5B83"/>
    <w:rsid w:val="00CE63EE"/>
    <w:rsid w:val="00CE64AE"/>
    <w:rsid w:val="00CE695B"/>
    <w:rsid w:val="00CE6DF6"/>
    <w:rsid w:val="00CE6FB8"/>
    <w:rsid w:val="00CE708F"/>
    <w:rsid w:val="00CE714A"/>
    <w:rsid w:val="00CE74B0"/>
    <w:rsid w:val="00CE78B3"/>
    <w:rsid w:val="00CE7CB4"/>
    <w:rsid w:val="00CE7DF0"/>
    <w:rsid w:val="00CF03D9"/>
    <w:rsid w:val="00CF04E9"/>
    <w:rsid w:val="00CF062F"/>
    <w:rsid w:val="00CF069F"/>
    <w:rsid w:val="00CF086B"/>
    <w:rsid w:val="00CF09AF"/>
    <w:rsid w:val="00CF0A78"/>
    <w:rsid w:val="00CF0CEB"/>
    <w:rsid w:val="00CF0F22"/>
    <w:rsid w:val="00CF106C"/>
    <w:rsid w:val="00CF10C2"/>
    <w:rsid w:val="00CF13C1"/>
    <w:rsid w:val="00CF148D"/>
    <w:rsid w:val="00CF1667"/>
    <w:rsid w:val="00CF1685"/>
    <w:rsid w:val="00CF198B"/>
    <w:rsid w:val="00CF1A6D"/>
    <w:rsid w:val="00CF21A8"/>
    <w:rsid w:val="00CF230D"/>
    <w:rsid w:val="00CF31E1"/>
    <w:rsid w:val="00CF3FB1"/>
    <w:rsid w:val="00CF3FFC"/>
    <w:rsid w:val="00CF4AE7"/>
    <w:rsid w:val="00CF4F05"/>
    <w:rsid w:val="00CF53E5"/>
    <w:rsid w:val="00CF5525"/>
    <w:rsid w:val="00CF56B1"/>
    <w:rsid w:val="00CF5B7A"/>
    <w:rsid w:val="00CF677B"/>
    <w:rsid w:val="00CF6930"/>
    <w:rsid w:val="00CF6A7A"/>
    <w:rsid w:val="00CF6DD9"/>
    <w:rsid w:val="00CF6E96"/>
    <w:rsid w:val="00CF71D4"/>
    <w:rsid w:val="00CF7351"/>
    <w:rsid w:val="00CF7482"/>
    <w:rsid w:val="00CF76EB"/>
    <w:rsid w:val="00CF7A01"/>
    <w:rsid w:val="00CF7FEB"/>
    <w:rsid w:val="00D00478"/>
    <w:rsid w:val="00D00C10"/>
    <w:rsid w:val="00D0114A"/>
    <w:rsid w:val="00D0123F"/>
    <w:rsid w:val="00D01676"/>
    <w:rsid w:val="00D01EEE"/>
    <w:rsid w:val="00D02180"/>
    <w:rsid w:val="00D025E3"/>
    <w:rsid w:val="00D026BE"/>
    <w:rsid w:val="00D02C98"/>
    <w:rsid w:val="00D034AA"/>
    <w:rsid w:val="00D0377E"/>
    <w:rsid w:val="00D03E4F"/>
    <w:rsid w:val="00D04118"/>
    <w:rsid w:val="00D04412"/>
    <w:rsid w:val="00D0442F"/>
    <w:rsid w:val="00D0454A"/>
    <w:rsid w:val="00D04BC2"/>
    <w:rsid w:val="00D04F4F"/>
    <w:rsid w:val="00D057B0"/>
    <w:rsid w:val="00D060F3"/>
    <w:rsid w:val="00D06117"/>
    <w:rsid w:val="00D066DF"/>
    <w:rsid w:val="00D06761"/>
    <w:rsid w:val="00D067E4"/>
    <w:rsid w:val="00D0698D"/>
    <w:rsid w:val="00D07464"/>
    <w:rsid w:val="00D07925"/>
    <w:rsid w:val="00D07F0B"/>
    <w:rsid w:val="00D10018"/>
    <w:rsid w:val="00D100F4"/>
    <w:rsid w:val="00D10AC4"/>
    <w:rsid w:val="00D10BA4"/>
    <w:rsid w:val="00D10C5A"/>
    <w:rsid w:val="00D11455"/>
    <w:rsid w:val="00D11A80"/>
    <w:rsid w:val="00D11BB9"/>
    <w:rsid w:val="00D12016"/>
    <w:rsid w:val="00D1217B"/>
    <w:rsid w:val="00D125DB"/>
    <w:rsid w:val="00D12AC6"/>
    <w:rsid w:val="00D12D40"/>
    <w:rsid w:val="00D1309B"/>
    <w:rsid w:val="00D13782"/>
    <w:rsid w:val="00D1378E"/>
    <w:rsid w:val="00D13B4A"/>
    <w:rsid w:val="00D13DD6"/>
    <w:rsid w:val="00D1417B"/>
    <w:rsid w:val="00D141AE"/>
    <w:rsid w:val="00D1498D"/>
    <w:rsid w:val="00D149BC"/>
    <w:rsid w:val="00D14BD7"/>
    <w:rsid w:val="00D151CC"/>
    <w:rsid w:val="00D15586"/>
    <w:rsid w:val="00D15951"/>
    <w:rsid w:val="00D15A55"/>
    <w:rsid w:val="00D1646F"/>
    <w:rsid w:val="00D16724"/>
    <w:rsid w:val="00D168F3"/>
    <w:rsid w:val="00D16C19"/>
    <w:rsid w:val="00D16ECD"/>
    <w:rsid w:val="00D170DB"/>
    <w:rsid w:val="00D171A6"/>
    <w:rsid w:val="00D17381"/>
    <w:rsid w:val="00D17495"/>
    <w:rsid w:val="00D1785B"/>
    <w:rsid w:val="00D1787F"/>
    <w:rsid w:val="00D178D2"/>
    <w:rsid w:val="00D17990"/>
    <w:rsid w:val="00D17F29"/>
    <w:rsid w:val="00D20731"/>
    <w:rsid w:val="00D2088D"/>
    <w:rsid w:val="00D2099F"/>
    <w:rsid w:val="00D20B03"/>
    <w:rsid w:val="00D21E3A"/>
    <w:rsid w:val="00D22484"/>
    <w:rsid w:val="00D225AF"/>
    <w:rsid w:val="00D227E6"/>
    <w:rsid w:val="00D229A0"/>
    <w:rsid w:val="00D22DB1"/>
    <w:rsid w:val="00D22EEC"/>
    <w:rsid w:val="00D22F12"/>
    <w:rsid w:val="00D2398D"/>
    <w:rsid w:val="00D23CD6"/>
    <w:rsid w:val="00D23CE4"/>
    <w:rsid w:val="00D24051"/>
    <w:rsid w:val="00D2423B"/>
    <w:rsid w:val="00D242D4"/>
    <w:rsid w:val="00D24550"/>
    <w:rsid w:val="00D24801"/>
    <w:rsid w:val="00D24F09"/>
    <w:rsid w:val="00D24F79"/>
    <w:rsid w:val="00D251E7"/>
    <w:rsid w:val="00D254C5"/>
    <w:rsid w:val="00D25B35"/>
    <w:rsid w:val="00D25BA5"/>
    <w:rsid w:val="00D25E8B"/>
    <w:rsid w:val="00D2606D"/>
    <w:rsid w:val="00D26533"/>
    <w:rsid w:val="00D265C9"/>
    <w:rsid w:val="00D267F0"/>
    <w:rsid w:val="00D2684B"/>
    <w:rsid w:val="00D26AF9"/>
    <w:rsid w:val="00D26DD6"/>
    <w:rsid w:val="00D27043"/>
    <w:rsid w:val="00D27054"/>
    <w:rsid w:val="00D277D0"/>
    <w:rsid w:val="00D27F14"/>
    <w:rsid w:val="00D30011"/>
    <w:rsid w:val="00D3041D"/>
    <w:rsid w:val="00D30439"/>
    <w:rsid w:val="00D306C5"/>
    <w:rsid w:val="00D30C62"/>
    <w:rsid w:val="00D30D22"/>
    <w:rsid w:val="00D31EEA"/>
    <w:rsid w:val="00D320C6"/>
    <w:rsid w:val="00D323B8"/>
    <w:rsid w:val="00D3250D"/>
    <w:rsid w:val="00D32905"/>
    <w:rsid w:val="00D32B76"/>
    <w:rsid w:val="00D32C3B"/>
    <w:rsid w:val="00D32E39"/>
    <w:rsid w:val="00D331D1"/>
    <w:rsid w:val="00D331EF"/>
    <w:rsid w:val="00D332D4"/>
    <w:rsid w:val="00D3347F"/>
    <w:rsid w:val="00D33998"/>
    <w:rsid w:val="00D33D33"/>
    <w:rsid w:val="00D34112"/>
    <w:rsid w:val="00D34254"/>
    <w:rsid w:val="00D34293"/>
    <w:rsid w:val="00D347E7"/>
    <w:rsid w:val="00D34C36"/>
    <w:rsid w:val="00D3513E"/>
    <w:rsid w:val="00D35685"/>
    <w:rsid w:val="00D35720"/>
    <w:rsid w:val="00D35A20"/>
    <w:rsid w:val="00D3645A"/>
    <w:rsid w:val="00D36538"/>
    <w:rsid w:val="00D3666A"/>
    <w:rsid w:val="00D36CDF"/>
    <w:rsid w:val="00D379EC"/>
    <w:rsid w:val="00D37BEF"/>
    <w:rsid w:val="00D37F10"/>
    <w:rsid w:val="00D37FD9"/>
    <w:rsid w:val="00D402DE"/>
    <w:rsid w:val="00D404AF"/>
    <w:rsid w:val="00D406CC"/>
    <w:rsid w:val="00D40A1C"/>
    <w:rsid w:val="00D40F22"/>
    <w:rsid w:val="00D4118A"/>
    <w:rsid w:val="00D41234"/>
    <w:rsid w:val="00D4129A"/>
    <w:rsid w:val="00D418AF"/>
    <w:rsid w:val="00D41E1D"/>
    <w:rsid w:val="00D421D0"/>
    <w:rsid w:val="00D422BD"/>
    <w:rsid w:val="00D425DD"/>
    <w:rsid w:val="00D4268A"/>
    <w:rsid w:val="00D42A8D"/>
    <w:rsid w:val="00D440C3"/>
    <w:rsid w:val="00D442F8"/>
    <w:rsid w:val="00D446B6"/>
    <w:rsid w:val="00D44FCD"/>
    <w:rsid w:val="00D4575C"/>
    <w:rsid w:val="00D45A15"/>
    <w:rsid w:val="00D45B9D"/>
    <w:rsid w:val="00D45D79"/>
    <w:rsid w:val="00D45E89"/>
    <w:rsid w:val="00D4606C"/>
    <w:rsid w:val="00D4621E"/>
    <w:rsid w:val="00D4673D"/>
    <w:rsid w:val="00D46798"/>
    <w:rsid w:val="00D4737B"/>
    <w:rsid w:val="00D4796F"/>
    <w:rsid w:val="00D47FA1"/>
    <w:rsid w:val="00D50006"/>
    <w:rsid w:val="00D50213"/>
    <w:rsid w:val="00D5055C"/>
    <w:rsid w:val="00D507BD"/>
    <w:rsid w:val="00D507C7"/>
    <w:rsid w:val="00D508EA"/>
    <w:rsid w:val="00D50A13"/>
    <w:rsid w:val="00D50A1E"/>
    <w:rsid w:val="00D50A5D"/>
    <w:rsid w:val="00D50AE4"/>
    <w:rsid w:val="00D50B08"/>
    <w:rsid w:val="00D50C01"/>
    <w:rsid w:val="00D50C1C"/>
    <w:rsid w:val="00D510F7"/>
    <w:rsid w:val="00D512AE"/>
    <w:rsid w:val="00D51306"/>
    <w:rsid w:val="00D51812"/>
    <w:rsid w:val="00D52097"/>
    <w:rsid w:val="00D5232F"/>
    <w:rsid w:val="00D5255A"/>
    <w:rsid w:val="00D529A3"/>
    <w:rsid w:val="00D529A4"/>
    <w:rsid w:val="00D5382C"/>
    <w:rsid w:val="00D53BC5"/>
    <w:rsid w:val="00D5431C"/>
    <w:rsid w:val="00D54B4C"/>
    <w:rsid w:val="00D550DF"/>
    <w:rsid w:val="00D559D3"/>
    <w:rsid w:val="00D55AC1"/>
    <w:rsid w:val="00D561F8"/>
    <w:rsid w:val="00D56C40"/>
    <w:rsid w:val="00D56CF1"/>
    <w:rsid w:val="00D56E39"/>
    <w:rsid w:val="00D57A1F"/>
    <w:rsid w:val="00D57D52"/>
    <w:rsid w:val="00D57D91"/>
    <w:rsid w:val="00D57F69"/>
    <w:rsid w:val="00D6012A"/>
    <w:rsid w:val="00D6036D"/>
    <w:rsid w:val="00D60394"/>
    <w:rsid w:val="00D60483"/>
    <w:rsid w:val="00D60497"/>
    <w:rsid w:val="00D6104E"/>
    <w:rsid w:val="00D61A31"/>
    <w:rsid w:val="00D61AED"/>
    <w:rsid w:val="00D62168"/>
    <w:rsid w:val="00D6220F"/>
    <w:rsid w:val="00D626FB"/>
    <w:rsid w:val="00D6276D"/>
    <w:rsid w:val="00D629C6"/>
    <w:rsid w:val="00D62A41"/>
    <w:rsid w:val="00D62BE1"/>
    <w:rsid w:val="00D62D28"/>
    <w:rsid w:val="00D62EE8"/>
    <w:rsid w:val="00D64523"/>
    <w:rsid w:val="00D64A33"/>
    <w:rsid w:val="00D64EA5"/>
    <w:rsid w:val="00D65159"/>
    <w:rsid w:val="00D653A6"/>
    <w:rsid w:val="00D65C50"/>
    <w:rsid w:val="00D6614C"/>
    <w:rsid w:val="00D66186"/>
    <w:rsid w:val="00D66493"/>
    <w:rsid w:val="00D66583"/>
    <w:rsid w:val="00D66863"/>
    <w:rsid w:val="00D66A75"/>
    <w:rsid w:val="00D66B2B"/>
    <w:rsid w:val="00D66EC6"/>
    <w:rsid w:val="00D66F96"/>
    <w:rsid w:val="00D67129"/>
    <w:rsid w:val="00D6738D"/>
    <w:rsid w:val="00D673AC"/>
    <w:rsid w:val="00D67F97"/>
    <w:rsid w:val="00D67FDA"/>
    <w:rsid w:val="00D7075C"/>
    <w:rsid w:val="00D70D2B"/>
    <w:rsid w:val="00D70E97"/>
    <w:rsid w:val="00D7146D"/>
    <w:rsid w:val="00D7166D"/>
    <w:rsid w:val="00D719FA"/>
    <w:rsid w:val="00D71B51"/>
    <w:rsid w:val="00D71F45"/>
    <w:rsid w:val="00D720A3"/>
    <w:rsid w:val="00D72124"/>
    <w:rsid w:val="00D7239B"/>
    <w:rsid w:val="00D723CD"/>
    <w:rsid w:val="00D7255F"/>
    <w:rsid w:val="00D72689"/>
    <w:rsid w:val="00D728D2"/>
    <w:rsid w:val="00D72D78"/>
    <w:rsid w:val="00D72F3A"/>
    <w:rsid w:val="00D7321E"/>
    <w:rsid w:val="00D7332A"/>
    <w:rsid w:val="00D73B39"/>
    <w:rsid w:val="00D73F68"/>
    <w:rsid w:val="00D742BA"/>
    <w:rsid w:val="00D74BC9"/>
    <w:rsid w:val="00D74DB1"/>
    <w:rsid w:val="00D74ED9"/>
    <w:rsid w:val="00D7500A"/>
    <w:rsid w:val="00D751B8"/>
    <w:rsid w:val="00D75529"/>
    <w:rsid w:val="00D757CC"/>
    <w:rsid w:val="00D75810"/>
    <w:rsid w:val="00D75CB3"/>
    <w:rsid w:val="00D76003"/>
    <w:rsid w:val="00D76F1B"/>
    <w:rsid w:val="00D7723F"/>
    <w:rsid w:val="00D77377"/>
    <w:rsid w:val="00D77BB9"/>
    <w:rsid w:val="00D77E9B"/>
    <w:rsid w:val="00D80323"/>
    <w:rsid w:val="00D816D8"/>
    <w:rsid w:val="00D81865"/>
    <w:rsid w:val="00D818A0"/>
    <w:rsid w:val="00D81F0F"/>
    <w:rsid w:val="00D8235F"/>
    <w:rsid w:val="00D8277A"/>
    <w:rsid w:val="00D82B90"/>
    <w:rsid w:val="00D82F97"/>
    <w:rsid w:val="00D83187"/>
    <w:rsid w:val="00D83892"/>
    <w:rsid w:val="00D84B72"/>
    <w:rsid w:val="00D85150"/>
    <w:rsid w:val="00D851CA"/>
    <w:rsid w:val="00D8557A"/>
    <w:rsid w:val="00D85B36"/>
    <w:rsid w:val="00D86A11"/>
    <w:rsid w:val="00D86A5B"/>
    <w:rsid w:val="00D86C6D"/>
    <w:rsid w:val="00D86E2E"/>
    <w:rsid w:val="00D8706E"/>
    <w:rsid w:val="00D87F32"/>
    <w:rsid w:val="00D9034F"/>
    <w:rsid w:val="00D905F7"/>
    <w:rsid w:val="00D9082C"/>
    <w:rsid w:val="00D90AA1"/>
    <w:rsid w:val="00D9167E"/>
    <w:rsid w:val="00D919A8"/>
    <w:rsid w:val="00D91D77"/>
    <w:rsid w:val="00D91FAD"/>
    <w:rsid w:val="00D92349"/>
    <w:rsid w:val="00D93004"/>
    <w:rsid w:val="00D934B6"/>
    <w:rsid w:val="00D93502"/>
    <w:rsid w:val="00D93A1C"/>
    <w:rsid w:val="00D93A81"/>
    <w:rsid w:val="00D93C46"/>
    <w:rsid w:val="00D94D7E"/>
    <w:rsid w:val="00D94DAD"/>
    <w:rsid w:val="00D95084"/>
    <w:rsid w:val="00D950B4"/>
    <w:rsid w:val="00D95655"/>
    <w:rsid w:val="00D956EC"/>
    <w:rsid w:val="00D957E7"/>
    <w:rsid w:val="00D95B64"/>
    <w:rsid w:val="00D95F3A"/>
    <w:rsid w:val="00D95FAE"/>
    <w:rsid w:val="00D962C0"/>
    <w:rsid w:val="00D96328"/>
    <w:rsid w:val="00D9665D"/>
    <w:rsid w:val="00D967FB"/>
    <w:rsid w:val="00D96A88"/>
    <w:rsid w:val="00D96AB8"/>
    <w:rsid w:val="00D97916"/>
    <w:rsid w:val="00DA0193"/>
    <w:rsid w:val="00DA0B5C"/>
    <w:rsid w:val="00DA0C08"/>
    <w:rsid w:val="00DA12A7"/>
    <w:rsid w:val="00DA1729"/>
    <w:rsid w:val="00DA1837"/>
    <w:rsid w:val="00DA1BD7"/>
    <w:rsid w:val="00DA1CAB"/>
    <w:rsid w:val="00DA1E20"/>
    <w:rsid w:val="00DA1E2E"/>
    <w:rsid w:val="00DA1F0F"/>
    <w:rsid w:val="00DA2420"/>
    <w:rsid w:val="00DA25F1"/>
    <w:rsid w:val="00DA2925"/>
    <w:rsid w:val="00DA2A85"/>
    <w:rsid w:val="00DA2ABC"/>
    <w:rsid w:val="00DA2E8B"/>
    <w:rsid w:val="00DA32B6"/>
    <w:rsid w:val="00DA3334"/>
    <w:rsid w:val="00DA3447"/>
    <w:rsid w:val="00DA36FA"/>
    <w:rsid w:val="00DA3AB0"/>
    <w:rsid w:val="00DA405A"/>
    <w:rsid w:val="00DA42D6"/>
    <w:rsid w:val="00DA472C"/>
    <w:rsid w:val="00DA4AFA"/>
    <w:rsid w:val="00DA4FDF"/>
    <w:rsid w:val="00DA5053"/>
    <w:rsid w:val="00DA5311"/>
    <w:rsid w:val="00DA542D"/>
    <w:rsid w:val="00DA5F68"/>
    <w:rsid w:val="00DA68DA"/>
    <w:rsid w:val="00DA702B"/>
    <w:rsid w:val="00DA7895"/>
    <w:rsid w:val="00DA7FB5"/>
    <w:rsid w:val="00DB0DD2"/>
    <w:rsid w:val="00DB10FF"/>
    <w:rsid w:val="00DB11DF"/>
    <w:rsid w:val="00DB15DB"/>
    <w:rsid w:val="00DB1D50"/>
    <w:rsid w:val="00DB1E5B"/>
    <w:rsid w:val="00DB1E9A"/>
    <w:rsid w:val="00DB24EB"/>
    <w:rsid w:val="00DB2534"/>
    <w:rsid w:val="00DB3992"/>
    <w:rsid w:val="00DB3B2F"/>
    <w:rsid w:val="00DB3CB9"/>
    <w:rsid w:val="00DB3D98"/>
    <w:rsid w:val="00DB41C7"/>
    <w:rsid w:val="00DB41F7"/>
    <w:rsid w:val="00DB432C"/>
    <w:rsid w:val="00DB4969"/>
    <w:rsid w:val="00DB49A8"/>
    <w:rsid w:val="00DB4C12"/>
    <w:rsid w:val="00DB5100"/>
    <w:rsid w:val="00DB5E51"/>
    <w:rsid w:val="00DB5F6B"/>
    <w:rsid w:val="00DB6408"/>
    <w:rsid w:val="00DB6701"/>
    <w:rsid w:val="00DB6D03"/>
    <w:rsid w:val="00DB6FA6"/>
    <w:rsid w:val="00DB71D4"/>
    <w:rsid w:val="00DB7551"/>
    <w:rsid w:val="00DB76B4"/>
    <w:rsid w:val="00DB7B6F"/>
    <w:rsid w:val="00DB7D43"/>
    <w:rsid w:val="00DC02AE"/>
    <w:rsid w:val="00DC02D8"/>
    <w:rsid w:val="00DC157C"/>
    <w:rsid w:val="00DC17C9"/>
    <w:rsid w:val="00DC1BCB"/>
    <w:rsid w:val="00DC1D85"/>
    <w:rsid w:val="00DC1E84"/>
    <w:rsid w:val="00DC1EB0"/>
    <w:rsid w:val="00DC2363"/>
    <w:rsid w:val="00DC249D"/>
    <w:rsid w:val="00DC262A"/>
    <w:rsid w:val="00DC288C"/>
    <w:rsid w:val="00DC32EA"/>
    <w:rsid w:val="00DC3A99"/>
    <w:rsid w:val="00DC3EE1"/>
    <w:rsid w:val="00DC4334"/>
    <w:rsid w:val="00DC4382"/>
    <w:rsid w:val="00DC4862"/>
    <w:rsid w:val="00DC49DD"/>
    <w:rsid w:val="00DC5495"/>
    <w:rsid w:val="00DC55E7"/>
    <w:rsid w:val="00DC58B9"/>
    <w:rsid w:val="00DC5DC2"/>
    <w:rsid w:val="00DC6231"/>
    <w:rsid w:val="00DC663F"/>
    <w:rsid w:val="00DC6715"/>
    <w:rsid w:val="00DC6867"/>
    <w:rsid w:val="00DC686F"/>
    <w:rsid w:val="00DC6F46"/>
    <w:rsid w:val="00DC708A"/>
    <w:rsid w:val="00DC744C"/>
    <w:rsid w:val="00DC75E3"/>
    <w:rsid w:val="00DC7778"/>
    <w:rsid w:val="00DD0164"/>
    <w:rsid w:val="00DD05D1"/>
    <w:rsid w:val="00DD0736"/>
    <w:rsid w:val="00DD0CC7"/>
    <w:rsid w:val="00DD0D8D"/>
    <w:rsid w:val="00DD1663"/>
    <w:rsid w:val="00DD1771"/>
    <w:rsid w:val="00DD1CB8"/>
    <w:rsid w:val="00DD2379"/>
    <w:rsid w:val="00DD237A"/>
    <w:rsid w:val="00DD2492"/>
    <w:rsid w:val="00DD299D"/>
    <w:rsid w:val="00DD2CCA"/>
    <w:rsid w:val="00DD2DD9"/>
    <w:rsid w:val="00DD2F15"/>
    <w:rsid w:val="00DD3253"/>
    <w:rsid w:val="00DD3465"/>
    <w:rsid w:val="00DD3EE8"/>
    <w:rsid w:val="00DD416A"/>
    <w:rsid w:val="00DD4210"/>
    <w:rsid w:val="00DD497A"/>
    <w:rsid w:val="00DD4A8F"/>
    <w:rsid w:val="00DD4AF5"/>
    <w:rsid w:val="00DD4E2F"/>
    <w:rsid w:val="00DD5537"/>
    <w:rsid w:val="00DD5A71"/>
    <w:rsid w:val="00DD6049"/>
    <w:rsid w:val="00DD643D"/>
    <w:rsid w:val="00DD6648"/>
    <w:rsid w:val="00DD6C46"/>
    <w:rsid w:val="00DD6D58"/>
    <w:rsid w:val="00DD6E12"/>
    <w:rsid w:val="00DD7675"/>
    <w:rsid w:val="00DD7ADC"/>
    <w:rsid w:val="00DE010E"/>
    <w:rsid w:val="00DE020F"/>
    <w:rsid w:val="00DE0260"/>
    <w:rsid w:val="00DE0537"/>
    <w:rsid w:val="00DE0921"/>
    <w:rsid w:val="00DE0C67"/>
    <w:rsid w:val="00DE0C94"/>
    <w:rsid w:val="00DE1010"/>
    <w:rsid w:val="00DE1686"/>
    <w:rsid w:val="00DE1AEF"/>
    <w:rsid w:val="00DE20BB"/>
    <w:rsid w:val="00DE22DD"/>
    <w:rsid w:val="00DE237C"/>
    <w:rsid w:val="00DE35E8"/>
    <w:rsid w:val="00DE3600"/>
    <w:rsid w:val="00DE37B5"/>
    <w:rsid w:val="00DE3868"/>
    <w:rsid w:val="00DE413F"/>
    <w:rsid w:val="00DE44F9"/>
    <w:rsid w:val="00DE4806"/>
    <w:rsid w:val="00DE4EC9"/>
    <w:rsid w:val="00DE54DD"/>
    <w:rsid w:val="00DE57B1"/>
    <w:rsid w:val="00DE58F0"/>
    <w:rsid w:val="00DE5E60"/>
    <w:rsid w:val="00DE62F1"/>
    <w:rsid w:val="00DE64CB"/>
    <w:rsid w:val="00DE68B3"/>
    <w:rsid w:val="00DE68F8"/>
    <w:rsid w:val="00DE6F51"/>
    <w:rsid w:val="00DE6F88"/>
    <w:rsid w:val="00DE71CB"/>
    <w:rsid w:val="00DE7523"/>
    <w:rsid w:val="00DE768A"/>
    <w:rsid w:val="00DE78C3"/>
    <w:rsid w:val="00DE7A0F"/>
    <w:rsid w:val="00DE7E4E"/>
    <w:rsid w:val="00DF0BB9"/>
    <w:rsid w:val="00DF0F57"/>
    <w:rsid w:val="00DF0F64"/>
    <w:rsid w:val="00DF14F4"/>
    <w:rsid w:val="00DF191C"/>
    <w:rsid w:val="00DF1AE1"/>
    <w:rsid w:val="00DF1DD9"/>
    <w:rsid w:val="00DF1DEC"/>
    <w:rsid w:val="00DF1EE3"/>
    <w:rsid w:val="00DF2105"/>
    <w:rsid w:val="00DF217E"/>
    <w:rsid w:val="00DF22A8"/>
    <w:rsid w:val="00DF2336"/>
    <w:rsid w:val="00DF2632"/>
    <w:rsid w:val="00DF2839"/>
    <w:rsid w:val="00DF28FF"/>
    <w:rsid w:val="00DF29AB"/>
    <w:rsid w:val="00DF2A0C"/>
    <w:rsid w:val="00DF2C9D"/>
    <w:rsid w:val="00DF2D55"/>
    <w:rsid w:val="00DF30F9"/>
    <w:rsid w:val="00DF356F"/>
    <w:rsid w:val="00DF35A8"/>
    <w:rsid w:val="00DF3CC2"/>
    <w:rsid w:val="00DF4015"/>
    <w:rsid w:val="00DF47D7"/>
    <w:rsid w:val="00DF4BDD"/>
    <w:rsid w:val="00DF4CF2"/>
    <w:rsid w:val="00DF4F11"/>
    <w:rsid w:val="00DF50C2"/>
    <w:rsid w:val="00DF581C"/>
    <w:rsid w:val="00DF5DE8"/>
    <w:rsid w:val="00DF5F9A"/>
    <w:rsid w:val="00DF63DF"/>
    <w:rsid w:val="00DF6EC7"/>
    <w:rsid w:val="00DF71A5"/>
    <w:rsid w:val="00DF71FA"/>
    <w:rsid w:val="00DF72A6"/>
    <w:rsid w:val="00DF7337"/>
    <w:rsid w:val="00DF74C6"/>
    <w:rsid w:val="00DF7B79"/>
    <w:rsid w:val="00DF7C1C"/>
    <w:rsid w:val="00E00203"/>
    <w:rsid w:val="00E009A2"/>
    <w:rsid w:val="00E00BC7"/>
    <w:rsid w:val="00E00F20"/>
    <w:rsid w:val="00E00FB3"/>
    <w:rsid w:val="00E01947"/>
    <w:rsid w:val="00E01CAB"/>
    <w:rsid w:val="00E02505"/>
    <w:rsid w:val="00E02553"/>
    <w:rsid w:val="00E025FE"/>
    <w:rsid w:val="00E02DA7"/>
    <w:rsid w:val="00E03078"/>
    <w:rsid w:val="00E03186"/>
    <w:rsid w:val="00E0327F"/>
    <w:rsid w:val="00E032F2"/>
    <w:rsid w:val="00E034EC"/>
    <w:rsid w:val="00E03846"/>
    <w:rsid w:val="00E038B8"/>
    <w:rsid w:val="00E03913"/>
    <w:rsid w:val="00E03E0D"/>
    <w:rsid w:val="00E0445D"/>
    <w:rsid w:val="00E0446D"/>
    <w:rsid w:val="00E04588"/>
    <w:rsid w:val="00E04A24"/>
    <w:rsid w:val="00E04A49"/>
    <w:rsid w:val="00E04BE8"/>
    <w:rsid w:val="00E051A7"/>
    <w:rsid w:val="00E05BB5"/>
    <w:rsid w:val="00E065FB"/>
    <w:rsid w:val="00E0672B"/>
    <w:rsid w:val="00E06938"/>
    <w:rsid w:val="00E06B0F"/>
    <w:rsid w:val="00E06B59"/>
    <w:rsid w:val="00E07567"/>
    <w:rsid w:val="00E07651"/>
    <w:rsid w:val="00E07CD5"/>
    <w:rsid w:val="00E102E9"/>
    <w:rsid w:val="00E10512"/>
    <w:rsid w:val="00E1086E"/>
    <w:rsid w:val="00E10B9D"/>
    <w:rsid w:val="00E114EB"/>
    <w:rsid w:val="00E1196F"/>
    <w:rsid w:val="00E119AC"/>
    <w:rsid w:val="00E11C0C"/>
    <w:rsid w:val="00E11FC5"/>
    <w:rsid w:val="00E124A7"/>
    <w:rsid w:val="00E127A8"/>
    <w:rsid w:val="00E12A86"/>
    <w:rsid w:val="00E12A99"/>
    <w:rsid w:val="00E12EC7"/>
    <w:rsid w:val="00E12F12"/>
    <w:rsid w:val="00E12FBD"/>
    <w:rsid w:val="00E132AF"/>
    <w:rsid w:val="00E139CA"/>
    <w:rsid w:val="00E13ABE"/>
    <w:rsid w:val="00E13D12"/>
    <w:rsid w:val="00E14036"/>
    <w:rsid w:val="00E1425D"/>
    <w:rsid w:val="00E149F0"/>
    <w:rsid w:val="00E151A1"/>
    <w:rsid w:val="00E15555"/>
    <w:rsid w:val="00E1581F"/>
    <w:rsid w:val="00E15ADA"/>
    <w:rsid w:val="00E16186"/>
    <w:rsid w:val="00E168E1"/>
    <w:rsid w:val="00E16B19"/>
    <w:rsid w:val="00E16C0D"/>
    <w:rsid w:val="00E16C6D"/>
    <w:rsid w:val="00E1743C"/>
    <w:rsid w:val="00E1772B"/>
    <w:rsid w:val="00E20124"/>
    <w:rsid w:val="00E2019A"/>
    <w:rsid w:val="00E20390"/>
    <w:rsid w:val="00E209C8"/>
    <w:rsid w:val="00E20B16"/>
    <w:rsid w:val="00E20D46"/>
    <w:rsid w:val="00E20D84"/>
    <w:rsid w:val="00E21200"/>
    <w:rsid w:val="00E2178E"/>
    <w:rsid w:val="00E21C74"/>
    <w:rsid w:val="00E21E4F"/>
    <w:rsid w:val="00E22551"/>
    <w:rsid w:val="00E23461"/>
    <w:rsid w:val="00E235AC"/>
    <w:rsid w:val="00E23753"/>
    <w:rsid w:val="00E237DD"/>
    <w:rsid w:val="00E23A2B"/>
    <w:rsid w:val="00E23BCD"/>
    <w:rsid w:val="00E23FF1"/>
    <w:rsid w:val="00E240B0"/>
    <w:rsid w:val="00E2424E"/>
    <w:rsid w:val="00E2434D"/>
    <w:rsid w:val="00E2447F"/>
    <w:rsid w:val="00E249B3"/>
    <w:rsid w:val="00E24E7F"/>
    <w:rsid w:val="00E250F2"/>
    <w:rsid w:val="00E2513D"/>
    <w:rsid w:val="00E25E92"/>
    <w:rsid w:val="00E264A2"/>
    <w:rsid w:val="00E265DA"/>
    <w:rsid w:val="00E26962"/>
    <w:rsid w:val="00E274AC"/>
    <w:rsid w:val="00E278E2"/>
    <w:rsid w:val="00E27A63"/>
    <w:rsid w:val="00E27EE9"/>
    <w:rsid w:val="00E307D5"/>
    <w:rsid w:val="00E30ABB"/>
    <w:rsid w:val="00E30AD4"/>
    <w:rsid w:val="00E30D43"/>
    <w:rsid w:val="00E30D85"/>
    <w:rsid w:val="00E31645"/>
    <w:rsid w:val="00E31A33"/>
    <w:rsid w:val="00E31D8B"/>
    <w:rsid w:val="00E322B8"/>
    <w:rsid w:val="00E32304"/>
    <w:rsid w:val="00E3230F"/>
    <w:rsid w:val="00E3324F"/>
    <w:rsid w:val="00E335F8"/>
    <w:rsid w:val="00E33B9E"/>
    <w:rsid w:val="00E33C8C"/>
    <w:rsid w:val="00E33D15"/>
    <w:rsid w:val="00E33DEF"/>
    <w:rsid w:val="00E346C0"/>
    <w:rsid w:val="00E34C55"/>
    <w:rsid w:val="00E3501F"/>
    <w:rsid w:val="00E351B3"/>
    <w:rsid w:val="00E3546B"/>
    <w:rsid w:val="00E3555A"/>
    <w:rsid w:val="00E3602C"/>
    <w:rsid w:val="00E36B7D"/>
    <w:rsid w:val="00E36B97"/>
    <w:rsid w:val="00E37076"/>
    <w:rsid w:val="00E375C0"/>
    <w:rsid w:val="00E37876"/>
    <w:rsid w:val="00E37DEC"/>
    <w:rsid w:val="00E40162"/>
    <w:rsid w:val="00E40DB5"/>
    <w:rsid w:val="00E4107D"/>
    <w:rsid w:val="00E41210"/>
    <w:rsid w:val="00E413F0"/>
    <w:rsid w:val="00E41AB7"/>
    <w:rsid w:val="00E421A8"/>
    <w:rsid w:val="00E422C9"/>
    <w:rsid w:val="00E42641"/>
    <w:rsid w:val="00E4272C"/>
    <w:rsid w:val="00E42AAA"/>
    <w:rsid w:val="00E42E70"/>
    <w:rsid w:val="00E4313B"/>
    <w:rsid w:val="00E432A0"/>
    <w:rsid w:val="00E43A6C"/>
    <w:rsid w:val="00E43CE8"/>
    <w:rsid w:val="00E44650"/>
    <w:rsid w:val="00E45374"/>
    <w:rsid w:val="00E45A6F"/>
    <w:rsid w:val="00E46B76"/>
    <w:rsid w:val="00E46EB0"/>
    <w:rsid w:val="00E471EF"/>
    <w:rsid w:val="00E47547"/>
    <w:rsid w:val="00E47EB4"/>
    <w:rsid w:val="00E47FC9"/>
    <w:rsid w:val="00E50314"/>
    <w:rsid w:val="00E507B8"/>
    <w:rsid w:val="00E50BE2"/>
    <w:rsid w:val="00E51120"/>
    <w:rsid w:val="00E513EE"/>
    <w:rsid w:val="00E514D7"/>
    <w:rsid w:val="00E5155B"/>
    <w:rsid w:val="00E51E38"/>
    <w:rsid w:val="00E51EF6"/>
    <w:rsid w:val="00E5203F"/>
    <w:rsid w:val="00E52412"/>
    <w:rsid w:val="00E52641"/>
    <w:rsid w:val="00E52F1C"/>
    <w:rsid w:val="00E539A9"/>
    <w:rsid w:val="00E53CDC"/>
    <w:rsid w:val="00E53ED4"/>
    <w:rsid w:val="00E54063"/>
    <w:rsid w:val="00E54163"/>
    <w:rsid w:val="00E54DFF"/>
    <w:rsid w:val="00E5512F"/>
    <w:rsid w:val="00E55A46"/>
    <w:rsid w:val="00E55B0A"/>
    <w:rsid w:val="00E55B44"/>
    <w:rsid w:val="00E55DAF"/>
    <w:rsid w:val="00E5625D"/>
    <w:rsid w:val="00E56513"/>
    <w:rsid w:val="00E566BF"/>
    <w:rsid w:val="00E567B7"/>
    <w:rsid w:val="00E56B9E"/>
    <w:rsid w:val="00E56EBF"/>
    <w:rsid w:val="00E5729E"/>
    <w:rsid w:val="00E5731B"/>
    <w:rsid w:val="00E57616"/>
    <w:rsid w:val="00E57C6F"/>
    <w:rsid w:val="00E604E5"/>
    <w:rsid w:val="00E60AA6"/>
    <w:rsid w:val="00E60F4A"/>
    <w:rsid w:val="00E61242"/>
    <w:rsid w:val="00E61943"/>
    <w:rsid w:val="00E61A0C"/>
    <w:rsid w:val="00E61A17"/>
    <w:rsid w:val="00E61C91"/>
    <w:rsid w:val="00E622BC"/>
    <w:rsid w:val="00E6257E"/>
    <w:rsid w:val="00E6369F"/>
    <w:rsid w:val="00E63A41"/>
    <w:rsid w:val="00E63D3F"/>
    <w:rsid w:val="00E63EF5"/>
    <w:rsid w:val="00E641E2"/>
    <w:rsid w:val="00E644F0"/>
    <w:rsid w:val="00E6457A"/>
    <w:rsid w:val="00E64643"/>
    <w:rsid w:val="00E64D0C"/>
    <w:rsid w:val="00E64E15"/>
    <w:rsid w:val="00E6501E"/>
    <w:rsid w:val="00E65451"/>
    <w:rsid w:val="00E6587C"/>
    <w:rsid w:val="00E65AD4"/>
    <w:rsid w:val="00E65C6D"/>
    <w:rsid w:val="00E65E25"/>
    <w:rsid w:val="00E66488"/>
    <w:rsid w:val="00E66A84"/>
    <w:rsid w:val="00E66CF0"/>
    <w:rsid w:val="00E66FFF"/>
    <w:rsid w:val="00E67683"/>
    <w:rsid w:val="00E67C87"/>
    <w:rsid w:val="00E67C9A"/>
    <w:rsid w:val="00E70168"/>
    <w:rsid w:val="00E70D49"/>
    <w:rsid w:val="00E70E94"/>
    <w:rsid w:val="00E70F0A"/>
    <w:rsid w:val="00E71F91"/>
    <w:rsid w:val="00E7209A"/>
    <w:rsid w:val="00E722C9"/>
    <w:rsid w:val="00E7286E"/>
    <w:rsid w:val="00E728BF"/>
    <w:rsid w:val="00E72F7F"/>
    <w:rsid w:val="00E73084"/>
    <w:rsid w:val="00E732D6"/>
    <w:rsid w:val="00E73640"/>
    <w:rsid w:val="00E7366A"/>
    <w:rsid w:val="00E739F0"/>
    <w:rsid w:val="00E73CF2"/>
    <w:rsid w:val="00E73EAE"/>
    <w:rsid w:val="00E7400A"/>
    <w:rsid w:val="00E74338"/>
    <w:rsid w:val="00E743BB"/>
    <w:rsid w:val="00E74487"/>
    <w:rsid w:val="00E74629"/>
    <w:rsid w:val="00E74682"/>
    <w:rsid w:val="00E74696"/>
    <w:rsid w:val="00E7479E"/>
    <w:rsid w:val="00E749E8"/>
    <w:rsid w:val="00E74D91"/>
    <w:rsid w:val="00E75282"/>
    <w:rsid w:val="00E755A9"/>
    <w:rsid w:val="00E75964"/>
    <w:rsid w:val="00E75996"/>
    <w:rsid w:val="00E759A3"/>
    <w:rsid w:val="00E75A55"/>
    <w:rsid w:val="00E75B12"/>
    <w:rsid w:val="00E75CD4"/>
    <w:rsid w:val="00E75D58"/>
    <w:rsid w:val="00E76E1D"/>
    <w:rsid w:val="00E7702B"/>
    <w:rsid w:val="00E771A2"/>
    <w:rsid w:val="00E77340"/>
    <w:rsid w:val="00E774F1"/>
    <w:rsid w:val="00E776B1"/>
    <w:rsid w:val="00E776EC"/>
    <w:rsid w:val="00E77936"/>
    <w:rsid w:val="00E800F8"/>
    <w:rsid w:val="00E8027F"/>
    <w:rsid w:val="00E802B7"/>
    <w:rsid w:val="00E803E8"/>
    <w:rsid w:val="00E80687"/>
    <w:rsid w:val="00E806D2"/>
    <w:rsid w:val="00E8078C"/>
    <w:rsid w:val="00E807E9"/>
    <w:rsid w:val="00E80C11"/>
    <w:rsid w:val="00E80CF8"/>
    <w:rsid w:val="00E80D41"/>
    <w:rsid w:val="00E80DE0"/>
    <w:rsid w:val="00E811CC"/>
    <w:rsid w:val="00E81DEE"/>
    <w:rsid w:val="00E82019"/>
    <w:rsid w:val="00E828AF"/>
    <w:rsid w:val="00E831B0"/>
    <w:rsid w:val="00E8348A"/>
    <w:rsid w:val="00E8362C"/>
    <w:rsid w:val="00E836B6"/>
    <w:rsid w:val="00E83CA2"/>
    <w:rsid w:val="00E8446C"/>
    <w:rsid w:val="00E84644"/>
    <w:rsid w:val="00E84748"/>
    <w:rsid w:val="00E84867"/>
    <w:rsid w:val="00E8488C"/>
    <w:rsid w:val="00E84900"/>
    <w:rsid w:val="00E84B63"/>
    <w:rsid w:val="00E85018"/>
    <w:rsid w:val="00E8510D"/>
    <w:rsid w:val="00E85152"/>
    <w:rsid w:val="00E8545E"/>
    <w:rsid w:val="00E856DB"/>
    <w:rsid w:val="00E85964"/>
    <w:rsid w:val="00E85D23"/>
    <w:rsid w:val="00E85DAA"/>
    <w:rsid w:val="00E85F0D"/>
    <w:rsid w:val="00E8633C"/>
    <w:rsid w:val="00E865F9"/>
    <w:rsid w:val="00E86ABF"/>
    <w:rsid w:val="00E86ED2"/>
    <w:rsid w:val="00E8714B"/>
    <w:rsid w:val="00E87BF0"/>
    <w:rsid w:val="00E87F28"/>
    <w:rsid w:val="00E900A4"/>
    <w:rsid w:val="00E908B2"/>
    <w:rsid w:val="00E90D4F"/>
    <w:rsid w:val="00E91470"/>
    <w:rsid w:val="00E91C20"/>
    <w:rsid w:val="00E9260E"/>
    <w:rsid w:val="00E92ADD"/>
    <w:rsid w:val="00E92BA4"/>
    <w:rsid w:val="00E93649"/>
    <w:rsid w:val="00E940F7"/>
    <w:rsid w:val="00E9447C"/>
    <w:rsid w:val="00E945A6"/>
    <w:rsid w:val="00E948C5"/>
    <w:rsid w:val="00E94D8B"/>
    <w:rsid w:val="00E94EA3"/>
    <w:rsid w:val="00E950A5"/>
    <w:rsid w:val="00E955A9"/>
    <w:rsid w:val="00E95ADC"/>
    <w:rsid w:val="00E95D19"/>
    <w:rsid w:val="00E95DD9"/>
    <w:rsid w:val="00E965FB"/>
    <w:rsid w:val="00E9794B"/>
    <w:rsid w:val="00E97992"/>
    <w:rsid w:val="00E97B41"/>
    <w:rsid w:val="00E97C84"/>
    <w:rsid w:val="00EA035E"/>
    <w:rsid w:val="00EA0474"/>
    <w:rsid w:val="00EA05F9"/>
    <w:rsid w:val="00EA06E3"/>
    <w:rsid w:val="00EA0847"/>
    <w:rsid w:val="00EA0B3E"/>
    <w:rsid w:val="00EA0D2E"/>
    <w:rsid w:val="00EA0EB9"/>
    <w:rsid w:val="00EA1007"/>
    <w:rsid w:val="00EA12F6"/>
    <w:rsid w:val="00EA1E57"/>
    <w:rsid w:val="00EA24E0"/>
    <w:rsid w:val="00EA28DB"/>
    <w:rsid w:val="00EA2B40"/>
    <w:rsid w:val="00EA3050"/>
    <w:rsid w:val="00EA328A"/>
    <w:rsid w:val="00EA3E42"/>
    <w:rsid w:val="00EA4040"/>
    <w:rsid w:val="00EA4328"/>
    <w:rsid w:val="00EA4826"/>
    <w:rsid w:val="00EA510B"/>
    <w:rsid w:val="00EA51CE"/>
    <w:rsid w:val="00EA5255"/>
    <w:rsid w:val="00EA542C"/>
    <w:rsid w:val="00EA54A1"/>
    <w:rsid w:val="00EA54EE"/>
    <w:rsid w:val="00EA5949"/>
    <w:rsid w:val="00EA5952"/>
    <w:rsid w:val="00EA5A78"/>
    <w:rsid w:val="00EA5AFC"/>
    <w:rsid w:val="00EA5CD0"/>
    <w:rsid w:val="00EA5D5E"/>
    <w:rsid w:val="00EA5DB9"/>
    <w:rsid w:val="00EA5ED6"/>
    <w:rsid w:val="00EA69D1"/>
    <w:rsid w:val="00EB0264"/>
    <w:rsid w:val="00EB02D9"/>
    <w:rsid w:val="00EB02F3"/>
    <w:rsid w:val="00EB093F"/>
    <w:rsid w:val="00EB0B4D"/>
    <w:rsid w:val="00EB11EE"/>
    <w:rsid w:val="00EB17E3"/>
    <w:rsid w:val="00EB1AA7"/>
    <w:rsid w:val="00EB1E65"/>
    <w:rsid w:val="00EB23D2"/>
    <w:rsid w:val="00EB2792"/>
    <w:rsid w:val="00EB2A24"/>
    <w:rsid w:val="00EB3A8E"/>
    <w:rsid w:val="00EB3CC7"/>
    <w:rsid w:val="00EB410C"/>
    <w:rsid w:val="00EB413B"/>
    <w:rsid w:val="00EB4344"/>
    <w:rsid w:val="00EB449A"/>
    <w:rsid w:val="00EB45CB"/>
    <w:rsid w:val="00EB4682"/>
    <w:rsid w:val="00EB4A22"/>
    <w:rsid w:val="00EB5278"/>
    <w:rsid w:val="00EB5646"/>
    <w:rsid w:val="00EB5A26"/>
    <w:rsid w:val="00EB5A81"/>
    <w:rsid w:val="00EB5E7E"/>
    <w:rsid w:val="00EB69BF"/>
    <w:rsid w:val="00EB7248"/>
    <w:rsid w:val="00EB735B"/>
    <w:rsid w:val="00EB73C8"/>
    <w:rsid w:val="00EB78D1"/>
    <w:rsid w:val="00EB7973"/>
    <w:rsid w:val="00EB7A84"/>
    <w:rsid w:val="00EB7DEC"/>
    <w:rsid w:val="00EC05A9"/>
    <w:rsid w:val="00EC078D"/>
    <w:rsid w:val="00EC07A1"/>
    <w:rsid w:val="00EC0901"/>
    <w:rsid w:val="00EC0983"/>
    <w:rsid w:val="00EC172F"/>
    <w:rsid w:val="00EC17BE"/>
    <w:rsid w:val="00EC1F0D"/>
    <w:rsid w:val="00EC25BB"/>
    <w:rsid w:val="00EC27BD"/>
    <w:rsid w:val="00EC2B59"/>
    <w:rsid w:val="00EC2E92"/>
    <w:rsid w:val="00EC37E4"/>
    <w:rsid w:val="00EC3CD5"/>
    <w:rsid w:val="00EC3EE5"/>
    <w:rsid w:val="00EC4A90"/>
    <w:rsid w:val="00EC5442"/>
    <w:rsid w:val="00EC5668"/>
    <w:rsid w:val="00EC5694"/>
    <w:rsid w:val="00EC5758"/>
    <w:rsid w:val="00EC5BC9"/>
    <w:rsid w:val="00EC60E0"/>
    <w:rsid w:val="00EC63FC"/>
    <w:rsid w:val="00EC648C"/>
    <w:rsid w:val="00EC669A"/>
    <w:rsid w:val="00EC6750"/>
    <w:rsid w:val="00EC6A41"/>
    <w:rsid w:val="00EC7183"/>
    <w:rsid w:val="00EC769C"/>
    <w:rsid w:val="00EC7A66"/>
    <w:rsid w:val="00EC7CE3"/>
    <w:rsid w:val="00EC7E45"/>
    <w:rsid w:val="00ED0345"/>
    <w:rsid w:val="00ED03D0"/>
    <w:rsid w:val="00ED03D6"/>
    <w:rsid w:val="00ED04F5"/>
    <w:rsid w:val="00ED065B"/>
    <w:rsid w:val="00ED0770"/>
    <w:rsid w:val="00ED0D0D"/>
    <w:rsid w:val="00ED1D2F"/>
    <w:rsid w:val="00ED24DC"/>
    <w:rsid w:val="00ED27C8"/>
    <w:rsid w:val="00ED2D21"/>
    <w:rsid w:val="00ED2D79"/>
    <w:rsid w:val="00ED2DAA"/>
    <w:rsid w:val="00ED31FC"/>
    <w:rsid w:val="00ED323A"/>
    <w:rsid w:val="00ED327E"/>
    <w:rsid w:val="00ED32EF"/>
    <w:rsid w:val="00ED390D"/>
    <w:rsid w:val="00ED39BE"/>
    <w:rsid w:val="00ED3E08"/>
    <w:rsid w:val="00ED4185"/>
    <w:rsid w:val="00ED43E6"/>
    <w:rsid w:val="00ED4AB6"/>
    <w:rsid w:val="00ED53A7"/>
    <w:rsid w:val="00ED5428"/>
    <w:rsid w:val="00ED5C6A"/>
    <w:rsid w:val="00ED5F06"/>
    <w:rsid w:val="00ED5F54"/>
    <w:rsid w:val="00ED61D2"/>
    <w:rsid w:val="00ED72FC"/>
    <w:rsid w:val="00ED74C6"/>
    <w:rsid w:val="00EE0428"/>
    <w:rsid w:val="00EE04A1"/>
    <w:rsid w:val="00EE076E"/>
    <w:rsid w:val="00EE0823"/>
    <w:rsid w:val="00EE0C0C"/>
    <w:rsid w:val="00EE168A"/>
    <w:rsid w:val="00EE1744"/>
    <w:rsid w:val="00EE179C"/>
    <w:rsid w:val="00EE1DB0"/>
    <w:rsid w:val="00EE224F"/>
    <w:rsid w:val="00EE27E5"/>
    <w:rsid w:val="00EE2D4F"/>
    <w:rsid w:val="00EE2EFE"/>
    <w:rsid w:val="00EE3354"/>
    <w:rsid w:val="00EE3392"/>
    <w:rsid w:val="00EE3560"/>
    <w:rsid w:val="00EE3E30"/>
    <w:rsid w:val="00EE4520"/>
    <w:rsid w:val="00EE4578"/>
    <w:rsid w:val="00EE4AFA"/>
    <w:rsid w:val="00EE4C40"/>
    <w:rsid w:val="00EE5337"/>
    <w:rsid w:val="00EE540B"/>
    <w:rsid w:val="00EE541F"/>
    <w:rsid w:val="00EE5AE1"/>
    <w:rsid w:val="00EE5E87"/>
    <w:rsid w:val="00EE63C6"/>
    <w:rsid w:val="00EE6EA2"/>
    <w:rsid w:val="00EE701D"/>
    <w:rsid w:val="00EE799C"/>
    <w:rsid w:val="00EE79DB"/>
    <w:rsid w:val="00EE7ECC"/>
    <w:rsid w:val="00EF0183"/>
    <w:rsid w:val="00EF0257"/>
    <w:rsid w:val="00EF0740"/>
    <w:rsid w:val="00EF0A7A"/>
    <w:rsid w:val="00EF0E87"/>
    <w:rsid w:val="00EF1236"/>
    <w:rsid w:val="00EF1852"/>
    <w:rsid w:val="00EF2588"/>
    <w:rsid w:val="00EF2B2C"/>
    <w:rsid w:val="00EF3050"/>
    <w:rsid w:val="00EF30A0"/>
    <w:rsid w:val="00EF312E"/>
    <w:rsid w:val="00EF325B"/>
    <w:rsid w:val="00EF36E7"/>
    <w:rsid w:val="00EF3FAF"/>
    <w:rsid w:val="00EF4045"/>
    <w:rsid w:val="00EF4454"/>
    <w:rsid w:val="00EF446D"/>
    <w:rsid w:val="00EF49AD"/>
    <w:rsid w:val="00EF5596"/>
    <w:rsid w:val="00EF55B2"/>
    <w:rsid w:val="00EF61D2"/>
    <w:rsid w:val="00EF666B"/>
    <w:rsid w:val="00EF6720"/>
    <w:rsid w:val="00EF674D"/>
    <w:rsid w:val="00EF6793"/>
    <w:rsid w:val="00EF6F3F"/>
    <w:rsid w:val="00EF6F52"/>
    <w:rsid w:val="00EF703F"/>
    <w:rsid w:val="00EF74BD"/>
    <w:rsid w:val="00EF7555"/>
    <w:rsid w:val="00EF77F1"/>
    <w:rsid w:val="00F0048B"/>
    <w:rsid w:val="00F009F8"/>
    <w:rsid w:val="00F00D57"/>
    <w:rsid w:val="00F01213"/>
    <w:rsid w:val="00F013EA"/>
    <w:rsid w:val="00F01F41"/>
    <w:rsid w:val="00F026D8"/>
    <w:rsid w:val="00F029C2"/>
    <w:rsid w:val="00F02B65"/>
    <w:rsid w:val="00F02F80"/>
    <w:rsid w:val="00F0375B"/>
    <w:rsid w:val="00F040C4"/>
    <w:rsid w:val="00F040D6"/>
    <w:rsid w:val="00F0430D"/>
    <w:rsid w:val="00F04B59"/>
    <w:rsid w:val="00F04CAC"/>
    <w:rsid w:val="00F04F47"/>
    <w:rsid w:val="00F051DB"/>
    <w:rsid w:val="00F05CEC"/>
    <w:rsid w:val="00F05F2F"/>
    <w:rsid w:val="00F05F7B"/>
    <w:rsid w:val="00F06450"/>
    <w:rsid w:val="00F06687"/>
    <w:rsid w:val="00F06B5A"/>
    <w:rsid w:val="00F07321"/>
    <w:rsid w:val="00F07436"/>
    <w:rsid w:val="00F07D50"/>
    <w:rsid w:val="00F1085D"/>
    <w:rsid w:val="00F10C81"/>
    <w:rsid w:val="00F11266"/>
    <w:rsid w:val="00F11292"/>
    <w:rsid w:val="00F117A1"/>
    <w:rsid w:val="00F121F6"/>
    <w:rsid w:val="00F125AC"/>
    <w:rsid w:val="00F127C0"/>
    <w:rsid w:val="00F1280B"/>
    <w:rsid w:val="00F12BBE"/>
    <w:rsid w:val="00F12D52"/>
    <w:rsid w:val="00F132D2"/>
    <w:rsid w:val="00F133CB"/>
    <w:rsid w:val="00F133FA"/>
    <w:rsid w:val="00F13825"/>
    <w:rsid w:val="00F13A46"/>
    <w:rsid w:val="00F13B3C"/>
    <w:rsid w:val="00F14407"/>
    <w:rsid w:val="00F147B7"/>
    <w:rsid w:val="00F14ABF"/>
    <w:rsid w:val="00F15059"/>
    <w:rsid w:val="00F15BC0"/>
    <w:rsid w:val="00F15E9B"/>
    <w:rsid w:val="00F166F5"/>
    <w:rsid w:val="00F16A4F"/>
    <w:rsid w:val="00F16DCC"/>
    <w:rsid w:val="00F1754F"/>
    <w:rsid w:val="00F17665"/>
    <w:rsid w:val="00F177FC"/>
    <w:rsid w:val="00F17CCD"/>
    <w:rsid w:val="00F17D60"/>
    <w:rsid w:val="00F2007D"/>
    <w:rsid w:val="00F20D40"/>
    <w:rsid w:val="00F20E6F"/>
    <w:rsid w:val="00F20ECA"/>
    <w:rsid w:val="00F2104E"/>
    <w:rsid w:val="00F21396"/>
    <w:rsid w:val="00F21DA1"/>
    <w:rsid w:val="00F21FF5"/>
    <w:rsid w:val="00F222F3"/>
    <w:rsid w:val="00F225C3"/>
    <w:rsid w:val="00F225CB"/>
    <w:rsid w:val="00F228CB"/>
    <w:rsid w:val="00F229A9"/>
    <w:rsid w:val="00F229E4"/>
    <w:rsid w:val="00F22D49"/>
    <w:rsid w:val="00F22E34"/>
    <w:rsid w:val="00F23221"/>
    <w:rsid w:val="00F241C5"/>
    <w:rsid w:val="00F24370"/>
    <w:rsid w:val="00F24395"/>
    <w:rsid w:val="00F247C8"/>
    <w:rsid w:val="00F24B23"/>
    <w:rsid w:val="00F24BDF"/>
    <w:rsid w:val="00F251DA"/>
    <w:rsid w:val="00F25678"/>
    <w:rsid w:val="00F25834"/>
    <w:rsid w:val="00F25D21"/>
    <w:rsid w:val="00F25EA2"/>
    <w:rsid w:val="00F264C9"/>
    <w:rsid w:val="00F26F02"/>
    <w:rsid w:val="00F275CD"/>
    <w:rsid w:val="00F27A17"/>
    <w:rsid w:val="00F27B74"/>
    <w:rsid w:val="00F27F59"/>
    <w:rsid w:val="00F30369"/>
    <w:rsid w:val="00F305EB"/>
    <w:rsid w:val="00F30D22"/>
    <w:rsid w:val="00F30EB5"/>
    <w:rsid w:val="00F3105E"/>
    <w:rsid w:val="00F3135D"/>
    <w:rsid w:val="00F31843"/>
    <w:rsid w:val="00F31A0C"/>
    <w:rsid w:val="00F31B1B"/>
    <w:rsid w:val="00F32193"/>
    <w:rsid w:val="00F3288C"/>
    <w:rsid w:val="00F32D8E"/>
    <w:rsid w:val="00F32DD7"/>
    <w:rsid w:val="00F33FF5"/>
    <w:rsid w:val="00F35473"/>
    <w:rsid w:val="00F356E5"/>
    <w:rsid w:val="00F36084"/>
    <w:rsid w:val="00F3610D"/>
    <w:rsid w:val="00F362BC"/>
    <w:rsid w:val="00F36779"/>
    <w:rsid w:val="00F36F5F"/>
    <w:rsid w:val="00F3704E"/>
    <w:rsid w:val="00F37099"/>
    <w:rsid w:val="00F373A7"/>
    <w:rsid w:val="00F378AF"/>
    <w:rsid w:val="00F378B8"/>
    <w:rsid w:val="00F40060"/>
    <w:rsid w:val="00F400E3"/>
    <w:rsid w:val="00F4010F"/>
    <w:rsid w:val="00F402B6"/>
    <w:rsid w:val="00F405AD"/>
    <w:rsid w:val="00F4077A"/>
    <w:rsid w:val="00F41310"/>
    <w:rsid w:val="00F413C9"/>
    <w:rsid w:val="00F41582"/>
    <w:rsid w:val="00F418B8"/>
    <w:rsid w:val="00F41B2D"/>
    <w:rsid w:val="00F41B6C"/>
    <w:rsid w:val="00F41C06"/>
    <w:rsid w:val="00F41C13"/>
    <w:rsid w:val="00F41FB2"/>
    <w:rsid w:val="00F422DA"/>
    <w:rsid w:val="00F4263F"/>
    <w:rsid w:val="00F429DF"/>
    <w:rsid w:val="00F43121"/>
    <w:rsid w:val="00F43750"/>
    <w:rsid w:val="00F43AAD"/>
    <w:rsid w:val="00F44047"/>
    <w:rsid w:val="00F4420A"/>
    <w:rsid w:val="00F445AC"/>
    <w:rsid w:val="00F446A8"/>
    <w:rsid w:val="00F44BD0"/>
    <w:rsid w:val="00F455BC"/>
    <w:rsid w:val="00F45765"/>
    <w:rsid w:val="00F45904"/>
    <w:rsid w:val="00F45CAE"/>
    <w:rsid w:val="00F45EFE"/>
    <w:rsid w:val="00F460E0"/>
    <w:rsid w:val="00F461ED"/>
    <w:rsid w:val="00F463FD"/>
    <w:rsid w:val="00F46842"/>
    <w:rsid w:val="00F4693B"/>
    <w:rsid w:val="00F46FA6"/>
    <w:rsid w:val="00F47A5F"/>
    <w:rsid w:val="00F47AE7"/>
    <w:rsid w:val="00F50359"/>
    <w:rsid w:val="00F50F8D"/>
    <w:rsid w:val="00F51D72"/>
    <w:rsid w:val="00F51DAE"/>
    <w:rsid w:val="00F51E48"/>
    <w:rsid w:val="00F52CE7"/>
    <w:rsid w:val="00F52ED5"/>
    <w:rsid w:val="00F52EE8"/>
    <w:rsid w:val="00F52F25"/>
    <w:rsid w:val="00F530A0"/>
    <w:rsid w:val="00F533D4"/>
    <w:rsid w:val="00F53831"/>
    <w:rsid w:val="00F53A70"/>
    <w:rsid w:val="00F53D2B"/>
    <w:rsid w:val="00F53DFF"/>
    <w:rsid w:val="00F5403C"/>
    <w:rsid w:val="00F54417"/>
    <w:rsid w:val="00F54553"/>
    <w:rsid w:val="00F546B3"/>
    <w:rsid w:val="00F5506D"/>
    <w:rsid w:val="00F56883"/>
    <w:rsid w:val="00F56A4A"/>
    <w:rsid w:val="00F56C72"/>
    <w:rsid w:val="00F56D5B"/>
    <w:rsid w:val="00F56E22"/>
    <w:rsid w:val="00F57240"/>
    <w:rsid w:val="00F573C8"/>
    <w:rsid w:val="00F574C0"/>
    <w:rsid w:val="00F574DE"/>
    <w:rsid w:val="00F578D8"/>
    <w:rsid w:val="00F578F6"/>
    <w:rsid w:val="00F57AE9"/>
    <w:rsid w:val="00F57D0E"/>
    <w:rsid w:val="00F57E0A"/>
    <w:rsid w:val="00F60B05"/>
    <w:rsid w:val="00F60E78"/>
    <w:rsid w:val="00F61437"/>
    <w:rsid w:val="00F61560"/>
    <w:rsid w:val="00F62103"/>
    <w:rsid w:val="00F62150"/>
    <w:rsid w:val="00F62D30"/>
    <w:rsid w:val="00F63432"/>
    <w:rsid w:val="00F636E8"/>
    <w:rsid w:val="00F63871"/>
    <w:rsid w:val="00F63B41"/>
    <w:rsid w:val="00F64269"/>
    <w:rsid w:val="00F64297"/>
    <w:rsid w:val="00F6453C"/>
    <w:rsid w:val="00F64801"/>
    <w:rsid w:val="00F64976"/>
    <w:rsid w:val="00F64D65"/>
    <w:rsid w:val="00F65249"/>
    <w:rsid w:val="00F655AE"/>
    <w:rsid w:val="00F658A9"/>
    <w:rsid w:val="00F659E8"/>
    <w:rsid w:val="00F65A70"/>
    <w:rsid w:val="00F65D59"/>
    <w:rsid w:val="00F6634D"/>
    <w:rsid w:val="00F66551"/>
    <w:rsid w:val="00F665F4"/>
    <w:rsid w:val="00F66BA3"/>
    <w:rsid w:val="00F66C2E"/>
    <w:rsid w:val="00F66F91"/>
    <w:rsid w:val="00F6713B"/>
    <w:rsid w:val="00F6723A"/>
    <w:rsid w:val="00F67442"/>
    <w:rsid w:val="00F67533"/>
    <w:rsid w:val="00F679F4"/>
    <w:rsid w:val="00F67B8C"/>
    <w:rsid w:val="00F701E8"/>
    <w:rsid w:val="00F703B7"/>
    <w:rsid w:val="00F703D0"/>
    <w:rsid w:val="00F7063E"/>
    <w:rsid w:val="00F708A6"/>
    <w:rsid w:val="00F70AD8"/>
    <w:rsid w:val="00F70CF4"/>
    <w:rsid w:val="00F712DD"/>
    <w:rsid w:val="00F719B1"/>
    <w:rsid w:val="00F71A14"/>
    <w:rsid w:val="00F71D58"/>
    <w:rsid w:val="00F71E0E"/>
    <w:rsid w:val="00F71E11"/>
    <w:rsid w:val="00F72132"/>
    <w:rsid w:val="00F72ACF"/>
    <w:rsid w:val="00F72E82"/>
    <w:rsid w:val="00F72E9B"/>
    <w:rsid w:val="00F72F82"/>
    <w:rsid w:val="00F73032"/>
    <w:rsid w:val="00F73459"/>
    <w:rsid w:val="00F73531"/>
    <w:rsid w:val="00F735CE"/>
    <w:rsid w:val="00F73838"/>
    <w:rsid w:val="00F73955"/>
    <w:rsid w:val="00F74376"/>
    <w:rsid w:val="00F74A50"/>
    <w:rsid w:val="00F74B78"/>
    <w:rsid w:val="00F74DF0"/>
    <w:rsid w:val="00F7552D"/>
    <w:rsid w:val="00F76227"/>
    <w:rsid w:val="00F763A8"/>
    <w:rsid w:val="00F7652D"/>
    <w:rsid w:val="00F76AF8"/>
    <w:rsid w:val="00F77013"/>
    <w:rsid w:val="00F77209"/>
    <w:rsid w:val="00F77305"/>
    <w:rsid w:val="00F77766"/>
    <w:rsid w:val="00F7783A"/>
    <w:rsid w:val="00F77B42"/>
    <w:rsid w:val="00F80016"/>
    <w:rsid w:val="00F80A1D"/>
    <w:rsid w:val="00F80DC0"/>
    <w:rsid w:val="00F811AB"/>
    <w:rsid w:val="00F819FC"/>
    <w:rsid w:val="00F820C6"/>
    <w:rsid w:val="00F820F9"/>
    <w:rsid w:val="00F822D4"/>
    <w:rsid w:val="00F823C8"/>
    <w:rsid w:val="00F823FF"/>
    <w:rsid w:val="00F82431"/>
    <w:rsid w:val="00F82593"/>
    <w:rsid w:val="00F82796"/>
    <w:rsid w:val="00F8295A"/>
    <w:rsid w:val="00F83015"/>
    <w:rsid w:val="00F83229"/>
    <w:rsid w:val="00F8406B"/>
    <w:rsid w:val="00F84680"/>
    <w:rsid w:val="00F8470F"/>
    <w:rsid w:val="00F849AE"/>
    <w:rsid w:val="00F8527F"/>
    <w:rsid w:val="00F8560C"/>
    <w:rsid w:val="00F85E7E"/>
    <w:rsid w:val="00F86070"/>
    <w:rsid w:val="00F8619E"/>
    <w:rsid w:val="00F861D5"/>
    <w:rsid w:val="00F86A4C"/>
    <w:rsid w:val="00F86DE7"/>
    <w:rsid w:val="00F8716A"/>
    <w:rsid w:val="00F87775"/>
    <w:rsid w:val="00F87922"/>
    <w:rsid w:val="00F87AE3"/>
    <w:rsid w:val="00F87D05"/>
    <w:rsid w:val="00F87F1F"/>
    <w:rsid w:val="00F87F76"/>
    <w:rsid w:val="00F87F87"/>
    <w:rsid w:val="00F900B2"/>
    <w:rsid w:val="00F90120"/>
    <w:rsid w:val="00F9026D"/>
    <w:rsid w:val="00F90A33"/>
    <w:rsid w:val="00F90ED5"/>
    <w:rsid w:val="00F918FD"/>
    <w:rsid w:val="00F91F9A"/>
    <w:rsid w:val="00F92A2C"/>
    <w:rsid w:val="00F9304A"/>
    <w:rsid w:val="00F938AB"/>
    <w:rsid w:val="00F93A28"/>
    <w:rsid w:val="00F93EFA"/>
    <w:rsid w:val="00F94365"/>
    <w:rsid w:val="00F9441D"/>
    <w:rsid w:val="00F94EBB"/>
    <w:rsid w:val="00F95739"/>
    <w:rsid w:val="00F95C92"/>
    <w:rsid w:val="00F95E57"/>
    <w:rsid w:val="00F9628F"/>
    <w:rsid w:val="00F9629A"/>
    <w:rsid w:val="00F966E9"/>
    <w:rsid w:val="00F96CD0"/>
    <w:rsid w:val="00F9723F"/>
    <w:rsid w:val="00F97521"/>
    <w:rsid w:val="00F9761C"/>
    <w:rsid w:val="00F97832"/>
    <w:rsid w:val="00FA02D9"/>
    <w:rsid w:val="00FA04B8"/>
    <w:rsid w:val="00FA0C0D"/>
    <w:rsid w:val="00FA0C41"/>
    <w:rsid w:val="00FA10B2"/>
    <w:rsid w:val="00FA1155"/>
    <w:rsid w:val="00FA1596"/>
    <w:rsid w:val="00FA1A88"/>
    <w:rsid w:val="00FA1CAD"/>
    <w:rsid w:val="00FA1D6B"/>
    <w:rsid w:val="00FA1EBD"/>
    <w:rsid w:val="00FA28D9"/>
    <w:rsid w:val="00FA28F2"/>
    <w:rsid w:val="00FA2E29"/>
    <w:rsid w:val="00FA2E65"/>
    <w:rsid w:val="00FA2F9A"/>
    <w:rsid w:val="00FA3246"/>
    <w:rsid w:val="00FA3533"/>
    <w:rsid w:val="00FA359D"/>
    <w:rsid w:val="00FA364C"/>
    <w:rsid w:val="00FA3CD4"/>
    <w:rsid w:val="00FA3E1C"/>
    <w:rsid w:val="00FA402E"/>
    <w:rsid w:val="00FA411E"/>
    <w:rsid w:val="00FA44EC"/>
    <w:rsid w:val="00FA45B6"/>
    <w:rsid w:val="00FA491B"/>
    <w:rsid w:val="00FA56C1"/>
    <w:rsid w:val="00FA56E0"/>
    <w:rsid w:val="00FA56F9"/>
    <w:rsid w:val="00FA59A6"/>
    <w:rsid w:val="00FA5A13"/>
    <w:rsid w:val="00FA5C02"/>
    <w:rsid w:val="00FA61AF"/>
    <w:rsid w:val="00FA6744"/>
    <w:rsid w:val="00FA6F82"/>
    <w:rsid w:val="00FA7365"/>
    <w:rsid w:val="00FA766B"/>
    <w:rsid w:val="00FA7819"/>
    <w:rsid w:val="00FA788D"/>
    <w:rsid w:val="00FA79AB"/>
    <w:rsid w:val="00FA7B46"/>
    <w:rsid w:val="00FA7E21"/>
    <w:rsid w:val="00FA7F1F"/>
    <w:rsid w:val="00FB0069"/>
    <w:rsid w:val="00FB04F3"/>
    <w:rsid w:val="00FB0642"/>
    <w:rsid w:val="00FB0845"/>
    <w:rsid w:val="00FB09C6"/>
    <w:rsid w:val="00FB0D2A"/>
    <w:rsid w:val="00FB0DD9"/>
    <w:rsid w:val="00FB0E06"/>
    <w:rsid w:val="00FB1148"/>
    <w:rsid w:val="00FB1265"/>
    <w:rsid w:val="00FB2654"/>
    <w:rsid w:val="00FB28A0"/>
    <w:rsid w:val="00FB2C13"/>
    <w:rsid w:val="00FB2D61"/>
    <w:rsid w:val="00FB3930"/>
    <w:rsid w:val="00FB41FA"/>
    <w:rsid w:val="00FB4744"/>
    <w:rsid w:val="00FB55E1"/>
    <w:rsid w:val="00FB5B25"/>
    <w:rsid w:val="00FB5BB5"/>
    <w:rsid w:val="00FB5C1B"/>
    <w:rsid w:val="00FB5C54"/>
    <w:rsid w:val="00FB5C83"/>
    <w:rsid w:val="00FB5C8F"/>
    <w:rsid w:val="00FB6322"/>
    <w:rsid w:val="00FB6A55"/>
    <w:rsid w:val="00FB733B"/>
    <w:rsid w:val="00FB7C35"/>
    <w:rsid w:val="00FB7C84"/>
    <w:rsid w:val="00FC0039"/>
    <w:rsid w:val="00FC0237"/>
    <w:rsid w:val="00FC02AE"/>
    <w:rsid w:val="00FC038F"/>
    <w:rsid w:val="00FC1324"/>
    <w:rsid w:val="00FC14EA"/>
    <w:rsid w:val="00FC1834"/>
    <w:rsid w:val="00FC19A7"/>
    <w:rsid w:val="00FC233F"/>
    <w:rsid w:val="00FC2370"/>
    <w:rsid w:val="00FC24F9"/>
    <w:rsid w:val="00FC257F"/>
    <w:rsid w:val="00FC27FB"/>
    <w:rsid w:val="00FC2A24"/>
    <w:rsid w:val="00FC36AF"/>
    <w:rsid w:val="00FC3777"/>
    <w:rsid w:val="00FC3DF0"/>
    <w:rsid w:val="00FC432E"/>
    <w:rsid w:val="00FC4BFB"/>
    <w:rsid w:val="00FC4E3E"/>
    <w:rsid w:val="00FC4F6E"/>
    <w:rsid w:val="00FC5229"/>
    <w:rsid w:val="00FC55DA"/>
    <w:rsid w:val="00FC5BF5"/>
    <w:rsid w:val="00FC5E3C"/>
    <w:rsid w:val="00FC64D4"/>
    <w:rsid w:val="00FC6917"/>
    <w:rsid w:val="00FC74A4"/>
    <w:rsid w:val="00FC78D9"/>
    <w:rsid w:val="00FC7E23"/>
    <w:rsid w:val="00FD01B0"/>
    <w:rsid w:val="00FD0338"/>
    <w:rsid w:val="00FD0561"/>
    <w:rsid w:val="00FD07E1"/>
    <w:rsid w:val="00FD093B"/>
    <w:rsid w:val="00FD0C65"/>
    <w:rsid w:val="00FD0FFB"/>
    <w:rsid w:val="00FD1218"/>
    <w:rsid w:val="00FD1662"/>
    <w:rsid w:val="00FD1717"/>
    <w:rsid w:val="00FD19C1"/>
    <w:rsid w:val="00FD1AE8"/>
    <w:rsid w:val="00FD28C6"/>
    <w:rsid w:val="00FD2950"/>
    <w:rsid w:val="00FD2B6D"/>
    <w:rsid w:val="00FD3BDE"/>
    <w:rsid w:val="00FD3DCF"/>
    <w:rsid w:val="00FD4035"/>
    <w:rsid w:val="00FD4075"/>
    <w:rsid w:val="00FD4862"/>
    <w:rsid w:val="00FD4932"/>
    <w:rsid w:val="00FD4B13"/>
    <w:rsid w:val="00FD517E"/>
    <w:rsid w:val="00FD549B"/>
    <w:rsid w:val="00FD55C6"/>
    <w:rsid w:val="00FD5814"/>
    <w:rsid w:val="00FD5BB9"/>
    <w:rsid w:val="00FD5CF8"/>
    <w:rsid w:val="00FD5EF6"/>
    <w:rsid w:val="00FD60B2"/>
    <w:rsid w:val="00FD60FA"/>
    <w:rsid w:val="00FD61B6"/>
    <w:rsid w:val="00FD6ED4"/>
    <w:rsid w:val="00FD72F8"/>
    <w:rsid w:val="00FD7300"/>
    <w:rsid w:val="00FD7559"/>
    <w:rsid w:val="00FD77E8"/>
    <w:rsid w:val="00FD7928"/>
    <w:rsid w:val="00FE02AE"/>
    <w:rsid w:val="00FE0A93"/>
    <w:rsid w:val="00FE168F"/>
    <w:rsid w:val="00FE1D68"/>
    <w:rsid w:val="00FE1F02"/>
    <w:rsid w:val="00FE1F93"/>
    <w:rsid w:val="00FE2369"/>
    <w:rsid w:val="00FE24D4"/>
    <w:rsid w:val="00FE2908"/>
    <w:rsid w:val="00FE2BCA"/>
    <w:rsid w:val="00FE2D2A"/>
    <w:rsid w:val="00FE2DA3"/>
    <w:rsid w:val="00FE3500"/>
    <w:rsid w:val="00FE3767"/>
    <w:rsid w:val="00FE3769"/>
    <w:rsid w:val="00FE3870"/>
    <w:rsid w:val="00FE38CD"/>
    <w:rsid w:val="00FE398D"/>
    <w:rsid w:val="00FE41A4"/>
    <w:rsid w:val="00FE4476"/>
    <w:rsid w:val="00FE469A"/>
    <w:rsid w:val="00FE4E40"/>
    <w:rsid w:val="00FE51A1"/>
    <w:rsid w:val="00FE6094"/>
    <w:rsid w:val="00FE626A"/>
    <w:rsid w:val="00FE6822"/>
    <w:rsid w:val="00FE6886"/>
    <w:rsid w:val="00FE6AA9"/>
    <w:rsid w:val="00FE6FC6"/>
    <w:rsid w:val="00FE73A3"/>
    <w:rsid w:val="00FF0E03"/>
    <w:rsid w:val="00FF0FC1"/>
    <w:rsid w:val="00FF183E"/>
    <w:rsid w:val="00FF1B7F"/>
    <w:rsid w:val="00FF1B81"/>
    <w:rsid w:val="00FF1E7B"/>
    <w:rsid w:val="00FF1F30"/>
    <w:rsid w:val="00FF1FDF"/>
    <w:rsid w:val="00FF23CA"/>
    <w:rsid w:val="00FF23EF"/>
    <w:rsid w:val="00FF2A6E"/>
    <w:rsid w:val="00FF32AB"/>
    <w:rsid w:val="00FF3331"/>
    <w:rsid w:val="00FF3475"/>
    <w:rsid w:val="00FF382A"/>
    <w:rsid w:val="00FF3C88"/>
    <w:rsid w:val="00FF3CC1"/>
    <w:rsid w:val="00FF3D43"/>
    <w:rsid w:val="00FF3F20"/>
    <w:rsid w:val="00FF4262"/>
    <w:rsid w:val="00FF430F"/>
    <w:rsid w:val="00FF48A9"/>
    <w:rsid w:val="00FF4E7B"/>
    <w:rsid w:val="00FF50F4"/>
    <w:rsid w:val="00FF53BF"/>
    <w:rsid w:val="00FF593D"/>
    <w:rsid w:val="00FF59B2"/>
    <w:rsid w:val="00FF5E7B"/>
    <w:rsid w:val="00FF624D"/>
    <w:rsid w:val="00FF66F8"/>
    <w:rsid w:val="00FF6722"/>
    <w:rsid w:val="00FF680E"/>
    <w:rsid w:val="00FF68DB"/>
    <w:rsid w:val="00FF6947"/>
    <w:rsid w:val="00FF69CC"/>
    <w:rsid w:val="00FF6AB6"/>
    <w:rsid w:val="00FF6BD8"/>
    <w:rsid w:val="00FF6FA1"/>
    <w:rsid w:val="00FF71AD"/>
    <w:rsid w:val="00FF721E"/>
    <w:rsid w:val="00FF748B"/>
    <w:rsid w:val="00FF74C9"/>
    <w:rsid w:val="00FF75AF"/>
    <w:rsid w:val="00FF77AF"/>
    <w:rsid w:val="00FF7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5DFE918D"/>
  <w15:docId w15:val="{77F9FA0F-905B-42BC-8D21-FCE5676D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54490A"/>
    <w:rPr>
      <w:sz w:val="24"/>
      <w:szCs w:val="24"/>
    </w:rPr>
  </w:style>
  <w:style w:type="paragraph" w:styleId="Heading1">
    <w:name w:val="heading 1"/>
    <w:basedOn w:val="BodyText"/>
    <w:next w:val="BodyText"/>
    <w:link w:val="Heading1Char"/>
    <w:rsid w:val="0054490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54490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54490A"/>
    <w:pPr>
      <w:spacing w:before="560" w:line="320" w:lineRule="exact"/>
      <w:ind w:left="0" w:firstLine="0"/>
      <w:outlineLvl w:val="2"/>
    </w:pPr>
    <w:rPr>
      <w:sz w:val="26"/>
    </w:rPr>
  </w:style>
  <w:style w:type="paragraph" w:styleId="Heading4">
    <w:name w:val="heading 4"/>
    <w:basedOn w:val="Heading3"/>
    <w:next w:val="BodyText"/>
    <w:link w:val="Heading4Char"/>
    <w:qFormat/>
    <w:rsid w:val="0054490A"/>
    <w:pPr>
      <w:spacing w:before="480"/>
      <w:outlineLvl w:val="3"/>
    </w:pPr>
    <w:rPr>
      <w:b w:val="0"/>
      <w:sz w:val="24"/>
    </w:rPr>
  </w:style>
  <w:style w:type="paragraph" w:styleId="Heading5">
    <w:name w:val="heading 5"/>
    <w:basedOn w:val="Heading4"/>
    <w:next w:val="BodyText"/>
    <w:link w:val="Heading5Char"/>
    <w:qFormat/>
    <w:rsid w:val="0054490A"/>
    <w:pPr>
      <w:outlineLvl w:val="4"/>
    </w:pPr>
    <w:rPr>
      <w:i/>
      <w:sz w:val="22"/>
    </w:rPr>
  </w:style>
  <w:style w:type="paragraph" w:styleId="Heading6">
    <w:name w:val="heading 6"/>
    <w:basedOn w:val="BodyText"/>
    <w:next w:val="BodyText"/>
    <w:rsid w:val="0054490A"/>
    <w:pPr>
      <w:spacing w:after="60"/>
      <w:jc w:val="left"/>
      <w:outlineLvl w:val="5"/>
    </w:pPr>
    <w:rPr>
      <w:i/>
      <w:sz w:val="22"/>
    </w:rPr>
  </w:style>
  <w:style w:type="paragraph" w:styleId="Heading7">
    <w:name w:val="heading 7"/>
    <w:basedOn w:val="BodyText"/>
    <w:next w:val="BodyText"/>
    <w:rsid w:val="0054490A"/>
    <w:pPr>
      <w:spacing w:after="60" w:line="240" w:lineRule="auto"/>
      <w:jc w:val="left"/>
      <w:outlineLvl w:val="6"/>
    </w:pPr>
    <w:rPr>
      <w:rFonts w:ascii="Arial" w:hAnsi="Arial"/>
      <w:sz w:val="20"/>
    </w:rPr>
  </w:style>
  <w:style w:type="paragraph" w:styleId="Heading8">
    <w:name w:val="heading 8"/>
    <w:basedOn w:val="BodyText"/>
    <w:next w:val="BodyText"/>
    <w:rsid w:val="0054490A"/>
    <w:pPr>
      <w:spacing w:after="60" w:line="240" w:lineRule="auto"/>
      <w:jc w:val="left"/>
      <w:outlineLvl w:val="7"/>
    </w:pPr>
    <w:rPr>
      <w:rFonts w:ascii="Arial" w:hAnsi="Arial"/>
      <w:i/>
      <w:sz w:val="20"/>
    </w:rPr>
  </w:style>
  <w:style w:type="paragraph" w:styleId="Heading9">
    <w:name w:val="heading 9"/>
    <w:basedOn w:val="BodyText"/>
    <w:next w:val="BodyText"/>
    <w:rsid w:val="0054490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449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490A"/>
  </w:style>
  <w:style w:type="paragraph" w:styleId="BodyText">
    <w:name w:val="Body Text"/>
    <w:link w:val="BodyTextChar"/>
    <w:qFormat/>
    <w:rsid w:val="0054490A"/>
    <w:pPr>
      <w:spacing w:before="240" w:line="300" w:lineRule="atLeast"/>
      <w:jc w:val="both"/>
    </w:pPr>
    <w:rPr>
      <w:sz w:val="24"/>
    </w:rPr>
  </w:style>
  <w:style w:type="paragraph" w:customStyle="1" w:styleId="Chapter">
    <w:name w:val="Chapter"/>
    <w:basedOn w:val="Heading1"/>
    <w:next w:val="BodyText"/>
    <w:link w:val="ChapterChar"/>
    <w:semiHidden/>
    <w:rsid w:val="0054490A"/>
    <w:pPr>
      <w:ind w:left="0" w:firstLine="0"/>
      <w:outlineLvl w:val="9"/>
    </w:pPr>
  </w:style>
  <w:style w:type="paragraph" w:customStyle="1" w:styleId="SequenceInfo">
    <w:name w:val="Sequence Info"/>
    <w:basedOn w:val="BodyText"/>
    <w:semiHidden/>
    <w:rsid w:val="0054490A"/>
    <w:rPr>
      <w:vanish/>
      <w:sz w:val="16"/>
    </w:rPr>
  </w:style>
  <w:style w:type="character" w:styleId="CommentReference">
    <w:name w:val="annotation reference"/>
    <w:basedOn w:val="DefaultParagraphFont"/>
    <w:semiHidden/>
    <w:rsid w:val="0054490A"/>
    <w:rPr>
      <w:b/>
      <w:vanish/>
      <w:color w:val="FF00FF"/>
      <w:sz w:val="20"/>
    </w:rPr>
  </w:style>
  <w:style w:type="paragraph" w:styleId="CommentText">
    <w:name w:val="annotation text"/>
    <w:basedOn w:val="Normal"/>
    <w:link w:val="CommentTextChar"/>
    <w:semiHidden/>
    <w:rsid w:val="0054490A"/>
    <w:pPr>
      <w:spacing w:before="120" w:line="240" w:lineRule="atLeast"/>
      <w:ind w:left="567" w:hanging="567"/>
    </w:pPr>
    <w:rPr>
      <w:sz w:val="20"/>
    </w:rPr>
  </w:style>
  <w:style w:type="paragraph" w:customStyle="1" w:styleId="Abbreviation">
    <w:name w:val="Abbreviation"/>
    <w:basedOn w:val="BodyText"/>
    <w:rsid w:val="0054490A"/>
    <w:pPr>
      <w:spacing w:before="120"/>
      <w:ind w:left="2381" w:hanging="2381"/>
      <w:jc w:val="left"/>
    </w:pPr>
  </w:style>
  <w:style w:type="paragraph" w:customStyle="1" w:styleId="Box">
    <w:name w:val="Box"/>
    <w:basedOn w:val="BodyText"/>
    <w:link w:val="BoxChar"/>
    <w:qFormat/>
    <w:rsid w:val="0054490A"/>
    <w:pPr>
      <w:keepNext/>
      <w:spacing w:before="120" w:line="260" w:lineRule="atLeast"/>
    </w:pPr>
    <w:rPr>
      <w:rFonts w:ascii="Arial" w:hAnsi="Arial"/>
      <w:sz w:val="20"/>
    </w:rPr>
  </w:style>
  <w:style w:type="paragraph" w:customStyle="1" w:styleId="QuoteBullet">
    <w:name w:val="Quote Bullet"/>
    <w:basedOn w:val="Quote"/>
    <w:rsid w:val="0054490A"/>
    <w:pPr>
      <w:numPr>
        <w:numId w:val="11"/>
      </w:numPr>
    </w:pPr>
  </w:style>
  <w:style w:type="paragraph" w:customStyle="1" w:styleId="BoxListBullet">
    <w:name w:val="Box List Bullet"/>
    <w:basedOn w:val="BodyText"/>
    <w:link w:val="BoxListBulletChar"/>
    <w:rsid w:val="0054490A"/>
    <w:pPr>
      <w:keepNext/>
      <w:numPr>
        <w:numId w:val="6"/>
      </w:numPr>
      <w:spacing w:before="100" w:line="260" w:lineRule="atLeast"/>
    </w:pPr>
    <w:rPr>
      <w:rFonts w:ascii="Arial" w:hAnsi="Arial"/>
      <w:sz w:val="20"/>
    </w:rPr>
  </w:style>
  <w:style w:type="paragraph" w:customStyle="1" w:styleId="BoxListBullet2">
    <w:name w:val="Box List Bullet 2"/>
    <w:basedOn w:val="BoxListBullet"/>
    <w:rsid w:val="0054490A"/>
    <w:pPr>
      <w:numPr>
        <w:numId w:val="3"/>
      </w:numPr>
      <w:ind w:left="568" w:hanging="284"/>
    </w:pPr>
  </w:style>
  <w:style w:type="paragraph" w:customStyle="1" w:styleId="BoxListNumber">
    <w:name w:val="Box List Number"/>
    <w:basedOn w:val="BodyText"/>
    <w:rsid w:val="0054490A"/>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54490A"/>
    <w:pPr>
      <w:numPr>
        <w:ilvl w:val="1"/>
      </w:numPr>
      <w:ind w:left="681" w:hanging="397"/>
    </w:pPr>
  </w:style>
  <w:style w:type="paragraph" w:customStyle="1" w:styleId="BoxQuote">
    <w:name w:val="Box Quote"/>
    <w:basedOn w:val="BodyText"/>
    <w:next w:val="Box"/>
    <w:qFormat/>
    <w:rsid w:val="0054490A"/>
    <w:pPr>
      <w:keepNext/>
      <w:spacing w:before="60" w:line="240" w:lineRule="exact"/>
      <w:ind w:left="284"/>
    </w:pPr>
    <w:rPr>
      <w:rFonts w:ascii="Arial" w:hAnsi="Arial"/>
      <w:sz w:val="18"/>
    </w:rPr>
  </w:style>
  <w:style w:type="paragraph" w:customStyle="1" w:styleId="BoxSource">
    <w:name w:val="Box Source"/>
    <w:basedOn w:val="Source"/>
    <w:next w:val="BodyText"/>
    <w:rsid w:val="0054490A"/>
    <w:pPr>
      <w:spacing w:before="120"/>
    </w:pPr>
  </w:style>
  <w:style w:type="paragraph" w:customStyle="1" w:styleId="BoxSpace">
    <w:name w:val="Box Space"/>
    <w:basedOn w:val="BodyText"/>
    <w:rsid w:val="00FB0642"/>
    <w:pPr>
      <w:keepNext/>
      <w:spacing w:before="360" w:line="80" w:lineRule="exact"/>
      <w:jc w:val="left"/>
    </w:pPr>
  </w:style>
  <w:style w:type="paragraph" w:customStyle="1" w:styleId="BoxSubtitle">
    <w:name w:val="Box Subtitle"/>
    <w:basedOn w:val="BoxTitle"/>
    <w:next w:val="Normal"/>
    <w:rsid w:val="0054490A"/>
    <w:pPr>
      <w:spacing w:after="80" w:line="200" w:lineRule="exact"/>
      <w:ind w:firstLine="0"/>
    </w:pPr>
    <w:rPr>
      <w:b w:val="0"/>
      <w:sz w:val="20"/>
    </w:rPr>
  </w:style>
  <w:style w:type="paragraph" w:customStyle="1" w:styleId="BoxTitle">
    <w:name w:val="Box Title"/>
    <w:basedOn w:val="Caption"/>
    <w:next w:val="BoxSubtitle"/>
    <w:link w:val="BoxTitleChar"/>
    <w:rsid w:val="0054490A"/>
    <w:pPr>
      <w:spacing w:before="120" w:after="0"/>
    </w:pPr>
  </w:style>
  <w:style w:type="paragraph" w:styleId="Caption">
    <w:name w:val="caption"/>
    <w:basedOn w:val="Normal"/>
    <w:next w:val="BodyText"/>
    <w:rsid w:val="0054490A"/>
    <w:pPr>
      <w:keepNext/>
      <w:keepLines/>
      <w:spacing w:before="360" w:after="80" w:line="280" w:lineRule="exact"/>
      <w:ind w:left="1474" w:hanging="1474"/>
    </w:pPr>
    <w:rPr>
      <w:rFonts w:ascii="Arial" w:hAnsi="Arial"/>
      <w:b/>
    </w:rPr>
  </w:style>
  <w:style w:type="paragraph" w:customStyle="1" w:styleId="ChapterSummary">
    <w:name w:val="Chapter Summary"/>
    <w:basedOn w:val="BodyText"/>
    <w:rsid w:val="0054490A"/>
    <w:pPr>
      <w:spacing w:line="280" w:lineRule="atLeast"/>
      <w:ind w:left="907"/>
    </w:pPr>
    <w:rPr>
      <w:rFonts w:ascii="Arial" w:hAnsi="Arial"/>
      <w:b/>
      <w:sz w:val="20"/>
    </w:rPr>
  </w:style>
  <w:style w:type="character" w:customStyle="1" w:styleId="DocumentInfo">
    <w:name w:val="Document Info"/>
    <w:basedOn w:val="DefaultParagraphFont"/>
    <w:semiHidden/>
    <w:rsid w:val="0054490A"/>
    <w:rPr>
      <w:rFonts w:ascii="Arial" w:hAnsi="Arial"/>
      <w:sz w:val="14"/>
    </w:rPr>
  </w:style>
  <w:style w:type="paragraph" w:styleId="Footer">
    <w:name w:val="footer"/>
    <w:basedOn w:val="BodyText"/>
    <w:link w:val="FooterChar"/>
    <w:rsid w:val="0054490A"/>
    <w:pPr>
      <w:spacing w:before="80" w:line="200" w:lineRule="exact"/>
      <w:ind w:right="6"/>
      <w:jc w:val="left"/>
    </w:pPr>
    <w:rPr>
      <w:rFonts w:ascii="Arial" w:hAnsi="Arial"/>
      <w:caps/>
      <w:spacing w:val="-4"/>
      <w:sz w:val="16"/>
    </w:rPr>
  </w:style>
  <w:style w:type="character" w:customStyle="1" w:styleId="DraftingNote">
    <w:name w:val="Drafting Note"/>
    <w:basedOn w:val="DefaultParagraphFont"/>
    <w:rsid w:val="0054490A"/>
    <w:rPr>
      <w:b/>
      <w:color w:val="FF0000"/>
      <w:sz w:val="24"/>
      <w:u w:val="dotted"/>
    </w:rPr>
  </w:style>
  <w:style w:type="character" w:customStyle="1" w:styleId="BodyTextChar">
    <w:name w:val="Body Text Char"/>
    <w:basedOn w:val="DefaultParagraphFont"/>
    <w:link w:val="BodyText"/>
    <w:rsid w:val="0054490A"/>
    <w:rPr>
      <w:sz w:val="24"/>
    </w:rPr>
  </w:style>
  <w:style w:type="paragraph" w:customStyle="1" w:styleId="Figure">
    <w:name w:val="Figure"/>
    <w:basedOn w:val="BodyText"/>
    <w:rsid w:val="0054490A"/>
    <w:pPr>
      <w:keepNext/>
      <w:spacing w:before="120" w:after="120" w:line="240" w:lineRule="atLeast"/>
      <w:jc w:val="center"/>
    </w:pPr>
  </w:style>
  <w:style w:type="paragraph" w:customStyle="1" w:styleId="FigureTitle">
    <w:name w:val="Figure Title"/>
    <w:basedOn w:val="Caption"/>
    <w:next w:val="Subtitle"/>
    <w:rsid w:val="0054490A"/>
    <w:pPr>
      <w:spacing w:before="120"/>
    </w:pPr>
  </w:style>
  <w:style w:type="paragraph" w:styleId="Subtitle">
    <w:name w:val="Subtitle"/>
    <w:basedOn w:val="Caption"/>
    <w:link w:val="SubtitleChar"/>
    <w:qFormat/>
    <w:rsid w:val="0054490A"/>
    <w:pPr>
      <w:spacing w:before="0" w:line="200" w:lineRule="exact"/>
      <w:ind w:firstLine="0"/>
    </w:pPr>
    <w:rPr>
      <w:b w:val="0"/>
      <w:sz w:val="20"/>
    </w:rPr>
  </w:style>
  <w:style w:type="paragraph" w:customStyle="1" w:styleId="Finding">
    <w:name w:val="Finding"/>
    <w:basedOn w:val="BodyText"/>
    <w:rsid w:val="0054490A"/>
    <w:pPr>
      <w:keepLines/>
      <w:spacing w:before="120" w:line="280" w:lineRule="atLeast"/>
    </w:pPr>
    <w:rPr>
      <w:rFonts w:ascii="Arial" w:hAnsi="Arial"/>
      <w:sz w:val="22"/>
    </w:rPr>
  </w:style>
  <w:style w:type="paragraph" w:customStyle="1" w:styleId="FindingBullet">
    <w:name w:val="Finding Bullet"/>
    <w:basedOn w:val="Finding"/>
    <w:rsid w:val="0054490A"/>
    <w:pPr>
      <w:numPr>
        <w:numId w:val="7"/>
      </w:numPr>
      <w:spacing w:before="80"/>
    </w:pPr>
  </w:style>
  <w:style w:type="paragraph" w:customStyle="1" w:styleId="FindingNoTitle">
    <w:name w:val="Finding NoTitle"/>
    <w:basedOn w:val="Finding"/>
    <w:rsid w:val="0054490A"/>
    <w:pPr>
      <w:spacing w:before="240"/>
    </w:pPr>
  </w:style>
  <w:style w:type="paragraph" w:customStyle="1" w:styleId="FindingTitle">
    <w:name w:val="Finding Title"/>
    <w:basedOn w:val="RecTitle"/>
    <w:next w:val="Finding"/>
    <w:rsid w:val="0054490A"/>
  </w:style>
  <w:style w:type="paragraph" w:customStyle="1" w:styleId="FooterEnd">
    <w:name w:val="Footer End"/>
    <w:basedOn w:val="Footer"/>
    <w:rsid w:val="0054490A"/>
    <w:pPr>
      <w:spacing w:before="0" w:line="20" w:lineRule="exact"/>
    </w:pPr>
  </w:style>
  <w:style w:type="character" w:styleId="FootnoteReference">
    <w:name w:val="footnote reference"/>
    <w:basedOn w:val="DefaultParagraphFont"/>
    <w:semiHidden/>
    <w:rsid w:val="0054490A"/>
    <w:rPr>
      <w:rFonts w:ascii="Times New Roman" w:hAnsi="Times New Roman"/>
      <w:position w:val="6"/>
      <w:sz w:val="20"/>
      <w:vertAlign w:val="baseline"/>
    </w:rPr>
  </w:style>
  <w:style w:type="paragraph" w:styleId="FootnoteText">
    <w:name w:val="footnote text"/>
    <w:basedOn w:val="BodyText"/>
    <w:rsid w:val="0054490A"/>
    <w:pPr>
      <w:tabs>
        <w:tab w:val="left" w:pos="284"/>
      </w:tabs>
      <w:spacing w:before="80" w:line="240" w:lineRule="exact"/>
      <w:ind w:left="284" w:hanging="284"/>
    </w:pPr>
    <w:rPr>
      <w:sz w:val="20"/>
    </w:rPr>
  </w:style>
  <w:style w:type="paragraph" w:styleId="Header">
    <w:name w:val="header"/>
    <w:basedOn w:val="BodyText"/>
    <w:link w:val="HeaderChar"/>
    <w:rsid w:val="0054490A"/>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54490A"/>
    <w:pPr>
      <w:spacing w:line="20" w:lineRule="exact"/>
    </w:pPr>
    <w:rPr>
      <w:sz w:val="16"/>
    </w:rPr>
  </w:style>
  <w:style w:type="paragraph" w:customStyle="1" w:styleId="HeaderEven">
    <w:name w:val="Header Even"/>
    <w:basedOn w:val="Header"/>
    <w:rsid w:val="0054490A"/>
  </w:style>
  <w:style w:type="paragraph" w:customStyle="1" w:styleId="HeaderOdd">
    <w:name w:val="Header Odd"/>
    <w:basedOn w:val="Header"/>
    <w:rsid w:val="0054490A"/>
  </w:style>
  <w:style w:type="paragraph" w:customStyle="1" w:styleId="InformationRequest">
    <w:name w:val="Information Request"/>
    <w:basedOn w:val="Finding"/>
    <w:next w:val="BodyText"/>
    <w:rsid w:val="0054490A"/>
    <w:rPr>
      <w:i/>
    </w:rPr>
  </w:style>
  <w:style w:type="paragraph" w:styleId="ListBullet">
    <w:name w:val="List Bullet"/>
    <w:basedOn w:val="BodyText"/>
    <w:rsid w:val="0054490A"/>
    <w:pPr>
      <w:numPr>
        <w:numId w:val="5"/>
      </w:numPr>
      <w:spacing w:before="120"/>
    </w:pPr>
  </w:style>
  <w:style w:type="paragraph" w:styleId="ListBullet2">
    <w:name w:val="List Bullet 2"/>
    <w:basedOn w:val="BodyText"/>
    <w:rsid w:val="0054490A"/>
    <w:pPr>
      <w:numPr>
        <w:numId w:val="2"/>
      </w:numPr>
      <w:spacing w:before="120"/>
    </w:pPr>
  </w:style>
  <w:style w:type="paragraph" w:styleId="ListBullet3">
    <w:name w:val="List Bullet 3"/>
    <w:basedOn w:val="BodyText"/>
    <w:rsid w:val="0054490A"/>
    <w:pPr>
      <w:numPr>
        <w:numId w:val="1"/>
      </w:numPr>
      <w:spacing w:before="120"/>
      <w:ind w:left="1020" w:hanging="340"/>
    </w:pPr>
  </w:style>
  <w:style w:type="paragraph" w:styleId="ListNumber">
    <w:name w:val="List Number"/>
    <w:basedOn w:val="BodyText"/>
    <w:rsid w:val="0054490A"/>
    <w:pPr>
      <w:numPr>
        <w:numId w:val="13"/>
      </w:numPr>
      <w:spacing w:before="120"/>
    </w:pPr>
  </w:style>
  <w:style w:type="paragraph" w:styleId="ListNumber2">
    <w:name w:val="List Number 2"/>
    <w:basedOn w:val="ListNumber"/>
    <w:rsid w:val="0054490A"/>
    <w:pPr>
      <w:numPr>
        <w:ilvl w:val="1"/>
      </w:numPr>
    </w:pPr>
  </w:style>
  <w:style w:type="paragraph" w:styleId="ListNumber3">
    <w:name w:val="List Number 3"/>
    <w:basedOn w:val="ListNumber2"/>
    <w:rsid w:val="0054490A"/>
    <w:pPr>
      <w:numPr>
        <w:ilvl w:val="2"/>
      </w:numPr>
    </w:pPr>
  </w:style>
  <w:style w:type="paragraph" w:customStyle="1" w:styleId="Note">
    <w:name w:val="Note"/>
    <w:basedOn w:val="BodyText"/>
    <w:next w:val="BodyText"/>
    <w:link w:val="NoteChar"/>
    <w:rsid w:val="0054490A"/>
    <w:pPr>
      <w:keepLines/>
      <w:spacing w:before="80" w:line="220" w:lineRule="exact"/>
    </w:pPr>
    <w:rPr>
      <w:rFonts w:ascii="Arial" w:hAnsi="Arial"/>
      <w:sz w:val="18"/>
    </w:rPr>
  </w:style>
  <w:style w:type="character" w:customStyle="1" w:styleId="NoteLabel">
    <w:name w:val="Note Label"/>
    <w:basedOn w:val="DefaultParagraphFont"/>
    <w:rsid w:val="0054490A"/>
    <w:rPr>
      <w:rFonts w:ascii="Arial" w:hAnsi="Arial"/>
      <w:b/>
      <w:position w:val="6"/>
      <w:sz w:val="18"/>
    </w:rPr>
  </w:style>
  <w:style w:type="character" w:styleId="PageNumber">
    <w:name w:val="page number"/>
    <w:basedOn w:val="DefaultParagraphFont"/>
    <w:rsid w:val="0054490A"/>
    <w:rPr>
      <w:rFonts w:ascii="Arial" w:hAnsi="Arial"/>
      <w:b/>
      <w:sz w:val="16"/>
    </w:rPr>
  </w:style>
  <w:style w:type="paragraph" w:customStyle="1" w:styleId="PartDivider">
    <w:name w:val="Part Divider"/>
    <w:basedOn w:val="BodyText"/>
    <w:next w:val="BodyText"/>
    <w:semiHidden/>
    <w:rsid w:val="0054490A"/>
    <w:pPr>
      <w:spacing w:before="0" w:line="40" w:lineRule="exact"/>
      <w:jc w:val="right"/>
    </w:pPr>
    <w:rPr>
      <w:smallCaps/>
      <w:sz w:val="16"/>
    </w:rPr>
  </w:style>
  <w:style w:type="paragraph" w:customStyle="1" w:styleId="PartNumber">
    <w:name w:val="Part Number"/>
    <w:basedOn w:val="BodyText"/>
    <w:next w:val="BodyText"/>
    <w:semiHidden/>
    <w:rsid w:val="0054490A"/>
    <w:pPr>
      <w:spacing w:before="4000" w:line="320" w:lineRule="exact"/>
      <w:ind w:left="6634"/>
      <w:jc w:val="right"/>
    </w:pPr>
    <w:rPr>
      <w:smallCaps/>
      <w:spacing w:val="60"/>
      <w:sz w:val="32"/>
    </w:rPr>
  </w:style>
  <w:style w:type="paragraph" w:customStyle="1" w:styleId="PartTitle">
    <w:name w:val="Part Title"/>
    <w:basedOn w:val="BodyText"/>
    <w:semiHidden/>
    <w:rsid w:val="0054490A"/>
    <w:pPr>
      <w:spacing w:before="160" w:after="1360" w:line="520" w:lineRule="exact"/>
      <w:ind w:right="2381"/>
      <w:jc w:val="right"/>
    </w:pPr>
    <w:rPr>
      <w:smallCaps/>
      <w:sz w:val="52"/>
    </w:rPr>
  </w:style>
  <w:style w:type="paragraph" w:styleId="Quote">
    <w:name w:val="Quote"/>
    <w:basedOn w:val="BodyText"/>
    <w:next w:val="BodyText"/>
    <w:qFormat/>
    <w:rsid w:val="0054490A"/>
    <w:pPr>
      <w:spacing w:before="120" w:line="280" w:lineRule="exact"/>
      <w:ind w:left="340"/>
    </w:pPr>
    <w:rPr>
      <w:sz w:val="22"/>
    </w:rPr>
  </w:style>
  <w:style w:type="paragraph" w:customStyle="1" w:styleId="Rec">
    <w:name w:val="Rec"/>
    <w:basedOn w:val="BodyText"/>
    <w:qFormat/>
    <w:rsid w:val="0054490A"/>
    <w:pPr>
      <w:keepLines/>
      <w:spacing w:before="120" w:line="280" w:lineRule="atLeast"/>
    </w:pPr>
    <w:rPr>
      <w:rFonts w:ascii="Arial" w:hAnsi="Arial"/>
      <w:sz w:val="22"/>
    </w:rPr>
  </w:style>
  <w:style w:type="paragraph" w:customStyle="1" w:styleId="RecBullet">
    <w:name w:val="Rec Bullet"/>
    <w:basedOn w:val="Rec"/>
    <w:rsid w:val="0054490A"/>
    <w:pPr>
      <w:numPr>
        <w:numId w:val="8"/>
      </w:numPr>
      <w:spacing w:before="80"/>
    </w:pPr>
  </w:style>
  <w:style w:type="paragraph" w:customStyle="1" w:styleId="RecTitle">
    <w:name w:val="Rec Title"/>
    <w:basedOn w:val="BodyText"/>
    <w:next w:val="Rec"/>
    <w:qFormat/>
    <w:rsid w:val="0054490A"/>
    <w:pPr>
      <w:keepNext/>
      <w:keepLines/>
      <w:spacing w:line="280" w:lineRule="atLeast"/>
    </w:pPr>
    <w:rPr>
      <w:rFonts w:ascii="Arial" w:hAnsi="Arial"/>
      <w:caps/>
      <w:sz w:val="18"/>
    </w:rPr>
  </w:style>
  <w:style w:type="paragraph" w:customStyle="1" w:styleId="RecB">
    <w:name w:val="RecB"/>
    <w:basedOn w:val="Normal"/>
    <w:rsid w:val="0054490A"/>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54490A"/>
    <w:pPr>
      <w:numPr>
        <w:numId w:val="9"/>
      </w:numPr>
      <w:spacing w:before="80"/>
    </w:pPr>
  </w:style>
  <w:style w:type="paragraph" w:customStyle="1" w:styleId="RecBNoTitle">
    <w:name w:val="RecB NoTitle"/>
    <w:basedOn w:val="RecB"/>
    <w:rsid w:val="0054490A"/>
    <w:pPr>
      <w:spacing w:before="240"/>
    </w:pPr>
  </w:style>
  <w:style w:type="paragraph" w:customStyle="1" w:styleId="Reference">
    <w:name w:val="Reference"/>
    <w:basedOn w:val="BodyText"/>
    <w:rsid w:val="0054490A"/>
    <w:pPr>
      <w:spacing w:before="120"/>
      <w:ind w:left="340" w:hanging="340"/>
    </w:pPr>
  </w:style>
  <w:style w:type="paragraph" w:customStyle="1" w:styleId="SideNote">
    <w:name w:val="Side Note"/>
    <w:basedOn w:val="BodyText"/>
    <w:next w:val="BodyText"/>
    <w:semiHidden/>
    <w:rsid w:val="0054490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54490A"/>
    <w:pPr>
      <w:framePr w:wrap="around"/>
      <w:numPr>
        <w:numId w:val="4"/>
      </w:numPr>
      <w:tabs>
        <w:tab w:val="left" w:pos="227"/>
      </w:tabs>
    </w:pPr>
  </w:style>
  <w:style w:type="paragraph" w:customStyle="1" w:styleId="SideNoteGraphic">
    <w:name w:val="Side Note Graphic"/>
    <w:basedOn w:val="SideNote"/>
    <w:next w:val="BodyText"/>
    <w:semiHidden/>
    <w:rsid w:val="0054490A"/>
    <w:pPr>
      <w:framePr w:wrap="around"/>
    </w:pPr>
  </w:style>
  <w:style w:type="paragraph" w:customStyle="1" w:styleId="Source">
    <w:name w:val="Source"/>
    <w:basedOn w:val="Normal"/>
    <w:next w:val="BodyText"/>
    <w:rsid w:val="0054490A"/>
    <w:pPr>
      <w:keepLines/>
      <w:spacing w:before="80" w:line="220" w:lineRule="exact"/>
      <w:jc w:val="both"/>
    </w:pPr>
    <w:rPr>
      <w:rFonts w:ascii="Arial" w:hAnsi="Arial"/>
      <w:sz w:val="18"/>
      <w:szCs w:val="20"/>
    </w:rPr>
  </w:style>
  <w:style w:type="paragraph" w:customStyle="1" w:styleId="TableBodyText">
    <w:name w:val="Table Body Text"/>
    <w:basedOn w:val="BodyText"/>
    <w:link w:val="TableBodyTextChar"/>
    <w:rsid w:val="0054490A"/>
    <w:pPr>
      <w:keepNext/>
      <w:keepLines/>
      <w:spacing w:before="0" w:after="40" w:line="200" w:lineRule="atLeast"/>
      <w:ind w:left="6" w:right="113"/>
      <w:jc w:val="right"/>
    </w:pPr>
    <w:rPr>
      <w:rFonts w:ascii="Arial" w:hAnsi="Arial"/>
      <w:sz w:val="18"/>
    </w:rPr>
  </w:style>
  <w:style w:type="paragraph" w:customStyle="1" w:styleId="TableBullet0">
    <w:name w:val="Table Bullet"/>
    <w:basedOn w:val="TableBodyText"/>
    <w:rsid w:val="0054490A"/>
    <w:pPr>
      <w:numPr>
        <w:numId w:val="10"/>
      </w:numPr>
      <w:jc w:val="left"/>
    </w:pPr>
  </w:style>
  <w:style w:type="paragraph" w:customStyle="1" w:styleId="TableColumnHeading">
    <w:name w:val="Table Column Heading"/>
    <w:basedOn w:val="TableBodyText"/>
    <w:rsid w:val="0054490A"/>
    <w:pPr>
      <w:spacing w:before="80" w:after="80"/>
    </w:pPr>
    <w:rPr>
      <w:i/>
    </w:rPr>
  </w:style>
  <w:style w:type="paragraph" w:styleId="TableofFigures">
    <w:name w:val="table of figures"/>
    <w:basedOn w:val="TOC3"/>
    <w:next w:val="BodyText"/>
    <w:semiHidden/>
    <w:rsid w:val="0054490A"/>
    <w:pPr>
      <w:ind w:left="737" w:hanging="737"/>
    </w:pPr>
  </w:style>
  <w:style w:type="paragraph" w:styleId="TOC3">
    <w:name w:val="toc 3"/>
    <w:basedOn w:val="TOC2"/>
    <w:rsid w:val="0054490A"/>
    <w:pPr>
      <w:spacing w:before="60"/>
      <w:ind w:left="1190" w:hanging="680"/>
    </w:pPr>
  </w:style>
  <w:style w:type="paragraph" w:customStyle="1" w:styleId="TableTitle">
    <w:name w:val="Table Title"/>
    <w:basedOn w:val="Caption"/>
    <w:next w:val="Subtitle"/>
    <w:qFormat/>
    <w:rsid w:val="0054490A"/>
    <w:pPr>
      <w:spacing w:before="120"/>
    </w:pPr>
  </w:style>
  <w:style w:type="paragraph" w:customStyle="1" w:styleId="TableUnitsRow">
    <w:name w:val="Table Units Row"/>
    <w:basedOn w:val="TableBodyText"/>
    <w:rsid w:val="0054490A"/>
    <w:pPr>
      <w:spacing w:before="40"/>
    </w:pPr>
  </w:style>
  <w:style w:type="paragraph" w:styleId="TOC1">
    <w:name w:val="toc 1"/>
    <w:basedOn w:val="Normal"/>
    <w:next w:val="TOC2"/>
    <w:link w:val="TOC1Char"/>
    <w:rsid w:val="0054490A"/>
    <w:pPr>
      <w:tabs>
        <w:tab w:val="right" w:pos="8789"/>
      </w:tabs>
      <w:spacing w:before="120" w:line="320" w:lineRule="exact"/>
      <w:ind w:left="510" w:right="851" w:hanging="510"/>
    </w:pPr>
    <w:rPr>
      <w:rFonts w:ascii="Arial" w:hAnsi="Arial"/>
      <w:b/>
      <w:sz w:val="26"/>
      <w:szCs w:val="26"/>
      <w:lang w:eastAsia="en-US"/>
    </w:rPr>
  </w:style>
  <w:style w:type="paragraph" w:styleId="TOC2">
    <w:name w:val="toc 2"/>
    <w:basedOn w:val="TOC1"/>
    <w:rsid w:val="0054490A"/>
    <w:pPr>
      <w:ind w:left="1134" w:hanging="624"/>
    </w:pPr>
    <w:rPr>
      <w:b w:val="0"/>
    </w:rPr>
  </w:style>
  <w:style w:type="paragraph" w:styleId="TOC4">
    <w:name w:val="toc 4"/>
    <w:basedOn w:val="TOC3"/>
    <w:rsid w:val="0054490A"/>
    <w:pPr>
      <w:ind w:left="1191" w:firstLine="0"/>
    </w:pPr>
  </w:style>
  <w:style w:type="paragraph" w:customStyle="1" w:styleId="BoxContinued">
    <w:name w:val="Box Continued"/>
    <w:basedOn w:val="BodyText"/>
    <w:next w:val="BodyText"/>
    <w:link w:val="BoxContinuedChar"/>
    <w:semiHidden/>
    <w:rsid w:val="0054490A"/>
    <w:pPr>
      <w:spacing w:before="180" w:line="220" w:lineRule="exact"/>
      <w:jc w:val="right"/>
    </w:pPr>
    <w:rPr>
      <w:rFonts w:ascii="Arial" w:hAnsi="Arial"/>
      <w:sz w:val="18"/>
    </w:rPr>
  </w:style>
  <w:style w:type="paragraph" w:customStyle="1" w:styleId="Continued">
    <w:name w:val="Continued"/>
    <w:basedOn w:val="BoxContinued"/>
    <w:next w:val="BodyText"/>
    <w:link w:val="ContinuedChar"/>
    <w:rsid w:val="0054490A"/>
  </w:style>
  <w:style w:type="paragraph" w:customStyle="1" w:styleId="BoxHeading1">
    <w:name w:val="Box Heading 1"/>
    <w:basedOn w:val="BodyText"/>
    <w:next w:val="Box"/>
    <w:link w:val="BoxHeading1Char"/>
    <w:rsid w:val="0054490A"/>
    <w:pPr>
      <w:keepNext/>
      <w:spacing w:before="200" w:line="280" w:lineRule="atLeast"/>
    </w:pPr>
    <w:rPr>
      <w:rFonts w:ascii="Arial" w:hAnsi="Arial"/>
      <w:b/>
      <w:sz w:val="22"/>
    </w:rPr>
  </w:style>
  <w:style w:type="paragraph" w:customStyle="1" w:styleId="BoxHeading2">
    <w:name w:val="Box Heading 2"/>
    <w:basedOn w:val="BoxHeading1"/>
    <w:next w:val="Box"/>
    <w:link w:val="BoxHeading2Char"/>
    <w:rsid w:val="0054490A"/>
    <w:rPr>
      <w:b w:val="0"/>
      <w:i/>
    </w:rPr>
  </w:style>
  <w:style w:type="character" w:customStyle="1" w:styleId="BoxChar">
    <w:name w:val="Box Char"/>
    <w:basedOn w:val="BodyTextChar"/>
    <w:link w:val="Box"/>
    <w:rsid w:val="00D97916"/>
    <w:rPr>
      <w:rFonts w:ascii="Arial" w:hAnsi="Arial"/>
      <w:sz w:val="24"/>
    </w:rPr>
  </w:style>
  <w:style w:type="character" w:customStyle="1" w:styleId="BoxHeading1Char">
    <w:name w:val="Box Heading 1 Char"/>
    <w:basedOn w:val="BoxChar"/>
    <w:link w:val="BoxHeading1"/>
    <w:rsid w:val="00D97916"/>
    <w:rPr>
      <w:rFonts w:ascii="Arial" w:hAnsi="Arial"/>
      <w:b/>
      <w:sz w:val="22"/>
    </w:rPr>
  </w:style>
  <w:style w:type="character" w:customStyle="1" w:styleId="BoxHeading2Char">
    <w:name w:val="Box Heading 2 Char"/>
    <w:basedOn w:val="BoxHeading1Char"/>
    <w:link w:val="BoxHeading2"/>
    <w:rsid w:val="00D97916"/>
    <w:rPr>
      <w:rFonts w:ascii="Arial" w:hAnsi="Arial"/>
      <w:b w:val="0"/>
      <w:i/>
      <w:sz w:val="22"/>
    </w:rPr>
  </w:style>
  <w:style w:type="character" w:customStyle="1" w:styleId="Heading1Char">
    <w:name w:val="Heading 1 Char"/>
    <w:basedOn w:val="DefaultParagraphFont"/>
    <w:link w:val="Heading1"/>
    <w:rsid w:val="00874687"/>
    <w:rPr>
      <w:sz w:val="52"/>
    </w:rPr>
  </w:style>
  <w:style w:type="character" w:customStyle="1" w:styleId="ChapterChar">
    <w:name w:val="Chapter Char"/>
    <w:basedOn w:val="Heading1Char"/>
    <w:link w:val="Chapter"/>
    <w:semiHidden/>
    <w:rsid w:val="00874687"/>
    <w:rPr>
      <w:sz w:val="52"/>
    </w:rPr>
  </w:style>
  <w:style w:type="character" w:customStyle="1" w:styleId="Heading2Char">
    <w:name w:val="Heading 2 Char"/>
    <w:basedOn w:val="ChapterChar"/>
    <w:link w:val="Heading2"/>
    <w:rsid w:val="00874687"/>
    <w:rPr>
      <w:rFonts w:ascii="Arial" w:hAnsi="Arial"/>
      <w:b/>
      <w:sz w:val="32"/>
    </w:rPr>
  </w:style>
  <w:style w:type="character" w:customStyle="1" w:styleId="Heading3Char">
    <w:name w:val="Heading 3 Char"/>
    <w:basedOn w:val="Heading2Char"/>
    <w:link w:val="Heading3"/>
    <w:rsid w:val="00874687"/>
    <w:rPr>
      <w:rFonts w:ascii="Arial" w:hAnsi="Arial"/>
      <w:b/>
      <w:sz w:val="26"/>
    </w:rPr>
  </w:style>
  <w:style w:type="character" w:customStyle="1" w:styleId="Heading4Char">
    <w:name w:val="Heading 4 Char"/>
    <w:basedOn w:val="Heading3Char"/>
    <w:link w:val="Heading4"/>
    <w:rsid w:val="00874687"/>
    <w:rPr>
      <w:rFonts w:ascii="Arial" w:hAnsi="Arial"/>
      <w:b w:val="0"/>
      <w:sz w:val="24"/>
    </w:rPr>
  </w:style>
  <w:style w:type="character" w:customStyle="1" w:styleId="Heading5Char">
    <w:name w:val="Heading 5 Char"/>
    <w:basedOn w:val="DefaultParagraphFont"/>
    <w:link w:val="Heading5"/>
    <w:rsid w:val="0054490A"/>
    <w:rPr>
      <w:rFonts w:ascii="Arial" w:hAnsi="Arial"/>
      <w:i/>
      <w:sz w:val="22"/>
    </w:rPr>
  </w:style>
  <w:style w:type="character" w:customStyle="1" w:styleId="BoxContinuedChar">
    <w:name w:val="Box Continued Char"/>
    <w:basedOn w:val="DefaultParagraphFont"/>
    <w:link w:val="BoxContinued"/>
    <w:semiHidden/>
    <w:rsid w:val="00D254C5"/>
    <w:rPr>
      <w:rFonts w:ascii="Arial" w:hAnsi="Arial"/>
      <w:sz w:val="18"/>
    </w:rPr>
  </w:style>
  <w:style w:type="character" w:customStyle="1" w:styleId="ContinuedChar">
    <w:name w:val="Continued Char"/>
    <w:basedOn w:val="BoxContinuedChar"/>
    <w:link w:val="Continued"/>
    <w:rsid w:val="00D254C5"/>
    <w:rPr>
      <w:rFonts w:ascii="Arial" w:hAnsi="Arial"/>
      <w:sz w:val="18"/>
    </w:rPr>
  </w:style>
  <w:style w:type="character" w:customStyle="1" w:styleId="NoteChar">
    <w:name w:val="Note Char"/>
    <w:basedOn w:val="DefaultParagraphFont"/>
    <w:link w:val="Note"/>
    <w:locked/>
    <w:rsid w:val="00F166F5"/>
    <w:rPr>
      <w:rFonts w:ascii="Arial" w:hAnsi="Arial"/>
      <w:sz w:val="18"/>
    </w:rPr>
  </w:style>
  <w:style w:type="paragraph" w:customStyle="1" w:styleId="Jurisdictioncommentsbodytext">
    <w:name w:val="Jurisdiction comments body text"/>
    <w:rsid w:val="0054490A"/>
    <w:pPr>
      <w:spacing w:after="140"/>
      <w:jc w:val="both"/>
    </w:pPr>
    <w:rPr>
      <w:rFonts w:ascii="Arial" w:hAnsi="Arial"/>
      <w:sz w:val="24"/>
      <w:lang w:eastAsia="en-US"/>
    </w:rPr>
  </w:style>
  <w:style w:type="paragraph" w:customStyle="1" w:styleId="Jurisdictioncommentsheading">
    <w:name w:val="Jurisdiction comments heading"/>
    <w:rsid w:val="0054490A"/>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54490A"/>
    <w:pPr>
      <w:numPr>
        <w:numId w:val="12"/>
      </w:numPr>
      <w:spacing w:after="140"/>
      <w:jc w:val="both"/>
    </w:pPr>
    <w:rPr>
      <w:rFonts w:ascii="Arial" w:hAnsi="Arial"/>
      <w:sz w:val="24"/>
      <w:lang w:eastAsia="en-US"/>
    </w:rPr>
  </w:style>
  <w:style w:type="paragraph" w:customStyle="1" w:styleId="SOC">
    <w:name w:val="SOC"/>
    <w:basedOn w:val="BodyText"/>
    <w:rsid w:val="001E7B47"/>
    <w:pPr>
      <w:spacing w:before="0" w:after="140" w:line="240" w:lineRule="auto"/>
    </w:pPr>
    <w:rPr>
      <w:rFonts w:ascii="Arial" w:hAnsi="Arial"/>
    </w:rPr>
  </w:style>
  <w:style w:type="character" w:styleId="Hyperlink">
    <w:name w:val="Hyperlink"/>
    <w:basedOn w:val="DefaultParagraphFont"/>
    <w:uiPriority w:val="99"/>
    <w:rsid w:val="003E6314"/>
    <w:rPr>
      <w:color w:val="0000FF"/>
      <w:u w:val="single"/>
    </w:rPr>
  </w:style>
  <w:style w:type="character" w:styleId="FollowedHyperlink">
    <w:name w:val="FollowedHyperlink"/>
    <w:basedOn w:val="DefaultParagraphFont"/>
    <w:rsid w:val="00E3546B"/>
    <w:rPr>
      <w:color w:val="800080"/>
      <w:u w:val="single"/>
    </w:rPr>
  </w:style>
  <w:style w:type="table" w:styleId="TableGrid">
    <w:name w:val="Table Grid"/>
    <w:basedOn w:val="TableNormal"/>
    <w:rsid w:val="00544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9">
    <w:name w:val="emailstyle19"/>
    <w:basedOn w:val="DefaultParagraphFont"/>
    <w:semiHidden/>
    <w:rsid w:val="00703C17"/>
    <w:rPr>
      <w:rFonts w:ascii="Arial" w:hAnsi="Arial" w:cs="Arial" w:hint="default"/>
      <w:color w:val="000080"/>
      <w:sz w:val="20"/>
      <w:szCs w:val="20"/>
    </w:rPr>
  </w:style>
  <w:style w:type="paragraph" w:styleId="BalloonText">
    <w:name w:val="Balloon Text"/>
    <w:basedOn w:val="Normal"/>
    <w:link w:val="BalloonTextChar"/>
    <w:rsid w:val="0054490A"/>
    <w:rPr>
      <w:rFonts w:ascii="Tahoma" w:hAnsi="Tahoma" w:cs="Tahoma"/>
      <w:sz w:val="16"/>
      <w:szCs w:val="16"/>
    </w:rPr>
  </w:style>
  <w:style w:type="paragraph" w:customStyle="1" w:styleId="DocInfo">
    <w:name w:val="Doc Info"/>
    <w:basedOn w:val="Normal"/>
    <w:next w:val="Normal"/>
    <w:rsid w:val="001E7B47"/>
    <w:pPr>
      <w:jc w:val="center"/>
    </w:pPr>
    <w:rPr>
      <w:rFonts w:ascii="Arial" w:hAnsi="Arial"/>
      <w:sz w:val="14"/>
    </w:rPr>
  </w:style>
  <w:style w:type="paragraph" w:customStyle="1" w:styleId="Heading2NotTOC">
    <w:name w:val="Heading 2 Not TOC"/>
    <w:basedOn w:val="Heading2"/>
    <w:next w:val="BodyText"/>
    <w:rsid w:val="001E7B47"/>
    <w:pPr>
      <w:outlineLvl w:val="9"/>
    </w:pPr>
  </w:style>
  <w:style w:type="paragraph" w:styleId="BodyText2">
    <w:name w:val="Body Text 2"/>
    <w:basedOn w:val="Normal"/>
    <w:link w:val="BodyText2Char"/>
    <w:uiPriority w:val="99"/>
    <w:rsid w:val="00FD0338"/>
    <w:pPr>
      <w:spacing w:after="120" w:line="480" w:lineRule="auto"/>
    </w:pPr>
  </w:style>
  <w:style w:type="paragraph" w:styleId="CommentSubject">
    <w:name w:val="annotation subject"/>
    <w:basedOn w:val="CommentText"/>
    <w:next w:val="CommentText"/>
    <w:semiHidden/>
    <w:rsid w:val="00A5030A"/>
    <w:pPr>
      <w:spacing w:before="0" w:line="240" w:lineRule="auto"/>
      <w:ind w:left="0" w:firstLine="0"/>
    </w:pPr>
    <w:rPr>
      <w:b/>
      <w:bCs/>
      <w:szCs w:val="20"/>
    </w:rPr>
  </w:style>
  <w:style w:type="paragraph" w:styleId="ListParagraph">
    <w:name w:val="List Paragraph"/>
    <w:basedOn w:val="Normal"/>
    <w:uiPriority w:val="34"/>
    <w:qFormat/>
    <w:rsid w:val="00B8271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semiHidden/>
    <w:rsid w:val="006F412F"/>
    <w:rPr>
      <w:szCs w:val="24"/>
    </w:rPr>
  </w:style>
  <w:style w:type="paragraph" w:customStyle="1" w:styleId="BoxSpaceAbove">
    <w:name w:val="Box Space Above"/>
    <w:basedOn w:val="BodyText"/>
    <w:rsid w:val="0054490A"/>
    <w:pPr>
      <w:keepNext/>
      <w:spacing w:before="360" w:line="80" w:lineRule="exact"/>
      <w:jc w:val="left"/>
    </w:pPr>
  </w:style>
  <w:style w:type="paragraph" w:customStyle="1" w:styleId="RecBBullet2">
    <w:name w:val="RecB Bullet 2"/>
    <w:basedOn w:val="ListBullet2"/>
    <w:semiHidden/>
    <w:rsid w:val="0054490A"/>
    <w:pPr>
      <w:pBdr>
        <w:left w:val="single" w:sz="24" w:space="29" w:color="C0C0C0"/>
      </w:pBdr>
    </w:pPr>
    <w:rPr>
      <w:b/>
      <w:i/>
    </w:rPr>
  </w:style>
  <w:style w:type="character" w:customStyle="1" w:styleId="BalloonTextChar">
    <w:name w:val="Balloon Text Char"/>
    <w:basedOn w:val="DefaultParagraphFont"/>
    <w:link w:val="BalloonText"/>
    <w:rsid w:val="0054490A"/>
    <w:rPr>
      <w:rFonts w:ascii="Tahoma" w:hAnsi="Tahoma" w:cs="Tahoma"/>
      <w:sz w:val="16"/>
      <w:szCs w:val="16"/>
    </w:rPr>
  </w:style>
  <w:style w:type="character" w:customStyle="1" w:styleId="SubtitleChar">
    <w:name w:val="Subtitle Char"/>
    <w:basedOn w:val="DefaultParagraphFont"/>
    <w:link w:val="Subtitle"/>
    <w:rsid w:val="0054490A"/>
    <w:rPr>
      <w:rFonts w:ascii="Arial" w:hAnsi="Arial"/>
      <w:szCs w:val="24"/>
    </w:rPr>
  </w:style>
  <w:style w:type="paragraph" w:customStyle="1" w:styleId="BoxListBullet3">
    <w:name w:val="Box List Bullet 3"/>
    <w:basedOn w:val="ListBullet3"/>
    <w:rsid w:val="0054490A"/>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54490A"/>
    <w:rPr>
      <w:i/>
      <w:iCs/>
    </w:rPr>
  </w:style>
  <w:style w:type="paragraph" w:customStyle="1" w:styleId="BoxQuoteBullet">
    <w:name w:val="Box Quote Bullet"/>
    <w:basedOn w:val="BoxQuote"/>
    <w:next w:val="Box"/>
    <w:rsid w:val="0054490A"/>
    <w:pPr>
      <w:numPr>
        <w:numId w:val="15"/>
      </w:numPr>
      <w:ind w:left="568" w:hanging="284"/>
    </w:pPr>
  </w:style>
  <w:style w:type="paragraph" w:customStyle="1" w:styleId="InformationRequestBullet">
    <w:name w:val="Information Request Bullet"/>
    <w:basedOn w:val="ListBullet"/>
    <w:next w:val="BodyText"/>
    <w:rsid w:val="0054490A"/>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54490A"/>
    <w:pPr>
      <w:keepNext w:val="0"/>
      <w:spacing w:before="60" w:after="60" w:line="80" w:lineRule="exact"/>
    </w:pPr>
    <w:rPr>
      <w:sz w:val="14"/>
    </w:rPr>
  </w:style>
  <w:style w:type="paragraph" w:customStyle="1" w:styleId="NumberedPara">
    <w:name w:val="Numbered Para"/>
    <w:basedOn w:val="Normal"/>
    <w:autoRedefine/>
    <w:qFormat/>
    <w:rsid w:val="00082296"/>
    <w:pPr>
      <w:widowControl w:val="0"/>
      <w:tabs>
        <w:tab w:val="left" w:pos="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40" w:line="280" w:lineRule="exact"/>
      <w:ind w:left="567"/>
      <w:jc w:val="both"/>
    </w:pPr>
    <w:rPr>
      <w:rFonts w:eastAsiaTheme="minorEastAsia"/>
      <w:iCs/>
      <w:sz w:val="22"/>
      <w:lang w:eastAsia="en-US"/>
    </w:rPr>
  </w:style>
  <w:style w:type="paragraph" w:customStyle="1" w:styleId="KeyPointsListBullet">
    <w:name w:val="Key Points List Bullet"/>
    <w:basedOn w:val="Normal"/>
    <w:qFormat/>
    <w:rsid w:val="0054490A"/>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54490A"/>
    <w:pPr>
      <w:numPr>
        <w:numId w:val="19"/>
      </w:numPr>
      <w:ind w:left="568" w:hanging="284"/>
    </w:pPr>
  </w:style>
  <w:style w:type="paragraph" w:customStyle="1" w:styleId="InformationRequestTitle">
    <w:name w:val="Information Request Title"/>
    <w:basedOn w:val="FindingTitle"/>
    <w:next w:val="InformationRequest"/>
    <w:rsid w:val="0054490A"/>
    <w:rPr>
      <w:i/>
    </w:rPr>
  </w:style>
  <w:style w:type="paragraph" w:customStyle="1" w:styleId="Space">
    <w:name w:val="Space"/>
    <w:basedOn w:val="Normal"/>
    <w:rsid w:val="0054490A"/>
    <w:pPr>
      <w:keepNext/>
      <w:spacing w:line="120" w:lineRule="exact"/>
      <w:jc w:val="both"/>
    </w:pPr>
    <w:rPr>
      <w:rFonts w:ascii="Arial" w:hAnsi="Arial"/>
      <w:sz w:val="20"/>
      <w:szCs w:val="20"/>
    </w:rPr>
  </w:style>
  <w:style w:type="paragraph" w:customStyle="1" w:styleId="Heading1nochapterno">
    <w:name w:val="Heading 1 (no chapter no.)"/>
    <w:basedOn w:val="Heading1"/>
    <w:rsid w:val="0054490A"/>
    <w:pPr>
      <w:spacing w:before="0"/>
      <w:ind w:left="0" w:firstLine="0"/>
    </w:pPr>
  </w:style>
  <w:style w:type="paragraph" w:customStyle="1" w:styleId="Heading2nosectionno">
    <w:name w:val="Heading 2 (no section no.)"/>
    <w:basedOn w:val="Heading2"/>
    <w:rsid w:val="0054490A"/>
    <w:pPr>
      <w:ind w:left="0" w:firstLine="0"/>
    </w:pPr>
  </w:style>
  <w:style w:type="paragraph" w:customStyle="1" w:styleId="Figurespace">
    <w:name w:val="Figure space"/>
    <w:basedOn w:val="Box"/>
    <w:rsid w:val="0054490A"/>
    <w:pPr>
      <w:spacing w:before="0" w:line="120" w:lineRule="exact"/>
    </w:pPr>
  </w:style>
  <w:style w:type="paragraph" w:customStyle="1" w:styleId="FooterDraftReport">
    <w:name w:val="FooterDraftReport"/>
    <w:basedOn w:val="Footer"/>
    <w:link w:val="FooterDraftReportChar"/>
    <w:rsid w:val="0054490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54490A"/>
    <w:rPr>
      <w:rFonts w:ascii="Arial" w:hAnsi="Arial"/>
      <w:caps/>
      <w:spacing w:val="-4"/>
      <w:sz w:val="16"/>
    </w:rPr>
  </w:style>
  <w:style w:type="character" w:customStyle="1" w:styleId="FooterDraftReportChar">
    <w:name w:val="FooterDraftReport Char"/>
    <w:basedOn w:val="FooterChar"/>
    <w:link w:val="FooterDraftReport"/>
    <w:rsid w:val="0054490A"/>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54490A"/>
    <w:rPr>
      <w:rFonts w:ascii="Arial" w:hAnsi="Arial"/>
      <w:b/>
      <w:sz w:val="26"/>
      <w:szCs w:val="26"/>
      <w:lang w:eastAsia="en-US"/>
    </w:rPr>
  </w:style>
  <w:style w:type="paragraph" w:customStyle="1" w:styleId="Heading1NotTOC">
    <w:name w:val="Heading 1 Not TOC"/>
    <w:basedOn w:val="Heading1"/>
    <w:next w:val="BodyText"/>
    <w:rsid w:val="00D64EA5"/>
    <w:rPr>
      <w:kern w:val="28"/>
      <w:szCs w:val="26"/>
      <w:lang w:eastAsia="en-US"/>
    </w:rPr>
  </w:style>
  <w:style w:type="paragraph" w:styleId="NormalWeb">
    <w:name w:val="Normal (Web)"/>
    <w:basedOn w:val="Normal"/>
    <w:uiPriority w:val="99"/>
    <w:unhideWhenUsed/>
    <w:rsid w:val="00606DE9"/>
    <w:pPr>
      <w:spacing w:after="150"/>
    </w:pPr>
  </w:style>
  <w:style w:type="character" w:customStyle="1" w:styleId="BodyText2Char">
    <w:name w:val="Body Text 2 Char"/>
    <w:basedOn w:val="DefaultParagraphFont"/>
    <w:link w:val="BodyText2"/>
    <w:uiPriority w:val="99"/>
    <w:rsid w:val="00235FC8"/>
    <w:rPr>
      <w:sz w:val="24"/>
      <w:szCs w:val="24"/>
    </w:rPr>
  </w:style>
  <w:style w:type="paragraph" w:customStyle="1" w:styleId="Tablebullet">
    <w:name w:val="Table bullet"/>
    <w:basedOn w:val="Normal"/>
    <w:qFormat/>
    <w:rsid w:val="00235FC8"/>
    <w:pPr>
      <w:numPr>
        <w:numId w:val="20"/>
      </w:numPr>
      <w:spacing w:line="240" w:lineRule="atLeast"/>
    </w:pPr>
    <w:rPr>
      <w:rFonts w:ascii="Arial" w:hAnsi="Arial" w:cs="Arial"/>
      <w:sz w:val="22"/>
      <w:lang w:eastAsia="en-US"/>
    </w:rPr>
  </w:style>
  <w:style w:type="paragraph" w:styleId="PlainText">
    <w:name w:val="Plain Text"/>
    <w:basedOn w:val="Normal"/>
    <w:link w:val="PlainTextChar"/>
    <w:uiPriority w:val="99"/>
    <w:unhideWhenUsed/>
    <w:rsid w:val="00B80F80"/>
    <w:rPr>
      <w:rFonts w:ascii="Courier New" w:hAnsi="Courier New" w:cs="Courier New"/>
      <w:sz w:val="20"/>
      <w:szCs w:val="20"/>
    </w:rPr>
  </w:style>
  <w:style w:type="character" w:customStyle="1" w:styleId="PlainTextChar">
    <w:name w:val="Plain Text Char"/>
    <w:basedOn w:val="DefaultParagraphFont"/>
    <w:link w:val="PlainText"/>
    <w:uiPriority w:val="99"/>
    <w:rsid w:val="00B80F80"/>
    <w:rPr>
      <w:rFonts w:ascii="Courier New" w:hAnsi="Courier New" w:cs="Courier New"/>
    </w:rPr>
  </w:style>
  <w:style w:type="paragraph" w:styleId="Revision">
    <w:name w:val="Revision"/>
    <w:hidden/>
    <w:uiPriority w:val="99"/>
    <w:semiHidden/>
    <w:rsid w:val="00C41E04"/>
    <w:rPr>
      <w:sz w:val="24"/>
      <w:szCs w:val="24"/>
    </w:rPr>
  </w:style>
  <w:style w:type="character" w:customStyle="1" w:styleId="BoxListBulletChar">
    <w:name w:val="Box List Bullet Char"/>
    <w:basedOn w:val="BoxChar"/>
    <w:link w:val="BoxListBullet"/>
    <w:rsid w:val="004C10A1"/>
    <w:rPr>
      <w:rFonts w:ascii="Arial" w:hAnsi="Arial"/>
      <w:sz w:val="24"/>
    </w:rPr>
  </w:style>
  <w:style w:type="character" w:customStyle="1" w:styleId="TableBodyTextChar">
    <w:name w:val="Table Body Text Char"/>
    <w:link w:val="TableBodyText"/>
    <w:rsid w:val="00C537A9"/>
    <w:rPr>
      <w:rFonts w:ascii="Arial" w:hAnsi="Arial"/>
      <w:sz w:val="18"/>
    </w:rPr>
  </w:style>
  <w:style w:type="character" w:customStyle="1" w:styleId="Continuedintitle">
    <w:name w:val="Continued (in title)"/>
    <w:basedOn w:val="DefaultParagraphFont"/>
    <w:rsid w:val="0054490A"/>
    <w:rPr>
      <w:rFonts w:ascii="Arial" w:hAnsi="Arial"/>
      <w:b/>
      <w:sz w:val="18"/>
    </w:rPr>
  </w:style>
  <w:style w:type="character" w:customStyle="1" w:styleId="BoxTitleChar">
    <w:name w:val="Box Title Char"/>
    <w:basedOn w:val="DefaultParagraphFont"/>
    <w:link w:val="BoxTitle"/>
    <w:rsid w:val="000426A1"/>
    <w:rPr>
      <w:rFonts w:ascii="Arial" w:hAnsi="Arial"/>
      <w:b/>
      <w:sz w:val="24"/>
      <w:szCs w:val="24"/>
    </w:rPr>
  </w:style>
  <w:style w:type="character" w:styleId="PlaceholderText">
    <w:name w:val="Placeholder Text"/>
    <w:basedOn w:val="DefaultParagraphFont"/>
    <w:uiPriority w:val="99"/>
    <w:semiHidden/>
    <w:rsid w:val="00B67CD6"/>
    <w:rPr>
      <w:color w:val="808080"/>
    </w:rPr>
  </w:style>
  <w:style w:type="paragraph" w:styleId="TOCHeading">
    <w:name w:val="TOC Heading"/>
    <w:basedOn w:val="Heading1"/>
    <w:next w:val="Normal"/>
    <w:uiPriority w:val="39"/>
    <w:unhideWhenUsed/>
    <w:qFormat/>
    <w:rsid w:val="00187254"/>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customStyle="1" w:styleId="HeaderChar">
    <w:name w:val="Header Char"/>
    <w:basedOn w:val="DefaultParagraphFont"/>
    <w:link w:val="Header"/>
    <w:rsid w:val="00F95739"/>
    <w:rPr>
      <w:rFonts w:ascii="Arial" w:hAnsi="Arial"/>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2932">
      <w:bodyDiv w:val="1"/>
      <w:marLeft w:val="0"/>
      <w:marRight w:val="0"/>
      <w:marTop w:val="0"/>
      <w:marBottom w:val="0"/>
      <w:divBdr>
        <w:top w:val="none" w:sz="0" w:space="0" w:color="auto"/>
        <w:left w:val="none" w:sz="0" w:space="0" w:color="auto"/>
        <w:bottom w:val="none" w:sz="0" w:space="0" w:color="auto"/>
        <w:right w:val="none" w:sz="0" w:space="0" w:color="auto"/>
      </w:divBdr>
    </w:div>
    <w:div w:id="132717364">
      <w:bodyDiv w:val="1"/>
      <w:marLeft w:val="0"/>
      <w:marRight w:val="0"/>
      <w:marTop w:val="0"/>
      <w:marBottom w:val="0"/>
      <w:divBdr>
        <w:top w:val="none" w:sz="0" w:space="0" w:color="auto"/>
        <w:left w:val="none" w:sz="0" w:space="0" w:color="auto"/>
        <w:bottom w:val="none" w:sz="0" w:space="0" w:color="auto"/>
        <w:right w:val="none" w:sz="0" w:space="0" w:color="auto"/>
      </w:divBdr>
    </w:div>
    <w:div w:id="140074791">
      <w:bodyDiv w:val="1"/>
      <w:marLeft w:val="0"/>
      <w:marRight w:val="0"/>
      <w:marTop w:val="0"/>
      <w:marBottom w:val="0"/>
      <w:divBdr>
        <w:top w:val="none" w:sz="0" w:space="0" w:color="auto"/>
        <w:left w:val="none" w:sz="0" w:space="0" w:color="auto"/>
        <w:bottom w:val="none" w:sz="0" w:space="0" w:color="auto"/>
        <w:right w:val="none" w:sz="0" w:space="0" w:color="auto"/>
      </w:divBdr>
    </w:div>
    <w:div w:id="216363080">
      <w:bodyDiv w:val="1"/>
      <w:marLeft w:val="0"/>
      <w:marRight w:val="0"/>
      <w:marTop w:val="0"/>
      <w:marBottom w:val="0"/>
      <w:divBdr>
        <w:top w:val="none" w:sz="0" w:space="0" w:color="auto"/>
        <w:left w:val="none" w:sz="0" w:space="0" w:color="auto"/>
        <w:bottom w:val="none" w:sz="0" w:space="0" w:color="auto"/>
        <w:right w:val="none" w:sz="0" w:space="0" w:color="auto"/>
      </w:divBdr>
    </w:div>
    <w:div w:id="369846574">
      <w:bodyDiv w:val="1"/>
      <w:marLeft w:val="0"/>
      <w:marRight w:val="0"/>
      <w:marTop w:val="0"/>
      <w:marBottom w:val="0"/>
      <w:divBdr>
        <w:top w:val="none" w:sz="0" w:space="0" w:color="auto"/>
        <w:left w:val="none" w:sz="0" w:space="0" w:color="auto"/>
        <w:bottom w:val="none" w:sz="0" w:space="0" w:color="auto"/>
        <w:right w:val="none" w:sz="0" w:space="0" w:color="auto"/>
      </w:divBdr>
    </w:div>
    <w:div w:id="407338677">
      <w:bodyDiv w:val="1"/>
      <w:marLeft w:val="0"/>
      <w:marRight w:val="0"/>
      <w:marTop w:val="0"/>
      <w:marBottom w:val="0"/>
      <w:divBdr>
        <w:top w:val="none" w:sz="0" w:space="0" w:color="auto"/>
        <w:left w:val="none" w:sz="0" w:space="0" w:color="auto"/>
        <w:bottom w:val="none" w:sz="0" w:space="0" w:color="auto"/>
        <w:right w:val="none" w:sz="0" w:space="0" w:color="auto"/>
      </w:divBdr>
    </w:div>
    <w:div w:id="528227867">
      <w:bodyDiv w:val="1"/>
      <w:marLeft w:val="0"/>
      <w:marRight w:val="0"/>
      <w:marTop w:val="0"/>
      <w:marBottom w:val="0"/>
      <w:divBdr>
        <w:top w:val="none" w:sz="0" w:space="0" w:color="auto"/>
        <w:left w:val="none" w:sz="0" w:space="0" w:color="auto"/>
        <w:bottom w:val="none" w:sz="0" w:space="0" w:color="auto"/>
        <w:right w:val="none" w:sz="0" w:space="0" w:color="auto"/>
      </w:divBdr>
    </w:div>
    <w:div w:id="628123775">
      <w:bodyDiv w:val="1"/>
      <w:marLeft w:val="0"/>
      <w:marRight w:val="0"/>
      <w:marTop w:val="0"/>
      <w:marBottom w:val="0"/>
      <w:divBdr>
        <w:top w:val="none" w:sz="0" w:space="0" w:color="auto"/>
        <w:left w:val="none" w:sz="0" w:space="0" w:color="auto"/>
        <w:bottom w:val="none" w:sz="0" w:space="0" w:color="auto"/>
        <w:right w:val="none" w:sz="0" w:space="0" w:color="auto"/>
      </w:divBdr>
    </w:div>
    <w:div w:id="664435518">
      <w:bodyDiv w:val="1"/>
      <w:marLeft w:val="0"/>
      <w:marRight w:val="0"/>
      <w:marTop w:val="0"/>
      <w:marBottom w:val="0"/>
      <w:divBdr>
        <w:top w:val="none" w:sz="0" w:space="0" w:color="auto"/>
        <w:left w:val="none" w:sz="0" w:space="0" w:color="auto"/>
        <w:bottom w:val="none" w:sz="0" w:space="0" w:color="auto"/>
        <w:right w:val="none" w:sz="0" w:space="0" w:color="auto"/>
      </w:divBdr>
    </w:div>
    <w:div w:id="665018069">
      <w:bodyDiv w:val="1"/>
      <w:marLeft w:val="0"/>
      <w:marRight w:val="0"/>
      <w:marTop w:val="0"/>
      <w:marBottom w:val="0"/>
      <w:divBdr>
        <w:top w:val="none" w:sz="0" w:space="0" w:color="auto"/>
        <w:left w:val="none" w:sz="0" w:space="0" w:color="auto"/>
        <w:bottom w:val="none" w:sz="0" w:space="0" w:color="auto"/>
        <w:right w:val="none" w:sz="0" w:space="0" w:color="auto"/>
      </w:divBdr>
    </w:div>
    <w:div w:id="734594340">
      <w:bodyDiv w:val="1"/>
      <w:marLeft w:val="0"/>
      <w:marRight w:val="0"/>
      <w:marTop w:val="0"/>
      <w:marBottom w:val="0"/>
      <w:divBdr>
        <w:top w:val="none" w:sz="0" w:space="0" w:color="auto"/>
        <w:left w:val="none" w:sz="0" w:space="0" w:color="auto"/>
        <w:bottom w:val="none" w:sz="0" w:space="0" w:color="auto"/>
        <w:right w:val="none" w:sz="0" w:space="0" w:color="auto"/>
      </w:divBdr>
    </w:div>
    <w:div w:id="835535440">
      <w:bodyDiv w:val="1"/>
      <w:marLeft w:val="0"/>
      <w:marRight w:val="0"/>
      <w:marTop w:val="0"/>
      <w:marBottom w:val="0"/>
      <w:divBdr>
        <w:top w:val="none" w:sz="0" w:space="0" w:color="auto"/>
        <w:left w:val="none" w:sz="0" w:space="0" w:color="auto"/>
        <w:bottom w:val="none" w:sz="0" w:space="0" w:color="auto"/>
        <w:right w:val="none" w:sz="0" w:space="0" w:color="auto"/>
      </w:divBdr>
    </w:div>
    <w:div w:id="859124484">
      <w:bodyDiv w:val="1"/>
      <w:marLeft w:val="0"/>
      <w:marRight w:val="0"/>
      <w:marTop w:val="0"/>
      <w:marBottom w:val="0"/>
      <w:divBdr>
        <w:top w:val="none" w:sz="0" w:space="0" w:color="auto"/>
        <w:left w:val="none" w:sz="0" w:space="0" w:color="auto"/>
        <w:bottom w:val="none" w:sz="0" w:space="0" w:color="auto"/>
        <w:right w:val="none" w:sz="0" w:space="0" w:color="auto"/>
      </w:divBdr>
    </w:div>
    <w:div w:id="901253529">
      <w:bodyDiv w:val="1"/>
      <w:marLeft w:val="0"/>
      <w:marRight w:val="0"/>
      <w:marTop w:val="0"/>
      <w:marBottom w:val="0"/>
      <w:divBdr>
        <w:top w:val="none" w:sz="0" w:space="0" w:color="auto"/>
        <w:left w:val="none" w:sz="0" w:space="0" w:color="auto"/>
        <w:bottom w:val="none" w:sz="0" w:space="0" w:color="auto"/>
        <w:right w:val="none" w:sz="0" w:space="0" w:color="auto"/>
      </w:divBdr>
    </w:div>
    <w:div w:id="1083455532">
      <w:bodyDiv w:val="1"/>
      <w:marLeft w:val="0"/>
      <w:marRight w:val="0"/>
      <w:marTop w:val="0"/>
      <w:marBottom w:val="0"/>
      <w:divBdr>
        <w:top w:val="none" w:sz="0" w:space="0" w:color="auto"/>
        <w:left w:val="none" w:sz="0" w:space="0" w:color="auto"/>
        <w:bottom w:val="none" w:sz="0" w:space="0" w:color="auto"/>
        <w:right w:val="none" w:sz="0" w:space="0" w:color="auto"/>
      </w:divBdr>
    </w:div>
    <w:div w:id="1101417784">
      <w:bodyDiv w:val="1"/>
      <w:marLeft w:val="0"/>
      <w:marRight w:val="0"/>
      <w:marTop w:val="0"/>
      <w:marBottom w:val="0"/>
      <w:divBdr>
        <w:top w:val="none" w:sz="0" w:space="0" w:color="auto"/>
        <w:left w:val="none" w:sz="0" w:space="0" w:color="auto"/>
        <w:bottom w:val="none" w:sz="0" w:space="0" w:color="auto"/>
        <w:right w:val="none" w:sz="0" w:space="0" w:color="auto"/>
      </w:divBdr>
    </w:div>
    <w:div w:id="1337032543">
      <w:bodyDiv w:val="1"/>
      <w:marLeft w:val="0"/>
      <w:marRight w:val="0"/>
      <w:marTop w:val="0"/>
      <w:marBottom w:val="0"/>
      <w:divBdr>
        <w:top w:val="none" w:sz="0" w:space="0" w:color="auto"/>
        <w:left w:val="none" w:sz="0" w:space="0" w:color="auto"/>
        <w:bottom w:val="none" w:sz="0" w:space="0" w:color="auto"/>
        <w:right w:val="none" w:sz="0" w:space="0" w:color="auto"/>
      </w:divBdr>
    </w:div>
    <w:div w:id="1547520069">
      <w:bodyDiv w:val="1"/>
      <w:marLeft w:val="0"/>
      <w:marRight w:val="0"/>
      <w:marTop w:val="0"/>
      <w:marBottom w:val="0"/>
      <w:divBdr>
        <w:top w:val="none" w:sz="0" w:space="0" w:color="auto"/>
        <w:left w:val="none" w:sz="0" w:space="0" w:color="auto"/>
        <w:bottom w:val="none" w:sz="0" w:space="0" w:color="auto"/>
        <w:right w:val="none" w:sz="0" w:space="0" w:color="auto"/>
      </w:divBdr>
    </w:div>
    <w:div w:id="1723477634">
      <w:bodyDiv w:val="1"/>
      <w:marLeft w:val="0"/>
      <w:marRight w:val="0"/>
      <w:marTop w:val="0"/>
      <w:marBottom w:val="0"/>
      <w:divBdr>
        <w:top w:val="none" w:sz="0" w:space="0" w:color="auto"/>
        <w:left w:val="none" w:sz="0" w:space="0" w:color="auto"/>
        <w:bottom w:val="none" w:sz="0" w:space="0" w:color="auto"/>
        <w:right w:val="none" w:sz="0" w:space="0" w:color="auto"/>
      </w:divBdr>
    </w:div>
    <w:div w:id="1746495035">
      <w:bodyDiv w:val="1"/>
      <w:marLeft w:val="0"/>
      <w:marRight w:val="0"/>
      <w:marTop w:val="0"/>
      <w:marBottom w:val="0"/>
      <w:divBdr>
        <w:top w:val="none" w:sz="0" w:space="0" w:color="auto"/>
        <w:left w:val="none" w:sz="0" w:space="0" w:color="auto"/>
        <w:bottom w:val="none" w:sz="0" w:space="0" w:color="auto"/>
        <w:right w:val="none" w:sz="0" w:space="0" w:color="auto"/>
      </w:divBdr>
    </w:div>
    <w:div w:id="1802960958">
      <w:bodyDiv w:val="1"/>
      <w:marLeft w:val="0"/>
      <w:marRight w:val="0"/>
      <w:marTop w:val="0"/>
      <w:marBottom w:val="0"/>
      <w:divBdr>
        <w:top w:val="none" w:sz="0" w:space="0" w:color="auto"/>
        <w:left w:val="none" w:sz="0" w:space="0" w:color="auto"/>
        <w:bottom w:val="none" w:sz="0" w:space="0" w:color="auto"/>
        <w:right w:val="none" w:sz="0" w:space="0" w:color="auto"/>
      </w:divBdr>
    </w:div>
    <w:div w:id="1828863206">
      <w:bodyDiv w:val="1"/>
      <w:marLeft w:val="0"/>
      <w:marRight w:val="0"/>
      <w:marTop w:val="0"/>
      <w:marBottom w:val="0"/>
      <w:divBdr>
        <w:top w:val="none" w:sz="0" w:space="0" w:color="auto"/>
        <w:left w:val="none" w:sz="0" w:space="0" w:color="auto"/>
        <w:bottom w:val="none" w:sz="0" w:space="0" w:color="auto"/>
        <w:right w:val="none" w:sz="0" w:space="0" w:color="auto"/>
      </w:divBdr>
    </w:div>
    <w:div w:id="1947350262">
      <w:bodyDiv w:val="1"/>
      <w:marLeft w:val="0"/>
      <w:marRight w:val="0"/>
      <w:marTop w:val="0"/>
      <w:marBottom w:val="0"/>
      <w:divBdr>
        <w:top w:val="none" w:sz="0" w:space="0" w:color="auto"/>
        <w:left w:val="none" w:sz="0" w:space="0" w:color="auto"/>
        <w:bottom w:val="none" w:sz="0" w:space="0" w:color="auto"/>
        <w:right w:val="none" w:sz="0" w:space="0" w:color="auto"/>
      </w:divBdr>
    </w:div>
    <w:div w:id="212114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2F2A9-7FB0-44EF-A3F9-A35D759D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185</TotalTime>
  <Pages>24</Pages>
  <Words>8235</Words>
  <Characters>45836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Section 7 Courts - Report on Government Services 2021</vt:lpstr>
    </vt:vector>
  </TitlesOfParts>
  <Company>Productivity Commission</Company>
  <LinksUpToDate>false</LinksUpToDate>
  <CharactersWithSpaces>53964</CharactersWithSpaces>
  <SharedDoc>false</SharedDoc>
  <HLinks>
    <vt:vector size="48" baseType="variant">
      <vt:variant>
        <vt:i4>1048637</vt:i4>
      </vt:variant>
      <vt:variant>
        <vt:i4>44</vt:i4>
      </vt:variant>
      <vt:variant>
        <vt:i4>0</vt:i4>
      </vt:variant>
      <vt:variant>
        <vt:i4>5</vt:i4>
      </vt:variant>
      <vt:variant>
        <vt:lpwstr/>
      </vt:variant>
      <vt:variant>
        <vt:lpwstr>_Toc239740230</vt:lpwstr>
      </vt:variant>
      <vt:variant>
        <vt:i4>1114173</vt:i4>
      </vt:variant>
      <vt:variant>
        <vt:i4>38</vt:i4>
      </vt:variant>
      <vt:variant>
        <vt:i4>0</vt:i4>
      </vt:variant>
      <vt:variant>
        <vt:i4>5</vt:i4>
      </vt:variant>
      <vt:variant>
        <vt:lpwstr/>
      </vt:variant>
      <vt:variant>
        <vt:lpwstr>_Toc239740229</vt:lpwstr>
      </vt:variant>
      <vt:variant>
        <vt:i4>1114173</vt:i4>
      </vt:variant>
      <vt:variant>
        <vt:i4>32</vt:i4>
      </vt:variant>
      <vt:variant>
        <vt:i4>0</vt:i4>
      </vt:variant>
      <vt:variant>
        <vt:i4>5</vt:i4>
      </vt:variant>
      <vt:variant>
        <vt:lpwstr/>
      </vt:variant>
      <vt:variant>
        <vt:lpwstr>_Toc239740228</vt:lpwstr>
      </vt:variant>
      <vt:variant>
        <vt:i4>1114173</vt:i4>
      </vt:variant>
      <vt:variant>
        <vt:i4>26</vt:i4>
      </vt:variant>
      <vt:variant>
        <vt:i4>0</vt:i4>
      </vt:variant>
      <vt:variant>
        <vt:i4>5</vt:i4>
      </vt:variant>
      <vt:variant>
        <vt:lpwstr/>
      </vt:variant>
      <vt:variant>
        <vt:lpwstr>_Toc239740227</vt:lpwstr>
      </vt:variant>
      <vt:variant>
        <vt:i4>1114173</vt:i4>
      </vt:variant>
      <vt:variant>
        <vt:i4>20</vt:i4>
      </vt:variant>
      <vt:variant>
        <vt:i4>0</vt:i4>
      </vt:variant>
      <vt:variant>
        <vt:i4>5</vt:i4>
      </vt:variant>
      <vt:variant>
        <vt:lpwstr/>
      </vt:variant>
      <vt:variant>
        <vt:lpwstr>_Toc239740226</vt:lpwstr>
      </vt:variant>
      <vt:variant>
        <vt:i4>1114173</vt:i4>
      </vt:variant>
      <vt:variant>
        <vt:i4>14</vt:i4>
      </vt:variant>
      <vt:variant>
        <vt:i4>0</vt:i4>
      </vt:variant>
      <vt:variant>
        <vt:i4>5</vt:i4>
      </vt:variant>
      <vt:variant>
        <vt:lpwstr/>
      </vt:variant>
      <vt:variant>
        <vt:lpwstr>_Toc239740225</vt:lpwstr>
      </vt:variant>
      <vt:variant>
        <vt:i4>1114173</vt:i4>
      </vt:variant>
      <vt:variant>
        <vt:i4>8</vt:i4>
      </vt:variant>
      <vt:variant>
        <vt:i4>0</vt:i4>
      </vt:variant>
      <vt:variant>
        <vt:i4>5</vt:i4>
      </vt:variant>
      <vt:variant>
        <vt:lpwstr/>
      </vt:variant>
      <vt:variant>
        <vt:lpwstr>_Toc239740224</vt:lpwstr>
      </vt:variant>
      <vt:variant>
        <vt:i4>1114173</vt:i4>
      </vt:variant>
      <vt:variant>
        <vt:i4>2</vt:i4>
      </vt:variant>
      <vt:variant>
        <vt:i4>0</vt:i4>
      </vt:variant>
      <vt:variant>
        <vt:i4>5</vt:i4>
      </vt:variant>
      <vt:variant>
        <vt:lpwstr/>
      </vt:variant>
      <vt:variant>
        <vt:lpwstr>_Toc239740223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 Courts - Report on Government Services 2021</dc:title>
  <dc:subject>report on government services 2021</dc:subject>
  <dc:creator>Steering Committee for the Review of Government Service Provision</dc:creator>
  <cp:lastModifiedBy>Munce, Melissa</cp:lastModifiedBy>
  <cp:revision>27</cp:revision>
  <cp:lastPrinted>2020-12-10T03:23:00Z</cp:lastPrinted>
  <dcterms:created xsi:type="dcterms:W3CDTF">2020-11-27T01:24:00Z</dcterms:created>
  <dcterms:modified xsi:type="dcterms:W3CDTF">2020-12-17T02:13:00Z</dcterms:modified>
</cp:coreProperties>
</file>